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5"/>
        <w:gridCol w:w="1507"/>
        <w:gridCol w:w="6735"/>
        <w:gridCol w:w="4857"/>
      </w:tblGrid>
      <w:tr w14:paraId="3406A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865" w:type="dxa"/>
            <w:tcBorders>
              <w:top w:val="single" w:color="000000" w:sz="4" w:space="0"/>
              <w:left w:val="single" w:color="000000" w:sz="8" w:space="0"/>
              <w:bottom w:val="single" w:color="000000" w:sz="4" w:space="0"/>
              <w:right w:val="single" w:color="000000" w:sz="4" w:space="0"/>
            </w:tcBorders>
            <w:shd w:val="clear" w:color="auto" w:fill="DDD9C4"/>
            <w:vAlign w:val="center"/>
          </w:tcPr>
          <w:p w14:paraId="4A44D652">
            <w:pPr>
              <w:jc w:val="right"/>
              <w:rPr>
                <w:rFonts w:hint="eastAsia" w:ascii="宋体" w:hAnsi="宋体" w:eastAsia="宋体" w:cs="宋体"/>
                <w:i w:val="0"/>
                <w:iCs w:val="0"/>
                <w:color w:val="000000"/>
                <w:sz w:val="20"/>
                <w:szCs w:val="20"/>
                <w:u w:val="none"/>
              </w:rPr>
            </w:pPr>
          </w:p>
        </w:tc>
        <w:tc>
          <w:tcPr>
            <w:tcW w:w="1507" w:type="dxa"/>
            <w:tcBorders>
              <w:top w:val="single" w:color="000000" w:sz="4" w:space="0"/>
              <w:left w:val="single" w:color="000000" w:sz="4" w:space="0"/>
              <w:bottom w:val="single" w:color="000000" w:sz="4" w:space="0"/>
              <w:right w:val="single" w:color="000000" w:sz="4" w:space="0"/>
            </w:tcBorders>
            <w:shd w:val="clear" w:color="auto" w:fill="DDD9C4"/>
            <w:vAlign w:val="center"/>
          </w:tcPr>
          <w:p w14:paraId="30B42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服务器与平台软件</w:t>
            </w:r>
          </w:p>
        </w:tc>
        <w:tc>
          <w:tcPr>
            <w:tcW w:w="6735" w:type="dxa"/>
            <w:tcBorders>
              <w:top w:val="single" w:color="000000" w:sz="4" w:space="0"/>
              <w:left w:val="single" w:color="000000" w:sz="4" w:space="0"/>
              <w:bottom w:val="single" w:color="000000" w:sz="4" w:space="0"/>
              <w:right w:val="single" w:color="000000" w:sz="4" w:space="0"/>
            </w:tcBorders>
            <w:shd w:val="clear" w:color="auto" w:fill="DDD9C4"/>
            <w:vAlign w:val="center"/>
          </w:tcPr>
          <w:p w14:paraId="3FD27341">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修改前</w:t>
            </w:r>
          </w:p>
        </w:tc>
        <w:tc>
          <w:tcPr>
            <w:tcW w:w="4857" w:type="dxa"/>
            <w:tcBorders>
              <w:top w:val="single" w:color="000000" w:sz="4" w:space="0"/>
              <w:left w:val="single" w:color="000000" w:sz="4" w:space="0"/>
              <w:bottom w:val="single" w:color="000000" w:sz="4" w:space="0"/>
              <w:right w:val="single" w:color="000000" w:sz="4" w:space="0"/>
            </w:tcBorders>
            <w:shd w:val="clear" w:color="auto" w:fill="DDD9C4"/>
            <w:vAlign w:val="center"/>
          </w:tcPr>
          <w:p w14:paraId="30C67A91">
            <w:pPr>
              <w:jc w:val="both"/>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4BAA4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86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2652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3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操作系统</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B5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性：麒麟操作系统通过多方面有效保障系统的安全性，包括增强的身份认证、细粒度的自主访问控制、多策略融合的强制访问控制、主动标记的执行控制机制、管理员分权机制、多级安全机制、完整性保护机制、可信启动、可信度量、可信软件栈、安全管控软件、安全管理软件、安全控制中心、安全加固软件、安全审计、网络安全、数据加密、数据备份、客体重用、沙箱保护机制和国密算法支持等安全机制，提供全新升级的安全中心、文件保护箱和日志查看器等安全套件，可有效防止病毒、木马入侵，加强了数据的安全性保提高了系统运行环境的安全性以及保证了违规操作的不可抵赖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身份认证：身份认证是银河麒麟操作系统的主要安全机制之一，身份认证必须准确鉴别用户的身份，以便为访问控制和安全审计打下坚实的基础。银河麒麟操作系统提供用户UID 唯一性保护功能，确保系统遗留用户的文件的安全隔离；提供用户密码强度的检查方案、多种密码算法支持，为系统账户安全提供安全保障。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国密算法支持：银河麒麟操作系统的国密算法模块包括内核算法模块、OpenSSL 模块、PAM 模块和Kysec模块。银河麒麟操作系统内核算法模块实现了一套通用的密码算法框架，对算法进行统一管理，并提供算法接口供其他模块使用，支持SM2、SM3 和SM4 算法；OpenSSL 模块是软件包，支持SM2 密钥对生成、SM2 加解密、SM2 签名验签、SM2 密钥交换、SM3 和SM4 算法；PAM 模块向系统提供认证服务，支持SM3 算法，对用户口令进行摘要计算，并以摘要值的形式完成用户口令的存储和校验；Kysec 模块主要实现应用来安装控制、应用执行控制、内核模块保护、文件保护、分区加密、文件系统加密和安全通信等安全功能，支持SM3 算法，对全盘文件进行摘要计算，以摘要值的形式完成文件特征存储及文件完整性的校验。</w:t>
            </w:r>
          </w:p>
        </w:tc>
        <w:tc>
          <w:tcPr>
            <w:tcW w:w="4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1FAF">
            <w:pPr>
              <w:widowControl/>
              <w:jc w:val="left"/>
              <w:textAlignment w:val="center"/>
              <w:rPr>
                <w:rFonts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国密算法支持：国密算法模块包括内核算法模块、</w:t>
            </w:r>
            <w:r>
              <w:rPr>
                <w:rFonts w:ascii="宋体" w:hAnsi="宋体" w:eastAsia="宋体" w:cs="宋体"/>
                <w:color w:val="000000"/>
                <w:kern w:val="0"/>
                <w:sz w:val="20"/>
                <w:szCs w:val="20"/>
                <w:highlight w:val="none"/>
                <w:lang w:bidi="ar"/>
              </w:rPr>
              <w:t>OpenSSL 模块、PAM 模块和Kysec模块。操作系统内核算法模块实现了一套通用的密码算法框架，对算法进行统一管理，并提供算法接口供其他模块使用，支持SM2、SM3 和SM4 算法；OpenSSL 模块是软件包，支持SM2 密钥对生成、SM2 加解密、SM2 签名验签、SM2 密钥交换、SM3 和SM4 算法；PAM 模块向系统提供认证服务，支持SM3 算法，对用户口令进行摘要计算，并以摘要值的形式完成用户口令的存储和校验；Kysec 模块主要实现应用来安装</w:t>
            </w:r>
            <w:r>
              <w:rPr>
                <w:rFonts w:hint="eastAsia" w:ascii="宋体" w:hAnsi="宋体" w:eastAsia="宋体" w:cs="宋体"/>
                <w:color w:val="000000"/>
                <w:kern w:val="0"/>
                <w:sz w:val="20"/>
                <w:szCs w:val="20"/>
                <w:highlight w:val="none"/>
                <w:lang w:bidi="ar"/>
              </w:rPr>
              <w:t>控制、应用执行控制、内核模块保护、文件保护、分区加密、文件系统加密和安全通信等安全功能，支持</w:t>
            </w:r>
            <w:r>
              <w:rPr>
                <w:rFonts w:ascii="宋体" w:hAnsi="宋体" w:eastAsia="宋体" w:cs="宋体"/>
                <w:color w:val="000000"/>
                <w:kern w:val="0"/>
                <w:sz w:val="20"/>
                <w:szCs w:val="20"/>
                <w:highlight w:val="none"/>
                <w:lang w:bidi="ar"/>
              </w:rPr>
              <w:t xml:space="preserve">SM3 算法，对全盘文件进行摘要计算，以摘要值的形式完成文件特征存储及文件完整性的校验。 </w:t>
            </w:r>
          </w:p>
          <w:p w14:paraId="5AC9AC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highlight w:val="none"/>
                <w:lang w:bidi="ar"/>
              </w:rPr>
              <w:t>安全性：通过多方面有效保障系统的安全性，包括增强的身份认证、细粒度的自主访问控制、多策略融合的强制访问控制、主动标记的执行控制机制、管理员分权机制、多级安全机制、完整性保护机制、可信启动、可信度量、可信软件栈、安全管控软件、安全管理软件、安全控制中心、安全加固软件、安全审计、网络安全、数据加密、数据备份、客体重用、沙箱保护机制和国密算法支持等安全机制，提供全新升级的安全中心、文件保护箱和日志查看器等安全套件，可有效防止病毒、木马入侵，加强了数据的安全性保护</w:t>
            </w:r>
          </w:p>
        </w:tc>
      </w:tr>
      <w:tr w14:paraId="29A2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865"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26AA1BB8">
            <w:pPr>
              <w:jc w:val="right"/>
              <w:rPr>
                <w:rFonts w:hint="eastAsia" w:ascii="宋体" w:hAnsi="宋体" w:eastAsia="宋体" w:cs="宋体"/>
                <w:i w:val="0"/>
                <w:iCs w:val="0"/>
                <w:color w:val="000000"/>
                <w:sz w:val="20"/>
                <w:szCs w:val="20"/>
                <w:u w:val="none"/>
              </w:rPr>
            </w:pPr>
          </w:p>
        </w:tc>
        <w:tc>
          <w:tcPr>
            <w:tcW w:w="1507"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4A034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服务器与平台软件</w:t>
            </w:r>
          </w:p>
        </w:tc>
        <w:tc>
          <w:tcPr>
            <w:tcW w:w="6735"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4AD339A2">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修改前</w:t>
            </w:r>
          </w:p>
        </w:tc>
        <w:tc>
          <w:tcPr>
            <w:tcW w:w="4857"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23618CC0">
            <w:pPr>
              <w:jc w:val="both"/>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3263A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86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E826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5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34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数据库</w:t>
            </w:r>
          </w:p>
        </w:tc>
        <w:tc>
          <w:tcPr>
            <w:tcW w:w="6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4DE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6"/>
                <w:lang w:val="en-US" w:eastAsia="zh-CN" w:bidi="ar"/>
              </w:rPr>
              <w:t>金仓数据库管理系统</w:t>
            </w:r>
            <w:r>
              <w:rPr>
                <w:rStyle w:val="6"/>
                <w:lang w:val="en-US" w:eastAsia="zh-CN" w:bidi="ar"/>
              </w:rPr>
              <w:br w:type="textWrapping"/>
            </w:r>
            <w:r>
              <w:rPr>
                <w:rStyle w:val="6"/>
                <w:lang w:val="en-US" w:eastAsia="zh-CN" w:bidi="ar"/>
              </w:rPr>
              <w:t>纵深防御，确保安全:KingbaseES是国内首个通过商用密码二级认证的数据厂商。作为国内安全等级最高（同时通过公安部安全四级与EAL4+、中国国家信息安全产品认证、网络关键设备和网络安全专用产品证书）的数据库系统，在保障用户数据安全方面，KingbaseES 提供了丰富的安全策略、同时还进行了多项安全性增强改进</w:t>
            </w:r>
            <w:r>
              <w:rPr>
                <w:rStyle w:val="6"/>
                <w:lang w:val="en-US" w:eastAsia="zh-CN" w:bidi="ar"/>
              </w:rPr>
              <w:br w:type="textWrapping"/>
            </w:r>
            <w:r>
              <w:rPr>
                <w:rStyle w:val="6"/>
                <w:lang w:val="en-US" w:eastAsia="zh-CN" w:bidi="ar"/>
              </w:rPr>
              <w:t>高度容错，稳定可靠:针对企业级关键业务应用的可持续服务需求，KingbaseES提供可在电力、金融、电信等核心业务系统中久经考验的容错功能体系，通过如数据备份、恢复、同步复制、多数据副本等高可用技术，确保数据库7</w:t>
            </w:r>
            <w:r>
              <w:rPr>
                <w:rFonts w:ascii="Wingdings 2" w:hAnsi="Wingdings 2" w:eastAsia="Wingdings 2" w:cs="Wingdings 2"/>
                <w:i w:val="0"/>
                <w:iCs w:val="0"/>
                <w:color w:val="000000"/>
                <w:kern w:val="0"/>
                <w:sz w:val="20"/>
                <w:szCs w:val="20"/>
                <w:u w:val="none"/>
                <w:lang w:val="en-US" w:eastAsia="zh-CN" w:bidi="ar"/>
              </w:rPr>
              <w:t></w:t>
            </w:r>
            <w:r>
              <w:rPr>
                <w:rStyle w:val="6"/>
                <w:lang w:val="en-US" w:eastAsia="zh-CN" w:bidi="ar"/>
              </w:rPr>
              <w:t>24小时不间断服务，实现99.999%的系统可用性</w:t>
            </w:r>
            <w:r>
              <w:rPr>
                <w:rStyle w:val="6"/>
                <w:lang w:val="en-US" w:eastAsia="zh-CN" w:bidi="ar"/>
              </w:rPr>
              <w:br w:type="textWrapping"/>
            </w:r>
            <w:r>
              <w:rPr>
                <w:rStyle w:val="6"/>
                <w:lang w:val="en-US" w:eastAsia="zh-CN" w:bidi="ar"/>
              </w:rPr>
              <w:t>应用迁移，无损高效:针对从异构数据库将应用迁移到KingbaseES的场景，KingbaseES一方面通过迁移评估工具实现异构数据库兼容性评估、迁移转换，降低数据库的迁移成本和周期，另一方面通过智能便捷的数据迁移工具，实现无损、快速数据迁移；另外，KingbaseES 还提供高度符合标准（如SQL、ODBC、JDBC等）、并兼容主流数据库（如Oracle、SQL Server、MySQL等）语法的服务器端、客户端应用开发接口，可最大限度地降低迁移成本。不但如此，KingbaseES 迁移工具能够自动选择迁移失败的对象，实现再次迁移。</w:t>
            </w:r>
            <w:r>
              <w:rPr>
                <w:rStyle w:val="6"/>
                <w:lang w:val="en-US" w:eastAsia="zh-CN" w:bidi="ar"/>
              </w:rPr>
              <w:br w:type="textWrapping"/>
            </w:r>
            <w:r>
              <w:rPr>
                <w:rStyle w:val="6"/>
                <w:lang w:val="en-US" w:eastAsia="zh-CN" w:bidi="ar"/>
              </w:rPr>
              <w:t>人性设计，简单易用:KingbaseES 版本提供了全新设计的集成开发环境（IDE）和集成管理平台，能有效降低数据库开发人员和管理人员的使用成本，提高开发和管理效率。</w:t>
            </w:r>
          </w:p>
        </w:tc>
        <w:tc>
          <w:tcPr>
            <w:tcW w:w="4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2601C">
            <w:pPr>
              <w:widowControl/>
              <w:jc w:val="left"/>
              <w:textAlignment w:val="center"/>
              <w:rPr>
                <w:rStyle w:val="6"/>
                <w:rFonts w:hint="default"/>
                <w:highlight w:val="none"/>
                <w:lang w:bidi="ar"/>
              </w:rPr>
            </w:pPr>
            <w:r>
              <w:rPr>
                <w:rStyle w:val="6"/>
                <w:highlight w:val="none"/>
                <w:lang w:bidi="ar"/>
              </w:rPr>
              <w:t>一、基本要求</w:t>
            </w:r>
          </w:p>
          <w:p w14:paraId="1D661F9D">
            <w:pPr>
              <w:widowControl/>
              <w:jc w:val="left"/>
              <w:textAlignment w:val="center"/>
              <w:rPr>
                <w:rStyle w:val="6"/>
                <w:rFonts w:hint="default"/>
                <w:highlight w:val="none"/>
                <w:lang w:bidi="ar"/>
              </w:rPr>
            </w:pPr>
            <w:r>
              <w:rPr>
                <w:rStyle w:val="6"/>
                <w:rFonts w:hint="default"/>
                <w:highlight w:val="none"/>
                <w:lang w:bidi="ar"/>
              </w:rPr>
              <w:t>1.硬件支持</w:t>
            </w:r>
          </w:p>
          <w:p w14:paraId="75F906A4">
            <w:pPr>
              <w:widowControl/>
              <w:jc w:val="left"/>
              <w:textAlignment w:val="center"/>
              <w:rPr>
                <w:rStyle w:val="6"/>
                <w:rFonts w:hint="default"/>
                <w:highlight w:val="none"/>
                <w:lang w:bidi="ar"/>
              </w:rPr>
            </w:pPr>
            <w:r>
              <w:rPr>
                <w:rStyle w:val="6"/>
                <w:highlight w:val="none"/>
                <w:lang w:bidi="ar"/>
              </w:rPr>
              <w:t>可运行在国内外主流软硬件平台上，支持</w:t>
            </w:r>
            <w:r>
              <w:rPr>
                <w:rStyle w:val="6"/>
                <w:rFonts w:hint="default"/>
                <w:highlight w:val="none"/>
                <w:lang w:bidi="ar"/>
              </w:rPr>
              <w:t>x86架构的PC Server。并支持鲲鹏、飞腾、龙芯、申威、兆芯、海光等国产CPU。</w:t>
            </w:r>
          </w:p>
          <w:p w14:paraId="72518C9D">
            <w:pPr>
              <w:widowControl/>
              <w:jc w:val="left"/>
              <w:textAlignment w:val="center"/>
              <w:rPr>
                <w:rStyle w:val="6"/>
                <w:rFonts w:hint="default"/>
                <w:highlight w:val="none"/>
                <w:lang w:bidi="ar"/>
              </w:rPr>
            </w:pPr>
            <w:r>
              <w:rPr>
                <w:rStyle w:val="6"/>
                <w:rFonts w:hint="default"/>
                <w:highlight w:val="none"/>
                <w:lang w:bidi="ar"/>
              </w:rPr>
              <w:t>2.操作系统</w:t>
            </w:r>
          </w:p>
          <w:p w14:paraId="1E301C67">
            <w:pPr>
              <w:widowControl/>
              <w:jc w:val="left"/>
              <w:textAlignment w:val="center"/>
              <w:rPr>
                <w:rStyle w:val="6"/>
                <w:rFonts w:hint="default"/>
                <w:highlight w:val="none"/>
                <w:lang w:bidi="ar"/>
              </w:rPr>
            </w:pPr>
            <w:r>
              <w:rPr>
                <w:rStyle w:val="6"/>
                <w:highlight w:val="none"/>
                <w:lang w:bidi="ar"/>
              </w:rPr>
              <w:t>支持</w:t>
            </w:r>
            <w:r>
              <w:rPr>
                <w:rStyle w:val="6"/>
                <w:rFonts w:hint="default"/>
                <w:highlight w:val="none"/>
                <w:lang w:bidi="ar"/>
              </w:rPr>
              <w:t>Linux主流操作系统。并支持国产操作系统。</w:t>
            </w:r>
          </w:p>
          <w:p w14:paraId="4A249C59">
            <w:pPr>
              <w:widowControl/>
              <w:jc w:val="left"/>
              <w:textAlignment w:val="center"/>
              <w:rPr>
                <w:rStyle w:val="6"/>
                <w:rFonts w:hint="default"/>
                <w:highlight w:val="none"/>
                <w:lang w:bidi="ar"/>
              </w:rPr>
            </w:pPr>
            <w:r>
              <w:rPr>
                <w:rStyle w:val="6"/>
                <w:rFonts w:hint="default"/>
                <w:highlight w:val="none"/>
                <w:lang w:bidi="ar"/>
              </w:rPr>
              <w:t>3.云平台支持</w:t>
            </w:r>
          </w:p>
          <w:p w14:paraId="14D698EE">
            <w:pPr>
              <w:widowControl/>
              <w:jc w:val="left"/>
              <w:textAlignment w:val="center"/>
              <w:rPr>
                <w:rStyle w:val="6"/>
                <w:rFonts w:hint="default"/>
                <w:highlight w:val="none"/>
                <w:lang w:bidi="ar"/>
              </w:rPr>
            </w:pPr>
            <w:r>
              <w:rPr>
                <w:rStyle w:val="6"/>
                <w:highlight w:val="none"/>
                <w:lang w:bidi="ar"/>
              </w:rPr>
              <w:t>支持云平台的快速部署和配置；提供可集成到云平台的数据库管理工具；</w:t>
            </w:r>
          </w:p>
          <w:p w14:paraId="7F805D54">
            <w:pPr>
              <w:widowControl/>
              <w:jc w:val="left"/>
              <w:textAlignment w:val="center"/>
              <w:rPr>
                <w:rStyle w:val="6"/>
                <w:rFonts w:hint="default"/>
                <w:highlight w:val="none"/>
                <w:lang w:bidi="ar"/>
              </w:rPr>
            </w:pPr>
            <w:r>
              <w:rPr>
                <w:rStyle w:val="6"/>
                <w:highlight w:val="none"/>
                <w:lang w:bidi="ar"/>
              </w:rPr>
              <w:t>处理，必须完全支持如</w:t>
            </w:r>
            <w:r>
              <w:rPr>
                <w:rStyle w:val="6"/>
                <w:rFonts w:hint="default"/>
                <w:highlight w:val="none"/>
                <w:lang w:bidi="ar"/>
              </w:rPr>
              <w:t>Unicode，GB2312、GB18030、GBK、EUC_CN、EUC_JP、EUC_KR等常用字符集，支持UTF-8、UTF-16等国际编码</w:t>
            </w:r>
          </w:p>
          <w:p w14:paraId="5C851CFE">
            <w:pPr>
              <w:widowControl/>
              <w:jc w:val="left"/>
              <w:textAlignment w:val="center"/>
              <w:rPr>
                <w:rStyle w:val="6"/>
                <w:rFonts w:hint="default"/>
                <w:highlight w:val="none"/>
                <w:lang w:bidi="ar"/>
              </w:rPr>
            </w:pPr>
            <w:r>
              <w:rPr>
                <w:rStyle w:val="6"/>
                <w:rFonts w:hint="default"/>
                <w:highlight w:val="none"/>
                <w:lang w:bidi="ar"/>
              </w:rPr>
              <w:t>5.多种SQL标准</w:t>
            </w:r>
          </w:p>
          <w:p w14:paraId="67ED1BD0">
            <w:pPr>
              <w:widowControl/>
              <w:jc w:val="left"/>
              <w:textAlignment w:val="center"/>
              <w:rPr>
                <w:rStyle w:val="6"/>
                <w:rFonts w:hint="default"/>
                <w:highlight w:val="none"/>
                <w:lang w:bidi="ar"/>
              </w:rPr>
            </w:pPr>
            <w:r>
              <w:rPr>
                <w:rStyle w:val="6"/>
                <w:highlight w:val="none"/>
                <w:lang w:bidi="ar"/>
              </w:rPr>
              <w:t>支持当前主流的数据库技术标准，如：</w:t>
            </w:r>
            <w:r>
              <w:rPr>
                <w:rStyle w:val="6"/>
                <w:rFonts w:hint="default"/>
                <w:highlight w:val="none"/>
                <w:lang w:bidi="ar"/>
              </w:rPr>
              <w:t>ANSI/ISO SQL89、ANSI/ISO SQL92、ANSI/ISO SQL99、ODBC、X/Open、CLI、JDBC等。</w:t>
            </w:r>
          </w:p>
          <w:p w14:paraId="40C55757">
            <w:pPr>
              <w:widowControl/>
              <w:jc w:val="left"/>
              <w:textAlignment w:val="center"/>
              <w:rPr>
                <w:rStyle w:val="6"/>
                <w:rFonts w:hint="default"/>
                <w:highlight w:val="none"/>
                <w:lang w:bidi="ar"/>
              </w:rPr>
            </w:pPr>
            <w:r>
              <w:rPr>
                <w:rStyle w:val="6"/>
                <w:rFonts w:hint="default"/>
                <w:highlight w:val="none"/>
                <w:lang w:bidi="ar"/>
              </w:rPr>
              <w:t>6.多种开发接口</w:t>
            </w:r>
          </w:p>
          <w:p w14:paraId="6AD235C2">
            <w:pPr>
              <w:widowControl/>
              <w:jc w:val="left"/>
              <w:textAlignment w:val="center"/>
              <w:rPr>
                <w:rStyle w:val="6"/>
                <w:rFonts w:hint="default"/>
                <w:highlight w:val="none"/>
                <w:lang w:bidi="ar"/>
              </w:rPr>
            </w:pPr>
            <w:r>
              <w:rPr>
                <w:rStyle w:val="6"/>
                <w:highlight w:val="none"/>
                <w:lang w:bidi="ar"/>
              </w:rPr>
              <w:t>支持多种开发接口及技术框架。</w:t>
            </w:r>
          </w:p>
          <w:p w14:paraId="07E4CB1F">
            <w:pPr>
              <w:widowControl/>
              <w:jc w:val="left"/>
              <w:textAlignment w:val="center"/>
              <w:rPr>
                <w:rStyle w:val="6"/>
                <w:rFonts w:hint="default"/>
                <w:highlight w:val="none"/>
                <w:lang w:bidi="ar"/>
              </w:rPr>
            </w:pPr>
          </w:p>
          <w:p w14:paraId="783AB601">
            <w:pPr>
              <w:widowControl/>
              <w:jc w:val="left"/>
              <w:textAlignment w:val="center"/>
              <w:rPr>
                <w:rStyle w:val="6"/>
                <w:rFonts w:hint="default"/>
                <w:highlight w:val="none"/>
                <w:lang w:bidi="ar"/>
              </w:rPr>
            </w:pPr>
            <w:r>
              <w:rPr>
                <w:rStyle w:val="6"/>
                <w:highlight w:val="none"/>
                <w:lang w:bidi="ar"/>
              </w:rPr>
              <w:t>二、性能要求</w:t>
            </w:r>
          </w:p>
          <w:p w14:paraId="365C6D92">
            <w:pPr>
              <w:widowControl/>
              <w:jc w:val="left"/>
              <w:textAlignment w:val="center"/>
              <w:rPr>
                <w:rStyle w:val="6"/>
                <w:rFonts w:hint="default"/>
                <w:highlight w:val="none"/>
                <w:lang w:bidi="ar"/>
              </w:rPr>
            </w:pPr>
            <w:r>
              <w:rPr>
                <w:rStyle w:val="6"/>
                <w:rFonts w:hint="default"/>
                <w:highlight w:val="none"/>
                <w:lang w:bidi="ar"/>
              </w:rPr>
              <w:t>1.数据处理能力</w:t>
            </w:r>
          </w:p>
          <w:p w14:paraId="62C419AA">
            <w:pPr>
              <w:widowControl/>
              <w:jc w:val="left"/>
              <w:textAlignment w:val="center"/>
              <w:rPr>
                <w:rStyle w:val="6"/>
                <w:rFonts w:hint="default"/>
                <w:highlight w:val="none"/>
                <w:lang w:bidi="ar"/>
              </w:rPr>
            </w:pPr>
            <w:r>
              <w:rPr>
                <w:rStyle w:val="6"/>
                <w:highlight w:val="none"/>
                <w:lang w:bidi="ar"/>
              </w:rPr>
              <w:t>数据库容量最大支持</w:t>
            </w:r>
            <w:r>
              <w:rPr>
                <w:rStyle w:val="6"/>
                <w:rFonts w:hint="default"/>
                <w:highlight w:val="none"/>
                <w:lang w:bidi="ar"/>
              </w:rPr>
              <w:t>PB级以上</w:t>
            </w:r>
          </w:p>
          <w:p w14:paraId="662AAC47">
            <w:pPr>
              <w:widowControl/>
              <w:jc w:val="left"/>
              <w:textAlignment w:val="center"/>
              <w:rPr>
                <w:rStyle w:val="6"/>
                <w:rFonts w:hint="default"/>
                <w:highlight w:val="none"/>
                <w:lang w:bidi="ar"/>
              </w:rPr>
            </w:pPr>
            <w:r>
              <w:rPr>
                <w:rStyle w:val="6"/>
                <w:rFonts w:hint="default"/>
                <w:highlight w:val="none"/>
                <w:lang w:bidi="ar"/>
              </w:rPr>
              <w:t>2.并行</w:t>
            </w:r>
          </w:p>
          <w:p w14:paraId="6839C184">
            <w:pPr>
              <w:widowControl/>
              <w:jc w:val="left"/>
              <w:textAlignment w:val="center"/>
              <w:rPr>
                <w:rStyle w:val="6"/>
                <w:rFonts w:hint="default"/>
                <w:highlight w:val="none"/>
                <w:lang w:bidi="ar"/>
              </w:rPr>
            </w:pPr>
            <w:r>
              <w:rPr>
                <w:rStyle w:val="6"/>
                <w:highlight w:val="none"/>
                <w:lang w:bidi="ar"/>
              </w:rPr>
              <w:t>支持多种场景下的并行处理。包括：并行数据加载、表扫描并行处理、表连接并行处理、聚集的并行处理、存储过程的并行执行、逻辑备份</w:t>
            </w:r>
            <w:r>
              <w:rPr>
                <w:rStyle w:val="6"/>
                <w:rFonts w:hint="default"/>
                <w:highlight w:val="none"/>
                <w:lang w:bidi="ar"/>
              </w:rPr>
              <w:t>/恢复的并行处理、物理备份/恢复的并行处理。</w:t>
            </w:r>
          </w:p>
          <w:p w14:paraId="6C3F3B2D">
            <w:pPr>
              <w:widowControl/>
              <w:jc w:val="left"/>
              <w:textAlignment w:val="center"/>
              <w:rPr>
                <w:rStyle w:val="6"/>
                <w:rFonts w:hint="default"/>
                <w:highlight w:val="none"/>
                <w:lang w:bidi="ar"/>
              </w:rPr>
            </w:pPr>
            <w:r>
              <w:rPr>
                <w:rStyle w:val="6"/>
                <w:rFonts w:hint="default"/>
                <w:highlight w:val="none"/>
                <w:lang w:bidi="ar"/>
              </w:rPr>
              <w:t>3.缓存</w:t>
            </w:r>
          </w:p>
          <w:p w14:paraId="477D278C">
            <w:pPr>
              <w:widowControl/>
              <w:jc w:val="left"/>
              <w:textAlignment w:val="center"/>
              <w:rPr>
                <w:rStyle w:val="6"/>
                <w:rFonts w:hint="default"/>
                <w:highlight w:val="none"/>
                <w:lang w:bidi="ar"/>
              </w:rPr>
            </w:pPr>
            <w:r>
              <w:rPr>
                <w:rStyle w:val="6"/>
                <w:highlight w:val="none"/>
                <w:lang w:bidi="ar"/>
              </w:rPr>
              <w:t>支持执行计划缓存</w:t>
            </w:r>
          </w:p>
          <w:p w14:paraId="51CCF6A3">
            <w:pPr>
              <w:widowControl/>
              <w:jc w:val="left"/>
              <w:textAlignment w:val="center"/>
              <w:rPr>
                <w:rStyle w:val="6"/>
                <w:rFonts w:hint="default"/>
                <w:highlight w:val="none"/>
                <w:lang w:bidi="ar"/>
              </w:rPr>
            </w:pPr>
            <w:r>
              <w:rPr>
                <w:rStyle w:val="6"/>
                <w:rFonts w:hint="default"/>
                <w:highlight w:val="none"/>
                <w:lang w:bidi="ar"/>
              </w:rPr>
              <w:t>4.事务处理机制</w:t>
            </w:r>
          </w:p>
          <w:p w14:paraId="6A6B0195">
            <w:pPr>
              <w:widowControl/>
              <w:jc w:val="left"/>
              <w:textAlignment w:val="center"/>
              <w:rPr>
                <w:rStyle w:val="6"/>
                <w:rFonts w:hint="default"/>
                <w:highlight w:val="none"/>
                <w:lang w:bidi="ar"/>
              </w:rPr>
            </w:pPr>
            <w:r>
              <w:rPr>
                <w:rStyle w:val="6"/>
                <w:highlight w:val="none"/>
                <w:lang w:bidi="ar"/>
              </w:rPr>
              <w:t>具备完善的事务处理机制，支持高并发场景下的事务处理；支持数据库的库、表、页、行、键等多级别的锁机制。</w:t>
            </w:r>
          </w:p>
          <w:p w14:paraId="2922DED5">
            <w:pPr>
              <w:widowControl/>
              <w:jc w:val="left"/>
              <w:textAlignment w:val="center"/>
              <w:rPr>
                <w:rStyle w:val="6"/>
                <w:rFonts w:hint="default"/>
                <w:highlight w:val="none"/>
                <w:lang w:bidi="ar"/>
              </w:rPr>
            </w:pPr>
            <w:r>
              <w:rPr>
                <w:rStyle w:val="6"/>
                <w:rFonts w:hint="default"/>
                <w:highlight w:val="none"/>
                <w:lang w:bidi="ar"/>
              </w:rPr>
              <w:t>5.数据类型</w:t>
            </w:r>
          </w:p>
          <w:p w14:paraId="36A3A551">
            <w:pPr>
              <w:widowControl/>
              <w:jc w:val="left"/>
              <w:textAlignment w:val="center"/>
              <w:rPr>
                <w:rStyle w:val="6"/>
                <w:rFonts w:hint="default"/>
                <w:highlight w:val="none"/>
                <w:lang w:bidi="ar"/>
              </w:rPr>
            </w:pPr>
            <w:r>
              <w:rPr>
                <w:rStyle w:val="6"/>
                <w:highlight w:val="none"/>
                <w:lang w:bidi="ar"/>
              </w:rPr>
              <w:t>支持整型、浮点数值类型；支持定长、变长字符串类型；支持时间、日期、时间戳类型；支持</w:t>
            </w:r>
            <w:r>
              <w:rPr>
                <w:rStyle w:val="6"/>
                <w:rFonts w:hint="default"/>
                <w:highlight w:val="none"/>
                <w:lang w:bidi="ar"/>
              </w:rPr>
              <w:t>BLOB、CLOB大对象数据类型；支持XML类型，支持对象数据库和多媒体数据的存储管理；支持枚举类型，范围类型，数组类型；支持UUID类型，支持json/jsonb类型。</w:t>
            </w:r>
          </w:p>
          <w:p w14:paraId="3FEEAC19">
            <w:pPr>
              <w:widowControl/>
              <w:jc w:val="left"/>
              <w:textAlignment w:val="center"/>
              <w:rPr>
                <w:rStyle w:val="6"/>
                <w:rFonts w:hint="default"/>
                <w:highlight w:val="none"/>
                <w:lang w:bidi="ar"/>
              </w:rPr>
            </w:pPr>
            <w:r>
              <w:rPr>
                <w:rStyle w:val="6"/>
                <w:rFonts w:hint="default"/>
                <w:highlight w:val="none"/>
                <w:lang w:bidi="ar"/>
              </w:rPr>
              <w:t>6.内置函数</w:t>
            </w:r>
          </w:p>
          <w:p w14:paraId="2654A603">
            <w:pPr>
              <w:widowControl/>
              <w:jc w:val="left"/>
              <w:textAlignment w:val="center"/>
              <w:rPr>
                <w:rStyle w:val="6"/>
                <w:rFonts w:hint="default"/>
                <w:highlight w:val="none"/>
                <w:lang w:bidi="ar"/>
              </w:rPr>
            </w:pPr>
            <w:r>
              <w:rPr>
                <w:rStyle w:val="6"/>
                <w:highlight w:val="none"/>
                <w:lang w:bidi="ar"/>
              </w:rPr>
              <w:t>提供丰富的内置函数。包括：数学函数、字符串函数、日期时间函数、聚集函数、大对象函数、</w:t>
            </w:r>
            <w:r>
              <w:rPr>
                <w:rStyle w:val="6"/>
                <w:rFonts w:hint="default"/>
                <w:highlight w:val="none"/>
                <w:lang w:bidi="ar"/>
              </w:rPr>
              <w:t>XML处理函数等</w:t>
            </w:r>
          </w:p>
          <w:p w14:paraId="6D4C6657">
            <w:pPr>
              <w:widowControl/>
              <w:jc w:val="left"/>
              <w:textAlignment w:val="center"/>
              <w:rPr>
                <w:rStyle w:val="6"/>
                <w:rFonts w:hint="default"/>
                <w:highlight w:val="none"/>
                <w:lang w:bidi="ar"/>
              </w:rPr>
            </w:pPr>
            <w:r>
              <w:rPr>
                <w:rStyle w:val="6"/>
                <w:highlight w:val="none"/>
                <w:lang w:bidi="ar"/>
              </w:rPr>
              <w:t>支持用户根据自己的业务要求定义专有数据类型、操作符和函数，满足用户专有数据格式的存储和计算要求。</w:t>
            </w:r>
          </w:p>
          <w:p w14:paraId="1161751B">
            <w:pPr>
              <w:widowControl/>
              <w:jc w:val="left"/>
              <w:textAlignment w:val="center"/>
              <w:rPr>
                <w:rStyle w:val="6"/>
                <w:rFonts w:hint="default"/>
                <w:highlight w:val="none"/>
                <w:lang w:bidi="ar"/>
              </w:rPr>
            </w:pPr>
            <w:r>
              <w:rPr>
                <w:rStyle w:val="6"/>
                <w:rFonts w:hint="default"/>
                <w:highlight w:val="none"/>
                <w:lang w:bidi="ar"/>
              </w:rPr>
              <w:t>7.表</w:t>
            </w:r>
          </w:p>
          <w:p w14:paraId="7D1072A4">
            <w:pPr>
              <w:widowControl/>
              <w:jc w:val="left"/>
              <w:textAlignment w:val="center"/>
              <w:rPr>
                <w:rStyle w:val="6"/>
                <w:rFonts w:hint="default"/>
                <w:highlight w:val="none"/>
                <w:lang w:bidi="ar"/>
              </w:rPr>
            </w:pPr>
            <w:r>
              <w:rPr>
                <w:rStyle w:val="6"/>
                <w:highlight w:val="none"/>
                <w:lang w:bidi="ar"/>
              </w:rPr>
              <w:t>支持主键约束、唯一约束、外键约束、检查约束、默认约束。支持外键约束中的</w:t>
            </w:r>
            <w:r>
              <w:rPr>
                <w:rStyle w:val="6"/>
                <w:rFonts w:hint="default"/>
                <w:highlight w:val="none"/>
                <w:lang w:bidi="ar"/>
              </w:rPr>
              <w:t>MATCH/ON DELETE/ON UPDATE子句。支持约束的延迟。</w:t>
            </w:r>
          </w:p>
          <w:p w14:paraId="583FEF2C">
            <w:pPr>
              <w:widowControl/>
              <w:jc w:val="left"/>
              <w:textAlignment w:val="center"/>
              <w:rPr>
                <w:rStyle w:val="6"/>
                <w:rFonts w:hint="default"/>
                <w:highlight w:val="none"/>
                <w:lang w:bidi="ar"/>
              </w:rPr>
            </w:pPr>
            <w:r>
              <w:rPr>
                <w:rStyle w:val="6"/>
                <w:rFonts w:hint="default"/>
                <w:highlight w:val="none"/>
                <w:lang w:bidi="ar"/>
              </w:rPr>
              <w:t>8.视图</w:t>
            </w:r>
          </w:p>
          <w:p w14:paraId="3400217E">
            <w:pPr>
              <w:widowControl/>
              <w:jc w:val="left"/>
              <w:textAlignment w:val="center"/>
              <w:rPr>
                <w:rStyle w:val="6"/>
                <w:rFonts w:hint="default"/>
                <w:highlight w:val="none"/>
                <w:lang w:bidi="ar"/>
              </w:rPr>
            </w:pPr>
            <w:r>
              <w:rPr>
                <w:rStyle w:val="6"/>
                <w:highlight w:val="none"/>
                <w:lang w:bidi="ar"/>
              </w:rPr>
              <w:t>支持</w:t>
            </w:r>
            <w:r>
              <w:rPr>
                <w:rStyle w:val="6"/>
                <w:rFonts w:hint="default"/>
                <w:highlight w:val="none"/>
                <w:lang w:bidi="ar"/>
              </w:rPr>
              <w:t>force view、物化视图的更新。</w:t>
            </w:r>
          </w:p>
          <w:p w14:paraId="4D654B8D">
            <w:pPr>
              <w:widowControl/>
              <w:jc w:val="left"/>
              <w:textAlignment w:val="center"/>
              <w:rPr>
                <w:rStyle w:val="6"/>
                <w:rFonts w:hint="default"/>
                <w:highlight w:val="none"/>
                <w:lang w:bidi="ar"/>
              </w:rPr>
            </w:pPr>
            <w:r>
              <w:rPr>
                <w:rStyle w:val="6"/>
                <w:rFonts w:hint="default"/>
                <w:highlight w:val="none"/>
                <w:lang w:bidi="ar"/>
              </w:rPr>
              <w:t>9.索引</w:t>
            </w:r>
          </w:p>
          <w:p w14:paraId="4CED00D8">
            <w:pPr>
              <w:widowControl/>
              <w:jc w:val="left"/>
              <w:textAlignment w:val="center"/>
              <w:rPr>
                <w:rStyle w:val="6"/>
                <w:rFonts w:hint="default"/>
                <w:highlight w:val="none"/>
                <w:lang w:bidi="ar"/>
              </w:rPr>
            </w:pPr>
            <w:r>
              <w:rPr>
                <w:rStyle w:val="6"/>
                <w:highlight w:val="none"/>
                <w:lang w:bidi="ar"/>
              </w:rPr>
              <w:t>支持完备的索引机制，包括</w:t>
            </w:r>
            <w:r>
              <w:rPr>
                <w:rStyle w:val="6"/>
                <w:rFonts w:hint="default"/>
                <w:highlight w:val="none"/>
                <w:lang w:bidi="ar"/>
              </w:rPr>
              <w:t>HASH索引、多维数据索引、函数索引、GIN索引、唯一索引、非唯一索引、聚簇索引、非聚簇索引、支持BRIN索引，支持BLOOM索引，支持组合索引，支持用户定义的索引策略，支持索引重建功能。支持多种复杂环境下的查询处理技术：基于代价的查询优化、SQL语句转换、执行计划选择、代价评估模型等,具备高效的数据访问能力支持快速的即席查询处理能力。</w:t>
            </w:r>
          </w:p>
          <w:p w14:paraId="2FACCDEE">
            <w:pPr>
              <w:widowControl/>
              <w:jc w:val="left"/>
              <w:textAlignment w:val="center"/>
              <w:rPr>
                <w:rStyle w:val="6"/>
                <w:rFonts w:hint="default"/>
                <w:highlight w:val="none"/>
                <w:lang w:bidi="ar"/>
              </w:rPr>
            </w:pPr>
            <w:r>
              <w:rPr>
                <w:rStyle w:val="6"/>
                <w:rFonts w:hint="default"/>
                <w:highlight w:val="none"/>
                <w:lang w:bidi="ar"/>
              </w:rPr>
              <w:t>10.触发器</w:t>
            </w:r>
          </w:p>
          <w:p w14:paraId="69A5F4CE">
            <w:pPr>
              <w:widowControl/>
              <w:jc w:val="left"/>
              <w:textAlignment w:val="center"/>
              <w:rPr>
                <w:rStyle w:val="6"/>
                <w:rFonts w:hint="default"/>
                <w:highlight w:val="none"/>
                <w:lang w:bidi="ar"/>
              </w:rPr>
            </w:pPr>
            <w:r>
              <w:rPr>
                <w:rStyle w:val="6"/>
                <w:highlight w:val="none"/>
                <w:lang w:bidi="ar"/>
              </w:rPr>
              <w:t>触发器支持语句执行前、执行后和可替换型三种方式；支持</w:t>
            </w:r>
            <w:r>
              <w:rPr>
                <w:rStyle w:val="6"/>
                <w:rFonts w:hint="default"/>
                <w:highlight w:val="none"/>
                <w:lang w:bidi="ar"/>
              </w:rPr>
              <w:t>instead of 触发器，支持行级触发器，支持事件触发器。</w:t>
            </w:r>
          </w:p>
          <w:p w14:paraId="67340D30">
            <w:pPr>
              <w:widowControl/>
              <w:jc w:val="left"/>
              <w:textAlignment w:val="center"/>
              <w:rPr>
                <w:rStyle w:val="6"/>
                <w:rFonts w:hint="default"/>
                <w:highlight w:val="none"/>
                <w:lang w:bidi="ar"/>
              </w:rPr>
            </w:pPr>
            <w:r>
              <w:rPr>
                <w:rStyle w:val="6"/>
                <w:rFonts w:hint="default"/>
                <w:highlight w:val="none"/>
                <w:lang w:bidi="ar"/>
              </w:rPr>
              <w:t>11.PL过程语言支持</w:t>
            </w:r>
          </w:p>
          <w:p w14:paraId="247E58B5">
            <w:pPr>
              <w:widowControl/>
              <w:jc w:val="left"/>
              <w:textAlignment w:val="center"/>
              <w:rPr>
                <w:rStyle w:val="6"/>
                <w:rFonts w:hint="default"/>
                <w:highlight w:val="none"/>
                <w:lang w:bidi="ar"/>
              </w:rPr>
            </w:pPr>
            <w:r>
              <w:rPr>
                <w:rStyle w:val="6"/>
                <w:highlight w:val="none"/>
                <w:lang w:bidi="ar"/>
              </w:rPr>
              <w:t>支持</w:t>
            </w:r>
            <w:r>
              <w:rPr>
                <w:rStyle w:val="6"/>
                <w:rFonts w:hint="default"/>
                <w:highlight w:val="none"/>
                <w:lang w:bidi="ar"/>
              </w:rPr>
              <w:t>PL/SQL、PL/C；支持自定义类型、存储过程、函数、匿名块；支持对存储过程的调试。</w:t>
            </w:r>
          </w:p>
          <w:p w14:paraId="6ACC01B6">
            <w:pPr>
              <w:widowControl/>
              <w:jc w:val="left"/>
              <w:textAlignment w:val="center"/>
              <w:rPr>
                <w:rStyle w:val="6"/>
                <w:rFonts w:hint="default"/>
                <w:highlight w:val="none"/>
                <w:lang w:bidi="ar"/>
              </w:rPr>
            </w:pPr>
            <w:r>
              <w:rPr>
                <w:rStyle w:val="6"/>
                <w:rFonts w:hint="default"/>
                <w:highlight w:val="none"/>
                <w:lang w:bidi="ar"/>
              </w:rPr>
              <w:t>12.数据访问</w:t>
            </w:r>
          </w:p>
          <w:p w14:paraId="4EF0DA33">
            <w:pPr>
              <w:widowControl/>
              <w:jc w:val="left"/>
              <w:textAlignment w:val="center"/>
              <w:rPr>
                <w:rStyle w:val="6"/>
                <w:rFonts w:hint="default"/>
                <w:highlight w:val="none"/>
                <w:lang w:bidi="ar"/>
              </w:rPr>
            </w:pPr>
            <w:r>
              <w:rPr>
                <w:rStyle w:val="6"/>
                <w:highlight w:val="none"/>
                <w:lang w:bidi="ar"/>
              </w:rPr>
              <w:t>支持数据的查询、插入、合并、更新、删除；支持</w:t>
            </w:r>
            <w:r>
              <w:rPr>
                <w:rStyle w:val="6"/>
                <w:rFonts w:hint="default"/>
                <w:highlight w:val="none"/>
                <w:lang w:bidi="ar"/>
              </w:rPr>
              <w:t>connect by层次查询；支持WITH子句。</w:t>
            </w:r>
          </w:p>
          <w:p w14:paraId="674E22B4">
            <w:pPr>
              <w:widowControl/>
              <w:jc w:val="left"/>
              <w:textAlignment w:val="center"/>
              <w:rPr>
                <w:rStyle w:val="6"/>
                <w:rFonts w:hint="default"/>
                <w:highlight w:val="none"/>
                <w:lang w:bidi="ar"/>
              </w:rPr>
            </w:pPr>
            <w:r>
              <w:rPr>
                <w:rStyle w:val="6"/>
                <w:rFonts w:hint="default"/>
                <w:highlight w:val="none"/>
                <w:lang w:bidi="ar"/>
              </w:rPr>
              <w:t>13.外部数据访问</w:t>
            </w:r>
          </w:p>
          <w:p w14:paraId="5AD9B0B5">
            <w:pPr>
              <w:widowControl/>
              <w:jc w:val="left"/>
              <w:textAlignment w:val="center"/>
              <w:rPr>
                <w:rStyle w:val="6"/>
                <w:rFonts w:hint="default"/>
                <w:highlight w:val="none"/>
                <w:lang w:bidi="ar"/>
              </w:rPr>
            </w:pPr>
            <w:r>
              <w:rPr>
                <w:rStyle w:val="6"/>
                <w:highlight w:val="none"/>
                <w:lang w:bidi="ar"/>
              </w:rPr>
              <w:t>支持访问多种格式的数据文件</w:t>
            </w:r>
          </w:p>
          <w:p w14:paraId="0BBBDBCF">
            <w:pPr>
              <w:widowControl/>
              <w:jc w:val="left"/>
              <w:textAlignment w:val="center"/>
              <w:rPr>
                <w:rStyle w:val="6"/>
                <w:rFonts w:hint="default"/>
                <w:highlight w:val="none"/>
                <w:lang w:bidi="ar"/>
              </w:rPr>
            </w:pPr>
            <w:r>
              <w:rPr>
                <w:rStyle w:val="6"/>
                <w:highlight w:val="none"/>
                <w:lang w:bidi="ar"/>
              </w:rPr>
              <w:t>支持访问同构和异构数据库，实现数据查询和数据更新；</w:t>
            </w:r>
          </w:p>
          <w:p w14:paraId="1C08E96C">
            <w:pPr>
              <w:widowControl/>
              <w:jc w:val="left"/>
              <w:textAlignment w:val="center"/>
              <w:rPr>
                <w:rStyle w:val="6"/>
                <w:rFonts w:hint="default"/>
                <w:highlight w:val="none"/>
                <w:lang w:bidi="ar"/>
              </w:rPr>
            </w:pPr>
            <w:r>
              <w:rPr>
                <w:rStyle w:val="6"/>
                <w:rFonts w:hint="default"/>
                <w:highlight w:val="none"/>
                <w:lang w:bidi="ar"/>
              </w:rPr>
              <w:t>14.全文检索</w:t>
            </w:r>
          </w:p>
          <w:p w14:paraId="7DBA87FB">
            <w:pPr>
              <w:widowControl/>
              <w:jc w:val="left"/>
              <w:textAlignment w:val="center"/>
              <w:rPr>
                <w:rStyle w:val="6"/>
                <w:rFonts w:hint="default"/>
                <w:highlight w:val="none"/>
                <w:lang w:bidi="ar"/>
              </w:rPr>
            </w:pPr>
            <w:r>
              <w:rPr>
                <w:rStyle w:val="6"/>
                <w:highlight w:val="none"/>
                <w:lang w:bidi="ar"/>
              </w:rPr>
              <w:t>支持对表中的增量数据无需重建索引，应用程序无需中断。支持对中文、英文进行分词检索、支持全文索引的增量更新。</w:t>
            </w:r>
          </w:p>
          <w:p w14:paraId="45E5C478">
            <w:pPr>
              <w:widowControl/>
              <w:jc w:val="left"/>
              <w:textAlignment w:val="center"/>
              <w:rPr>
                <w:rStyle w:val="6"/>
                <w:rFonts w:hint="default"/>
                <w:highlight w:val="none"/>
                <w:lang w:bidi="ar"/>
              </w:rPr>
            </w:pPr>
            <w:r>
              <w:rPr>
                <w:rStyle w:val="6"/>
                <w:rFonts w:hint="default"/>
                <w:highlight w:val="none"/>
                <w:lang w:bidi="ar"/>
              </w:rPr>
              <w:t>15.OLAP</w:t>
            </w:r>
          </w:p>
          <w:p w14:paraId="2DA6F675">
            <w:pPr>
              <w:widowControl/>
              <w:jc w:val="left"/>
              <w:textAlignment w:val="center"/>
              <w:rPr>
                <w:rStyle w:val="6"/>
                <w:rFonts w:hint="default"/>
                <w:highlight w:val="none"/>
                <w:lang w:bidi="ar"/>
              </w:rPr>
            </w:pPr>
            <w:r>
              <w:rPr>
                <w:rStyle w:val="6"/>
                <w:highlight w:val="none"/>
                <w:lang w:bidi="ar"/>
              </w:rPr>
              <w:t>支持常用的窗口函数。</w:t>
            </w:r>
          </w:p>
          <w:p w14:paraId="16E2D986">
            <w:pPr>
              <w:widowControl/>
              <w:jc w:val="left"/>
              <w:textAlignment w:val="center"/>
              <w:rPr>
                <w:rStyle w:val="6"/>
                <w:rFonts w:hint="default"/>
                <w:highlight w:val="none"/>
                <w:lang w:bidi="ar"/>
              </w:rPr>
            </w:pPr>
            <w:r>
              <w:rPr>
                <w:rStyle w:val="6"/>
                <w:rFonts w:hint="default"/>
                <w:highlight w:val="none"/>
                <w:lang w:bidi="ar"/>
              </w:rPr>
              <w:t>16.迁移</w:t>
            </w:r>
          </w:p>
          <w:p w14:paraId="5D0D1EA6">
            <w:pPr>
              <w:widowControl/>
              <w:jc w:val="left"/>
              <w:textAlignment w:val="center"/>
              <w:rPr>
                <w:rStyle w:val="6"/>
                <w:rFonts w:hint="default"/>
                <w:highlight w:val="none"/>
                <w:lang w:bidi="ar"/>
              </w:rPr>
            </w:pPr>
            <w:r>
              <w:rPr>
                <w:rStyle w:val="6"/>
                <w:highlight w:val="none"/>
                <w:lang w:bidi="ar"/>
              </w:rPr>
              <w:t>支持与异构数据库之间数据的平滑迁移；支持应用系统到异种数据库平台上的平滑移植，提供数据和应用移植的图形化集成工具。</w:t>
            </w:r>
          </w:p>
          <w:p w14:paraId="452F6096">
            <w:pPr>
              <w:widowControl/>
              <w:jc w:val="left"/>
              <w:textAlignment w:val="center"/>
              <w:rPr>
                <w:rStyle w:val="6"/>
                <w:rFonts w:hint="default"/>
                <w:highlight w:val="none"/>
                <w:lang w:bidi="ar"/>
              </w:rPr>
            </w:pPr>
            <w:r>
              <w:rPr>
                <w:rStyle w:val="6"/>
                <w:rFonts w:hint="default"/>
                <w:highlight w:val="none"/>
                <w:lang w:bidi="ar"/>
              </w:rPr>
              <w:t>17.存储管理</w:t>
            </w:r>
          </w:p>
          <w:p w14:paraId="510F0C5A">
            <w:pPr>
              <w:widowControl/>
              <w:jc w:val="left"/>
              <w:textAlignment w:val="center"/>
              <w:rPr>
                <w:rStyle w:val="6"/>
                <w:rFonts w:hint="default"/>
                <w:highlight w:val="none"/>
                <w:lang w:bidi="ar"/>
              </w:rPr>
            </w:pPr>
            <w:r>
              <w:rPr>
                <w:rStyle w:val="6"/>
                <w:highlight w:val="none"/>
                <w:lang w:bidi="ar"/>
              </w:rPr>
              <w:t>支持数据库、表空间级别的高级存储管理功能；支持数据库、表空间等对象的存储自动化管理功能；支持存储的自动增长、与收缩，无须用户干预。支持事务日志的压缩</w:t>
            </w:r>
          </w:p>
          <w:p w14:paraId="7FDE7EC6">
            <w:pPr>
              <w:widowControl/>
              <w:jc w:val="left"/>
              <w:textAlignment w:val="center"/>
              <w:rPr>
                <w:rStyle w:val="6"/>
                <w:rFonts w:hint="default"/>
                <w:highlight w:val="none"/>
                <w:lang w:bidi="ar"/>
              </w:rPr>
            </w:pPr>
            <w:r>
              <w:rPr>
                <w:rStyle w:val="6"/>
                <w:rFonts w:hint="default"/>
                <w:highlight w:val="none"/>
                <w:lang w:bidi="ar"/>
              </w:rPr>
              <w:t>18.内存管理</w:t>
            </w:r>
          </w:p>
          <w:p w14:paraId="361364DA">
            <w:pPr>
              <w:widowControl/>
              <w:jc w:val="left"/>
              <w:textAlignment w:val="center"/>
              <w:rPr>
                <w:rStyle w:val="6"/>
                <w:rFonts w:hint="default"/>
                <w:highlight w:val="none"/>
                <w:lang w:bidi="ar"/>
              </w:rPr>
            </w:pPr>
            <w:r>
              <w:rPr>
                <w:rStyle w:val="6"/>
                <w:highlight w:val="none"/>
                <w:lang w:bidi="ar"/>
              </w:rPr>
              <w:t>支持数据库核心参数根据系统负载情况自动调整；支持内存缓冲区、排序内存、并发控制内存等内存对象之间的动态分配，更好的适应负载的动态变化，同时简化</w:t>
            </w:r>
            <w:r>
              <w:rPr>
                <w:rStyle w:val="6"/>
                <w:rFonts w:hint="default"/>
                <w:highlight w:val="none"/>
                <w:lang w:bidi="ar"/>
              </w:rPr>
              <w:t>DBA的日常优化工作量。</w:t>
            </w:r>
          </w:p>
          <w:p w14:paraId="7EF96696">
            <w:pPr>
              <w:widowControl/>
              <w:jc w:val="left"/>
              <w:textAlignment w:val="center"/>
              <w:rPr>
                <w:rStyle w:val="6"/>
                <w:rFonts w:hint="default"/>
                <w:highlight w:val="none"/>
                <w:lang w:bidi="ar"/>
              </w:rPr>
            </w:pPr>
          </w:p>
          <w:p w14:paraId="370D0C3C">
            <w:pPr>
              <w:widowControl/>
              <w:jc w:val="left"/>
              <w:textAlignment w:val="center"/>
              <w:rPr>
                <w:rStyle w:val="6"/>
                <w:rFonts w:hint="default"/>
                <w:highlight w:val="none"/>
                <w:lang w:bidi="ar"/>
              </w:rPr>
            </w:pPr>
            <w:r>
              <w:rPr>
                <w:rStyle w:val="6"/>
                <w:highlight w:val="none"/>
                <w:lang w:bidi="ar"/>
              </w:rPr>
              <w:t>三、高可用</w:t>
            </w:r>
          </w:p>
          <w:p w14:paraId="2B4B50DE">
            <w:pPr>
              <w:widowControl/>
              <w:jc w:val="left"/>
              <w:textAlignment w:val="center"/>
              <w:rPr>
                <w:rStyle w:val="6"/>
                <w:rFonts w:hint="default"/>
                <w:highlight w:val="none"/>
                <w:lang w:bidi="ar"/>
              </w:rPr>
            </w:pPr>
            <w:r>
              <w:rPr>
                <w:rStyle w:val="6"/>
                <w:rFonts w:hint="default"/>
                <w:highlight w:val="none"/>
                <w:lang w:bidi="ar"/>
              </w:rPr>
              <w:t>1.集群</w:t>
            </w:r>
          </w:p>
          <w:p w14:paraId="3356BF97">
            <w:pPr>
              <w:widowControl/>
              <w:jc w:val="left"/>
              <w:textAlignment w:val="center"/>
              <w:rPr>
                <w:rStyle w:val="6"/>
                <w:rFonts w:hint="default"/>
                <w:highlight w:val="none"/>
                <w:lang w:bidi="ar"/>
              </w:rPr>
            </w:pPr>
            <w:r>
              <w:rPr>
                <w:rStyle w:val="6"/>
                <w:highlight w:val="none"/>
                <w:lang w:bidi="ar"/>
              </w:rPr>
              <w:t>支持主备集群、共享存储集群以及读写分离集群架构部署。</w:t>
            </w:r>
          </w:p>
          <w:p w14:paraId="77AB930D">
            <w:pPr>
              <w:widowControl/>
              <w:jc w:val="left"/>
              <w:textAlignment w:val="center"/>
              <w:rPr>
                <w:rStyle w:val="6"/>
                <w:rFonts w:hint="default"/>
                <w:highlight w:val="none"/>
                <w:lang w:bidi="ar"/>
              </w:rPr>
            </w:pPr>
            <w:r>
              <w:rPr>
                <w:rStyle w:val="6"/>
                <w:highlight w:val="none"/>
                <w:lang w:bidi="ar"/>
              </w:rPr>
              <w:t>支持多节点集群功能，保证数据库的</w:t>
            </w:r>
            <w:r>
              <w:rPr>
                <w:rStyle w:val="6"/>
                <w:rFonts w:hint="default"/>
                <w:highlight w:val="none"/>
                <w:lang w:bidi="ar"/>
              </w:rPr>
              <w:t>7X24小时高可用性，集群节点之间可实现负载均衡。</w:t>
            </w:r>
          </w:p>
          <w:p w14:paraId="50F59E31">
            <w:pPr>
              <w:widowControl/>
              <w:jc w:val="left"/>
              <w:textAlignment w:val="center"/>
              <w:rPr>
                <w:rStyle w:val="6"/>
                <w:rFonts w:hint="default"/>
                <w:highlight w:val="none"/>
                <w:lang w:bidi="ar"/>
              </w:rPr>
            </w:pPr>
            <w:r>
              <w:rPr>
                <w:rStyle w:val="6"/>
                <w:highlight w:val="none"/>
                <w:lang w:bidi="ar"/>
              </w:rPr>
              <w:t>支持高可用模式数据库集群，可在线增加和删除节点；在数据库节点发生故障时，应用连接可自动切换到其它节点；支持读写分离集群，可通过客户端来实现读、写事务的自动分离，读事务支持在多节点备机执行，写事务在主机执行，减轻主机的负载，提高系统的并发能力。</w:t>
            </w:r>
          </w:p>
          <w:p w14:paraId="2341C13A">
            <w:pPr>
              <w:widowControl/>
              <w:jc w:val="left"/>
              <w:textAlignment w:val="center"/>
              <w:rPr>
                <w:rStyle w:val="6"/>
                <w:rFonts w:hint="default"/>
                <w:highlight w:val="none"/>
                <w:lang w:bidi="ar"/>
              </w:rPr>
            </w:pPr>
            <w:r>
              <w:rPr>
                <w:rStyle w:val="6"/>
                <w:rFonts w:hint="default"/>
                <w:highlight w:val="none"/>
                <w:lang w:bidi="ar"/>
              </w:rPr>
              <w:t>2.物理同步</w:t>
            </w:r>
          </w:p>
          <w:p w14:paraId="1F6CC3A0">
            <w:pPr>
              <w:widowControl/>
              <w:jc w:val="left"/>
              <w:textAlignment w:val="center"/>
              <w:rPr>
                <w:rStyle w:val="6"/>
                <w:rFonts w:hint="default"/>
                <w:highlight w:val="none"/>
                <w:lang w:bidi="ar"/>
              </w:rPr>
            </w:pPr>
            <w:r>
              <w:rPr>
                <w:rStyle w:val="6"/>
                <w:highlight w:val="none"/>
                <w:lang w:bidi="ar"/>
              </w:rPr>
              <w:t>支持同步模式（</w:t>
            </w:r>
            <w:r>
              <w:rPr>
                <w:rStyle w:val="6"/>
                <w:rFonts w:hint="default"/>
                <w:highlight w:val="none"/>
                <w:lang w:bidi="ar"/>
              </w:rPr>
              <w:t>SYNC）、异步模式（ASYNC）、级联模式。同步模式下支持3个以上个同步数据节点。</w:t>
            </w:r>
          </w:p>
          <w:p w14:paraId="2765F47B">
            <w:pPr>
              <w:widowControl/>
              <w:jc w:val="left"/>
              <w:textAlignment w:val="center"/>
              <w:rPr>
                <w:rStyle w:val="6"/>
                <w:rFonts w:hint="default"/>
                <w:highlight w:val="none"/>
                <w:lang w:bidi="ar"/>
              </w:rPr>
            </w:pPr>
            <w:r>
              <w:rPr>
                <w:rStyle w:val="6"/>
                <w:rFonts w:hint="default"/>
                <w:highlight w:val="none"/>
                <w:lang w:bidi="ar"/>
              </w:rPr>
              <w:t>3.逻辑同步</w:t>
            </w:r>
          </w:p>
          <w:p w14:paraId="451E9A35">
            <w:pPr>
              <w:widowControl/>
              <w:jc w:val="left"/>
              <w:textAlignment w:val="center"/>
              <w:rPr>
                <w:rStyle w:val="6"/>
                <w:rFonts w:hint="default"/>
                <w:highlight w:val="none"/>
                <w:lang w:bidi="ar"/>
              </w:rPr>
            </w:pPr>
            <w:r>
              <w:rPr>
                <w:rStyle w:val="6"/>
                <w:highlight w:val="none"/>
                <w:lang w:bidi="ar"/>
              </w:rPr>
              <w:t>支持数据同步；支持断点续传。</w:t>
            </w:r>
          </w:p>
          <w:p w14:paraId="04E38029">
            <w:pPr>
              <w:widowControl/>
              <w:jc w:val="left"/>
              <w:textAlignment w:val="center"/>
              <w:rPr>
                <w:rStyle w:val="6"/>
                <w:rFonts w:hint="default"/>
                <w:highlight w:val="none"/>
                <w:lang w:bidi="ar"/>
              </w:rPr>
            </w:pPr>
            <w:r>
              <w:rPr>
                <w:rStyle w:val="6"/>
                <w:rFonts w:hint="default"/>
                <w:highlight w:val="none"/>
                <w:lang w:bidi="ar"/>
              </w:rPr>
              <w:t>4.镜像</w:t>
            </w:r>
          </w:p>
          <w:p w14:paraId="4247A575">
            <w:pPr>
              <w:widowControl/>
              <w:jc w:val="left"/>
              <w:textAlignment w:val="center"/>
              <w:rPr>
                <w:rStyle w:val="6"/>
                <w:rFonts w:hint="default"/>
                <w:highlight w:val="none"/>
                <w:lang w:bidi="ar"/>
              </w:rPr>
            </w:pPr>
            <w:r>
              <w:rPr>
                <w:rStyle w:val="6"/>
                <w:highlight w:val="none"/>
                <w:lang w:bidi="ar"/>
              </w:rPr>
              <w:t>支持磁盘镜像</w:t>
            </w:r>
          </w:p>
          <w:p w14:paraId="643B0F50">
            <w:pPr>
              <w:widowControl/>
              <w:jc w:val="left"/>
              <w:textAlignment w:val="center"/>
              <w:rPr>
                <w:rStyle w:val="6"/>
                <w:rFonts w:hint="default"/>
                <w:highlight w:val="none"/>
                <w:lang w:bidi="ar"/>
              </w:rPr>
            </w:pPr>
            <w:r>
              <w:rPr>
                <w:rStyle w:val="6"/>
                <w:rFonts w:hint="default"/>
                <w:highlight w:val="none"/>
                <w:lang w:bidi="ar"/>
              </w:rPr>
              <w:t>5.备份恢复</w:t>
            </w:r>
          </w:p>
          <w:p w14:paraId="5C2ACA35">
            <w:pPr>
              <w:widowControl/>
              <w:jc w:val="left"/>
              <w:textAlignment w:val="center"/>
              <w:rPr>
                <w:rStyle w:val="6"/>
                <w:rFonts w:hint="default"/>
                <w:highlight w:val="none"/>
                <w:lang w:bidi="ar"/>
              </w:rPr>
            </w:pPr>
            <w:r>
              <w:rPr>
                <w:rStyle w:val="6"/>
                <w:highlight w:val="none"/>
                <w:lang w:bidi="ar"/>
              </w:rPr>
              <w:t>支持物理备份恢复</w:t>
            </w:r>
            <w:r>
              <w:rPr>
                <w:rStyle w:val="6"/>
                <w:rFonts w:hint="default"/>
                <w:highlight w:val="none"/>
                <w:lang w:bidi="ar"/>
              </w:rPr>
              <w:t>(完全、增量)，支持基于时间点的恢复，支持控制文件多副本机制；支持逻辑备份恢复(库级、模式级、表级)。支持备份压缩。</w:t>
            </w:r>
          </w:p>
          <w:p w14:paraId="769DD137">
            <w:pPr>
              <w:widowControl/>
              <w:jc w:val="left"/>
              <w:textAlignment w:val="center"/>
              <w:rPr>
                <w:rStyle w:val="6"/>
                <w:rFonts w:hint="default"/>
                <w:highlight w:val="none"/>
                <w:lang w:bidi="ar"/>
              </w:rPr>
            </w:pPr>
          </w:p>
          <w:p w14:paraId="79852D8A">
            <w:pPr>
              <w:widowControl/>
              <w:jc w:val="left"/>
              <w:textAlignment w:val="center"/>
              <w:rPr>
                <w:rStyle w:val="6"/>
                <w:rFonts w:hint="default"/>
                <w:highlight w:val="none"/>
                <w:lang w:bidi="ar"/>
              </w:rPr>
            </w:pPr>
            <w:r>
              <w:rPr>
                <w:rStyle w:val="6"/>
                <w:highlight w:val="none"/>
                <w:lang w:bidi="ar"/>
              </w:rPr>
              <w:t>四、安全性</w:t>
            </w:r>
          </w:p>
          <w:p w14:paraId="34DF15DC">
            <w:pPr>
              <w:widowControl/>
              <w:jc w:val="left"/>
              <w:textAlignment w:val="center"/>
              <w:rPr>
                <w:rStyle w:val="6"/>
                <w:rFonts w:hint="default"/>
                <w:highlight w:val="none"/>
                <w:lang w:bidi="ar"/>
              </w:rPr>
            </w:pPr>
            <w:r>
              <w:rPr>
                <w:rStyle w:val="6"/>
                <w:rFonts w:hint="default"/>
                <w:highlight w:val="none"/>
                <w:lang w:bidi="ar"/>
              </w:rPr>
              <w:t>1.身份认证</w:t>
            </w:r>
          </w:p>
          <w:p w14:paraId="402BBFE5">
            <w:pPr>
              <w:widowControl/>
              <w:jc w:val="left"/>
              <w:textAlignment w:val="center"/>
              <w:rPr>
                <w:rStyle w:val="6"/>
                <w:rFonts w:hint="default"/>
                <w:highlight w:val="none"/>
                <w:lang w:bidi="ar"/>
              </w:rPr>
            </w:pPr>
            <w:r>
              <w:rPr>
                <w:rStyle w:val="6"/>
                <w:highlight w:val="none"/>
                <w:lang w:bidi="ar"/>
              </w:rPr>
              <w:t>支持设置口令复杂度，可以从口令长度、是否包含字母、数字、特殊字符等方面对口令复杂度进行设置。支持对用户资源进行限制，包括口令有效期、会话空闲期、最大会话数等方面进行限制。可以锁定和解锁用户。</w:t>
            </w:r>
          </w:p>
          <w:p w14:paraId="19EA6CAE">
            <w:pPr>
              <w:widowControl/>
              <w:jc w:val="left"/>
              <w:textAlignment w:val="center"/>
              <w:rPr>
                <w:rStyle w:val="6"/>
                <w:rFonts w:hint="default"/>
                <w:highlight w:val="none"/>
                <w:lang w:bidi="ar"/>
              </w:rPr>
            </w:pPr>
            <w:r>
              <w:rPr>
                <w:rStyle w:val="6"/>
                <w:rFonts w:hint="default"/>
                <w:highlight w:val="none"/>
                <w:lang w:bidi="ar"/>
              </w:rPr>
              <w:t>2.访问控制</w:t>
            </w:r>
          </w:p>
          <w:p w14:paraId="67E0C42A">
            <w:pPr>
              <w:widowControl/>
              <w:jc w:val="left"/>
              <w:textAlignment w:val="center"/>
              <w:rPr>
                <w:rStyle w:val="6"/>
                <w:rFonts w:hint="default"/>
                <w:highlight w:val="none"/>
                <w:lang w:bidi="ar"/>
              </w:rPr>
            </w:pPr>
            <w:r>
              <w:rPr>
                <w:rStyle w:val="6"/>
                <w:highlight w:val="none"/>
                <w:lang w:bidi="ar"/>
              </w:rPr>
              <w:t>支持自定义用户角色。支持授予、回收、转授权限，支持级联回收权限。支持授予创建表、视图、存储过程</w:t>
            </w:r>
            <w:r>
              <w:rPr>
                <w:rStyle w:val="6"/>
                <w:rFonts w:hint="default"/>
                <w:highlight w:val="none"/>
                <w:lang w:bidi="ar"/>
              </w:rPr>
              <w:t>/函数、触发器、索引、序列、用户、角色等对象的系统权限。支持授予数据库对象上的INSERT、UPDATE、DELETE、SELECT、EXECUTE等对象权限，对象权限最小粒度到列级。</w:t>
            </w:r>
          </w:p>
          <w:p w14:paraId="006F0D1E">
            <w:pPr>
              <w:widowControl/>
              <w:jc w:val="left"/>
              <w:textAlignment w:val="center"/>
              <w:rPr>
                <w:rStyle w:val="6"/>
                <w:rFonts w:hint="default"/>
                <w:highlight w:val="none"/>
                <w:lang w:bidi="ar"/>
              </w:rPr>
            </w:pPr>
            <w:r>
              <w:rPr>
                <w:rStyle w:val="6"/>
                <w:rFonts w:hint="default"/>
                <w:highlight w:val="none"/>
                <w:lang w:bidi="ar"/>
              </w:rPr>
              <w:t>3.传输加密</w:t>
            </w:r>
          </w:p>
          <w:p w14:paraId="36647748">
            <w:pPr>
              <w:widowControl/>
              <w:jc w:val="left"/>
              <w:textAlignment w:val="center"/>
              <w:rPr>
                <w:rStyle w:val="6"/>
                <w:rFonts w:hint="default"/>
                <w:highlight w:val="none"/>
                <w:lang w:bidi="ar"/>
              </w:rPr>
            </w:pPr>
            <w:r>
              <w:rPr>
                <w:rStyle w:val="6"/>
                <w:highlight w:val="none"/>
                <w:lang w:bidi="ar"/>
              </w:rPr>
              <w:t>支持基于</w:t>
            </w:r>
            <w:r>
              <w:rPr>
                <w:rStyle w:val="6"/>
                <w:rFonts w:hint="default"/>
                <w:highlight w:val="none"/>
                <w:lang w:bidi="ar"/>
              </w:rPr>
              <w:t>SSL传输加密；支持加密证书、OpenSSL；支持国标安全证书、支持JDBC、ODBC数据访问接口的传输加密；</w:t>
            </w:r>
          </w:p>
          <w:p w14:paraId="47F6070A">
            <w:pPr>
              <w:widowControl/>
              <w:jc w:val="left"/>
              <w:textAlignment w:val="center"/>
              <w:rPr>
                <w:rStyle w:val="6"/>
                <w:rFonts w:hint="default"/>
                <w:highlight w:val="none"/>
                <w:lang w:bidi="ar"/>
              </w:rPr>
            </w:pPr>
            <w:r>
              <w:rPr>
                <w:rStyle w:val="6"/>
                <w:rFonts w:hint="default"/>
                <w:highlight w:val="none"/>
                <w:lang w:bidi="ar"/>
              </w:rPr>
              <w:t>4.资源配额</w:t>
            </w:r>
          </w:p>
          <w:p w14:paraId="2594693D">
            <w:pPr>
              <w:widowControl/>
              <w:jc w:val="left"/>
              <w:textAlignment w:val="center"/>
              <w:rPr>
                <w:rStyle w:val="6"/>
                <w:rFonts w:hint="default"/>
                <w:highlight w:val="none"/>
                <w:lang w:bidi="ar"/>
              </w:rPr>
            </w:pPr>
            <w:r>
              <w:rPr>
                <w:rStyle w:val="6"/>
                <w:highlight w:val="none"/>
                <w:lang w:bidi="ar"/>
              </w:rPr>
              <w:t>支持对用户的安全属性与可访问资源进行限制，并提供对表的空间配额限制，防范各类恶意抢占资源的攻击。</w:t>
            </w:r>
          </w:p>
          <w:p w14:paraId="6233CCA4">
            <w:pPr>
              <w:widowControl/>
              <w:jc w:val="left"/>
              <w:textAlignment w:val="center"/>
              <w:rPr>
                <w:rStyle w:val="6"/>
                <w:rFonts w:hint="default"/>
                <w:highlight w:val="none"/>
                <w:lang w:bidi="ar"/>
              </w:rPr>
            </w:pPr>
            <w:r>
              <w:rPr>
                <w:rStyle w:val="6"/>
                <w:rFonts w:hint="default"/>
                <w:highlight w:val="none"/>
                <w:lang w:bidi="ar"/>
              </w:rPr>
              <w:t>5.日志与审计</w:t>
            </w:r>
          </w:p>
          <w:p w14:paraId="7F68791A">
            <w:pPr>
              <w:widowControl/>
              <w:jc w:val="left"/>
              <w:textAlignment w:val="center"/>
              <w:rPr>
                <w:rStyle w:val="6"/>
                <w:rFonts w:hint="default"/>
                <w:highlight w:val="none"/>
                <w:lang w:bidi="ar"/>
              </w:rPr>
            </w:pPr>
            <w:r>
              <w:rPr>
                <w:rStyle w:val="6"/>
                <w:highlight w:val="none"/>
                <w:lang w:bidi="ar"/>
              </w:rPr>
              <w:t>支持会话级日志跟踪，支持对会话所执行的</w:t>
            </w:r>
            <w:r>
              <w:rPr>
                <w:rStyle w:val="6"/>
                <w:rFonts w:hint="default"/>
                <w:highlight w:val="none"/>
                <w:lang w:bidi="ar"/>
              </w:rPr>
              <w:t>SQL语句，CPU耗时，执行计划，使用内存等内容进行记录系统日志。</w:t>
            </w:r>
          </w:p>
          <w:p w14:paraId="04507922">
            <w:pPr>
              <w:widowControl/>
              <w:jc w:val="left"/>
              <w:textAlignment w:val="center"/>
              <w:rPr>
                <w:rStyle w:val="6"/>
                <w:rFonts w:hint="default"/>
                <w:highlight w:val="none"/>
                <w:lang w:bidi="ar"/>
              </w:rPr>
            </w:pPr>
          </w:p>
          <w:p w14:paraId="72C5CEAA">
            <w:pPr>
              <w:widowControl/>
              <w:jc w:val="left"/>
              <w:textAlignment w:val="center"/>
              <w:rPr>
                <w:rStyle w:val="6"/>
                <w:rFonts w:hint="default"/>
                <w:highlight w:val="none"/>
                <w:lang w:bidi="ar"/>
              </w:rPr>
            </w:pPr>
            <w:r>
              <w:rPr>
                <w:rStyle w:val="6"/>
                <w:highlight w:val="none"/>
                <w:lang w:bidi="ar"/>
              </w:rPr>
              <w:t>五、可维护性</w:t>
            </w:r>
          </w:p>
          <w:p w14:paraId="69A38B45">
            <w:pPr>
              <w:widowControl/>
              <w:jc w:val="left"/>
              <w:textAlignment w:val="center"/>
              <w:rPr>
                <w:rStyle w:val="6"/>
                <w:rFonts w:hint="default"/>
                <w:highlight w:val="none"/>
                <w:lang w:bidi="ar"/>
              </w:rPr>
            </w:pPr>
            <w:r>
              <w:rPr>
                <w:rStyle w:val="6"/>
                <w:rFonts w:hint="default"/>
                <w:highlight w:val="none"/>
                <w:lang w:bidi="ar"/>
              </w:rPr>
              <w:t>1.数据库对象管理</w:t>
            </w:r>
          </w:p>
          <w:p w14:paraId="0AD32A85">
            <w:pPr>
              <w:widowControl/>
              <w:jc w:val="left"/>
              <w:textAlignment w:val="center"/>
              <w:rPr>
                <w:rStyle w:val="6"/>
                <w:rFonts w:hint="default"/>
                <w:highlight w:val="none"/>
                <w:lang w:bidi="ar"/>
              </w:rPr>
            </w:pPr>
            <w:r>
              <w:rPr>
                <w:rStyle w:val="6"/>
                <w:highlight w:val="none"/>
                <w:lang w:bidi="ar"/>
              </w:rPr>
              <w:t>支持不同硬件平台和版本的数据库进行集中式的统一管理。完成诸如启停数据库、备份、恢复、建表、建用户、复制管理等数据库管理工作；支持数据库对象管理、支持数据库的集群配置管理。</w:t>
            </w:r>
          </w:p>
          <w:p w14:paraId="7BB65401">
            <w:pPr>
              <w:widowControl/>
              <w:jc w:val="left"/>
              <w:textAlignment w:val="center"/>
              <w:rPr>
                <w:rStyle w:val="6"/>
                <w:rFonts w:hint="default"/>
                <w:highlight w:val="none"/>
                <w:lang w:bidi="ar"/>
              </w:rPr>
            </w:pPr>
            <w:r>
              <w:rPr>
                <w:rStyle w:val="6"/>
                <w:rFonts w:hint="default"/>
                <w:highlight w:val="none"/>
                <w:lang w:bidi="ar"/>
              </w:rPr>
              <w:t>2.健康状态检查</w:t>
            </w:r>
          </w:p>
          <w:p w14:paraId="7FB4DAB3">
            <w:pPr>
              <w:widowControl/>
              <w:jc w:val="left"/>
              <w:textAlignment w:val="center"/>
              <w:rPr>
                <w:rStyle w:val="6"/>
                <w:rFonts w:hint="default"/>
                <w:highlight w:val="none"/>
                <w:lang w:bidi="ar"/>
              </w:rPr>
            </w:pPr>
            <w:r>
              <w:rPr>
                <w:rStyle w:val="6"/>
                <w:highlight w:val="none"/>
                <w:lang w:bidi="ar"/>
              </w:rPr>
              <w:t>支持对数据库系统进行健康状态检查，包括：物理存储的检查，包括数据文件、归档文件、日志文件、控制文件对象一致性检查，数据块、数据字典资源使用的检查，包括自动回收、长事务、连接百分比、磁盘、</w:t>
            </w:r>
            <w:r>
              <w:rPr>
                <w:rStyle w:val="6"/>
                <w:rFonts w:hint="default"/>
                <w:highlight w:val="none"/>
                <w:lang w:bidi="ar"/>
              </w:rPr>
              <w:t>IO、内存、CPU等系统负载情况数据库可用性检查，包括授权检测，版本检测运行状态检查，包括用户数量、锁等待、IO调度策略、网络是否可用</w:t>
            </w:r>
          </w:p>
          <w:p w14:paraId="5202912F">
            <w:pPr>
              <w:widowControl/>
              <w:jc w:val="left"/>
              <w:textAlignment w:val="center"/>
              <w:rPr>
                <w:rStyle w:val="6"/>
                <w:rFonts w:hint="default"/>
                <w:highlight w:val="none"/>
                <w:lang w:bidi="ar"/>
              </w:rPr>
            </w:pPr>
            <w:r>
              <w:rPr>
                <w:rStyle w:val="6"/>
                <w:rFonts w:hint="default"/>
                <w:highlight w:val="none"/>
                <w:lang w:bidi="ar"/>
              </w:rPr>
              <w:t>3.运行状态可视化分析</w:t>
            </w:r>
          </w:p>
          <w:p w14:paraId="0D6A94B4">
            <w:pPr>
              <w:widowControl/>
              <w:jc w:val="left"/>
              <w:textAlignment w:val="center"/>
              <w:rPr>
                <w:rStyle w:val="6"/>
                <w:rFonts w:hint="default"/>
                <w:highlight w:val="none"/>
                <w:lang w:bidi="ar"/>
              </w:rPr>
            </w:pPr>
            <w:r>
              <w:rPr>
                <w:rStyle w:val="6"/>
                <w:highlight w:val="none"/>
                <w:lang w:bidi="ar"/>
              </w:rPr>
              <w:t>支持对数据库系统的运行状态进行分析，并可实现可视化的展示，分析内容包括：数据传输、预编译比例、查询间隔、状态；连接占比、分库、分用户；会话（用户、主机、应用）；缓存检查点，文件检查点、间隔、活动状态；临时文件尺寸、数量、状态；最多次被等待的查询、等待次数最多的查询；查询（类型、数据库、持续时间、主机、时间）；查询（最慢、次数最多）；报错信息；</w:t>
            </w:r>
          </w:p>
          <w:p w14:paraId="2C7807BA">
            <w:pPr>
              <w:widowControl/>
              <w:jc w:val="left"/>
              <w:textAlignment w:val="center"/>
              <w:rPr>
                <w:rStyle w:val="6"/>
                <w:rFonts w:hint="default"/>
                <w:highlight w:val="none"/>
                <w:lang w:bidi="ar"/>
              </w:rPr>
            </w:pPr>
            <w:r>
              <w:rPr>
                <w:rStyle w:val="6"/>
                <w:rFonts w:hint="default"/>
                <w:highlight w:val="none"/>
                <w:lang w:bidi="ar"/>
              </w:rPr>
              <w:t>4.监控</w:t>
            </w:r>
          </w:p>
          <w:p w14:paraId="16E8B2C1">
            <w:pPr>
              <w:widowControl/>
              <w:jc w:val="left"/>
              <w:textAlignment w:val="center"/>
              <w:rPr>
                <w:rStyle w:val="6"/>
                <w:rFonts w:hint="default"/>
                <w:highlight w:val="none"/>
                <w:lang w:bidi="ar"/>
              </w:rPr>
            </w:pPr>
            <w:r>
              <w:rPr>
                <w:rStyle w:val="6"/>
                <w:highlight w:val="none"/>
                <w:lang w:bidi="ar"/>
              </w:rPr>
              <w:t>运行状态监控：缓存、内存、用户活动、连接、磁盘、提交、回滚、会话、锁；监控对象管理：监控对象的设置、指令下发；运行管理报告：监控报告、管理报告；系统参数设置：界面设置、收集项配置、告警配置</w:t>
            </w:r>
          </w:p>
          <w:p w14:paraId="7BEF920C">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Style w:val="6"/>
                <w:highlight w:val="none"/>
                <w:lang w:bidi="ar"/>
              </w:rPr>
              <w:t>支持数据库的联机维护功能。</w:t>
            </w:r>
          </w:p>
        </w:tc>
      </w:tr>
    </w:tbl>
    <w:p w14:paraId="6615FEE8">
      <w:pPr>
        <w:rPr>
          <w:rFonts w:hint="eastAsia" w:eastAsiaTheme="minorEastAsia"/>
          <w:lang w:val="en-US" w:eastAsia="zh-CN"/>
        </w:rPr>
      </w:pPr>
    </w:p>
    <w:p w14:paraId="28DE09DF">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2349"/>
        <w:gridCol w:w="5893"/>
        <w:gridCol w:w="4857"/>
      </w:tblGrid>
      <w:tr w14:paraId="41888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865"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4C167F3C">
            <w:pPr>
              <w:jc w:val="right"/>
              <w:rPr>
                <w:rFonts w:hint="eastAsia" w:ascii="宋体" w:hAnsi="宋体" w:eastAsia="宋体" w:cs="宋体"/>
                <w:i w:val="0"/>
                <w:iCs w:val="0"/>
                <w:color w:val="000000"/>
                <w:sz w:val="20"/>
                <w:szCs w:val="20"/>
                <w:u w:val="none"/>
              </w:rPr>
            </w:pPr>
          </w:p>
        </w:tc>
        <w:tc>
          <w:tcPr>
            <w:tcW w:w="2349"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3AA17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服务器与平台软件</w:t>
            </w:r>
          </w:p>
        </w:tc>
        <w:tc>
          <w:tcPr>
            <w:tcW w:w="5893"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3235764E">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修改前</w:t>
            </w:r>
          </w:p>
        </w:tc>
        <w:tc>
          <w:tcPr>
            <w:tcW w:w="4857"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0E5437C6">
            <w:pPr>
              <w:jc w:val="both"/>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30762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865"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C350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4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中间件</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438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TongWeb V7.0</w:t>
            </w:r>
          </w:p>
        </w:tc>
        <w:tc>
          <w:tcPr>
            <w:tcW w:w="4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F7D8">
            <w:pPr>
              <w:widowControl/>
              <w:jc w:val="left"/>
              <w:textAlignment w:val="center"/>
              <w:rPr>
                <w:rFonts w:hint="eastAsia"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一、功能要求</w:t>
            </w:r>
          </w:p>
          <w:p w14:paraId="1794B291">
            <w:pPr>
              <w:widowControl/>
              <w:jc w:val="left"/>
              <w:textAlignment w:val="center"/>
              <w:rPr>
                <w:rFonts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1</w:t>
            </w:r>
            <w:r>
              <w:rPr>
                <w:rFonts w:ascii="宋体" w:hAnsi="宋体" w:eastAsia="宋体" w:cs="宋体"/>
                <w:color w:val="000000"/>
                <w:kern w:val="0"/>
                <w:sz w:val="20"/>
                <w:szCs w:val="20"/>
                <w:highlight w:val="none"/>
                <w:lang w:bidi="ar"/>
              </w:rPr>
              <w:t>.</w:t>
            </w:r>
            <w:r>
              <w:rPr>
                <w:rFonts w:hint="eastAsia" w:ascii="宋体" w:hAnsi="宋体" w:eastAsia="宋体" w:cs="宋体"/>
                <w:color w:val="000000"/>
                <w:kern w:val="0"/>
                <w:sz w:val="20"/>
                <w:szCs w:val="20"/>
                <w:highlight w:val="none"/>
                <w:lang w:bidi="ar"/>
              </w:rPr>
              <w:t>遵循国际标准，必须逐个通过</w:t>
            </w:r>
            <w:r>
              <w:rPr>
                <w:rFonts w:ascii="宋体" w:hAnsi="宋体" w:eastAsia="宋体" w:cs="宋体"/>
                <w:color w:val="000000"/>
                <w:kern w:val="0"/>
                <w:sz w:val="20"/>
                <w:szCs w:val="20"/>
                <w:highlight w:val="none"/>
                <w:lang w:bidi="ar"/>
              </w:rPr>
              <w:t>Java EE 5、6、7、8 四个标准规范的官方兼容认证</w:t>
            </w:r>
          </w:p>
          <w:p w14:paraId="681183FC">
            <w:pPr>
              <w:widowControl/>
              <w:jc w:val="left"/>
              <w:textAlignment w:val="center"/>
              <w:rPr>
                <w:rFonts w:hint="eastAsia"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2</w:t>
            </w:r>
            <w:r>
              <w:rPr>
                <w:rFonts w:ascii="宋体" w:hAnsi="宋体" w:eastAsia="宋体" w:cs="宋体"/>
                <w:color w:val="000000"/>
                <w:kern w:val="0"/>
                <w:sz w:val="20"/>
                <w:szCs w:val="20"/>
                <w:highlight w:val="none"/>
                <w:lang w:bidi="ar"/>
              </w:rPr>
              <w:t>.</w:t>
            </w:r>
            <w:r>
              <w:rPr>
                <w:rFonts w:hint="eastAsia"/>
                <w:highlight w:val="none"/>
              </w:rPr>
              <w:t xml:space="preserve"> </w:t>
            </w:r>
            <w:r>
              <w:rPr>
                <w:rFonts w:hint="eastAsia" w:ascii="宋体" w:hAnsi="宋体" w:eastAsia="宋体" w:cs="宋体"/>
                <w:color w:val="000000"/>
                <w:kern w:val="0"/>
                <w:sz w:val="20"/>
                <w:szCs w:val="20"/>
                <w:highlight w:val="none"/>
                <w:lang w:bidi="ar"/>
              </w:rPr>
              <w:t>产品应具备良好的生态环境适应能力，支持多种主流国产操作系统，如麒麟</w:t>
            </w:r>
            <w:r>
              <w:rPr>
                <w:rFonts w:ascii="宋体" w:hAnsi="宋体" w:eastAsia="宋体" w:cs="宋体"/>
                <w:color w:val="000000"/>
                <w:kern w:val="0"/>
                <w:sz w:val="20"/>
                <w:szCs w:val="20"/>
                <w:highlight w:val="none"/>
                <w:lang w:bidi="ar"/>
              </w:rPr>
              <w:t>OS、统信UOS等；支持多种主流国产数据库系统，如达梦、金仓、神通、南大通用等。</w:t>
            </w:r>
          </w:p>
          <w:p w14:paraId="40E4AC8F">
            <w:pPr>
              <w:widowControl/>
              <w:jc w:val="left"/>
              <w:textAlignment w:val="center"/>
              <w:rPr>
                <w:rFonts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3</w:t>
            </w:r>
            <w:r>
              <w:rPr>
                <w:rFonts w:ascii="宋体" w:hAnsi="宋体" w:eastAsia="宋体" w:cs="宋体"/>
                <w:color w:val="000000"/>
                <w:kern w:val="0"/>
                <w:sz w:val="20"/>
                <w:szCs w:val="20"/>
                <w:highlight w:val="none"/>
                <w:lang w:bidi="ar"/>
              </w:rPr>
              <w:t>.</w:t>
            </w:r>
            <w:r>
              <w:rPr>
                <w:rFonts w:hint="eastAsia"/>
                <w:highlight w:val="none"/>
              </w:rPr>
              <w:t xml:space="preserve"> </w:t>
            </w:r>
            <w:r>
              <w:rPr>
                <w:rFonts w:hint="eastAsia" w:ascii="宋体" w:hAnsi="宋体" w:eastAsia="宋体" w:cs="宋体"/>
                <w:color w:val="000000"/>
                <w:kern w:val="0"/>
                <w:sz w:val="20"/>
                <w:szCs w:val="20"/>
                <w:highlight w:val="none"/>
                <w:lang w:bidi="ar"/>
              </w:rPr>
              <w:t>支持集群部署，提供集群管理工具。</w:t>
            </w:r>
          </w:p>
          <w:p w14:paraId="3E872799">
            <w:pPr>
              <w:widowControl/>
              <w:jc w:val="left"/>
              <w:textAlignment w:val="center"/>
              <w:rPr>
                <w:rFonts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4</w:t>
            </w:r>
            <w:r>
              <w:rPr>
                <w:rFonts w:ascii="宋体" w:hAnsi="宋体" w:eastAsia="宋体" w:cs="宋体"/>
                <w:color w:val="000000"/>
                <w:kern w:val="0"/>
                <w:sz w:val="20"/>
                <w:szCs w:val="20"/>
                <w:highlight w:val="none"/>
                <w:lang w:bidi="ar"/>
              </w:rPr>
              <w:t>.</w:t>
            </w:r>
            <w:r>
              <w:rPr>
                <w:rFonts w:hint="eastAsia"/>
                <w:highlight w:val="none"/>
              </w:rPr>
              <w:t xml:space="preserve"> </w:t>
            </w:r>
            <w:r>
              <w:rPr>
                <w:rFonts w:hint="eastAsia" w:ascii="宋体" w:hAnsi="宋体" w:eastAsia="宋体" w:cs="宋体"/>
                <w:color w:val="000000"/>
                <w:kern w:val="0"/>
                <w:sz w:val="20"/>
                <w:szCs w:val="20"/>
                <w:highlight w:val="none"/>
                <w:lang w:bidi="ar"/>
              </w:rPr>
              <w:t>内置类加载冲突检测工具，可以检测出应用部署和运行过程中哪些类存在类加载冲突问题，并能自动生成冲突检测报告，方便快速定位和解决应用类加载问题。</w:t>
            </w:r>
          </w:p>
          <w:p w14:paraId="1865E793">
            <w:pPr>
              <w:widowControl/>
              <w:jc w:val="left"/>
              <w:textAlignment w:val="center"/>
              <w:rPr>
                <w:rFonts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5</w:t>
            </w:r>
            <w:r>
              <w:rPr>
                <w:rFonts w:ascii="宋体" w:hAnsi="宋体" w:eastAsia="宋体" w:cs="宋体"/>
                <w:color w:val="000000"/>
                <w:kern w:val="0"/>
                <w:sz w:val="20"/>
                <w:szCs w:val="20"/>
                <w:highlight w:val="none"/>
                <w:lang w:bidi="ar"/>
              </w:rPr>
              <w:t>.</w:t>
            </w:r>
            <w:r>
              <w:rPr>
                <w:rFonts w:hint="eastAsia"/>
                <w:highlight w:val="none"/>
              </w:rPr>
              <w:t xml:space="preserve"> </w:t>
            </w:r>
            <w:r>
              <w:rPr>
                <w:rFonts w:hint="eastAsia" w:ascii="宋体" w:hAnsi="宋体" w:eastAsia="宋体" w:cs="宋体"/>
                <w:color w:val="000000"/>
                <w:kern w:val="0"/>
                <w:sz w:val="20"/>
                <w:szCs w:val="20"/>
                <w:highlight w:val="none"/>
                <w:lang w:bidi="ar"/>
              </w:rPr>
              <w:t>支持在管理控制台页面上配置异步日志，保证日志输出的同时降低对应用系统性能的影响。</w:t>
            </w:r>
          </w:p>
          <w:p w14:paraId="57A283B9">
            <w:pPr>
              <w:widowControl/>
              <w:jc w:val="left"/>
              <w:textAlignment w:val="center"/>
              <w:rPr>
                <w:rFonts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6</w:t>
            </w:r>
            <w:r>
              <w:rPr>
                <w:rFonts w:ascii="宋体" w:hAnsi="宋体" w:eastAsia="宋体" w:cs="宋体"/>
                <w:color w:val="000000"/>
                <w:kern w:val="0"/>
                <w:sz w:val="20"/>
                <w:szCs w:val="20"/>
                <w:highlight w:val="none"/>
                <w:lang w:bidi="ar"/>
              </w:rPr>
              <w:t>.</w:t>
            </w:r>
            <w:r>
              <w:rPr>
                <w:rFonts w:hint="eastAsia"/>
                <w:highlight w:val="none"/>
              </w:rPr>
              <w:t xml:space="preserve"> </w:t>
            </w:r>
            <w:r>
              <w:rPr>
                <w:rFonts w:hint="eastAsia" w:ascii="宋体" w:hAnsi="宋体" w:eastAsia="宋体" w:cs="宋体"/>
                <w:color w:val="000000"/>
                <w:kern w:val="0"/>
                <w:sz w:val="20"/>
                <w:szCs w:val="20"/>
                <w:highlight w:val="none"/>
                <w:lang w:bidi="ar"/>
              </w:rPr>
              <w:t>支持命令行审计功能，能记录每次命令行操作。</w:t>
            </w:r>
          </w:p>
          <w:p w14:paraId="4D0972A9">
            <w:pPr>
              <w:widowControl/>
              <w:jc w:val="left"/>
              <w:textAlignment w:val="center"/>
              <w:rPr>
                <w:rFonts w:hint="eastAsia"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7</w:t>
            </w:r>
            <w:r>
              <w:rPr>
                <w:rFonts w:ascii="宋体" w:hAnsi="宋体" w:eastAsia="宋体" w:cs="宋体"/>
                <w:color w:val="000000"/>
                <w:kern w:val="0"/>
                <w:sz w:val="20"/>
                <w:szCs w:val="20"/>
                <w:highlight w:val="none"/>
                <w:lang w:bidi="ar"/>
              </w:rPr>
              <w:t>.</w:t>
            </w:r>
            <w:r>
              <w:rPr>
                <w:rFonts w:hint="eastAsia"/>
                <w:highlight w:val="none"/>
              </w:rPr>
              <w:t xml:space="preserve"> </w:t>
            </w:r>
            <w:r>
              <w:rPr>
                <w:rFonts w:hint="eastAsia" w:ascii="宋体" w:hAnsi="宋体" w:eastAsia="宋体" w:cs="宋体"/>
                <w:color w:val="000000"/>
                <w:kern w:val="0"/>
                <w:sz w:val="20"/>
                <w:szCs w:val="20"/>
                <w:highlight w:val="none"/>
                <w:lang w:bidi="ar"/>
              </w:rPr>
              <w:t>内置快照功能，能够对服务器及应用程序的运行时信息进行捕获。</w:t>
            </w:r>
          </w:p>
          <w:p w14:paraId="0F142A84">
            <w:pPr>
              <w:widowControl/>
              <w:jc w:val="left"/>
              <w:textAlignment w:val="center"/>
              <w:rPr>
                <w:rFonts w:hint="eastAsia" w:ascii="宋体" w:hAnsi="宋体" w:eastAsia="宋体" w:cs="宋体"/>
                <w:color w:val="000000"/>
                <w:kern w:val="0"/>
                <w:sz w:val="20"/>
                <w:szCs w:val="20"/>
                <w:highlight w:val="none"/>
                <w:lang w:bidi="ar"/>
              </w:rPr>
            </w:pPr>
            <w:r>
              <w:rPr>
                <w:rFonts w:hint="eastAsia" w:ascii="宋体" w:hAnsi="宋体" w:eastAsia="宋体" w:cs="宋体"/>
                <w:color w:val="000000"/>
                <w:kern w:val="0"/>
                <w:sz w:val="20"/>
                <w:szCs w:val="20"/>
                <w:highlight w:val="none"/>
                <w:lang w:bidi="ar"/>
              </w:rPr>
              <w:t>二、性能要求</w:t>
            </w:r>
          </w:p>
          <w:p w14:paraId="73DD9F4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highlight w:val="none"/>
                <w:lang w:bidi="ar"/>
              </w:rPr>
              <w:t>1</w:t>
            </w:r>
            <w:r>
              <w:rPr>
                <w:rFonts w:ascii="宋体" w:hAnsi="宋体" w:eastAsia="宋体" w:cs="宋体"/>
                <w:color w:val="000000"/>
                <w:kern w:val="0"/>
                <w:sz w:val="20"/>
                <w:szCs w:val="20"/>
                <w:highlight w:val="none"/>
                <w:lang w:bidi="ar"/>
              </w:rPr>
              <w:t>.</w:t>
            </w:r>
            <w:r>
              <w:rPr>
                <w:rFonts w:hint="eastAsia"/>
                <w:highlight w:val="none"/>
              </w:rPr>
              <w:t xml:space="preserve"> </w:t>
            </w:r>
            <w:r>
              <w:rPr>
                <w:rFonts w:hint="eastAsia" w:ascii="宋体" w:hAnsi="宋体" w:eastAsia="宋体" w:cs="宋体"/>
                <w:color w:val="000000"/>
                <w:kern w:val="0"/>
                <w:sz w:val="20"/>
                <w:szCs w:val="20"/>
                <w:highlight w:val="none"/>
                <w:lang w:bidi="ar"/>
              </w:rPr>
              <w:t>要求在全国产环境下满足至少五十万在线用户访问能力，并且长时间运行稳定，中位响应时间低于</w:t>
            </w:r>
            <w:r>
              <w:rPr>
                <w:rFonts w:ascii="宋体" w:hAnsi="宋体" w:eastAsia="宋体" w:cs="宋体"/>
                <w:color w:val="000000"/>
                <w:kern w:val="0"/>
                <w:sz w:val="20"/>
                <w:szCs w:val="20"/>
                <w:highlight w:val="none"/>
                <w:lang w:bidi="ar"/>
              </w:rPr>
              <w:t>200毫秒，90%平均响应时间低于400毫秒，95%平均响应时间低于500毫秒，99%平均响应时间低于700毫秒。</w:t>
            </w:r>
          </w:p>
        </w:tc>
      </w:tr>
    </w:tbl>
    <w:p w14:paraId="75231F12">
      <w:pPr>
        <w:rPr>
          <w:rFonts w:hint="eastAsia" w:eastAsiaTheme="minorEastAsia"/>
          <w:lang w:val="en-US" w:eastAsia="zh-CN"/>
        </w:rPr>
      </w:pPr>
    </w:p>
    <w:p w14:paraId="57A374CD">
      <w:pPr>
        <w:rPr>
          <w:rFonts w:hint="eastAsia" w:eastAsiaTheme="minorEastAsia"/>
          <w:lang w:val="en-US" w:eastAsia="zh-CN"/>
        </w:rPr>
      </w:pPr>
    </w:p>
    <w:p w14:paraId="22B813D8">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br w:type="page"/>
      </w:r>
    </w:p>
    <w:tbl>
      <w:tblPr>
        <w:tblStyle w:val="4"/>
        <w:tblW w:w="13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7"/>
        <w:gridCol w:w="1559"/>
        <w:gridCol w:w="481"/>
        <w:gridCol w:w="3105"/>
        <w:gridCol w:w="2206"/>
        <w:gridCol w:w="794"/>
        <w:gridCol w:w="4992"/>
        <w:gridCol w:w="14"/>
      </w:tblGrid>
      <w:tr w14:paraId="0CD29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827"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65F9E239">
            <w:pPr>
              <w:jc w:val="center"/>
              <w:rPr>
                <w:rFonts w:hint="eastAsia" w:ascii="宋体" w:hAnsi="宋体" w:eastAsia="宋体" w:cs="宋体"/>
                <w:i w:val="0"/>
                <w:iCs w:val="0"/>
                <w:color w:val="000000"/>
                <w:sz w:val="20"/>
                <w:szCs w:val="20"/>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DDD9C4"/>
            <w:noWrap/>
            <w:vAlign w:val="center"/>
          </w:tcPr>
          <w:p w14:paraId="70713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五层开标中心综合办公</w:t>
            </w:r>
          </w:p>
        </w:tc>
        <w:tc>
          <w:tcPr>
            <w:tcW w:w="3586" w:type="dxa"/>
            <w:gridSpan w:val="2"/>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425849B9">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修改前</w:t>
            </w:r>
          </w:p>
        </w:tc>
        <w:tc>
          <w:tcPr>
            <w:tcW w:w="8006" w:type="dxa"/>
            <w:gridSpan w:val="4"/>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207757AF">
            <w:pPr>
              <w:jc w:val="both"/>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1DD6A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827"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93A1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C046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口接入交换机</w:t>
            </w:r>
          </w:p>
        </w:tc>
        <w:tc>
          <w:tcPr>
            <w:tcW w:w="3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08440">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1.1U</w:t>
            </w:r>
            <w:r>
              <w:rPr>
                <w:rFonts w:hint="eastAsia" w:ascii="宋体" w:hAnsi="宋体" w:eastAsia="宋体" w:cs="宋体"/>
                <w:i w:val="0"/>
                <w:iCs w:val="0"/>
                <w:color w:val="000000"/>
                <w:kern w:val="0"/>
                <w:sz w:val="20"/>
                <w:szCs w:val="20"/>
                <w:u w:val="none"/>
                <w:lang w:val="en-US" w:eastAsia="zh-CN" w:bidi="ar"/>
              </w:rPr>
              <w:t>机架，实配固化千兆电接口数</w:t>
            </w:r>
            <w:r>
              <w:rPr>
                <w:rFonts w:hint="default" w:ascii="宋体" w:hAnsi="宋体" w:eastAsia="宋体" w:cs="宋体"/>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个，万兆</w:t>
            </w:r>
            <w:r>
              <w:rPr>
                <w:rFonts w:hint="default" w:ascii="宋体" w:hAnsi="宋体" w:eastAsia="宋体" w:cs="宋体"/>
                <w:i w:val="0"/>
                <w:iCs w:val="0"/>
                <w:color w:val="000000"/>
                <w:kern w:val="0"/>
                <w:sz w:val="20"/>
                <w:szCs w:val="20"/>
                <w:u w:val="none"/>
                <w:lang w:val="en-US" w:eastAsia="zh-CN" w:bidi="ar"/>
              </w:rPr>
              <w:t>SFP</w:t>
            </w:r>
            <w:r>
              <w:rPr>
                <w:rFonts w:hint="eastAsia" w:ascii="宋体" w:hAnsi="宋体" w:eastAsia="宋体" w:cs="宋体"/>
                <w:i w:val="0"/>
                <w:iCs w:val="0"/>
                <w:color w:val="000000"/>
                <w:kern w:val="0"/>
                <w:sz w:val="20"/>
                <w:szCs w:val="20"/>
                <w:u w:val="none"/>
                <w:lang w:val="en-US" w:eastAsia="zh-CN" w:bidi="ar"/>
              </w:rPr>
              <w:t>光口</w:t>
            </w:r>
            <w:r>
              <w:rPr>
                <w:rFonts w:hint="default" w:ascii="宋体" w:hAnsi="宋体" w:eastAsia="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个，最大可用端口</w:t>
            </w:r>
            <w:r>
              <w:rPr>
                <w:rFonts w:hint="default" w:ascii="宋体" w:hAnsi="宋体" w:eastAsia="宋体" w:cs="宋体"/>
                <w:i w:val="0"/>
                <w:iCs w:val="0"/>
                <w:color w:val="000000"/>
                <w:kern w:val="0"/>
                <w:sz w:val="20"/>
                <w:szCs w:val="20"/>
                <w:u w:val="none"/>
                <w:lang w:val="en-US" w:eastAsia="zh-CN" w:bidi="ar"/>
              </w:rPr>
              <w:t>≥28</w:t>
            </w:r>
            <w:r>
              <w:rPr>
                <w:rFonts w:hint="eastAsia" w:ascii="宋体" w:hAnsi="宋体" w:eastAsia="宋体" w:cs="宋体"/>
                <w:i w:val="0"/>
                <w:iCs w:val="0"/>
                <w:color w:val="000000"/>
                <w:kern w:val="0"/>
                <w:sz w:val="20"/>
                <w:szCs w:val="20"/>
                <w:u w:val="none"/>
                <w:lang w:val="en-US" w:eastAsia="zh-CN" w:bidi="ar"/>
              </w:rPr>
              <w:t>个</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交换容量</w:t>
            </w:r>
            <w:r>
              <w:rPr>
                <w:rFonts w:hint="default" w:ascii="宋体" w:hAnsi="宋体" w:eastAsia="宋体" w:cs="宋体"/>
                <w:i w:val="0"/>
                <w:iCs w:val="0"/>
                <w:color w:val="000000"/>
                <w:kern w:val="0"/>
                <w:sz w:val="20"/>
                <w:szCs w:val="20"/>
                <w:u w:val="none"/>
                <w:lang w:val="en-US" w:eastAsia="zh-CN" w:bidi="ar"/>
              </w:rPr>
              <w:t>≥336Gbps</w:t>
            </w:r>
            <w:r>
              <w:rPr>
                <w:rFonts w:hint="eastAsia" w:ascii="宋体" w:hAnsi="宋体" w:eastAsia="宋体" w:cs="宋体"/>
                <w:i w:val="0"/>
                <w:iCs w:val="0"/>
                <w:color w:val="000000"/>
                <w:kern w:val="0"/>
                <w:sz w:val="20"/>
                <w:szCs w:val="20"/>
                <w:u w:val="none"/>
                <w:lang w:val="en-US" w:eastAsia="zh-CN" w:bidi="ar"/>
              </w:rPr>
              <w:t>，包转发率</w:t>
            </w:r>
            <w:r>
              <w:rPr>
                <w:rFonts w:hint="default" w:ascii="宋体" w:hAnsi="宋体" w:eastAsia="宋体" w:cs="宋体"/>
                <w:i w:val="0"/>
                <w:iCs w:val="0"/>
                <w:color w:val="000000"/>
                <w:kern w:val="0"/>
                <w:sz w:val="20"/>
                <w:szCs w:val="20"/>
                <w:u w:val="none"/>
                <w:lang w:val="en-US" w:eastAsia="zh-CN" w:bidi="ar"/>
              </w:rPr>
              <w:t>≥108Mpps</w:t>
            </w:r>
          </w:p>
        </w:tc>
        <w:tc>
          <w:tcPr>
            <w:tcW w:w="22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C13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48口接入交换机</w:t>
            </w:r>
          </w:p>
        </w:tc>
        <w:tc>
          <w:tcPr>
            <w:tcW w:w="58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26085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1.1U机架 ，实配固化千兆电接口数≥48个，万兆SFP光口≥4个，最大可用端口≥52个；</w:t>
            </w:r>
            <w:r>
              <w:rPr>
                <w:rFonts w:hint="default" w:ascii="宋体" w:hAnsi="宋体" w:eastAsia="宋体" w:cs="宋体"/>
                <w:i w:val="0"/>
                <w:iCs w:val="0"/>
                <w:color w:val="000000"/>
                <w:kern w:val="0"/>
                <w:sz w:val="20"/>
                <w:szCs w:val="20"/>
                <w:highlight w:val="none"/>
                <w:u w:val="none"/>
                <w:lang w:val="en-US" w:eastAsia="zh-CN" w:bidi="ar"/>
              </w:rPr>
              <w:br w:type="textWrapping"/>
            </w:r>
            <w:r>
              <w:rPr>
                <w:rFonts w:hint="default" w:ascii="宋体" w:hAnsi="宋体" w:eastAsia="宋体" w:cs="宋体"/>
                <w:i w:val="0"/>
                <w:iCs w:val="0"/>
                <w:color w:val="000000"/>
                <w:kern w:val="0"/>
                <w:sz w:val="20"/>
                <w:szCs w:val="20"/>
                <w:highlight w:val="none"/>
                <w:u w:val="none"/>
                <w:lang w:val="en-US" w:eastAsia="zh-CN" w:bidi="ar"/>
              </w:rPr>
              <w:t>2.交换容量≥432Gbps，包转发率≥144Mpps</w:t>
            </w:r>
          </w:p>
        </w:tc>
      </w:tr>
      <w:tr w14:paraId="08885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 w:type="dxa"/>
          <w:trHeight w:val="852" w:hRule="atLeast"/>
        </w:trPr>
        <w:tc>
          <w:tcPr>
            <w:tcW w:w="827"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4EE4CDC8">
            <w:pPr>
              <w:jc w:val="center"/>
              <w:rPr>
                <w:rFonts w:hint="eastAsia" w:ascii="宋体" w:hAnsi="宋体" w:eastAsia="宋体" w:cs="宋体"/>
                <w:i w:val="0"/>
                <w:iCs w:val="0"/>
                <w:color w:val="000000"/>
                <w:sz w:val="20"/>
                <w:szCs w:val="20"/>
                <w:u w:val="none"/>
              </w:rPr>
            </w:pPr>
          </w:p>
        </w:tc>
        <w:tc>
          <w:tcPr>
            <w:tcW w:w="1559" w:type="dxa"/>
            <w:tcBorders>
              <w:top w:val="single" w:color="000000" w:sz="4" w:space="0"/>
              <w:left w:val="single" w:color="000000" w:sz="4" w:space="0"/>
              <w:bottom w:val="single" w:color="000000" w:sz="4" w:space="0"/>
              <w:right w:val="single" w:color="000000" w:sz="4" w:space="0"/>
            </w:tcBorders>
            <w:shd w:val="clear" w:color="auto" w:fill="DDD9C4"/>
            <w:noWrap/>
            <w:vAlign w:val="center"/>
          </w:tcPr>
          <w:p w14:paraId="553659B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二层设备网</w:t>
            </w:r>
          </w:p>
        </w:tc>
        <w:tc>
          <w:tcPr>
            <w:tcW w:w="5792" w:type="dxa"/>
            <w:gridSpan w:val="3"/>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56EBD3B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修改前</w:t>
            </w:r>
          </w:p>
        </w:tc>
        <w:tc>
          <w:tcPr>
            <w:tcW w:w="5786" w:type="dxa"/>
            <w:gridSpan w:val="2"/>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07C55234">
            <w:pPr>
              <w:jc w:val="both"/>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78522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4" w:type="dxa"/>
          <w:trHeight w:val="1800" w:hRule="atLeast"/>
        </w:trPr>
        <w:tc>
          <w:tcPr>
            <w:tcW w:w="827"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E7EA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CF1AB">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口</w:t>
            </w:r>
            <w:r>
              <w:rPr>
                <w:rFonts w:hint="default" w:ascii="宋体" w:hAnsi="宋体" w:eastAsia="宋体" w:cs="宋体"/>
                <w:i w:val="0"/>
                <w:iCs w:val="0"/>
                <w:color w:val="000000"/>
                <w:kern w:val="0"/>
                <w:sz w:val="20"/>
                <w:szCs w:val="20"/>
                <w:u w:val="none"/>
                <w:lang w:val="en-US" w:eastAsia="zh-CN" w:bidi="ar"/>
              </w:rPr>
              <w:t>poe</w:t>
            </w:r>
            <w:r>
              <w:rPr>
                <w:rFonts w:hint="eastAsia" w:ascii="宋体" w:hAnsi="宋体" w:eastAsia="宋体" w:cs="宋体"/>
                <w:i w:val="0"/>
                <w:iCs w:val="0"/>
                <w:color w:val="000000"/>
                <w:kern w:val="0"/>
                <w:sz w:val="20"/>
                <w:szCs w:val="20"/>
                <w:u w:val="none"/>
                <w:lang w:val="en-US" w:eastAsia="zh-CN" w:bidi="ar"/>
              </w:rPr>
              <w:t>接入交换机</w:t>
            </w:r>
          </w:p>
        </w:tc>
        <w:tc>
          <w:tcPr>
            <w:tcW w:w="5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A56C91">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IEEE 802.11be</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802.11ax</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802.11ac wave2/wave1</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802.11a/b/g/n</w:t>
            </w:r>
            <w:r>
              <w:rPr>
                <w:rFonts w:hint="eastAsia" w:ascii="宋体" w:hAnsi="宋体" w:eastAsia="宋体" w:cs="宋体"/>
                <w:i w:val="0"/>
                <w:iCs w:val="0"/>
                <w:color w:val="000000"/>
                <w:kern w:val="0"/>
                <w:sz w:val="20"/>
                <w:szCs w:val="20"/>
                <w:u w:val="none"/>
                <w:lang w:val="en-US" w:eastAsia="zh-CN" w:bidi="ar"/>
              </w:rPr>
              <w:t>同时工作。</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支持双频</w:t>
            </w:r>
            <w:r>
              <w:rPr>
                <w:rFonts w:hint="default" w:ascii="宋体" w:hAnsi="宋体" w:eastAsia="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条流，整机最大接入速率</w:t>
            </w:r>
            <w:r>
              <w:rPr>
                <w:rFonts w:hint="default" w:ascii="宋体" w:hAnsi="宋体" w:eastAsia="宋体" w:cs="宋体"/>
                <w:i w:val="0"/>
                <w:iCs w:val="0"/>
                <w:color w:val="000000"/>
                <w:kern w:val="0"/>
                <w:sz w:val="20"/>
                <w:szCs w:val="20"/>
                <w:u w:val="none"/>
                <w:lang w:val="en-US" w:eastAsia="zh-CN" w:bidi="ar"/>
              </w:rPr>
              <w:t>3570Mbps</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标准</w:t>
            </w:r>
            <w:r>
              <w:rPr>
                <w:rFonts w:hint="default" w:ascii="宋体" w:hAnsi="宋体" w:eastAsia="宋体" w:cs="宋体"/>
                <w:i w:val="0"/>
                <w:iCs w:val="0"/>
                <w:color w:val="000000"/>
                <w:kern w:val="0"/>
                <w:sz w:val="20"/>
                <w:szCs w:val="20"/>
                <w:u w:val="none"/>
                <w:lang w:val="en-US" w:eastAsia="zh-CN" w:bidi="ar"/>
              </w:rPr>
              <w:t>86</w:t>
            </w:r>
            <w:r>
              <w:rPr>
                <w:rFonts w:hint="eastAsia" w:ascii="宋体" w:hAnsi="宋体" w:eastAsia="宋体" w:cs="宋体"/>
                <w:i w:val="0"/>
                <w:iCs w:val="0"/>
                <w:color w:val="000000"/>
                <w:kern w:val="0"/>
                <w:sz w:val="20"/>
                <w:szCs w:val="20"/>
                <w:u w:val="none"/>
                <w:lang w:val="en-US" w:eastAsia="zh-CN" w:bidi="ar"/>
              </w:rPr>
              <w:t>面板</w:t>
            </w:r>
            <w:r>
              <w:rPr>
                <w:rFonts w:hint="default" w:ascii="宋体" w:hAnsi="宋体" w:eastAsia="宋体" w:cs="宋体"/>
                <w:i w:val="0"/>
                <w:iCs w:val="0"/>
                <w:color w:val="000000"/>
                <w:kern w:val="0"/>
                <w:sz w:val="20"/>
                <w:szCs w:val="20"/>
                <w:u w:val="none"/>
                <w:lang w:val="en-US" w:eastAsia="zh-CN" w:bidi="ar"/>
              </w:rPr>
              <w:t>AP</w:t>
            </w:r>
            <w:r>
              <w:rPr>
                <w:rFonts w:hint="eastAsia" w:ascii="宋体" w:hAnsi="宋体" w:eastAsia="宋体" w:cs="宋体"/>
                <w:i w:val="0"/>
                <w:iCs w:val="0"/>
                <w:color w:val="000000"/>
                <w:kern w:val="0"/>
                <w:sz w:val="20"/>
                <w:szCs w:val="20"/>
                <w:u w:val="none"/>
                <w:lang w:val="en-US" w:eastAsia="zh-CN" w:bidi="ar"/>
              </w:rPr>
              <w:t>，整机自带：</w:t>
            </w: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个上联</w:t>
            </w:r>
            <w:r>
              <w:rPr>
                <w:rFonts w:hint="default" w:ascii="宋体" w:hAnsi="宋体" w:eastAsia="宋体" w:cs="宋体"/>
                <w:i w:val="0"/>
                <w:iCs w:val="0"/>
                <w:color w:val="000000"/>
                <w:kern w:val="0"/>
                <w:sz w:val="20"/>
                <w:szCs w:val="20"/>
                <w:u w:val="none"/>
                <w:lang w:val="en-US" w:eastAsia="zh-CN" w:bidi="ar"/>
              </w:rPr>
              <w:t>10/100/1000/2500Mbps</w:t>
            </w:r>
            <w:r>
              <w:rPr>
                <w:rFonts w:hint="eastAsia" w:ascii="宋体" w:hAnsi="宋体" w:eastAsia="宋体" w:cs="宋体"/>
                <w:i w:val="0"/>
                <w:iCs w:val="0"/>
                <w:color w:val="000000"/>
                <w:kern w:val="0"/>
                <w:sz w:val="20"/>
                <w:szCs w:val="20"/>
                <w:u w:val="none"/>
                <w:lang w:val="en-US" w:eastAsia="zh-CN" w:bidi="ar"/>
              </w:rPr>
              <w:t>自适应以太网接口，</w:t>
            </w: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个下联</w:t>
            </w:r>
            <w:r>
              <w:rPr>
                <w:rFonts w:hint="default" w:ascii="宋体" w:hAnsi="宋体" w:eastAsia="宋体" w:cs="宋体"/>
                <w:i w:val="0"/>
                <w:iCs w:val="0"/>
                <w:color w:val="000000"/>
                <w:kern w:val="0"/>
                <w:sz w:val="20"/>
                <w:szCs w:val="20"/>
                <w:u w:val="none"/>
                <w:lang w:val="en-US" w:eastAsia="zh-CN" w:bidi="ar"/>
              </w:rPr>
              <w:t>10/100/1000Mbps</w:t>
            </w:r>
            <w:r>
              <w:rPr>
                <w:rFonts w:hint="eastAsia" w:ascii="宋体" w:hAnsi="宋体" w:eastAsia="宋体" w:cs="宋体"/>
                <w:i w:val="0"/>
                <w:iCs w:val="0"/>
                <w:color w:val="000000"/>
                <w:kern w:val="0"/>
                <w:sz w:val="20"/>
                <w:szCs w:val="20"/>
                <w:u w:val="none"/>
                <w:lang w:val="en-US" w:eastAsia="zh-CN" w:bidi="ar"/>
              </w:rPr>
              <w:t>自适应以太网接口。</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PoE</w:t>
            </w:r>
            <w:r>
              <w:rPr>
                <w:rFonts w:hint="eastAsia" w:ascii="宋体" w:hAnsi="宋体" w:eastAsia="宋体" w:cs="宋体"/>
                <w:i w:val="0"/>
                <w:iCs w:val="0"/>
                <w:color w:val="000000"/>
                <w:kern w:val="0"/>
                <w:sz w:val="20"/>
                <w:szCs w:val="20"/>
                <w:u w:val="none"/>
                <w:lang w:val="en-US" w:eastAsia="zh-CN" w:bidi="ar"/>
              </w:rPr>
              <w:t>以太网供电（支持</w:t>
            </w:r>
            <w:r>
              <w:rPr>
                <w:rFonts w:hint="default" w:ascii="宋体" w:hAnsi="宋体" w:eastAsia="宋体" w:cs="宋体"/>
                <w:i w:val="0"/>
                <w:iCs w:val="0"/>
                <w:color w:val="000000"/>
                <w:kern w:val="0"/>
                <w:sz w:val="20"/>
                <w:szCs w:val="20"/>
                <w:u w:val="none"/>
                <w:lang w:val="en-US" w:eastAsia="zh-CN" w:bidi="ar"/>
              </w:rPr>
              <w:t>IEEE 802.3af/802.3at</w:t>
            </w:r>
            <w:r>
              <w:rPr>
                <w:rFonts w:hint="eastAsia" w:ascii="宋体" w:hAnsi="宋体" w:eastAsia="宋体" w:cs="宋体"/>
                <w:i w:val="0"/>
                <w:iCs w:val="0"/>
                <w:color w:val="000000"/>
                <w:kern w:val="0"/>
                <w:sz w:val="20"/>
                <w:szCs w:val="20"/>
                <w:u w:val="none"/>
                <w:lang w:val="en-US" w:eastAsia="zh-CN" w:bidi="ar"/>
              </w:rPr>
              <w:t>兼容供电）</w:t>
            </w:r>
          </w:p>
        </w:tc>
        <w:tc>
          <w:tcPr>
            <w:tcW w:w="5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B3210">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1.1U机架，实配固化千兆电接口数≥24个，万兆SFP光口≥4个，最大可用端口≥28个</w:t>
            </w:r>
          </w:p>
          <w:p w14:paraId="0D76E851">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2.支持PoE供电口≥24个，整机最大PoE供电功率370W，单端口最大PoE供电功率30W</w:t>
            </w:r>
          </w:p>
          <w:p w14:paraId="6D121883">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3.交换容量≥336Gbps，包转发率≥108Mpps</w:t>
            </w:r>
          </w:p>
        </w:tc>
      </w:tr>
      <w:tr w14:paraId="18EBC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4" w:type="dxa"/>
          <w:trHeight w:val="1800" w:hRule="atLeast"/>
        </w:trPr>
        <w:tc>
          <w:tcPr>
            <w:tcW w:w="827"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68F81F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B2EA5">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口接入交换机</w:t>
            </w:r>
          </w:p>
        </w:tc>
        <w:tc>
          <w:tcPr>
            <w:tcW w:w="5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3C4134">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IEEE 802.11a/b/g/n/ac/ax/be</w:t>
            </w:r>
            <w:r>
              <w:rPr>
                <w:rFonts w:hint="eastAsia" w:ascii="宋体" w:hAnsi="宋体" w:eastAsia="宋体" w:cs="宋体"/>
                <w:i w:val="0"/>
                <w:iCs w:val="0"/>
                <w:color w:val="000000"/>
                <w:kern w:val="0"/>
                <w:sz w:val="20"/>
                <w:szCs w:val="20"/>
                <w:u w:val="none"/>
                <w:lang w:val="en-US" w:eastAsia="zh-CN" w:bidi="ar"/>
              </w:rPr>
              <w:t>协议。</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支持双频，整机最大接入速率</w:t>
            </w:r>
            <w:r>
              <w:rPr>
                <w:rFonts w:hint="default" w:ascii="宋体" w:hAnsi="宋体" w:eastAsia="宋体" w:cs="宋体"/>
                <w:i w:val="0"/>
                <w:iCs w:val="0"/>
                <w:color w:val="000000"/>
                <w:kern w:val="0"/>
                <w:sz w:val="20"/>
                <w:szCs w:val="20"/>
                <w:u w:val="none"/>
                <w:lang w:val="en-US" w:eastAsia="zh-CN" w:bidi="ar"/>
              </w:rPr>
              <w:t>≥3570Mbps</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放装</w:t>
            </w:r>
            <w:r>
              <w:rPr>
                <w:rFonts w:hint="default" w:ascii="宋体" w:hAnsi="宋体" w:eastAsia="宋体" w:cs="宋体"/>
                <w:i w:val="0"/>
                <w:iCs w:val="0"/>
                <w:color w:val="000000"/>
                <w:kern w:val="0"/>
                <w:sz w:val="20"/>
                <w:szCs w:val="20"/>
                <w:u w:val="none"/>
                <w:lang w:val="en-US" w:eastAsia="zh-CN" w:bidi="ar"/>
              </w:rPr>
              <w:t>AP</w:t>
            </w:r>
            <w:r>
              <w:rPr>
                <w:rFonts w:hint="eastAsia" w:ascii="宋体" w:hAnsi="宋体" w:eastAsia="宋体" w:cs="宋体"/>
                <w:i w:val="0"/>
                <w:iCs w:val="0"/>
                <w:color w:val="000000"/>
                <w:kern w:val="0"/>
                <w:sz w:val="20"/>
                <w:szCs w:val="20"/>
                <w:u w:val="none"/>
                <w:lang w:val="en-US" w:eastAsia="zh-CN" w:bidi="ar"/>
              </w:rPr>
              <w:t>，支持</w:t>
            </w: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w:t>
            </w:r>
            <w:r>
              <w:rPr>
                <w:rFonts w:hint="default" w:ascii="宋体" w:hAnsi="宋体" w:eastAsia="宋体" w:cs="宋体"/>
                <w:i w:val="0"/>
                <w:iCs w:val="0"/>
                <w:color w:val="000000"/>
                <w:kern w:val="0"/>
                <w:sz w:val="20"/>
                <w:szCs w:val="20"/>
                <w:u w:val="none"/>
                <w:lang w:val="en-US" w:eastAsia="zh-CN" w:bidi="ar"/>
              </w:rPr>
              <w:t>2.5G</w:t>
            </w:r>
            <w:r>
              <w:rPr>
                <w:rFonts w:hint="eastAsia" w:ascii="宋体" w:hAnsi="宋体" w:eastAsia="宋体" w:cs="宋体"/>
                <w:i w:val="0"/>
                <w:iCs w:val="0"/>
                <w:color w:val="000000"/>
                <w:kern w:val="0"/>
                <w:sz w:val="20"/>
                <w:szCs w:val="20"/>
                <w:u w:val="none"/>
                <w:lang w:val="en-US" w:eastAsia="zh-CN" w:bidi="ar"/>
              </w:rPr>
              <w:t>固化以太网接口。</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PoE</w:t>
            </w:r>
            <w:r>
              <w:rPr>
                <w:rFonts w:hint="eastAsia" w:ascii="宋体" w:hAnsi="宋体" w:eastAsia="宋体" w:cs="宋体"/>
                <w:i w:val="0"/>
                <w:iCs w:val="0"/>
                <w:color w:val="000000"/>
                <w:kern w:val="0"/>
                <w:sz w:val="20"/>
                <w:szCs w:val="20"/>
                <w:u w:val="none"/>
                <w:lang w:val="en-US" w:eastAsia="zh-CN" w:bidi="ar"/>
              </w:rPr>
              <w:t>以太网供电（支持</w:t>
            </w:r>
            <w:r>
              <w:rPr>
                <w:rFonts w:hint="default" w:ascii="宋体" w:hAnsi="宋体" w:eastAsia="宋体" w:cs="宋体"/>
                <w:i w:val="0"/>
                <w:iCs w:val="0"/>
                <w:color w:val="000000"/>
                <w:kern w:val="0"/>
                <w:sz w:val="20"/>
                <w:szCs w:val="20"/>
                <w:u w:val="none"/>
                <w:lang w:val="en-US" w:eastAsia="zh-CN" w:bidi="ar"/>
              </w:rPr>
              <w:t>IEEE 802.3at</w:t>
            </w:r>
            <w:r>
              <w:rPr>
                <w:rFonts w:hint="eastAsia" w:ascii="宋体" w:hAnsi="宋体" w:eastAsia="宋体" w:cs="宋体"/>
                <w:i w:val="0"/>
                <w:iCs w:val="0"/>
                <w:color w:val="000000"/>
                <w:kern w:val="0"/>
                <w:sz w:val="20"/>
                <w:szCs w:val="20"/>
                <w:u w:val="none"/>
                <w:lang w:val="en-US" w:eastAsia="zh-CN" w:bidi="ar"/>
              </w:rPr>
              <w:t>兼容供电）</w:t>
            </w:r>
          </w:p>
        </w:tc>
        <w:tc>
          <w:tcPr>
            <w:tcW w:w="5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C8487">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1.1U机架，实配固化千兆电接口数≥24个，万兆SFP光口≥4个，最大可用端口≥28个</w:t>
            </w:r>
          </w:p>
          <w:p w14:paraId="12FFA597">
            <w:pPr>
              <w:keepNext w:val="0"/>
              <w:keepLines w:val="0"/>
              <w:widowControl/>
              <w:suppressLineNumbers w:val="0"/>
              <w:jc w:val="both"/>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2.交换容量≥336Gbps，包转发率≥108Mpps</w:t>
            </w:r>
          </w:p>
        </w:tc>
      </w:tr>
      <w:tr w14:paraId="3A52E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 w:type="dxa"/>
          <w:trHeight w:val="557" w:hRule="atLeast"/>
        </w:trPr>
        <w:tc>
          <w:tcPr>
            <w:tcW w:w="827"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57225DA7">
            <w:pPr>
              <w:jc w:val="center"/>
              <w:rPr>
                <w:rFonts w:hint="eastAsia" w:ascii="宋体" w:hAnsi="宋体" w:eastAsia="宋体" w:cs="宋体"/>
                <w:i w:val="0"/>
                <w:iCs w:val="0"/>
                <w:color w:val="000000"/>
                <w:sz w:val="20"/>
                <w:szCs w:val="20"/>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DDD9C4"/>
            <w:noWrap/>
            <w:vAlign w:val="center"/>
          </w:tcPr>
          <w:p w14:paraId="38021E5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一层综合办公</w:t>
            </w:r>
          </w:p>
        </w:tc>
        <w:tc>
          <w:tcPr>
            <w:tcW w:w="6105" w:type="dxa"/>
            <w:gridSpan w:val="3"/>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6F82148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修改前</w:t>
            </w:r>
          </w:p>
        </w:tc>
        <w:tc>
          <w:tcPr>
            <w:tcW w:w="4992"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2033E57B">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修改后</w:t>
            </w:r>
          </w:p>
        </w:tc>
      </w:tr>
      <w:tr w14:paraId="0E8FC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4" w:type="dxa"/>
          <w:trHeight w:val="1800" w:hRule="atLeast"/>
        </w:trPr>
        <w:tc>
          <w:tcPr>
            <w:tcW w:w="827"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8B33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720A2">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口</w:t>
            </w:r>
            <w:r>
              <w:rPr>
                <w:rFonts w:hint="default" w:ascii="宋体" w:hAnsi="宋体" w:eastAsia="宋体" w:cs="宋体"/>
                <w:i w:val="0"/>
                <w:iCs w:val="0"/>
                <w:color w:val="000000"/>
                <w:kern w:val="0"/>
                <w:sz w:val="20"/>
                <w:szCs w:val="20"/>
                <w:u w:val="none"/>
                <w:lang w:val="en-US" w:eastAsia="zh-CN" w:bidi="ar"/>
              </w:rPr>
              <w:t>poe</w:t>
            </w:r>
            <w:r>
              <w:rPr>
                <w:rFonts w:hint="eastAsia" w:ascii="宋体" w:hAnsi="宋体" w:eastAsia="宋体" w:cs="宋体"/>
                <w:i w:val="0"/>
                <w:iCs w:val="0"/>
                <w:color w:val="000000"/>
                <w:kern w:val="0"/>
                <w:sz w:val="20"/>
                <w:szCs w:val="20"/>
                <w:u w:val="none"/>
                <w:lang w:val="en-US" w:eastAsia="zh-CN" w:bidi="ar"/>
              </w:rPr>
              <w:t>接入交换机</w:t>
            </w:r>
          </w:p>
        </w:tc>
        <w:tc>
          <w:tcPr>
            <w:tcW w:w="6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5C0094">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IEEE 802.11be</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802.11ax</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802.11ac wave2/wave1</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802.11a/b/g/n</w:t>
            </w:r>
            <w:r>
              <w:rPr>
                <w:rFonts w:hint="eastAsia" w:ascii="宋体" w:hAnsi="宋体" w:eastAsia="宋体" w:cs="宋体"/>
                <w:i w:val="0"/>
                <w:iCs w:val="0"/>
                <w:color w:val="000000"/>
                <w:kern w:val="0"/>
                <w:sz w:val="20"/>
                <w:szCs w:val="20"/>
                <w:u w:val="none"/>
                <w:lang w:val="en-US" w:eastAsia="zh-CN" w:bidi="ar"/>
              </w:rPr>
              <w:t>同时工作。</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支持双频</w:t>
            </w:r>
            <w:r>
              <w:rPr>
                <w:rFonts w:hint="default" w:ascii="宋体" w:hAnsi="宋体" w:eastAsia="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条流，整机最大接入速率</w:t>
            </w:r>
            <w:r>
              <w:rPr>
                <w:rFonts w:hint="default" w:ascii="宋体" w:hAnsi="宋体" w:eastAsia="宋体" w:cs="宋体"/>
                <w:i w:val="0"/>
                <w:iCs w:val="0"/>
                <w:color w:val="000000"/>
                <w:kern w:val="0"/>
                <w:sz w:val="20"/>
                <w:szCs w:val="20"/>
                <w:u w:val="none"/>
                <w:lang w:val="en-US" w:eastAsia="zh-CN" w:bidi="ar"/>
              </w:rPr>
              <w:t>3570Mbps</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标准</w:t>
            </w:r>
            <w:r>
              <w:rPr>
                <w:rFonts w:hint="default" w:ascii="宋体" w:hAnsi="宋体" w:eastAsia="宋体" w:cs="宋体"/>
                <w:i w:val="0"/>
                <w:iCs w:val="0"/>
                <w:color w:val="000000"/>
                <w:kern w:val="0"/>
                <w:sz w:val="20"/>
                <w:szCs w:val="20"/>
                <w:u w:val="none"/>
                <w:lang w:val="en-US" w:eastAsia="zh-CN" w:bidi="ar"/>
              </w:rPr>
              <w:t>86</w:t>
            </w:r>
            <w:r>
              <w:rPr>
                <w:rFonts w:hint="eastAsia" w:ascii="宋体" w:hAnsi="宋体" w:eastAsia="宋体" w:cs="宋体"/>
                <w:i w:val="0"/>
                <w:iCs w:val="0"/>
                <w:color w:val="000000"/>
                <w:kern w:val="0"/>
                <w:sz w:val="20"/>
                <w:szCs w:val="20"/>
                <w:u w:val="none"/>
                <w:lang w:val="en-US" w:eastAsia="zh-CN" w:bidi="ar"/>
              </w:rPr>
              <w:t>面板</w:t>
            </w:r>
            <w:r>
              <w:rPr>
                <w:rFonts w:hint="default" w:ascii="宋体" w:hAnsi="宋体" w:eastAsia="宋体" w:cs="宋体"/>
                <w:i w:val="0"/>
                <w:iCs w:val="0"/>
                <w:color w:val="000000"/>
                <w:kern w:val="0"/>
                <w:sz w:val="20"/>
                <w:szCs w:val="20"/>
                <w:u w:val="none"/>
                <w:lang w:val="en-US" w:eastAsia="zh-CN" w:bidi="ar"/>
              </w:rPr>
              <w:t>AP</w:t>
            </w:r>
            <w:r>
              <w:rPr>
                <w:rFonts w:hint="eastAsia" w:ascii="宋体" w:hAnsi="宋体" w:eastAsia="宋体" w:cs="宋体"/>
                <w:i w:val="0"/>
                <w:iCs w:val="0"/>
                <w:color w:val="000000"/>
                <w:kern w:val="0"/>
                <w:sz w:val="20"/>
                <w:szCs w:val="20"/>
                <w:u w:val="none"/>
                <w:lang w:val="en-US" w:eastAsia="zh-CN" w:bidi="ar"/>
              </w:rPr>
              <w:t>，整机自带：</w:t>
            </w: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个上联</w:t>
            </w:r>
            <w:r>
              <w:rPr>
                <w:rFonts w:hint="default" w:ascii="宋体" w:hAnsi="宋体" w:eastAsia="宋体" w:cs="宋体"/>
                <w:i w:val="0"/>
                <w:iCs w:val="0"/>
                <w:color w:val="000000"/>
                <w:kern w:val="0"/>
                <w:sz w:val="20"/>
                <w:szCs w:val="20"/>
                <w:u w:val="none"/>
                <w:lang w:val="en-US" w:eastAsia="zh-CN" w:bidi="ar"/>
              </w:rPr>
              <w:t>10/100/1000/2500Mbps</w:t>
            </w:r>
            <w:r>
              <w:rPr>
                <w:rFonts w:hint="eastAsia" w:ascii="宋体" w:hAnsi="宋体" w:eastAsia="宋体" w:cs="宋体"/>
                <w:i w:val="0"/>
                <w:iCs w:val="0"/>
                <w:color w:val="000000"/>
                <w:kern w:val="0"/>
                <w:sz w:val="20"/>
                <w:szCs w:val="20"/>
                <w:u w:val="none"/>
                <w:lang w:val="en-US" w:eastAsia="zh-CN" w:bidi="ar"/>
              </w:rPr>
              <w:t>自适应以太网接口，</w:t>
            </w: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个下联</w:t>
            </w:r>
            <w:r>
              <w:rPr>
                <w:rFonts w:hint="default" w:ascii="宋体" w:hAnsi="宋体" w:eastAsia="宋体" w:cs="宋体"/>
                <w:i w:val="0"/>
                <w:iCs w:val="0"/>
                <w:color w:val="000000"/>
                <w:kern w:val="0"/>
                <w:sz w:val="20"/>
                <w:szCs w:val="20"/>
                <w:u w:val="none"/>
                <w:lang w:val="en-US" w:eastAsia="zh-CN" w:bidi="ar"/>
              </w:rPr>
              <w:t>10/100/1000Mbps</w:t>
            </w:r>
            <w:r>
              <w:rPr>
                <w:rFonts w:hint="eastAsia" w:ascii="宋体" w:hAnsi="宋体" w:eastAsia="宋体" w:cs="宋体"/>
                <w:i w:val="0"/>
                <w:iCs w:val="0"/>
                <w:color w:val="000000"/>
                <w:kern w:val="0"/>
                <w:sz w:val="20"/>
                <w:szCs w:val="20"/>
                <w:u w:val="none"/>
                <w:lang w:val="en-US" w:eastAsia="zh-CN" w:bidi="ar"/>
              </w:rPr>
              <w:t>自适应以太网接口。</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PoE</w:t>
            </w:r>
            <w:r>
              <w:rPr>
                <w:rFonts w:hint="eastAsia" w:ascii="宋体" w:hAnsi="宋体" w:eastAsia="宋体" w:cs="宋体"/>
                <w:i w:val="0"/>
                <w:iCs w:val="0"/>
                <w:color w:val="000000"/>
                <w:kern w:val="0"/>
                <w:sz w:val="20"/>
                <w:szCs w:val="20"/>
                <w:u w:val="none"/>
                <w:lang w:val="en-US" w:eastAsia="zh-CN" w:bidi="ar"/>
              </w:rPr>
              <w:t>以太网供电（支持</w:t>
            </w:r>
            <w:r>
              <w:rPr>
                <w:rFonts w:hint="default" w:ascii="宋体" w:hAnsi="宋体" w:eastAsia="宋体" w:cs="宋体"/>
                <w:i w:val="0"/>
                <w:iCs w:val="0"/>
                <w:color w:val="000000"/>
                <w:kern w:val="0"/>
                <w:sz w:val="20"/>
                <w:szCs w:val="20"/>
                <w:u w:val="none"/>
                <w:lang w:val="en-US" w:eastAsia="zh-CN" w:bidi="ar"/>
              </w:rPr>
              <w:t>IEEE 802.3af/802.3at</w:t>
            </w:r>
            <w:r>
              <w:rPr>
                <w:rFonts w:hint="eastAsia" w:ascii="宋体" w:hAnsi="宋体" w:eastAsia="宋体" w:cs="宋体"/>
                <w:i w:val="0"/>
                <w:iCs w:val="0"/>
                <w:color w:val="000000"/>
                <w:kern w:val="0"/>
                <w:sz w:val="20"/>
                <w:szCs w:val="20"/>
                <w:u w:val="none"/>
                <w:lang w:val="en-US" w:eastAsia="zh-CN" w:bidi="ar"/>
              </w:rPr>
              <w:t>兼容供电）</w:t>
            </w:r>
          </w:p>
        </w:tc>
        <w:tc>
          <w:tcPr>
            <w:tcW w:w="4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F032">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1.1U机架，实配固化千兆电接口数≥24个，万兆SFP光口≥4个，最大可用端口≥28个</w:t>
            </w:r>
          </w:p>
          <w:p w14:paraId="7550873D">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2.支持PoE供电口≥24个，整机最大PoE供电功率370W，单端口最大PoE供电功率30W</w:t>
            </w:r>
          </w:p>
          <w:p w14:paraId="4D22EB95">
            <w:pPr>
              <w:keepNext w:val="0"/>
              <w:keepLines w:val="0"/>
              <w:widowControl/>
              <w:suppressLineNumbers w:val="0"/>
              <w:jc w:val="both"/>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3.交换容量≥336Gbps，包转发率≥108Mpps</w:t>
            </w:r>
          </w:p>
        </w:tc>
      </w:tr>
      <w:tr w14:paraId="6E955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 w:type="dxa"/>
          <w:trHeight w:val="472" w:hRule="atLeast"/>
        </w:trPr>
        <w:tc>
          <w:tcPr>
            <w:tcW w:w="827"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0DC9F2D1">
            <w:pPr>
              <w:jc w:val="center"/>
              <w:rPr>
                <w:rFonts w:hint="eastAsia" w:ascii="宋体" w:hAnsi="宋体" w:eastAsia="宋体" w:cs="宋体"/>
                <w:i w:val="0"/>
                <w:iCs w:val="0"/>
                <w:color w:val="000000"/>
                <w:sz w:val="20"/>
                <w:szCs w:val="20"/>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DDD9C4"/>
            <w:noWrap/>
            <w:vAlign w:val="center"/>
          </w:tcPr>
          <w:p w14:paraId="2E8093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一层设备网</w:t>
            </w:r>
          </w:p>
        </w:tc>
        <w:tc>
          <w:tcPr>
            <w:tcW w:w="6105" w:type="dxa"/>
            <w:gridSpan w:val="3"/>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519E71F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4992"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0D3F1F45">
            <w:pPr>
              <w:jc w:val="center"/>
              <w:rPr>
                <w:rFonts w:hint="eastAsia" w:ascii="宋体" w:hAnsi="宋体" w:eastAsia="宋体" w:cs="宋体"/>
                <w:i w:val="0"/>
                <w:iCs w:val="0"/>
                <w:color w:val="000000"/>
                <w:sz w:val="20"/>
                <w:szCs w:val="20"/>
                <w:u w:val="none"/>
              </w:rPr>
            </w:pPr>
          </w:p>
        </w:tc>
      </w:tr>
      <w:tr w14:paraId="43F42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4" w:type="dxa"/>
          <w:trHeight w:val="1800" w:hRule="atLeast"/>
        </w:trPr>
        <w:tc>
          <w:tcPr>
            <w:tcW w:w="827"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9316A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6C25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口</w:t>
            </w:r>
            <w:r>
              <w:rPr>
                <w:rFonts w:hint="default" w:ascii="宋体" w:hAnsi="宋体" w:eastAsia="宋体" w:cs="宋体"/>
                <w:i w:val="0"/>
                <w:iCs w:val="0"/>
                <w:color w:val="000000"/>
                <w:kern w:val="0"/>
                <w:sz w:val="20"/>
                <w:szCs w:val="20"/>
                <w:u w:val="none"/>
                <w:lang w:val="en-US" w:eastAsia="zh-CN" w:bidi="ar"/>
              </w:rPr>
              <w:t>poe</w:t>
            </w:r>
            <w:r>
              <w:rPr>
                <w:rFonts w:hint="eastAsia" w:ascii="宋体" w:hAnsi="宋体" w:eastAsia="宋体" w:cs="宋体"/>
                <w:i w:val="0"/>
                <w:iCs w:val="0"/>
                <w:color w:val="000000"/>
                <w:kern w:val="0"/>
                <w:sz w:val="20"/>
                <w:szCs w:val="20"/>
                <w:u w:val="none"/>
                <w:lang w:val="en-US" w:eastAsia="zh-CN" w:bidi="ar"/>
              </w:rPr>
              <w:t>接入交换机</w:t>
            </w:r>
          </w:p>
        </w:tc>
        <w:tc>
          <w:tcPr>
            <w:tcW w:w="6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CC92B8">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IEEE 802.11be</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802.11ax</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802.11ac wave2/wave1</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t>IEEE 802.11a/b/g/n</w:t>
            </w:r>
            <w:r>
              <w:rPr>
                <w:rFonts w:hint="eastAsia" w:ascii="宋体" w:hAnsi="宋体" w:eastAsia="宋体" w:cs="宋体"/>
                <w:i w:val="0"/>
                <w:iCs w:val="0"/>
                <w:color w:val="000000"/>
                <w:kern w:val="0"/>
                <w:sz w:val="20"/>
                <w:szCs w:val="20"/>
                <w:u w:val="none"/>
                <w:lang w:val="en-US" w:eastAsia="zh-CN" w:bidi="ar"/>
              </w:rPr>
              <w:t>同时工作。</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支持双频</w:t>
            </w:r>
            <w:r>
              <w:rPr>
                <w:rFonts w:hint="default" w:ascii="宋体" w:hAnsi="宋体" w:eastAsia="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条流，整机最大接入速率</w:t>
            </w:r>
            <w:r>
              <w:rPr>
                <w:rFonts w:hint="default" w:ascii="宋体" w:hAnsi="宋体" w:eastAsia="宋体" w:cs="宋体"/>
                <w:i w:val="0"/>
                <w:iCs w:val="0"/>
                <w:color w:val="000000"/>
                <w:kern w:val="0"/>
                <w:sz w:val="20"/>
                <w:szCs w:val="20"/>
                <w:u w:val="none"/>
                <w:lang w:val="en-US" w:eastAsia="zh-CN" w:bidi="ar"/>
              </w:rPr>
              <w:t>3570Mbps</w:t>
            </w:r>
            <w:r>
              <w:rPr>
                <w:rFonts w:hint="eastAsia" w:ascii="宋体" w:hAnsi="宋体" w:eastAsia="宋体" w:cs="宋体"/>
                <w:i w:val="0"/>
                <w:iCs w:val="0"/>
                <w:color w:val="000000"/>
                <w:kern w:val="0"/>
                <w:sz w:val="20"/>
                <w:szCs w:val="20"/>
                <w:u w:val="none"/>
                <w:lang w:val="en-US" w:eastAsia="zh-CN" w:bidi="ar"/>
              </w:rPr>
              <w:t>。</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标准</w:t>
            </w:r>
            <w:r>
              <w:rPr>
                <w:rFonts w:hint="default" w:ascii="宋体" w:hAnsi="宋体" w:eastAsia="宋体" w:cs="宋体"/>
                <w:i w:val="0"/>
                <w:iCs w:val="0"/>
                <w:color w:val="000000"/>
                <w:kern w:val="0"/>
                <w:sz w:val="20"/>
                <w:szCs w:val="20"/>
                <w:u w:val="none"/>
                <w:lang w:val="en-US" w:eastAsia="zh-CN" w:bidi="ar"/>
              </w:rPr>
              <w:t>86</w:t>
            </w:r>
            <w:r>
              <w:rPr>
                <w:rFonts w:hint="eastAsia" w:ascii="宋体" w:hAnsi="宋体" w:eastAsia="宋体" w:cs="宋体"/>
                <w:i w:val="0"/>
                <w:iCs w:val="0"/>
                <w:color w:val="000000"/>
                <w:kern w:val="0"/>
                <w:sz w:val="20"/>
                <w:szCs w:val="20"/>
                <w:u w:val="none"/>
                <w:lang w:val="en-US" w:eastAsia="zh-CN" w:bidi="ar"/>
              </w:rPr>
              <w:t>面板</w:t>
            </w:r>
            <w:r>
              <w:rPr>
                <w:rFonts w:hint="default" w:ascii="宋体" w:hAnsi="宋体" w:eastAsia="宋体" w:cs="宋体"/>
                <w:i w:val="0"/>
                <w:iCs w:val="0"/>
                <w:color w:val="000000"/>
                <w:kern w:val="0"/>
                <w:sz w:val="20"/>
                <w:szCs w:val="20"/>
                <w:u w:val="none"/>
                <w:lang w:val="en-US" w:eastAsia="zh-CN" w:bidi="ar"/>
              </w:rPr>
              <w:t>AP</w:t>
            </w:r>
            <w:r>
              <w:rPr>
                <w:rFonts w:hint="eastAsia" w:ascii="宋体" w:hAnsi="宋体" w:eastAsia="宋体" w:cs="宋体"/>
                <w:i w:val="0"/>
                <w:iCs w:val="0"/>
                <w:color w:val="000000"/>
                <w:kern w:val="0"/>
                <w:sz w:val="20"/>
                <w:szCs w:val="20"/>
                <w:u w:val="none"/>
                <w:lang w:val="en-US" w:eastAsia="zh-CN" w:bidi="ar"/>
              </w:rPr>
              <w:t>，整机自带：</w:t>
            </w: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个上联</w:t>
            </w:r>
            <w:r>
              <w:rPr>
                <w:rFonts w:hint="default" w:ascii="宋体" w:hAnsi="宋体" w:eastAsia="宋体" w:cs="宋体"/>
                <w:i w:val="0"/>
                <w:iCs w:val="0"/>
                <w:color w:val="000000"/>
                <w:kern w:val="0"/>
                <w:sz w:val="20"/>
                <w:szCs w:val="20"/>
                <w:u w:val="none"/>
                <w:lang w:val="en-US" w:eastAsia="zh-CN" w:bidi="ar"/>
              </w:rPr>
              <w:t>10/100/1000/2500Mbps</w:t>
            </w:r>
            <w:r>
              <w:rPr>
                <w:rFonts w:hint="eastAsia" w:ascii="宋体" w:hAnsi="宋体" w:eastAsia="宋体" w:cs="宋体"/>
                <w:i w:val="0"/>
                <w:iCs w:val="0"/>
                <w:color w:val="000000"/>
                <w:kern w:val="0"/>
                <w:sz w:val="20"/>
                <w:szCs w:val="20"/>
                <w:u w:val="none"/>
                <w:lang w:val="en-US" w:eastAsia="zh-CN" w:bidi="ar"/>
              </w:rPr>
              <w:t>自适应以太网接口，</w:t>
            </w:r>
            <w:r>
              <w:rPr>
                <w:rFonts w:hint="default" w:ascii="宋体" w:hAnsi="宋体" w:eastAsia="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个下联</w:t>
            </w:r>
            <w:r>
              <w:rPr>
                <w:rFonts w:hint="default" w:ascii="宋体" w:hAnsi="宋体" w:eastAsia="宋体" w:cs="宋体"/>
                <w:i w:val="0"/>
                <w:iCs w:val="0"/>
                <w:color w:val="000000"/>
                <w:kern w:val="0"/>
                <w:sz w:val="20"/>
                <w:szCs w:val="20"/>
                <w:u w:val="none"/>
                <w:lang w:val="en-US" w:eastAsia="zh-CN" w:bidi="ar"/>
              </w:rPr>
              <w:t>10/100/1000Mbps</w:t>
            </w:r>
            <w:r>
              <w:rPr>
                <w:rFonts w:hint="eastAsia" w:ascii="宋体" w:hAnsi="宋体" w:eastAsia="宋体" w:cs="宋体"/>
                <w:i w:val="0"/>
                <w:iCs w:val="0"/>
                <w:color w:val="000000"/>
                <w:kern w:val="0"/>
                <w:sz w:val="20"/>
                <w:szCs w:val="20"/>
                <w:u w:val="none"/>
                <w:lang w:val="en-US" w:eastAsia="zh-CN" w:bidi="ar"/>
              </w:rPr>
              <w:t>自适应以太网接口。</w:t>
            </w:r>
            <w:r>
              <w:rPr>
                <w:rFonts w:hint="default" w:ascii="宋体" w:hAnsi="宋体" w:eastAsia="宋体" w:cs="宋体"/>
                <w:i w:val="0"/>
                <w:iCs w:val="0"/>
                <w:color w:val="000000"/>
                <w:kern w:val="0"/>
                <w:sz w:val="20"/>
                <w:szCs w:val="20"/>
                <w:u w:val="none"/>
                <w:lang w:val="en-US" w:eastAsia="zh-CN" w:bidi="ar"/>
              </w:rPr>
              <w:br w:type="textWrapping"/>
            </w:r>
            <w:r>
              <w:rPr>
                <w:rFonts w:hint="default" w:ascii="宋体" w:hAnsi="宋体" w:eastAsia="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支持标准</w:t>
            </w:r>
            <w:r>
              <w:rPr>
                <w:rFonts w:hint="default" w:ascii="宋体" w:hAnsi="宋体" w:eastAsia="宋体" w:cs="宋体"/>
                <w:i w:val="0"/>
                <w:iCs w:val="0"/>
                <w:color w:val="000000"/>
                <w:kern w:val="0"/>
                <w:sz w:val="20"/>
                <w:szCs w:val="20"/>
                <w:u w:val="none"/>
                <w:lang w:val="en-US" w:eastAsia="zh-CN" w:bidi="ar"/>
              </w:rPr>
              <w:t>PoE</w:t>
            </w:r>
            <w:r>
              <w:rPr>
                <w:rFonts w:hint="eastAsia" w:ascii="宋体" w:hAnsi="宋体" w:eastAsia="宋体" w:cs="宋体"/>
                <w:i w:val="0"/>
                <w:iCs w:val="0"/>
                <w:color w:val="000000"/>
                <w:kern w:val="0"/>
                <w:sz w:val="20"/>
                <w:szCs w:val="20"/>
                <w:u w:val="none"/>
                <w:lang w:val="en-US" w:eastAsia="zh-CN" w:bidi="ar"/>
              </w:rPr>
              <w:t>以太网供电（支持</w:t>
            </w:r>
            <w:r>
              <w:rPr>
                <w:rFonts w:hint="default" w:ascii="宋体" w:hAnsi="宋体" w:eastAsia="宋体" w:cs="宋体"/>
                <w:i w:val="0"/>
                <w:iCs w:val="0"/>
                <w:color w:val="000000"/>
                <w:kern w:val="0"/>
                <w:sz w:val="20"/>
                <w:szCs w:val="20"/>
                <w:u w:val="none"/>
                <w:lang w:val="en-US" w:eastAsia="zh-CN" w:bidi="ar"/>
              </w:rPr>
              <w:t>IEEE 802.3af/802.3at</w:t>
            </w:r>
            <w:r>
              <w:rPr>
                <w:rFonts w:hint="eastAsia" w:ascii="宋体" w:hAnsi="宋体" w:eastAsia="宋体" w:cs="宋体"/>
                <w:i w:val="0"/>
                <w:iCs w:val="0"/>
                <w:color w:val="000000"/>
                <w:kern w:val="0"/>
                <w:sz w:val="20"/>
                <w:szCs w:val="20"/>
                <w:u w:val="none"/>
                <w:lang w:val="en-US" w:eastAsia="zh-CN" w:bidi="ar"/>
              </w:rPr>
              <w:t>兼容供电）</w:t>
            </w:r>
          </w:p>
        </w:tc>
        <w:tc>
          <w:tcPr>
            <w:tcW w:w="4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541F">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1.1U机架，实配固化千兆电接口数≥24个，万兆SFP光口≥4个，最大可用端口≥28个</w:t>
            </w:r>
          </w:p>
          <w:p w14:paraId="7571CFC8">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2.支持PoE供电口≥24个，整机最大PoE供电功率370W，单端口最大PoE供电功率30W</w:t>
            </w:r>
          </w:p>
          <w:p w14:paraId="7EF1B490">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3.交换容量≥336Gbps，包转发率≥108Mpps</w:t>
            </w:r>
          </w:p>
        </w:tc>
      </w:tr>
    </w:tbl>
    <w:p w14:paraId="1C636D5D">
      <w:pPr>
        <w:rPr>
          <w:rFonts w:hint="eastAsia" w:eastAsiaTheme="minorEastAsia"/>
          <w:lang w:val="en-US" w:eastAsia="zh-CN"/>
        </w:rPr>
      </w:pPr>
    </w:p>
    <w:p w14:paraId="77562F53">
      <w:pPr>
        <w:rPr>
          <w:rFonts w:hint="eastAsia" w:eastAsiaTheme="minorEastAsia"/>
          <w:lang w:val="en-US" w:eastAsia="zh-CN"/>
        </w:rPr>
      </w:pPr>
    </w:p>
    <w:p w14:paraId="2E259222">
      <w:pPr>
        <w:rPr>
          <w:rFonts w:hint="eastAsia" w:eastAsiaTheme="minorEastAsia"/>
          <w:lang w:val="en-US" w:eastAsia="zh-CN"/>
        </w:rPr>
      </w:pPr>
    </w:p>
    <w:p w14:paraId="12048566">
      <w:pPr>
        <w:rPr>
          <w:rFonts w:hint="eastAsia" w:eastAsiaTheme="minorEastAsia"/>
          <w:lang w:val="en-US" w:eastAsia="zh-CN"/>
        </w:rPr>
      </w:pPr>
    </w:p>
    <w:p w14:paraId="4C6F944B">
      <w:pPr>
        <w:rPr>
          <w:rFonts w:hint="eastAsia" w:eastAsiaTheme="minorEastAsia"/>
          <w:lang w:val="en-US" w:eastAsia="zh-CN"/>
        </w:rPr>
      </w:pPr>
    </w:p>
    <w:p w14:paraId="08D3D2EB">
      <w:pPr>
        <w:rPr>
          <w:rFonts w:hint="eastAsia" w:eastAsiaTheme="minorEastAsia"/>
          <w:lang w:val="en-US" w:eastAsia="zh-CN"/>
        </w:rPr>
      </w:pPr>
    </w:p>
    <w:p w14:paraId="735EF56F">
      <w:pPr>
        <w:rPr>
          <w:rFonts w:hint="eastAsia" w:eastAsiaTheme="minorEastAsia"/>
          <w:lang w:val="en-US" w:eastAsia="zh-CN"/>
        </w:rPr>
      </w:pPr>
    </w:p>
    <w:p w14:paraId="208BD761">
      <w:pPr>
        <w:rPr>
          <w:rFonts w:hint="eastAsia" w:eastAsiaTheme="minorEastAsia"/>
          <w:lang w:val="en-US" w:eastAsia="zh-CN"/>
        </w:rPr>
      </w:pPr>
    </w:p>
    <w:p w14:paraId="723D0364">
      <w:pPr>
        <w:rPr>
          <w:rFonts w:hint="eastAsia" w:eastAsiaTheme="minorEastAsia"/>
          <w:lang w:val="en-US" w:eastAsia="zh-CN"/>
        </w:rPr>
      </w:pPr>
    </w:p>
    <w:p w14:paraId="7A920A53">
      <w:pPr>
        <w:rPr>
          <w:rFonts w:hint="eastAsia" w:eastAsiaTheme="minorEastAsia"/>
          <w:lang w:val="en-US" w:eastAsia="zh-CN"/>
        </w:rPr>
      </w:pPr>
    </w:p>
    <w:p w14:paraId="382974F5">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5"/>
        <w:gridCol w:w="2349"/>
        <w:gridCol w:w="5743"/>
        <w:gridCol w:w="5007"/>
      </w:tblGrid>
      <w:tr w14:paraId="11634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DDD9C4"/>
            <w:vAlign w:val="center"/>
          </w:tcPr>
          <w:p w14:paraId="3F4A73B3">
            <w:pPr>
              <w:jc w:val="center"/>
              <w:rPr>
                <w:rFonts w:hint="eastAsia" w:ascii="宋体" w:hAnsi="宋体" w:eastAsia="宋体" w:cs="宋体"/>
                <w:i w:val="0"/>
                <w:iCs w:val="0"/>
                <w:color w:val="000000"/>
                <w:sz w:val="20"/>
                <w:szCs w:val="20"/>
                <w:u w:val="none"/>
              </w:rPr>
            </w:pPr>
          </w:p>
        </w:tc>
        <w:tc>
          <w:tcPr>
            <w:tcW w:w="2349" w:type="dxa"/>
            <w:tcBorders>
              <w:top w:val="single" w:color="000000" w:sz="4" w:space="0"/>
              <w:left w:val="single" w:color="000000" w:sz="4" w:space="0"/>
              <w:bottom w:val="single" w:color="000000" w:sz="4" w:space="0"/>
              <w:right w:val="single" w:color="000000" w:sz="4" w:space="0"/>
            </w:tcBorders>
            <w:shd w:val="clear" w:color="FFFFFF" w:fill="DDD9C4"/>
            <w:vAlign w:val="center"/>
          </w:tcPr>
          <w:p w14:paraId="2588B2F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3F东50.63（公安共享办公室）（利旧）5F东公共区域（利旧）5F见证室（利旧）</w:t>
            </w:r>
          </w:p>
        </w:tc>
        <w:tc>
          <w:tcPr>
            <w:tcW w:w="5743" w:type="dxa"/>
            <w:tcBorders>
              <w:top w:val="single" w:color="000000" w:sz="4" w:space="0"/>
              <w:left w:val="single" w:color="000000" w:sz="4" w:space="0"/>
              <w:bottom w:val="single" w:color="000000" w:sz="4" w:space="0"/>
              <w:right w:val="single" w:color="000000" w:sz="4" w:space="0"/>
            </w:tcBorders>
            <w:shd w:val="clear" w:color="FFFFFF" w:fill="DDD9C4"/>
            <w:vAlign w:val="center"/>
          </w:tcPr>
          <w:p w14:paraId="57278D3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修改前</w:t>
            </w:r>
          </w:p>
        </w:tc>
        <w:tc>
          <w:tcPr>
            <w:tcW w:w="5007" w:type="dxa"/>
            <w:tcBorders>
              <w:top w:val="single" w:color="000000" w:sz="4" w:space="0"/>
              <w:left w:val="single" w:color="000000" w:sz="4" w:space="0"/>
              <w:bottom w:val="single" w:color="000000" w:sz="4" w:space="0"/>
              <w:right w:val="single" w:color="000000" w:sz="4" w:space="0"/>
            </w:tcBorders>
            <w:shd w:val="clear" w:color="FFFFFF" w:fill="DDD9C4"/>
            <w:vAlign w:val="center"/>
          </w:tcPr>
          <w:p w14:paraId="09778BEC">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修改后</w:t>
            </w:r>
          </w:p>
        </w:tc>
      </w:tr>
      <w:tr w14:paraId="32AD7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0"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82E71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34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19D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LCD拼接屏支架</w:t>
            </w:r>
          </w:p>
        </w:tc>
        <w:tc>
          <w:tcPr>
            <w:tcW w:w="574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4E1B4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气动前维护壁挂支架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可前维护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快速安装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标配物料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支持现场扩容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适合5行10列以内的拼接规模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产品配置：仅壁挂支架，无更多配置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材质：优质冷轧钢板(SPCC)，材料厚度从T1.0-T5不等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备注说明：需要承重墙，且墙面平整；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因需要前后运动，实际物理拼缝会较理论更大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颜色：黑色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厚度：支架+屏幕=123.2+屏幕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表面处理：静电喷塑，涂层厚度&gt;60微米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LOGO：支架主体中性，包装或标签上带HIKVISION；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弧度：0°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适用规模：不超过5行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可定制范围：厚度，颜色，四周封板</w:t>
            </w:r>
          </w:p>
        </w:tc>
        <w:tc>
          <w:tcPr>
            <w:tcW w:w="500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4EB0E4">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气动前维护壁挂支架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可前维护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快速安装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标配物料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支持现场扩容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适合5行10列以内的拼接规模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产品配置：仅壁挂支架，无更多配置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材质：优质冷轧钢板(SPCC)，材料厚度从T1.0-T5不等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备注说明：需要承重墙，且墙面平整；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因需要前后运动，实际物理拼缝会较理论更大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颜色：黑色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厚度：支架+屏幕=123.2+屏幕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表面处理：静电喷塑，涂层厚度&gt;60微米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弧度：0°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适用规模：不超过5行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可定制范围：厚度，颜色，四周封板</w:t>
            </w:r>
          </w:p>
        </w:tc>
      </w:tr>
    </w:tbl>
    <w:p w14:paraId="1580C944">
      <w:pPr>
        <w:rPr>
          <w:rFonts w:hint="eastAsia" w:eastAsiaTheme="minorEastAsia"/>
          <w:lang w:val="en-US" w:eastAsia="zh-CN"/>
        </w:rPr>
      </w:pPr>
    </w:p>
    <w:p w14:paraId="577444FE">
      <w:pPr>
        <w:rPr>
          <w:rFonts w:hint="eastAsia" w:eastAsiaTheme="minorEastAsia"/>
          <w:lang w:val="en-US" w:eastAsia="zh-CN"/>
        </w:rPr>
      </w:pPr>
    </w:p>
    <w:p w14:paraId="4F4E4E55">
      <w:pPr>
        <w:rPr>
          <w:rFonts w:hint="eastAsia" w:eastAsiaTheme="minorEastAsia"/>
          <w:lang w:val="en-US" w:eastAsia="zh-CN"/>
        </w:rPr>
      </w:pPr>
    </w:p>
    <w:p w14:paraId="4F34E10C">
      <w:pPr>
        <w:rPr>
          <w:rFonts w:hint="eastAsia" w:eastAsiaTheme="minorEastAsia"/>
          <w:lang w:val="en-US" w:eastAsia="zh-CN"/>
        </w:rPr>
      </w:pPr>
    </w:p>
    <w:p w14:paraId="31C493B4">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2349"/>
        <w:gridCol w:w="5333"/>
        <w:gridCol w:w="5417"/>
      </w:tblGrid>
      <w:tr w14:paraId="58440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DDD9C4"/>
            <w:noWrap w:val="0"/>
            <w:vAlign w:val="center"/>
          </w:tcPr>
          <w:p w14:paraId="7F4FDB7B">
            <w:pPr>
              <w:jc w:val="right"/>
              <w:rPr>
                <w:rFonts w:hint="eastAsia" w:ascii="宋体" w:hAnsi="宋体" w:eastAsia="宋体" w:cs="宋体"/>
                <w:i w:val="0"/>
                <w:iCs w:val="0"/>
                <w:color w:val="000000"/>
                <w:sz w:val="20"/>
                <w:szCs w:val="20"/>
                <w:u w:val="none"/>
              </w:rPr>
            </w:pPr>
          </w:p>
        </w:tc>
        <w:tc>
          <w:tcPr>
            <w:tcW w:w="2349"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66364AC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1F监控中心3*4拼接屏电视墙</w:t>
            </w:r>
          </w:p>
        </w:tc>
        <w:tc>
          <w:tcPr>
            <w:tcW w:w="5333"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74804039">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修改前</w:t>
            </w:r>
          </w:p>
        </w:tc>
        <w:tc>
          <w:tcPr>
            <w:tcW w:w="5417"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20101A82">
            <w:pPr>
              <w:jc w:val="both"/>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09B74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FB8A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A5C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超高清解码器</w:t>
            </w:r>
          </w:p>
        </w:tc>
        <w:tc>
          <w:tcPr>
            <w:tcW w:w="533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ACFB0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7"/>
                <w:lang w:val="en-US" w:eastAsia="zh-CN" w:bidi="ar"/>
              </w:rPr>
              <w:t>超高清解码器</w:t>
            </w:r>
            <w:r>
              <w:rPr>
                <w:rStyle w:val="7"/>
                <w:lang w:val="en-US" w:eastAsia="zh-CN" w:bidi="ar"/>
              </w:rPr>
              <w:br w:type="textWrapping"/>
            </w:r>
            <w:r>
              <w:rPr>
                <w:rStyle w:val="7"/>
                <w:lang w:val="en-US" w:eastAsia="zh-CN" w:bidi="ar"/>
              </w:rPr>
              <w:t>视频输入</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支持网络IPC、NVR等设备类型作为网络信号源输入</w:t>
            </w:r>
            <w:r>
              <w:rPr>
                <w:rStyle w:val="7"/>
                <w:lang w:val="en-US" w:eastAsia="zh-CN" w:bidi="ar"/>
              </w:rPr>
              <w:br w:type="textWrapping"/>
            </w:r>
            <w:r>
              <w:rPr>
                <w:rStyle w:val="7"/>
                <w:lang w:val="en-US" w:eastAsia="zh-CN" w:bidi="ar"/>
              </w:rPr>
              <w:t>视频输出</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支持HDMI 1.4视频信号输出，支持4K分辨率（3840 × 2160@30 Hz）超高清输出；支持对接LED显示系统，视频输出最大的LED带载能力为单口260 W</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支持两种音频输出方式：HDMI内嵌音频和外置音频输出</w:t>
            </w:r>
            <w:r>
              <w:rPr>
                <w:rStyle w:val="7"/>
                <w:lang w:val="en-US" w:eastAsia="zh-CN" w:bidi="ar"/>
              </w:rPr>
              <w:br w:type="textWrapping"/>
            </w:r>
            <w:r>
              <w:rPr>
                <w:rStyle w:val="7"/>
                <w:lang w:val="en-US" w:eastAsia="zh-CN" w:bidi="ar"/>
              </w:rPr>
              <w:t>视频编解码</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采用H.264/H.265编码标准，默认采用H.265，支持子码流及主码流编码</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支持网络设备解码，支持H.264、H.265、Smart264、Smart265、MJPEG等主流码流格式，支持PS、TS、ES、RTP等主流封装格式，支持子码流及主码流切换</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最大支持3200w分辨率解码，具有192个解码通道，支持96路200W，或192路720P视频同时解码上墙</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支持加密码流、多轨码流、智能码流解码；支持码流修改和切换；支持解码异常提示</w:t>
            </w:r>
            <w:r>
              <w:rPr>
                <w:rStyle w:val="7"/>
                <w:lang w:val="en-US" w:eastAsia="zh-CN" w:bidi="ar"/>
              </w:rPr>
              <w:br w:type="textWrapping"/>
            </w:r>
            <w:r>
              <w:rPr>
                <w:rStyle w:val="7"/>
                <w:lang w:val="en-US" w:eastAsia="zh-CN" w:bidi="ar"/>
              </w:rPr>
              <w:t>电视墙功能</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支持单面电视墙拼接、开窗、窗口跨屏漫游、场景轮巡和窗口轮巡功能，单屏支持4个1080P或2个4K图层,单窗口支持1/4/6/8/9/16/25/36窗口分屏功能，整机最大支持64个场景，整机支持256个平台预案轮巡组</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支持RTP\RTSP协议进行网络源预览，可通过smartwall客户端进行桌面投屏上墙</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支持电视墙界面对网络信号源云台八个方向、自动扫描、光圈、调焦、聚焦、调用预置点等操作</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支持电视墙窗口开始/停止预览、开始/停止解码、开始/停止轮巡、打开/关闭声音、置顶、置底等操作</w:t>
            </w:r>
            <w:r>
              <w:rPr>
                <w:rStyle w:val="7"/>
                <w:lang w:val="en-US" w:eastAsia="zh-CN" w:bidi="ar"/>
              </w:rPr>
              <w:br w:type="textWrapping"/>
            </w:r>
            <w:r>
              <w:rPr>
                <w:rStyle w:val="7"/>
                <w:lang w:val="en-US" w:eastAsia="zh-CN" w:bidi="ar"/>
              </w:rPr>
              <w:t>视频解码格式：H.264，H.265，Smart264，Smart265，MJPEG</w:t>
            </w:r>
            <w:r>
              <w:rPr>
                <w:rStyle w:val="7"/>
                <w:lang w:val="en-US" w:eastAsia="zh-CN" w:bidi="ar"/>
              </w:rPr>
              <w:br w:type="textWrapping"/>
            </w:r>
            <w:r>
              <w:rPr>
                <w:rStyle w:val="7"/>
                <w:lang w:val="en-US" w:eastAsia="zh-CN" w:bidi="ar"/>
              </w:rPr>
              <w:t>解码分辨率：最高3200W像素</w:t>
            </w:r>
            <w:r>
              <w:rPr>
                <w:rStyle w:val="7"/>
                <w:lang w:val="en-US" w:eastAsia="zh-CN" w:bidi="ar"/>
              </w:rPr>
              <w:br w:type="textWrapping"/>
            </w:r>
            <w:r>
              <w:rPr>
                <w:rStyle w:val="7"/>
                <w:lang w:val="en-US" w:eastAsia="zh-CN" w:bidi="ar"/>
              </w:rPr>
              <w:t>视频解码通道：192</w:t>
            </w:r>
            <w:r>
              <w:rPr>
                <w:rStyle w:val="7"/>
                <w:lang w:val="en-US" w:eastAsia="zh-CN" w:bidi="ar"/>
              </w:rPr>
              <w:br w:type="textWrapping"/>
            </w:r>
            <w:r>
              <w:rPr>
                <w:rStyle w:val="7"/>
                <w:lang w:val="en-US" w:eastAsia="zh-CN" w:bidi="ar"/>
              </w:rPr>
              <w:t>视频解码能力：H.264/H.265：支持6路3200 W，或6路2400 W，或12路1200 W，或24路800 W，或30路600W，或48路400 W，或96路1080P，或192路720P及以下分辨率实时解码（每4个输出口一组，共享解码能力）</w:t>
            </w:r>
            <w:r>
              <w:rPr>
                <w:rStyle w:val="7"/>
                <w:lang w:val="en-US" w:eastAsia="zh-CN" w:bidi="ar"/>
              </w:rPr>
              <w:br w:type="textWrapping"/>
            </w:r>
            <w:r>
              <w:rPr>
                <w:rStyle w:val="7"/>
                <w:lang w:val="en-US" w:eastAsia="zh-CN" w:bidi="ar"/>
              </w:rPr>
              <w:t xml:space="preserve">MJPEG：12路1080P及以下分辨率实时解码 </w:t>
            </w:r>
            <w:r>
              <w:rPr>
                <w:rStyle w:val="7"/>
                <w:lang w:val="en-US" w:eastAsia="zh-CN" w:bidi="ar"/>
              </w:rPr>
              <w:br w:type="textWrapping"/>
            </w:r>
            <w:r>
              <w:rPr>
                <w:rStyle w:val="7"/>
                <w:lang w:val="en-US" w:eastAsia="zh-CN" w:bidi="ar"/>
              </w:rPr>
              <w:t>单口画面分割数：1,2,4,6,8,9,12,16,25,36</w:t>
            </w:r>
            <w:r>
              <w:rPr>
                <w:rStyle w:val="7"/>
                <w:lang w:val="en-US" w:eastAsia="zh-CN" w:bidi="ar"/>
              </w:rPr>
              <w:br w:type="textWrapping"/>
            </w:r>
            <w:r>
              <w:rPr>
                <w:rStyle w:val="7"/>
                <w:lang w:val="en-US" w:eastAsia="zh-CN" w:bidi="ar"/>
              </w:rPr>
              <w:t xml:space="preserve">场景数量：64 </w:t>
            </w:r>
            <w:r>
              <w:rPr>
                <w:rStyle w:val="7"/>
                <w:lang w:val="en-US" w:eastAsia="zh-CN" w:bidi="ar"/>
              </w:rPr>
              <w:br w:type="textWrapping"/>
            </w:r>
            <w:r>
              <w:rPr>
                <w:rStyle w:val="7"/>
                <w:lang w:val="en-US" w:eastAsia="zh-CN" w:bidi="ar"/>
              </w:rPr>
              <w:t>视频输出分辨率：3840 × 2160@30 Hz、2560 × 1440@30 Hz、1920 × 1200@60 Hz、1920 × 1080@60 Hz、1920 × 1080@50 Hz、1680 × 1050@60 Hz、1600 × 1200@60 Hz、1280 × 1024@60 Hz、1280 × 720@60 Hz、1280 × 720@50 Hz、1024 × 768@60 Hz</w:t>
            </w:r>
            <w:r>
              <w:rPr>
                <w:rStyle w:val="7"/>
                <w:lang w:val="en-US" w:eastAsia="zh-CN" w:bidi="ar"/>
              </w:rPr>
              <w:br w:type="textWrapping"/>
            </w:r>
            <w:r>
              <w:rPr>
                <w:rStyle w:val="7"/>
                <w:lang w:val="en-US" w:eastAsia="zh-CN" w:bidi="ar"/>
              </w:rPr>
              <w:t xml:space="preserve">视频输出接口类型：12路HDMI 1.4，支持4K </w:t>
            </w:r>
            <w:r>
              <w:rPr>
                <w:rStyle w:val="7"/>
                <w:lang w:val="en-US" w:eastAsia="zh-CN" w:bidi="ar"/>
              </w:rPr>
              <w:br w:type="textWrapping"/>
            </w:r>
            <w:r>
              <w:rPr>
                <w:rStyle w:val="7"/>
                <w:lang w:val="en-US" w:eastAsia="zh-CN" w:bidi="ar"/>
              </w:rPr>
              <w:t>视频输入分辨率：3840×2160@30Hz、1920×1200@60Hz、1920×1080@60Hz、1920×1080@50Hz、1280×720@60Hz、1280×720@50Hz、1600×1200@60Hz、1280×960@60Hz、1680×1050@60Hz、1440×900@60Hz、1366×768@60Hz、1280×1024@60Hz、1024×768@60Hz</w:t>
            </w:r>
            <w:r>
              <w:rPr>
                <w:rStyle w:val="7"/>
                <w:lang w:val="en-US" w:eastAsia="zh-CN" w:bidi="ar"/>
              </w:rPr>
              <w:br w:type="textWrapping"/>
            </w:r>
            <w:r>
              <w:rPr>
                <w:rStyle w:val="7"/>
                <w:lang w:val="en-US" w:eastAsia="zh-CN" w:bidi="ar"/>
              </w:rPr>
              <w:t>【自定义分辨率】</w:t>
            </w:r>
            <w:r>
              <w:rPr>
                <w:rStyle w:val="7"/>
                <w:lang w:val="en-US" w:eastAsia="zh-CN" w:bidi="ar"/>
              </w:rPr>
              <w:br w:type="textWrapping"/>
            </w:r>
            <w:r>
              <w:rPr>
                <w:rStyle w:val="7"/>
                <w:lang w:val="en-US" w:eastAsia="zh-CN" w:bidi="ar"/>
              </w:rPr>
              <w:t>1.60Hz，宽度800~1920，高度600~1200</w:t>
            </w:r>
            <w:r>
              <w:rPr>
                <w:rStyle w:val="7"/>
                <w:lang w:val="en-US" w:eastAsia="zh-CN" w:bidi="ar"/>
              </w:rPr>
              <w:br w:type="textWrapping"/>
            </w:r>
            <w:r>
              <w:rPr>
                <w:rStyle w:val="7"/>
                <w:lang w:val="en-US" w:eastAsia="zh-CN" w:bidi="ar"/>
              </w:rPr>
              <w:t>2.30Hz，宽度800~3840，高度600~2160</w:t>
            </w:r>
            <w:r>
              <w:rPr>
                <w:rStyle w:val="7"/>
                <w:lang w:val="en-US" w:eastAsia="zh-CN" w:bidi="ar"/>
              </w:rPr>
              <w:br w:type="textWrapping"/>
            </w:r>
            <w:r>
              <w:rPr>
                <w:rStyle w:val="7"/>
                <w:lang w:val="en-US" w:eastAsia="zh-CN" w:bidi="ar"/>
              </w:rPr>
              <w:t>3.宽度4对齐，高度2对齐</w:t>
            </w:r>
            <w:r>
              <w:rPr>
                <w:rStyle w:val="7"/>
                <w:lang w:val="en-US" w:eastAsia="zh-CN" w:bidi="ar"/>
              </w:rPr>
              <w:br w:type="textWrapping"/>
            </w:r>
            <w:r>
              <w:rPr>
                <w:rStyle w:val="7"/>
                <w:lang w:val="en-US" w:eastAsia="zh-CN" w:bidi="ar"/>
              </w:rPr>
              <w:t xml:space="preserve">视频输入接口：2路HDMI 1.4，最大支持4K（仅奇数口） </w:t>
            </w:r>
            <w:r>
              <w:rPr>
                <w:rStyle w:val="7"/>
                <w:lang w:val="en-US" w:eastAsia="zh-CN" w:bidi="ar"/>
              </w:rPr>
              <w:br w:type="textWrapping"/>
            </w:r>
            <w:r>
              <w:rPr>
                <w:rStyle w:val="7"/>
                <w:lang w:val="en-US" w:eastAsia="zh-CN" w:bidi="ar"/>
              </w:rPr>
              <w:t xml:space="preserve">音频输出接口类型：HDMI内嵌或DB15转BNC独立音频输出 </w:t>
            </w:r>
            <w:r>
              <w:rPr>
                <w:rStyle w:val="7"/>
                <w:lang w:val="en-US" w:eastAsia="zh-CN" w:bidi="ar"/>
              </w:rPr>
              <w:br w:type="textWrapping"/>
            </w:r>
            <w:r>
              <w:rPr>
                <w:rStyle w:val="7"/>
                <w:lang w:val="en-US" w:eastAsia="zh-CN" w:bidi="ar"/>
              </w:rPr>
              <w:t xml:space="preserve">音频解码格式：G711-A, G711-U, G722.1, G726-16/U/A, MPEG, AAC-LC, PCM </w:t>
            </w:r>
            <w:r>
              <w:rPr>
                <w:rStyle w:val="7"/>
                <w:lang w:val="en-US" w:eastAsia="zh-CN" w:bidi="ar"/>
              </w:rPr>
              <w:br w:type="textWrapping"/>
            </w:r>
            <w:r>
              <w:rPr>
                <w:rStyle w:val="7"/>
                <w:lang w:val="en-US" w:eastAsia="zh-CN" w:bidi="ar"/>
              </w:rPr>
              <w:t>机箱接口：RJ45 10M/100 M/1000 Mbps 自适应以太网接口*2； 光口 100base-FX/1000base-X*2， 支持光电自适应；报警输入*8；报警输出*8；232接口 *1（RJ45）；485接口*1；USB 2.0接口*2</w:t>
            </w:r>
            <w:r>
              <w:rPr>
                <w:rStyle w:val="7"/>
                <w:lang w:val="en-US" w:eastAsia="zh-CN" w:bidi="ar"/>
              </w:rPr>
              <w:br w:type="textWrapping"/>
            </w:r>
            <w:r>
              <w:rPr>
                <w:rStyle w:val="7"/>
                <w:lang w:val="en-US" w:eastAsia="zh-CN" w:bidi="ar"/>
              </w:rPr>
              <w:t xml:space="preserve">功耗：＜120 W </w:t>
            </w:r>
            <w:r>
              <w:rPr>
                <w:rStyle w:val="7"/>
                <w:lang w:val="en-US" w:eastAsia="zh-CN" w:bidi="ar"/>
              </w:rPr>
              <w:br w:type="textWrapping"/>
            </w:r>
            <w:r>
              <w:rPr>
                <w:rStyle w:val="7"/>
                <w:lang w:val="en-US" w:eastAsia="zh-CN" w:bidi="ar"/>
              </w:rPr>
              <w:t>周界防范场景：支持接入具有周界防范功能的前端摄像机，支持区域入侵、越界入侵、徘徊、物品移除、物品遗留、人员聚集、停车的检测，可对前端码流里面的智能信息进行解码并显示，并触发报警弹窗、联动报警输出。</w:t>
            </w:r>
          </w:p>
        </w:tc>
        <w:tc>
          <w:tcPr>
            <w:tcW w:w="541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B297D6">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Style w:val="7"/>
                <w:lang w:val="en-US" w:eastAsia="zh-CN" w:bidi="ar"/>
              </w:rPr>
              <w:t>超高清解码器</w:t>
            </w:r>
            <w:r>
              <w:rPr>
                <w:rStyle w:val="7"/>
                <w:lang w:val="en-US" w:eastAsia="zh-CN" w:bidi="ar"/>
              </w:rPr>
              <w:br w:type="textWrapping"/>
            </w:r>
            <w:r>
              <w:rPr>
                <w:rStyle w:val="7"/>
                <w:lang w:val="en-US" w:eastAsia="zh-CN" w:bidi="ar"/>
              </w:rPr>
              <w:t>视频输入</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支持网络IPC、NVR等设备类型作为网络信号源输入</w:t>
            </w:r>
            <w:r>
              <w:rPr>
                <w:rStyle w:val="7"/>
                <w:lang w:val="en-US" w:eastAsia="zh-CN" w:bidi="ar"/>
              </w:rPr>
              <w:br w:type="textWrapping"/>
            </w:r>
            <w:r>
              <w:rPr>
                <w:rStyle w:val="7"/>
                <w:lang w:val="en-US" w:eastAsia="zh-CN" w:bidi="ar"/>
              </w:rPr>
              <w:t>视频输出</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支持HDMI 1.4视频信号输出，支持4K分辨率（3840 × 2160@30 Hz）超高清输出；支持对接LED显示系统，视频输出最大的LED带载能力为单口260 W</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支持两种音频输出方式：HDMI内嵌音频和外置音频输出</w:t>
            </w:r>
            <w:r>
              <w:rPr>
                <w:rStyle w:val="7"/>
                <w:lang w:val="en-US" w:eastAsia="zh-CN" w:bidi="ar"/>
              </w:rPr>
              <w:br w:type="textWrapping"/>
            </w:r>
            <w:r>
              <w:rPr>
                <w:rStyle w:val="7"/>
                <w:lang w:val="en-US" w:eastAsia="zh-CN" w:bidi="ar"/>
              </w:rPr>
              <w:t>视频编解码</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采用H.264/H.265编码标准，默认采用H.265，支持子码流及主码流编码</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支持网络设备解码，支持H.264、H.265、Smart264、Smart265、MJPEG等主流码流格式，支持PS、TS、ES、RTP等主流封装格式，支持子码流及主码流切换</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最大支持3200w分辨率解码，具有192个解码通道，支持96路200W，或192路720P视频同时解码上墙</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支持加密码流、多轨码流、智能码流解码；支持码流修改和切换；支持解码异常提示</w:t>
            </w:r>
            <w:r>
              <w:rPr>
                <w:rStyle w:val="7"/>
                <w:lang w:val="en-US" w:eastAsia="zh-CN" w:bidi="ar"/>
              </w:rPr>
              <w:br w:type="textWrapping"/>
            </w:r>
            <w:r>
              <w:rPr>
                <w:rStyle w:val="7"/>
                <w:lang w:val="en-US" w:eastAsia="zh-CN" w:bidi="ar"/>
              </w:rPr>
              <w:t>电视墙功能</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支持单面电视墙拼接、开窗、窗口跨屏漫游、场景轮巡和窗口轮巡功能，单屏支持4个1080P或2个4K图层,单窗口支持1/4/6/8/9/16/25/36窗口分屏功能，整机最大支持64个场景，整机支持256个平台预案轮巡组</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支持RTP\RTSP协议进行网络源预览，可进行桌面投屏上墙</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支持电视墙界面对网络信号源云台八个方向、自动扫描、光圈、调焦、聚焦、调用预置点等操作</w:t>
            </w:r>
            <w:r>
              <w:rPr>
                <w:rStyle w:val="7"/>
                <w:lang w:val="en-US" w:eastAsia="zh-CN" w:bidi="ar"/>
              </w:rPr>
              <w:br w:type="textWrapping"/>
            </w:r>
            <w:r>
              <w:rPr>
                <w:rStyle w:val="7"/>
                <w:lang w:val="en-US" w:eastAsia="zh-CN" w:bidi="ar"/>
              </w:rPr>
              <w:t>•</w:t>
            </w:r>
            <w:r>
              <w:rPr>
                <w:rStyle w:val="8"/>
                <w:rFonts w:eastAsia="宋体"/>
                <w:lang w:val="en-US" w:eastAsia="zh-CN" w:bidi="ar"/>
              </w:rPr>
              <w:t xml:space="preserve"> </w:t>
            </w:r>
            <w:r>
              <w:rPr>
                <w:rStyle w:val="7"/>
                <w:lang w:val="en-US" w:eastAsia="zh-CN" w:bidi="ar"/>
              </w:rPr>
              <w:t xml:space="preserve"> 支持电视墙窗口开始/停止预览、开始/停止解码、开始/停止轮巡、打开/关闭声音、置顶、置底等操作</w:t>
            </w:r>
            <w:r>
              <w:rPr>
                <w:rStyle w:val="7"/>
                <w:lang w:val="en-US" w:eastAsia="zh-CN" w:bidi="ar"/>
              </w:rPr>
              <w:br w:type="textWrapping"/>
            </w:r>
            <w:r>
              <w:rPr>
                <w:rStyle w:val="7"/>
                <w:lang w:val="en-US" w:eastAsia="zh-CN" w:bidi="ar"/>
              </w:rPr>
              <w:t>视频解码格式：H.264，H.265，Smart264，Smart265，MJPEG</w:t>
            </w:r>
            <w:r>
              <w:rPr>
                <w:rStyle w:val="7"/>
                <w:lang w:val="en-US" w:eastAsia="zh-CN" w:bidi="ar"/>
              </w:rPr>
              <w:br w:type="textWrapping"/>
            </w:r>
            <w:r>
              <w:rPr>
                <w:rStyle w:val="7"/>
                <w:lang w:val="en-US" w:eastAsia="zh-CN" w:bidi="ar"/>
              </w:rPr>
              <w:t>解码分辨率：最高3200W像素</w:t>
            </w:r>
            <w:r>
              <w:rPr>
                <w:rStyle w:val="7"/>
                <w:lang w:val="en-US" w:eastAsia="zh-CN" w:bidi="ar"/>
              </w:rPr>
              <w:br w:type="textWrapping"/>
            </w:r>
            <w:r>
              <w:rPr>
                <w:rStyle w:val="7"/>
                <w:lang w:val="en-US" w:eastAsia="zh-CN" w:bidi="ar"/>
              </w:rPr>
              <w:t>视频解码通道：192</w:t>
            </w:r>
            <w:r>
              <w:rPr>
                <w:rStyle w:val="7"/>
                <w:lang w:val="en-US" w:eastAsia="zh-CN" w:bidi="ar"/>
              </w:rPr>
              <w:br w:type="textWrapping"/>
            </w:r>
            <w:r>
              <w:rPr>
                <w:rStyle w:val="7"/>
                <w:lang w:val="en-US" w:eastAsia="zh-CN" w:bidi="ar"/>
              </w:rPr>
              <w:t>视频解码能力：H.264/H.265：支持6路3200 W，或6路2400 W，或12路1200 W，或24路800 W，或30路600W，或48路400 W，或96路1080P，或192路720P及以下分辨率实时解码（每4个输出口一组，共享解码能力）</w:t>
            </w:r>
            <w:r>
              <w:rPr>
                <w:rStyle w:val="7"/>
                <w:lang w:val="en-US" w:eastAsia="zh-CN" w:bidi="ar"/>
              </w:rPr>
              <w:br w:type="textWrapping"/>
            </w:r>
            <w:r>
              <w:rPr>
                <w:rStyle w:val="7"/>
                <w:lang w:val="en-US" w:eastAsia="zh-CN" w:bidi="ar"/>
              </w:rPr>
              <w:t xml:space="preserve">MJPEG：12路1080P及以下分辨率实时解码 </w:t>
            </w:r>
            <w:r>
              <w:rPr>
                <w:rStyle w:val="7"/>
                <w:lang w:val="en-US" w:eastAsia="zh-CN" w:bidi="ar"/>
              </w:rPr>
              <w:br w:type="textWrapping"/>
            </w:r>
            <w:r>
              <w:rPr>
                <w:rStyle w:val="7"/>
                <w:lang w:val="en-US" w:eastAsia="zh-CN" w:bidi="ar"/>
              </w:rPr>
              <w:t>单口画面分割数：1,2,4,6,8,9,12,16,25,36</w:t>
            </w:r>
            <w:r>
              <w:rPr>
                <w:rStyle w:val="7"/>
                <w:lang w:val="en-US" w:eastAsia="zh-CN" w:bidi="ar"/>
              </w:rPr>
              <w:br w:type="textWrapping"/>
            </w:r>
            <w:r>
              <w:rPr>
                <w:rStyle w:val="7"/>
                <w:lang w:val="en-US" w:eastAsia="zh-CN" w:bidi="ar"/>
              </w:rPr>
              <w:t xml:space="preserve">场景数量：64 </w:t>
            </w:r>
            <w:r>
              <w:rPr>
                <w:rStyle w:val="7"/>
                <w:lang w:val="en-US" w:eastAsia="zh-CN" w:bidi="ar"/>
              </w:rPr>
              <w:br w:type="textWrapping"/>
            </w:r>
            <w:r>
              <w:rPr>
                <w:rStyle w:val="7"/>
                <w:lang w:val="en-US" w:eastAsia="zh-CN" w:bidi="ar"/>
              </w:rPr>
              <w:t>视频输出分辨率：3840 × 2160@30 Hz、2560 × 1440@30 Hz、1920 × 1200@60 Hz、1920 × 1080@60 Hz、1920 × 1080@50 Hz、1680 × 1050@60 Hz、1600 × 1200@60 Hz、1280 × 1024@60 Hz、1280 × 720@60 Hz、1280 × 720@50 Hz、1024 × 768@60 Hz</w:t>
            </w:r>
            <w:r>
              <w:rPr>
                <w:rStyle w:val="7"/>
                <w:lang w:val="en-US" w:eastAsia="zh-CN" w:bidi="ar"/>
              </w:rPr>
              <w:br w:type="textWrapping"/>
            </w:r>
            <w:r>
              <w:rPr>
                <w:rStyle w:val="7"/>
                <w:lang w:val="en-US" w:eastAsia="zh-CN" w:bidi="ar"/>
              </w:rPr>
              <w:t xml:space="preserve">视频输出接口类型：12路HDMI 1.4，支持4K </w:t>
            </w:r>
            <w:r>
              <w:rPr>
                <w:rStyle w:val="7"/>
                <w:lang w:val="en-US" w:eastAsia="zh-CN" w:bidi="ar"/>
              </w:rPr>
              <w:br w:type="textWrapping"/>
            </w:r>
            <w:r>
              <w:rPr>
                <w:rStyle w:val="7"/>
                <w:lang w:val="en-US" w:eastAsia="zh-CN" w:bidi="ar"/>
              </w:rPr>
              <w:t>视频输入分辨率：3840×2160@30Hz、1920×1200@60Hz、1920×1080@60Hz、1920×1080@50Hz、1280×720@60Hz、1280×720@50Hz、1600×1200@60Hz、1280×960@60Hz、1680×1050@60Hz、1440×900@60Hz、1366×768@60Hz、1280×1024@60Hz、1024×768@60Hz</w:t>
            </w:r>
            <w:r>
              <w:rPr>
                <w:rStyle w:val="7"/>
                <w:lang w:val="en-US" w:eastAsia="zh-CN" w:bidi="ar"/>
              </w:rPr>
              <w:br w:type="textWrapping"/>
            </w:r>
            <w:r>
              <w:rPr>
                <w:rStyle w:val="7"/>
                <w:lang w:val="en-US" w:eastAsia="zh-CN" w:bidi="ar"/>
              </w:rPr>
              <w:t>【自定义分辨率】</w:t>
            </w:r>
            <w:r>
              <w:rPr>
                <w:rStyle w:val="7"/>
                <w:lang w:val="en-US" w:eastAsia="zh-CN" w:bidi="ar"/>
              </w:rPr>
              <w:br w:type="textWrapping"/>
            </w:r>
            <w:r>
              <w:rPr>
                <w:rStyle w:val="7"/>
                <w:lang w:val="en-US" w:eastAsia="zh-CN" w:bidi="ar"/>
              </w:rPr>
              <w:t>1.60Hz，宽度800~1920，高度600~1200</w:t>
            </w:r>
            <w:r>
              <w:rPr>
                <w:rStyle w:val="7"/>
                <w:lang w:val="en-US" w:eastAsia="zh-CN" w:bidi="ar"/>
              </w:rPr>
              <w:br w:type="textWrapping"/>
            </w:r>
            <w:r>
              <w:rPr>
                <w:rStyle w:val="7"/>
                <w:lang w:val="en-US" w:eastAsia="zh-CN" w:bidi="ar"/>
              </w:rPr>
              <w:t>2.30Hz，宽度800~3840，高度600~2160</w:t>
            </w:r>
            <w:r>
              <w:rPr>
                <w:rStyle w:val="7"/>
                <w:lang w:val="en-US" w:eastAsia="zh-CN" w:bidi="ar"/>
              </w:rPr>
              <w:br w:type="textWrapping"/>
            </w:r>
            <w:r>
              <w:rPr>
                <w:rStyle w:val="7"/>
                <w:lang w:val="en-US" w:eastAsia="zh-CN" w:bidi="ar"/>
              </w:rPr>
              <w:t>3.宽度4对齐，高度2对齐</w:t>
            </w:r>
            <w:r>
              <w:rPr>
                <w:rStyle w:val="7"/>
                <w:lang w:val="en-US" w:eastAsia="zh-CN" w:bidi="ar"/>
              </w:rPr>
              <w:br w:type="textWrapping"/>
            </w:r>
            <w:r>
              <w:rPr>
                <w:rStyle w:val="7"/>
                <w:lang w:val="en-US" w:eastAsia="zh-CN" w:bidi="ar"/>
              </w:rPr>
              <w:t xml:space="preserve">视频输入接口：2路HDMI 1.4，最大支持4K（仅奇数口） </w:t>
            </w:r>
            <w:r>
              <w:rPr>
                <w:rStyle w:val="7"/>
                <w:lang w:val="en-US" w:eastAsia="zh-CN" w:bidi="ar"/>
              </w:rPr>
              <w:br w:type="textWrapping"/>
            </w:r>
            <w:r>
              <w:rPr>
                <w:rStyle w:val="7"/>
                <w:lang w:val="en-US" w:eastAsia="zh-CN" w:bidi="ar"/>
              </w:rPr>
              <w:t xml:space="preserve">音频输出接口类型：HDMI内嵌或DB15转BNC独立音频输出 </w:t>
            </w:r>
            <w:r>
              <w:rPr>
                <w:rStyle w:val="7"/>
                <w:lang w:val="en-US" w:eastAsia="zh-CN" w:bidi="ar"/>
              </w:rPr>
              <w:br w:type="textWrapping"/>
            </w:r>
            <w:r>
              <w:rPr>
                <w:rStyle w:val="7"/>
                <w:lang w:val="en-US" w:eastAsia="zh-CN" w:bidi="ar"/>
              </w:rPr>
              <w:t xml:space="preserve">音频解码格式：G711-A, G711-U, G722.1, G726-16/U/A, MPEG, AAC-LC, PCM </w:t>
            </w:r>
            <w:r>
              <w:rPr>
                <w:rStyle w:val="7"/>
                <w:lang w:val="en-US" w:eastAsia="zh-CN" w:bidi="ar"/>
              </w:rPr>
              <w:br w:type="textWrapping"/>
            </w:r>
            <w:r>
              <w:rPr>
                <w:rStyle w:val="7"/>
                <w:lang w:val="en-US" w:eastAsia="zh-CN" w:bidi="ar"/>
              </w:rPr>
              <w:t>机箱接口：RJ45 10M/100 M/1000 Mbps 自适应以太网接口*2； 光口 100base-FX/1000base-X*2， 支持光电自适应；报警输入*8；报警输出*8；232接口 *1（RJ45）；485接口*1；USB 2.0接口*2</w:t>
            </w:r>
            <w:r>
              <w:rPr>
                <w:rStyle w:val="7"/>
                <w:lang w:val="en-US" w:eastAsia="zh-CN" w:bidi="ar"/>
              </w:rPr>
              <w:br w:type="textWrapping"/>
            </w:r>
            <w:r>
              <w:rPr>
                <w:rStyle w:val="7"/>
                <w:lang w:val="en-US" w:eastAsia="zh-CN" w:bidi="ar"/>
              </w:rPr>
              <w:t xml:space="preserve">功耗：＜120 W </w:t>
            </w:r>
            <w:r>
              <w:rPr>
                <w:rStyle w:val="7"/>
                <w:lang w:val="en-US" w:eastAsia="zh-CN" w:bidi="ar"/>
              </w:rPr>
              <w:br w:type="textWrapping"/>
            </w:r>
            <w:r>
              <w:rPr>
                <w:rStyle w:val="7"/>
                <w:lang w:val="en-US" w:eastAsia="zh-CN" w:bidi="ar"/>
              </w:rPr>
              <w:t>周界防范场景：支持接入具有周界防范功能的前端摄像机，支持区域入侵、越界入侵、徘徊、物品移除、物品遗留、人员聚集、停车的检测，可对前端码流里面的智能信息进行解码并显示，并触发报警弹窗、联动报警输出。</w:t>
            </w:r>
          </w:p>
        </w:tc>
      </w:tr>
    </w:tbl>
    <w:p w14:paraId="0A74F120">
      <w:pPr>
        <w:rPr>
          <w:rFonts w:hint="eastAsia" w:eastAsiaTheme="minorEastAsia"/>
          <w:lang w:val="en-US" w:eastAsia="zh-CN"/>
        </w:rPr>
      </w:pPr>
    </w:p>
    <w:p w14:paraId="17167E3C">
      <w:pPr>
        <w:rPr>
          <w:rFonts w:hint="eastAsia" w:eastAsiaTheme="minorEastAsia"/>
          <w:lang w:val="en-US" w:eastAsia="zh-CN"/>
        </w:rPr>
      </w:pPr>
    </w:p>
    <w:p w14:paraId="18525EBF">
      <w:pPr>
        <w:rPr>
          <w:rFonts w:hint="eastAsia" w:eastAsiaTheme="minorEastAsia"/>
          <w:lang w:val="en-US" w:eastAsia="zh-CN"/>
        </w:rPr>
      </w:pPr>
    </w:p>
    <w:p w14:paraId="48B7A745">
      <w:pPr>
        <w:rPr>
          <w:rFonts w:hint="eastAsia" w:eastAsiaTheme="minorEastAsia"/>
          <w:lang w:val="en-US" w:eastAsia="zh-CN"/>
        </w:rPr>
      </w:pPr>
    </w:p>
    <w:p w14:paraId="47FF4621">
      <w:pPr>
        <w:rPr>
          <w:rFonts w:hint="eastAsia" w:eastAsiaTheme="minorEastAsia"/>
          <w:lang w:val="en-US" w:eastAsia="zh-CN"/>
        </w:rPr>
      </w:pPr>
    </w:p>
    <w:p w14:paraId="60334E34">
      <w:pPr>
        <w:rPr>
          <w:rFonts w:hint="eastAsia" w:eastAsiaTheme="minorEastAsia"/>
          <w:lang w:val="en-US" w:eastAsia="zh-CN"/>
        </w:rPr>
      </w:pPr>
    </w:p>
    <w:p w14:paraId="1870D054">
      <w:pPr>
        <w:rPr>
          <w:rFonts w:hint="eastAsia" w:eastAsiaTheme="minorEastAsia"/>
          <w:lang w:val="en-US" w:eastAsia="zh-CN"/>
        </w:rPr>
      </w:pPr>
    </w:p>
    <w:p w14:paraId="53BE2684">
      <w:pPr>
        <w:rPr>
          <w:rFonts w:hint="eastAsia" w:eastAsiaTheme="minorEastAsia"/>
          <w:lang w:val="en-US" w:eastAsia="zh-CN"/>
        </w:rPr>
      </w:pPr>
    </w:p>
    <w:p w14:paraId="372AA0D4">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2349"/>
        <w:gridCol w:w="5318"/>
        <w:gridCol w:w="5432"/>
      </w:tblGrid>
      <w:tr w14:paraId="05B13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865"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49BBAE9B">
            <w:pPr>
              <w:jc w:val="right"/>
              <w:rPr>
                <w:rFonts w:hint="eastAsia" w:ascii="宋体" w:hAnsi="宋体" w:eastAsia="宋体" w:cs="宋体"/>
                <w:i w:val="0"/>
                <w:iCs w:val="0"/>
                <w:color w:val="000000"/>
                <w:sz w:val="20"/>
                <w:szCs w:val="20"/>
                <w:u w:val="none"/>
              </w:rPr>
            </w:pPr>
          </w:p>
        </w:tc>
        <w:tc>
          <w:tcPr>
            <w:tcW w:w="2349"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76438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监控系统前端设备</w:t>
            </w:r>
          </w:p>
        </w:tc>
        <w:tc>
          <w:tcPr>
            <w:tcW w:w="5318"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52F7EDEC">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修改前</w:t>
            </w:r>
          </w:p>
        </w:tc>
        <w:tc>
          <w:tcPr>
            <w:tcW w:w="5432"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73B56025">
            <w:pPr>
              <w:jc w:val="both"/>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7AAA4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865" w:type="dxa"/>
            <w:tcBorders>
              <w:top w:val="single" w:color="000000" w:sz="4" w:space="0"/>
              <w:left w:val="single" w:color="000000" w:sz="8" w:space="0"/>
              <w:bottom w:val="single" w:color="000000" w:sz="4" w:space="0"/>
              <w:right w:val="single" w:color="000000" w:sz="4" w:space="0"/>
            </w:tcBorders>
            <w:noWrap w:val="0"/>
            <w:vAlign w:val="center"/>
          </w:tcPr>
          <w:p w14:paraId="00B9F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2349" w:type="dxa"/>
            <w:tcBorders>
              <w:top w:val="single" w:color="000000" w:sz="4" w:space="0"/>
              <w:left w:val="single" w:color="000000" w:sz="4" w:space="0"/>
              <w:bottom w:val="single" w:color="000000" w:sz="4" w:space="0"/>
              <w:right w:val="single" w:color="000000" w:sz="4" w:space="0"/>
            </w:tcBorders>
            <w:noWrap w:val="0"/>
            <w:vAlign w:val="center"/>
          </w:tcPr>
          <w:p w14:paraId="01D3A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智能网络半球摄像机</w:t>
            </w:r>
          </w:p>
        </w:tc>
        <w:tc>
          <w:tcPr>
            <w:tcW w:w="5318" w:type="dxa"/>
            <w:tcBorders>
              <w:top w:val="single" w:color="000000" w:sz="4" w:space="0"/>
              <w:left w:val="single" w:color="000000" w:sz="4" w:space="0"/>
              <w:bottom w:val="single" w:color="000000" w:sz="4" w:space="0"/>
              <w:right w:val="single" w:color="000000" w:sz="4" w:space="0"/>
            </w:tcBorders>
            <w:noWrap w:val="0"/>
            <w:vAlign w:val="center"/>
          </w:tcPr>
          <w:p w14:paraId="24DF80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最低照度：彩色：0.0005 Lux @（F1.2，AGC 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黑白：0.0001 Lux @（F1.2，AGC ON），0 Lux with IR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宽动态：120 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传感器类型：1/1.8" Progressive Scan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调节角度：水平：0°~355°，垂直：0~75°，旋转：0~355°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焦距&amp;视场角：2.7~13.5 mm：水平视场角：107.4°~39.8°，垂直视场角：56°~22.4°，对角视场角：130.1°~45.7°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红外波长范围：850 nm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补光灯类型：红外鳞镜补光，4颗灯珠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补光距离：最远可达30 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防补光过曝：支持防补光过曝开启和关闭，开启下支持自动和手动，手动支持根据距离等级控制补光灯亮度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最大图像尺寸：2560 × 1440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视频压缩标准：主码流：H.265/H.264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子码流：H.265/H.264/MJPEG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第三码流：H.265/H.264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SD卡扩展：内置MicroSD/MicroSDHC/MicroSDXC插槽，最大支持256 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网络：1个RJ45 10 M/100 M自适应以太网口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复位：支持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接口类型：外甩线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RS-485：1路RS-485接口，半双工模式，支持自适应HIKVISION，PELCO-P和PELCO-D协议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报警：1路输入，1路输出（报警输入支持开关量，报警输出最大支持DC12 V，30 mA）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电源输出：DC12 V，50 mA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音频：1路输入（Line in），1路输出（Line out），2个内置麦克风，1个内置扬声器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电源接口类型：3芯电源接口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启动和工作温湿度：-30 °C~60 °C，湿度小于95%（无凝结）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存储温湿度：-30 °C~60 °C，湿度小于95%（无凝结）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供电方式：DC：12 V ± 20%，支持防反接保护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PoE：802.3af，Type 1，Class 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线缆长度：25 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电流及功耗：DC：12 V，0.8 A，最大功耗：10.2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PoE：802.3af，36 V~57 V，0.24 A~0.18 A，最大功耗：10.3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恢复出厂设置：支持RESET按键，客户端或浏览器恢复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防护：IP67 摄像机采用半弧形鳞片状镜面反射式补光灯，补光灯开启后，正面不可见补光灯灯珠。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灯珠朝向与样机照射方向不同，补光灯开启后,灯光均匀无波纹、圆环状、麻点状、条纹状及不规则亮斑。</w:t>
            </w:r>
          </w:p>
        </w:tc>
        <w:tc>
          <w:tcPr>
            <w:tcW w:w="5432" w:type="dxa"/>
            <w:tcBorders>
              <w:top w:val="single" w:color="000000" w:sz="4" w:space="0"/>
              <w:left w:val="single" w:color="000000" w:sz="4" w:space="0"/>
              <w:bottom w:val="single" w:color="000000" w:sz="4" w:space="0"/>
              <w:right w:val="single" w:color="000000" w:sz="4" w:space="0"/>
            </w:tcBorders>
            <w:noWrap w:val="0"/>
            <w:vAlign w:val="center"/>
          </w:tcPr>
          <w:p w14:paraId="7BD5110B">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最低照度：彩色：0.0005 Lux @（F1.2，AGC 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黑白：0.0001 Lux @（F1.2，AGC ON），0 Lux with IR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宽动态：120 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传感器类型：1/1.8" Progressive Scan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调节角度：水平：0°~355°，垂直：0~75°，旋转：0~355°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焦距&amp;视场角：2.7~13.5 mm：水平视场角：107.4°~39.8°，垂直视场角：56°~22.4°，对角视场角：130.1°~45.7°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红外波长范围：850 nm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补光灯类型：红外鳞镜补光，4颗灯珠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补光距离：最远可达30 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防补光过曝：支持防补光过曝开启和关闭，开启下支持自动和手动，手动支持根据距离等级控制补光灯亮度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最大图像尺寸：2560 × 1440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视频压缩标准：主码流：H.265/H.264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子码流：H.265/H.264/MJPEG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第三码流：H.265/H.264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SD卡扩展：内置MicroSD/MicroSDHC/MicroSDXC插槽，最大支持256 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网络：1个RJ45 10 M/100 M自适应以太网口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复位：支持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接口类型：外甩线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RS-485：1路RS-485接口，半双工模式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报警：1路输入，1路输出（报警输入支持开关量，报警输出最大支持DC12 V，30 mA）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电源输出：DC12 V，50 mA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音频：1路输入（Line in），1路输出（Line out），2个内置麦克风，1个内置扬声器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电源接口类型：3芯电源接口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启动和工作温湿度：-30 °C~60 °C，湿度小于95%（无凝结）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存储温湿度：-30 °C~60 °C，湿度小于95%（无凝结）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供电方式：DC：12 V ± 20%，支持防反接保护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PoE：802.3af，Type 1，Class 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线缆长度：25 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电流及功耗：DC：12 V，0.8 A，最大功耗：10.2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PoE：802.3af，36 V~57 V，0.24 A~0.18 A，最大功耗：10.3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恢复出厂设置：支持RESET按键，客户端或浏览器恢复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防护：IP67 摄像机采用半弧形鳞片状镜面反射式补光灯，补光灯开启后，正面不可见补光灯灯珠。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灯珠朝向与样机照射方向不同，补光灯开启后,灯光均匀无波纹、圆环状、麻点状、条纹状及不规则亮斑。</w:t>
            </w:r>
          </w:p>
        </w:tc>
      </w:tr>
    </w:tbl>
    <w:p w14:paraId="56D7AAFE">
      <w:pPr>
        <w:rPr>
          <w:rFonts w:hint="eastAsia" w:eastAsiaTheme="minorEastAsia"/>
          <w:lang w:val="en-US" w:eastAsia="zh-CN"/>
        </w:rPr>
      </w:pPr>
    </w:p>
    <w:p w14:paraId="77253399">
      <w:pPr>
        <w:rPr>
          <w:rFonts w:hint="eastAsia" w:eastAsiaTheme="minorEastAsia"/>
          <w:lang w:val="en-US" w:eastAsia="zh-CN"/>
        </w:rPr>
      </w:pPr>
    </w:p>
    <w:p w14:paraId="198281E5">
      <w:pPr>
        <w:rPr>
          <w:rFonts w:hint="eastAsia" w:eastAsiaTheme="minorEastAsia"/>
          <w:lang w:val="en-US" w:eastAsia="zh-CN"/>
        </w:rPr>
      </w:pPr>
    </w:p>
    <w:p w14:paraId="5B113CE2">
      <w:pPr>
        <w:rPr>
          <w:rFonts w:hint="eastAsia" w:eastAsiaTheme="minorEastAsia"/>
          <w:lang w:val="en-US" w:eastAsia="zh-CN"/>
        </w:rPr>
      </w:pPr>
    </w:p>
    <w:p w14:paraId="11F01AA0">
      <w:pPr>
        <w:rPr>
          <w:rFonts w:hint="eastAsia" w:eastAsiaTheme="minorEastAsia"/>
          <w:lang w:val="en-US" w:eastAsia="zh-CN"/>
        </w:rPr>
      </w:pPr>
    </w:p>
    <w:p w14:paraId="7F5104A9">
      <w:pPr>
        <w:rPr>
          <w:rFonts w:hint="eastAsia" w:eastAsiaTheme="minorEastAsia"/>
          <w:lang w:val="en-US" w:eastAsia="zh-CN"/>
        </w:rPr>
      </w:pPr>
    </w:p>
    <w:p w14:paraId="6D32F3C7">
      <w:pPr>
        <w:rPr>
          <w:rFonts w:hint="eastAsia" w:eastAsiaTheme="minorEastAsia"/>
          <w:lang w:val="en-US" w:eastAsia="zh-CN"/>
        </w:rPr>
        <w:sectPr>
          <w:headerReference r:id="rId3" w:type="default"/>
          <w:pgSz w:w="16838" w:h="11906" w:orient="landscape"/>
          <w:pgMar w:top="1800" w:right="1440" w:bottom="1800" w:left="1440" w:header="851" w:footer="992" w:gutter="0"/>
          <w:cols w:space="425" w:num="1"/>
          <w:docGrid w:type="lines" w:linePitch="312" w:charSpace="0"/>
        </w:sect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1565"/>
        <w:gridCol w:w="5873"/>
        <w:gridCol w:w="5661"/>
      </w:tblGrid>
      <w:tr w14:paraId="2C92D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865"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5588EA1A">
            <w:pPr>
              <w:jc w:val="right"/>
              <w:rPr>
                <w:rFonts w:hint="eastAsia" w:ascii="宋体" w:hAnsi="宋体" w:eastAsia="宋体" w:cs="宋体"/>
                <w:i w:val="0"/>
                <w:iCs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295940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监控系统前端设备</w:t>
            </w:r>
          </w:p>
        </w:tc>
        <w:tc>
          <w:tcPr>
            <w:tcW w:w="5873"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1C9531BC">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修改前</w:t>
            </w:r>
          </w:p>
        </w:tc>
        <w:tc>
          <w:tcPr>
            <w:tcW w:w="5661"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23C0351B">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529F6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865" w:type="dxa"/>
            <w:tcBorders>
              <w:top w:val="single" w:color="000000" w:sz="4" w:space="0"/>
              <w:left w:val="single" w:color="000000" w:sz="8" w:space="0"/>
              <w:bottom w:val="single" w:color="000000" w:sz="4" w:space="0"/>
              <w:right w:val="single" w:color="000000" w:sz="4" w:space="0"/>
            </w:tcBorders>
            <w:noWrap w:val="0"/>
            <w:vAlign w:val="center"/>
          </w:tcPr>
          <w:p w14:paraId="4F1EC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2D322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垂直客流摄像机</w:t>
            </w:r>
          </w:p>
        </w:tc>
        <w:tc>
          <w:tcPr>
            <w:tcW w:w="5873" w:type="dxa"/>
            <w:tcBorders>
              <w:top w:val="single" w:color="000000" w:sz="4" w:space="0"/>
              <w:left w:val="single" w:color="000000" w:sz="4" w:space="0"/>
              <w:bottom w:val="single" w:color="000000" w:sz="4" w:space="0"/>
              <w:right w:val="single" w:color="000000" w:sz="4" w:space="0"/>
            </w:tcBorders>
            <w:noWrap w:val="0"/>
            <w:vAlign w:val="center"/>
          </w:tcPr>
          <w:p w14:paraId="7F503A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室内1/2.7"双目智能垂直客流统计摄像机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采用背照式传感器，相比传统摄像机前照式传感器，增加的进光量对图像质量有明显的改善作用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采用双目立体视觉技术，结合智能算法支持分类统计人员进入、离开情况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适用于商场、写字楼、电梯、公共交通工具等场景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采用双目立体视觉技术，基于双镜头的立体摄像，获取目标的立体信息，结合智能算法计算出客流人数及行走方向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设备算法结合RGB图像信息，基于深度学习算法对目标进行复核，对非人体目标进行过滤，大幅度提升客流计数的准确率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支持分类统计人员进入、离开情况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支持内置存储（EMMC）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支持实时数据上传和周期上传，邮件报表支持日报表、周报表、月报表和年报表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支持高度过滤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传感器类型：1/2.7" Progressive Scan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最低照度：彩色：0.005 Lux @（F1.2，AGC ON），0.0176 Lux @（F2.25，AGC 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黑白：0.001 Lux @（F1.2，AGC ON），0.0035 Lux @（F2.25，AGC ON），0 Lux with IR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宽动态：120 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焦距&amp;视场角：2.0 mm @F2.25，水平视场角：104.5°，垂直视场角：70.5°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补光灯类型：红外灯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补光距离：最远可达6 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红外波长范围：850 nm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防补光过曝：支持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最大图像尺寸：2560 × 1440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Wi-Fi协议：IEEE802.11b，802.11g，802.11n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频率范围：2.4 GHz~2.4835 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调制方式：802.11b：CCK，DSSS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802.11g/n：OFDM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信道带宽：20/40 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有效传输距离：50 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RS-485：1路RS-485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报警：1 输入(最大支持DC12V)，1 输出(最大支持DC/AC24V 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网络：1路RJ45封装10 M/100 M以太网口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音频：内置1路麦克风；1路输入（Line in）；1路输出（Line out）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包装尺寸：235 × 120 × 125 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产品尺寸：167 × 61 × 36 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带包装重量：820 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电流及功耗：DC：12 V，0.58 A，最大功耗：7.0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PoE：802.3af，36 V~57 V，0.24 A~0.15 A，最大功耗：8.5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供电方式：DC：12 V ± 20%；支持防反接保护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PoE：36 V~57 V，802.3af，Class 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启动及工作温湿度：-30 °C~60 °C，湿度小于95%（无凝结）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设备重量：440 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电源接口类型：Ø5.5 mm圆口 </w:t>
            </w:r>
            <w:bookmarkStart w:id="0" w:name="_GoBack"/>
            <w:bookmarkEnd w:id="0"/>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支持高度过滤功能，可通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支持徘徊排除功能，当试验人员在检测区域内徘徊并未离开检测区域时，不重复统计客流数量。过IE浏览器设置人员高度上限和高度下限，开启高度过滤功能后，仅统计人员高度介于设定高度范围的数量。</w:t>
            </w:r>
          </w:p>
        </w:tc>
        <w:tc>
          <w:tcPr>
            <w:tcW w:w="5661" w:type="dxa"/>
            <w:tcBorders>
              <w:top w:val="single" w:color="000000" w:sz="4" w:space="0"/>
              <w:left w:val="single" w:color="000000" w:sz="4" w:space="0"/>
              <w:bottom w:val="single" w:color="000000" w:sz="4" w:space="0"/>
              <w:right w:val="single" w:color="000000" w:sz="4" w:space="0"/>
            </w:tcBorders>
            <w:noWrap w:val="0"/>
            <w:vAlign w:val="center"/>
          </w:tcPr>
          <w:p w14:paraId="7799F477">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室内1/2.7"双目智能垂直客流统计摄像机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采用背照式传感器，相比传统摄像机前照式传感器，增加的进光量对图像质量有明显的改善作用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采用双目立体视觉技术，结合智能算法支持分类统计人员进入、离开情况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适用于商场、写字楼、电梯、公共交通工具等场景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采用双目立体视觉技术，基于双镜头的立体摄像，获取目标的立体信息，结合智能算法计算出客流人数及行走方向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设备算法结合RGB图像信息，基于深度学习算法对目标进行复核，对非人体目标进行过滤，大幅度提升客流计数的准确率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支持分类统计人员进入、离开情况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支持内置存储（EMMC）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支持实时数据上传和周期上传，邮件报表支持日报表、周报表、月报表和年报表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支持高度过滤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传感器类型：1/2.7" Progressive Scan CMOS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最低照度：彩色：0.005 Lux @（F1.2，AGC ON），0.0176 Lux @（F2.25，AGC ON）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黑白：0.001 Lux @（F1.2，AGC ON），0.0035 Lux @（F2.25，AGC ON），0 Lux with IR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宽动态：120 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焦距&amp;视场角：2.0 mm @F2.25，水平视场角：104.5°，垂直视场角：70.5°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补光灯类型：红外灯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补光距离：最远可达6 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红外波长范围：850 nm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防补光过曝：支持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视频压缩标准：H.265/H.264/MJPEG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最大图像尺寸：2560 × 1440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Wi-Fi协议：IEEE802.11b，802.11g，802.11n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频率范围：2.4 GHz~2.4835 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调制方式：802.11b：CCK，DSSS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802.11g/n：OFDM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信道带宽：20/40 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有效传输距离：50 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RS-485：1路RS-485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报警：1 输入(最大支持DC12V)，1 输出(最大支持DC/AC24V 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网络：1路RJ45封装10 M/100 M以太网口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音频：内置1路麦克风；1路输入（Line in）；1路输出（Line out）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电流及功耗：DC：12 V，0.58 A，最大功耗：7.0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PoE：802.3af，36 V~57 V，0.24 A~0.15 A，最大功耗：8.5 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供电方式：DC：12 V ± 20%；支持防反接保护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PoE：36 V~57 V，802.3af，Class 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启动及工作温湿度：-30 °C~60 °C，湿度小于95%（无凝结）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电源接口类型：Ø5.5 mm圆口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支持高度过滤功能，可通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支持徘徊排除功能，当试验人员在检测区域内徘徊并未离开检测区域时，不重复统计客流数量。过IE浏览器设置人员高度上限和高度下限，开启高度过滤功能后，仅统计人员高度介于设定高度范围的数量。 </w:t>
            </w:r>
          </w:p>
        </w:tc>
      </w:tr>
    </w:tbl>
    <w:p w14:paraId="24A09B36">
      <w:pPr>
        <w:rPr>
          <w:rFonts w:hint="eastAsia" w:eastAsiaTheme="minorEastAsia"/>
          <w:lang w:val="en-US" w:eastAsia="zh-CN"/>
        </w:rPr>
        <w:sectPr>
          <w:pgSz w:w="16838" w:h="11906" w:orient="landscape"/>
          <w:pgMar w:top="1800" w:right="1440" w:bottom="1800" w:left="1440" w:header="851" w:footer="992" w:gutter="0"/>
          <w:cols w:space="425" w:num="1"/>
          <w:docGrid w:type="lines" w:linePitch="312" w:charSpace="0"/>
        </w:sectPr>
      </w:pPr>
    </w:p>
    <w:p w14:paraId="2595750E">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1692"/>
        <w:gridCol w:w="5700"/>
        <w:gridCol w:w="5707"/>
      </w:tblGrid>
      <w:tr w14:paraId="60051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DDD9C4"/>
            <w:noWrap w:val="0"/>
            <w:vAlign w:val="center"/>
          </w:tcPr>
          <w:p w14:paraId="3DEBD120">
            <w:pPr>
              <w:jc w:val="right"/>
              <w:rPr>
                <w:rFonts w:hint="eastAsia" w:ascii="宋体" w:hAnsi="宋体" w:eastAsia="宋体" w:cs="宋体"/>
                <w:i w:val="0"/>
                <w:iCs w:val="0"/>
                <w:color w:val="000000"/>
                <w:sz w:val="20"/>
                <w:szCs w:val="20"/>
                <w:u w:val="none"/>
              </w:rPr>
            </w:pPr>
          </w:p>
        </w:tc>
        <w:tc>
          <w:tcPr>
            <w:tcW w:w="1692"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0AFE04D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5F东130.43平方共享办公室（44人会议室）</w:t>
            </w:r>
          </w:p>
        </w:tc>
        <w:tc>
          <w:tcPr>
            <w:tcW w:w="5700"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6A31CB1C">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修改前</w:t>
            </w:r>
          </w:p>
        </w:tc>
        <w:tc>
          <w:tcPr>
            <w:tcW w:w="5707"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3C0126B4">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修改后</w:t>
            </w:r>
          </w:p>
        </w:tc>
      </w:tr>
      <w:tr w14:paraId="5684F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6"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EAB4D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9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465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智能播控处理器</w:t>
            </w:r>
          </w:p>
        </w:tc>
        <w:tc>
          <w:tcPr>
            <w:tcW w:w="570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BB57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1、支持6路千兆网口输出，支持显示屏输出画面缩放。宽度范围800-4096，高度范围600-1920，最大带载390w，支持自由走线，摆脱矩形带载限制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2、支持多种播控方式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-U盘播放：可即插即播或拷贝播放，支持HEVC/H265./H264等主流编码格式的4K高清视频解码；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-手机APP智能操控：可通过手机安装APP应用，实现节目制作发布和显示屏控制；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-遥控器播控：可在显示屏上进行本地节目播控及简单的节目制作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3、支持Type-c接口/USB接口投屏器，支持多平台终端投屏，配合终端APP可实现无线投屏控制：镜像反控、无线快照、无线发言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4、基于Android11定制的桌面UI系统，可添加第三方APP应用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5、支持红外待机唤醒，待机进入低功耗模式，实现待机功耗小于0.5w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6、支持遥控器AI语音控制，集成丰富的语音控制指令，轻松实现屏幕控制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7、双WIFI模式，同时支持WiFi AP 和WIFI STA两种模式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8、支持手机端APP远程进行节目编辑和下发，同时支持音量、亮度、视频源等等控制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云端系统需支持集群式部署，易于横向扩展；云端管理平台无需单独安装客户端，可实现随时随地访问，融合实现：媒体管理、用户管理、角色管理、工作组管理、媒体审批、节目管理、播放器管理、播放日志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云端APP控制管理，平台无需单独安装客户端，可实现随时随地访问，融合实现：企业信息管理、多角色权限管理、显示屏管理、配置文件管理、售前方案配置、画面监控、配置/维护显示屏信息、显示屏故障定位及恢复（提供第三方检测报告复印件）</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11、支持手机端APP进行云端的配置文件下发、显示屏连接以及屏体控制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12、支持画质效果调节，提供标准、柔和、影院、视讯4种场景模式，同时可自定义调节亮度、饱和度、对比度等参数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13、支持蓝牙5.0，可兼容蓝牙遥控器、蓝牙鼠标、蓝牙键盘、蓝牙音响等；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14、支持一路千兆以太网控制，支持TCP/IP协议，一路RS232串口，对接中控设备，一路传感器接口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15、支持逐点亮色度校正；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16、2路HDMI1.3输入，1路HDMI OUT输出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17、支持2路音频输出，1xSPDF数字音频输出接口，1x3.5mm音频输出；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18、支持2路USB2.0输入，用于多媒体播放和功能扩展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19、集成一路继电器，可以用于连接固态继电器，方便进行LED显示屏电源管理</w:t>
            </w:r>
          </w:p>
        </w:tc>
        <w:tc>
          <w:tcPr>
            <w:tcW w:w="5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AB2CF7">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1、支持6路千兆网口输出，支持显示屏输出画面缩放。宽度范围800-4096，高度范围600-1920，最大带载390w，支持自由走线，摆脱矩形带载限制</w:t>
            </w:r>
          </w:p>
          <w:p w14:paraId="363AF774">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2、支持多种播控方式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-U盘播放：可即插即播或拷贝播放，支持HEVC/H265./H264等主流编码格式的4K高清视频解码；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-手机APP智能操控：可通过手机安装APP应用，实现节目制作发布和显示屏控制；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-遥控器播控：可在显示屏上进行本地节目播控及简单的节目制作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3、支持Type-c接口/USB接口投屏器，支持多平台终端投屏，配合终端APP可实现无线投屏控制：镜像反控、无线快照、无线发言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4、基于Android11定制的桌面UI系统，可添加第三方APP应用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5、支持红外待机唤醒，待机进入低功耗模式，实现待机功耗小于0.5w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6、支持遥控器AI语音控制，集成丰富的语音控制指令，轻松实现屏幕控制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7、双WIFI模式，同时支持WiFi AP 和WIFI STA两种模式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8、支持手机端APP远程进行节目编辑和下发，同时支持音量、亮度、视频源等等控制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云端系统需支持集群式部署，易于横向扩展；云端管理平台无需单独安装客户端，可实现随时随地访问，融合实现：媒体管理、用户管理、角色管理、工作组管理、媒体审批、节目管理、播放器管理、播放日志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支持云端APP控制管理，平台无需单独安装客户端，可实现随时随地访问，融合实现：企业信息管理、多角色权限管理、显示屏管理、配置文件管理、售前方案配置、画面监控、配置/维护显示屏信息、显示屏故障定位及恢复</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11、支持手机端APP进行云端的配置文件下发、显示屏连接以及屏体控制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12、支持画质效果调节，提供标准、柔和、影院、视讯4种场景模式，同时可自定义调节亮度、饱和度、对比度等参数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13、支持蓝牙5.0，可兼容蓝牙遥控器、蓝牙鼠标、蓝牙键盘、蓝牙音响等；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14、支持一路千兆以太网控制，支持TCP/IP协议，一路RS232串口，对接中控设备，一路传感器接口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15、支持逐点亮色度校正；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16、2路HDMI1.3输入，1路HDMI OUT输出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17、支持2路音频输出，1xSPDF数字音频输出接口，1x3.5mm音频输出；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18、支持2路USB2.0输入，用于多媒体播放和功能扩展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19、集成一路继电器，可以用于连接固态继电器，方便进行LED显示屏电源管理</w:t>
            </w:r>
          </w:p>
        </w:tc>
      </w:tr>
    </w:tbl>
    <w:p w14:paraId="053B46B4">
      <w:pPr>
        <w:rPr>
          <w:rFonts w:hint="eastAsia" w:eastAsiaTheme="minorEastAsia"/>
          <w:lang w:val="en-US" w:eastAsia="zh-CN"/>
        </w:rPr>
      </w:pPr>
    </w:p>
    <w:p w14:paraId="1E60D293">
      <w:pPr>
        <w:rPr>
          <w:rFonts w:hint="eastAsia" w:eastAsiaTheme="minorEastAsia"/>
          <w:lang w:val="en-US" w:eastAsia="zh-CN"/>
        </w:rPr>
      </w:pPr>
    </w:p>
    <w:p w14:paraId="45254A18">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1957"/>
        <w:gridCol w:w="5608"/>
        <w:gridCol w:w="5534"/>
      </w:tblGrid>
      <w:tr w14:paraId="540F5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DDD9C4"/>
            <w:noWrap w:val="0"/>
            <w:vAlign w:val="center"/>
          </w:tcPr>
          <w:p w14:paraId="66876729">
            <w:pPr>
              <w:jc w:val="right"/>
              <w:rPr>
                <w:rFonts w:hint="eastAsia" w:ascii="宋体" w:hAnsi="宋体" w:eastAsia="宋体" w:cs="宋体"/>
                <w:i w:val="0"/>
                <w:iCs w:val="0"/>
                <w:color w:val="000000"/>
                <w:sz w:val="20"/>
                <w:szCs w:val="20"/>
                <w:u w:val="none"/>
              </w:rPr>
            </w:pPr>
          </w:p>
        </w:tc>
        <w:tc>
          <w:tcPr>
            <w:tcW w:w="1957"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44B804D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5F东130.43平方共享办公室（44人会议室）</w:t>
            </w:r>
          </w:p>
        </w:tc>
        <w:tc>
          <w:tcPr>
            <w:tcW w:w="5608"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161491D6">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修改前</w:t>
            </w:r>
          </w:p>
        </w:tc>
        <w:tc>
          <w:tcPr>
            <w:tcW w:w="5534"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077F3497">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修改后</w:t>
            </w:r>
          </w:p>
        </w:tc>
      </w:tr>
      <w:tr w14:paraId="69C5C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5"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DD88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9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B82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配电箱</w:t>
            </w:r>
          </w:p>
        </w:tc>
        <w:tc>
          <w:tcPr>
            <w:tcW w:w="560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A41B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控制方式：面板控制、电脑控制、电脑定时、中控控制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面板控制: 一键延时启停,紧急停止,模式切换，单键单元控制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电脑控制: 可一键延时启停，单路启停，紧急停止。对功率、温度、烟雾等状态实时检测,并保存操作记录,报警记录。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电脑定时: 每天可设置最多4组时间段，按星期启停。定好时间后，支持脱机定时运行。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中控控制: 提供MODBUS-RTU、MODBUS-TCP、MODBUS-UDP协议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自动联机，直接操作，不用人工设置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配有应急启动模块（QN-Smart/007）, PLC故障应急使用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保护内容：1）零线电缆高温保护  2）高温断电保护  3）短路保护  4）烟雾保护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输入电压：380V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输出电压：220V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额定功率：≥10KW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输出回路：≥3个单相回路（AC220V）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每路输出最大带载功率：≤3.33KW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回路状态监测：单回路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远程控制：有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分步逐级上电：有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计划任务上电：有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温度检测：有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逻辑联动控制：有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主断路器：32A断路器*1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交流接触器：32A交流接触器*1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子断路器：32A微型1P断路器*3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控制回路断路器：10A 1P+N微型漏电保护断路器*1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零地排：8位铜排*1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PLC控制器：正松PLC-180控制器*1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PLC控制电源模块：正松DC24V电源*1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串口服务器：485转USB头*1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检测到烟雾后可自动断电。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超过温度阈值后可自动断电。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输入输出均有断路器保护措施，在发生过流或短路后可以自动断电。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支持手动一键启动、停止；支持单路启动停止；支持分时段控制；支持电脑远程控制。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支持记录运行状态、异常报警（高温、烟雾）等。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网络接口：支持MODBUS-TCP协议；</w:t>
            </w:r>
          </w:p>
        </w:tc>
        <w:tc>
          <w:tcPr>
            <w:tcW w:w="553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3D2958">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控制方式：面板控制、电脑控制、电脑定时、中控控制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面板控制: 一键延时启停,紧急停止,模式切换，单键单元控制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电脑控制: 可一键延时启停，单路启停，紧急停止。对功率、温度、烟雾等状态实时检测,并保存操作记录,报警记录。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电脑定时: 每天可设置最多4组时间段，按星期启停。定好时间后，支持脱机定时运行。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中控控制: 提供MODBUS-RTU、MODBUS-TCP、MODBUS-UDP协议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自动联机，直接操作，不用人工设置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配有应急启动模块（QN-Smart/007）, PLC故障应急使用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保护内容：1）零线电缆高温保护  2）高温断电保护  3）短路保护  4）烟雾保护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输入电压：380V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输出电压：220V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额定功率：≥10KW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输出回路：≥3个单相回路（AC220V）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每路输出最大带载功率：≤3.33KW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回路状态监测：单回路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远程控制：有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分步逐级上电：有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计划任务上电：有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温度检测：有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逻辑联动控制：有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主断路器：32A断路器*1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交流接触器：32A交流接触器*1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子断路器：32A微型1P断路器*3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控制回路断路器：10A 1P+N微型漏电保护断路器*1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零地排：8位铜排*1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PLC控制器：PLC-180控制器*1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PLC控制电源模块：DC24V电源*1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串口服务器：485转USB头*1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检测到烟雾后可自动断电。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超过温度阈值后可自动断电。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输入输出均有断路器保护措施，在发生过流或短路后可以自动断电。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支持手动一键启动、停止；支持单路启动停止；支持分时段控制；支持电脑远程控制。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支持记录运行状态、异常报警（高温、烟雾）等。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网络接口：支持MODBUS-TCP协议；</w:t>
            </w:r>
          </w:p>
        </w:tc>
      </w:tr>
    </w:tbl>
    <w:p w14:paraId="049CFF91">
      <w:pPr>
        <w:rPr>
          <w:rFonts w:hint="eastAsia" w:eastAsiaTheme="minorEastAsia"/>
          <w:lang w:val="en-US" w:eastAsia="zh-CN"/>
        </w:rPr>
      </w:pPr>
    </w:p>
    <w:p w14:paraId="41C0C316">
      <w:pPr>
        <w:rPr>
          <w:rFonts w:hint="eastAsia" w:eastAsiaTheme="minorEastAsia"/>
          <w:lang w:val="en-US" w:eastAsia="zh-CN"/>
        </w:rPr>
      </w:pPr>
    </w:p>
    <w:p w14:paraId="240ADC37">
      <w:pPr>
        <w:rPr>
          <w:rFonts w:hint="eastAsia" w:eastAsiaTheme="minorEastAsia"/>
          <w:lang w:val="en-US" w:eastAsia="zh-CN"/>
        </w:rPr>
      </w:pPr>
    </w:p>
    <w:p w14:paraId="492956CC">
      <w:pPr>
        <w:rPr>
          <w:rFonts w:hint="eastAsia" w:eastAsiaTheme="minorEastAsia"/>
          <w:lang w:val="en-US" w:eastAsia="zh-CN"/>
        </w:rPr>
      </w:pPr>
    </w:p>
    <w:p w14:paraId="04BECFFA">
      <w:pPr>
        <w:rPr>
          <w:rFonts w:hint="eastAsia" w:eastAsiaTheme="minorEastAsia"/>
          <w:lang w:val="en-US" w:eastAsia="zh-CN"/>
        </w:rPr>
      </w:pPr>
    </w:p>
    <w:p w14:paraId="16547989">
      <w:pPr>
        <w:rPr>
          <w:rFonts w:hint="eastAsia" w:eastAsiaTheme="minorEastAsia"/>
          <w:lang w:val="en-US" w:eastAsia="zh-CN"/>
        </w:rPr>
      </w:pPr>
    </w:p>
    <w:p w14:paraId="07D6980A">
      <w:pPr>
        <w:rPr>
          <w:rFonts w:hint="eastAsia" w:eastAsiaTheme="minorEastAsia"/>
          <w:lang w:val="en-US" w:eastAsia="zh-CN"/>
        </w:rPr>
      </w:pPr>
    </w:p>
    <w:p w14:paraId="5AD71CAE">
      <w:pPr>
        <w:rPr>
          <w:rFonts w:hint="eastAsia" w:eastAsiaTheme="minorEastAsia"/>
          <w:lang w:val="en-US" w:eastAsia="zh-CN"/>
        </w:rPr>
      </w:pPr>
    </w:p>
    <w:p w14:paraId="43EB7E6B">
      <w:pPr>
        <w:rPr>
          <w:rFonts w:hint="eastAsia" w:eastAsiaTheme="minorEastAsia"/>
          <w:lang w:val="en-US" w:eastAsia="zh-CN"/>
        </w:rPr>
      </w:pPr>
    </w:p>
    <w:p w14:paraId="7BC4F3F1">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1369"/>
        <w:gridCol w:w="5873"/>
        <w:gridCol w:w="5857"/>
      </w:tblGrid>
      <w:tr w14:paraId="51045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DDD9C4"/>
            <w:noWrap w:val="0"/>
            <w:vAlign w:val="center"/>
          </w:tcPr>
          <w:p w14:paraId="5BC42329">
            <w:pPr>
              <w:jc w:val="right"/>
              <w:rPr>
                <w:rFonts w:hint="eastAsia" w:ascii="宋体" w:hAnsi="宋体" w:eastAsia="宋体" w:cs="宋体"/>
                <w:i w:val="0"/>
                <w:iCs w:val="0"/>
                <w:color w:val="000000"/>
                <w:sz w:val="20"/>
                <w:szCs w:val="20"/>
                <w:u w:val="none"/>
              </w:rPr>
            </w:pPr>
          </w:p>
        </w:tc>
        <w:tc>
          <w:tcPr>
            <w:tcW w:w="1369"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39505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电视机+安检门+人员通道</w:t>
            </w:r>
          </w:p>
        </w:tc>
        <w:tc>
          <w:tcPr>
            <w:tcW w:w="5873"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614F4067">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修改前</w:t>
            </w:r>
          </w:p>
        </w:tc>
        <w:tc>
          <w:tcPr>
            <w:tcW w:w="5857" w:type="dxa"/>
            <w:tcBorders>
              <w:top w:val="single" w:color="000000" w:sz="4" w:space="0"/>
              <w:left w:val="single" w:color="000000" w:sz="4" w:space="0"/>
              <w:bottom w:val="single" w:color="000000" w:sz="4" w:space="0"/>
              <w:right w:val="single" w:color="000000" w:sz="4" w:space="0"/>
            </w:tcBorders>
            <w:shd w:val="clear" w:color="FFFFFF" w:fill="DDD9C4"/>
            <w:noWrap w:val="0"/>
            <w:vAlign w:val="center"/>
          </w:tcPr>
          <w:p w14:paraId="0BF9B116">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修改后</w:t>
            </w:r>
          </w:p>
        </w:tc>
      </w:tr>
      <w:tr w14:paraId="23709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6" w:hRule="atLeast"/>
        </w:trPr>
        <w:tc>
          <w:tcPr>
            <w:tcW w:w="86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AD36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F93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智能安检门</w:t>
            </w:r>
          </w:p>
        </w:tc>
        <w:tc>
          <w:tcPr>
            <w:tcW w:w="587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4932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金属探测精度：最高灵敏度下，可以在门的正中间检测到1个回形针或大头针；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区位显示：产品分成33个防区，可疑物体能在每个区域准确显示；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两侧定位灯：门柱两侧均带有LED灯，能直观的通过定位灯显示违禁物品所在区域；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面板显示：采用7寸液晶屏显示。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统计人数：双侧对射红外可以准确检测到通过人数和报警人数，并能区分进入和离开人数；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联网功能：可以单机联网，通过web端进行参数配置；也可以搭配平台进行客流数据、报警数据的汇聚应用；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显示屏类型：7寸LCD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探测区位：33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灵敏度级数：255级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频率设置：20级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工作电源：110V～240V，50/60Hz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毛重：90kg </w:t>
            </w:r>
            <w:r>
              <w:rPr>
                <w:rFonts w:hint="eastAsia" w:ascii="宋体" w:hAnsi="宋体" w:eastAsia="宋体" w:cs="宋体"/>
                <w:i w:val="0"/>
                <w:iCs w:val="0"/>
                <w:color w:val="000000"/>
                <w:kern w:val="0"/>
                <w:sz w:val="20"/>
                <w:szCs w:val="20"/>
                <w:u w:val="none"/>
                <w:lang w:val="en-US" w:eastAsia="zh-CN" w:bidi="ar"/>
              </w:rPr>
              <w:t>探测区内磁感应强度：在探测区左右边界各方内150mm形成的区域中，任意一点的磁感应强度都不应超过4.5μT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功耗＜30W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工作温度/湿度：-10℃─55℃；95%，无冷凝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电源输入：187V～242V，50/60Hz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探测灵敏度范围：可一键设置灵敏度，灵敏度等级为0-9999级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实时金属数值显示功能：样机切换到调试界面时，每个人通过安检门时，可显示出人身上的金属物品对应到每个防区的数值，也可以实时显示当前环境下的每个防区的环境干扰数值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显示屏实时显示信息功能：样机显示屏上可实时显示设备的红外状态、网络连接状态、机箱与门板的连接状态、金属信号强度、系统时间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远程控制：如果允许通过远程计算机或网络进行集中控制，则应提供相应的控制程序，且设备应具备远程参数调整、远程诊断及报警相关数据存储功能；当远程控制因故中断时，金属门应能自动恢复本地控制。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显示功能：应可在1、6、12、18、11、22、33共7种区位模式间切换；系统前后两侧都有LED灯条，可显示引起报警的金属物的高度，在门板左右均可通过LED灯条显示对应报警区域；当有金属物进入检测区域时，该区域对应的指示灯将点亮；当多个区域有报警物时，对应的区域都应显示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面板按键功能：机箱上安装有金属按键可通过按压按键实现LCD屏显示界面一键切换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联动功能：样机门板支持不少于2路报警输出接口，每路报警输出可设置持续事件、常开常闭状态及关联通行方向（可设置正向、反向、双向）</w:t>
            </w:r>
          </w:p>
        </w:tc>
        <w:tc>
          <w:tcPr>
            <w:tcW w:w="585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0257A6">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金属探测精度：最高灵敏度下，可以在门的正中间检测到1个回形针或大头针；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区位显示：产品分成33个防区，可疑物体能在每个区域准确显示；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两侧定位灯：门柱两侧均带有LED灯，能直观的通过定位灯显示违禁物品所在区域；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面板显示：采用7寸液晶屏显示。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统计人数：双侧对射红外可以准确检测到通过人数和报警人数，并能区分进入和离开人数；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联网功能：可以单机联网，通过web端进行参数配置；也可以搭配平台进行客流数据、报警数据的汇聚应用；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显示屏类型：7寸LCD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探测区位：33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灵敏度级数：255级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频率设置：20级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工作电源：110V～240V，50/60Hz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探测区内磁感应强度：在探测区左右边界各方内150mm形成的区域中，任意一点的磁感应强度都不应超过4.5μT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功耗＜30W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工作温度/湿度：-10℃─55℃；95%，无冷凝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电源输入：187V～242V，50/60Hz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探测灵敏度范围：可一键设置灵敏度，灵敏度等级为0-9999级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实时金属数值显示功能：样机切换到调试界面时，每个人通过安检门时，可显示出人身上的金属物品对应到每个防区的数值，也可以实时显示当前环境下的每个防区的环境干扰数值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显示屏实时显示信息功能：样机显示屏上可实时显示设备的红外状态、网络连接状态、机箱与门板的连接状态、金属信号强度、系统时间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远程控制：如果允许通过远程计算机或网络进行集中控制，则应提供相应的控制程序，且设备应具备远程参数调整、远程诊断及报警相关数据存储功能；当远程控制因故中断时，金属门应能自动恢复本地控制。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报警显示功能：应可在1、6、12、18、11、22、33共7种区位模式间切换；系统前后两侧都有LED灯条，可显示引起报警的金属物的高度，在门板左右均可通过LED灯条显示对应报警区域；当有金属物进入检测区域时，该区域对应的指示灯将点亮；当多个区域有报警物时，对应的区域都应显示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面板按键功能：机箱上安装有金属按键可通过按压按键实现LCD屏显示界面一键切换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联动功能：样机门板支持不少于2路报警输出接口，每路报警输出可设置持续事件、常开常闭状态及关联通行方向（可设置正向、反向、双向）</w:t>
            </w:r>
          </w:p>
        </w:tc>
      </w:tr>
    </w:tbl>
    <w:p w14:paraId="27B8FB93">
      <w:pPr>
        <w:rPr>
          <w:rFonts w:hint="eastAsia" w:eastAsiaTheme="minorEastAsia"/>
          <w:lang w:val="en-US" w:eastAsia="zh-CN"/>
        </w:rPr>
      </w:pPr>
    </w:p>
    <w:p w14:paraId="4C42A04E">
      <w:pPr>
        <w:rPr>
          <w:rFonts w:hint="eastAsia" w:eastAsiaTheme="minorEastAsia"/>
          <w:lang w:val="en-US" w:eastAsia="zh-CN"/>
        </w:rPr>
      </w:pPr>
    </w:p>
    <w:p w14:paraId="45C28D92">
      <w:pPr>
        <w:rPr>
          <w:rFonts w:hint="eastAsia" w:eastAsiaTheme="minorEastAsia"/>
          <w:lang w:val="en-US" w:eastAsia="zh-CN"/>
        </w:rPr>
      </w:pPr>
    </w:p>
    <w:p w14:paraId="70D01DDA">
      <w:pPr>
        <w:rPr>
          <w:rFonts w:hint="eastAsia" w:eastAsiaTheme="minorEastAsia"/>
          <w:lang w:val="en-US" w:eastAsia="zh-CN"/>
        </w:rPr>
      </w:pPr>
    </w:p>
    <w:p w14:paraId="747A03C1">
      <w:pPr>
        <w:rPr>
          <w:rFonts w:hint="eastAsia" w:eastAsiaTheme="minorEastAsia"/>
          <w:lang w:val="en-US" w:eastAsia="zh-CN"/>
        </w:rPr>
      </w:pPr>
    </w:p>
    <w:p w14:paraId="3218FA2F">
      <w:pPr>
        <w:rPr>
          <w:rFonts w:hint="eastAsia" w:eastAsiaTheme="minorEastAsia"/>
          <w:lang w:val="en-US" w:eastAsia="zh-CN"/>
        </w:rPr>
      </w:pPr>
    </w:p>
    <w:p w14:paraId="6C5A7D02">
      <w:pPr>
        <w:rPr>
          <w:rFonts w:hint="eastAsia" w:eastAsiaTheme="minorEastAsia"/>
          <w:lang w:val="en-US" w:eastAsia="zh-CN"/>
        </w:rPr>
      </w:pPr>
    </w:p>
    <w:p w14:paraId="12865A5C">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9"/>
        <w:gridCol w:w="1131"/>
        <w:gridCol w:w="6739"/>
        <w:gridCol w:w="5395"/>
      </w:tblGrid>
      <w:tr w14:paraId="75162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699"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0F3CBF81">
            <w:pPr>
              <w:jc w:val="left"/>
              <w:rPr>
                <w:rFonts w:hint="eastAsia" w:ascii="宋体" w:hAnsi="宋体" w:eastAsia="宋体" w:cs="宋体"/>
                <w:i w:val="0"/>
                <w:iCs w:val="0"/>
                <w:color w:val="000000"/>
                <w:sz w:val="20"/>
                <w:szCs w:val="20"/>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58F74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机房建设</w:t>
            </w:r>
          </w:p>
        </w:tc>
        <w:tc>
          <w:tcPr>
            <w:tcW w:w="6739"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066E548F">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修改前</w:t>
            </w:r>
          </w:p>
        </w:tc>
        <w:tc>
          <w:tcPr>
            <w:tcW w:w="5395"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5E559B6C">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修改后</w:t>
            </w:r>
          </w:p>
        </w:tc>
      </w:tr>
      <w:tr w14:paraId="7AC45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699" w:type="dxa"/>
            <w:tcBorders>
              <w:top w:val="single" w:color="000000" w:sz="4" w:space="0"/>
              <w:left w:val="single" w:color="000000" w:sz="8" w:space="0"/>
              <w:bottom w:val="single" w:color="000000" w:sz="4" w:space="0"/>
              <w:right w:val="single" w:color="000000" w:sz="4" w:space="0"/>
            </w:tcBorders>
            <w:noWrap w:val="0"/>
            <w:vAlign w:val="center"/>
          </w:tcPr>
          <w:p w14:paraId="56898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31" w:type="dxa"/>
            <w:tcBorders>
              <w:top w:val="single" w:color="000000" w:sz="4" w:space="0"/>
              <w:left w:val="single" w:color="000000" w:sz="4" w:space="0"/>
              <w:bottom w:val="single" w:color="000000" w:sz="4" w:space="0"/>
              <w:right w:val="single" w:color="000000" w:sz="4" w:space="0"/>
            </w:tcBorders>
            <w:noWrap w:val="0"/>
            <w:vAlign w:val="center"/>
          </w:tcPr>
          <w:p w14:paraId="131CB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UPS电池</w:t>
            </w:r>
          </w:p>
        </w:tc>
        <w:tc>
          <w:tcPr>
            <w:tcW w:w="6739" w:type="dxa"/>
            <w:tcBorders>
              <w:top w:val="single" w:color="000000" w:sz="4" w:space="0"/>
              <w:left w:val="single" w:color="000000" w:sz="4" w:space="0"/>
              <w:bottom w:val="single" w:color="000000" w:sz="4" w:space="0"/>
              <w:right w:val="single" w:color="000000" w:sz="4" w:space="0"/>
            </w:tcBorders>
            <w:noWrap w:val="0"/>
            <w:vAlign w:val="center"/>
          </w:tcPr>
          <w:p w14:paraId="1C993C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1、标称电压：12V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2：额定容量：≥100Ah（C20，1.75V/单体、25℃）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3、内阻：约4.9mΩ</w:t>
            </w:r>
            <w:r>
              <w:rPr>
                <w:rFonts w:hint="eastAsia" w:ascii="宋体" w:hAnsi="宋体" w:eastAsia="宋体" w:cs="宋体"/>
                <w:i w:val="0"/>
                <w:iCs w:val="0"/>
                <w:color w:val="000000"/>
                <w:kern w:val="0"/>
                <w:sz w:val="20"/>
                <w:szCs w:val="20"/>
                <w:highlight w:val="none"/>
                <w:u w:val="none"/>
                <w:lang w:val="en-US" w:eastAsia="zh-CN" w:bidi="ar"/>
              </w:rPr>
              <w:t>（荷电状态25℃，测试设备：HIOKI 3554 BATTERY HITESTER）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4、短路电流：2500A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5、自放电：≤2%/月（25℃）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6、适用温度范围：-15℃~45℃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7、设计寿命：10年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8、执行标准：GB/T 19639.1-2014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9、均充电压：2.40V/单体（25℃）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10、浮充电压V/单体：2.27V/单体（25℃）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11、温度补偿系数：-3.5mV/℃·单体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12、最大充电电流 ：25A</w:t>
            </w:r>
          </w:p>
        </w:tc>
        <w:tc>
          <w:tcPr>
            <w:tcW w:w="5395" w:type="dxa"/>
            <w:tcBorders>
              <w:top w:val="single" w:color="000000" w:sz="4" w:space="0"/>
              <w:left w:val="single" w:color="000000" w:sz="4" w:space="0"/>
              <w:bottom w:val="single" w:color="000000" w:sz="4" w:space="0"/>
              <w:right w:val="single" w:color="000000" w:sz="4" w:space="0"/>
            </w:tcBorders>
            <w:noWrap w:val="0"/>
            <w:vAlign w:val="center"/>
          </w:tcPr>
          <w:p w14:paraId="01E7A3E4">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1、标称电压：12V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2：额定容量：≥100Ah（C20，1.75V/单体、25℃）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3、内阻：约4.9mΩ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4、短路电流：2500A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5、自放电：≤2%/月（25℃）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6、适用温度范围：-15℃~45℃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7、设计寿命：10年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8、执行标准：GB/T 19639.1-2014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9、均充电压：2.40V/单体（25℃）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10、浮充电压V/单体：2.27V/单体（25℃）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11、温度补偿系数：-3.5mV/℃·单体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12、最大充电电流 ：25A</w:t>
            </w:r>
          </w:p>
        </w:tc>
      </w:tr>
    </w:tbl>
    <w:p w14:paraId="56D5A178">
      <w:pPr>
        <w:rPr>
          <w:rFonts w:hint="eastAsia" w:eastAsiaTheme="minorEastAsia"/>
          <w:lang w:val="en-US" w:eastAsia="zh-CN"/>
        </w:rPr>
      </w:pPr>
    </w:p>
    <w:p w14:paraId="4B71D892">
      <w:pPr>
        <w:rPr>
          <w:rFonts w:hint="eastAsia" w:eastAsiaTheme="minorEastAsia"/>
          <w:lang w:val="en-US" w:eastAsia="zh-CN"/>
        </w:rPr>
      </w:pPr>
    </w:p>
    <w:p w14:paraId="2245A580">
      <w:pPr>
        <w:rPr>
          <w:rFonts w:hint="eastAsia" w:eastAsiaTheme="minorEastAsia"/>
          <w:lang w:val="en-US" w:eastAsia="zh-CN"/>
        </w:rPr>
      </w:pPr>
    </w:p>
    <w:p w14:paraId="21CDACA3">
      <w:pPr>
        <w:rPr>
          <w:rFonts w:hint="eastAsia" w:eastAsiaTheme="minorEastAsia"/>
          <w:lang w:val="en-US" w:eastAsia="zh-CN"/>
        </w:rPr>
      </w:pPr>
    </w:p>
    <w:p w14:paraId="0903DA6F">
      <w:pPr>
        <w:rPr>
          <w:rFonts w:hint="eastAsia" w:eastAsiaTheme="minorEastAsia"/>
          <w:lang w:val="en-US" w:eastAsia="zh-CN"/>
        </w:rPr>
      </w:pPr>
    </w:p>
    <w:p w14:paraId="04074037">
      <w:pPr>
        <w:rPr>
          <w:rFonts w:hint="eastAsia" w:eastAsiaTheme="minorEastAsia"/>
          <w:lang w:val="en-US" w:eastAsia="zh-CN"/>
        </w:rPr>
      </w:pPr>
    </w:p>
    <w:p w14:paraId="373BF758">
      <w:pPr>
        <w:rPr>
          <w:rFonts w:hint="eastAsia" w:eastAsiaTheme="minorEastAsia"/>
          <w:lang w:val="en-US" w:eastAsia="zh-CN"/>
        </w:rPr>
      </w:pPr>
    </w:p>
    <w:p w14:paraId="7DC9F86A">
      <w:pPr>
        <w:rPr>
          <w:rFonts w:hint="eastAsia" w:eastAsiaTheme="minorEastAsia"/>
          <w:lang w:val="en-US" w:eastAsia="zh-CN"/>
        </w:rPr>
      </w:pPr>
    </w:p>
    <w:p w14:paraId="1690F07A">
      <w:pPr>
        <w:rPr>
          <w:rFonts w:hint="eastAsia" w:eastAsiaTheme="minorEastAsia"/>
          <w:lang w:val="en-US" w:eastAsia="zh-CN"/>
        </w:rPr>
      </w:pPr>
    </w:p>
    <w:p w14:paraId="346AA402">
      <w:pPr>
        <w:rPr>
          <w:rFonts w:hint="eastAsia" w:eastAsiaTheme="minorEastAsia"/>
          <w:lang w:val="en-US" w:eastAsia="zh-CN"/>
        </w:rPr>
      </w:pPr>
    </w:p>
    <w:p w14:paraId="05CCFC37">
      <w:pPr>
        <w:rPr>
          <w:rFonts w:hint="eastAsia" w:eastAsiaTheme="minorEastAsia"/>
          <w:lang w:val="en-US" w:eastAsia="zh-CN"/>
        </w:rPr>
      </w:pPr>
    </w:p>
    <w:p w14:paraId="11939FF9">
      <w:pPr>
        <w:rPr>
          <w:rFonts w:hint="eastAsia" w:eastAsiaTheme="minorEastAsia"/>
          <w:lang w:val="en-US" w:eastAsia="zh-CN"/>
        </w:rPr>
      </w:pPr>
    </w:p>
    <w:tbl>
      <w:tblPr>
        <w:tblStyle w:val="4"/>
        <w:tblW w:w="139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5"/>
        <w:gridCol w:w="1542"/>
        <w:gridCol w:w="5931"/>
        <w:gridCol w:w="5626"/>
      </w:tblGrid>
      <w:tr w14:paraId="3019B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65" w:type="dxa"/>
            <w:tcBorders>
              <w:top w:val="single" w:color="000000" w:sz="4" w:space="0"/>
              <w:left w:val="single" w:color="000000" w:sz="8" w:space="0"/>
              <w:bottom w:val="single" w:color="000000" w:sz="4" w:space="0"/>
              <w:right w:val="single" w:color="000000" w:sz="4" w:space="0"/>
            </w:tcBorders>
            <w:shd w:val="clear" w:color="auto" w:fill="DDD9C4"/>
            <w:noWrap w:val="0"/>
            <w:vAlign w:val="center"/>
          </w:tcPr>
          <w:p w14:paraId="288072EA">
            <w:pPr>
              <w:jc w:val="right"/>
              <w:rPr>
                <w:rFonts w:hint="eastAsia" w:ascii="宋体" w:hAnsi="宋体" w:eastAsia="宋体" w:cs="宋体"/>
                <w:i w:val="0"/>
                <w:iCs w:val="0"/>
                <w:color w:val="000000"/>
                <w:sz w:val="20"/>
                <w:szCs w:val="20"/>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6CE1E02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5F东下88.58共享办公室</w:t>
            </w:r>
          </w:p>
        </w:tc>
        <w:tc>
          <w:tcPr>
            <w:tcW w:w="5931"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79C22DB4">
            <w:pPr>
              <w:jc w:val="left"/>
              <w:rPr>
                <w:rFonts w:hint="eastAsia" w:ascii="宋体" w:hAnsi="宋体" w:eastAsia="宋体" w:cs="宋体"/>
                <w:i w:val="0"/>
                <w:iCs w:val="0"/>
                <w:color w:val="000000"/>
                <w:sz w:val="20"/>
                <w:szCs w:val="20"/>
                <w:u w:val="none"/>
              </w:rPr>
            </w:pPr>
          </w:p>
        </w:tc>
        <w:tc>
          <w:tcPr>
            <w:tcW w:w="5626" w:type="dxa"/>
            <w:tcBorders>
              <w:top w:val="single" w:color="000000" w:sz="4" w:space="0"/>
              <w:left w:val="single" w:color="000000" w:sz="4" w:space="0"/>
              <w:bottom w:val="single" w:color="000000" w:sz="4" w:space="0"/>
              <w:right w:val="single" w:color="000000" w:sz="4" w:space="0"/>
            </w:tcBorders>
            <w:shd w:val="clear" w:color="auto" w:fill="DDD9C4"/>
            <w:noWrap w:val="0"/>
            <w:vAlign w:val="center"/>
          </w:tcPr>
          <w:p w14:paraId="290C9F74">
            <w:pPr>
              <w:jc w:val="center"/>
              <w:rPr>
                <w:rFonts w:hint="eastAsia" w:ascii="宋体" w:hAnsi="宋体" w:eastAsia="宋体" w:cs="宋体"/>
                <w:i w:val="0"/>
                <w:iCs w:val="0"/>
                <w:color w:val="000000"/>
                <w:sz w:val="20"/>
                <w:szCs w:val="20"/>
                <w:u w:val="none"/>
              </w:rPr>
            </w:pPr>
          </w:p>
        </w:tc>
      </w:tr>
      <w:tr w14:paraId="2293C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0" w:hRule="atLeast"/>
        </w:trPr>
        <w:tc>
          <w:tcPr>
            <w:tcW w:w="865" w:type="dxa"/>
            <w:tcBorders>
              <w:top w:val="single" w:color="000000" w:sz="4" w:space="0"/>
              <w:left w:val="single" w:color="000000" w:sz="8" w:space="0"/>
              <w:bottom w:val="single" w:color="000000" w:sz="4" w:space="0"/>
              <w:right w:val="single" w:color="000000" w:sz="4" w:space="0"/>
            </w:tcBorders>
            <w:noWrap w:val="0"/>
            <w:vAlign w:val="center"/>
          </w:tcPr>
          <w:p w14:paraId="7A035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14:paraId="62968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1拖4无线鹅颈话筒</w:t>
            </w:r>
          </w:p>
        </w:tc>
        <w:tc>
          <w:tcPr>
            <w:tcW w:w="5931" w:type="dxa"/>
            <w:tcBorders>
              <w:top w:val="single" w:color="000000" w:sz="4" w:space="0"/>
              <w:left w:val="single" w:color="000000" w:sz="4" w:space="0"/>
              <w:bottom w:val="single" w:color="000000" w:sz="4" w:space="0"/>
              <w:right w:val="single" w:color="000000" w:sz="4" w:space="0"/>
            </w:tcBorders>
            <w:noWrap w:val="0"/>
            <w:vAlign w:val="center"/>
          </w:tcPr>
          <w:p w14:paraId="2AF3E6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50165</wp:posOffset>
                  </wp:positionH>
                  <wp:positionV relativeFrom="paragraph">
                    <wp:posOffset>0</wp:posOffset>
                  </wp:positionV>
                  <wp:extent cx="1511935" cy="10160"/>
                  <wp:effectExtent l="0" t="0" r="0" b="0"/>
                  <wp:wrapNone/>
                  <wp:docPr id="2" name="图片_10"/>
                  <wp:cNvGraphicFramePr/>
                  <a:graphic xmlns:a="http://schemas.openxmlformats.org/drawingml/2006/main">
                    <a:graphicData uri="http://schemas.openxmlformats.org/drawingml/2006/picture">
                      <pic:pic xmlns:pic="http://schemas.openxmlformats.org/drawingml/2006/picture">
                        <pic:nvPicPr>
                          <pic:cNvPr id="2" name="图片_10"/>
                          <pic:cNvPicPr/>
                        </pic:nvPicPr>
                        <pic:blipFill>
                          <a:blip r:embed="rId5"/>
                          <a:stretch>
                            <a:fillRect/>
                          </a:stretch>
                        </pic:blipFill>
                        <pic:spPr>
                          <a:xfrm>
                            <a:off x="0" y="0"/>
                            <a:ext cx="1511935" cy="10160"/>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50165</wp:posOffset>
                  </wp:positionH>
                  <wp:positionV relativeFrom="paragraph">
                    <wp:posOffset>0</wp:posOffset>
                  </wp:positionV>
                  <wp:extent cx="1511935" cy="10160"/>
                  <wp:effectExtent l="0" t="0" r="0" b="0"/>
                  <wp:wrapNone/>
                  <wp:docPr id="1" name="图片_10_SpCnt_1"/>
                  <wp:cNvGraphicFramePr/>
                  <a:graphic xmlns:a="http://schemas.openxmlformats.org/drawingml/2006/main">
                    <a:graphicData uri="http://schemas.openxmlformats.org/drawingml/2006/picture">
                      <pic:pic xmlns:pic="http://schemas.openxmlformats.org/drawingml/2006/picture">
                        <pic:nvPicPr>
                          <pic:cNvPr id="1" name="图片_10_SpCnt_1"/>
                          <pic:cNvPicPr/>
                        </pic:nvPicPr>
                        <pic:blipFill>
                          <a:blip r:embed="rId5"/>
                          <a:stretch>
                            <a:fillRect/>
                          </a:stretch>
                        </pic:blipFill>
                        <pic:spPr>
                          <a:xfrm>
                            <a:off x="0" y="0"/>
                            <a:ext cx="1511935" cy="10160"/>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lang w:val="en-US" w:eastAsia="zh-CN" w:bidi="ar"/>
              </w:rPr>
              <w:t>功能特点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1.一拖四UHF无线鹅颈麦克风，两通道接收，金属外壳的1U标准机柜设计结构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2.采用数字导频和ID码身份认证技术，ID随机码多达16位，彻底解决同频、串频现象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3.用集成单芯片电路，每个窗口有2个通道，每个通道有75个频率,共有600个自由选择频点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4.接收机具有扫频功能，可自动扫描最干净的频段，避免外部信号的干扰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5.接收机、发射均配备TFT显示，信号强度，音频动态，工作频率等一目了然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6.话筒具有静音功能，实现开关机与静音的切换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7.采用二次变频的高频电路设计，具有极高的灵敏度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8.内置多重静噪控制电路，拒绝外部干扰接收距离达100米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9.专门设计的语音压缩扩展电路，极大地提高信噪比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10.独特的电路设计，动态大，频响宽，噪音小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综合参数：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载波频段：UHF610-690MHz可选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频宽：80MHz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预设群组数：600个频率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动态范围：90dB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失真度：&lt;0.5%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频率响应：30-20KHz/±2dB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信噪比：90dB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接收灵敏度：-95dBm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电源供应：DC12V-18V 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音频输出接口：1x6.3mm输出，4xXLR平衡输出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接收机参数：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使用电源适配器电压：DC12V 1.5A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消耗功率：7W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信噪比：&gt;90dB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假像干扰比：&gt;100dB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邻道干扰比：&gt;80dB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接收灵敏度：&gt;7uV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频率响应：40Hz-20KHz±2dB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失真率：＜0.5%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动态范围：90dB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主机尺寸：420.4x188x45mm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主机重量：1270g</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发射机参数：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频率切换：红外同步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发射功率：20mW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调製方式：DQPSK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高次谐波：低于主波基准40dB以上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使用电池：3V(1.5VAA电池3节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连续使用时间：＞5小时</w:t>
            </w:r>
          </w:p>
        </w:tc>
        <w:tc>
          <w:tcPr>
            <w:tcW w:w="5626" w:type="dxa"/>
            <w:tcBorders>
              <w:top w:val="single" w:color="000000" w:sz="4" w:space="0"/>
              <w:left w:val="single" w:color="000000" w:sz="4" w:space="0"/>
              <w:bottom w:val="single" w:color="000000" w:sz="4" w:space="0"/>
              <w:right w:val="single" w:color="000000" w:sz="4" w:space="0"/>
            </w:tcBorders>
            <w:noWrap w:val="0"/>
            <w:vAlign w:val="center"/>
          </w:tcPr>
          <w:p w14:paraId="5595DA0D">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功能特点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1.一拖四UHF无线鹅颈麦克风，两通道接收，金属外壳的1U标准机柜设计结构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2.采用数字导频和ID码身份认证技术，ID随机码多达16位，彻底解决同频、串频现象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3.用集成单芯片电路，每个窗口有2个通道，每个通道有75个频率,共有600个自由选择频点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4.接收机具有扫频功能，可自动扫描最干净的频段，避免外部信号的干扰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5.接收机、发射均配备TFT显示，信号强度，音频动态，工作频率等一目了然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6.话筒具有静音功能，实现开关机与静音的切换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7.采用二次变频的高频电路设计，具有极高的灵敏度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8.内置多重静噪控制电路，拒绝外部干扰接收距离达100米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9.专门设计的语音压缩扩展电路，极大地提高信噪比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10.独特的电路设计，动态大，频响宽，噪音小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综合参数：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载波频段：UHF610-690MHz可选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频宽：80MHz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预设群组数：600个频率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动态范围：90dB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失真度：&lt;0.5%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频率响应：30-20KHz/±2dB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信噪比：90dB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接收灵敏度：-95dBm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电源供应：DC12V-18V 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音频输出接口：1x6.3mm输出，4xXLR平衡输出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接收机参数：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使用电源适配器电压：DC12V 1.5A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消耗功率：7W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信噪比：&gt;90dB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假像干扰比：&gt;100dB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邻道干扰比：&gt;80dB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接收灵敏度：&gt;7uV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频率响应：40Hz-20KHz±2dB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失真率：＜0.5%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动态范围：90dB</w:t>
            </w:r>
            <w:r>
              <w:rPr>
                <w:rFonts w:hint="eastAsia" w:ascii="宋体" w:hAnsi="宋体" w:eastAsia="宋体" w:cs="宋体"/>
                <w:i w:val="0"/>
                <w:iCs w:val="0"/>
                <w:color w:val="000000"/>
                <w:kern w:val="0"/>
                <w:sz w:val="20"/>
                <w:szCs w:val="20"/>
                <w:highlight w:val="yellow"/>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发射机参数：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频率切换：红外同步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发射功率：20mW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调製方式：DQPSK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高次谐波：低于主波基准40dB以上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使用电池：3V(1.5VAA电池3节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连续使用时间：＞5小时</w:t>
            </w:r>
          </w:p>
        </w:tc>
      </w:tr>
    </w:tbl>
    <w:p w14:paraId="4C5B730E">
      <w:pPr>
        <w:rPr>
          <w:rFonts w:hint="eastAsia" w:eastAsiaTheme="minorEastAsia"/>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B826B">
    <w:pPr>
      <w:pStyle w:val="3"/>
      <w:ind w:firstLine="6000" w:firstLineChars="1500"/>
      <w:rPr>
        <w:rFonts w:hint="eastAsia" w:eastAsiaTheme="minorEastAsia"/>
        <w:sz w:val="40"/>
        <w:szCs w:val="56"/>
        <w:lang w:eastAsia="zh-CN"/>
      </w:rPr>
    </w:pPr>
    <w:r>
      <w:rPr>
        <w:rFonts w:hint="eastAsia"/>
        <w:sz w:val="40"/>
        <w:szCs w:val="56"/>
        <w:lang w:eastAsia="zh-CN"/>
      </w:rPr>
      <w:t>更正文件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04FDD"/>
    <w:rsid w:val="089D7C92"/>
    <w:rsid w:val="1074577C"/>
    <w:rsid w:val="149D101A"/>
    <w:rsid w:val="15B226B8"/>
    <w:rsid w:val="17AD77C6"/>
    <w:rsid w:val="19D041CD"/>
    <w:rsid w:val="1ACB068F"/>
    <w:rsid w:val="1B1C0EEA"/>
    <w:rsid w:val="262E5F76"/>
    <w:rsid w:val="2A4C2E6E"/>
    <w:rsid w:val="2C904FDD"/>
    <w:rsid w:val="370F76FD"/>
    <w:rsid w:val="49627B61"/>
    <w:rsid w:val="4ACB401E"/>
    <w:rsid w:val="562543F0"/>
    <w:rsid w:val="57FB5368"/>
    <w:rsid w:val="5BC87CF7"/>
    <w:rsid w:val="5D417D61"/>
    <w:rsid w:val="65566374"/>
    <w:rsid w:val="68866F70"/>
    <w:rsid w:val="6CEE3336"/>
    <w:rsid w:val="71E13469"/>
    <w:rsid w:val="799F7E92"/>
    <w:rsid w:val="7FFB0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11"/>
    <w:basedOn w:val="5"/>
    <w:qFormat/>
    <w:uiPriority w:val="0"/>
    <w:rPr>
      <w:rFonts w:hint="eastAsia" w:ascii="宋体" w:hAnsi="宋体" w:eastAsia="宋体" w:cs="宋体"/>
      <w:color w:val="000000"/>
      <w:sz w:val="20"/>
      <w:szCs w:val="20"/>
      <w:u w:val="none"/>
    </w:rPr>
  </w:style>
  <w:style w:type="character" w:customStyle="1" w:styleId="7">
    <w:name w:val="font21"/>
    <w:basedOn w:val="5"/>
    <w:qFormat/>
    <w:uiPriority w:val="0"/>
    <w:rPr>
      <w:rFonts w:hint="eastAsia" w:ascii="宋体" w:hAnsi="宋体" w:eastAsia="宋体" w:cs="宋体"/>
      <w:color w:val="000000"/>
      <w:sz w:val="20"/>
      <w:szCs w:val="20"/>
      <w:u w:val="none"/>
    </w:rPr>
  </w:style>
  <w:style w:type="character" w:customStyle="1" w:styleId="8">
    <w:name w:val="font31"/>
    <w:basedOn w:val="5"/>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9454</Words>
  <Characters>12499</Characters>
  <Lines>0</Lines>
  <Paragraphs>0</Paragraphs>
  <TotalTime>0</TotalTime>
  <ScaleCrop>false</ScaleCrop>
  <LinksUpToDate>false</LinksUpToDate>
  <CharactersWithSpaces>12858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2025-06-27T01:49:00Z</dcterms:created>
  <dc:creator>逗逼</dc:creator>
  <cp:lastModifiedBy>逗逼</cp:lastModifiedBy>
  <dcterms:modified xsi:type="dcterms:W3CDTF">2025-06-28T03:40:44Z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EF17E87FE6224809B4A64F1F0AAAB9DE_11</vt:lpwstr>
  </property>
  <property fmtid="{D5CDD505-2E9C-101B-9397-08002B2CF9AE}" pid="4" name="KSOTemplateDocerSaveRecord">
    <vt:lpwstr>eyJoZGlkIjoiMzdjZjY5ODExYWQ5MjRjMzNmN2M0MWIyZjAwZjliOTQiLCJ1c2VySWQiOiIzMTI2ODczMjcifQ==</vt:lpwstr>
  </property>
</Properties>
</file>