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E32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firstLine="411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（二）技术</w:t>
      </w:r>
      <w:r>
        <w:rPr>
          <w:rFonts w:hint="eastAsia" w:eastAsia="宋体" w:cs="宋体"/>
          <w:color w:val="auto"/>
          <w:sz w:val="21"/>
          <w:szCs w:val="21"/>
          <w:highlight w:val="none"/>
          <w:lang w:val="en-US" w:eastAsia="zh-CN"/>
        </w:rPr>
        <w:t>资信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标评审部分（满分</w:t>
      </w:r>
      <w:r>
        <w:rPr>
          <w:rFonts w:hint="eastAsia" w:eastAsia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0分）</w:t>
      </w:r>
    </w:p>
    <w:tbl>
      <w:tblPr>
        <w:tblStyle w:val="5"/>
        <w:tblW w:w="10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66"/>
        <w:gridCol w:w="1620"/>
        <w:gridCol w:w="7734"/>
      </w:tblGrid>
      <w:tr w14:paraId="14809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4" w:hRule="atLeast"/>
          <w:jc w:val="center"/>
        </w:trPr>
        <w:tc>
          <w:tcPr>
            <w:tcW w:w="666" w:type="dxa"/>
            <w:noWrap w:val="0"/>
            <w:vAlign w:val="top"/>
          </w:tcPr>
          <w:p w14:paraId="48C8846C">
            <w:pPr>
              <w:pStyle w:val="7"/>
              <w:spacing w:line="242" w:lineRule="exact"/>
              <w:ind w:left="117" w:right="118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w w:val="95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20" w:type="dxa"/>
            <w:noWrap w:val="0"/>
            <w:vAlign w:val="top"/>
          </w:tcPr>
          <w:p w14:paraId="5C1446F5">
            <w:pPr>
              <w:pStyle w:val="7"/>
              <w:spacing w:line="242" w:lineRule="exact"/>
              <w:ind w:left="149" w:right="149"/>
              <w:jc w:val="center"/>
              <w:rPr>
                <w:rFonts w:hint="eastAsia"/>
                <w:b/>
                <w:color w:val="auto"/>
                <w:w w:val="95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w w:val="95"/>
                <w:sz w:val="21"/>
                <w:szCs w:val="21"/>
                <w:highlight w:val="none"/>
              </w:rPr>
              <w:t>评分</w:t>
            </w:r>
          </w:p>
          <w:p w14:paraId="33433248">
            <w:pPr>
              <w:pStyle w:val="7"/>
              <w:spacing w:line="242" w:lineRule="exact"/>
              <w:ind w:left="149" w:right="149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w w:val="95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7734" w:type="dxa"/>
            <w:noWrap w:val="0"/>
            <w:vAlign w:val="top"/>
          </w:tcPr>
          <w:p w14:paraId="323199C3">
            <w:pPr>
              <w:pStyle w:val="7"/>
              <w:spacing w:line="242" w:lineRule="exact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w w:val="95"/>
                <w:sz w:val="21"/>
                <w:szCs w:val="21"/>
                <w:highlight w:val="none"/>
              </w:rPr>
              <w:t>评分</w:t>
            </w:r>
            <w:r>
              <w:rPr>
                <w:rFonts w:hint="eastAsia"/>
                <w:b/>
                <w:color w:val="auto"/>
                <w:w w:val="95"/>
                <w:sz w:val="21"/>
                <w:szCs w:val="21"/>
                <w:highlight w:val="none"/>
                <w:lang w:eastAsia="zh-CN"/>
              </w:rPr>
              <w:t>标准</w:t>
            </w:r>
          </w:p>
        </w:tc>
      </w:tr>
      <w:tr w14:paraId="1F6C7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378CE741">
            <w:pPr>
              <w:pStyle w:val="7"/>
              <w:spacing w:line="360" w:lineRule="exact"/>
              <w:ind w:firstLine="211" w:firstLineChars="100"/>
              <w:jc w:val="center"/>
              <w:rPr>
                <w:rFonts w:hint="default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20" w:type="dxa"/>
            <w:vMerge w:val="restart"/>
            <w:noWrap w:val="0"/>
            <w:vAlign w:val="top"/>
          </w:tcPr>
          <w:p w14:paraId="30B51722">
            <w:pPr>
              <w:pStyle w:val="7"/>
              <w:spacing w:line="360" w:lineRule="exact"/>
              <w:ind w:left="149" w:right="149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3A964CCA">
            <w:pPr>
              <w:pStyle w:val="7"/>
              <w:spacing w:line="360" w:lineRule="exact"/>
              <w:ind w:left="149" w:right="149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投标货物整体评价</w:t>
            </w:r>
          </w:p>
          <w:p w14:paraId="7949AACB">
            <w:pPr>
              <w:pStyle w:val="7"/>
              <w:spacing w:line="360" w:lineRule="exact"/>
              <w:ind w:left="149" w:right="149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7分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34" w:type="dxa"/>
            <w:noWrap w:val="0"/>
            <w:vAlign w:val="top"/>
          </w:tcPr>
          <w:p w14:paraId="00A2BF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/>
                <w:color w:val="auto"/>
                <w:w w:val="95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拟投品牌电梯的市场信誉情况（品牌知名度、维保、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注册年限、注册资金等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方面），横向比较，酌情评分。0-4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</w:tr>
      <w:tr w14:paraId="40323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75633CE4">
            <w:pPr>
              <w:pStyle w:val="7"/>
              <w:spacing w:line="360" w:lineRule="exact"/>
              <w:ind w:firstLine="211" w:firstLineChars="100"/>
              <w:jc w:val="both"/>
              <w:rPr>
                <w:rFonts w:hint="default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D0A7A88">
            <w:pPr>
              <w:pStyle w:val="7"/>
              <w:spacing w:line="360" w:lineRule="exact"/>
              <w:ind w:left="149" w:right="149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34" w:type="dxa"/>
            <w:noWrap w:val="0"/>
            <w:vAlign w:val="center"/>
          </w:tcPr>
          <w:p w14:paraId="116F6010">
            <w:pPr>
              <w:pStyle w:val="7"/>
              <w:spacing w:line="440" w:lineRule="exact"/>
              <w:jc w:val="left"/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依据投标电梯型号的配置为投标品牌中的高端型号得</w:t>
            </w: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、中端型号得</w:t>
            </w: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2分；低端型号</w:t>
            </w:r>
            <w:r>
              <w:rPr>
                <w:rFonts w:hint="eastAsia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不得分</w:t>
            </w: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。（在列出投标型号的同时，请列明该系列的高、中、低端型号清单，并注明投标型号位于该系列的档次</w:t>
            </w:r>
            <w:r>
              <w:rPr>
                <w:rFonts w:hint="eastAsia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，提供制造商相关证明</w:t>
            </w: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25B87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66" w:type="dxa"/>
            <w:noWrap w:val="0"/>
            <w:vAlign w:val="center"/>
          </w:tcPr>
          <w:p w14:paraId="5E94408D">
            <w:pPr>
              <w:pStyle w:val="7"/>
              <w:spacing w:line="360" w:lineRule="exact"/>
              <w:ind w:firstLine="211" w:firstLineChars="100"/>
              <w:jc w:val="both"/>
              <w:rPr>
                <w:rFonts w:hint="default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0CF3EFCA">
            <w:pPr>
              <w:pStyle w:val="7"/>
              <w:spacing w:line="360" w:lineRule="exact"/>
              <w:ind w:left="149" w:right="149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整机性能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34" w:type="dxa"/>
            <w:noWrap w:val="0"/>
            <w:vAlign w:val="center"/>
          </w:tcPr>
          <w:p w14:paraId="4854514C">
            <w:pPr>
              <w:pStyle w:val="7"/>
              <w:spacing w:line="440" w:lineRule="exact"/>
              <w:jc w:val="left"/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主要从投标电梯型号的配置档次，整机可靠性、平层精度、噪声、振动加速度、设计寿命，横向比较，酌情评分。</w:t>
            </w:r>
            <w:r>
              <w:rPr>
                <w:rFonts w:hint="eastAsia" w:ascii="Calibri" w:hAnsi="Calibri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好的得4分（不含）-6分（含），一般的得2分（不含）-4分（含），差的得0分-2分（含）</w:t>
            </w:r>
            <w:r>
              <w:rPr>
                <w:rFonts w:hint="eastAsia" w:ascii="Calibri" w:hAnsi="Calibri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5BB3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9" w:hRule="atLeast"/>
          <w:jc w:val="center"/>
        </w:trPr>
        <w:tc>
          <w:tcPr>
            <w:tcW w:w="666" w:type="dxa"/>
            <w:noWrap w:val="0"/>
            <w:vAlign w:val="center"/>
          </w:tcPr>
          <w:p w14:paraId="52613D2B">
            <w:pPr>
              <w:pStyle w:val="7"/>
              <w:spacing w:line="360" w:lineRule="exact"/>
              <w:ind w:firstLine="211" w:firstLineChars="100"/>
              <w:jc w:val="both"/>
              <w:rPr>
                <w:rFonts w:hint="default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 w14:paraId="4FF24D71">
            <w:pPr>
              <w:pStyle w:val="7"/>
              <w:spacing w:line="360" w:lineRule="exact"/>
              <w:ind w:left="149" w:right="149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曳引驱动系统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分）</w:t>
            </w:r>
          </w:p>
        </w:tc>
        <w:tc>
          <w:tcPr>
            <w:tcW w:w="7734" w:type="dxa"/>
            <w:noWrap w:val="0"/>
            <w:vAlign w:val="center"/>
          </w:tcPr>
          <w:p w14:paraId="1278D5F4">
            <w:pPr>
              <w:pStyle w:val="7"/>
              <w:spacing w:line="440" w:lineRule="exact"/>
              <w:jc w:val="left"/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速度传感器、减速装置、驱动电机、制动器、编码器、整机品牌等承诺情况，横向比较，酌情评分。</w:t>
            </w:r>
            <w:r>
              <w:rPr>
                <w:rFonts w:hint="eastAsia" w:ascii="Calibri" w:hAnsi="Calibri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好的得4分（不含）-6分（含），一般的得2分（不含）-4分（含），差的得0分-2分（含）</w:t>
            </w: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396E6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66" w:type="dxa"/>
            <w:noWrap w:val="0"/>
            <w:vAlign w:val="center"/>
          </w:tcPr>
          <w:p w14:paraId="4255188E">
            <w:pPr>
              <w:pStyle w:val="7"/>
              <w:spacing w:line="360" w:lineRule="exact"/>
              <w:ind w:firstLine="211" w:firstLineChars="100"/>
              <w:jc w:val="both"/>
              <w:rPr>
                <w:rFonts w:hint="default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 w14:paraId="5FC35F19">
            <w:pPr>
              <w:pStyle w:val="7"/>
              <w:spacing w:line="360" w:lineRule="exact"/>
              <w:ind w:left="160" w:right="141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</w:rPr>
              <w:t>控制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系统</w:t>
            </w:r>
          </w:p>
          <w:p w14:paraId="5433FC48">
            <w:pPr>
              <w:pStyle w:val="7"/>
              <w:spacing w:line="360" w:lineRule="exact"/>
              <w:ind w:left="160" w:leftChars="0" w:right="141" w:rightChars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34" w:type="dxa"/>
            <w:noWrap w:val="0"/>
            <w:vAlign w:val="center"/>
          </w:tcPr>
          <w:p w14:paraId="301AD877">
            <w:pPr>
              <w:spacing w:line="440" w:lineRule="exact"/>
              <w:jc w:val="left"/>
              <w:rPr>
                <w:rFonts w:hint="eastAsia" w:ascii="Calibri" w:hAnsi="Calibri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装置结构、逆变器件、控制CPU、制动方式、对电机控制方式、主要接触器、整机品牌承诺情况，横向比较，酌情评分。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好的得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分（不含）-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分（含），一般的得1分（不含）-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分（含），差的得0分-1分（含）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68717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66" w:type="dxa"/>
            <w:noWrap w:val="0"/>
            <w:vAlign w:val="center"/>
          </w:tcPr>
          <w:p w14:paraId="0A2E6300">
            <w:pPr>
              <w:pStyle w:val="7"/>
              <w:spacing w:line="360" w:lineRule="exact"/>
              <w:ind w:firstLine="211" w:firstLineChars="100"/>
              <w:jc w:val="both"/>
              <w:rPr>
                <w:rFonts w:hint="default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 w14:paraId="5E6E10ED">
            <w:pPr>
              <w:pStyle w:val="7"/>
              <w:spacing w:line="360" w:lineRule="exact"/>
              <w:ind w:left="149" w:right="149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门机系统</w:t>
            </w:r>
          </w:p>
          <w:p w14:paraId="77A4E186">
            <w:pPr>
              <w:pStyle w:val="7"/>
              <w:spacing w:line="360" w:lineRule="exact"/>
              <w:ind w:left="149" w:right="149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34" w:type="dxa"/>
            <w:noWrap w:val="0"/>
            <w:vAlign w:val="center"/>
          </w:tcPr>
          <w:p w14:paraId="6E2A7C57">
            <w:pPr>
              <w:pStyle w:val="7"/>
              <w:spacing w:line="440" w:lineRule="exact"/>
              <w:jc w:val="left"/>
              <w:rPr>
                <w:rFonts w:hint="eastAsia" w:ascii="Calibri" w:hAnsi="Calibri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门机种类、变频器、编码器、近门保护、整机品牌等承诺情况，横向比较，酌情评分。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好的得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分（不含）-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分（含），一般的得1分（不含）-</w:t>
            </w: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分（含），差的得0分-1分（含）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097B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666" w:type="dxa"/>
            <w:noWrap w:val="0"/>
            <w:vAlign w:val="center"/>
          </w:tcPr>
          <w:p w14:paraId="28FD494A">
            <w:pPr>
              <w:pStyle w:val="7"/>
              <w:spacing w:line="360" w:lineRule="exact"/>
              <w:ind w:firstLine="211" w:firstLineChars="100"/>
              <w:jc w:val="both"/>
              <w:rPr>
                <w:rFonts w:hint="default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 w14:paraId="3C75BA84">
            <w:pPr>
              <w:pStyle w:val="7"/>
              <w:spacing w:line="360" w:lineRule="exact"/>
              <w:ind w:left="149" w:right="149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其他部件</w:t>
            </w:r>
          </w:p>
          <w:p w14:paraId="13E7F47E">
            <w:pPr>
              <w:pStyle w:val="7"/>
              <w:spacing w:line="360" w:lineRule="exact"/>
              <w:ind w:left="149" w:right="149"/>
              <w:jc w:val="center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（6分）</w:t>
            </w:r>
          </w:p>
        </w:tc>
        <w:tc>
          <w:tcPr>
            <w:tcW w:w="7734" w:type="dxa"/>
            <w:noWrap w:val="0"/>
            <w:vAlign w:val="center"/>
          </w:tcPr>
          <w:p w14:paraId="6C312E06">
            <w:pPr>
              <w:pStyle w:val="7"/>
              <w:spacing w:line="440" w:lineRule="exact"/>
              <w:jc w:val="left"/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轿厢悬挂装置、导轨品质和规格、对重块材质、超载保护装置、曳引钢丝绳</w:t>
            </w:r>
            <w:r>
              <w:rPr>
                <w:rFonts w:hint="eastAsia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或钢带</w:t>
            </w: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、随行电缆等承诺情况，横向比较，酌情评分。好的得4分（不含）-6分（含），一般的得2分（不含）-4分（含），差的得0分-2分（含）。</w:t>
            </w:r>
          </w:p>
        </w:tc>
      </w:tr>
      <w:tr w14:paraId="680D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9" w:hRule="atLeast"/>
          <w:jc w:val="center"/>
        </w:trPr>
        <w:tc>
          <w:tcPr>
            <w:tcW w:w="666" w:type="dxa"/>
            <w:noWrap w:val="0"/>
            <w:vAlign w:val="center"/>
          </w:tcPr>
          <w:p w14:paraId="5D797EEA">
            <w:pPr>
              <w:pStyle w:val="7"/>
              <w:spacing w:line="360" w:lineRule="exact"/>
              <w:ind w:firstLine="210" w:firstLineChars="100"/>
              <w:jc w:val="both"/>
              <w:rPr>
                <w:rFonts w:hint="eastAsia" w:eastAsia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 w14:paraId="30805084">
            <w:pPr>
              <w:pStyle w:val="7"/>
              <w:spacing w:line="360" w:lineRule="exact"/>
              <w:ind w:left="149" w:right="149" w:firstLine="210" w:firstLineChars="100"/>
              <w:jc w:val="both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绩</w:t>
            </w:r>
          </w:p>
          <w:p w14:paraId="410D47EA">
            <w:pPr>
              <w:pStyle w:val="7"/>
              <w:spacing w:line="360" w:lineRule="exact"/>
              <w:ind w:left="149" w:right="149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（3分）</w:t>
            </w:r>
          </w:p>
        </w:tc>
        <w:tc>
          <w:tcPr>
            <w:tcW w:w="7734" w:type="dxa"/>
            <w:noWrap w:val="0"/>
            <w:vAlign w:val="center"/>
          </w:tcPr>
          <w:p w14:paraId="05CC9D13">
            <w:pPr>
              <w:pStyle w:val="7"/>
              <w:spacing w:line="440" w:lineRule="exact"/>
              <w:jc w:val="left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投标人202</w:t>
            </w: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年1月1日至今</w:t>
            </w: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完成过所投品牌同类业绩的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，每份有效合同得 1 分，最多得 3分。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（提供合同复印件）</w:t>
            </w:r>
          </w:p>
        </w:tc>
      </w:tr>
      <w:tr w14:paraId="2CD3D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66" w:type="dxa"/>
            <w:noWrap w:val="0"/>
            <w:vAlign w:val="center"/>
          </w:tcPr>
          <w:p w14:paraId="1475DC77">
            <w:pPr>
              <w:pStyle w:val="7"/>
              <w:spacing w:line="360" w:lineRule="exact"/>
              <w:jc w:val="center"/>
              <w:rPr>
                <w:rFonts w:hint="default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 w14:paraId="1DB14C9F">
            <w:pPr>
              <w:pStyle w:val="7"/>
              <w:spacing w:line="360" w:lineRule="exact"/>
              <w:jc w:val="center"/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产品</w:t>
            </w: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证书</w:t>
            </w: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</w:p>
          <w:p w14:paraId="3B4C1784">
            <w:pPr>
              <w:pStyle w:val="7"/>
              <w:spacing w:line="360" w:lineRule="exact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734" w:type="dxa"/>
            <w:noWrap w:val="0"/>
            <w:vAlign w:val="center"/>
          </w:tcPr>
          <w:p w14:paraId="7BFDB260">
            <w:pPr>
              <w:pStyle w:val="7"/>
              <w:spacing w:line="440" w:lineRule="exact"/>
              <w:jc w:val="left"/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电梯制造商具有质量管理体系认证证书、环境管理体系认证证书、健康管理体系认证证书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、中国合格评定国家认可委员会颁发的CNAS国家实验证书的，每个证书得1分，最</w:t>
            </w: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高得</w:t>
            </w: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4分，</w:t>
            </w:r>
            <w:r>
              <w:rPr>
                <w:rFonts w:hint="eastAsia" w:ascii="宋体" w:hAnsi="宋体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没有不得分。（提供证书复印件）</w:t>
            </w:r>
          </w:p>
        </w:tc>
      </w:tr>
      <w:tr w14:paraId="5F5EE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66" w:type="dxa"/>
            <w:noWrap w:val="0"/>
            <w:vAlign w:val="center"/>
          </w:tcPr>
          <w:p w14:paraId="663E4839">
            <w:pPr>
              <w:pStyle w:val="7"/>
              <w:spacing w:line="360" w:lineRule="exact"/>
              <w:jc w:val="center"/>
              <w:rPr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 w14:paraId="36EFB777">
            <w:pPr>
              <w:pStyle w:val="7"/>
              <w:spacing w:line="360" w:lineRule="exact"/>
              <w:jc w:val="center"/>
              <w:rPr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电梯的技术规格和要求</w:t>
            </w:r>
          </w:p>
          <w:p w14:paraId="383BC964">
            <w:pPr>
              <w:pStyle w:val="7"/>
              <w:spacing w:line="360" w:lineRule="exact"/>
              <w:jc w:val="center"/>
              <w:rPr>
                <w:rFonts w:hint="eastAsia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分</w:t>
            </w:r>
            <w:r>
              <w:rPr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34" w:type="dxa"/>
            <w:noWrap w:val="0"/>
            <w:vAlign w:val="center"/>
          </w:tcPr>
          <w:p w14:paraId="35601F5A">
            <w:pPr>
              <w:pStyle w:val="7"/>
              <w:spacing w:line="440" w:lineRule="exact"/>
              <w:jc w:val="left"/>
              <w:rPr>
                <w:rFonts w:hint="eastAsia" w:ascii="Calibri" w:hAnsi="Calibri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满足招标货物的性能及技术指标要求（0-</w:t>
            </w:r>
            <w:r>
              <w:rPr>
                <w:rFonts w:hint="eastAsia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分）：产品功能及参数、兼容性等各种性能及技术指标是否满足招标要求。投标产品完全符合招标文件要求的，得</w:t>
            </w:r>
            <w:r>
              <w:rPr>
                <w:rFonts w:hint="eastAsia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分；投标产品出现非实质性负偏离的，每项扣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分，</w:t>
            </w:r>
            <w:r>
              <w:rPr>
                <w:rFonts w:hint="eastAsia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扣完为止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21EAF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66" w:type="dxa"/>
            <w:noWrap w:val="0"/>
            <w:vAlign w:val="center"/>
          </w:tcPr>
          <w:p w14:paraId="68B5D268">
            <w:pPr>
              <w:pStyle w:val="7"/>
              <w:spacing w:line="360" w:lineRule="exact"/>
              <w:jc w:val="center"/>
              <w:rPr>
                <w:rFonts w:hint="default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20" w:type="dxa"/>
            <w:noWrap w:val="0"/>
            <w:vAlign w:val="center"/>
          </w:tcPr>
          <w:p w14:paraId="4A836517">
            <w:pPr>
              <w:pStyle w:val="7"/>
              <w:spacing w:line="440" w:lineRule="exact"/>
              <w:jc w:val="left"/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三大部件</w:t>
            </w:r>
          </w:p>
          <w:p w14:paraId="787AA05F">
            <w:pPr>
              <w:pStyle w:val="7"/>
              <w:spacing w:line="440" w:lineRule="exact"/>
              <w:jc w:val="left"/>
              <w:rPr>
                <w:rFonts w:hint="default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（6分）</w:t>
            </w:r>
          </w:p>
        </w:tc>
        <w:tc>
          <w:tcPr>
            <w:tcW w:w="7734" w:type="dxa"/>
            <w:noWrap w:val="0"/>
            <w:vAlign w:val="center"/>
          </w:tcPr>
          <w:p w14:paraId="03F28842">
            <w:pPr>
              <w:pStyle w:val="7"/>
              <w:spacing w:line="440" w:lineRule="exact"/>
              <w:jc w:val="left"/>
              <w:rPr>
                <w:rFonts w:hint="default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所投品牌投标梯型系列电梯门机、</w:t>
            </w: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曳引机、控制柜</w:t>
            </w: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采用原厂原品牌产品与投标品牌一致的，</w:t>
            </w: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每个得2分，最高</w:t>
            </w: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得</w:t>
            </w: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分</w:t>
            </w:r>
            <w:r>
              <w:rPr>
                <w:rFonts w:hint="eastAsia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须提供型式试验报告，</w:t>
            </w: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没有</w:t>
            </w:r>
            <w:r>
              <w:rPr>
                <w:rFonts w:hint="eastAsia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Calibri" w:hAnsi="Calibri" w:eastAsia="宋体" w:cs="Times New Roman"/>
                <w:bCs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不得分。</w:t>
            </w:r>
          </w:p>
        </w:tc>
      </w:tr>
      <w:tr w14:paraId="5B626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0A35898A">
            <w:pPr>
              <w:pStyle w:val="7"/>
              <w:spacing w:line="360" w:lineRule="exact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B0314C3">
            <w:pPr>
              <w:pStyle w:val="7"/>
              <w:spacing w:line="3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 实力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分）</w:t>
            </w:r>
          </w:p>
        </w:tc>
        <w:tc>
          <w:tcPr>
            <w:tcW w:w="7734" w:type="dxa"/>
            <w:noWrap w:val="0"/>
            <w:vAlign w:val="center"/>
          </w:tcPr>
          <w:p w14:paraId="53F7B891">
            <w:pPr>
              <w:pStyle w:val="7"/>
              <w:spacing w:line="440" w:lineRule="exact"/>
              <w:jc w:val="left"/>
              <w:rPr>
                <w:rFonts w:hint="default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根据投标人的市场占有率、银行信用等级、荣誉等综合实力，横向比较，酌情打分。</w:t>
            </w:r>
            <w:r>
              <w:rPr>
                <w:rFonts w:hint="eastAsia" w:ascii="Calibri" w:hAnsi="Calibri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好的得2分，一般的得1分</w:t>
            </w:r>
            <w:r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535A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037B4AAF">
            <w:pPr>
              <w:pStyle w:val="7"/>
              <w:spacing w:line="36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26E98EB">
            <w:pPr>
              <w:pStyle w:val="7"/>
              <w:spacing w:line="360" w:lineRule="exact"/>
              <w:jc w:val="center"/>
              <w:rPr>
                <w:rFonts w:hint="eastAsia" w:ascii="Calibri" w:hAnsi="Calibri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34" w:type="dxa"/>
            <w:noWrap w:val="0"/>
            <w:vAlign w:val="center"/>
          </w:tcPr>
          <w:p w14:paraId="41B7B400">
            <w:pPr>
              <w:pStyle w:val="7"/>
              <w:spacing w:line="440" w:lineRule="exact"/>
              <w:jc w:val="left"/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投标人所提供的售后服务承诺、优惠承诺、培训计划、技术人员配备、故障响应及修复时间承诺及保证措施，质保期满后的大包维保费用、小包维保费用、零部件收费承诺等，横向比较，酌情评分。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好的得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分（不含）-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分（含），一般的得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分（不含）-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分（含），差的得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分-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分（含）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302C0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3B9C5BBD">
            <w:pPr>
              <w:pStyle w:val="7"/>
              <w:spacing w:line="360" w:lineRule="exact"/>
              <w:jc w:val="center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3FC0294">
            <w:pPr>
              <w:pStyle w:val="7"/>
              <w:spacing w:line="3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34" w:type="dxa"/>
            <w:noWrap w:val="0"/>
            <w:vAlign w:val="center"/>
          </w:tcPr>
          <w:p w14:paraId="07455ACE">
            <w:pPr>
              <w:pStyle w:val="7"/>
              <w:spacing w:line="440" w:lineRule="exact"/>
              <w:jc w:val="left"/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安装施工组织及安装质量控制方案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成品保护方案、起吊安全方案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合理，措施承诺情况。横向比较，酌情评分。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好的得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分（不含）-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分（含），一般的得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分（不含）-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分（含），差的得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分-</w:t>
            </w:r>
            <w:r>
              <w:rPr>
                <w:rFonts w:hint="eastAsia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Calibri" w:hAnsi="Calibri" w:eastAsia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分（含）</w:t>
            </w: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4278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4" w:hRule="atLeast"/>
          <w:jc w:val="center"/>
        </w:trPr>
        <w:tc>
          <w:tcPr>
            <w:tcW w:w="666" w:type="dxa"/>
            <w:noWrap w:val="0"/>
            <w:vAlign w:val="center"/>
          </w:tcPr>
          <w:p w14:paraId="44EFC127">
            <w:pPr>
              <w:pStyle w:val="7"/>
              <w:spacing w:line="360" w:lineRule="exact"/>
              <w:jc w:val="center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2F9ACFA7">
            <w:pPr>
              <w:pStyle w:val="7"/>
              <w:spacing w:line="3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质保期</w:t>
            </w:r>
          </w:p>
          <w:p w14:paraId="27429851">
            <w:pPr>
              <w:pStyle w:val="7"/>
              <w:spacing w:line="36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分）</w:t>
            </w:r>
          </w:p>
        </w:tc>
        <w:tc>
          <w:tcPr>
            <w:tcW w:w="7734" w:type="dxa"/>
            <w:noWrap w:val="0"/>
            <w:vAlign w:val="center"/>
          </w:tcPr>
          <w:p w14:paraId="59C53237">
            <w:pPr>
              <w:pStyle w:val="7"/>
              <w:spacing w:line="440" w:lineRule="exact"/>
              <w:jc w:val="left"/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eastAsia="zh-CN"/>
              </w:rPr>
              <w:t>投标人按招标文件要求承诺提供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整机</w:t>
            </w:r>
            <w:r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eastAsia="zh-CN"/>
              </w:rPr>
              <w:t>质保期（最少</w:t>
            </w:r>
            <w:r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eastAsia="zh-CN"/>
              </w:rPr>
              <w:t>个月）的得1分，在此基础上每增加6个月的加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eastAsia="zh-CN"/>
              </w:rPr>
              <w:t>分，最高加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Calibri" w:hAnsi="Calibri"/>
                <w:bCs/>
                <w:color w:val="auto"/>
                <w:sz w:val="21"/>
                <w:szCs w:val="21"/>
                <w:highlight w:val="none"/>
                <w:lang w:eastAsia="zh-CN"/>
              </w:rPr>
              <w:t>分，不足6个月的部分不计分。</w:t>
            </w:r>
          </w:p>
        </w:tc>
      </w:tr>
    </w:tbl>
    <w:p w14:paraId="3009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315" w:firstLineChars="15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（三）价格标评审部分（满分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0分）</w:t>
      </w:r>
    </w:p>
    <w:p w14:paraId="70DC8C4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firstLine="420" w:firstLineChars="200"/>
        <w:textAlignment w:val="auto"/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lang w:eastAsia="zh-CN"/>
        </w:rPr>
        <w:t>公开唱标的投标报价，将作为计算各投标人价格得分的唯一依据。</w:t>
      </w:r>
    </w:p>
    <w:p w14:paraId="1927BD1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firstLine="420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highlight w:val="none"/>
          <w:lang w:val="en-US" w:eastAsia="zh-CN" w:bidi="ar-SA"/>
        </w:rPr>
        <w:t>（1）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评标</w:t>
      </w:r>
      <w:r>
        <w:rPr>
          <w:rFonts w:hint="default" w:ascii="宋体" w:hAnsi="宋体" w:cs="Times New Roman"/>
          <w:bCs/>
          <w:color w:val="auto"/>
          <w:sz w:val="21"/>
          <w:szCs w:val="21"/>
          <w:highlight w:val="none"/>
          <w:lang w:eastAsia="zh-CN"/>
        </w:rPr>
        <w:t>基准价</w:t>
      </w:r>
      <w:r>
        <w:rPr>
          <w:rFonts w:hint="eastAsia" w:ascii="宋体" w:hAnsi="宋体" w:cs="Times New Roman"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技术及资信标入围</w:t>
      </w:r>
      <w:r>
        <w:rPr>
          <w:rFonts w:ascii="宋体" w:hAnsi="宋体" w:eastAsia="宋体" w:cs="宋体"/>
          <w:b/>
          <w:bCs/>
          <w:color w:val="auto"/>
          <w:sz w:val="21"/>
          <w:szCs w:val="21"/>
          <w:highlight w:val="none"/>
        </w:rPr>
        <w:t>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高于风险控制价中</w:t>
      </w:r>
      <w:r>
        <w:rPr>
          <w:rFonts w:ascii="宋体" w:hAnsi="宋体" w:eastAsia="宋体" w:cs="宋体"/>
          <w:b/>
          <w:bCs/>
          <w:color w:val="auto"/>
          <w:sz w:val="21"/>
          <w:szCs w:val="21"/>
          <w:highlight w:val="none"/>
        </w:rPr>
        <w:t>价格最低的投标报价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作</w:t>
      </w:r>
      <w:r>
        <w:rPr>
          <w:rFonts w:ascii="宋体" w:hAnsi="宋体" w:eastAsia="宋体" w:cs="宋体"/>
          <w:b/>
          <w:bCs/>
          <w:color w:val="auto"/>
          <w:sz w:val="21"/>
          <w:szCs w:val="21"/>
          <w:highlight w:val="none"/>
        </w:rPr>
        <w:t>为评标基准价。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风险控制价=技术及资信标入围的投标人报价的平均值*80%。评标基准价和风险控制价保留到元。</w:t>
      </w:r>
    </w:p>
    <w:p w14:paraId="3C6C01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cs="Times New Roman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default" w:ascii="宋体" w:hAnsi="宋体" w:cs="Times New Roman"/>
          <w:bCs/>
          <w:color w:val="auto"/>
          <w:sz w:val="21"/>
          <w:szCs w:val="21"/>
          <w:highlight w:val="none"/>
          <w:lang w:val="en-US" w:eastAsia="zh-CN"/>
        </w:rPr>
        <w:t>2）</w:t>
      </w:r>
      <w:r>
        <w:rPr>
          <w:rFonts w:hint="default" w:ascii="宋体" w:hAnsi="宋体" w:cs="Times New Roman"/>
          <w:bCs/>
          <w:color w:val="auto"/>
          <w:sz w:val="21"/>
          <w:szCs w:val="21"/>
          <w:highlight w:val="none"/>
          <w:lang w:eastAsia="zh-CN"/>
        </w:rPr>
        <w:t>价格分</w:t>
      </w:r>
      <w:r>
        <w:rPr>
          <w:rFonts w:hint="default" w:ascii="宋体" w:hAnsi="宋体" w:eastAsia="宋体" w:cs="Times New Roman"/>
          <w:b w:val="0"/>
          <w:bCs/>
          <w:color w:val="auto"/>
          <w:sz w:val="21"/>
          <w:szCs w:val="21"/>
          <w:highlight w:val="none"/>
          <w:lang w:eastAsia="zh-CN"/>
        </w:rPr>
        <w:t>：投标报价等于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评标</w:t>
      </w:r>
      <w:r>
        <w:rPr>
          <w:rFonts w:hint="default" w:ascii="宋体" w:hAnsi="宋体" w:eastAsia="宋体" w:cs="Times New Roman"/>
          <w:b w:val="0"/>
          <w:bCs/>
          <w:color w:val="auto"/>
          <w:sz w:val="21"/>
          <w:szCs w:val="21"/>
          <w:highlight w:val="none"/>
          <w:lang w:eastAsia="zh-CN"/>
        </w:rPr>
        <w:t>基准价的为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default" w:ascii="宋体" w:hAnsi="宋体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分，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其他投标人的价格得分=评标基准价/投标报价*30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低于风险控制价的投标报价价格分按0分处理。</w:t>
      </w:r>
    </w:p>
    <w:p w14:paraId="65E273AC">
      <w:bookmarkStart w:id="0" w:name="_GoBack"/>
      <w:bookmarkEnd w:id="0"/>
    </w:p>
    <w:sectPr>
      <w:pgSz w:w="11906" w:h="16838"/>
      <w:pgMar w:top="1247" w:right="113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F43CC"/>
    <w:rsid w:val="7C0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paragraph" w:styleId="3">
    <w:name w:val="Normal Indent"/>
    <w:basedOn w:val="1"/>
    <w:next w:val="2"/>
    <w:qFormat/>
    <w:uiPriority w:val="99"/>
    <w:pPr>
      <w:ind w:firstLine="420"/>
    </w:pPr>
    <w:rPr>
      <w:sz w:val="21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2025-07-10T02:06:00Z</dcterms:created>
  <dc:creator>邵一卿</dc:creator>
  <cp:lastModifiedBy>邵一卿</cp:lastModifiedBy>
  <dcterms:modified xsi:type="dcterms:W3CDTF">2025-07-10T02:07:21Z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D2A15EDE5CFF446C84CF514450561A5E_11</vt:lpwstr>
  </property>
  <property fmtid="{D5CDD505-2E9C-101B-9397-08002B2CF9AE}" pid="4" name="KSOTemplateDocerSaveRecord">
    <vt:lpwstr>eyJoZGlkIjoiYTg1NTk5MTM0ZDg5OWYxZGY5YTQ0YWQzOTI1MzVmMTIiLCJ1c2VySWQiOiI3MzkzNjUzMzMifQ==</vt:lpwstr>
  </property>
</Properties>
</file>