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B317C">
      <w:pPr>
        <w:spacing w:before="625" w:beforeLines="200" w:after="313" w:afterLines="100"/>
        <w:ind w:left="0" w:right="0" w:hanging="177" w:hangingChars="28"/>
        <w:jc w:val="center"/>
        <w:rPr>
          <w:rFonts w:hint="eastAsia" w:ascii="宋体" w:hAnsi="宋体" w:eastAsia="宋体" w:cs="宋体"/>
          <w:color w:val="000000" w:themeColor="text1"/>
          <w:w w:val="80"/>
          <w:kern w:val="0"/>
          <w:sz w:val="90"/>
          <w:szCs w:val="90"/>
          <w:highlight w:val="none"/>
          <w14:textFill>
            <w14:solidFill>
              <w14:schemeClr w14:val="tx1"/>
            </w14:solidFill>
          </w14:textFill>
        </w:rPr>
      </w:pPr>
      <w:r>
        <w:rPr>
          <w:rFonts w:hint="eastAsia" w:ascii="宋体" w:hAnsi="宋体" w:eastAsia="宋体" w:cs="宋体"/>
          <w:color w:val="000000" w:themeColor="text1"/>
          <w:w w:val="66"/>
          <w:kern w:val="0"/>
          <w:sz w:val="96"/>
          <w:szCs w:val="84"/>
          <w:highlight w:val="none"/>
          <w:lang w:val="en-US" w:eastAsia="zh-CN"/>
          <w14:textFill>
            <w14:solidFill>
              <w14:schemeClr w14:val="tx1"/>
            </w14:solidFill>
          </w14:textFill>
        </w:rPr>
        <w:t>温州市苍南县</w:t>
      </w:r>
      <w:r>
        <w:rPr>
          <w:rFonts w:hint="eastAsia" w:ascii="宋体" w:hAnsi="宋体" w:eastAsia="宋体" w:cs="宋体"/>
          <w:color w:val="000000" w:themeColor="text1"/>
          <w:w w:val="66"/>
          <w:kern w:val="0"/>
          <w:sz w:val="96"/>
          <w:szCs w:val="84"/>
          <w:highlight w:val="none"/>
          <w14:textFill>
            <w14:solidFill>
              <w14:schemeClr w14:val="tx1"/>
            </w14:solidFill>
          </w14:textFill>
        </w:rPr>
        <w:t>公款竞争性存放</w:t>
      </w:r>
    </w:p>
    <w:p w14:paraId="6A8103E5">
      <w:pPr>
        <w:spacing w:after="781" w:afterLines="250"/>
        <w:jc w:val="center"/>
        <w:rPr>
          <w:rFonts w:hint="eastAsia" w:ascii="宋体" w:hAnsi="宋体" w:eastAsia="宋体" w:cs="宋体"/>
          <w:color w:val="000000" w:themeColor="text1"/>
          <w:w w:val="90"/>
          <w:sz w:val="100"/>
          <w:szCs w:val="100"/>
          <w:highlight w:val="none"/>
          <w14:textFill>
            <w14:solidFill>
              <w14:schemeClr w14:val="tx1"/>
            </w14:solidFill>
          </w14:textFill>
        </w:rPr>
      </w:pPr>
      <w:r>
        <w:rPr>
          <w:rFonts w:hint="eastAsia" w:ascii="宋体" w:hAnsi="宋体" w:eastAsia="宋体" w:cs="宋体"/>
          <w:color w:val="000000" w:themeColor="text1"/>
          <w:w w:val="90"/>
          <w:sz w:val="100"/>
          <w:szCs w:val="100"/>
          <w:highlight w:val="none"/>
          <w14:textFill>
            <w14:solidFill>
              <w14:schemeClr w14:val="tx1"/>
            </w14:solidFill>
          </w14:textFill>
        </w:rPr>
        <w:t>招 标 文 件</w:t>
      </w:r>
    </w:p>
    <w:tbl>
      <w:tblPr>
        <w:tblStyle w:val="39"/>
        <w:tblW w:w="8412" w:type="dxa"/>
        <w:tblInd w:w="108" w:type="dxa"/>
        <w:tblLayout w:type="fixed"/>
        <w:tblCellMar>
          <w:top w:w="0" w:type="dxa"/>
          <w:left w:w="108" w:type="dxa"/>
          <w:bottom w:w="0" w:type="dxa"/>
          <w:right w:w="108" w:type="dxa"/>
        </w:tblCellMar>
      </w:tblPr>
      <w:tblGrid>
        <w:gridCol w:w="1843"/>
        <w:gridCol w:w="5812"/>
        <w:gridCol w:w="757"/>
      </w:tblGrid>
      <w:tr w14:paraId="62D54CBB">
        <w:tblPrEx>
          <w:tblCellMar>
            <w:top w:w="0" w:type="dxa"/>
            <w:left w:w="108" w:type="dxa"/>
            <w:bottom w:w="0" w:type="dxa"/>
            <w:right w:w="108" w:type="dxa"/>
          </w:tblCellMar>
        </w:tblPrEx>
        <w:trPr>
          <w:trHeight w:val="567" w:hRule="atLeast"/>
        </w:trPr>
        <w:tc>
          <w:tcPr>
            <w:tcW w:w="1843" w:type="dxa"/>
            <w:noWrap w:val="0"/>
            <w:vAlign w:val="center"/>
          </w:tcPr>
          <w:p w14:paraId="682631BC">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themeColor="text1"/>
                <w:kern w:val="0"/>
                <w:sz w:val="28"/>
                <w:highlight w:val="none"/>
                <w14:textFill>
                  <w14:solidFill>
                    <w14:schemeClr w14:val="tx1"/>
                  </w14:solidFill>
                </w14:textFill>
              </w:rPr>
            </w:pPr>
            <w:r>
              <w:rPr>
                <w:rFonts w:hint="eastAsia" w:ascii="宋体" w:hAnsi="宋体" w:eastAsia="宋体" w:cs="宋体"/>
                <w:color w:val="000000" w:themeColor="text1"/>
                <w:kern w:val="0"/>
                <w:sz w:val="28"/>
                <w:highlight w:val="none"/>
                <w14:textFill>
                  <w14:solidFill>
                    <w14:schemeClr w14:val="tx1"/>
                  </w14:solidFill>
                </w14:textFill>
              </w:rPr>
              <w:t>项目名称:</w:t>
            </w:r>
          </w:p>
        </w:tc>
        <w:tc>
          <w:tcPr>
            <w:tcW w:w="6569" w:type="dxa"/>
            <w:gridSpan w:val="2"/>
            <w:noWrap w:val="0"/>
            <w:vAlign w:val="center"/>
          </w:tcPr>
          <w:p w14:paraId="38A07591">
            <w:pPr>
              <w:keepNext w:val="0"/>
              <w:keepLines w:val="0"/>
              <w:pageBreakBefore w:val="0"/>
              <w:widowControl w:val="0"/>
              <w:kinsoku/>
              <w:wordWrap/>
              <w:overflowPunct/>
              <w:topLinePunct w:val="0"/>
              <w:autoSpaceDE/>
              <w:autoSpaceDN/>
              <w:bidi w:val="0"/>
              <w:adjustRightInd/>
              <w:snapToGrid/>
              <w:spacing w:line="240" w:lineRule="auto"/>
              <w:ind w:left="-9" w:leftChars="-4" w:hanging="1"/>
              <w:textAlignment w:val="auto"/>
              <w:rPr>
                <w:rFonts w:hint="eastAsia" w:ascii="宋体" w:hAnsi="宋体" w:eastAsia="宋体" w:cs="宋体"/>
                <w:b/>
                <w:color w:val="000000" w:themeColor="text1"/>
                <w:kern w:val="0"/>
                <w:sz w:val="28"/>
                <w:szCs w:val="28"/>
                <w:highlight w:val="none"/>
                <w:lang w:eastAsia="zh-CN"/>
                <w14:textFill>
                  <w14:solidFill>
                    <w14:schemeClr w14:val="tx1"/>
                  </w14:solidFill>
                </w14:textFill>
              </w:rPr>
            </w:pPr>
            <w:r>
              <w:rPr>
                <w:rFonts w:hint="eastAsia" w:ascii="宋体" w:hAnsi="宋体" w:eastAsia="宋体" w:cs="宋体"/>
                <w:bCs/>
                <w:color w:val="000000" w:themeColor="text1"/>
                <w:kern w:val="0"/>
                <w:sz w:val="28"/>
                <w:szCs w:val="28"/>
                <w:highlight w:val="none"/>
                <w:lang w:eastAsia="zh-CN"/>
                <w14:textFill>
                  <w14:solidFill>
                    <w14:schemeClr w14:val="tx1"/>
                  </w14:solidFill>
                </w14:textFill>
              </w:rPr>
              <w:t>2025年度苍南县测绘院公款竞争性存放项目</w:t>
            </w:r>
          </w:p>
        </w:tc>
      </w:tr>
      <w:tr w14:paraId="79500D8C">
        <w:tblPrEx>
          <w:tblCellMar>
            <w:top w:w="0" w:type="dxa"/>
            <w:left w:w="108" w:type="dxa"/>
            <w:bottom w:w="0" w:type="dxa"/>
            <w:right w:w="108" w:type="dxa"/>
          </w:tblCellMar>
        </w:tblPrEx>
        <w:trPr>
          <w:trHeight w:val="567" w:hRule="atLeast"/>
        </w:trPr>
        <w:tc>
          <w:tcPr>
            <w:tcW w:w="1843" w:type="dxa"/>
            <w:noWrap w:val="0"/>
            <w:vAlign w:val="center"/>
          </w:tcPr>
          <w:p w14:paraId="310D35A6">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themeColor="text1"/>
                <w:kern w:val="0"/>
                <w:sz w:val="28"/>
                <w:highlight w:val="none"/>
                <w14:textFill>
                  <w14:solidFill>
                    <w14:schemeClr w14:val="tx1"/>
                  </w14:solidFill>
                </w14:textFill>
              </w:rPr>
            </w:pPr>
          </w:p>
        </w:tc>
        <w:tc>
          <w:tcPr>
            <w:tcW w:w="6569" w:type="dxa"/>
            <w:gridSpan w:val="2"/>
            <w:noWrap w:val="0"/>
            <w:vAlign w:val="center"/>
          </w:tcPr>
          <w:p w14:paraId="253C83FF">
            <w:pPr>
              <w:keepNext w:val="0"/>
              <w:keepLines w:val="0"/>
              <w:pageBreakBefore w:val="0"/>
              <w:widowControl w:val="0"/>
              <w:kinsoku/>
              <w:wordWrap/>
              <w:overflowPunct/>
              <w:topLinePunct w:val="0"/>
              <w:autoSpaceDE/>
              <w:autoSpaceDN/>
              <w:bidi w:val="0"/>
              <w:adjustRightInd/>
              <w:snapToGrid/>
              <w:spacing w:line="240" w:lineRule="auto"/>
              <w:ind w:left="-9" w:leftChars="-4" w:hanging="1"/>
              <w:textAlignment w:val="auto"/>
              <w:rPr>
                <w:rFonts w:hint="eastAsia" w:ascii="宋体" w:hAnsi="宋体" w:eastAsia="宋体" w:cs="宋体"/>
                <w:color w:val="000000" w:themeColor="text1"/>
                <w:kern w:val="0"/>
                <w:sz w:val="28"/>
                <w:szCs w:val="28"/>
                <w:highlight w:val="none"/>
                <w:lang w:val="en-US" w:eastAsia="zh-CN"/>
                <w14:textFill>
                  <w14:solidFill>
                    <w14:schemeClr w14:val="tx1"/>
                  </w14:solidFill>
                </w14:textFill>
              </w:rPr>
            </w:pPr>
          </w:p>
        </w:tc>
      </w:tr>
      <w:tr w14:paraId="1E02B8B3">
        <w:tblPrEx>
          <w:tblCellMar>
            <w:top w:w="0" w:type="dxa"/>
            <w:left w:w="108" w:type="dxa"/>
            <w:bottom w:w="0" w:type="dxa"/>
            <w:right w:w="108" w:type="dxa"/>
          </w:tblCellMar>
        </w:tblPrEx>
        <w:trPr>
          <w:trHeight w:val="567" w:hRule="atLeast"/>
        </w:trPr>
        <w:tc>
          <w:tcPr>
            <w:tcW w:w="1843" w:type="dxa"/>
            <w:noWrap w:val="0"/>
            <w:vAlign w:val="center"/>
          </w:tcPr>
          <w:p w14:paraId="4493C86D">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themeColor="text1"/>
                <w:kern w:val="0"/>
                <w:sz w:val="28"/>
                <w:highlight w:val="none"/>
                <w14:textFill>
                  <w14:solidFill>
                    <w14:schemeClr w14:val="tx1"/>
                  </w14:solidFill>
                </w14:textFill>
              </w:rPr>
            </w:pPr>
          </w:p>
        </w:tc>
        <w:tc>
          <w:tcPr>
            <w:tcW w:w="6569" w:type="dxa"/>
            <w:gridSpan w:val="2"/>
            <w:noWrap w:val="0"/>
            <w:vAlign w:val="center"/>
          </w:tcPr>
          <w:p w14:paraId="355F0D18">
            <w:pPr>
              <w:keepNext w:val="0"/>
              <w:keepLines w:val="0"/>
              <w:pageBreakBefore w:val="0"/>
              <w:widowControl w:val="0"/>
              <w:kinsoku/>
              <w:wordWrap/>
              <w:overflowPunct/>
              <w:topLinePunct w:val="0"/>
              <w:autoSpaceDE/>
              <w:autoSpaceDN/>
              <w:bidi w:val="0"/>
              <w:adjustRightInd/>
              <w:snapToGrid/>
              <w:spacing w:line="240" w:lineRule="auto"/>
              <w:ind w:left="-9" w:leftChars="-4" w:hanging="1"/>
              <w:textAlignment w:val="auto"/>
              <w:rPr>
                <w:rFonts w:hint="eastAsia" w:ascii="宋体" w:hAnsi="宋体" w:eastAsia="宋体" w:cs="宋体"/>
                <w:color w:val="000000" w:themeColor="text1"/>
                <w:kern w:val="0"/>
                <w:sz w:val="28"/>
                <w:szCs w:val="28"/>
                <w:highlight w:val="none"/>
                <w:lang w:val="en-US" w:eastAsia="zh-CN"/>
                <w14:textFill>
                  <w14:solidFill>
                    <w14:schemeClr w14:val="tx1"/>
                  </w14:solidFill>
                </w14:textFill>
              </w:rPr>
            </w:pPr>
          </w:p>
        </w:tc>
      </w:tr>
      <w:tr w14:paraId="54653CE0">
        <w:tblPrEx>
          <w:tblCellMar>
            <w:top w:w="0" w:type="dxa"/>
            <w:left w:w="108" w:type="dxa"/>
            <w:bottom w:w="0" w:type="dxa"/>
            <w:right w:w="108" w:type="dxa"/>
          </w:tblCellMar>
        </w:tblPrEx>
        <w:trPr>
          <w:gridAfter w:val="1"/>
          <w:wAfter w:w="757" w:type="dxa"/>
          <w:trHeight w:val="567" w:hRule="atLeast"/>
        </w:trPr>
        <w:tc>
          <w:tcPr>
            <w:tcW w:w="1843" w:type="dxa"/>
            <w:noWrap w:val="0"/>
            <w:vAlign w:val="center"/>
          </w:tcPr>
          <w:p w14:paraId="4D362EC5">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themeColor="text1"/>
                <w:kern w:val="0"/>
                <w:sz w:val="28"/>
                <w:highlight w:val="none"/>
                <w14:textFill>
                  <w14:solidFill>
                    <w14:schemeClr w14:val="tx1"/>
                  </w14:solidFill>
                </w14:textFill>
              </w:rPr>
            </w:pPr>
            <w:r>
              <w:rPr>
                <w:rFonts w:hint="eastAsia" w:ascii="宋体" w:hAnsi="宋体" w:eastAsia="宋体" w:cs="宋体"/>
                <w:color w:val="000000" w:themeColor="text1"/>
                <w:kern w:val="0"/>
                <w:sz w:val="28"/>
                <w:highlight w:val="none"/>
                <w:lang w:val="en-US" w:eastAsia="zh-CN"/>
                <w14:textFill>
                  <w14:solidFill>
                    <w14:schemeClr w14:val="tx1"/>
                  </w14:solidFill>
                </w14:textFill>
              </w:rPr>
              <w:t>招 标</w:t>
            </w:r>
            <w:r>
              <w:rPr>
                <w:rFonts w:hint="eastAsia" w:ascii="宋体" w:hAnsi="宋体" w:eastAsia="宋体" w:cs="宋体"/>
                <w:color w:val="000000" w:themeColor="text1"/>
                <w:kern w:val="0"/>
                <w:sz w:val="28"/>
                <w:highlight w:val="none"/>
                <w14:textFill>
                  <w14:solidFill>
                    <w14:schemeClr w14:val="tx1"/>
                  </w14:solidFill>
                </w14:textFill>
              </w:rPr>
              <w:t xml:space="preserve"> 人:</w:t>
            </w:r>
          </w:p>
        </w:tc>
        <w:tc>
          <w:tcPr>
            <w:tcW w:w="5812" w:type="dxa"/>
            <w:noWrap w:val="0"/>
            <w:vAlign w:val="center"/>
          </w:tcPr>
          <w:p w14:paraId="76A8C2CE">
            <w:pPr>
              <w:keepNext w:val="0"/>
              <w:keepLines w:val="0"/>
              <w:pageBreakBefore w:val="0"/>
              <w:widowControl w:val="0"/>
              <w:kinsoku/>
              <w:wordWrap/>
              <w:overflowPunct/>
              <w:topLinePunct w:val="0"/>
              <w:autoSpaceDE/>
              <w:autoSpaceDN/>
              <w:bidi w:val="0"/>
              <w:adjustRightInd/>
              <w:snapToGrid/>
              <w:spacing w:line="240" w:lineRule="auto"/>
              <w:ind w:left="140" w:right="192" w:rightChars="80" w:hanging="140" w:hangingChars="50"/>
              <w:textAlignment w:val="auto"/>
              <w:rPr>
                <w:rFonts w:hint="eastAsia" w:ascii="宋体" w:hAnsi="宋体" w:eastAsia="宋体" w:cs="宋体"/>
                <w:color w:val="000000" w:themeColor="text1"/>
                <w:kern w:val="0"/>
                <w:sz w:val="28"/>
                <w:highlight w:val="none"/>
                <w:lang w:eastAsia="zh-CN"/>
                <w14:textFill>
                  <w14:solidFill>
                    <w14:schemeClr w14:val="tx1"/>
                  </w14:solidFill>
                </w14:textFill>
              </w:rPr>
            </w:pPr>
            <w:r>
              <w:rPr>
                <w:rFonts w:hint="eastAsia" w:ascii="宋体" w:hAnsi="宋体" w:eastAsia="宋体" w:cs="宋体"/>
                <w:color w:val="000000" w:themeColor="text1"/>
                <w:kern w:val="0"/>
                <w:sz w:val="28"/>
                <w:szCs w:val="28"/>
                <w:highlight w:val="none"/>
                <w:lang w:eastAsia="zh-CN"/>
                <w14:textFill>
                  <w14:solidFill>
                    <w14:schemeClr w14:val="tx1"/>
                  </w14:solidFill>
                </w14:textFill>
              </w:rPr>
              <w:t>苍南县</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测绘院</w:t>
            </w:r>
          </w:p>
        </w:tc>
      </w:tr>
      <w:tr w14:paraId="6F75356B">
        <w:tblPrEx>
          <w:tblCellMar>
            <w:top w:w="0" w:type="dxa"/>
            <w:left w:w="108" w:type="dxa"/>
            <w:bottom w:w="0" w:type="dxa"/>
            <w:right w:w="108" w:type="dxa"/>
          </w:tblCellMar>
        </w:tblPrEx>
        <w:trPr>
          <w:gridAfter w:val="1"/>
          <w:wAfter w:w="757" w:type="dxa"/>
          <w:trHeight w:val="567" w:hRule="atLeast"/>
        </w:trPr>
        <w:tc>
          <w:tcPr>
            <w:tcW w:w="1843" w:type="dxa"/>
            <w:noWrap w:val="0"/>
            <w:vAlign w:val="center"/>
          </w:tcPr>
          <w:p w14:paraId="5183D28E">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themeColor="text1"/>
                <w:kern w:val="0"/>
                <w:sz w:val="28"/>
                <w:highlight w:val="none"/>
                <w14:textFill>
                  <w14:solidFill>
                    <w14:schemeClr w14:val="tx1"/>
                  </w14:solidFill>
                </w14:textFill>
              </w:rPr>
            </w:pPr>
            <w:r>
              <w:rPr>
                <w:rFonts w:hint="eastAsia" w:ascii="宋体" w:hAnsi="宋体" w:eastAsia="宋体" w:cs="宋体"/>
                <w:color w:val="000000" w:themeColor="text1"/>
                <w:kern w:val="0"/>
                <w:sz w:val="28"/>
                <w:highlight w:val="none"/>
                <w14:textFill>
                  <w14:solidFill>
                    <w14:schemeClr w14:val="tx1"/>
                  </w14:solidFill>
                </w14:textFill>
              </w:rPr>
              <w:t>联 系 人:</w:t>
            </w:r>
          </w:p>
        </w:tc>
        <w:tc>
          <w:tcPr>
            <w:tcW w:w="5812" w:type="dxa"/>
            <w:noWrap w:val="0"/>
            <w:vAlign w:val="center"/>
          </w:tcPr>
          <w:p w14:paraId="4741FC7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 w:val="28"/>
                <w:highlight w:val="none"/>
                <w:lang w:val="en-US" w:eastAsia="zh-CN"/>
                <w14:textFill>
                  <w14:solidFill>
                    <w14:schemeClr w14:val="tx1"/>
                  </w14:solidFill>
                </w14:textFill>
              </w:rPr>
            </w:pPr>
            <w:r>
              <w:rPr>
                <w:rFonts w:hint="eastAsia" w:ascii="宋体" w:hAnsi="宋体" w:eastAsia="宋体" w:cs="宋体"/>
                <w:color w:val="000000" w:themeColor="text1"/>
                <w:kern w:val="0"/>
                <w:sz w:val="28"/>
                <w:highlight w:val="none"/>
                <w:lang w:val="en-US" w:eastAsia="zh-CN"/>
                <w14:textFill>
                  <w14:solidFill>
                    <w14:schemeClr w14:val="tx1"/>
                  </w14:solidFill>
                </w14:textFill>
              </w:rPr>
              <w:t>许先生</w:t>
            </w:r>
          </w:p>
        </w:tc>
      </w:tr>
      <w:tr w14:paraId="35E22612">
        <w:tblPrEx>
          <w:tblCellMar>
            <w:top w:w="0" w:type="dxa"/>
            <w:left w:w="108" w:type="dxa"/>
            <w:bottom w:w="0" w:type="dxa"/>
            <w:right w:w="108" w:type="dxa"/>
          </w:tblCellMar>
        </w:tblPrEx>
        <w:trPr>
          <w:gridAfter w:val="1"/>
          <w:wAfter w:w="757" w:type="dxa"/>
          <w:trHeight w:val="455" w:hRule="atLeast"/>
        </w:trPr>
        <w:tc>
          <w:tcPr>
            <w:tcW w:w="1843" w:type="dxa"/>
            <w:noWrap w:val="0"/>
            <w:vAlign w:val="center"/>
          </w:tcPr>
          <w:p w14:paraId="1CD7DE1C">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themeColor="text1"/>
                <w:kern w:val="0"/>
                <w:sz w:val="28"/>
                <w:highlight w:val="none"/>
                <w14:textFill>
                  <w14:solidFill>
                    <w14:schemeClr w14:val="tx1"/>
                  </w14:solidFill>
                </w14:textFill>
              </w:rPr>
            </w:pPr>
          </w:p>
        </w:tc>
        <w:tc>
          <w:tcPr>
            <w:tcW w:w="5812" w:type="dxa"/>
            <w:noWrap w:val="0"/>
            <w:vAlign w:val="center"/>
          </w:tcPr>
          <w:p w14:paraId="055A7A1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 w:val="28"/>
                <w:highlight w:val="none"/>
                <w:lang w:val="en-US" w:eastAsia="zh-CN"/>
                <w14:textFill>
                  <w14:solidFill>
                    <w14:schemeClr w14:val="tx1"/>
                  </w14:solidFill>
                </w14:textFill>
              </w:rPr>
            </w:pPr>
          </w:p>
        </w:tc>
      </w:tr>
      <w:tr w14:paraId="0A7EADD6">
        <w:tblPrEx>
          <w:tblCellMar>
            <w:top w:w="0" w:type="dxa"/>
            <w:left w:w="108" w:type="dxa"/>
            <w:bottom w:w="0" w:type="dxa"/>
            <w:right w:w="108" w:type="dxa"/>
          </w:tblCellMar>
        </w:tblPrEx>
        <w:trPr>
          <w:gridAfter w:val="1"/>
          <w:wAfter w:w="757" w:type="dxa"/>
          <w:trHeight w:val="455" w:hRule="atLeast"/>
        </w:trPr>
        <w:tc>
          <w:tcPr>
            <w:tcW w:w="1843" w:type="dxa"/>
            <w:noWrap w:val="0"/>
            <w:vAlign w:val="center"/>
          </w:tcPr>
          <w:p w14:paraId="0D8DA135">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themeColor="text1"/>
                <w:kern w:val="0"/>
                <w:sz w:val="28"/>
                <w:highlight w:val="none"/>
                <w14:textFill>
                  <w14:solidFill>
                    <w14:schemeClr w14:val="tx1"/>
                  </w14:solidFill>
                </w14:textFill>
              </w:rPr>
            </w:pPr>
          </w:p>
        </w:tc>
        <w:tc>
          <w:tcPr>
            <w:tcW w:w="5812" w:type="dxa"/>
            <w:noWrap w:val="0"/>
            <w:vAlign w:val="center"/>
          </w:tcPr>
          <w:p w14:paraId="475D4A4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 w:val="28"/>
                <w:highlight w:val="none"/>
                <w:lang w:val="en-US" w:eastAsia="zh-CN"/>
                <w14:textFill>
                  <w14:solidFill>
                    <w14:schemeClr w14:val="tx1"/>
                  </w14:solidFill>
                </w14:textFill>
              </w:rPr>
            </w:pPr>
          </w:p>
        </w:tc>
      </w:tr>
      <w:tr w14:paraId="74397A23">
        <w:tblPrEx>
          <w:tblCellMar>
            <w:top w:w="0" w:type="dxa"/>
            <w:left w:w="108" w:type="dxa"/>
            <w:bottom w:w="0" w:type="dxa"/>
            <w:right w:w="108" w:type="dxa"/>
          </w:tblCellMar>
        </w:tblPrEx>
        <w:trPr>
          <w:gridAfter w:val="1"/>
          <w:wAfter w:w="757" w:type="dxa"/>
          <w:trHeight w:val="567" w:hRule="atLeast"/>
        </w:trPr>
        <w:tc>
          <w:tcPr>
            <w:tcW w:w="1843" w:type="dxa"/>
            <w:noWrap w:val="0"/>
            <w:vAlign w:val="center"/>
          </w:tcPr>
          <w:p w14:paraId="2CB4712C">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themeColor="text1"/>
                <w:kern w:val="0"/>
                <w:sz w:val="28"/>
                <w:highlight w:val="none"/>
                <w14:textFill>
                  <w14:solidFill>
                    <w14:schemeClr w14:val="tx1"/>
                  </w14:solidFill>
                </w14:textFill>
              </w:rPr>
            </w:pPr>
            <w:r>
              <w:rPr>
                <w:rFonts w:hint="eastAsia" w:ascii="宋体" w:hAnsi="宋体" w:eastAsia="宋体" w:cs="宋体"/>
                <w:color w:val="000000" w:themeColor="text1"/>
                <w:kern w:val="0"/>
                <w:sz w:val="28"/>
                <w:highlight w:val="none"/>
                <w14:textFill>
                  <w14:solidFill>
                    <w14:schemeClr w14:val="tx1"/>
                  </w14:solidFill>
                </w14:textFill>
              </w:rPr>
              <w:t>代理机构:</w:t>
            </w:r>
          </w:p>
        </w:tc>
        <w:tc>
          <w:tcPr>
            <w:tcW w:w="5812" w:type="dxa"/>
            <w:noWrap w:val="0"/>
            <w:vAlign w:val="center"/>
          </w:tcPr>
          <w:p w14:paraId="6C42C02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 w:val="28"/>
                <w:highlight w:val="none"/>
                <w:lang w:eastAsia="zh-CN"/>
                <w14:textFill>
                  <w14:solidFill>
                    <w14:schemeClr w14:val="tx1"/>
                  </w14:solidFill>
                </w14:textFill>
              </w:rPr>
            </w:pPr>
            <w:r>
              <w:rPr>
                <w:rFonts w:hint="eastAsia" w:ascii="宋体" w:hAnsi="宋体" w:eastAsia="宋体" w:cs="宋体"/>
                <w:color w:val="000000" w:themeColor="text1"/>
                <w:kern w:val="0"/>
                <w:sz w:val="28"/>
                <w:highlight w:val="none"/>
                <w:lang w:eastAsia="zh-CN"/>
                <w14:textFill>
                  <w14:solidFill>
                    <w14:schemeClr w14:val="tx1"/>
                  </w14:solidFill>
                </w14:textFill>
              </w:rPr>
              <w:t>浙江之信工程项目管理有限公司</w:t>
            </w:r>
          </w:p>
        </w:tc>
      </w:tr>
      <w:tr w14:paraId="3DF8A46E">
        <w:tblPrEx>
          <w:tblCellMar>
            <w:top w:w="0" w:type="dxa"/>
            <w:left w:w="108" w:type="dxa"/>
            <w:bottom w:w="0" w:type="dxa"/>
            <w:right w:w="108" w:type="dxa"/>
          </w:tblCellMar>
        </w:tblPrEx>
        <w:trPr>
          <w:gridAfter w:val="1"/>
          <w:wAfter w:w="757" w:type="dxa"/>
          <w:trHeight w:val="552" w:hRule="atLeast"/>
        </w:trPr>
        <w:tc>
          <w:tcPr>
            <w:tcW w:w="1843" w:type="dxa"/>
            <w:noWrap w:val="0"/>
            <w:vAlign w:val="center"/>
          </w:tcPr>
          <w:p w14:paraId="2A8D235F">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themeColor="text1"/>
                <w:kern w:val="0"/>
                <w:sz w:val="28"/>
                <w:highlight w:val="none"/>
                <w14:textFill>
                  <w14:solidFill>
                    <w14:schemeClr w14:val="tx1"/>
                  </w14:solidFill>
                </w14:textFill>
              </w:rPr>
            </w:pPr>
            <w:r>
              <w:rPr>
                <w:rFonts w:hint="eastAsia" w:ascii="宋体" w:hAnsi="宋体" w:eastAsia="宋体" w:cs="宋体"/>
                <w:color w:val="000000" w:themeColor="text1"/>
                <w:kern w:val="0"/>
                <w:sz w:val="28"/>
                <w:highlight w:val="none"/>
                <w14:textFill>
                  <w14:solidFill>
                    <w14:schemeClr w14:val="tx1"/>
                  </w14:solidFill>
                </w14:textFill>
              </w:rPr>
              <w:t>联 系 人:</w:t>
            </w:r>
          </w:p>
        </w:tc>
        <w:tc>
          <w:tcPr>
            <w:tcW w:w="5812" w:type="dxa"/>
            <w:noWrap w:val="0"/>
            <w:vAlign w:val="center"/>
          </w:tcPr>
          <w:p w14:paraId="0C98276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 w:val="28"/>
                <w:highlight w:val="none"/>
                <w:lang w:eastAsia="zh-CN"/>
                <w14:textFill>
                  <w14:solidFill>
                    <w14:schemeClr w14:val="tx1"/>
                  </w14:solidFill>
                </w14:textFill>
              </w:rPr>
            </w:pPr>
            <w:r>
              <w:rPr>
                <w:rFonts w:hint="eastAsia" w:ascii="宋体" w:hAnsi="宋体" w:eastAsia="宋体" w:cs="宋体"/>
                <w:color w:val="000000" w:themeColor="text1"/>
                <w:kern w:val="0"/>
                <w:sz w:val="28"/>
                <w:highlight w:val="none"/>
                <w:lang w:val="en-US" w:eastAsia="zh-CN"/>
                <w14:textFill>
                  <w14:solidFill>
                    <w14:schemeClr w14:val="tx1"/>
                  </w14:solidFill>
                </w14:textFill>
              </w:rPr>
              <w:t>朱先生</w:t>
            </w:r>
          </w:p>
        </w:tc>
      </w:tr>
      <w:tr w14:paraId="5F02F8DE">
        <w:tblPrEx>
          <w:tblCellMar>
            <w:top w:w="0" w:type="dxa"/>
            <w:left w:w="108" w:type="dxa"/>
            <w:bottom w:w="0" w:type="dxa"/>
            <w:right w:w="108" w:type="dxa"/>
          </w:tblCellMar>
        </w:tblPrEx>
        <w:trPr>
          <w:gridAfter w:val="1"/>
          <w:wAfter w:w="757" w:type="dxa"/>
          <w:trHeight w:val="567" w:hRule="atLeast"/>
        </w:trPr>
        <w:tc>
          <w:tcPr>
            <w:tcW w:w="1843" w:type="dxa"/>
            <w:noWrap w:val="0"/>
            <w:vAlign w:val="center"/>
          </w:tcPr>
          <w:p w14:paraId="1D99DB0F">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themeColor="text1"/>
                <w:kern w:val="0"/>
                <w:sz w:val="28"/>
                <w:highlight w:val="none"/>
                <w14:textFill>
                  <w14:solidFill>
                    <w14:schemeClr w14:val="tx1"/>
                  </w14:solidFill>
                </w14:textFill>
              </w:rPr>
            </w:pPr>
            <w:r>
              <w:rPr>
                <w:rFonts w:hint="eastAsia" w:ascii="宋体" w:hAnsi="宋体" w:eastAsia="宋体" w:cs="宋体"/>
                <w:color w:val="000000" w:themeColor="text1"/>
                <w:kern w:val="0"/>
                <w:sz w:val="28"/>
                <w:highlight w:val="none"/>
                <w14:textFill>
                  <w14:solidFill>
                    <w14:schemeClr w14:val="tx1"/>
                  </w14:solidFill>
                </w14:textFill>
              </w:rPr>
              <w:t>联系电话:</w:t>
            </w:r>
          </w:p>
        </w:tc>
        <w:tc>
          <w:tcPr>
            <w:tcW w:w="5812" w:type="dxa"/>
            <w:noWrap w:val="0"/>
            <w:vAlign w:val="center"/>
          </w:tcPr>
          <w:p w14:paraId="3AC2450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 w:val="28"/>
                <w:highlight w:val="none"/>
                <w:lang w:eastAsia="zh-CN"/>
                <w14:textFill>
                  <w14:solidFill>
                    <w14:schemeClr w14:val="tx1"/>
                  </w14:solidFill>
                </w14:textFill>
              </w:rPr>
            </w:pPr>
            <w:r>
              <w:rPr>
                <w:rFonts w:hint="eastAsia" w:ascii="宋体" w:hAnsi="宋体" w:eastAsia="宋体" w:cs="宋体"/>
                <w:color w:val="000000" w:themeColor="text1"/>
                <w:kern w:val="0"/>
                <w:sz w:val="28"/>
                <w:highlight w:val="none"/>
                <w:lang w:eastAsia="zh-CN"/>
                <w14:textFill>
                  <w14:solidFill>
                    <w14:schemeClr w14:val="tx1"/>
                  </w14:solidFill>
                </w14:textFill>
              </w:rPr>
              <w:t>0577-68810100</w:t>
            </w:r>
          </w:p>
        </w:tc>
      </w:tr>
      <w:tr w14:paraId="4739C060">
        <w:tblPrEx>
          <w:tblCellMar>
            <w:top w:w="0" w:type="dxa"/>
            <w:left w:w="108" w:type="dxa"/>
            <w:bottom w:w="0" w:type="dxa"/>
            <w:right w:w="108" w:type="dxa"/>
          </w:tblCellMar>
        </w:tblPrEx>
        <w:trPr>
          <w:gridAfter w:val="1"/>
          <w:wAfter w:w="757" w:type="dxa"/>
          <w:trHeight w:val="567" w:hRule="atLeast"/>
        </w:trPr>
        <w:tc>
          <w:tcPr>
            <w:tcW w:w="1843" w:type="dxa"/>
            <w:noWrap w:val="0"/>
            <w:vAlign w:val="center"/>
          </w:tcPr>
          <w:p w14:paraId="3677EB0A">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themeColor="text1"/>
                <w:kern w:val="0"/>
                <w:sz w:val="28"/>
                <w:highlight w:val="none"/>
                <w:lang w:val="en-US" w:eastAsia="zh-CN"/>
                <w14:textFill>
                  <w14:solidFill>
                    <w14:schemeClr w14:val="tx1"/>
                  </w14:solidFill>
                </w14:textFill>
              </w:rPr>
            </w:pPr>
          </w:p>
        </w:tc>
        <w:tc>
          <w:tcPr>
            <w:tcW w:w="5812" w:type="dxa"/>
            <w:noWrap w:val="0"/>
            <w:vAlign w:val="center"/>
          </w:tcPr>
          <w:p w14:paraId="35410CC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 w:val="28"/>
                <w:highlight w:val="none"/>
                <w14:textFill>
                  <w14:solidFill>
                    <w14:schemeClr w14:val="tx1"/>
                  </w14:solidFill>
                </w14:textFill>
              </w:rPr>
            </w:pPr>
          </w:p>
        </w:tc>
      </w:tr>
      <w:tr w14:paraId="6BDFA642">
        <w:tblPrEx>
          <w:tblCellMar>
            <w:top w:w="0" w:type="dxa"/>
            <w:left w:w="108" w:type="dxa"/>
            <w:bottom w:w="0" w:type="dxa"/>
            <w:right w:w="108" w:type="dxa"/>
          </w:tblCellMar>
        </w:tblPrEx>
        <w:trPr>
          <w:gridAfter w:val="1"/>
          <w:wAfter w:w="757" w:type="dxa"/>
          <w:trHeight w:val="567" w:hRule="atLeast"/>
        </w:trPr>
        <w:tc>
          <w:tcPr>
            <w:tcW w:w="1843" w:type="dxa"/>
            <w:noWrap w:val="0"/>
            <w:vAlign w:val="center"/>
          </w:tcPr>
          <w:p w14:paraId="04AE18D4">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themeColor="text1"/>
                <w:kern w:val="0"/>
                <w:sz w:val="28"/>
                <w:highlight w:val="none"/>
                <w:lang w:val="en-US" w:eastAsia="zh-CN"/>
                <w14:textFill>
                  <w14:solidFill>
                    <w14:schemeClr w14:val="tx1"/>
                  </w14:solidFill>
                </w14:textFill>
              </w:rPr>
            </w:pPr>
          </w:p>
        </w:tc>
        <w:tc>
          <w:tcPr>
            <w:tcW w:w="5812" w:type="dxa"/>
            <w:noWrap w:val="0"/>
            <w:vAlign w:val="center"/>
          </w:tcPr>
          <w:p w14:paraId="7F66267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 w:val="28"/>
                <w:highlight w:val="none"/>
                <w14:textFill>
                  <w14:solidFill>
                    <w14:schemeClr w14:val="tx1"/>
                  </w14:solidFill>
                </w14:textFill>
              </w:rPr>
            </w:pPr>
          </w:p>
        </w:tc>
      </w:tr>
      <w:tr w14:paraId="2C288E41">
        <w:tblPrEx>
          <w:tblCellMar>
            <w:top w:w="0" w:type="dxa"/>
            <w:left w:w="108" w:type="dxa"/>
            <w:bottom w:w="0" w:type="dxa"/>
            <w:right w:w="108" w:type="dxa"/>
          </w:tblCellMar>
        </w:tblPrEx>
        <w:tc>
          <w:tcPr>
            <w:tcW w:w="1843" w:type="dxa"/>
            <w:noWrap w:val="0"/>
            <w:vAlign w:val="center"/>
          </w:tcPr>
          <w:p w14:paraId="1437386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w w:val="90"/>
                <w:kern w:val="0"/>
                <w:sz w:val="28"/>
                <w:szCs w:val="30"/>
                <w:highlight w:val="none"/>
                <w:lang w:val="en-US" w:eastAsia="zh-CN"/>
                <w14:textFill>
                  <w14:solidFill>
                    <w14:schemeClr w14:val="tx1"/>
                  </w14:solidFill>
                </w14:textFill>
              </w:rPr>
            </w:pPr>
          </w:p>
        </w:tc>
        <w:tc>
          <w:tcPr>
            <w:tcW w:w="6569" w:type="dxa"/>
            <w:gridSpan w:val="2"/>
            <w:noWrap w:val="0"/>
            <w:vAlign w:val="center"/>
          </w:tcPr>
          <w:p w14:paraId="4B15F3C5">
            <w:pPr>
              <w:keepNext w:val="0"/>
              <w:keepLines w:val="0"/>
              <w:pageBreakBefore w:val="0"/>
              <w:widowControl w:val="0"/>
              <w:kinsoku/>
              <w:wordWrap/>
              <w:overflowPunct/>
              <w:topLinePunct w:val="0"/>
              <w:autoSpaceDE/>
              <w:autoSpaceDN/>
              <w:bidi w:val="0"/>
              <w:adjustRightInd/>
              <w:snapToGrid/>
              <w:spacing w:before="313" w:beforeLines="100" w:line="240" w:lineRule="auto"/>
              <w:ind w:firstLine="840" w:firstLineChars="300"/>
              <w:jc w:val="left"/>
              <w:textAlignment w:val="auto"/>
              <w:rPr>
                <w:rFonts w:hint="eastAsia" w:ascii="宋体" w:hAnsi="宋体" w:eastAsia="宋体" w:cs="宋体"/>
                <w:color w:val="000000" w:themeColor="text1"/>
                <w:w w:val="90"/>
                <w:kern w:val="0"/>
                <w:sz w:val="28"/>
                <w:szCs w:val="30"/>
                <w:highlight w:val="none"/>
                <w14:textFill>
                  <w14:solidFill>
                    <w14:schemeClr w14:val="tx1"/>
                  </w14:solidFill>
                </w14:textFill>
              </w:rPr>
            </w:pPr>
            <w:r>
              <w:rPr>
                <w:rFonts w:hint="eastAsia" w:ascii="宋体" w:hAnsi="宋体" w:eastAsia="宋体" w:cs="宋体"/>
                <w:color w:val="000000" w:themeColor="text1"/>
                <w:kern w:val="0"/>
                <w:sz w:val="28"/>
                <w:highlight w:val="none"/>
                <w:lang w:val="en-US" w:eastAsia="zh-CN"/>
                <w14:textFill>
                  <w14:solidFill>
                    <w14:schemeClr w14:val="tx1"/>
                  </w14:solidFill>
                </w14:textFill>
              </w:rPr>
              <w:t>日 期：</w:t>
            </w:r>
            <w:r>
              <w:rPr>
                <w:rFonts w:hint="eastAsia" w:ascii="宋体" w:hAnsi="宋体" w:eastAsia="宋体" w:cs="宋体"/>
                <w:color w:val="000000" w:themeColor="text1"/>
                <w:kern w:val="0"/>
                <w:sz w:val="28"/>
                <w:highlight w:val="none"/>
                <w14:textFill>
                  <w14:solidFill>
                    <w14:schemeClr w14:val="tx1"/>
                  </w14:solidFill>
                </w14:textFill>
              </w:rPr>
              <w:t>二○</w:t>
            </w:r>
            <w:r>
              <w:rPr>
                <w:rFonts w:hint="eastAsia" w:ascii="宋体" w:hAnsi="宋体" w:eastAsia="宋体" w:cs="宋体"/>
                <w:color w:val="000000" w:themeColor="text1"/>
                <w:kern w:val="0"/>
                <w:sz w:val="28"/>
                <w:highlight w:val="none"/>
                <w:lang w:val="en-US" w:eastAsia="zh-CN"/>
                <w14:textFill>
                  <w14:solidFill>
                    <w14:schemeClr w14:val="tx1"/>
                  </w14:solidFill>
                </w14:textFill>
              </w:rPr>
              <w:t>二五</w:t>
            </w:r>
            <w:r>
              <w:rPr>
                <w:rFonts w:hint="eastAsia" w:ascii="宋体" w:hAnsi="宋体" w:eastAsia="宋体" w:cs="宋体"/>
                <w:color w:val="000000" w:themeColor="text1"/>
                <w:kern w:val="0"/>
                <w:sz w:val="28"/>
                <w:highlight w:val="none"/>
                <w14:textFill>
                  <w14:solidFill>
                    <w14:schemeClr w14:val="tx1"/>
                  </w14:solidFill>
                </w14:textFill>
              </w:rPr>
              <w:t>年</w:t>
            </w:r>
            <w:r>
              <w:rPr>
                <w:rFonts w:hint="eastAsia" w:ascii="宋体" w:hAnsi="宋体" w:eastAsia="宋体" w:cs="宋体"/>
                <w:color w:val="000000" w:themeColor="text1"/>
                <w:kern w:val="0"/>
                <w:sz w:val="28"/>
                <w:highlight w:val="none"/>
                <w:lang w:val="en-US" w:eastAsia="zh-CN"/>
                <w14:textFill>
                  <w14:solidFill>
                    <w14:schemeClr w14:val="tx1"/>
                  </w14:solidFill>
                </w14:textFill>
              </w:rPr>
              <w:t>六</w:t>
            </w:r>
            <w:r>
              <w:rPr>
                <w:rFonts w:hint="eastAsia" w:ascii="宋体" w:hAnsi="宋体" w:eastAsia="宋体" w:cs="宋体"/>
                <w:color w:val="000000" w:themeColor="text1"/>
                <w:kern w:val="0"/>
                <w:sz w:val="28"/>
                <w:highlight w:val="none"/>
                <w14:textFill>
                  <w14:solidFill>
                    <w14:schemeClr w14:val="tx1"/>
                  </w14:solidFill>
                </w14:textFill>
              </w:rPr>
              <w:t>月</w:t>
            </w:r>
          </w:p>
        </w:tc>
      </w:tr>
    </w:tbl>
    <w:p w14:paraId="09233D2E">
      <w:pPr>
        <w:jc w:val="center"/>
        <w:rPr>
          <w:rFonts w:hint="eastAsia" w:ascii="宋体" w:hAnsi="宋体" w:eastAsia="宋体" w:cs="宋体"/>
          <w:b/>
          <w:color w:val="000000" w:themeColor="text1"/>
          <w:sz w:val="44"/>
          <w:szCs w:val="44"/>
          <w:highlight w:val="none"/>
          <w14:textFill>
            <w14:solidFill>
              <w14:schemeClr w14:val="tx1"/>
            </w14:solidFill>
          </w14:textFill>
        </w:rPr>
        <w:sectPr>
          <w:headerReference r:id="rId5" w:type="default"/>
          <w:pgSz w:w="11906" w:h="16838"/>
          <w:pgMar w:top="1440" w:right="1418" w:bottom="1440" w:left="1559" w:header="851" w:footer="992" w:gutter="0"/>
          <w:pgNumType w:fmt="decimal" w:start="1"/>
          <w:cols w:space="720" w:num="1"/>
          <w:docGrid w:linePitch="312" w:charSpace="0"/>
        </w:sectPr>
      </w:pPr>
    </w:p>
    <w:p w14:paraId="1B9A7E0C">
      <w:pPr>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目  录</w:t>
      </w:r>
    </w:p>
    <w:p w14:paraId="7192845F">
      <w:pPr>
        <w:pStyle w:val="30"/>
        <w:tabs>
          <w:tab w:val="right" w:leader="dot" w:pos="8930"/>
        </w:tabs>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val="0"/>
          <w:caps w:val="0"/>
          <w:color w:val="000000" w:themeColor="text1"/>
          <w:sz w:val="22"/>
          <w:szCs w:val="22"/>
          <w:highlight w:val="none"/>
          <w14:textFill>
            <w14:solidFill>
              <w14:schemeClr w14:val="tx1"/>
            </w14:solidFill>
          </w14:textFill>
        </w:rPr>
        <w:fldChar w:fldCharType="begin"/>
      </w:r>
      <w:r>
        <w:rPr>
          <w:rFonts w:hint="eastAsia" w:ascii="宋体" w:hAnsi="宋体" w:eastAsia="宋体" w:cs="宋体"/>
          <w:bCs w:val="0"/>
          <w:caps w:val="0"/>
          <w:color w:val="000000" w:themeColor="text1"/>
          <w:sz w:val="22"/>
          <w:szCs w:val="22"/>
          <w:highlight w:val="none"/>
          <w14:textFill>
            <w14:solidFill>
              <w14:schemeClr w14:val="tx1"/>
            </w14:solidFill>
          </w14:textFill>
        </w:rPr>
        <w:instrText xml:space="preserve"> TOC \o "1-2" \h \z \u </w:instrText>
      </w:r>
      <w:r>
        <w:rPr>
          <w:rFonts w:hint="eastAsia" w:ascii="宋体" w:hAnsi="宋体" w:eastAsia="宋体" w:cs="宋体"/>
          <w:bCs w:val="0"/>
          <w:caps w:val="0"/>
          <w:color w:val="000000" w:themeColor="text1"/>
          <w:sz w:val="22"/>
          <w:szCs w:val="22"/>
          <w:highlight w:val="none"/>
          <w14:textFill>
            <w14:solidFill>
              <w14:schemeClr w14:val="tx1"/>
            </w14:solidFill>
          </w14:textFill>
        </w:rPr>
        <w:fldChar w:fldCharType="separate"/>
      </w:r>
      <w:r>
        <w:rPr>
          <w:rFonts w:hint="eastAsia" w:ascii="宋体" w:hAnsi="宋体" w:eastAsia="宋体" w:cs="宋体"/>
          <w:bCs w:val="0"/>
          <w:caps w:val="0"/>
          <w:color w:val="000000" w:themeColor="text1"/>
          <w:sz w:val="24"/>
          <w:szCs w:val="24"/>
          <w:highlight w:val="none"/>
          <w14:textFill>
            <w14:solidFill>
              <w14:schemeClr w14:val="tx1"/>
            </w14:solidFill>
          </w14:textFill>
        </w:rPr>
        <w:fldChar w:fldCharType="begin"/>
      </w:r>
      <w:r>
        <w:rPr>
          <w:rFonts w:hint="eastAsia" w:ascii="宋体" w:hAnsi="宋体" w:eastAsia="宋体" w:cs="宋体"/>
          <w:bCs w:val="0"/>
          <w:caps w:val="0"/>
          <w:color w:val="000000" w:themeColor="text1"/>
          <w:sz w:val="24"/>
          <w:szCs w:val="24"/>
          <w:highlight w:val="none"/>
          <w14:textFill>
            <w14:solidFill>
              <w14:schemeClr w14:val="tx1"/>
            </w14:solidFill>
          </w14:textFill>
        </w:rPr>
        <w:instrText xml:space="preserve"> HYPERLINK \l _Toc12262 </w:instrText>
      </w:r>
      <w:r>
        <w:rPr>
          <w:rFonts w:hint="eastAsia" w:ascii="宋体" w:hAnsi="宋体" w:eastAsia="宋体" w:cs="宋体"/>
          <w:bCs w:val="0"/>
          <w:cap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 xml:space="preserve">第一章 </w:t>
      </w:r>
      <w:r>
        <w:rPr>
          <w:rFonts w:hint="eastAsia" w:ascii="宋体" w:hAnsi="宋体" w:eastAsia="宋体" w:cs="宋体"/>
          <w:color w:val="000000" w:themeColor="text1"/>
          <w:sz w:val="24"/>
          <w:szCs w:val="24"/>
          <w:highlight w:val="none"/>
          <w:lang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公告</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_Toc12262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val="0"/>
          <w:caps w:val="0"/>
          <w:color w:val="000000" w:themeColor="text1"/>
          <w:sz w:val="24"/>
          <w:szCs w:val="24"/>
          <w:highlight w:val="none"/>
          <w14:textFill>
            <w14:solidFill>
              <w14:schemeClr w14:val="tx1"/>
            </w14:solidFill>
          </w14:textFill>
        </w:rPr>
        <w:fldChar w:fldCharType="end"/>
      </w:r>
    </w:p>
    <w:p w14:paraId="58FB7CF8">
      <w:pPr>
        <w:pStyle w:val="30"/>
        <w:tabs>
          <w:tab w:val="right" w:leader="dot" w:pos="8930"/>
        </w:tabs>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val="0"/>
          <w:caps w:val="0"/>
          <w:color w:val="000000" w:themeColor="text1"/>
          <w:sz w:val="24"/>
          <w:szCs w:val="24"/>
          <w:highlight w:val="none"/>
          <w14:textFill>
            <w14:solidFill>
              <w14:schemeClr w14:val="tx1"/>
            </w14:solidFill>
          </w14:textFill>
        </w:rPr>
        <w:fldChar w:fldCharType="begin"/>
      </w:r>
      <w:r>
        <w:rPr>
          <w:rFonts w:hint="eastAsia" w:ascii="宋体" w:hAnsi="宋体" w:eastAsia="宋体" w:cs="宋体"/>
          <w:bCs w:val="0"/>
          <w:caps w:val="0"/>
          <w:color w:val="000000" w:themeColor="text1"/>
          <w:sz w:val="24"/>
          <w:szCs w:val="24"/>
          <w:highlight w:val="none"/>
          <w14:textFill>
            <w14:solidFill>
              <w14:schemeClr w14:val="tx1"/>
            </w14:solidFill>
          </w14:textFill>
        </w:rPr>
        <w:instrText xml:space="preserve"> HYPERLINK \l _Toc2766 </w:instrText>
      </w:r>
      <w:r>
        <w:rPr>
          <w:rFonts w:hint="eastAsia" w:ascii="宋体" w:hAnsi="宋体" w:eastAsia="宋体" w:cs="宋体"/>
          <w:bCs w:val="0"/>
          <w:cap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第二章 招标</w:t>
      </w:r>
      <w:r>
        <w:rPr>
          <w:rFonts w:hint="eastAsia" w:ascii="宋体" w:hAnsi="宋体" w:eastAsia="宋体" w:cs="宋体"/>
          <w:color w:val="000000" w:themeColor="text1"/>
          <w:sz w:val="24"/>
          <w:szCs w:val="24"/>
          <w:highlight w:val="none"/>
          <w:lang w:eastAsia="zh-CN"/>
          <w14:textFill>
            <w14:solidFill>
              <w14:schemeClr w14:val="tx1"/>
            </w14:solidFill>
          </w14:textFill>
        </w:rPr>
        <w:t>要求</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_Toc2766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val="0"/>
          <w:caps w:val="0"/>
          <w:color w:val="000000" w:themeColor="text1"/>
          <w:sz w:val="24"/>
          <w:szCs w:val="24"/>
          <w:highlight w:val="none"/>
          <w14:textFill>
            <w14:solidFill>
              <w14:schemeClr w14:val="tx1"/>
            </w14:solidFill>
          </w14:textFill>
        </w:rPr>
        <w:fldChar w:fldCharType="end"/>
      </w:r>
    </w:p>
    <w:p w14:paraId="2FD77213">
      <w:pPr>
        <w:pStyle w:val="34"/>
        <w:tabs>
          <w:tab w:val="right" w:leader="dot" w:pos="8930"/>
          <w:tab w:val="clear" w:pos="8931"/>
        </w:tabs>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aps/>
          <w:color w:val="000000" w:themeColor="text1"/>
          <w:sz w:val="24"/>
          <w:szCs w:val="24"/>
          <w:highlight w:val="none"/>
          <w14:textFill>
            <w14:solidFill>
              <w14:schemeClr w14:val="tx1"/>
            </w14:solidFill>
          </w14:textFill>
        </w:rPr>
        <w:fldChar w:fldCharType="begin"/>
      </w:r>
      <w:r>
        <w:rPr>
          <w:rFonts w:hint="eastAsia" w:ascii="宋体" w:hAnsi="宋体" w:eastAsia="宋体" w:cs="宋体"/>
          <w:bCs/>
          <w:caps/>
          <w:color w:val="000000" w:themeColor="text1"/>
          <w:sz w:val="24"/>
          <w:szCs w:val="24"/>
          <w:highlight w:val="none"/>
          <w14:textFill>
            <w14:solidFill>
              <w14:schemeClr w14:val="tx1"/>
            </w14:solidFill>
          </w14:textFill>
        </w:rPr>
        <w:instrText xml:space="preserve"> HYPERLINK \l _Toc25328 </w:instrText>
      </w:r>
      <w:r>
        <w:rPr>
          <w:rFonts w:hint="eastAsia" w:ascii="宋体" w:hAnsi="宋体" w:eastAsia="宋体" w:cs="宋体"/>
          <w:bCs/>
          <w:caps/>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一、</w:t>
      </w:r>
      <w:r>
        <w:rPr>
          <w:rFonts w:hint="eastAsia" w:ascii="宋体" w:hAnsi="宋体" w:eastAsia="宋体" w:cs="宋体"/>
          <w:color w:val="000000" w:themeColor="text1"/>
          <w:sz w:val="24"/>
          <w:szCs w:val="24"/>
          <w:highlight w:val="none"/>
          <w:lang w:val="en-US" w:eastAsia="zh-CN"/>
          <w14:textFill>
            <w14:solidFill>
              <w14:schemeClr w14:val="tx1"/>
            </w14:solidFill>
          </w14:textFill>
        </w:rPr>
        <w:t>说明</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bCs/>
          <w:caps/>
          <w:color w:val="000000" w:themeColor="text1"/>
          <w:sz w:val="24"/>
          <w:szCs w:val="24"/>
          <w:highlight w:val="none"/>
          <w14:textFill>
            <w14:solidFill>
              <w14:schemeClr w14:val="tx1"/>
            </w14:solidFill>
          </w14:textFill>
        </w:rPr>
        <w:fldChar w:fldCharType="end"/>
      </w:r>
      <w:r>
        <w:rPr>
          <w:rFonts w:hint="eastAsia" w:ascii="宋体" w:hAnsi="宋体" w:eastAsia="宋体" w:cs="宋体"/>
          <w:b/>
          <w:bCs w:val="0"/>
          <w:caps/>
          <w:color w:val="000000" w:themeColor="text1"/>
          <w:sz w:val="24"/>
          <w:szCs w:val="24"/>
          <w:highlight w:val="none"/>
          <w:lang w:val="en-US" w:eastAsia="zh-CN"/>
          <w14:textFill>
            <w14:solidFill>
              <w14:schemeClr w14:val="tx1"/>
            </w14:solidFill>
          </w14:textFill>
        </w:rPr>
        <w:t>3</w:t>
      </w:r>
    </w:p>
    <w:p w14:paraId="16D41E4C">
      <w:pPr>
        <w:pStyle w:val="34"/>
        <w:tabs>
          <w:tab w:val="right" w:leader="dot" w:pos="8930"/>
          <w:tab w:val="clear" w:pos="8931"/>
        </w:tabs>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aps/>
          <w:color w:val="000000" w:themeColor="text1"/>
          <w:sz w:val="24"/>
          <w:szCs w:val="24"/>
          <w:highlight w:val="none"/>
          <w14:textFill>
            <w14:solidFill>
              <w14:schemeClr w14:val="tx1"/>
            </w14:solidFill>
          </w14:textFill>
        </w:rPr>
        <w:fldChar w:fldCharType="begin"/>
      </w:r>
      <w:r>
        <w:rPr>
          <w:rFonts w:hint="eastAsia" w:ascii="宋体" w:hAnsi="宋体" w:eastAsia="宋体" w:cs="宋体"/>
          <w:bCs/>
          <w:caps/>
          <w:color w:val="000000" w:themeColor="text1"/>
          <w:sz w:val="24"/>
          <w:szCs w:val="24"/>
          <w:highlight w:val="none"/>
          <w14:textFill>
            <w14:solidFill>
              <w14:schemeClr w14:val="tx1"/>
            </w14:solidFill>
          </w14:textFill>
        </w:rPr>
        <w:instrText xml:space="preserve"> HYPERLINK \l _Toc31468 </w:instrText>
      </w:r>
      <w:r>
        <w:rPr>
          <w:rFonts w:hint="eastAsia" w:ascii="宋体" w:hAnsi="宋体" w:eastAsia="宋体" w:cs="宋体"/>
          <w:bCs/>
          <w:caps/>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二、</w:t>
      </w:r>
      <w:r>
        <w:rPr>
          <w:rFonts w:hint="eastAsia" w:ascii="宋体" w:hAnsi="宋体" w:eastAsia="宋体" w:cs="宋体"/>
          <w:color w:val="000000" w:themeColor="text1"/>
          <w:sz w:val="24"/>
          <w:szCs w:val="24"/>
          <w:highlight w:val="none"/>
          <w:lang w:val="en-US" w:eastAsia="zh-CN"/>
          <w14:textFill>
            <w14:solidFill>
              <w14:schemeClr w14:val="tx1"/>
            </w14:solidFill>
          </w14:textFill>
        </w:rPr>
        <w:t>定义及解释</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bCs/>
          <w:caps/>
          <w:color w:val="000000" w:themeColor="text1"/>
          <w:sz w:val="24"/>
          <w:szCs w:val="24"/>
          <w:highlight w:val="none"/>
          <w14:textFill>
            <w14:solidFill>
              <w14:schemeClr w14:val="tx1"/>
            </w14:solidFill>
          </w14:textFill>
        </w:rPr>
        <w:fldChar w:fldCharType="end"/>
      </w:r>
      <w:r>
        <w:rPr>
          <w:rFonts w:hint="eastAsia" w:ascii="宋体" w:hAnsi="宋体" w:eastAsia="宋体" w:cs="宋体"/>
          <w:b/>
          <w:bCs w:val="0"/>
          <w:caps/>
          <w:color w:val="000000" w:themeColor="text1"/>
          <w:sz w:val="24"/>
          <w:szCs w:val="24"/>
          <w:highlight w:val="none"/>
          <w:lang w:val="en-US" w:eastAsia="zh-CN"/>
          <w14:textFill>
            <w14:solidFill>
              <w14:schemeClr w14:val="tx1"/>
            </w14:solidFill>
          </w14:textFill>
        </w:rPr>
        <w:t>3</w:t>
      </w:r>
    </w:p>
    <w:p w14:paraId="7339059B">
      <w:pPr>
        <w:pStyle w:val="34"/>
        <w:tabs>
          <w:tab w:val="right" w:leader="dot" w:pos="8930"/>
          <w:tab w:val="clear" w:pos="8931"/>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aps/>
          <w:color w:val="000000" w:themeColor="text1"/>
          <w:sz w:val="24"/>
          <w:szCs w:val="24"/>
          <w:highlight w:val="none"/>
          <w14:textFill>
            <w14:solidFill>
              <w14:schemeClr w14:val="tx1"/>
            </w14:solidFill>
          </w14:textFill>
        </w:rPr>
        <w:fldChar w:fldCharType="begin"/>
      </w:r>
      <w:r>
        <w:rPr>
          <w:rFonts w:hint="eastAsia" w:ascii="宋体" w:hAnsi="宋体" w:eastAsia="宋体" w:cs="宋体"/>
          <w:bCs/>
          <w:caps/>
          <w:color w:val="000000" w:themeColor="text1"/>
          <w:sz w:val="24"/>
          <w:szCs w:val="24"/>
          <w:highlight w:val="none"/>
          <w14:textFill>
            <w14:solidFill>
              <w14:schemeClr w14:val="tx1"/>
            </w14:solidFill>
          </w14:textFill>
        </w:rPr>
        <w:instrText xml:space="preserve"> HYPERLINK \l _Toc14104 </w:instrText>
      </w:r>
      <w:r>
        <w:rPr>
          <w:rFonts w:hint="eastAsia" w:ascii="宋体" w:hAnsi="宋体" w:eastAsia="宋体" w:cs="宋体"/>
          <w:bCs/>
          <w:caps/>
          <w:color w:val="000000" w:themeColor="text1"/>
          <w:sz w:val="24"/>
          <w:szCs w:val="24"/>
          <w:highlight w:val="none"/>
          <w14:textFill>
            <w14:solidFill>
              <w14:schemeClr w14:val="tx1"/>
            </w14:solidFill>
          </w14:textFill>
        </w:rPr>
        <w:fldChar w:fldCharType="separate"/>
      </w:r>
      <w:r>
        <w:rPr>
          <w:rFonts w:hint="eastAsia" w:ascii="宋体" w:hAnsi="宋体" w:eastAsia="宋体" w:cs="宋体"/>
          <w:bCs/>
          <w:caps/>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_Toc14104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caps/>
          <w:color w:val="000000" w:themeColor="text1"/>
          <w:sz w:val="24"/>
          <w:szCs w:val="24"/>
          <w:highlight w:val="none"/>
          <w14:textFill>
            <w14:solidFill>
              <w14:schemeClr w14:val="tx1"/>
            </w14:solidFill>
          </w14:textFill>
        </w:rPr>
        <w:fldChar w:fldCharType="end"/>
      </w:r>
    </w:p>
    <w:p w14:paraId="382C47B1">
      <w:pPr>
        <w:pStyle w:val="30"/>
        <w:tabs>
          <w:tab w:val="right" w:leader="dot" w:pos="8930"/>
        </w:tabs>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val="0"/>
          <w:caps w:val="0"/>
          <w:color w:val="000000" w:themeColor="text1"/>
          <w:sz w:val="24"/>
          <w:szCs w:val="24"/>
          <w:highlight w:val="none"/>
          <w14:textFill>
            <w14:solidFill>
              <w14:schemeClr w14:val="tx1"/>
            </w14:solidFill>
          </w14:textFill>
        </w:rPr>
        <w:fldChar w:fldCharType="begin"/>
      </w:r>
      <w:r>
        <w:rPr>
          <w:rFonts w:hint="eastAsia" w:ascii="宋体" w:hAnsi="宋体" w:eastAsia="宋体" w:cs="宋体"/>
          <w:bCs w:val="0"/>
          <w:caps w:val="0"/>
          <w:color w:val="000000" w:themeColor="text1"/>
          <w:sz w:val="24"/>
          <w:szCs w:val="24"/>
          <w:highlight w:val="none"/>
          <w14:textFill>
            <w14:solidFill>
              <w14:schemeClr w14:val="tx1"/>
            </w14:solidFill>
          </w14:textFill>
        </w:rPr>
        <w:instrText xml:space="preserve"> HYPERLINK \l _Toc25735 </w:instrText>
      </w:r>
      <w:r>
        <w:rPr>
          <w:rFonts w:hint="eastAsia" w:ascii="宋体" w:hAnsi="宋体" w:eastAsia="宋体" w:cs="宋体"/>
          <w:bCs w:val="0"/>
          <w:cap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第三章 投标须知</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_Toc25735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val="0"/>
          <w:caps w:val="0"/>
          <w:color w:val="000000" w:themeColor="text1"/>
          <w:sz w:val="24"/>
          <w:szCs w:val="24"/>
          <w:highlight w:val="none"/>
          <w14:textFill>
            <w14:solidFill>
              <w14:schemeClr w14:val="tx1"/>
            </w14:solidFill>
          </w14:textFill>
        </w:rPr>
        <w:fldChar w:fldCharType="end"/>
      </w:r>
    </w:p>
    <w:p w14:paraId="47D0C820">
      <w:pPr>
        <w:pStyle w:val="34"/>
        <w:tabs>
          <w:tab w:val="right" w:leader="dot" w:pos="8930"/>
          <w:tab w:val="clear" w:pos="8931"/>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aps/>
          <w:color w:val="000000" w:themeColor="text1"/>
          <w:sz w:val="24"/>
          <w:szCs w:val="24"/>
          <w:highlight w:val="none"/>
          <w14:textFill>
            <w14:solidFill>
              <w14:schemeClr w14:val="tx1"/>
            </w14:solidFill>
          </w14:textFill>
        </w:rPr>
        <w:fldChar w:fldCharType="begin"/>
      </w:r>
      <w:r>
        <w:rPr>
          <w:rFonts w:hint="eastAsia" w:ascii="宋体" w:hAnsi="宋体" w:eastAsia="宋体" w:cs="宋体"/>
          <w:bCs/>
          <w:caps/>
          <w:color w:val="000000" w:themeColor="text1"/>
          <w:sz w:val="24"/>
          <w:szCs w:val="24"/>
          <w:highlight w:val="none"/>
          <w14:textFill>
            <w14:solidFill>
              <w14:schemeClr w14:val="tx1"/>
            </w14:solidFill>
          </w14:textFill>
        </w:rPr>
        <w:instrText xml:space="preserve"> HYPERLINK \l _Toc13057 </w:instrText>
      </w:r>
      <w:r>
        <w:rPr>
          <w:rFonts w:hint="eastAsia" w:ascii="宋体" w:hAnsi="宋体" w:eastAsia="宋体" w:cs="宋体"/>
          <w:bCs/>
          <w:caps/>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一、总则</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_Toc13057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caps/>
          <w:color w:val="000000" w:themeColor="text1"/>
          <w:sz w:val="24"/>
          <w:szCs w:val="24"/>
          <w:highlight w:val="none"/>
          <w14:textFill>
            <w14:solidFill>
              <w14:schemeClr w14:val="tx1"/>
            </w14:solidFill>
          </w14:textFill>
        </w:rPr>
        <w:fldChar w:fldCharType="end"/>
      </w:r>
    </w:p>
    <w:p w14:paraId="499C1129">
      <w:pPr>
        <w:pStyle w:val="34"/>
        <w:tabs>
          <w:tab w:val="right" w:leader="dot" w:pos="8930"/>
          <w:tab w:val="clear" w:pos="8931"/>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aps/>
          <w:color w:val="000000" w:themeColor="text1"/>
          <w:sz w:val="24"/>
          <w:szCs w:val="24"/>
          <w:highlight w:val="none"/>
          <w14:textFill>
            <w14:solidFill>
              <w14:schemeClr w14:val="tx1"/>
            </w14:solidFill>
          </w14:textFill>
        </w:rPr>
        <w:fldChar w:fldCharType="begin"/>
      </w:r>
      <w:r>
        <w:rPr>
          <w:rFonts w:hint="eastAsia" w:ascii="宋体" w:hAnsi="宋体" w:eastAsia="宋体" w:cs="宋体"/>
          <w:bCs/>
          <w:caps/>
          <w:color w:val="000000" w:themeColor="text1"/>
          <w:sz w:val="24"/>
          <w:szCs w:val="24"/>
          <w:highlight w:val="none"/>
          <w14:textFill>
            <w14:solidFill>
              <w14:schemeClr w14:val="tx1"/>
            </w14:solidFill>
          </w14:textFill>
        </w:rPr>
        <w:instrText xml:space="preserve"> HYPERLINK \l _Toc12657 </w:instrText>
      </w:r>
      <w:r>
        <w:rPr>
          <w:rFonts w:hint="eastAsia" w:ascii="宋体" w:hAnsi="宋体" w:eastAsia="宋体" w:cs="宋体"/>
          <w:bCs/>
          <w:caps/>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二、《招标文件》组成与说明</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_Toc12657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caps/>
          <w:color w:val="000000" w:themeColor="text1"/>
          <w:sz w:val="24"/>
          <w:szCs w:val="24"/>
          <w:highlight w:val="none"/>
          <w14:textFill>
            <w14:solidFill>
              <w14:schemeClr w14:val="tx1"/>
            </w14:solidFill>
          </w14:textFill>
        </w:rPr>
        <w:fldChar w:fldCharType="end"/>
      </w:r>
    </w:p>
    <w:p w14:paraId="61D2977F">
      <w:pPr>
        <w:pStyle w:val="34"/>
        <w:tabs>
          <w:tab w:val="right" w:leader="dot" w:pos="8930"/>
          <w:tab w:val="clear" w:pos="8931"/>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aps/>
          <w:color w:val="000000" w:themeColor="text1"/>
          <w:sz w:val="24"/>
          <w:szCs w:val="24"/>
          <w:highlight w:val="none"/>
          <w14:textFill>
            <w14:solidFill>
              <w14:schemeClr w14:val="tx1"/>
            </w14:solidFill>
          </w14:textFill>
        </w:rPr>
        <w:fldChar w:fldCharType="begin"/>
      </w:r>
      <w:r>
        <w:rPr>
          <w:rFonts w:hint="eastAsia" w:ascii="宋体" w:hAnsi="宋体" w:eastAsia="宋体" w:cs="宋体"/>
          <w:bCs/>
          <w:caps/>
          <w:color w:val="000000" w:themeColor="text1"/>
          <w:sz w:val="24"/>
          <w:szCs w:val="24"/>
          <w:highlight w:val="none"/>
          <w14:textFill>
            <w14:solidFill>
              <w14:schemeClr w14:val="tx1"/>
            </w14:solidFill>
          </w14:textFill>
        </w:rPr>
        <w:instrText xml:space="preserve"> HYPERLINK \l _Toc28150 </w:instrText>
      </w:r>
      <w:r>
        <w:rPr>
          <w:rFonts w:hint="eastAsia" w:ascii="宋体" w:hAnsi="宋体" w:eastAsia="宋体" w:cs="宋体"/>
          <w:bCs/>
          <w:caps/>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三、《投标文件》的编制</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_Toc28150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caps/>
          <w:color w:val="000000" w:themeColor="text1"/>
          <w:sz w:val="24"/>
          <w:szCs w:val="24"/>
          <w:highlight w:val="none"/>
          <w14:textFill>
            <w14:solidFill>
              <w14:schemeClr w14:val="tx1"/>
            </w14:solidFill>
          </w14:textFill>
        </w:rPr>
        <w:fldChar w:fldCharType="end"/>
      </w:r>
    </w:p>
    <w:p w14:paraId="40352C56">
      <w:pPr>
        <w:pStyle w:val="34"/>
        <w:tabs>
          <w:tab w:val="right" w:leader="dot" w:pos="8930"/>
          <w:tab w:val="clear" w:pos="8931"/>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aps/>
          <w:color w:val="000000" w:themeColor="text1"/>
          <w:sz w:val="24"/>
          <w:szCs w:val="24"/>
          <w:highlight w:val="none"/>
          <w14:textFill>
            <w14:solidFill>
              <w14:schemeClr w14:val="tx1"/>
            </w14:solidFill>
          </w14:textFill>
        </w:rPr>
        <w:fldChar w:fldCharType="begin"/>
      </w:r>
      <w:r>
        <w:rPr>
          <w:rFonts w:hint="eastAsia" w:ascii="宋体" w:hAnsi="宋体" w:eastAsia="宋体" w:cs="宋体"/>
          <w:bCs/>
          <w:caps/>
          <w:color w:val="000000" w:themeColor="text1"/>
          <w:sz w:val="24"/>
          <w:szCs w:val="24"/>
          <w:highlight w:val="none"/>
          <w14:textFill>
            <w14:solidFill>
              <w14:schemeClr w14:val="tx1"/>
            </w14:solidFill>
          </w14:textFill>
        </w:rPr>
        <w:instrText xml:space="preserve"> HYPERLINK \l _Toc28826 </w:instrText>
      </w:r>
      <w:r>
        <w:rPr>
          <w:rFonts w:hint="eastAsia" w:ascii="宋体" w:hAnsi="宋体" w:eastAsia="宋体" w:cs="宋体"/>
          <w:bCs/>
          <w:caps/>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四、开标</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_Toc28826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14</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caps/>
          <w:color w:val="000000" w:themeColor="text1"/>
          <w:sz w:val="24"/>
          <w:szCs w:val="24"/>
          <w:highlight w:val="none"/>
          <w14:textFill>
            <w14:solidFill>
              <w14:schemeClr w14:val="tx1"/>
            </w14:solidFill>
          </w14:textFill>
        </w:rPr>
        <w:fldChar w:fldCharType="end"/>
      </w:r>
    </w:p>
    <w:p w14:paraId="0FC0E53C">
      <w:pPr>
        <w:pStyle w:val="34"/>
        <w:tabs>
          <w:tab w:val="right" w:leader="dot" w:pos="8930"/>
          <w:tab w:val="clear" w:pos="8931"/>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aps/>
          <w:color w:val="000000" w:themeColor="text1"/>
          <w:sz w:val="24"/>
          <w:szCs w:val="24"/>
          <w:highlight w:val="none"/>
          <w14:textFill>
            <w14:solidFill>
              <w14:schemeClr w14:val="tx1"/>
            </w14:solidFill>
          </w14:textFill>
        </w:rPr>
        <w:fldChar w:fldCharType="begin"/>
      </w:r>
      <w:r>
        <w:rPr>
          <w:rFonts w:hint="eastAsia" w:ascii="宋体" w:hAnsi="宋体" w:eastAsia="宋体" w:cs="宋体"/>
          <w:bCs/>
          <w:caps/>
          <w:color w:val="000000" w:themeColor="text1"/>
          <w:sz w:val="24"/>
          <w:szCs w:val="24"/>
          <w:highlight w:val="none"/>
          <w14:textFill>
            <w14:solidFill>
              <w14:schemeClr w14:val="tx1"/>
            </w14:solidFill>
          </w14:textFill>
        </w:rPr>
        <w:instrText xml:space="preserve"> HYPERLINK \l _Toc24835 </w:instrText>
      </w:r>
      <w:r>
        <w:rPr>
          <w:rFonts w:hint="eastAsia" w:ascii="宋体" w:hAnsi="宋体" w:eastAsia="宋体" w:cs="宋体"/>
          <w:bCs/>
          <w:caps/>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五、评标</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_Toc24835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15</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caps/>
          <w:color w:val="000000" w:themeColor="text1"/>
          <w:sz w:val="24"/>
          <w:szCs w:val="24"/>
          <w:highlight w:val="none"/>
          <w14:textFill>
            <w14:solidFill>
              <w14:schemeClr w14:val="tx1"/>
            </w14:solidFill>
          </w14:textFill>
        </w:rPr>
        <w:fldChar w:fldCharType="end"/>
      </w:r>
    </w:p>
    <w:p w14:paraId="34B9429C">
      <w:pPr>
        <w:pStyle w:val="34"/>
        <w:tabs>
          <w:tab w:val="right" w:leader="dot" w:pos="8930"/>
          <w:tab w:val="clear" w:pos="8931"/>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aps/>
          <w:color w:val="000000" w:themeColor="text1"/>
          <w:sz w:val="24"/>
          <w:szCs w:val="24"/>
          <w:highlight w:val="none"/>
          <w14:textFill>
            <w14:solidFill>
              <w14:schemeClr w14:val="tx1"/>
            </w14:solidFill>
          </w14:textFill>
        </w:rPr>
        <w:fldChar w:fldCharType="begin"/>
      </w:r>
      <w:r>
        <w:rPr>
          <w:rFonts w:hint="eastAsia" w:ascii="宋体" w:hAnsi="宋体" w:eastAsia="宋体" w:cs="宋体"/>
          <w:bCs/>
          <w:caps/>
          <w:color w:val="000000" w:themeColor="text1"/>
          <w:sz w:val="24"/>
          <w:szCs w:val="24"/>
          <w:highlight w:val="none"/>
          <w14:textFill>
            <w14:solidFill>
              <w14:schemeClr w14:val="tx1"/>
            </w14:solidFill>
          </w14:textFill>
        </w:rPr>
        <w:instrText xml:space="preserve"> HYPERLINK \l _Toc1015 </w:instrText>
      </w:r>
      <w:r>
        <w:rPr>
          <w:rFonts w:hint="eastAsia" w:ascii="宋体" w:hAnsi="宋体" w:eastAsia="宋体" w:cs="宋体"/>
          <w:bCs/>
          <w:caps/>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六、</w:t>
      </w:r>
      <w:r>
        <w:rPr>
          <w:rFonts w:hint="eastAsia" w:ascii="宋体" w:hAnsi="宋体" w:eastAsia="宋体" w:cs="宋体"/>
          <w:color w:val="000000" w:themeColor="text1"/>
          <w:sz w:val="24"/>
          <w:szCs w:val="24"/>
          <w:highlight w:val="none"/>
          <w:lang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结果发布</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_Toc1015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16</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caps/>
          <w:color w:val="000000" w:themeColor="text1"/>
          <w:sz w:val="24"/>
          <w:szCs w:val="24"/>
          <w:highlight w:val="none"/>
          <w14:textFill>
            <w14:solidFill>
              <w14:schemeClr w14:val="tx1"/>
            </w14:solidFill>
          </w14:textFill>
        </w:rPr>
        <w:fldChar w:fldCharType="end"/>
      </w:r>
    </w:p>
    <w:p w14:paraId="58E404EE">
      <w:pPr>
        <w:pStyle w:val="34"/>
        <w:tabs>
          <w:tab w:val="right" w:leader="dot" w:pos="8930"/>
          <w:tab w:val="clear" w:pos="8931"/>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aps/>
          <w:color w:val="000000" w:themeColor="text1"/>
          <w:sz w:val="24"/>
          <w:szCs w:val="24"/>
          <w:highlight w:val="none"/>
          <w14:textFill>
            <w14:solidFill>
              <w14:schemeClr w14:val="tx1"/>
            </w14:solidFill>
          </w14:textFill>
        </w:rPr>
        <w:fldChar w:fldCharType="begin"/>
      </w:r>
      <w:r>
        <w:rPr>
          <w:rFonts w:hint="eastAsia" w:ascii="宋体" w:hAnsi="宋体" w:eastAsia="宋体" w:cs="宋体"/>
          <w:bCs/>
          <w:caps/>
          <w:color w:val="000000" w:themeColor="text1"/>
          <w:sz w:val="24"/>
          <w:szCs w:val="24"/>
          <w:highlight w:val="none"/>
          <w14:textFill>
            <w14:solidFill>
              <w14:schemeClr w14:val="tx1"/>
            </w14:solidFill>
          </w14:textFill>
        </w:rPr>
        <w:instrText xml:space="preserve"> HYPERLINK \l _Toc26366 </w:instrText>
      </w:r>
      <w:r>
        <w:rPr>
          <w:rFonts w:hint="eastAsia" w:ascii="宋体" w:hAnsi="宋体" w:eastAsia="宋体" w:cs="宋体"/>
          <w:bCs/>
          <w:caps/>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七、合同授予</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_Toc26366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16</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caps/>
          <w:color w:val="000000" w:themeColor="text1"/>
          <w:sz w:val="24"/>
          <w:szCs w:val="24"/>
          <w:highlight w:val="none"/>
          <w14:textFill>
            <w14:solidFill>
              <w14:schemeClr w14:val="tx1"/>
            </w14:solidFill>
          </w14:textFill>
        </w:rPr>
        <w:fldChar w:fldCharType="end"/>
      </w:r>
    </w:p>
    <w:p w14:paraId="4817EAE4">
      <w:pPr>
        <w:pStyle w:val="30"/>
        <w:tabs>
          <w:tab w:val="right" w:leader="dot" w:pos="8930"/>
        </w:tabs>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val="0"/>
          <w:caps w:val="0"/>
          <w:color w:val="000000" w:themeColor="text1"/>
          <w:sz w:val="24"/>
          <w:szCs w:val="24"/>
          <w:highlight w:val="none"/>
          <w14:textFill>
            <w14:solidFill>
              <w14:schemeClr w14:val="tx1"/>
            </w14:solidFill>
          </w14:textFill>
        </w:rPr>
        <w:fldChar w:fldCharType="begin"/>
      </w:r>
      <w:r>
        <w:rPr>
          <w:rFonts w:hint="eastAsia" w:ascii="宋体" w:hAnsi="宋体" w:eastAsia="宋体" w:cs="宋体"/>
          <w:bCs w:val="0"/>
          <w:caps w:val="0"/>
          <w:color w:val="000000" w:themeColor="text1"/>
          <w:sz w:val="24"/>
          <w:szCs w:val="24"/>
          <w:highlight w:val="none"/>
          <w14:textFill>
            <w14:solidFill>
              <w14:schemeClr w14:val="tx1"/>
            </w14:solidFill>
          </w14:textFill>
        </w:rPr>
        <w:instrText xml:space="preserve"> HYPERLINK \l _Toc8437 </w:instrText>
      </w:r>
      <w:r>
        <w:rPr>
          <w:rFonts w:hint="eastAsia" w:ascii="宋体" w:hAnsi="宋体" w:eastAsia="宋体" w:cs="宋体"/>
          <w:bCs w:val="0"/>
          <w:cap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第四章 评审办法及标准</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_Toc8437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val="0"/>
          <w:caps w:val="0"/>
          <w:color w:val="000000" w:themeColor="text1"/>
          <w:sz w:val="24"/>
          <w:szCs w:val="24"/>
          <w:highlight w:val="none"/>
          <w14:textFill>
            <w14:solidFill>
              <w14:schemeClr w14:val="tx1"/>
            </w14:solidFill>
          </w14:textFill>
        </w:rPr>
        <w:fldChar w:fldCharType="end"/>
      </w:r>
    </w:p>
    <w:p w14:paraId="75711CE6">
      <w:pPr>
        <w:pStyle w:val="30"/>
        <w:tabs>
          <w:tab w:val="right" w:leader="dot" w:pos="8930"/>
        </w:tabs>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val="0"/>
          <w:caps w:val="0"/>
          <w:color w:val="000000" w:themeColor="text1"/>
          <w:sz w:val="24"/>
          <w:szCs w:val="24"/>
          <w:highlight w:val="none"/>
          <w14:textFill>
            <w14:solidFill>
              <w14:schemeClr w14:val="tx1"/>
            </w14:solidFill>
          </w14:textFill>
        </w:rPr>
        <w:fldChar w:fldCharType="begin"/>
      </w:r>
      <w:r>
        <w:rPr>
          <w:rFonts w:hint="eastAsia" w:ascii="宋体" w:hAnsi="宋体" w:eastAsia="宋体" w:cs="宋体"/>
          <w:bCs w:val="0"/>
          <w:caps w:val="0"/>
          <w:color w:val="000000" w:themeColor="text1"/>
          <w:sz w:val="24"/>
          <w:szCs w:val="24"/>
          <w:highlight w:val="none"/>
          <w14:textFill>
            <w14:solidFill>
              <w14:schemeClr w14:val="tx1"/>
            </w14:solidFill>
          </w14:textFill>
        </w:rPr>
        <w:instrText xml:space="preserve"> HYPERLINK \l _Toc13793 </w:instrText>
      </w:r>
      <w:r>
        <w:rPr>
          <w:rFonts w:hint="eastAsia" w:ascii="宋体" w:hAnsi="宋体" w:eastAsia="宋体" w:cs="宋体"/>
          <w:bCs w:val="0"/>
          <w:cap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第五章 合同主要条款</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_Toc13793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val="0"/>
          <w:caps w:val="0"/>
          <w:color w:val="000000" w:themeColor="text1"/>
          <w:sz w:val="24"/>
          <w:szCs w:val="24"/>
          <w:highlight w:val="none"/>
          <w14:textFill>
            <w14:solidFill>
              <w14:schemeClr w14:val="tx1"/>
            </w14:solidFill>
          </w14:textFill>
        </w:rPr>
        <w:fldChar w:fldCharType="end"/>
      </w:r>
    </w:p>
    <w:p w14:paraId="438AB206">
      <w:pPr>
        <w:pStyle w:val="30"/>
        <w:tabs>
          <w:tab w:val="right" w:leader="dot" w:pos="8930"/>
        </w:tabs>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val="0"/>
          <w:caps w:val="0"/>
          <w:color w:val="000000" w:themeColor="text1"/>
          <w:sz w:val="24"/>
          <w:szCs w:val="24"/>
          <w:highlight w:val="none"/>
          <w14:textFill>
            <w14:solidFill>
              <w14:schemeClr w14:val="tx1"/>
            </w14:solidFill>
          </w14:textFill>
        </w:rPr>
        <w:fldChar w:fldCharType="begin"/>
      </w:r>
      <w:r>
        <w:rPr>
          <w:rFonts w:hint="eastAsia" w:ascii="宋体" w:hAnsi="宋体" w:eastAsia="宋体" w:cs="宋体"/>
          <w:bCs w:val="0"/>
          <w:caps w:val="0"/>
          <w:color w:val="000000" w:themeColor="text1"/>
          <w:sz w:val="24"/>
          <w:szCs w:val="24"/>
          <w:highlight w:val="none"/>
          <w14:textFill>
            <w14:solidFill>
              <w14:schemeClr w14:val="tx1"/>
            </w14:solidFill>
          </w14:textFill>
        </w:rPr>
        <w:instrText xml:space="preserve"> HYPERLINK \l _Toc10968 </w:instrText>
      </w:r>
      <w:r>
        <w:rPr>
          <w:rFonts w:hint="eastAsia" w:ascii="宋体" w:hAnsi="宋体" w:eastAsia="宋体" w:cs="宋体"/>
          <w:bCs w:val="0"/>
          <w:cap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第六章 投标文件格式</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_Toc10968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24</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bCs w:val="0"/>
          <w:caps w:val="0"/>
          <w:color w:val="000000" w:themeColor="text1"/>
          <w:sz w:val="24"/>
          <w:szCs w:val="24"/>
          <w:highlight w:val="none"/>
          <w14:textFill>
            <w14:solidFill>
              <w14:schemeClr w14:val="tx1"/>
            </w14:solidFill>
          </w14:textFill>
        </w:rPr>
        <w:fldChar w:fldCharType="end"/>
      </w:r>
    </w:p>
    <w:p w14:paraId="25899D02">
      <w:pPr>
        <w:pStyle w:val="34"/>
        <w:tabs>
          <w:tab w:val="right" w:leader="dot" w:pos="8930"/>
          <w:tab w:val="clear" w:pos="8931"/>
        </w:tabs>
        <w:ind w:left="0"/>
        <w:rPr>
          <w:rFonts w:hint="eastAsia" w:ascii="宋体" w:hAnsi="宋体" w:eastAsia="宋体" w:cs="宋体"/>
          <w:color w:val="000000" w:themeColor="text1"/>
          <w:highlight w:val="none"/>
          <w14:textFill>
            <w14:solidFill>
              <w14:schemeClr w14:val="tx1"/>
            </w14:solidFill>
          </w14:textFill>
        </w:rPr>
      </w:pPr>
    </w:p>
    <w:p w14:paraId="33C66CF6">
      <w:pPr>
        <w:spacing w:line="360" w:lineRule="auto"/>
        <w:ind w:firstLine="0" w:firstLineChars="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Cs/>
          <w:caps/>
          <w:color w:val="000000" w:themeColor="text1"/>
          <w:sz w:val="22"/>
          <w:szCs w:val="22"/>
          <w:highlight w:val="none"/>
          <w14:textFill>
            <w14:solidFill>
              <w14:schemeClr w14:val="tx1"/>
            </w14:solidFill>
          </w14:textFill>
        </w:rPr>
        <w:fldChar w:fldCharType="end"/>
      </w:r>
    </w:p>
    <w:p w14:paraId="2E049AF6">
      <w:pPr>
        <w:ind w:firstLine="424" w:firstLineChars="192"/>
        <w:rPr>
          <w:rFonts w:hint="eastAsia" w:ascii="宋体" w:hAnsi="宋体" w:eastAsia="宋体" w:cs="宋体"/>
          <w:b/>
          <w:color w:val="000000" w:themeColor="text1"/>
          <w:sz w:val="22"/>
          <w:szCs w:val="22"/>
          <w:highlight w:val="none"/>
          <w:u w:val="single"/>
          <w14:textFill>
            <w14:solidFill>
              <w14:schemeClr w14:val="tx1"/>
            </w14:solidFill>
          </w14:textFill>
        </w:rPr>
      </w:pPr>
      <w:r>
        <w:rPr>
          <w:rFonts w:hint="eastAsia" w:ascii="宋体" w:hAnsi="宋体" w:eastAsia="宋体" w:cs="宋体"/>
          <w:b/>
          <w:color w:val="000000" w:themeColor="text1"/>
          <w:sz w:val="22"/>
          <w:szCs w:val="22"/>
          <w:highlight w:val="none"/>
          <w:u w:val="single"/>
          <w14:textFill>
            <w14:solidFill>
              <w14:schemeClr w14:val="tx1"/>
            </w14:solidFill>
          </w14:textFill>
        </w:rPr>
        <w:t>重要提醒：《招标文件》中部分加“▲”、加粗及加下划线的条款着重提请各供应商注意，请各供应商认真查看《招标文件》中的每一个条款及要求，因误读、漏读、错读《招标文件》内容而造成的一切后果，由供应商自行承担，</w:t>
      </w:r>
      <w:r>
        <w:rPr>
          <w:rFonts w:hint="eastAsia" w:ascii="宋体" w:hAnsi="宋体" w:eastAsia="宋体" w:cs="宋体"/>
          <w:b/>
          <w:color w:val="000000" w:themeColor="text1"/>
          <w:sz w:val="22"/>
          <w:szCs w:val="22"/>
          <w:highlight w:val="none"/>
          <w:u w:val="single"/>
          <w:lang w:eastAsia="zh-CN"/>
          <w14:textFill>
            <w14:solidFill>
              <w14:schemeClr w14:val="tx1"/>
            </w14:solidFill>
          </w14:textFill>
        </w:rPr>
        <w:t>招标</w:t>
      </w:r>
      <w:r>
        <w:rPr>
          <w:rFonts w:hint="eastAsia" w:ascii="宋体" w:hAnsi="宋体" w:eastAsia="宋体" w:cs="宋体"/>
          <w:b/>
          <w:color w:val="000000" w:themeColor="text1"/>
          <w:sz w:val="22"/>
          <w:szCs w:val="22"/>
          <w:highlight w:val="none"/>
          <w:u w:val="single"/>
          <w14:textFill>
            <w14:solidFill>
              <w14:schemeClr w14:val="tx1"/>
            </w14:solidFill>
          </w14:textFill>
        </w:rPr>
        <w:t>组织机构概不负责。</w:t>
      </w:r>
    </w:p>
    <w:p w14:paraId="0EEEE717">
      <w:pPr>
        <w:rPr>
          <w:rFonts w:hint="eastAsia" w:ascii="宋体" w:hAnsi="宋体" w:eastAsia="宋体" w:cs="宋体"/>
          <w:color w:val="000000" w:themeColor="text1"/>
          <w:kern w:val="0"/>
          <w:sz w:val="24"/>
          <w:highlight w:val="none"/>
          <w14:textFill>
            <w14:solidFill>
              <w14:schemeClr w14:val="tx1"/>
            </w14:solidFill>
          </w14:textFill>
        </w:rPr>
      </w:pPr>
    </w:p>
    <w:p w14:paraId="475A82C4">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74251687">
      <w:pPr>
        <w:rPr>
          <w:rFonts w:hint="eastAsia" w:ascii="宋体" w:hAnsi="宋体" w:eastAsia="宋体" w:cs="宋体"/>
          <w:color w:val="000000" w:themeColor="text1"/>
          <w:highlight w:val="none"/>
          <w:lang w:val="en-US" w:eastAsia="zh-CN"/>
          <w14:textFill>
            <w14:solidFill>
              <w14:schemeClr w14:val="tx1"/>
            </w14:solidFill>
          </w14:textFill>
        </w:rPr>
      </w:pPr>
    </w:p>
    <w:p w14:paraId="4D886491">
      <w:pPr>
        <w:pStyle w:val="37"/>
        <w:rPr>
          <w:rFonts w:hint="eastAsia" w:ascii="宋体" w:hAnsi="宋体" w:eastAsia="宋体" w:cs="宋体"/>
          <w:color w:val="000000" w:themeColor="text1"/>
          <w:highlight w:val="none"/>
          <w14:textFill>
            <w14:solidFill>
              <w14:schemeClr w14:val="tx1"/>
            </w14:solidFill>
          </w14:textFill>
        </w:rPr>
      </w:pPr>
      <w:bookmarkStart w:id="0" w:name="_Toc27953"/>
      <w:bookmarkStart w:id="1" w:name="_Toc424164130"/>
      <w:bookmarkStart w:id="2" w:name="_Toc13522"/>
      <w:bookmarkStart w:id="3" w:name="_Toc440162775"/>
      <w:bookmarkStart w:id="4" w:name="_Toc446950593"/>
      <w:bookmarkStart w:id="5" w:name="_Toc452032110"/>
      <w:bookmarkStart w:id="6" w:name="_Toc12262"/>
      <w:bookmarkStart w:id="7" w:name="_Toc20496"/>
      <w:bookmarkStart w:id="8" w:name="_Toc26199"/>
    </w:p>
    <w:p w14:paraId="4CA1857A">
      <w:pPr>
        <w:pStyle w:val="3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第一章 </w:t>
      </w:r>
      <w:bookmarkEnd w:id="0"/>
      <w:bookmarkEnd w:id="1"/>
      <w:bookmarkEnd w:id="2"/>
      <w:bookmarkEnd w:id="3"/>
      <w:bookmarkEnd w:id="4"/>
      <w:bookmarkEnd w:id="5"/>
      <w:bookmarkEnd w:id="6"/>
      <w:bookmarkEnd w:id="7"/>
      <w:bookmarkEnd w:id="8"/>
      <w:bookmarkStart w:id="9" w:name="_Toc446950594"/>
      <w:bookmarkStart w:id="10" w:name="_Toc440162776"/>
      <w:bookmarkStart w:id="11" w:name="_Toc32748"/>
      <w:bookmarkStart w:id="12" w:name="_Toc3926"/>
      <w:bookmarkStart w:id="13" w:name="_Toc424164131"/>
      <w:bookmarkStart w:id="14" w:name="_Toc2766"/>
      <w:bookmarkStart w:id="15" w:name="_Toc452032111"/>
      <w:bookmarkStart w:id="16" w:name="_Toc32482"/>
      <w:bookmarkStart w:id="17" w:name="_Toc5429"/>
      <w:r>
        <w:rPr>
          <w:rFonts w:hint="eastAsia" w:ascii="宋体" w:hAnsi="宋体" w:eastAsia="宋体" w:cs="宋体"/>
          <w:color w:val="000000" w:themeColor="text1"/>
          <w:highlight w:val="none"/>
          <w:lang w:eastAsia="zh-CN"/>
          <w14:textFill>
            <w14:solidFill>
              <w14:schemeClr w14:val="tx1"/>
            </w14:solidFill>
          </w14:textFill>
        </w:rPr>
        <w:t>招标</w:t>
      </w:r>
      <w:r>
        <w:rPr>
          <w:rFonts w:hint="eastAsia" w:ascii="宋体" w:hAnsi="宋体" w:eastAsia="宋体" w:cs="宋体"/>
          <w:color w:val="000000" w:themeColor="text1"/>
          <w:highlight w:val="none"/>
          <w14:textFill>
            <w14:solidFill>
              <w14:schemeClr w14:val="tx1"/>
            </w14:solidFill>
          </w14:textFill>
        </w:rPr>
        <w:t>公告</w:t>
      </w:r>
    </w:p>
    <w:p w14:paraId="54987F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根据《浙江省财政厅关于印发浙江省省级行政事业单位公款竞争性存放管理办法的通知》（浙财预执〔2021〕7号）、《苍南县县级预算单位公款竞争性存放管理暂行办法》（苍政办〔2019〕7号）等有关规定，浙江之信工程项目管理有限公司</w:t>
      </w:r>
      <w:r>
        <w:rPr>
          <w:rFonts w:hint="eastAsia" w:ascii="宋体" w:hAnsi="宋体" w:eastAsia="宋体" w:cs="宋体"/>
          <w:color w:val="000000" w:themeColor="text1"/>
          <w:sz w:val="24"/>
          <w:szCs w:val="24"/>
          <w:highlight w:val="none"/>
          <w14:textFill>
            <w14:solidFill>
              <w14:schemeClr w14:val="tx1"/>
            </w14:solidFill>
          </w14:textFill>
        </w:rPr>
        <w:t>受</w:t>
      </w:r>
      <w:r>
        <w:rPr>
          <w:rFonts w:hint="eastAsia" w:ascii="宋体" w:hAnsi="宋体" w:eastAsia="宋体" w:cs="宋体"/>
          <w:color w:val="000000" w:themeColor="text1"/>
          <w:sz w:val="24"/>
          <w:szCs w:val="24"/>
          <w:highlight w:val="none"/>
          <w:lang w:eastAsia="zh-CN"/>
          <w14:textFill>
            <w14:solidFill>
              <w14:schemeClr w14:val="tx1"/>
            </w14:solidFill>
          </w14:textFill>
        </w:rPr>
        <w:t>苍南县测绘院</w:t>
      </w:r>
      <w:r>
        <w:rPr>
          <w:rFonts w:hint="eastAsia" w:ascii="宋体" w:hAnsi="宋体" w:eastAsia="宋体" w:cs="宋体"/>
          <w:color w:val="000000" w:themeColor="text1"/>
          <w:sz w:val="24"/>
          <w:szCs w:val="24"/>
          <w:highlight w:val="none"/>
          <w14:textFill>
            <w14:solidFill>
              <w14:schemeClr w14:val="tx1"/>
            </w14:solidFill>
          </w14:textFill>
        </w:rPr>
        <w:t>委托，就</w:t>
      </w:r>
      <w:r>
        <w:rPr>
          <w:rFonts w:hint="eastAsia" w:ascii="宋体" w:hAnsi="宋体" w:eastAsia="宋体" w:cs="宋体"/>
          <w:color w:val="000000" w:themeColor="text1"/>
          <w:sz w:val="24"/>
          <w:szCs w:val="24"/>
          <w:highlight w:val="none"/>
          <w:lang w:eastAsia="zh-CN"/>
          <w14:textFill>
            <w14:solidFill>
              <w14:schemeClr w14:val="tx1"/>
            </w14:solidFill>
          </w14:textFill>
        </w:rPr>
        <w:t>2025年度苍南县测绘院公款竞争性存放项目</w:t>
      </w:r>
      <w:r>
        <w:rPr>
          <w:rFonts w:hint="eastAsia" w:ascii="宋体" w:hAnsi="宋体" w:eastAsia="宋体" w:cs="宋体"/>
          <w:color w:val="000000" w:themeColor="text1"/>
          <w:sz w:val="24"/>
          <w:szCs w:val="24"/>
          <w:highlight w:val="none"/>
          <w14:textFill>
            <w14:solidFill>
              <w14:schemeClr w14:val="tx1"/>
            </w14:solidFill>
          </w14:textFill>
        </w:rPr>
        <w:t>进行公开招标</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欢迎符合条件的银行机构</w:t>
      </w:r>
      <w:r>
        <w:rPr>
          <w:rFonts w:hint="eastAsia" w:ascii="宋体" w:hAnsi="宋体" w:eastAsia="宋体" w:cs="宋体"/>
          <w:i w:val="0"/>
          <w:caps w:val="0"/>
          <w:color w:val="000000" w:themeColor="text1"/>
          <w:spacing w:val="0"/>
          <w:sz w:val="24"/>
          <w:szCs w:val="24"/>
          <w:highlight w:val="none"/>
          <w:lang w:val="en-US" w:eastAsia="zh-CN"/>
          <w14:textFill>
            <w14:solidFill>
              <w14:schemeClr w14:val="tx1"/>
            </w14:solidFill>
          </w14:textFill>
        </w:rPr>
        <w:t>参加</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投标</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7011E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w:t>
      </w:r>
      <w:r>
        <w:rPr>
          <w:rFonts w:hint="eastAsia" w:ascii="宋体" w:hAnsi="宋体" w:eastAsia="宋体" w:cs="宋体"/>
          <w:b/>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b/>
          <w:color w:val="000000" w:themeColor="text1"/>
          <w:sz w:val="24"/>
          <w:szCs w:val="24"/>
          <w:highlight w:val="none"/>
          <w14:textFill>
            <w14:solidFill>
              <w14:schemeClr w14:val="tx1"/>
            </w14:solidFill>
          </w14:textFill>
        </w:rPr>
        <w:t>项目名称</w:t>
      </w:r>
      <w:r>
        <w:rPr>
          <w:rFonts w:hint="eastAsia" w:ascii="宋体" w:hAnsi="宋体" w:eastAsia="宋体" w:cs="宋体"/>
          <w:b/>
          <w:color w:val="000000" w:themeColor="text1"/>
          <w:sz w:val="24"/>
          <w:szCs w:val="24"/>
          <w:highlight w:val="none"/>
          <w:lang w:eastAsia="zh-CN"/>
          <w14:textFill>
            <w14:solidFill>
              <w14:schemeClr w14:val="tx1"/>
            </w14:solidFill>
          </w14:textFill>
        </w:rPr>
        <w:t>：2025年度苍南县测绘院公款竞争性存放项目</w:t>
      </w:r>
    </w:p>
    <w:p w14:paraId="4005D7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项目编号</w:t>
      </w:r>
      <w:r>
        <w:rPr>
          <w:rFonts w:hint="eastAsia" w:ascii="宋体" w:hAnsi="宋体" w:eastAsia="宋体" w:cs="宋体"/>
          <w:b/>
          <w:color w:val="000000" w:themeColor="text1"/>
          <w:sz w:val="24"/>
          <w:szCs w:val="24"/>
          <w:highlight w:val="none"/>
          <w:lang w:eastAsia="zh-CN"/>
          <w14:textFill>
            <w14:solidFill>
              <w14:schemeClr w14:val="tx1"/>
            </w14:solidFill>
          </w14:textFill>
        </w:rPr>
        <w:t>：苍产告字[2025]13号</w:t>
      </w:r>
    </w:p>
    <w:p w14:paraId="006FE0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三、招标内容</w:t>
      </w:r>
    </w:p>
    <w:p w14:paraId="2C31F662">
      <w:pPr>
        <w:pStyle w:val="22"/>
        <w:keepNext w:val="0"/>
        <w:keepLines w:val="0"/>
        <w:pageBreakBefore w:val="0"/>
        <w:widowControl w:val="0"/>
        <w:kinsoku/>
        <w:wordWrap/>
        <w:overflowPunct/>
        <w:topLinePunct w:val="0"/>
        <w:autoSpaceDE/>
        <w:autoSpaceDN/>
        <w:bidi w:val="0"/>
        <w:adjustRightInd/>
        <w:snapToGrid/>
        <w:spacing w:line="360" w:lineRule="auto"/>
        <w:ind w:firstLine="463" w:firstLineChars="193"/>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本项目招标内容为</w:t>
      </w:r>
      <w:r>
        <w:rPr>
          <w:rFonts w:hint="eastAsia" w:hAnsi="宋体" w:cs="宋体"/>
          <w:b w:val="0"/>
          <w:bCs/>
          <w:color w:val="000000" w:themeColor="text1"/>
          <w:kern w:val="2"/>
          <w:sz w:val="24"/>
          <w:szCs w:val="24"/>
          <w:highlight w:val="none"/>
          <w:lang w:val="en-US" w:eastAsia="zh-CN" w:bidi="ar-SA"/>
          <w14:textFill>
            <w14:solidFill>
              <w14:schemeClr w14:val="tx1"/>
            </w14:solidFill>
          </w14:textFill>
        </w:rPr>
        <w:t>2025年度苍南县测绘院公款竞争性存放项目</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，定期1年，</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分成2个标段（</w:t>
      </w:r>
      <w:r>
        <w:rPr>
          <w:rFonts w:hint="eastAsia" w:hAnsi="宋体" w:cs="宋体"/>
          <w:b w:val="0"/>
          <w:bCs/>
          <w:color w:val="000000" w:themeColor="text1"/>
          <w:kern w:val="2"/>
          <w:sz w:val="24"/>
          <w:szCs w:val="24"/>
          <w:highlight w:val="none"/>
          <w:lang w:val="en-US" w:eastAsia="zh-CN" w:bidi="ar-SA"/>
          <w14:textFill>
            <w14:solidFill>
              <w14:schemeClr w14:val="tx1"/>
            </w14:solidFill>
          </w14:textFill>
        </w:rPr>
        <w:t>1700</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万元），标段一：</w:t>
      </w:r>
      <w:r>
        <w:rPr>
          <w:rFonts w:hint="eastAsia" w:hAnsi="宋体" w:cs="宋体"/>
          <w:b w:val="0"/>
          <w:bCs/>
          <w:color w:val="000000" w:themeColor="text1"/>
          <w:kern w:val="2"/>
          <w:sz w:val="24"/>
          <w:szCs w:val="24"/>
          <w:highlight w:val="none"/>
          <w:lang w:val="en-US" w:eastAsia="zh-CN" w:bidi="ar-SA"/>
          <w14:textFill>
            <w14:solidFill>
              <w14:schemeClr w14:val="tx1"/>
            </w14:solidFill>
          </w14:textFill>
        </w:rPr>
        <w:t>1000</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万元、标段二：</w:t>
      </w:r>
      <w:r>
        <w:rPr>
          <w:rFonts w:hint="eastAsia" w:hAnsi="宋体" w:cs="宋体"/>
          <w:b w:val="0"/>
          <w:bCs/>
          <w:color w:val="000000" w:themeColor="text1"/>
          <w:kern w:val="2"/>
          <w:sz w:val="24"/>
          <w:szCs w:val="24"/>
          <w:highlight w:val="none"/>
          <w:lang w:val="en-US" w:eastAsia="zh-CN" w:bidi="ar-SA"/>
          <w14:textFill>
            <w14:solidFill>
              <w14:schemeClr w14:val="tx1"/>
            </w14:solidFill>
          </w14:textFill>
        </w:rPr>
        <w:t>700</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万元。</w:t>
      </w:r>
    </w:p>
    <w:p w14:paraId="48277A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四</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投标银行基本条件要求：</w:t>
      </w:r>
    </w:p>
    <w:p w14:paraId="3B6B91A4">
      <w:pPr>
        <w:pStyle w:val="2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投标银行应符合《苍南县县级预算单位公款竞争性存放管理暂行办法》（苍政办〔2019〕7号）等规定的基本条件，具体包括：</w:t>
      </w:r>
    </w:p>
    <w:p w14:paraId="7BF9B703">
      <w:pPr>
        <w:pStyle w:val="22"/>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63" w:firstLineChars="193"/>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w:t>
      </w:r>
      <w:r>
        <w:rPr>
          <w:rFonts w:hint="eastAsia" w:ascii="宋体" w:hAnsi="宋体" w:eastAsia="宋体" w:cs="宋体"/>
          <w:color w:val="000000" w:themeColor="text1"/>
          <w:sz w:val="24"/>
          <w:szCs w:val="24"/>
          <w:highlight w:val="none"/>
          <w:lang w:val="en-US" w:eastAsia="zh-CN"/>
          <w14:textFill>
            <w14:solidFill>
              <w14:schemeClr w14:val="tx1"/>
            </w14:solidFill>
          </w14:textFill>
        </w:rPr>
        <w:t>温州市苍南县</w:t>
      </w:r>
      <w:r>
        <w:rPr>
          <w:rFonts w:hint="eastAsia" w:ascii="宋体" w:hAnsi="宋体" w:eastAsia="宋体" w:cs="宋体"/>
          <w:color w:val="000000" w:themeColor="text1"/>
          <w:sz w:val="24"/>
          <w:szCs w:val="24"/>
          <w:highlight w:val="none"/>
          <w14:textFill>
            <w14:solidFill>
              <w14:schemeClr w14:val="tx1"/>
            </w14:solidFill>
          </w14:textFill>
        </w:rPr>
        <w:t>设有分支机构</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B52B9BC">
      <w:pPr>
        <w:pStyle w:val="22"/>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63" w:firstLineChars="193"/>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依法开展经营活动，</w:t>
      </w:r>
      <w:r>
        <w:rPr>
          <w:rFonts w:hint="eastAsia" w:ascii="宋体" w:hAnsi="宋体" w:eastAsia="宋体" w:cs="宋体"/>
          <w:color w:val="000000" w:themeColor="text1"/>
          <w:sz w:val="24"/>
          <w:szCs w:val="24"/>
          <w:highlight w:val="none"/>
          <w:lang w:eastAsia="zh-CN"/>
          <w14:textFill>
            <w14:solidFill>
              <w14:schemeClr w14:val="tx1"/>
            </w14:solidFill>
          </w14:textFill>
        </w:rPr>
        <w:t>近3年内在经营活动中无重大违法违规记录；</w:t>
      </w:r>
    </w:p>
    <w:p w14:paraId="0F9FFC81">
      <w:pPr>
        <w:pStyle w:val="22"/>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63" w:firstLineChars="193"/>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内部管理机制健全，具有较强的风险控制能力</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41FC9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五</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招标文件获取</w:t>
      </w:r>
      <w:r>
        <w:rPr>
          <w:rFonts w:hint="eastAsia" w:ascii="宋体" w:hAnsi="宋体" w:eastAsia="宋体" w:cs="宋体"/>
          <w:b/>
          <w:color w:val="000000" w:themeColor="text1"/>
          <w:sz w:val="24"/>
          <w:szCs w:val="24"/>
          <w:highlight w:val="none"/>
          <w:lang w:val="en-US" w:eastAsia="zh-CN"/>
          <w14:textFill>
            <w14:solidFill>
              <w14:schemeClr w14:val="tx1"/>
            </w14:solidFill>
          </w14:textFill>
        </w:rPr>
        <w:t>时间、方式及地址</w:t>
      </w:r>
      <w:r>
        <w:rPr>
          <w:rFonts w:hint="eastAsia" w:ascii="宋体" w:hAnsi="宋体" w:eastAsia="宋体" w:cs="宋体"/>
          <w:color w:val="000000" w:themeColor="text1"/>
          <w:highlight w:val="none"/>
          <w14:textFill>
            <w14:solidFill>
              <w14:schemeClr w14:val="tx1"/>
            </w14:solidFill>
          </w14:textFill>
        </w:rPr>
        <w:t>：</w:t>
      </w:r>
    </w:p>
    <w:p w14:paraId="612188D3">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1、获取时间：</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2025-6-19至</w:t>
      </w:r>
      <w:r>
        <w:rPr>
          <w:rFonts w:hint="eastAsia" w:ascii="宋体" w:hAnsi="宋体" w:eastAsia="宋体" w:cs="宋体"/>
          <w:b/>
          <w:bCs/>
          <w:color w:val="000000" w:themeColor="text1"/>
          <w:sz w:val="24"/>
          <w:szCs w:val="24"/>
          <w:highlight w:val="none"/>
          <w:u w:val="single"/>
          <w14:textFill>
            <w14:solidFill>
              <w14:schemeClr w14:val="tx1"/>
            </w14:solidFill>
          </w14:textFill>
        </w:rPr>
        <w:t>20</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25</w:t>
      </w:r>
      <w:r>
        <w:rPr>
          <w:rFonts w:hint="eastAsia" w:ascii="宋体" w:hAnsi="宋体" w:eastAsia="宋体" w:cs="宋体"/>
          <w:b/>
          <w:bCs/>
          <w:color w:val="000000" w:themeColor="text1"/>
          <w:sz w:val="24"/>
          <w:szCs w:val="24"/>
          <w:highlight w:val="none"/>
          <w:u w:val="single"/>
          <w14:textFill>
            <w14:solidFill>
              <w14:schemeClr w14:val="tx1"/>
            </w14:solidFill>
          </w14:textFill>
        </w:rPr>
        <w:t>-</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6</w:t>
      </w:r>
      <w:r>
        <w:rPr>
          <w:rFonts w:hint="eastAsia" w:ascii="宋体" w:hAnsi="宋体" w:eastAsia="宋体" w:cs="宋体"/>
          <w:b/>
          <w:bCs/>
          <w:color w:val="000000" w:themeColor="text1"/>
          <w:sz w:val="24"/>
          <w:szCs w:val="24"/>
          <w:highlight w:val="none"/>
          <w:u w:val="single"/>
          <w14:textFill>
            <w14:solidFill>
              <w14:schemeClr w14:val="tx1"/>
            </w14:solidFill>
          </w14:textFill>
        </w:rPr>
        <w:t>-</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27</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（双休日及法定节假日除外）</w:t>
      </w:r>
    </w:p>
    <w:p w14:paraId="508AA419">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上午：9:00-11:30，下午：14:00-17:30</w:t>
      </w:r>
    </w:p>
    <w:p w14:paraId="735D5F0F">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2、获取地址：浙江政府采购网、苍南县人民政府门户网站</w:t>
      </w:r>
    </w:p>
    <w:p w14:paraId="62DADB2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3、获取文件方式：自行下载</w:t>
      </w:r>
    </w:p>
    <w:p w14:paraId="34C1F78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六、投标截止时间：</w:t>
      </w:r>
      <w:r>
        <w:rPr>
          <w:rFonts w:hint="eastAsia" w:ascii="宋体" w:hAnsi="宋体" w:eastAsia="宋体" w:cs="宋体"/>
          <w:b/>
          <w:bCs/>
          <w:color w:val="000000" w:themeColor="text1"/>
          <w:sz w:val="24"/>
          <w:szCs w:val="24"/>
          <w:highlight w:val="none"/>
          <w:u w:val="single"/>
          <w14:textFill>
            <w14:solidFill>
              <w14:schemeClr w14:val="tx1"/>
            </w14:solidFill>
          </w14:textFill>
        </w:rPr>
        <w:t>20</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25</w:t>
      </w:r>
      <w:r>
        <w:rPr>
          <w:rFonts w:hint="eastAsia" w:ascii="宋体" w:hAnsi="宋体" w:eastAsia="宋体" w:cs="宋体"/>
          <w:b/>
          <w:bCs/>
          <w:color w:val="000000" w:themeColor="text1"/>
          <w:sz w:val="24"/>
          <w:szCs w:val="24"/>
          <w:highlight w:val="none"/>
          <w:u w:val="single"/>
          <w14:textFill>
            <w14:solidFill>
              <w14:schemeClr w14:val="tx1"/>
            </w14:solidFill>
          </w14:textFill>
        </w:rPr>
        <w:t>-</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6</w:t>
      </w:r>
      <w:r>
        <w:rPr>
          <w:rFonts w:hint="eastAsia" w:ascii="宋体" w:hAnsi="宋体" w:eastAsia="宋体" w:cs="宋体"/>
          <w:b/>
          <w:bCs/>
          <w:color w:val="000000" w:themeColor="text1"/>
          <w:sz w:val="24"/>
          <w:szCs w:val="24"/>
          <w:highlight w:val="none"/>
          <w:u w:val="single"/>
          <w14:textFill>
            <w14:solidFill>
              <w14:schemeClr w14:val="tx1"/>
            </w14:solidFill>
          </w14:textFill>
        </w:rPr>
        <w:t>-</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27</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14</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:30</w:t>
      </w:r>
    </w:p>
    <w:p w14:paraId="102199E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七</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投标地址：</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苍南县公共资源交易中心（苍南县灵溪镇春晖路公投大厦）1楼大厅收标区</w:t>
      </w:r>
    </w:p>
    <w:p w14:paraId="5EFD72D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color w:val="000000" w:themeColor="text1"/>
          <w:sz w:val="24"/>
          <w:szCs w:val="24"/>
          <w:highlight w:val="none"/>
          <w:u w:val="singl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八</w:t>
      </w:r>
      <w:r>
        <w:rPr>
          <w:rFonts w:hint="eastAsia" w:ascii="宋体" w:hAnsi="宋体" w:eastAsia="宋体" w:cs="宋体"/>
          <w:b/>
          <w:color w:val="000000" w:themeColor="text1"/>
          <w:highlight w:val="none"/>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开标时</w:t>
      </w:r>
      <w:r>
        <w:rPr>
          <w:rFonts w:hint="eastAsia" w:ascii="宋体" w:hAnsi="宋体" w:eastAsia="宋体" w:cs="宋体"/>
          <w:b/>
          <w:color w:val="000000" w:themeColor="text1"/>
          <w:sz w:val="24"/>
          <w:szCs w:val="24"/>
          <w:highlight w:val="none"/>
          <w14:textFill>
            <w14:solidFill>
              <w14:schemeClr w14:val="tx1"/>
            </w14:solidFill>
          </w14:textFill>
        </w:rPr>
        <w:t>间：</w:t>
      </w:r>
      <w:r>
        <w:rPr>
          <w:rFonts w:hint="eastAsia" w:ascii="宋体" w:hAnsi="宋体" w:eastAsia="宋体" w:cs="宋体"/>
          <w:b/>
          <w:bCs/>
          <w:color w:val="000000" w:themeColor="text1"/>
          <w:sz w:val="24"/>
          <w:szCs w:val="24"/>
          <w:highlight w:val="none"/>
          <w:u w:val="single"/>
          <w14:textFill>
            <w14:solidFill>
              <w14:schemeClr w14:val="tx1"/>
            </w14:solidFill>
          </w14:textFill>
        </w:rPr>
        <w:t>20</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25</w:t>
      </w:r>
      <w:r>
        <w:rPr>
          <w:rFonts w:hint="eastAsia" w:ascii="宋体" w:hAnsi="宋体" w:eastAsia="宋体" w:cs="宋体"/>
          <w:b/>
          <w:bCs/>
          <w:color w:val="000000" w:themeColor="text1"/>
          <w:sz w:val="24"/>
          <w:szCs w:val="24"/>
          <w:highlight w:val="none"/>
          <w:u w:val="single"/>
          <w14:textFill>
            <w14:solidFill>
              <w14:schemeClr w14:val="tx1"/>
            </w14:solidFill>
          </w14:textFill>
        </w:rPr>
        <w:t>-</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6</w:t>
      </w:r>
      <w:r>
        <w:rPr>
          <w:rFonts w:hint="eastAsia" w:ascii="宋体" w:hAnsi="宋体" w:eastAsia="宋体" w:cs="宋体"/>
          <w:b/>
          <w:bCs/>
          <w:color w:val="000000" w:themeColor="text1"/>
          <w:sz w:val="24"/>
          <w:szCs w:val="24"/>
          <w:highlight w:val="none"/>
          <w:u w:val="single"/>
          <w14:textFill>
            <w14:solidFill>
              <w14:schemeClr w14:val="tx1"/>
            </w14:solidFill>
          </w14:textFill>
        </w:rPr>
        <w:t>-</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27</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14</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:30</w:t>
      </w:r>
    </w:p>
    <w:p w14:paraId="672D2CF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九</w:t>
      </w:r>
      <w:r>
        <w:rPr>
          <w:rFonts w:hint="eastAsia" w:ascii="宋体" w:hAnsi="宋体" w:eastAsia="宋体" w:cs="宋体"/>
          <w:b/>
          <w:color w:val="000000" w:themeColor="text1"/>
          <w:highlight w:val="none"/>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开标地址：</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苍南县公共资源交易中心（苍南县灵溪镇春晖路公投大厦）</w:t>
      </w:r>
    </w:p>
    <w:p w14:paraId="3D19C7D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十</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其他事项：</w:t>
      </w:r>
    </w:p>
    <w:p w14:paraId="27C1F0FC">
      <w:pPr>
        <w:keepNext w:val="0"/>
        <w:keepLines w:val="0"/>
        <w:pageBreakBefore w:val="0"/>
        <w:widowControl w:val="0"/>
        <w:kinsoku/>
        <w:wordWrap/>
        <w:overflowPunct/>
        <w:topLinePunct w:val="0"/>
        <w:autoSpaceDE/>
        <w:autoSpaceDN/>
        <w:bidi w:val="0"/>
        <w:adjustRightInd/>
        <w:snapToGrid/>
        <w:ind w:firstLine="463" w:firstLineChars="193"/>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、本公告发布媒体：</w:t>
      </w:r>
      <w:r>
        <w:rPr>
          <w:rFonts w:hint="eastAsia" w:ascii="宋体" w:hAnsi="宋体" w:eastAsia="宋体" w:cs="宋体"/>
          <w:color w:val="000000" w:themeColor="text1"/>
          <w:sz w:val="24"/>
          <w:szCs w:val="24"/>
          <w:highlight w:val="none"/>
          <w:lang w:eastAsia="zh-CN"/>
          <w14:textFill>
            <w14:solidFill>
              <w14:schemeClr w14:val="tx1"/>
            </w14:solidFill>
          </w14:textFill>
        </w:rPr>
        <w:t>浙江政府采购网、</w:t>
      </w:r>
      <w:r>
        <w:rPr>
          <w:rFonts w:hint="eastAsia" w:ascii="宋体" w:hAnsi="宋体" w:eastAsia="宋体" w:cs="宋体"/>
          <w:color w:val="000000" w:themeColor="text1"/>
          <w:sz w:val="24"/>
          <w:szCs w:val="24"/>
          <w:highlight w:val="none"/>
          <w:lang w:val="en-US" w:eastAsia="zh-CN"/>
          <w14:textFill>
            <w14:solidFill>
              <w14:schemeClr w14:val="tx1"/>
            </w14:solidFill>
          </w14:textFill>
        </w:rPr>
        <w:t>苍南县人民政府门户网站</w:t>
      </w:r>
      <w:r>
        <w:rPr>
          <w:rFonts w:hint="eastAsia" w:ascii="宋体" w:hAnsi="宋体" w:eastAsia="宋体" w:cs="宋体"/>
          <w:color w:val="000000" w:themeColor="text1"/>
          <w:sz w:val="24"/>
          <w:szCs w:val="24"/>
          <w:highlight w:val="none"/>
          <w14:textFill>
            <w14:solidFill>
              <w14:schemeClr w14:val="tx1"/>
            </w14:solidFill>
          </w14:textFill>
        </w:rPr>
        <w:t>。</w:t>
      </w:r>
    </w:p>
    <w:p w14:paraId="1AEFC91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十</w:t>
      </w:r>
      <w:r>
        <w:rPr>
          <w:rFonts w:hint="eastAsia" w:ascii="宋体" w:hAnsi="宋体" w:eastAsia="宋体" w:cs="宋体"/>
          <w:b/>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b/>
          <w:color w:val="000000" w:themeColor="text1"/>
          <w:sz w:val="24"/>
          <w:szCs w:val="24"/>
          <w:highlight w:val="none"/>
          <w14:textFill>
            <w14:solidFill>
              <w14:schemeClr w14:val="tx1"/>
            </w14:solidFill>
          </w14:textFill>
        </w:rPr>
        <w:t>、联系方式：</w:t>
      </w:r>
    </w:p>
    <w:p w14:paraId="379EAEEA">
      <w:pPr>
        <w:keepNext w:val="0"/>
        <w:keepLines w:val="0"/>
        <w:pageBreakBefore w:val="0"/>
        <w:widowControl w:val="0"/>
        <w:kinsoku/>
        <w:wordWrap/>
        <w:overflowPunct/>
        <w:topLinePunct w:val="0"/>
        <w:autoSpaceDE/>
        <w:autoSpaceDN/>
        <w:bidi w:val="0"/>
        <w:adjustRightInd/>
        <w:snapToGrid/>
        <w:ind w:left="485" w:leftChars="202"/>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1、招标人名称：</w:t>
      </w:r>
      <w:r>
        <w:rPr>
          <w:rFonts w:hint="eastAsia" w:ascii="宋体" w:hAnsi="宋体" w:eastAsia="宋体" w:cs="宋体"/>
          <w:color w:val="000000" w:themeColor="text1"/>
          <w:sz w:val="24"/>
          <w:szCs w:val="24"/>
          <w:highlight w:val="none"/>
          <w:lang w:eastAsia="zh-CN"/>
          <w14:textFill>
            <w14:solidFill>
              <w14:schemeClr w14:val="tx1"/>
            </w14:solidFill>
          </w14:textFill>
        </w:rPr>
        <w:t>苍南县测绘院</w:t>
      </w:r>
    </w:p>
    <w:p w14:paraId="60AAD11F">
      <w:pPr>
        <w:keepNext w:val="0"/>
        <w:keepLines w:val="0"/>
        <w:pageBreakBefore w:val="0"/>
        <w:widowControl w:val="0"/>
        <w:kinsoku/>
        <w:wordWrap/>
        <w:overflowPunct/>
        <w:topLinePunct w:val="0"/>
        <w:autoSpaceDE/>
        <w:autoSpaceDN/>
        <w:bidi w:val="0"/>
        <w:adjustRightInd/>
        <w:snapToGrid/>
        <w:ind w:left="485" w:leftChars="202"/>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许先生     </w:t>
      </w:r>
    </w:p>
    <w:p w14:paraId="2CCE4D7E">
      <w:pPr>
        <w:keepNext w:val="0"/>
        <w:keepLines w:val="0"/>
        <w:pageBreakBefore w:val="0"/>
        <w:widowControl w:val="0"/>
        <w:kinsoku/>
        <w:wordWrap/>
        <w:overflowPunct/>
        <w:topLinePunct w:val="0"/>
        <w:autoSpaceDE/>
        <w:autoSpaceDN/>
        <w:bidi w:val="0"/>
        <w:adjustRightInd/>
        <w:snapToGrid/>
        <w:ind w:left="485" w:leftChars="202"/>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w:t>
      </w:r>
      <w:r>
        <w:rPr>
          <w:rFonts w:hint="eastAsia" w:ascii="宋体" w:hAnsi="宋体" w:eastAsia="宋体" w:cs="宋体"/>
          <w:color w:val="000000" w:themeColor="text1"/>
          <w:sz w:val="24"/>
          <w:szCs w:val="24"/>
          <w:highlight w:val="none"/>
          <w:lang w:eastAsia="zh-CN"/>
          <w14:textFill>
            <w14:solidFill>
              <w14:schemeClr w14:val="tx1"/>
            </w14:solidFill>
          </w14:textFill>
        </w:rPr>
        <w:t>：苍南县灵溪镇人民大道</w:t>
      </w:r>
    </w:p>
    <w:p w14:paraId="79E84444">
      <w:pPr>
        <w:keepNext w:val="0"/>
        <w:keepLines w:val="0"/>
        <w:pageBreakBefore w:val="0"/>
        <w:widowControl w:val="0"/>
        <w:kinsoku/>
        <w:wordWrap/>
        <w:overflowPunct/>
        <w:topLinePunct w:val="0"/>
        <w:autoSpaceDE/>
        <w:autoSpaceDN/>
        <w:bidi w:val="0"/>
        <w:adjustRightInd/>
        <w:snapToGrid/>
        <w:ind w:left="485" w:leftChars="202"/>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代理机构名称：</w:t>
      </w:r>
      <w:r>
        <w:rPr>
          <w:rFonts w:hint="eastAsia" w:ascii="宋体" w:hAnsi="宋体" w:eastAsia="宋体" w:cs="宋体"/>
          <w:color w:val="000000" w:themeColor="text1"/>
          <w:sz w:val="24"/>
          <w:szCs w:val="24"/>
          <w:highlight w:val="none"/>
          <w:lang w:eastAsia="zh-CN"/>
          <w14:textFill>
            <w14:solidFill>
              <w14:schemeClr w14:val="tx1"/>
            </w14:solidFill>
          </w14:textFill>
        </w:rPr>
        <w:t>浙江之信工程项目管理有限公司</w:t>
      </w:r>
    </w:p>
    <w:p w14:paraId="2FD1442F">
      <w:pPr>
        <w:keepNext w:val="0"/>
        <w:keepLines w:val="0"/>
        <w:pageBreakBefore w:val="0"/>
        <w:widowControl w:val="0"/>
        <w:kinsoku/>
        <w:wordWrap/>
        <w:overflowPunct/>
        <w:topLinePunct w:val="0"/>
        <w:autoSpaceDE/>
        <w:autoSpaceDN/>
        <w:bidi w:val="0"/>
        <w:adjustRightInd/>
        <w:snapToGrid/>
        <w:ind w:left="485" w:leftChars="202"/>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朱先生     </w:t>
      </w:r>
    </w:p>
    <w:p w14:paraId="0E01F46C">
      <w:pPr>
        <w:keepNext w:val="0"/>
        <w:keepLines w:val="0"/>
        <w:pageBreakBefore w:val="0"/>
        <w:widowControl w:val="0"/>
        <w:kinsoku/>
        <w:wordWrap/>
        <w:overflowPunct/>
        <w:topLinePunct w:val="0"/>
        <w:autoSpaceDE/>
        <w:autoSpaceDN/>
        <w:bidi w:val="0"/>
        <w:adjustRightInd/>
        <w:snapToGrid/>
        <w:ind w:left="485" w:leftChars="202"/>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r>
        <w:rPr>
          <w:rFonts w:hint="eastAsia" w:ascii="宋体" w:hAnsi="宋体" w:eastAsia="宋体" w:cs="宋体"/>
          <w:color w:val="000000" w:themeColor="text1"/>
          <w:sz w:val="24"/>
          <w:szCs w:val="24"/>
          <w:highlight w:val="none"/>
          <w:lang w:eastAsia="zh-CN"/>
          <w14:textFill>
            <w14:solidFill>
              <w14:schemeClr w14:val="tx1"/>
            </w14:solidFill>
          </w14:textFill>
        </w:rPr>
        <w:t>0577-68810100</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38237C41">
      <w:pPr>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w:t>
      </w:r>
      <w:r>
        <w:rPr>
          <w:rFonts w:hint="eastAsia" w:ascii="宋体" w:hAnsi="宋体" w:eastAsia="宋体" w:cs="宋体"/>
          <w:color w:val="000000" w:themeColor="text1"/>
          <w:sz w:val="24"/>
          <w:szCs w:val="24"/>
          <w:highlight w:val="none"/>
          <w:lang w:eastAsia="zh-CN"/>
          <w14:textFill>
            <w14:solidFill>
              <w14:schemeClr w14:val="tx1"/>
            </w14:solidFill>
          </w14:textFill>
        </w:rPr>
        <w:t>苍南县灵溪镇仕华家园3幢一单元301-302室</w:t>
      </w:r>
    </w:p>
    <w:p w14:paraId="72B5EF19">
      <w:pPr>
        <w:keepNext w:val="0"/>
        <w:keepLines w:val="0"/>
        <w:pageBreakBefore w:val="0"/>
        <w:widowControl w:val="0"/>
        <w:kinsoku/>
        <w:wordWrap/>
        <w:overflowPunct/>
        <w:topLinePunct w:val="0"/>
        <w:autoSpaceDE/>
        <w:autoSpaceDN/>
        <w:bidi w:val="0"/>
        <w:adjustRightInd/>
        <w:snapToGrid/>
        <w:ind w:left="485" w:leftChars="202"/>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p>
    <w:p w14:paraId="56734577">
      <w:pPr>
        <w:pStyle w:val="37"/>
        <w:numPr>
          <w:ilvl w:val="0"/>
          <w:numId w:val="4"/>
        </w:numP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End w:id="9"/>
      <w:bookmarkEnd w:id="10"/>
      <w:bookmarkEnd w:id="11"/>
      <w:bookmarkEnd w:id="12"/>
      <w:bookmarkEnd w:id="13"/>
      <w:r>
        <w:rPr>
          <w:rFonts w:hint="eastAsia" w:ascii="宋体" w:hAnsi="宋体" w:eastAsia="宋体" w:cs="宋体"/>
          <w:color w:val="000000" w:themeColor="text1"/>
          <w:highlight w:val="none"/>
          <w14:textFill>
            <w14:solidFill>
              <w14:schemeClr w14:val="tx1"/>
            </w14:solidFill>
          </w14:textFill>
        </w:rPr>
        <w:t>招标</w:t>
      </w:r>
      <w:r>
        <w:rPr>
          <w:rFonts w:hint="eastAsia" w:ascii="宋体" w:hAnsi="宋体" w:eastAsia="宋体" w:cs="宋体"/>
          <w:color w:val="000000" w:themeColor="text1"/>
          <w:highlight w:val="none"/>
          <w:lang w:eastAsia="zh-CN"/>
          <w14:textFill>
            <w14:solidFill>
              <w14:schemeClr w14:val="tx1"/>
            </w14:solidFill>
          </w14:textFill>
        </w:rPr>
        <w:t>要求</w:t>
      </w:r>
      <w:bookmarkEnd w:id="14"/>
      <w:bookmarkEnd w:id="15"/>
      <w:bookmarkEnd w:id="16"/>
      <w:bookmarkEnd w:id="17"/>
    </w:p>
    <w:p w14:paraId="33FDC7AB">
      <w:pPr>
        <w:widowControl/>
        <w:numPr>
          <w:ilvl w:val="0"/>
          <w:numId w:val="0"/>
        </w:numPr>
        <w:tabs>
          <w:tab w:val="left" w:pos="618"/>
        </w:tabs>
        <w:snapToGrid w:val="0"/>
        <w:spacing w:line="360" w:lineRule="auto"/>
        <w:ind w:leftChars="0"/>
        <w:rPr>
          <w:rFonts w:hint="eastAsia" w:ascii="宋体" w:hAnsi="宋体" w:eastAsia="宋体" w:cs="宋体"/>
          <w:b/>
          <w:bCs/>
          <w:color w:val="000000" w:themeColor="text1"/>
          <w:kern w:val="0"/>
          <w:sz w:val="32"/>
          <w:szCs w:val="32"/>
          <w:highlight w:val="none"/>
          <w:lang w:val="en-US" w:eastAsia="zh-CN" w:bidi="ar-SA"/>
          <w14:textFill>
            <w14:solidFill>
              <w14:schemeClr w14:val="tx1"/>
            </w14:solidFill>
          </w14:textFill>
        </w:rPr>
      </w:pPr>
      <w:bookmarkStart w:id="18" w:name="_Toc14911"/>
      <w:bookmarkStart w:id="19" w:name="_Toc361840245"/>
      <w:bookmarkStart w:id="20" w:name="_Toc14104"/>
      <w:bookmarkStart w:id="21" w:name="_Toc267320054"/>
      <w:bookmarkStart w:id="22" w:name="_Toc16804"/>
      <w:bookmarkStart w:id="23" w:name="_Toc452032115"/>
      <w:r>
        <w:rPr>
          <w:rFonts w:hint="eastAsia" w:ascii="宋体" w:hAnsi="宋体" w:eastAsia="宋体" w:cs="宋体"/>
          <w:b/>
          <w:bCs/>
          <w:color w:val="000000" w:themeColor="text1"/>
          <w:kern w:val="0"/>
          <w:sz w:val="32"/>
          <w:szCs w:val="32"/>
          <w:highlight w:val="none"/>
          <w:lang w:val="en-US" w:eastAsia="zh-CN" w:bidi="ar-SA"/>
          <w14:textFill>
            <w14:solidFill>
              <w14:schemeClr w14:val="tx1"/>
            </w14:solidFill>
          </w14:textFill>
        </w:rPr>
        <w:t>一、说明</w:t>
      </w:r>
    </w:p>
    <w:p w14:paraId="04F3D889">
      <w:pPr>
        <w:widowControl/>
        <w:numPr>
          <w:ilvl w:val="1"/>
          <w:numId w:val="5"/>
        </w:numPr>
        <w:tabs>
          <w:tab w:val="left" w:pos="-105"/>
          <w:tab w:val="left" w:pos="210"/>
          <w:tab w:val="left" w:pos="420"/>
        </w:tabs>
        <w:snapToGrid w:val="0"/>
        <w:spacing w:line="360" w:lineRule="auto"/>
        <w:ind w:left="0" w:firstLine="0"/>
        <w:jc w:val="left"/>
        <w:rPr>
          <w:rFonts w:hint="eastAsia" w:ascii="宋体" w:hAnsi="宋体" w:eastAsia="宋体" w:cs="宋体"/>
          <w:color w:val="000000" w:themeColor="text1"/>
          <w:kern w:val="2"/>
          <w:sz w:val="24"/>
          <w:szCs w:val="24"/>
          <w:lang w:bidi="ar"/>
          <w14:textFill>
            <w14:solidFill>
              <w14:schemeClr w14:val="tx1"/>
            </w14:solidFill>
          </w14:textFill>
        </w:rPr>
      </w:pPr>
      <w:r>
        <w:rPr>
          <w:rFonts w:hint="eastAsia" w:ascii="宋体" w:hAnsi="宋体" w:eastAsia="宋体" w:cs="宋体"/>
          <w:color w:val="000000" w:themeColor="text1"/>
          <w:kern w:val="2"/>
          <w:sz w:val="24"/>
          <w:szCs w:val="24"/>
          <w:lang w:bidi="ar"/>
          <w14:textFill>
            <w14:solidFill>
              <w14:schemeClr w14:val="tx1"/>
            </w14:solidFill>
          </w14:textFill>
        </w:rPr>
        <w:t>《关于防止领导干部在公款存放方面发生利益冲突和利益输送的办法》(浙委办发〔2015〕8号)、《浙江省财政厅关于印发浙江省省级行政事业单位公款竞争性存放管理办法的通知》（浙财预执〔2021〕7号）、《苍南县县级预算单位公款竞争性存放管理暂行办法》（苍政办〔2019〕7号）等规定</w:t>
      </w:r>
      <w:r>
        <w:rPr>
          <w:rFonts w:hint="eastAsia" w:ascii="宋体" w:hAnsi="宋体" w:eastAsia="宋体" w:cs="宋体"/>
          <w:color w:val="000000" w:themeColor="text1"/>
          <w:kern w:val="2"/>
          <w:sz w:val="24"/>
          <w:szCs w:val="24"/>
          <w:lang w:eastAsia="zh-CN" w:bidi="ar"/>
          <w14:textFill>
            <w14:solidFill>
              <w14:schemeClr w14:val="tx1"/>
            </w14:solidFill>
          </w14:textFill>
        </w:rPr>
        <w:t>、</w:t>
      </w:r>
      <w:r>
        <w:rPr>
          <w:rFonts w:hint="eastAsia" w:ascii="宋体" w:hAnsi="宋体" w:eastAsia="宋体" w:cs="宋体"/>
          <w:color w:val="000000" w:themeColor="text1"/>
          <w:kern w:val="2"/>
          <w:sz w:val="24"/>
          <w:szCs w:val="24"/>
          <w:lang w:bidi="ar"/>
          <w14:textFill>
            <w14:solidFill>
              <w14:schemeClr w14:val="tx1"/>
            </w14:solidFill>
          </w14:textFill>
        </w:rPr>
        <w:t>尽量满足资金的安全性并结合本项目的实际组织和实施，具体以本招标文件为准。</w:t>
      </w:r>
    </w:p>
    <w:p w14:paraId="780F581E">
      <w:pPr>
        <w:widowControl/>
        <w:numPr>
          <w:ilvl w:val="1"/>
          <w:numId w:val="5"/>
        </w:numPr>
        <w:tabs>
          <w:tab w:val="left" w:pos="-105"/>
          <w:tab w:val="left" w:pos="210"/>
          <w:tab w:val="left" w:pos="420"/>
        </w:tabs>
        <w:snapToGrid w:val="0"/>
        <w:spacing w:line="360" w:lineRule="auto"/>
        <w:ind w:left="0" w:firstLine="0"/>
        <w:jc w:val="left"/>
        <w:rPr>
          <w:rFonts w:hint="eastAsia" w:ascii="宋体" w:hAnsi="宋体" w:eastAsia="宋体" w:cs="宋体"/>
          <w:bCs/>
          <w:color w:val="000000" w:themeColor="text1"/>
          <w:kern w:val="28"/>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资金来源</w:t>
      </w:r>
      <w:r>
        <w:rPr>
          <w:rFonts w:hint="eastAsia" w:ascii="宋体" w:hAnsi="宋体" w:eastAsia="宋体" w:cs="宋体"/>
          <w:bCs/>
          <w:color w:val="000000" w:themeColor="text1"/>
          <w:kern w:val="28"/>
          <w:sz w:val="24"/>
          <w:szCs w:val="24"/>
          <w14:textFill>
            <w14:solidFill>
              <w14:schemeClr w14:val="tx1"/>
            </w14:solidFill>
          </w14:textFill>
        </w:rPr>
        <w:t>：</w:t>
      </w:r>
      <w:r>
        <w:rPr>
          <w:rFonts w:hint="eastAsia" w:ascii="宋体" w:hAnsi="宋体" w:eastAsia="宋体" w:cs="宋体"/>
          <w:bCs/>
          <w:color w:val="000000" w:themeColor="text1"/>
          <w:kern w:val="28"/>
          <w:sz w:val="24"/>
          <w:szCs w:val="24"/>
          <w:lang w:val="en-US" w:eastAsia="zh-CN"/>
          <w14:textFill>
            <w14:solidFill>
              <w14:schemeClr w14:val="tx1"/>
            </w14:solidFill>
          </w14:textFill>
        </w:rPr>
        <w:t>自由资金</w:t>
      </w:r>
      <w:r>
        <w:rPr>
          <w:rFonts w:hint="eastAsia" w:ascii="宋体" w:hAnsi="宋体" w:eastAsia="宋体" w:cs="宋体"/>
          <w:bCs/>
          <w:color w:val="000000" w:themeColor="text1"/>
          <w:kern w:val="28"/>
          <w:sz w:val="24"/>
          <w:szCs w:val="24"/>
          <w14:textFill>
            <w14:solidFill>
              <w14:schemeClr w14:val="tx1"/>
            </w14:solidFill>
          </w14:textFill>
        </w:rPr>
        <w:t>。</w:t>
      </w:r>
    </w:p>
    <w:p w14:paraId="467BF7B9">
      <w:pPr>
        <w:widowControl/>
        <w:numPr>
          <w:ilvl w:val="1"/>
          <w:numId w:val="5"/>
        </w:numPr>
        <w:tabs>
          <w:tab w:val="left" w:pos="-105"/>
          <w:tab w:val="left" w:pos="210"/>
          <w:tab w:val="left" w:pos="420"/>
        </w:tabs>
        <w:snapToGrid w:val="0"/>
        <w:spacing w:line="360" w:lineRule="auto"/>
        <w:ind w:left="0" w:firstLine="0"/>
        <w:jc w:val="left"/>
        <w:rPr>
          <w:rFonts w:hint="eastAsia" w:ascii="宋体" w:hAnsi="宋体" w:eastAsia="宋体" w:cs="宋体"/>
          <w:bCs/>
          <w:color w:val="000000" w:themeColor="text1"/>
          <w:kern w:val="28"/>
          <w:sz w:val="24"/>
          <w:szCs w:val="24"/>
          <w14:textFill>
            <w14:solidFill>
              <w14:schemeClr w14:val="tx1"/>
            </w14:solidFill>
          </w14:textFill>
        </w:rPr>
      </w:pPr>
      <w:r>
        <w:rPr>
          <w:rFonts w:hint="eastAsia" w:ascii="宋体" w:hAnsi="宋体" w:eastAsia="宋体" w:cs="宋体"/>
          <w:bCs/>
          <w:color w:val="000000" w:themeColor="text1"/>
          <w:kern w:val="28"/>
          <w:sz w:val="24"/>
          <w:szCs w:val="24"/>
          <w14:textFill>
            <w14:solidFill>
              <w14:schemeClr w14:val="tx1"/>
            </w14:solidFill>
          </w14:textFill>
        </w:rPr>
        <w:t>投标人应独立投标，不得联合投标或借用资质。</w:t>
      </w:r>
    </w:p>
    <w:p w14:paraId="4AA6A366">
      <w:pPr>
        <w:widowControl/>
        <w:numPr>
          <w:ilvl w:val="1"/>
          <w:numId w:val="5"/>
        </w:numPr>
        <w:tabs>
          <w:tab w:val="left" w:pos="-105"/>
          <w:tab w:val="left" w:pos="210"/>
          <w:tab w:val="left" w:pos="420"/>
        </w:tabs>
        <w:snapToGrid w:val="0"/>
        <w:spacing w:line="360" w:lineRule="auto"/>
        <w:ind w:left="0" w:firstLine="0"/>
        <w:jc w:val="left"/>
        <w:rPr>
          <w:rFonts w:hint="eastAsia" w:ascii="宋体" w:hAnsi="宋体" w:eastAsia="宋体" w:cs="宋体"/>
          <w:bCs/>
          <w:color w:val="000000" w:themeColor="text1"/>
          <w:kern w:val="28"/>
          <w:sz w:val="24"/>
          <w:szCs w:val="24"/>
          <w14:textFill>
            <w14:solidFill>
              <w14:schemeClr w14:val="tx1"/>
            </w14:solidFill>
          </w14:textFill>
        </w:rPr>
      </w:pPr>
      <w:r>
        <w:rPr>
          <w:rFonts w:hint="eastAsia" w:ascii="宋体" w:hAnsi="宋体" w:eastAsia="宋体" w:cs="宋体"/>
          <w:bCs/>
          <w:color w:val="000000" w:themeColor="text1"/>
          <w:kern w:val="28"/>
          <w:sz w:val="24"/>
          <w:szCs w:val="24"/>
          <w14:textFill>
            <w14:solidFill>
              <w14:schemeClr w14:val="tx1"/>
            </w14:solidFill>
          </w14:textFill>
        </w:rPr>
        <w:t>本次招标标的为</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2025年度苍南县测绘院公款竞争性存放项目</w:t>
      </w:r>
      <w:r>
        <w:rPr>
          <w:rFonts w:hint="eastAsia" w:ascii="宋体" w:hAnsi="宋体" w:eastAsia="宋体" w:cs="宋体"/>
          <w:bCs/>
          <w:color w:val="000000" w:themeColor="text1"/>
          <w:kern w:val="28"/>
          <w:sz w:val="24"/>
          <w:szCs w:val="24"/>
          <w14:textFill>
            <w14:solidFill>
              <w14:schemeClr w14:val="tx1"/>
            </w14:solidFill>
          </w14:textFill>
        </w:rPr>
        <w:t>。</w:t>
      </w:r>
    </w:p>
    <w:p w14:paraId="3DF3C04C">
      <w:pPr>
        <w:widowControl/>
        <w:numPr>
          <w:ilvl w:val="1"/>
          <w:numId w:val="5"/>
        </w:numPr>
        <w:tabs>
          <w:tab w:val="left" w:pos="-105"/>
          <w:tab w:val="left" w:pos="210"/>
          <w:tab w:val="left" w:pos="420"/>
        </w:tabs>
        <w:snapToGrid w:val="0"/>
        <w:spacing w:line="360" w:lineRule="auto"/>
        <w:ind w:left="0" w:firstLine="0"/>
        <w:jc w:val="left"/>
        <w:rPr>
          <w:rFonts w:hint="eastAsia" w:ascii="宋体" w:hAnsi="宋体" w:eastAsia="宋体" w:cs="宋体"/>
          <w:bCs/>
          <w:color w:val="000000" w:themeColor="text1"/>
          <w:kern w:val="28"/>
          <w:sz w:val="24"/>
          <w:szCs w:val="24"/>
          <w14:textFill>
            <w14:solidFill>
              <w14:schemeClr w14:val="tx1"/>
            </w14:solidFill>
          </w14:textFill>
        </w:rPr>
      </w:pPr>
      <w:r>
        <w:rPr>
          <w:rFonts w:hint="eastAsia" w:ascii="宋体" w:hAnsi="宋体" w:eastAsia="宋体" w:cs="宋体"/>
          <w:bCs/>
          <w:color w:val="000000" w:themeColor="text1"/>
          <w:kern w:val="28"/>
          <w:sz w:val="24"/>
          <w:szCs w:val="24"/>
          <w14:textFill>
            <w14:solidFill>
              <w14:schemeClr w14:val="tx1"/>
            </w14:solidFill>
          </w14:textFill>
        </w:rPr>
        <w:t>主要招标范围及内容包括：</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分成2个标段（</w:t>
      </w:r>
      <w:r>
        <w:rPr>
          <w:rFonts w:hint="eastAsia" w:hAnsi="宋体" w:cs="宋体"/>
          <w:b w:val="0"/>
          <w:bCs/>
          <w:color w:val="000000" w:themeColor="text1"/>
          <w:kern w:val="2"/>
          <w:sz w:val="24"/>
          <w:szCs w:val="24"/>
          <w:highlight w:val="none"/>
          <w:lang w:val="en-US" w:eastAsia="zh-CN" w:bidi="ar-SA"/>
          <w14:textFill>
            <w14:solidFill>
              <w14:schemeClr w14:val="tx1"/>
            </w14:solidFill>
          </w14:textFill>
        </w:rPr>
        <w:t>1700</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万元），标段一：</w:t>
      </w:r>
      <w:r>
        <w:rPr>
          <w:rFonts w:hint="eastAsia" w:hAnsi="宋体" w:cs="宋体"/>
          <w:b w:val="0"/>
          <w:bCs/>
          <w:color w:val="000000" w:themeColor="text1"/>
          <w:kern w:val="2"/>
          <w:sz w:val="24"/>
          <w:szCs w:val="24"/>
          <w:highlight w:val="none"/>
          <w:lang w:val="en-US" w:eastAsia="zh-CN" w:bidi="ar-SA"/>
          <w14:textFill>
            <w14:solidFill>
              <w14:schemeClr w14:val="tx1"/>
            </w14:solidFill>
          </w14:textFill>
        </w:rPr>
        <w:t>1000</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万元、标段二：</w:t>
      </w:r>
      <w:r>
        <w:rPr>
          <w:rFonts w:hint="eastAsia" w:hAnsi="宋体" w:cs="宋体"/>
          <w:b w:val="0"/>
          <w:bCs/>
          <w:color w:val="000000" w:themeColor="text1"/>
          <w:kern w:val="2"/>
          <w:sz w:val="24"/>
          <w:szCs w:val="24"/>
          <w:highlight w:val="none"/>
          <w:lang w:val="en-US" w:eastAsia="zh-CN" w:bidi="ar-SA"/>
          <w14:textFill>
            <w14:solidFill>
              <w14:schemeClr w14:val="tx1"/>
            </w14:solidFill>
          </w14:textFill>
        </w:rPr>
        <w:t>700</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万元。</w:t>
      </w:r>
    </w:p>
    <w:p w14:paraId="7D210522">
      <w:pPr>
        <w:widowControl/>
        <w:numPr>
          <w:ilvl w:val="0"/>
          <w:numId w:val="0"/>
        </w:numPr>
        <w:tabs>
          <w:tab w:val="left" w:pos="-105"/>
          <w:tab w:val="left" w:pos="210"/>
          <w:tab w:val="left" w:pos="420"/>
        </w:tabs>
        <w:snapToGrid w:val="0"/>
        <w:spacing w:line="360" w:lineRule="auto"/>
        <w:ind w:leftChars="0" w:firstLine="482" w:firstLineChars="200"/>
        <w:jc w:val="left"/>
        <w:rPr>
          <w:rFonts w:hint="eastAsia" w:ascii="宋体" w:hAnsi="宋体" w:eastAsia="宋体" w:cs="宋体"/>
          <w:b/>
          <w:bCs w:val="0"/>
          <w:color w:val="000000" w:themeColor="text1"/>
          <w:kern w:val="28"/>
          <w:sz w:val="24"/>
          <w:szCs w:val="24"/>
          <w14:textFill>
            <w14:solidFill>
              <w14:schemeClr w14:val="tx1"/>
            </w14:solidFill>
          </w14:textFill>
        </w:rPr>
      </w:pPr>
      <w:r>
        <w:rPr>
          <w:rFonts w:hint="eastAsia" w:ascii="宋体" w:hAnsi="宋体" w:eastAsia="宋体" w:cs="宋体"/>
          <w:b/>
          <w:bCs w:val="0"/>
          <w:color w:val="000000" w:themeColor="text1"/>
          <w:kern w:val="28"/>
          <w:sz w:val="24"/>
          <w:szCs w:val="24"/>
          <w14:textFill>
            <w14:solidFill>
              <w14:schemeClr w14:val="tx1"/>
            </w14:solidFill>
          </w14:textFill>
        </w:rPr>
        <w:t>注：</w:t>
      </w:r>
    </w:p>
    <w:p w14:paraId="05D17764">
      <w:pPr>
        <w:widowControl/>
        <w:numPr>
          <w:ilvl w:val="0"/>
          <w:numId w:val="0"/>
        </w:numPr>
        <w:tabs>
          <w:tab w:val="left" w:pos="-105"/>
          <w:tab w:val="left" w:pos="210"/>
          <w:tab w:val="left" w:pos="420"/>
        </w:tabs>
        <w:snapToGrid w:val="0"/>
        <w:spacing w:line="360" w:lineRule="auto"/>
        <w:ind w:leftChars="0" w:firstLine="482" w:firstLineChars="200"/>
        <w:jc w:val="left"/>
        <w:rPr>
          <w:rFonts w:hint="eastAsia" w:ascii="宋体" w:hAnsi="宋体" w:eastAsia="宋体" w:cs="宋体"/>
          <w:b/>
          <w:bCs w:val="0"/>
          <w:color w:val="000000" w:themeColor="text1"/>
          <w:kern w:val="28"/>
          <w:sz w:val="24"/>
          <w:szCs w:val="24"/>
          <w:lang w:eastAsia="zh-CN"/>
          <w14:textFill>
            <w14:solidFill>
              <w14:schemeClr w14:val="tx1"/>
            </w14:solidFill>
          </w14:textFill>
        </w:rPr>
      </w:pPr>
      <w:r>
        <w:rPr>
          <w:rFonts w:hint="eastAsia" w:ascii="宋体" w:hAnsi="宋体" w:eastAsia="宋体" w:cs="宋体"/>
          <w:b/>
          <w:bCs w:val="0"/>
          <w:color w:val="000000" w:themeColor="text1"/>
          <w:kern w:val="28"/>
          <w:sz w:val="24"/>
          <w:szCs w:val="24"/>
          <w14:textFill>
            <w14:solidFill>
              <w14:schemeClr w14:val="tx1"/>
            </w14:solidFill>
          </w14:textFill>
        </w:rPr>
        <w:t>①</w:t>
      </w:r>
      <w:r>
        <w:rPr>
          <w:rFonts w:hint="eastAsia" w:ascii="宋体" w:hAnsi="宋体" w:eastAsia="宋体" w:cs="宋体"/>
          <w:b/>
          <w:bCs w:val="0"/>
          <w:color w:val="000000" w:themeColor="text1"/>
          <w:kern w:val="28"/>
          <w:sz w:val="24"/>
          <w:szCs w:val="24"/>
          <w:lang w:eastAsia="zh-CN"/>
          <w14:textFill>
            <w14:solidFill>
              <w14:schemeClr w14:val="tx1"/>
            </w14:solidFill>
          </w14:textFill>
        </w:rPr>
        <w:t>中标后资金具体存入时间以招标人指定的时间为准，中标人不得因存放金额增减、存入时间的变化而要求降低利率及服务内容。</w:t>
      </w:r>
    </w:p>
    <w:p w14:paraId="347C4007">
      <w:pPr>
        <w:widowControl/>
        <w:numPr>
          <w:ilvl w:val="0"/>
          <w:numId w:val="0"/>
        </w:numPr>
        <w:tabs>
          <w:tab w:val="left" w:pos="-105"/>
          <w:tab w:val="left" w:pos="210"/>
          <w:tab w:val="left" w:pos="420"/>
        </w:tabs>
        <w:snapToGrid w:val="0"/>
        <w:spacing w:line="360" w:lineRule="auto"/>
        <w:ind w:leftChars="0" w:firstLine="482" w:firstLineChars="200"/>
        <w:jc w:val="left"/>
        <w:rPr>
          <w:rFonts w:hint="eastAsia" w:ascii="宋体" w:hAnsi="宋体" w:eastAsia="宋体" w:cs="宋体"/>
          <w:b/>
          <w:bCs w:val="0"/>
          <w:color w:val="000000" w:themeColor="text1"/>
          <w:kern w:val="28"/>
          <w:sz w:val="24"/>
          <w:szCs w:val="24"/>
          <w:lang w:eastAsia="zh-CN"/>
          <w14:textFill>
            <w14:solidFill>
              <w14:schemeClr w14:val="tx1"/>
            </w14:solidFill>
          </w14:textFill>
        </w:rPr>
      </w:pPr>
      <w:r>
        <w:rPr>
          <w:rFonts w:hint="eastAsia" w:ascii="宋体" w:hAnsi="宋体" w:eastAsia="宋体" w:cs="宋体"/>
          <w:b/>
          <w:bCs w:val="0"/>
          <w:color w:val="000000" w:themeColor="text1"/>
          <w:kern w:val="28"/>
          <w:sz w:val="24"/>
          <w:szCs w:val="24"/>
          <w:lang w:eastAsia="zh-CN"/>
          <w14:textFill>
            <w14:solidFill>
              <w14:schemeClr w14:val="tx1"/>
            </w14:solidFill>
          </w14:textFill>
        </w:rPr>
        <w:t>②存放时间是以划转入账时间之日起定存</w:t>
      </w:r>
      <w:r>
        <w:rPr>
          <w:rFonts w:hint="eastAsia" w:ascii="宋体" w:hAnsi="宋体" w:eastAsia="宋体" w:cs="宋体"/>
          <w:b/>
          <w:bCs w:val="0"/>
          <w:color w:val="000000" w:themeColor="text1"/>
          <w:kern w:val="28"/>
          <w:sz w:val="24"/>
          <w:szCs w:val="24"/>
          <w:lang w:val="en-US" w:eastAsia="zh-CN"/>
          <w14:textFill>
            <w14:solidFill>
              <w14:schemeClr w14:val="tx1"/>
            </w14:solidFill>
          </w14:textFill>
        </w:rPr>
        <w:t>一</w:t>
      </w:r>
      <w:r>
        <w:rPr>
          <w:rFonts w:hint="eastAsia" w:ascii="宋体" w:hAnsi="宋体" w:eastAsia="宋体" w:cs="宋体"/>
          <w:b/>
          <w:bCs w:val="0"/>
          <w:color w:val="000000" w:themeColor="text1"/>
          <w:kern w:val="28"/>
          <w:sz w:val="24"/>
          <w:szCs w:val="24"/>
          <w:lang w:eastAsia="zh-CN"/>
          <w14:textFill>
            <w14:solidFill>
              <w14:schemeClr w14:val="tx1"/>
            </w14:solidFill>
          </w14:textFill>
        </w:rPr>
        <w:t>年。</w:t>
      </w:r>
    </w:p>
    <w:p w14:paraId="74DFFEF0">
      <w:pPr>
        <w:widowControl/>
        <w:numPr>
          <w:ilvl w:val="0"/>
          <w:numId w:val="0"/>
        </w:numPr>
        <w:tabs>
          <w:tab w:val="left" w:pos="-105"/>
          <w:tab w:val="left" w:pos="210"/>
          <w:tab w:val="left" w:pos="420"/>
        </w:tabs>
        <w:snapToGrid w:val="0"/>
        <w:spacing w:line="360" w:lineRule="auto"/>
        <w:ind w:leftChars="0" w:firstLine="482" w:firstLineChars="200"/>
        <w:jc w:val="left"/>
        <w:rPr>
          <w:rFonts w:hint="eastAsia" w:ascii="宋体" w:hAnsi="宋体" w:eastAsia="宋体" w:cs="宋体"/>
          <w:b/>
          <w:bCs w:val="0"/>
          <w:color w:val="000000" w:themeColor="text1"/>
          <w:kern w:val="28"/>
          <w:sz w:val="24"/>
          <w:szCs w:val="24"/>
          <w:lang w:val="en-US" w:eastAsia="zh-CN"/>
          <w14:textFill>
            <w14:solidFill>
              <w14:schemeClr w14:val="tx1"/>
            </w14:solidFill>
          </w14:textFill>
        </w:rPr>
      </w:pPr>
      <w:r>
        <w:rPr>
          <w:rFonts w:hint="eastAsia" w:ascii="宋体" w:hAnsi="宋体" w:eastAsia="宋体" w:cs="宋体"/>
          <w:b/>
          <w:bCs w:val="0"/>
          <w:color w:val="000000" w:themeColor="text1"/>
          <w:kern w:val="28"/>
          <w:sz w:val="24"/>
          <w:szCs w:val="24"/>
          <w:lang w:val="en-US" w:eastAsia="zh-CN"/>
          <w14:textFill>
            <w14:solidFill>
              <w14:schemeClr w14:val="tx1"/>
            </w14:solidFill>
          </w14:textFill>
        </w:rPr>
        <w:t>③招标人可以根据实际需求将中标金额划分成多个存单存入乙方指定办理定期存款的分支机构。</w:t>
      </w:r>
    </w:p>
    <w:p w14:paraId="132F6330">
      <w:pPr>
        <w:widowControl/>
        <w:numPr>
          <w:ilvl w:val="0"/>
          <w:numId w:val="0"/>
        </w:numPr>
        <w:tabs>
          <w:tab w:val="left" w:pos="618"/>
        </w:tabs>
        <w:snapToGrid w:val="0"/>
        <w:spacing w:line="360" w:lineRule="auto"/>
        <w:ind w:leftChars="0"/>
        <w:rPr>
          <w:rFonts w:hint="eastAsia" w:ascii="宋体" w:hAnsi="宋体" w:eastAsia="宋体" w:cs="宋体"/>
          <w:b/>
          <w:bCs/>
          <w:color w:val="000000" w:themeColor="text1"/>
          <w:kern w:val="0"/>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bidi="ar-SA"/>
          <w14:textFill>
            <w14:solidFill>
              <w14:schemeClr w14:val="tx1"/>
            </w14:solidFill>
          </w14:textFill>
        </w:rPr>
        <w:t>二、定义及解释</w:t>
      </w:r>
    </w:p>
    <w:p w14:paraId="5EB18033">
      <w:pPr>
        <w:widowControl/>
        <w:numPr>
          <w:ilvl w:val="1"/>
          <w:numId w:val="5"/>
        </w:numPr>
        <w:tabs>
          <w:tab w:val="left" w:pos="210"/>
          <w:tab w:val="left" w:pos="525"/>
        </w:tabs>
        <w:snapToGrid w:val="0"/>
        <w:spacing w:line="360" w:lineRule="auto"/>
        <w:ind w:left="0" w:firstLine="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招标人（招标人）：系指按有关规定，提出招标项目、进行招标的</w:t>
      </w:r>
      <w:r>
        <w:rPr>
          <w:rFonts w:hint="eastAsia" w:ascii="宋体" w:hAnsi="宋体" w:eastAsia="宋体" w:cs="宋体"/>
          <w:color w:val="000000" w:themeColor="text1"/>
          <w:sz w:val="24"/>
          <w:szCs w:val="24"/>
          <w:lang w:val="en-US" w:eastAsia="zh-CN"/>
          <w14:textFill>
            <w14:solidFill>
              <w14:schemeClr w14:val="tx1"/>
            </w14:solidFill>
          </w14:textFill>
        </w:rPr>
        <w:t>苍南县测绘院</w:t>
      </w:r>
      <w:r>
        <w:rPr>
          <w:rFonts w:hint="eastAsia" w:ascii="宋体" w:hAnsi="宋体" w:eastAsia="宋体" w:cs="宋体"/>
          <w:color w:val="000000" w:themeColor="text1"/>
          <w:sz w:val="24"/>
          <w:szCs w:val="24"/>
          <w14:textFill>
            <w14:solidFill>
              <w14:schemeClr w14:val="tx1"/>
            </w14:solidFill>
          </w14:textFill>
        </w:rPr>
        <w:t>。</w:t>
      </w:r>
    </w:p>
    <w:p w14:paraId="1CD05018">
      <w:pPr>
        <w:widowControl/>
        <w:numPr>
          <w:ilvl w:val="1"/>
          <w:numId w:val="5"/>
        </w:numPr>
        <w:tabs>
          <w:tab w:val="left" w:pos="0"/>
          <w:tab w:val="left" w:pos="105"/>
          <w:tab w:val="left" w:pos="525"/>
        </w:tabs>
        <w:snapToGrid w:val="0"/>
        <w:spacing w:line="360" w:lineRule="auto"/>
        <w:ind w:left="0" w:firstLine="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招标代理机构：系指依法受招标人委托，组织本次招标的浙江之信工程项目管理有限公司。</w:t>
      </w:r>
    </w:p>
    <w:p w14:paraId="7EA03D99">
      <w:pPr>
        <w:widowControl/>
        <w:numPr>
          <w:ilvl w:val="1"/>
          <w:numId w:val="5"/>
        </w:numPr>
        <w:tabs>
          <w:tab w:val="left" w:pos="567"/>
          <w:tab w:val="left" w:pos="618"/>
        </w:tabs>
        <w:snapToGrid w:val="0"/>
        <w:spacing w:line="360" w:lineRule="auto"/>
        <w:ind w:left="618" w:hanging="61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投标人：投标人是指响应本次招标并符合本招标公告投标资格要求的相应机构。</w:t>
      </w:r>
    </w:p>
    <w:p w14:paraId="4A01B4B5">
      <w:pPr>
        <w:widowControl/>
        <w:numPr>
          <w:ilvl w:val="1"/>
          <w:numId w:val="5"/>
        </w:numPr>
        <w:tabs>
          <w:tab w:val="left" w:pos="567"/>
          <w:tab w:val="left" w:pos="618"/>
        </w:tabs>
        <w:snapToGrid w:val="0"/>
        <w:spacing w:line="360" w:lineRule="auto"/>
        <w:ind w:left="618" w:hanging="61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中标人：系指在本次招标中中标的投标人。</w:t>
      </w:r>
    </w:p>
    <w:p w14:paraId="7F9117AC">
      <w:pPr>
        <w:widowControl/>
        <w:numPr>
          <w:ilvl w:val="1"/>
          <w:numId w:val="5"/>
        </w:numPr>
        <w:tabs>
          <w:tab w:val="left" w:pos="567"/>
          <w:tab w:val="left" w:pos="618"/>
        </w:tabs>
        <w:snapToGrid w:val="0"/>
        <w:spacing w:line="360" w:lineRule="auto"/>
        <w:ind w:left="618" w:hanging="61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评标委员会：组建的专门负责招标评审工作的临时性机构。</w:t>
      </w:r>
    </w:p>
    <w:p w14:paraId="788340CF">
      <w:pPr>
        <w:widowControl/>
        <w:numPr>
          <w:ilvl w:val="1"/>
          <w:numId w:val="5"/>
        </w:numPr>
        <w:tabs>
          <w:tab w:val="left" w:pos="567"/>
          <w:tab w:val="left" w:pos="618"/>
        </w:tabs>
        <w:snapToGrid w:val="0"/>
        <w:spacing w:line="360" w:lineRule="auto"/>
        <w:ind w:left="618" w:hanging="61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日期：指公历日；时间：指北京时间。</w:t>
      </w:r>
    </w:p>
    <w:p w14:paraId="39C0AE85">
      <w:pPr>
        <w:widowControl/>
        <w:numPr>
          <w:ilvl w:val="1"/>
          <w:numId w:val="5"/>
        </w:numPr>
        <w:tabs>
          <w:tab w:val="left" w:pos="567"/>
          <w:tab w:val="left" w:pos="618"/>
        </w:tabs>
        <w:snapToGrid w:val="0"/>
        <w:spacing w:line="360" w:lineRule="auto"/>
        <w:ind w:left="618" w:hanging="61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合同：指由招标所产生的合同或合约文件。</w:t>
      </w:r>
    </w:p>
    <w:p w14:paraId="53CAC9A4">
      <w:pPr>
        <w:widowControl/>
        <w:numPr>
          <w:ilvl w:val="1"/>
          <w:numId w:val="5"/>
        </w:numPr>
        <w:tabs>
          <w:tab w:val="left" w:pos="0"/>
          <w:tab w:val="left" w:pos="105"/>
          <w:tab w:val="left" w:pos="525"/>
        </w:tabs>
        <w:snapToGrid w:val="0"/>
        <w:spacing w:line="360" w:lineRule="auto"/>
        <w:ind w:left="0" w:firstLine="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招标文件中的标题或题名仅起引导作用，而不应视为对招标文件内容的理解和解释。</w:t>
      </w:r>
    </w:p>
    <w:p w14:paraId="62196621">
      <w:pPr>
        <w:widowControl/>
        <w:numPr>
          <w:ilvl w:val="1"/>
          <w:numId w:val="5"/>
        </w:numPr>
        <w:tabs>
          <w:tab w:val="left" w:pos="567"/>
          <w:tab w:val="left" w:pos="618"/>
        </w:tabs>
        <w:snapToGrid w:val="0"/>
        <w:spacing w:line="360" w:lineRule="auto"/>
        <w:ind w:left="618" w:hanging="61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0"/>
          <w:sz w:val="24"/>
          <w:szCs w:val="24"/>
          <w14:textFill>
            <w14:solidFill>
              <w14:schemeClr w14:val="tx1"/>
            </w14:solidFill>
          </w14:textFill>
        </w:rPr>
        <w:t>“书面形式”是指任何手写的、打印的或印刷的文件，包括电报和传真发送。</w:t>
      </w:r>
    </w:p>
    <w:p w14:paraId="28CEF710">
      <w:pPr>
        <w:widowControl/>
        <w:numPr>
          <w:ilvl w:val="0"/>
          <w:numId w:val="0"/>
        </w:numPr>
        <w:tabs>
          <w:tab w:val="left" w:pos="618"/>
        </w:tabs>
        <w:snapToGrid w:val="0"/>
        <w:spacing w:line="360" w:lineRule="auto"/>
        <w:ind w:leftChars="0"/>
        <w:rPr>
          <w:rFonts w:hint="eastAsia" w:ascii="宋体" w:hAnsi="宋体" w:eastAsia="宋体" w:cs="宋体"/>
          <w:b/>
          <w:bCs/>
          <w:color w:val="000000" w:themeColor="text1"/>
          <w:kern w:val="0"/>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bidi="ar-SA"/>
          <w14:textFill>
            <w14:solidFill>
              <w14:schemeClr w14:val="tx1"/>
            </w14:solidFill>
          </w14:textFill>
        </w:rPr>
        <w:t>三、其他</w:t>
      </w:r>
      <w:bookmarkEnd w:id="18"/>
      <w:bookmarkEnd w:id="19"/>
      <w:bookmarkEnd w:id="20"/>
      <w:bookmarkEnd w:id="21"/>
      <w:bookmarkEnd w:id="22"/>
      <w:bookmarkEnd w:id="23"/>
    </w:p>
    <w:p w14:paraId="315EE38B">
      <w:pPr>
        <w:ind w:firstLine="463" w:firstLineChars="19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1、投标银行必须在投标文件中对服务内容明确承诺，承诺内容必须达到本需求及招标文件其他条款的要求。</w:t>
      </w:r>
    </w:p>
    <w:p w14:paraId="1E7166A7">
      <w:pPr>
        <w:ind w:firstLine="463" w:firstLineChars="19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注：如中标后中标银行不能履行其投标文件中的承诺，招标单位可报请监管部门同意后，取消其中标资格，</w:t>
      </w:r>
      <w:r>
        <w:rPr>
          <w:rFonts w:hint="eastAsia" w:ascii="宋体" w:hAnsi="宋体" w:eastAsia="宋体" w:cs="宋体"/>
          <w:color w:val="000000" w:themeColor="text1"/>
          <w:sz w:val="24"/>
          <w:szCs w:val="24"/>
          <w:highlight w:val="none"/>
          <w:lang w:val="en-US" w:eastAsia="zh-CN"/>
          <w14:textFill>
            <w14:solidFill>
              <w14:schemeClr w14:val="tx1"/>
            </w14:solidFill>
          </w14:textFill>
        </w:rPr>
        <w:t>重新组织招标</w:t>
      </w:r>
      <w:r>
        <w:rPr>
          <w:rFonts w:hint="eastAsia" w:ascii="宋体" w:hAnsi="宋体" w:eastAsia="宋体" w:cs="宋体"/>
          <w:color w:val="000000" w:themeColor="text1"/>
          <w:sz w:val="24"/>
          <w:szCs w:val="24"/>
          <w:highlight w:val="none"/>
          <w14:textFill>
            <w14:solidFill>
              <w14:schemeClr w14:val="tx1"/>
            </w14:solidFill>
          </w14:textFill>
        </w:rPr>
        <w:t>。</w:t>
      </w:r>
    </w:p>
    <w:p w14:paraId="75B482C8">
      <w:pPr>
        <w:ind w:firstLine="465" w:firstLineChars="193"/>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2、中标银行出现以下情形之一的，招标单位有权提前收回存放公款（即协议终止条件）：</w:t>
      </w:r>
    </w:p>
    <w:p w14:paraId="012C8710">
      <w:pPr>
        <w:ind w:firstLine="463" w:firstLineChars="19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color w:val="000000" w:themeColor="text1"/>
          <w:sz w:val="24"/>
          <w:szCs w:val="24"/>
          <w:highlight w:val="none"/>
          <w:u w:val="none"/>
          <w14:textFill>
            <w14:solidFill>
              <w14:schemeClr w14:val="tx1"/>
            </w14:solidFill>
          </w14:textFill>
        </w:rPr>
        <w:t>（</w:t>
      </w:r>
      <w:r>
        <w:rPr>
          <w:rFonts w:hint="eastAsia" w:ascii="宋体" w:hAnsi="宋体" w:eastAsia="宋体" w:cs="宋体"/>
          <w:b w:val="0"/>
          <w:color w:val="000000" w:themeColor="text1"/>
          <w:sz w:val="24"/>
          <w:szCs w:val="24"/>
          <w:highlight w:val="none"/>
          <w:u w:val="none"/>
          <w:lang w:eastAsia="zh-CN"/>
          <w14:textFill>
            <w14:solidFill>
              <w14:schemeClr w14:val="tx1"/>
            </w14:solidFill>
          </w14:textFill>
        </w:rPr>
        <w:t>1</w:t>
      </w:r>
      <w:r>
        <w:rPr>
          <w:rFonts w:hint="eastAsia" w:ascii="宋体" w:hAnsi="宋体" w:eastAsia="宋体" w:cs="宋体"/>
          <w:b w:val="0"/>
          <w:color w:val="000000" w:themeColor="text1"/>
          <w:sz w:val="24"/>
          <w:szCs w:val="24"/>
          <w:highlight w:val="none"/>
          <w:u w:val="none"/>
          <w14:textFill>
            <w14:solidFill>
              <w14:schemeClr w14:val="tx1"/>
            </w14:solidFill>
          </w14:textFill>
        </w:rPr>
        <w:t>）未</w:t>
      </w:r>
      <w:r>
        <w:rPr>
          <w:rFonts w:hint="eastAsia" w:ascii="宋体" w:hAnsi="宋体" w:eastAsia="宋体" w:cs="宋体"/>
          <w:b w:val="0"/>
          <w:color w:val="000000" w:themeColor="text1"/>
          <w:sz w:val="24"/>
          <w:szCs w:val="24"/>
          <w:highlight w:val="none"/>
          <w:u w:val="none"/>
          <w:lang w:val="en-US" w:eastAsia="zh-CN"/>
          <w14:textFill>
            <w14:solidFill>
              <w14:schemeClr w14:val="tx1"/>
            </w14:solidFill>
          </w14:textFill>
        </w:rPr>
        <w:t>按</w:t>
      </w:r>
      <w:r>
        <w:rPr>
          <w:rFonts w:hint="eastAsia" w:ascii="宋体" w:hAnsi="宋体" w:eastAsia="宋体" w:cs="宋体"/>
          <w:b w:val="0"/>
          <w:color w:val="000000" w:themeColor="text1"/>
          <w:sz w:val="24"/>
          <w:szCs w:val="24"/>
          <w:highlight w:val="none"/>
          <w:u w:val="none"/>
          <w14:textFill>
            <w14:solidFill>
              <w14:schemeClr w14:val="tx1"/>
            </w14:solidFill>
          </w14:textFill>
        </w:rPr>
        <w:t>规定及时汇划</w:t>
      </w:r>
      <w:r>
        <w:rPr>
          <w:rFonts w:hint="eastAsia" w:ascii="宋体" w:hAnsi="宋体" w:eastAsia="宋体" w:cs="宋体"/>
          <w:b w:val="0"/>
          <w:color w:val="000000" w:themeColor="text1"/>
          <w:sz w:val="24"/>
          <w:szCs w:val="24"/>
          <w:highlight w:val="none"/>
          <w:u w:val="none"/>
          <w:lang w:val="en-US" w:eastAsia="zh-CN"/>
          <w14:textFill>
            <w14:solidFill>
              <w14:schemeClr w14:val="tx1"/>
            </w14:solidFill>
          </w14:textFill>
        </w:rPr>
        <w:t>利息</w:t>
      </w:r>
      <w:r>
        <w:rPr>
          <w:rFonts w:hint="eastAsia" w:ascii="宋体" w:hAnsi="宋体" w:eastAsia="宋体" w:cs="宋体"/>
          <w:b w:val="0"/>
          <w:color w:val="000000" w:themeColor="text1"/>
          <w:sz w:val="24"/>
          <w:szCs w:val="24"/>
          <w:highlight w:val="none"/>
          <w:u w:val="none"/>
          <w14:textFill>
            <w14:solidFill>
              <w14:schemeClr w14:val="tx1"/>
            </w14:solidFill>
          </w14:textFill>
        </w:rPr>
        <w:t>的；</w:t>
      </w:r>
    </w:p>
    <w:p w14:paraId="7AAFA104">
      <w:pPr>
        <w:ind w:firstLine="463" w:firstLineChars="19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color w:val="000000" w:themeColor="text1"/>
          <w:sz w:val="24"/>
          <w:szCs w:val="24"/>
          <w:highlight w:val="none"/>
          <w:u w:val="none"/>
          <w14:textFill>
            <w14:solidFill>
              <w14:schemeClr w14:val="tx1"/>
            </w14:solidFill>
          </w14:textFill>
        </w:rPr>
        <w:t>（</w:t>
      </w:r>
      <w:r>
        <w:rPr>
          <w:rFonts w:hint="eastAsia" w:ascii="宋体" w:hAnsi="宋体" w:eastAsia="宋体" w:cs="宋体"/>
          <w:b w:val="0"/>
          <w:color w:val="000000" w:themeColor="text1"/>
          <w:sz w:val="24"/>
          <w:szCs w:val="24"/>
          <w:highlight w:val="none"/>
          <w:u w:val="none"/>
          <w:lang w:eastAsia="zh-CN"/>
          <w14:textFill>
            <w14:solidFill>
              <w14:schemeClr w14:val="tx1"/>
            </w14:solidFill>
          </w14:textFill>
        </w:rPr>
        <w:t>2</w:t>
      </w:r>
      <w:r>
        <w:rPr>
          <w:rFonts w:hint="eastAsia" w:ascii="宋体" w:hAnsi="宋体" w:eastAsia="宋体" w:cs="宋体"/>
          <w:b w:val="0"/>
          <w:color w:val="000000" w:themeColor="text1"/>
          <w:sz w:val="24"/>
          <w:szCs w:val="24"/>
          <w:highlight w:val="none"/>
          <w:u w:val="none"/>
          <w14:textFill>
            <w14:solidFill>
              <w14:schemeClr w14:val="tx1"/>
            </w14:solidFill>
          </w14:textFill>
        </w:rPr>
        <w:t>）出现资金安全事故和重大违法违规，导致财务恶化或引起信用危机的；</w:t>
      </w:r>
    </w:p>
    <w:p w14:paraId="69EF5FD2">
      <w:pPr>
        <w:ind w:firstLine="463" w:firstLineChars="19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color w:val="000000" w:themeColor="text1"/>
          <w:sz w:val="24"/>
          <w:szCs w:val="24"/>
          <w:highlight w:val="none"/>
          <w:u w:val="none"/>
          <w14:textFill>
            <w14:solidFill>
              <w14:schemeClr w14:val="tx1"/>
            </w14:solidFill>
          </w14:textFill>
        </w:rPr>
        <w:t>（</w:t>
      </w:r>
      <w:r>
        <w:rPr>
          <w:rFonts w:hint="eastAsia" w:ascii="宋体" w:hAnsi="宋体" w:eastAsia="宋体" w:cs="宋体"/>
          <w:b w:val="0"/>
          <w:color w:val="000000" w:themeColor="text1"/>
          <w:sz w:val="24"/>
          <w:szCs w:val="24"/>
          <w:highlight w:val="none"/>
          <w:u w:val="none"/>
          <w:lang w:eastAsia="zh-CN"/>
          <w14:textFill>
            <w14:solidFill>
              <w14:schemeClr w14:val="tx1"/>
            </w14:solidFill>
          </w14:textFill>
        </w:rPr>
        <w:t>3</w:t>
      </w:r>
      <w:r>
        <w:rPr>
          <w:rFonts w:hint="eastAsia" w:ascii="宋体" w:hAnsi="宋体" w:eastAsia="宋体" w:cs="宋体"/>
          <w:b w:val="0"/>
          <w:color w:val="000000" w:themeColor="text1"/>
          <w:sz w:val="24"/>
          <w:szCs w:val="24"/>
          <w:highlight w:val="none"/>
          <w:u w:val="none"/>
          <w14:textFill>
            <w14:solidFill>
              <w14:schemeClr w14:val="tx1"/>
            </w14:solidFill>
          </w14:textFill>
        </w:rPr>
        <w:t>）监管评级降低,监管部门认为存在较大运营风险的；</w:t>
      </w:r>
    </w:p>
    <w:p w14:paraId="547E0488">
      <w:pPr>
        <w:ind w:firstLine="463" w:firstLineChars="19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color w:val="000000" w:themeColor="text1"/>
          <w:sz w:val="24"/>
          <w:szCs w:val="24"/>
          <w:highlight w:val="none"/>
          <w:u w:val="none"/>
          <w14:textFill>
            <w14:solidFill>
              <w14:schemeClr w14:val="tx1"/>
            </w14:solidFill>
          </w14:textFill>
        </w:rPr>
        <w:t>（</w:t>
      </w:r>
      <w:r>
        <w:rPr>
          <w:rFonts w:hint="eastAsia" w:ascii="宋体" w:hAnsi="宋体" w:eastAsia="宋体" w:cs="宋体"/>
          <w:b w:val="0"/>
          <w:color w:val="000000" w:themeColor="text1"/>
          <w:sz w:val="24"/>
          <w:szCs w:val="24"/>
          <w:highlight w:val="none"/>
          <w:u w:val="none"/>
          <w:lang w:eastAsia="zh-CN"/>
          <w14:textFill>
            <w14:solidFill>
              <w14:schemeClr w14:val="tx1"/>
            </w14:solidFill>
          </w14:textFill>
        </w:rPr>
        <w:t>4</w:t>
      </w:r>
      <w:r>
        <w:rPr>
          <w:rFonts w:hint="eastAsia" w:ascii="宋体" w:hAnsi="宋体" w:eastAsia="宋体" w:cs="宋体"/>
          <w:b w:val="0"/>
          <w:color w:val="000000" w:themeColor="text1"/>
          <w:sz w:val="24"/>
          <w:szCs w:val="24"/>
          <w:highlight w:val="none"/>
          <w:u w:val="none"/>
          <w14:textFill>
            <w14:solidFill>
              <w14:schemeClr w14:val="tx1"/>
            </w14:solidFill>
          </w14:textFill>
        </w:rPr>
        <w:t>）未遵守廉政承诺或者在资金存放中存在其他利益输送行为的；</w:t>
      </w:r>
    </w:p>
    <w:p w14:paraId="401D1739">
      <w:pPr>
        <w:ind w:firstLine="463" w:firstLineChars="19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color w:val="000000" w:themeColor="text1"/>
          <w:sz w:val="24"/>
          <w:szCs w:val="24"/>
          <w:highlight w:val="none"/>
          <w:u w:val="none"/>
          <w14:textFill>
            <w14:solidFill>
              <w14:schemeClr w14:val="tx1"/>
            </w14:solidFill>
          </w14:textFill>
        </w:rPr>
        <w:t>（</w:t>
      </w:r>
      <w:r>
        <w:rPr>
          <w:rFonts w:hint="eastAsia" w:ascii="宋体" w:hAnsi="宋体" w:eastAsia="宋体" w:cs="宋体"/>
          <w:b w:val="0"/>
          <w:color w:val="000000" w:themeColor="text1"/>
          <w:sz w:val="24"/>
          <w:szCs w:val="24"/>
          <w:highlight w:val="none"/>
          <w:u w:val="none"/>
          <w:lang w:eastAsia="zh-CN"/>
          <w14:textFill>
            <w14:solidFill>
              <w14:schemeClr w14:val="tx1"/>
            </w14:solidFill>
          </w14:textFill>
        </w:rPr>
        <w:t>5</w:t>
      </w:r>
      <w:r>
        <w:rPr>
          <w:rFonts w:hint="eastAsia" w:ascii="宋体" w:hAnsi="宋体" w:eastAsia="宋体" w:cs="宋体"/>
          <w:b w:val="0"/>
          <w:color w:val="000000" w:themeColor="text1"/>
          <w:sz w:val="24"/>
          <w:szCs w:val="24"/>
          <w:highlight w:val="none"/>
          <w:u w:val="none"/>
          <w14:textFill>
            <w14:solidFill>
              <w14:schemeClr w14:val="tx1"/>
            </w14:solidFill>
          </w14:textFill>
        </w:rPr>
        <w:t>）未</w:t>
      </w:r>
      <w:r>
        <w:rPr>
          <w:rFonts w:hint="eastAsia" w:ascii="宋体" w:hAnsi="宋体" w:eastAsia="宋体" w:cs="宋体"/>
          <w:b w:val="0"/>
          <w:color w:val="000000" w:themeColor="text1"/>
          <w:spacing w:val="0"/>
          <w:sz w:val="24"/>
          <w:szCs w:val="24"/>
          <w:highlight w:val="none"/>
          <w:u w:val="none"/>
          <w14:textFill>
            <w14:solidFill>
              <w14:schemeClr w14:val="tx1"/>
            </w14:solidFill>
          </w14:textFill>
        </w:rPr>
        <w:t>按照中标存款协议履行相应的责任和义务的；</w:t>
      </w:r>
    </w:p>
    <w:p w14:paraId="1D5203DB">
      <w:pPr>
        <w:ind w:firstLine="463" w:firstLineChars="19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color w:val="000000" w:themeColor="text1"/>
          <w:spacing w:val="0"/>
          <w:sz w:val="24"/>
          <w:szCs w:val="24"/>
          <w:highlight w:val="none"/>
          <w:u w:val="none"/>
          <w14:textFill>
            <w14:solidFill>
              <w14:schemeClr w14:val="tx1"/>
            </w14:solidFill>
          </w14:textFill>
        </w:rPr>
        <w:t>（</w:t>
      </w:r>
      <w:r>
        <w:rPr>
          <w:rFonts w:hint="eastAsia" w:ascii="宋体" w:hAnsi="宋体" w:eastAsia="宋体" w:cs="宋体"/>
          <w:b w:val="0"/>
          <w:color w:val="000000" w:themeColor="text1"/>
          <w:spacing w:val="0"/>
          <w:sz w:val="24"/>
          <w:szCs w:val="24"/>
          <w:highlight w:val="none"/>
          <w:u w:val="none"/>
          <w:lang w:eastAsia="zh-CN"/>
          <w14:textFill>
            <w14:solidFill>
              <w14:schemeClr w14:val="tx1"/>
            </w14:solidFill>
          </w14:textFill>
        </w:rPr>
        <w:t>6</w:t>
      </w:r>
      <w:r>
        <w:rPr>
          <w:rFonts w:hint="eastAsia" w:ascii="宋体" w:hAnsi="宋体" w:eastAsia="宋体" w:cs="宋体"/>
          <w:b w:val="0"/>
          <w:color w:val="000000" w:themeColor="text1"/>
          <w:spacing w:val="0"/>
          <w:sz w:val="24"/>
          <w:szCs w:val="24"/>
          <w:highlight w:val="none"/>
          <w:u w:val="none"/>
          <w14:textFill>
            <w14:solidFill>
              <w14:schemeClr w14:val="tx1"/>
            </w14:solidFill>
          </w14:textFill>
        </w:rPr>
        <w:t>）存在弄虚作假等严重不正当竞争行为的；</w:t>
      </w:r>
    </w:p>
    <w:p w14:paraId="07F71C1E">
      <w:pPr>
        <w:ind w:firstLine="463" w:firstLineChars="19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color w:val="000000" w:themeColor="text1"/>
          <w:spacing w:val="0"/>
          <w:sz w:val="24"/>
          <w:szCs w:val="24"/>
          <w:highlight w:val="none"/>
          <w:u w:val="none"/>
          <w14:textFill>
            <w14:solidFill>
              <w14:schemeClr w14:val="tx1"/>
            </w14:solidFill>
          </w14:textFill>
        </w:rPr>
        <w:t>（</w:t>
      </w:r>
      <w:r>
        <w:rPr>
          <w:rFonts w:hint="eastAsia" w:ascii="宋体" w:hAnsi="宋体" w:eastAsia="宋体" w:cs="宋体"/>
          <w:b w:val="0"/>
          <w:color w:val="000000" w:themeColor="text1"/>
          <w:spacing w:val="0"/>
          <w:sz w:val="24"/>
          <w:szCs w:val="24"/>
          <w:highlight w:val="none"/>
          <w:u w:val="none"/>
          <w:lang w:eastAsia="zh-CN"/>
          <w14:textFill>
            <w14:solidFill>
              <w14:schemeClr w14:val="tx1"/>
            </w14:solidFill>
          </w14:textFill>
        </w:rPr>
        <w:t>7</w:t>
      </w:r>
      <w:r>
        <w:rPr>
          <w:rFonts w:hint="eastAsia" w:ascii="宋体" w:hAnsi="宋体" w:eastAsia="宋体" w:cs="宋体"/>
          <w:b w:val="0"/>
          <w:color w:val="000000" w:themeColor="text1"/>
          <w:spacing w:val="0"/>
          <w:sz w:val="24"/>
          <w:szCs w:val="24"/>
          <w:highlight w:val="none"/>
          <w:u w:val="none"/>
          <w14:textFill>
            <w14:solidFill>
              <w14:schemeClr w14:val="tx1"/>
            </w14:solidFill>
          </w14:textFill>
        </w:rPr>
        <w:t>）可能危及资金安全的其他情况。</w:t>
      </w:r>
    </w:p>
    <w:p w14:paraId="66317964">
      <w:pPr>
        <w:numPr>
          <w:ilvl w:val="0"/>
          <w:numId w:val="0"/>
        </w:numPr>
        <w:rPr>
          <w:rFonts w:hint="eastAsia" w:ascii="宋体" w:hAnsi="宋体" w:eastAsia="宋体" w:cs="宋体"/>
          <w:color w:val="000000" w:themeColor="text1"/>
          <w:lang w:eastAsia="zh-CN"/>
          <w14:textFill>
            <w14:solidFill>
              <w14:schemeClr w14:val="tx1"/>
            </w14:solidFill>
          </w14:textFill>
        </w:rPr>
      </w:pPr>
    </w:p>
    <w:p w14:paraId="69985096">
      <w:pPr>
        <w:pStyle w:val="37"/>
        <w:rPr>
          <w:rFonts w:hint="eastAsia" w:ascii="宋体" w:hAnsi="宋体" w:eastAsia="宋体" w:cs="宋体"/>
          <w:color w:val="000000" w:themeColor="text1"/>
          <w:highlight w:val="none"/>
          <w14:textFill>
            <w14:solidFill>
              <w14:schemeClr w14:val="tx1"/>
            </w14:solidFill>
          </w14:textFill>
        </w:rPr>
      </w:pPr>
      <w:bookmarkStart w:id="24" w:name="_Toc424164153"/>
      <w:bookmarkStart w:id="25" w:name="_Toc13673"/>
      <w:bookmarkStart w:id="26" w:name="_Toc452032116"/>
      <w:bookmarkStart w:id="27" w:name="_Toc446950602"/>
      <w:bookmarkStart w:id="28" w:name="_Toc440162785"/>
      <w:bookmarkStart w:id="29" w:name="_Toc18468"/>
      <w:bookmarkStart w:id="30" w:name="_Toc25735"/>
      <w:bookmarkStart w:id="31" w:name="_Toc6241"/>
      <w:bookmarkStart w:id="32" w:name="_Toc16691"/>
      <w:r>
        <w:rPr>
          <w:rFonts w:hint="eastAsia" w:ascii="宋体" w:hAnsi="宋体" w:eastAsia="宋体" w:cs="宋体"/>
          <w:color w:val="000000" w:themeColor="text1"/>
          <w:highlight w:val="none"/>
          <w14:textFill>
            <w14:solidFill>
              <w14:schemeClr w14:val="tx1"/>
            </w14:solidFill>
          </w14:textFill>
        </w:rPr>
        <w:br w:type="page"/>
      </w:r>
      <w:r>
        <w:rPr>
          <w:rFonts w:hint="eastAsia" w:ascii="宋体" w:hAnsi="宋体" w:eastAsia="宋体" w:cs="宋体"/>
          <w:color w:val="000000" w:themeColor="text1"/>
          <w:highlight w:val="none"/>
          <w14:textFill>
            <w14:solidFill>
              <w14:schemeClr w14:val="tx1"/>
            </w14:solidFill>
          </w14:textFill>
        </w:rPr>
        <w:t>第三章 投标须知</w:t>
      </w:r>
      <w:bookmarkEnd w:id="24"/>
      <w:bookmarkEnd w:id="25"/>
      <w:bookmarkEnd w:id="26"/>
      <w:bookmarkEnd w:id="27"/>
      <w:bookmarkEnd w:id="28"/>
      <w:bookmarkEnd w:id="29"/>
      <w:bookmarkEnd w:id="30"/>
      <w:bookmarkEnd w:id="31"/>
      <w:bookmarkEnd w:id="32"/>
    </w:p>
    <w:p w14:paraId="0B004D1A">
      <w:pPr>
        <w:spacing w:after="313" w:afterLines="100" w:line="400" w:lineRule="exact"/>
        <w:jc w:val="cente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8"/>
          <w:highlight w:val="none"/>
          <w14:textFill>
            <w14:solidFill>
              <w14:schemeClr w14:val="tx1"/>
            </w14:solidFill>
          </w14:textFill>
        </w:rPr>
        <w:t>投标须知前附表</w:t>
      </w:r>
    </w:p>
    <w:tbl>
      <w:tblPr>
        <w:tblStyle w:val="39"/>
        <w:tblW w:w="891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565"/>
        <w:gridCol w:w="6677"/>
      </w:tblGrid>
      <w:tr w14:paraId="27E016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675" w:type="dxa"/>
            <w:noWrap w:val="0"/>
            <w:vAlign w:val="center"/>
          </w:tcPr>
          <w:p w14:paraId="02DAB715">
            <w:pPr>
              <w:spacing w:line="276" w:lineRule="auto"/>
              <w:jc w:val="center"/>
              <w:rPr>
                <w:rFonts w:hint="eastAsia" w:ascii="宋体" w:hAnsi="宋体" w:eastAsia="宋体" w:cs="宋体"/>
                <w:b/>
                <w:color w:val="000000" w:themeColor="text1"/>
                <w:w w:val="90"/>
                <w:sz w:val="24"/>
                <w:szCs w:val="24"/>
                <w:highlight w:val="none"/>
                <w14:textFill>
                  <w14:solidFill>
                    <w14:schemeClr w14:val="tx1"/>
                  </w14:solidFill>
                </w14:textFill>
              </w:rPr>
            </w:pPr>
            <w:r>
              <w:rPr>
                <w:rFonts w:hint="eastAsia" w:ascii="宋体" w:hAnsi="宋体" w:eastAsia="宋体" w:cs="宋体"/>
                <w:b/>
                <w:color w:val="000000" w:themeColor="text1"/>
                <w:w w:val="90"/>
                <w:sz w:val="24"/>
                <w:szCs w:val="24"/>
                <w:highlight w:val="none"/>
                <w14:textFill>
                  <w14:solidFill>
                    <w14:schemeClr w14:val="tx1"/>
                  </w14:solidFill>
                </w14:textFill>
              </w:rPr>
              <w:t>序号</w:t>
            </w:r>
          </w:p>
        </w:tc>
        <w:tc>
          <w:tcPr>
            <w:tcW w:w="1565" w:type="dxa"/>
            <w:noWrap w:val="0"/>
            <w:vAlign w:val="center"/>
          </w:tcPr>
          <w:p w14:paraId="28CA66A6">
            <w:pPr>
              <w:spacing w:line="276" w:lineRule="auto"/>
              <w:jc w:val="center"/>
              <w:rPr>
                <w:rFonts w:hint="eastAsia" w:ascii="宋体" w:hAnsi="宋体" w:eastAsia="宋体" w:cs="宋体"/>
                <w:b/>
                <w:color w:val="000000" w:themeColor="text1"/>
                <w:w w:val="90"/>
                <w:sz w:val="24"/>
                <w:szCs w:val="24"/>
                <w:highlight w:val="none"/>
                <w14:textFill>
                  <w14:solidFill>
                    <w14:schemeClr w14:val="tx1"/>
                  </w14:solidFill>
                </w14:textFill>
              </w:rPr>
            </w:pPr>
            <w:r>
              <w:rPr>
                <w:rFonts w:hint="eastAsia" w:ascii="宋体" w:hAnsi="宋体" w:eastAsia="宋体" w:cs="宋体"/>
                <w:b/>
                <w:color w:val="000000" w:themeColor="text1"/>
                <w:w w:val="90"/>
                <w:sz w:val="24"/>
                <w:szCs w:val="24"/>
                <w:highlight w:val="none"/>
                <w14:textFill>
                  <w14:solidFill>
                    <w14:schemeClr w14:val="tx1"/>
                  </w14:solidFill>
                </w14:textFill>
              </w:rPr>
              <w:t>内容</w:t>
            </w:r>
          </w:p>
        </w:tc>
        <w:tc>
          <w:tcPr>
            <w:tcW w:w="6677" w:type="dxa"/>
            <w:noWrap w:val="0"/>
            <w:vAlign w:val="center"/>
          </w:tcPr>
          <w:p w14:paraId="4D1B797C">
            <w:pPr>
              <w:spacing w:line="276" w:lineRule="auto"/>
              <w:jc w:val="center"/>
              <w:rPr>
                <w:rFonts w:hint="eastAsia" w:ascii="宋体" w:hAnsi="宋体" w:eastAsia="宋体" w:cs="宋体"/>
                <w:b/>
                <w:color w:val="000000" w:themeColor="text1"/>
                <w:w w:val="90"/>
                <w:sz w:val="24"/>
                <w:szCs w:val="24"/>
                <w:highlight w:val="none"/>
                <w14:textFill>
                  <w14:solidFill>
                    <w14:schemeClr w14:val="tx1"/>
                  </w14:solidFill>
                </w14:textFill>
              </w:rPr>
            </w:pPr>
            <w:r>
              <w:rPr>
                <w:rFonts w:hint="eastAsia" w:ascii="宋体" w:hAnsi="宋体" w:eastAsia="宋体" w:cs="宋体"/>
                <w:b/>
                <w:color w:val="000000" w:themeColor="text1"/>
                <w:w w:val="90"/>
                <w:sz w:val="24"/>
                <w:szCs w:val="24"/>
                <w:highlight w:val="none"/>
                <w14:textFill>
                  <w14:solidFill>
                    <w14:schemeClr w14:val="tx1"/>
                  </w14:solidFill>
                </w14:textFill>
              </w:rPr>
              <w:t>说明或要求</w:t>
            </w:r>
          </w:p>
        </w:tc>
      </w:tr>
      <w:tr w14:paraId="7BC3E5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5" w:type="dxa"/>
            <w:noWrap w:val="0"/>
            <w:vAlign w:val="center"/>
          </w:tcPr>
          <w:p w14:paraId="0AF2CE47">
            <w:pPr>
              <w:spacing w:line="276" w:lineRule="auto"/>
              <w:jc w:val="center"/>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1</w:t>
            </w:r>
          </w:p>
        </w:tc>
        <w:tc>
          <w:tcPr>
            <w:tcW w:w="1565" w:type="dxa"/>
            <w:noWrap w:val="0"/>
            <w:vAlign w:val="center"/>
          </w:tcPr>
          <w:p w14:paraId="7384F6BF">
            <w:pPr>
              <w:spacing w:line="276" w:lineRule="auto"/>
              <w:jc w:val="center"/>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项目名称</w:t>
            </w:r>
          </w:p>
        </w:tc>
        <w:tc>
          <w:tcPr>
            <w:tcW w:w="6677" w:type="dxa"/>
            <w:noWrap w:val="0"/>
            <w:vAlign w:val="center"/>
          </w:tcPr>
          <w:p w14:paraId="3CDD29DF">
            <w:pPr>
              <w:spacing w:line="276" w:lineRule="auto"/>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lang w:eastAsia="zh-CN"/>
                <w14:textFill>
                  <w14:solidFill>
                    <w14:schemeClr w14:val="tx1"/>
                  </w14:solidFill>
                </w14:textFill>
              </w:rPr>
              <w:t>2025年度苍南县测绘院公款竞争性存放项目</w:t>
            </w:r>
          </w:p>
        </w:tc>
      </w:tr>
      <w:tr w14:paraId="71FE8C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5" w:type="dxa"/>
            <w:noWrap w:val="0"/>
            <w:vAlign w:val="center"/>
          </w:tcPr>
          <w:p w14:paraId="2A62FBDD">
            <w:pPr>
              <w:spacing w:line="276" w:lineRule="auto"/>
              <w:jc w:val="center"/>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2</w:t>
            </w:r>
          </w:p>
        </w:tc>
        <w:tc>
          <w:tcPr>
            <w:tcW w:w="1565" w:type="dxa"/>
            <w:noWrap w:val="0"/>
            <w:vAlign w:val="center"/>
          </w:tcPr>
          <w:p w14:paraId="357202F6">
            <w:pPr>
              <w:spacing w:line="276" w:lineRule="auto"/>
              <w:jc w:val="center"/>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项目编号</w:t>
            </w:r>
          </w:p>
        </w:tc>
        <w:tc>
          <w:tcPr>
            <w:tcW w:w="6677" w:type="dxa"/>
            <w:noWrap w:val="0"/>
            <w:vAlign w:val="center"/>
          </w:tcPr>
          <w:p w14:paraId="56E772F0">
            <w:pPr>
              <w:spacing w:line="276" w:lineRule="auto"/>
              <w:rPr>
                <w:rFonts w:hint="eastAsia" w:ascii="宋体" w:hAnsi="宋体" w:eastAsia="宋体" w:cs="宋体"/>
                <w:color w:val="000000" w:themeColor="text1"/>
                <w:w w:val="90"/>
                <w:sz w:val="24"/>
                <w:szCs w:val="24"/>
                <w:highlight w:val="none"/>
                <w:lang w:eastAsia="zh-CN"/>
                <w14:textFill>
                  <w14:solidFill>
                    <w14:schemeClr w14:val="tx1"/>
                  </w14:solidFill>
                </w14:textFill>
              </w:rPr>
            </w:pPr>
            <w:r>
              <w:rPr>
                <w:rFonts w:hint="eastAsia" w:ascii="宋体" w:hAnsi="宋体" w:eastAsia="宋体" w:cs="宋体"/>
                <w:color w:val="000000" w:themeColor="text1"/>
                <w:w w:val="90"/>
                <w:sz w:val="24"/>
                <w:szCs w:val="24"/>
                <w:highlight w:val="none"/>
                <w:lang w:eastAsia="zh-CN"/>
                <w14:textFill>
                  <w14:solidFill>
                    <w14:schemeClr w14:val="tx1"/>
                  </w14:solidFill>
                </w14:textFill>
              </w:rPr>
              <w:t>苍产告字[2025]13号</w:t>
            </w:r>
          </w:p>
        </w:tc>
      </w:tr>
      <w:tr w14:paraId="5B16EE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5" w:type="dxa"/>
            <w:noWrap w:val="0"/>
            <w:vAlign w:val="center"/>
          </w:tcPr>
          <w:p w14:paraId="1CA7D633">
            <w:pPr>
              <w:spacing w:line="276" w:lineRule="auto"/>
              <w:jc w:val="center"/>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3</w:t>
            </w:r>
          </w:p>
        </w:tc>
        <w:tc>
          <w:tcPr>
            <w:tcW w:w="1565" w:type="dxa"/>
            <w:noWrap w:val="0"/>
            <w:vAlign w:val="center"/>
          </w:tcPr>
          <w:p w14:paraId="0F659381">
            <w:pPr>
              <w:spacing w:line="276" w:lineRule="auto"/>
              <w:jc w:val="center"/>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lang w:eastAsia="zh-CN"/>
                <w14:textFill>
                  <w14:solidFill>
                    <w14:schemeClr w14:val="tx1"/>
                  </w14:solidFill>
                </w14:textFill>
              </w:rPr>
              <w:t>招标</w:t>
            </w:r>
            <w:r>
              <w:rPr>
                <w:rFonts w:hint="eastAsia" w:ascii="宋体" w:hAnsi="宋体" w:eastAsia="宋体" w:cs="宋体"/>
                <w:color w:val="000000" w:themeColor="text1"/>
                <w:w w:val="90"/>
                <w:sz w:val="24"/>
                <w:szCs w:val="24"/>
                <w:highlight w:val="none"/>
                <w14:textFill>
                  <w14:solidFill>
                    <w14:schemeClr w14:val="tx1"/>
                  </w14:solidFill>
                </w14:textFill>
              </w:rPr>
              <w:t>内容</w:t>
            </w:r>
          </w:p>
        </w:tc>
        <w:tc>
          <w:tcPr>
            <w:tcW w:w="6677" w:type="dxa"/>
            <w:noWrap w:val="0"/>
            <w:vAlign w:val="center"/>
          </w:tcPr>
          <w:p w14:paraId="692AFFA0">
            <w:pPr>
              <w:spacing w:line="276" w:lineRule="auto"/>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详见《第一章 招标公告》</w:t>
            </w:r>
          </w:p>
        </w:tc>
      </w:tr>
      <w:tr w14:paraId="5BF0E6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5" w:type="dxa"/>
            <w:noWrap w:val="0"/>
            <w:vAlign w:val="center"/>
          </w:tcPr>
          <w:p w14:paraId="28A8F0CC">
            <w:pPr>
              <w:spacing w:line="276" w:lineRule="auto"/>
              <w:jc w:val="center"/>
              <w:rPr>
                <w:rFonts w:hint="eastAsia" w:ascii="宋体" w:hAnsi="宋体" w:eastAsia="宋体" w:cs="宋体"/>
                <w:color w:val="000000" w:themeColor="text1"/>
                <w:w w:val="90"/>
                <w:sz w:val="24"/>
                <w:szCs w:val="24"/>
                <w:highlight w:val="none"/>
                <w:lang w:eastAsia="zh-CN"/>
                <w14:textFill>
                  <w14:solidFill>
                    <w14:schemeClr w14:val="tx1"/>
                  </w14:solidFill>
                </w14:textFill>
              </w:rPr>
            </w:pP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4</w:t>
            </w:r>
          </w:p>
        </w:tc>
        <w:tc>
          <w:tcPr>
            <w:tcW w:w="1565" w:type="dxa"/>
            <w:noWrap w:val="0"/>
            <w:vAlign w:val="center"/>
          </w:tcPr>
          <w:p w14:paraId="19BC13B1">
            <w:pPr>
              <w:spacing w:line="276" w:lineRule="auto"/>
              <w:jc w:val="center"/>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合格投标银行资格要求</w:t>
            </w:r>
          </w:p>
        </w:tc>
        <w:tc>
          <w:tcPr>
            <w:tcW w:w="6677" w:type="dxa"/>
            <w:noWrap w:val="0"/>
            <w:vAlign w:val="center"/>
          </w:tcPr>
          <w:p w14:paraId="75526005">
            <w:pPr>
              <w:spacing w:line="276" w:lineRule="auto"/>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详见《第一章 招标公告》</w:t>
            </w:r>
          </w:p>
        </w:tc>
      </w:tr>
      <w:tr w14:paraId="3CBBF7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5" w:type="dxa"/>
            <w:noWrap w:val="0"/>
            <w:vAlign w:val="center"/>
          </w:tcPr>
          <w:p w14:paraId="13A4961C">
            <w:pPr>
              <w:spacing w:line="276" w:lineRule="auto"/>
              <w:jc w:val="center"/>
              <w:rPr>
                <w:rFonts w:hint="eastAsia" w:ascii="宋体" w:hAnsi="宋体" w:eastAsia="宋体" w:cs="宋体"/>
                <w:color w:val="000000" w:themeColor="text1"/>
                <w:w w:val="90"/>
                <w:sz w:val="24"/>
                <w:szCs w:val="24"/>
                <w:highlight w:val="none"/>
                <w:lang w:eastAsia="zh-CN"/>
                <w14:textFill>
                  <w14:solidFill>
                    <w14:schemeClr w14:val="tx1"/>
                  </w14:solidFill>
                </w14:textFill>
              </w:rPr>
            </w:pP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5</w:t>
            </w:r>
          </w:p>
        </w:tc>
        <w:tc>
          <w:tcPr>
            <w:tcW w:w="1565" w:type="dxa"/>
            <w:noWrap w:val="0"/>
            <w:vAlign w:val="center"/>
          </w:tcPr>
          <w:p w14:paraId="0BDAF129">
            <w:pPr>
              <w:spacing w:line="276" w:lineRule="auto"/>
              <w:jc w:val="center"/>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招标人</w:t>
            </w:r>
          </w:p>
        </w:tc>
        <w:tc>
          <w:tcPr>
            <w:tcW w:w="6677" w:type="dxa"/>
            <w:noWrap w:val="0"/>
            <w:vAlign w:val="center"/>
          </w:tcPr>
          <w:p w14:paraId="7C934598">
            <w:pPr>
              <w:spacing w:line="276" w:lineRule="auto"/>
              <w:rPr>
                <w:rFonts w:hint="eastAsia" w:ascii="宋体" w:hAnsi="宋体" w:eastAsia="宋体" w:cs="宋体"/>
                <w:color w:val="000000" w:themeColor="text1"/>
                <w:w w:val="90"/>
                <w:sz w:val="24"/>
                <w:szCs w:val="24"/>
                <w:highlight w:val="none"/>
                <w:lang w:eastAsia="zh-CN"/>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名称：</w:t>
            </w:r>
            <w:r>
              <w:rPr>
                <w:rFonts w:hint="eastAsia" w:ascii="宋体" w:hAnsi="宋体" w:eastAsia="宋体" w:cs="宋体"/>
                <w:color w:val="000000" w:themeColor="text1"/>
                <w:w w:val="90"/>
                <w:sz w:val="24"/>
                <w:szCs w:val="24"/>
                <w:highlight w:val="none"/>
                <w:lang w:eastAsia="zh-CN"/>
                <w14:textFill>
                  <w14:solidFill>
                    <w14:schemeClr w14:val="tx1"/>
                  </w14:solidFill>
                </w14:textFill>
              </w:rPr>
              <w:t>苍南县测绘院</w:t>
            </w:r>
          </w:p>
          <w:p w14:paraId="5A0047D6">
            <w:pPr>
              <w:spacing w:line="276" w:lineRule="auto"/>
              <w:rPr>
                <w:rFonts w:hint="eastAsia" w:ascii="宋体" w:hAnsi="宋体" w:eastAsia="宋体" w:cs="宋体"/>
                <w:color w:val="000000" w:themeColor="text1"/>
                <w:w w:val="90"/>
                <w:sz w:val="24"/>
                <w:szCs w:val="24"/>
                <w:highlight w:val="none"/>
                <w:lang w:val="en-US" w:eastAsia="zh-CN"/>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联系人：</w:t>
            </w: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 xml:space="preserve">许先生   </w:t>
            </w:r>
          </w:p>
          <w:p w14:paraId="795D4F3B">
            <w:pPr>
              <w:spacing w:line="276" w:lineRule="auto"/>
              <w:rPr>
                <w:rFonts w:hint="eastAsia" w:ascii="宋体" w:hAnsi="宋体" w:eastAsia="宋体" w:cs="宋体"/>
                <w:color w:val="000000" w:themeColor="text1"/>
                <w:w w:val="90"/>
                <w:sz w:val="24"/>
                <w:szCs w:val="24"/>
                <w:highlight w:val="none"/>
                <w:lang w:val="en-US" w:eastAsia="zh-CN"/>
                <w14:textFill>
                  <w14:solidFill>
                    <w14:schemeClr w14:val="tx1"/>
                  </w14:solidFill>
                </w14:textFill>
              </w:rPr>
            </w:pPr>
            <w:r>
              <w:rPr>
                <w:rFonts w:hint="eastAsia" w:ascii="宋体" w:hAnsi="宋体" w:eastAsia="宋体" w:cs="宋体"/>
                <w:color w:val="000000" w:themeColor="text1"/>
                <w:w w:val="90"/>
                <w:sz w:val="24"/>
                <w:szCs w:val="24"/>
                <w:highlight w:val="none"/>
                <w:lang w:eastAsia="zh-CN"/>
                <w14:textFill>
                  <w14:solidFill>
                    <w14:schemeClr w14:val="tx1"/>
                  </w14:solidFill>
                </w14:textFill>
              </w:rPr>
              <w:t>地址：苍南县灵溪镇人民大道</w:t>
            </w:r>
          </w:p>
        </w:tc>
      </w:tr>
      <w:tr w14:paraId="0CB004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5" w:type="dxa"/>
            <w:noWrap w:val="0"/>
            <w:vAlign w:val="center"/>
          </w:tcPr>
          <w:p w14:paraId="09A1736A">
            <w:pPr>
              <w:spacing w:line="276" w:lineRule="auto"/>
              <w:jc w:val="center"/>
              <w:rPr>
                <w:rFonts w:hint="eastAsia" w:ascii="宋体" w:hAnsi="宋体" w:eastAsia="宋体" w:cs="宋体"/>
                <w:b/>
                <w:color w:val="000000" w:themeColor="text1"/>
                <w:w w:val="90"/>
                <w:sz w:val="24"/>
                <w:szCs w:val="24"/>
                <w:highlight w:val="none"/>
                <w:lang w:eastAsia="zh-CN"/>
                <w14:textFill>
                  <w14:solidFill>
                    <w14:schemeClr w14:val="tx1"/>
                  </w14:solidFill>
                </w14:textFill>
              </w:rPr>
            </w:pP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6</w:t>
            </w:r>
          </w:p>
        </w:tc>
        <w:tc>
          <w:tcPr>
            <w:tcW w:w="1565" w:type="dxa"/>
            <w:noWrap w:val="0"/>
            <w:vAlign w:val="center"/>
          </w:tcPr>
          <w:p w14:paraId="05DF7401">
            <w:pPr>
              <w:spacing w:line="276" w:lineRule="auto"/>
              <w:jc w:val="center"/>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代理机构</w:t>
            </w:r>
          </w:p>
        </w:tc>
        <w:tc>
          <w:tcPr>
            <w:tcW w:w="6677" w:type="dxa"/>
            <w:noWrap w:val="0"/>
            <w:vAlign w:val="center"/>
          </w:tcPr>
          <w:p w14:paraId="7DC5B70F">
            <w:pPr>
              <w:spacing w:line="276" w:lineRule="auto"/>
              <w:rPr>
                <w:rFonts w:hint="eastAsia" w:ascii="宋体" w:hAnsi="宋体" w:eastAsia="宋体" w:cs="宋体"/>
                <w:color w:val="000000" w:themeColor="text1"/>
                <w:w w:val="90"/>
                <w:sz w:val="24"/>
                <w:szCs w:val="24"/>
                <w:highlight w:val="none"/>
                <w:lang w:eastAsia="zh-CN"/>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名称：</w:t>
            </w:r>
            <w:r>
              <w:rPr>
                <w:rFonts w:hint="eastAsia" w:ascii="宋体" w:hAnsi="宋体" w:eastAsia="宋体" w:cs="宋体"/>
                <w:color w:val="000000" w:themeColor="text1"/>
                <w:w w:val="90"/>
                <w:sz w:val="24"/>
                <w:szCs w:val="24"/>
                <w:highlight w:val="none"/>
                <w:lang w:eastAsia="zh-CN"/>
                <w14:textFill>
                  <w14:solidFill>
                    <w14:schemeClr w14:val="tx1"/>
                  </w14:solidFill>
                </w14:textFill>
              </w:rPr>
              <w:t>浙江之信工程项目管理有限公司</w:t>
            </w:r>
          </w:p>
          <w:p w14:paraId="0154B81F">
            <w:pPr>
              <w:spacing w:line="276" w:lineRule="auto"/>
              <w:rPr>
                <w:rFonts w:hint="eastAsia" w:ascii="宋体" w:hAnsi="宋体" w:eastAsia="宋体" w:cs="宋体"/>
                <w:color w:val="000000" w:themeColor="text1"/>
                <w:w w:val="90"/>
                <w:sz w:val="24"/>
                <w:szCs w:val="24"/>
                <w:highlight w:val="none"/>
                <w:lang w:eastAsia="zh-CN"/>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联系人：</w:t>
            </w: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朱先生</w:t>
            </w:r>
          </w:p>
          <w:p w14:paraId="2DD7EB60">
            <w:pPr>
              <w:spacing w:line="276" w:lineRule="auto"/>
              <w:rPr>
                <w:rFonts w:hint="eastAsia" w:ascii="宋体" w:hAnsi="宋体" w:eastAsia="宋体" w:cs="宋体"/>
                <w:color w:val="000000" w:themeColor="text1"/>
                <w:w w:val="90"/>
                <w:sz w:val="24"/>
                <w:szCs w:val="24"/>
                <w:highlight w:val="none"/>
                <w:lang w:eastAsia="zh-CN"/>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联系电话：</w:t>
            </w:r>
            <w:r>
              <w:rPr>
                <w:rFonts w:hint="eastAsia" w:ascii="宋体" w:hAnsi="宋体" w:eastAsia="宋体" w:cs="宋体"/>
                <w:color w:val="000000" w:themeColor="text1"/>
                <w:w w:val="90"/>
                <w:sz w:val="24"/>
                <w:szCs w:val="24"/>
                <w:highlight w:val="none"/>
                <w:lang w:eastAsia="zh-CN"/>
                <w14:textFill>
                  <w14:solidFill>
                    <w14:schemeClr w14:val="tx1"/>
                  </w14:solidFill>
                </w14:textFill>
              </w:rPr>
              <w:t>0577-68810100</w:t>
            </w:r>
          </w:p>
          <w:p w14:paraId="7DC6360B">
            <w:pPr>
              <w:spacing w:line="276" w:lineRule="auto"/>
              <w:rPr>
                <w:rFonts w:hint="eastAsia" w:ascii="宋体" w:hAnsi="宋体" w:eastAsia="宋体" w:cs="宋体"/>
                <w:color w:val="000000" w:themeColor="text1"/>
                <w:w w:val="90"/>
                <w:sz w:val="24"/>
                <w:szCs w:val="24"/>
                <w:highlight w:val="none"/>
                <w:lang w:val="en-US" w:eastAsia="zh-CN"/>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地址：</w:t>
            </w: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苍南县灵溪镇仕华家园3幢一单元301-302室</w:t>
            </w:r>
          </w:p>
        </w:tc>
      </w:tr>
      <w:tr w14:paraId="3ACA2C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5" w:type="dxa"/>
            <w:noWrap w:val="0"/>
            <w:vAlign w:val="center"/>
          </w:tcPr>
          <w:p w14:paraId="6F51030E">
            <w:pPr>
              <w:spacing w:line="276" w:lineRule="auto"/>
              <w:jc w:val="center"/>
              <w:rPr>
                <w:rFonts w:hint="eastAsia" w:ascii="宋体" w:hAnsi="宋体" w:eastAsia="宋体" w:cs="宋体"/>
                <w:color w:val="000000" w:themeColor="text1"/>
                <w:w w:val="90"/>
                <w:sz w:val="24"/>
                <w:szCs w:val="24"/>
                <w:highlight w:val="none"/>
                <w:lang w:eastAsia="zh-CN"/>
                <w14:textFill>
                  <w14:solidFill>
                    <w14:schemeClr w14:val="tx1"/>
                  </w14:solidFill>
                </w14:textFill>
              </w:rPr>
            </w:pP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7</w:t>
            </w:r>
          </w:p>
        </w:tc>
        <w:tc>
          <w:tcPr>
            <w:tcW w:w="1565" w:type="dxa"/>
            <w:noWrap w:val="0"/>
            <w:vAlign w:val="center"/>
          </w:tcPr>
          <w:p w14:paraId="2DA65321">
            <w:pPr>
              <w:spacing w:line="276" w:lineRule="auto"/>
              <w:jc w:val="center"/>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联合体投标</w:t>
            </w:r>
          </w:p>
        </w:tc>
        <w:tc>
          <w:tcPr>
            <w:tcW w:w="6677" w:type="dxa"/>
            <w:noWrap w:val="0"/>
            <w:vAlign w:val="center"/>
          </w:tcPr>
          <w:p w14:paraId="3EB2742B">
            <w:pPr>
              <w:spacing w:line="276" w:lineRule="auto"/>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不接受</w:t>
            </w:r>
          </w:p>
        </w:tc>
      </w:tr>
      <w:tr w14:paraId="5BB22B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5" w:type="dxa"/>
            <w:noWrap w:val="0"/>
            <w:vAlign w:val="center"/>
          </w:tcPr>
          <w:p w14:paraId="57C04041">
            <w:pPr>
              <w:spacing w:line="276" w:lineRule="auto"/>
              <w:jc w:val="center"/>
              <w:rPr>
                <w:rFonts w:hint="eastAsia" w:ascii="宋体" w:hAnsi="宋体" w:eastAsia="宋体" w:cs="宋体"/>
                <w:color w:val="000000" w:themeColor="text1"/>
                <w:w w:val="90"/>
                <w:sz w:val="24"/>
                <w:szCs w:val="24"/>
                <w:highlight w:val="none"/>
                <w:lang w:eastAsia="zh-CN"/>
                <w14:textFill>
                  <w14:solidFill>
                    <w14:schemeClr w14:val="tx1"/>
                  </w14:solidFill>
                </w14:textFill>
              </w:rPr>
            </w:pP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8</w:t>
            </w:r>
          </w:p>
        </w:tc>
        <w:tc>
          <w:tcPr>
            <w:tcW w:w="1565" w:type="dxa"/>
            <w:noWrap w:val="0"/>
            <w:vAlign w:val="center"/>
          </w:tcPr>
          <w:p w14:paraId="36B84444">
            <w:pPr>
              <w:spacing w:line="276" w:lineRule="auto"/>
              <w:jc w:val="center"/>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分包转包</w:t>
            </w:r>
          </w:p>
        </w:tc>
        <w:tc>
          <w:tcPr>
            <w:tcW w:w="6677" w:type="dxa"/>
            <w:noWrap w:val="0"/>
            <w:vAlign w:val="center"/>
          </w:tcPr>
          <w:p w14:paraId="784B3182">
            <w:pPr>
              <w:spacing w:line="276" w:lineRule="auto"/>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不允许</w:t>
            </w:r>
          </w:p>
        </w:tc>
      </w:tr>
      <w:tr w14:paraId="298B68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5" w:type="dxa"/>
            <w:noWrap w:val="0"/>
            <w:vAlign w:val="center"/>
          </w:tcPr>
          <w:p w14:paraId="47473118">
            <w:pPr>
              <w:spacing w:line="276" w:lineRule="auto"/>
              <w:jc w:val="center"/>
              <w:rPr>
                <w:rFonts w:hint="eastAsia" w:ascii="宋体" w:hAnsi="宋体" w:eastAsia="宋体" w:cs="宋体"/>
                <w:color w:val="000000" w:themeColor="text1"/>
                <w:w w:val="90"/>
                <w:sz w:val="24"/>
                <w:szCs w:val="24"/>
                <w:highlight w:val="none"/>
                <w:lang w:eastAsia="zh-CN"/>
                <w14:textFill>
                  <w14:solidFill>
                    <w14:schemeClr w14:val="tx1"/>
                  </w14:solidFill>
                </w14:textFill>
              </w:rPr>
            </w:pP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9</w:t>
            </w:r>
          </w:p>
        </w:tc>
        <w:tc>
          <w:tcPr>
            <w:tcW w:w="1565" w:type="dxa"/>
            <w:noWrap w:val="0"/>
            <w:vAlign w:val="center"/>
          </w:tcPr>
          <w:p w14:paraId="7044223B">
            <w:pPr>
              <w:spacing w:line="276" w:lineRule="auto"/>
              <w:jc w:val="center"/>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标前答疑会</w:t>
            </w:r>
          </w:p>
        </w:tc>
        <w:tc>
          <w:tcPr>
            <w:tcW w:w="6677" w:type="dxa"/>
            <w:noWrap w:val="0"/>
            <w:vAlign w:val="center"/>
          </w:tcPr>
          <w:p w14:paraId="5199EF39">
            <w:pPr>
              <w:spacing w:line="276" w:lineRule="auto"/>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不召开</w:t>
            </w:r>
          </w:p>
        </w:tc>
      </w:tr>
      <w:tr w14:paraId="479F7E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5" w:type="dxa"/>
            <w:noWrap w:val="0"/>
            <w:vAlign w:val="center"/>
          </w:tcPr>
          <w:p w14:paraId="3BE9804A">
            <w:pPr>
              <w:spacing w:line="276" w:lineRule="auto"/>
              <w:jc w:val="center"/>
              <w:rPr>
                <w:rFonts w:hint="eastAsia" w:ascii="宋体" w:hAnsi="宋体" w:eastAsia="宋体" w:cs="宋体"/>
                <w:color w:val="000000" w:themeColor="text1"/>
                <w:w w:val="90"/>
                <w:sz w:val="24"/>
                <w:szCs w:val="24"/>
                <w:highlight w:val="none"/>
                <w:lang w:eastAsia="zh-CN"/>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1</w:t>
            </w: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0</w:t>
            </w:r>
          </w:p>
        </w:tc>
        <w:tc>
          <w:tcPr>
            <w:tcW w:w="1565" w:type="dxa"/>
            <w:noWrap w:val="0"/>
            <w:vAlign w:val="center"/>
          </w:tcPr>
          <w:p w14:paraId="46AB1253">
            <w:pPr>
              <w:spacing w:line="276" w:lineRule="auto"/>
              <w:jc w:val="center"/>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现场勘查</w:t>
            </w:r>
          </w:p>
        </w:tc>
        <w:tc>
          <w:tcPr>
            <w:tcW w:w="6677" w:type="dxa"/>
            <w:noWrap w:val="0"/>
            <w:vAlign w:val="center"/>
          </w:tcPr>
          <w:p w14:paraId="11D6112B">
            <w:pPr>
              <w:spacing w:line="276" w:lineRule="auto"/>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不组织</w:t>
            </w:r>
          </w:p>
        </w:tc>
      </w:tr>
      <w:tr w14:paraId="06A929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5" w:type="dxa"/>
            <w:noWrap w:val="0"/>
            <w:vAlign w:val="center"/>
          </w:tcPr>
          <w:p w14:paraId="502AF785">
            <w:pPr>
              <w:spacing w:line="276" w:lineRule="auto"/>
              <w:jc w:val="center"/>
              <w:rPr>
                <w:rFonts w:hint="eastAsia" w:ascii="宋体" w:hAnsi="宋体" w:eastAsia="宋体" w:cs="宋体"/>
                <w:color w:val="000000" w:themeColor="text1"/>
                <w:w w:val="90"/>
                <w:sz w:val="24"/>
                <w:szCs w:val="24"/>
                <w:highlight w:val="none"/>
                <w:lang w:eastAsia="zh-CN"/>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1</w:t>
            </w: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1</w:t>
            </w:r>
          </w:p>
        </w:tc>
        <w:tc>
          <w:tcPr>
            <w:tcW w:w="1565" w:type="dxa"/>
            <w:noWrap w:val="0"/>
            <w:vAlign w:val="center"/>
          </w:tcPr>
          <w:p w14:paraId="78DB3260">
            <w:pPr>
              <w:spacing w:line="276" w:lineRule="auto"/>
              <w:jc w:val="center"/>
              <w:rPr>
                <w:rFonts w:hint="eastAsia" w:ascii="宋体" w:hAnsi="宋体" w:eastAsia="宋体" w:cs="宋体"/>
                <w:b/>
                <w:color w:val="000000" w:themeColor="text1"/>
                <w:w w:val="90"/>
                <w:sz w:val="24"/>
                <w:szCs w:val="24"/>
                <w:highlight w:val="none"/>
                <w14:textFill>
                  <w14:solidFill>
                    <w14:schemeClr w14:val="tx1"/>
                  </w14:solidFill>
                </w14:textFill>
              </w:rPr>
            </w:pPr>
            <w:r>
              <w:rPr>
                <w:rFonts w:hint="eastAsia" w:ascii="宋体" w:hAnsi="宋体" w:eastAsia="宋体" w:cs="宋体"/>
                <w:b/>
                <w:color w:val="000000" w:themeColor="text1"/>
                <w:w w:val="90"/>
                <w:sz w:val="24"/>
                <w:szCs w:val="24"/>
                <w:highlight w:val="none"/>
                <w14:textFill>
                  <w14:solidFill>
                    <w14:schemeClr w14:val="tx1"/>
                  </w14:solidFill>
                </w14:textFill>
              </w:rPr>
              <w:t>报价</w:t>
            </w:r>
          </w:p>
        </w:tc>
        <w:tc>
          <w:tcPr>
            <w:tcW w:w="6677" w:type="dxa"/>
            <w:noWrap w:val="0"/>
            <w:vAlign w:val="center"/>
          </w:tcPr>
          <w:p w14:paraId="3D04B220">
            <w:pPr>
              <w:spacing w:line="276" w:lineRule="auto"/>
              <w:rPr>
                <w:rFonts w:hint="eastAsia" w:ascii="宋体" w:hAnsi="宋体" w:eastAsia="宋体" w:cs="宋体"/>
                <w:b/>
                <w:color w:val="000000" w:themeColor="text1"/>
                <w:w w:val="90"/>
                <w:sz w:val="24"/>
                <w:szCs w:val="24"/>
                <w:highlight w:val="none"/>
                <w14:textFill>
                  <w14:solidFill>
                    <w14:schemeClr w14:val="tx1"/>
                  </w14:solidFill>
                </w14:textFill>
              </w:rPr>
            </w:pPr>
            <w:r>
              <w:rPr>
                <w:rFonts w:hint="eastAsia" w:ascii="宋体" w:hAnsi="宋体" w:eastAsia="宋体" w:cs="宋体"/>
                <w:b/>
                <w:color w:val="000000" w:themeColor="text1"/>
                <w:w w:val="90"/>
                <w:sz w:val="24"/>
                <w:szCs w:val="24"/>
                <w:highlight w:val="none"/>
                <w14:textFill>
                  <w14:solidFill>
                    <w14:schemeClr w14:val="tx1"/>
                  </w14:solidFill>
                </w14:textFill>
              </w:rPr>
              <w:t>在央行</w:t>
            </w:r>
            <w:r>
              <w:rPr>
                <w:rFonts w:hint="eastAsia" w:ascii="宋体" w:hAnsi="宋体" w:eastAsia="宋体" w:cs="宋体"/>
                <w:b/>
                <w:color w:val="000000" w:themeColor="text1"/>
                <w:w w:val="90"/>
                <w:sz w:val="24"/>
                <w:szCs w:val="24"/>
                <w:highlight w:val="none"/>
                <w:lang w:val="en-US" w:eastAsia="zh-CN"/>
                <w14:textFill>
                  <w14:solidFill>
                    <w14:schemeClr w14:val="tx1"/>
                  </w14:solidFill>
                </w14:textFill>
              </w:rPr>
              <w:t>定期存款基准利率基础上加上一定基点，</w:t>
            </w:r>
            <w:r>
              <w:rPr>
                <w:rFonts w:hint="eastAsia" w:ascii="宋体" w:hAnsi="宋体" w:eastAsia="宋体" w:cs="宋体"/>
                <w:b/>
                <w:color w:val="000000" w:themeColor="text1"/>
                <w:w w:val="90"/>
                <w:sz w:val="24"/>
                <w:szCs w:val="24"/>
                <w:highlight w:val="none"/>
                <w14:textFill>
                  <w14:solidFill>
                    <w14:schemeClr w14:val="tx1"/>
                  </w14:solidFill>
                </w14:textFill>
              </w:rPr>
              <w:t>四舍五入保留三位小数。</w:t>
            </w:r>
          </w:p>
        </w:tc>
      </w:tr>
      <w:tr w14:paraId="7DAF93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5" w:type="dxa"/>
            <w:noWrap w:val="0"/>
            <w:vAlign w:val="center"/>
          </w:tcPr>
          <w:p w14:paraId="79ED829B">
            <w:pPr>
              <w:spacing w:line="276" w:lineRule="auto"/>
              <w:jc w:val="center"/>
              <w:rPr>
                <w:rFonts w:hint="eastAsia" w:ascii="宋体" w:hAnsi="宋体" w:eastAsia="宋体" w:cs="宋体"/>
                <w:color w:val="000000" w:themeColor="text1"/>
                <w:w w:val="90"/>
                <w:sz w:val="24"/>
                <w:szCs w:val="24"/>
                <w:highlight w:val="none"/>
                <w:lang w:eastAsia="zh-CN"/>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1</w:t>
            </w: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3</w:t>
            </w:r>
          </w:p>
        </w:tc>
        <w:tc>
          <w:tcPr>
            <w:tcW w:w="1565" w:type="dxa"/>
            <w:noWrap w:val="0"/>
            <w:vAlign w:val="center"/>
          </w:tcPr>
          <w:p w14:paraId="5EFCFCDD">
            <w:pPr>
              <w:spacing w:line="276" w:lineRule="auto"/>
              <w:jc w:val="center"/>
              <w:rPr>
                <w:rFonts w:hint="eastAsia" w:ascii="宋体" w:hAnsi="宋体" w:eastAsia="宋体" w:cs="宋体"/>
                <w:b/>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《招标文件》询疑截止时间</w:t>
            </w:r>
          </w:p>
        </w:tc>
        <w:tc>
          <w:tcPr>
            <w:tcW w:w="6677" w:type="dxa"/>
            <w:noWrap w:val="0"/>
            <w:vAlign w:val="center"/>
          </w:tcPr>
          <w:p w14:paraId="3FCFEBEB">
            <w:pPr>
              <w:spacing w:line="276" w:lineRule="auto"/>
              <w:rPr>
                <w:rFonts w:hint="eastAsia" w:ascii="宋体" w:hAnsi="宋体" w:eastAsia="宋体" w:cs="宋体"/>
                <w:b/>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供应商如对招标文件有疑问，应以书面形式向</w:t>
            </w:r>
            <w:r>
              <w:rPr>
                <w:rFonts w:hint="eastAsia" w:ascii="宋体" w:hAnsi="宋体" w:eastAsia="宋体" w:cs="宋体"/>
                <w:color w:val="000000" w:themeColor="text1"/>
                <w:w w:val="90"/>
                <w:sz w:val="24"/>
                <w:szCs w:val="24"/>
                <w:highlight w:val="none"/>
                <w:lang w:eastAsia="zh-CN"/>
                <w14:textFill>
                  <w14:solidFill>
                    <w14:schemeClr w14:val="tx1"/>
                  </w14:solidFill>
                </w14:textFill>
              </w:rPr>
              <w:t>招标</w:t>
            </w:r>
            <w:r>
              <w:rPr>
                <w:rFonts w:hint="eastAsia" w:ascii="宋体" w:hAnsi="宋体" w:eastAsia="宋体" w:cs="宋体"/>
                <w:color w:val="000000" w:themeColor="text1"/>
                <w:w w:val="90"/>
                <w:sz w:val="24"/>
                <w:szCs w:val="24"/>
                <w:highlight w:val="none"/>
                <w14:textFill>
                  <w14:solidFill>
                    <w14:schemeClr w14:val="tx1"/>
                  </w14:solidFill>
                </w14:textFill>
              </w:rPr>
              <w:t>组织机构提出询问函（包括信函、传真、扫描件，下同），询问函接收</w:t>
            </w: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邮箱</w:t>
            </w:r>
            <w:r>
              <w:rPr>
                <w:rFonts w:hint="eastAsia" w:ascii="宋体" w:hAnsi="宋体" w:eastAsia="宋体" w:cs="宋体"/>
                <w:color w:val="000000" w:themeColor="text1"/>
                <w:w w:val="90"/>
                <w:sz w:val="24"/>
                <w:szCs w:val="24"/>
                <w:highlight w:val="none"/>
                <w14:textFill>
                  <w14:solidFill>
                    <w14:schemeClr w14:val="tx1"/>
                  </w14:solidFill>
                </w14:textFill>
              </w:rPr>
              <w:t>：</w:t>
            </w: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50881236@qq.com</w:t>
            </w:r>
            <w:r>
              <w:rPr>
                <w:rFonts w:hint="eastAsia" w:ascii="宋体" w:hAnsi="宋体" w:eastAsia="宋体" w:cs="宋体"/>
                <w:color w:val="000000" w:themeColor="text1"/>
                <w:w w:val="90"/>
                <w:sz w:val="24"/>
                <w:szCs w:val="24"/>
                <w:highlight w:val="none"/>
                <w:lang w:eastAsia="zh-CN"/>
                <w14:textFill>
                  <w14:solidFill>
                    <w14:schemeClr w14:val="tx1"/>
                  </w14:solidFill>
                </w14:textFill>
              </w:rPr>
              <w:t>。</w:t>
            </w:r>
          </w:p>
        </w:tc>
      </w:tr>
      <w:tr w14:paraId="3E9DBF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5" w:type="dxa"/>
            <w:noWrap w:val="0"/>
            <w:vAlign w:val="center"/>
          </w:tcPr>
          <w:p w14:paraId="395B3F38">
            <w:pPr>
              <w:spacing w:line="276" w:lineRule="auto"/>
              <w:jc w:val="center"/>
              <w:rPr>
                <w:rFonts w:hint="eastAsia" w:ascii="宋体" w:hAnsi="宋体" w:eastAsia="宋体" w:cs="宋体"/>
                <w:color w:val="000000" w:themeColor="text1"/>
                <w:w w:val="90"/>
                <w:sz w:val="24"/>
                <w:szCs w:val="24"/>
                <w:highlight w:val="none"/>
                <w:lang w:eastAsia="zh-CN"/>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1</w:t>
            </w: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4</w:t>
            </w:r>
          </w:p>
        </w:tc>
        <w:tc>
          <w:tcPr>
            <w:tcW w:w="1565" w:type="dxa"/>
            <w:noWrap w:val="0"/>
            <w:vAlign w:val="center"/>
          </w:tcPr>
          <w:p w14:paraId="14DB8653">
            <w:pPr>
              <w:spacing w:line="276" w:lineRule="auto"/>
              <w:jc w:val="center"/>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b/>
                <w:color w:val="000000" w:themeColor="text1"/>
                <w:w w:val="90"/>
                <w:sz w:val="24"/>
                <w:szCs w:val="24"/>
                <w:highlight w:val="none"/>
                <w14:textFill>
                  <w14:solidFill>
                    <w14:schemeClr w14:val="tx1"/>
                  </w14:solidFill>
                </w14:textFill>
              </w:rPr>
              <w:t>投标截止时间</w:t>
            </w:r>
          </w:p>
        </w:tc>
        <w:tc>
          <w:tcPr>
            <w:tcW w:w="6677" w:type="dxa"/>
            <w:noWrap w:val="0"/>
            <w:vAlign w:val="center"/>
          </w:tcPr>
          <w:p w14:paraId="05996BB8">
            <w:pPr>
              <w:spacing w:line="276" w:lineRule="auto"/>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b/>
                <w:color w:val="000000" w:themeColor="text1"/>
                <w:w w:val="90"/>
                <w:sz w:val="24"/>
                <w:szCs w:val="24"/>
                <w:highlight w:val="none"/>
                <w14:textFill>
                  <w14:solidFill>
                    <w14:schemeClr w14:val="tx1"/>
                  </w14:solidFill>
                </w14:textFill>
              </w:rPr>
              <w:t>按“招标公告”规定</w:t>
            </w:r>
          </w:p>
        </w:tc>
      </w:tr>
      <w:tr w14:paraId="01E264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5" w:type="dxa"/>
            <w:noWrap w:val="0"/>
            <w:vAlign w:val="center"/>
          </w:tcPr>
          <w:p w14:paraId="17DD25CB">
            <w:pPr>
              <w:spacing w:line="276" w:lineRule="auto"/>
              <w:jc w:val="center"/>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1</w:t>
            </w: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5</w:t>
            </w:r>
          </w:p>
        </w:tc>
        <w:tc>
          <w:tcPr>
            <w:tcW w:w="1565" w:type="dxa"/>
            <w:noWrap w:val="0"/>
            <w:vAlign w:val="center"/>
          </w:tcPr>
          <w:p w14:paraId="1B5BC920">
            <w:pPr>
              <w:spacing w:line="276" w:lineRule="auto"/>
              <w:jc w:val="center"/>
              <w:rPr>
                <w:rFonts w:hint="eastAsia" w:ascii="宋体" w:hAnsi="宋体" w:eastAsia="宋体" w:cs="宋体"/>
                <w:b/>
                <w:color w:val="000000" w:themeColor="text1"/>
                <w:w w:val="90"/>
                <w:sz w:val="24"/>
                <w:szCs w:val="24"/>
                <w:highlight w:val="none"/>
                <w14:textFill>
                  <w14:solidFill>
                    <w14:schemeClr w14:val="tx1"/>
                  </w14:solidFill>
                </w14:textFill>
              </w:rPr>
            </w:pPr>
            <w:r>
              <w:rPr>
                <w:rFonts w:hint="eastAsia" w:ascii="宋体" w:hAnsi="宋体" w:eastAsia="宋体" w:cs="宋体"/>
                <w:b/>
                <w:color w:val="000000" w:themeColor="text1"/>
                <w:w w:val="90"/>
                <w:sz w:val="24"/>
                <w:szCs w:val="24"/>
                <w:highlight w:val="none"/>
                <w14:textFill>
                  <w14:solidFill>
                    <w14:schemeClr w14:val="tx1"/>
                  </w14:solidFill>
                </w14:textFill>
              </w:rPr>
              <w:t>投标文件递交地址</w:t>
            </w:r>
          </w:p>
        </w:tc>
        <w:tc>
          <w:tcPr>
            <w:tcW w:w="6677" w:type="dxa"/>
            <w:noWrap w:val="0"/>
            <w:vAlign w:val="center"/>
          </w:tcPr>
          <w:p w14:paraId="7D3E2B48">
            <w:pPr>
              <w:spacing w:line="276" w:lineRule="auto"/>
              <w:rPr>
                <w:rFonts w:hint="eastAsia" w:ascii="宋体" w:hAnsi="宋体" w:eastAsia="宋体" w:cs="宋体"/>
                <w:b/>
                <w:color w:val="000000" w:themeColor="text1"/>
                <w:w w:val="90"/>
                <w:sz w:val="24"/>
                <w:szCs w:val="24"/>
                <w:highlight w:val="none"/>
                <w14:textFill>
                  <w14:solidFill>
                    <w14:schemeClr w14:val="tx1"/>
                  </w14:solidFill>
                </w14:textFill>
              </w:rPr>
            </w:pPr>
            <w:r>
              <w:rPr>
                <w:rFonts w:hint="eastAsia" w:ascii="宋体" w:hAnsi="宋体" w:eastAsia="宋体" w:cs="宋体"/>
                <w:b/>
                <w:color w:val="000000" w:themeColor="text1"/>
                <w:w w:val="90"/>
                <w:sz w:val="24"/>
                <w:szCs w:val="24"/>
                <w:highlight w:val="none"/>
                <w14:textFill>
                  <w14:solidFill>
                    <w14:schemeClr w14:val="tx1"/>
                  </w14:solidFill>
                </w14:textFill>
              </w:rPr>
              <w:t>按“招标公告”规定</w:t>
            </w:r>
          </w:p>
        </w:tc>
      </w:tr>
      <w:tr w14:paraId="6BDD57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5" w:type="dxa"/>
            <w:noWrap w:val="0"/>
            <w:vAlign w:val="center"/>
          </w:tcPr>
          <w:p w14:paraId="5C63906E">
            <w:pPr>
              <w:spacing w:line="276" w:lineRule="auto"/>
              <w:jc w:val="center"/>
              <w:rPr>
                <w:rFonts w:hint="eastAsia" w:ascii="宋体" w:hAnsi="宋体" w:eastAsia="宋体" w:cs="宋体"/>
                <w:color w:val="000000" w:themeColor="text1"/>
                <w:w w:val="90"/>
                <w:sz w:val="24"/>
                <w:szCs w:val="24"/>
                <w:highlight w:val="none"/>
                <w:lang w:eastAsia="zh-CN"/>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1</w:t>
            </w: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7</w:t>
            </w:r>
          </w:p>
        </w:tc>
        <w:tc>
          <w:tcPr>
            <w:tcW w:w="1565" w:type="dxa"/>
            <w:noWrap w:val="0"/>
            <w:vAlign w:val="center"/>
          </w:tcPr>
          <w:p w14:paraId="34DEE36E">
            <w:pPr>
              <w:spacing w:line="276" w:lineRule="auto"/>
              <w:jc w:val="center"/>
              <w:rPr>
                <w:rFonts w:hint="eastAsia" w:ascii="宋体" w:hAnsi="宋体" w:eastAsia="宋体" w:cs="宋体"/>
                <w:b/>
                <w:color w:val="000000" w:themeColor="text1"/>
                <w:w w:val="90"/>
                <w:sz w:val="24"/>
                <w:szCs w:val="24"/>
                <w:highlight w:val="none"/>
                <w14:textFill>
                  <w14:solidFill>
                    <w14:schemeClr w14:val="tx1"/>
                  </w14:solidFill>
                </w14:textFill>
              </w:rPr>
            </w:pPr>
            <w:r>
              <w:rPr>
                <w:rFonts w:hint="eastAsia" w:ascii="宋体" w:hAnsi="宋体" w:eastAsia="宋体" w:cs="宋体"/>
                <w:b/>
                <w:color w:val="000000" w:themeColor="text1"/>
                <w:w w:val="90"/>
                <w:sz w:val="24"/>
                <w:szCs w:val="24"/>
                <w:highlight w:val="none"/>
                <w14:textFill>
                  <w14:solidFill>
                    <w14:schemeClr w14:val="tx1"/>
                  </w14:solidFill>
                </w14:textFill>
              </w:rPr>
              <w:t>开标时间及地址</w:t>
            </w:r>
          </w:p>
        </w:tc>
        <w:tc>
          <w:tcPr>
            <w:tcW w:w="6677" w:type="dxa"/>
            <w:noWrap w:val="0"/>
            <w:vAlign w:val="center"/>
          </w:tcPr>
          <w:p w14:paraId="5930B2F4">
            <w:pPr>
              <w:spacing w:line="276" w:lineRule="auto"/>
              <w:rPr>
                <w:rFonts w:hint="eastAsia" w:ascii="宋体" w:hAnsi="宋体" w:eastAsia="宋体" w:cs="宋体"/>
                <w:b/>
                <w:color w:val="000000" w:themeColor="text1"/>
                <w:w w:val="90"/>
                <w:sz w:val="24"/>
                <w:szCs w:val="24"/>
                <w:highlight w:val="none"/>
                <w14:textFill>
                  <w14:solidFill>
                    <w14:schemeClr w14:val="tx1"/>
                  </w14:solidFill>
                </w14:textFill>
              </w:rPr>
            </w:pPr>
            <w:r>
              <w:rPr>
                <w:rFonts w:hint="eastAsia" w:ascii="宋体" w:hAnsi="宋体" w:eastAsia="宋体" w:cs="宋体"/>
                <w:b/>
                <w:color w:val="000000" w:themeColor="text1"/>
                <w:w w:val="90"/>
                <w:sz w:val="24"/>
                <w:szCs w:val="24"/>
                <w:highlight w:val="none"/>
                <w14:textFill>
                  <w14:solidFill>
                    <w14:schemeClr w14:val="tx1"/>
                  </w14:solidFill>
                </w14:textFill>
              </w:rPr>
              <w:t>按“招标公告”规定</w:t>
            </w:r>
          </w:p>
        </w:tc>
      </w:tr>
      <w:tr w14:paraId="3EE686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5" w:type="dxa"/>
            <w:noWrap w:val="0"/>
            <w:vAlign w:val="center"/>
          </w:tcPr>
          <w:p w14:paraId="05C05F7E">
            <w:pPr>
              <w:spacing w:line="276" w:lineRule="auto"/>
              <w:jc w:val="center"/>
              <w:rPr>
                <w:rFonts w:hint="eastAsia" w:ascii="宋体" w:hAnsi="宋体" w:eastAsia="宋体" w:cs="宋体"/>
                <w:color w:val="000000" w:themeColor="text1"/>
                <w:w w:val="90"/>
                <w:sz w:val="24"/>
                <w:szCs w:val="24"/>
                <w:highlight w:val="none"/>
                <w:lang w:val="en-US" w:eastAsia="zh-CN"/>
                <w14:textFill>
                  <w14:solidFill>
                    <w14:schemeClr w14:val="tx1"/>
                  </w14:solidFill>
                </w14:textFill>
              </w:rPr>
            </w:pP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18</w:t>
            </w:r>
          </w:p>
        </w:tc>
        <w:tc>
          <w:tcPr>
            <w:tcW w:w="1565" w:type="dxa"/>
            <w:noWrap w:val="0"/>
            <w:vAlign w:val="center"/>
          </w:tcPr>
          <w:p w14:paraId="6A5D66C3">
            <w:pPr>
              <w:spacing w:line="276" w:lineRule="auto"/>
              <w:jc w:val="center"/>
              <w:rPr>
                <w:rFonts w:hint="eastAsia" w:ascii="宋体" w:hAnsi="宋体" w:eastAsia="宋体" w:cs="宋体"/>
                <w:b/>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评审办法</w:t>
            </w:r>
          </w:p>
        </w:tc>
        <w:tc>
          <w:tcPr>
            <w:tcW w:w="6677" w:type="dxa"/>
            <w:noWrap w:val="0"/>
            <w:vAlign w:val="center"/>
          </w:tcPr>
          <w:p w14:paraId="095B95FC">
            <w:pPr>
              <w:spacing w:line="276" w:lineRule="auto"/>
              <w:rPr>
                <w:rFonts w:hint="eastAsia" w:ascii="宋体" w:hAnsi="宋体" w:eastAsia="宋体" w:cs="宋体"/>
                <w:b/>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详见《第四章 评审办法及评分标准》。</w:t>
            </w:r>
          </w:p>
        </w:tc>
      </w:tr>
      <w:tr w14:paraId="5C8A25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5" w:type="dxa"/>
            <w:noWrap w:val="0"/>
            <w:vAlign w:val="center"/>
          </w:tcPr>
          <w:p w14:paraId="3EE59FE4">
            <w:pPr>
              <w:spacing w:line="276" w:lineRule="auto"/>
              <w:jc w:val="center"/>
              <w:rPr>
                <w:rFonts w:hint="eastAsia" w:ascii="宋体" w:hAnsi="宋体" w:eastAsia="宋体" w:cs="宋体"/>
                <w:color w:val="000000" w:themeColor="text1"/>
                <w:w w:val="90"/>
                <w:sz w:val="24"/>
                <w:szCs w:val="24"/>
                <w:highlight w:val="none"/>
                <w:lang w:val="en-US" w:eastAsia="zh-CN"/>
                <w14:textFill>
                  <w14:solidFill>
                    <w14:schemeClr w14:val="tx1"/>
                  </w14:solidFill>
                </w14:textFill>
              </w:rPr>
            </w:pP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19</w:t>
            </w:r>
          </w:p>
        </w:tc>
        <w:tc>
          <w:tcPr>
            <w:tcW w:w="1565" w:type="dxa"/>
            <w:noWrap w:val="0"/>
            <w:vAlign w:val="center"/>
          </w:tcPr>
          <w:p w14:paraId="65B4775B">
            <w:pPr>
              <w:spacing w:line="276" w:lineRule="auto"/>
              <w:jc w:val="center"/>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中标公告</w:t>
            </w:r>
          </w:p>
        </w:tc>
        <w:tc>
          <w:tcPr>
            <w:tcW w:w="6677" w:type="dxa"/>
            <w:noWrap w:val="0"/>
            <w:vAlign w:val="center"/>
          </w:tcPr>
          <w:p w14:paraId="63C0005E">
            <w:pPr>
              <w:spacing w:line="276" w:lineRule="auto"/>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招标人将在评审结束之日起</w:t>
            </w: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w w:val="90"/>
                <w:sz w:val="24"/>
                <w:szCs w:val="24"/>
                <w:highlight w:val="none"/>
                <w14:textFill>
                  <w14:solidFill>
                    <w14:schemeClr w14:val="tx1"/>
                  </w14:solidFill>
                </w14:textFill>
              </w:rPr>
              <w:t>个工作日内确定中标（成交）单位，自中标（成交）单位确定之日起2个工作日内发出中标（成交）通知书，并发布中标公告。</w:t>
            </w:r>
          </w:p>
        </w:tc>
      </w:tr>
      <w:tr w14:paraId="45D7F4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5" w:type="dxa"/>
            <w:noWrap w:val="0"/>
            <w:vAlign w:val="center"/>
          </w:tcPr>
          <w:p w14:paraId="6AB0BBFD">
            <w:pPr>
              <w:spacing w:line="276" w:lineRule="auto"/>
              <w:jc w:val="center"/>
              <w:rPr>
                <w:rFonts w:hint="eastAsia" w:ascii="宋体" w:hAnsi="宋体" w:eastAsia="宋体" w:cs="宋体"/>
                <w:color w:val="000000" w:themeColor="text1"/>
                <w:w w:val="90"/>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2</w:t>
            </w: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0</w:t>
            </w:r>
          </w:p>
        </w:tc>
        <w:tc>
          <w:tcPr>
            <w:tcW w:w="1565" w:type="dxa"/>
            <w:noWrap w:val="0"/>
            <w:vAlign w:val="center"/>
          </w:tcPr>
          <w:p w14:paraId="53770654">
            <w:pPr>
              <w:spacing w:line="276" w:lineRule="auto"/>
              <w:jc w:val="center"/>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合同签订</w:t>
            </w:r>
          </w:p>
        </w:tc>
        <w:tc>
          <w:tcPr>
            <w:tcW w:w="6677" w:type="dxa"/>
            <w:noWrap w:val="0"/>
            <w:vAlign w:val="center"/>
          </w:tcPr>
          <w:p w14:paraId="4C314BFA">
            <w:pPr>
              <w:spacing w:line="276" w:lineRule="auto"/>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中标（成交）通知书发出后30天内，中标（成交）单位应持中标（成交）通知书完成与招标人的合同签订。</w:t>
            </w:r>
          </w:p>
        </w:tc>
      </w:tr>
      <w:tr w14:paraId="7982F2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5" w:type="dxa"/>
            <w:noWrap w:val="0"/>
            <w:vAlign w:val="center"/>
          </w:tcPr>
          <w:p w14:paraId="2E31371B">
            <w:pPr>
              <w:spacing w:line="276" w:lineRule="auto"/>
              <w:jc w:val="center"/>
              <w:rPr>
                <w:rFonts w:hint="eastAsia" w:ascii="宋体" w:hAnsi="宋体" w:eastAsia="宋体" w:cs="宋体"/>
                <w:color w:val="000000" w:themeColor="text1"/>
                <w:w w:val="90"/>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2</w:t>
            </w: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1</w:t>
            </w:r>
          </w:p>
        </w:tc>
        <w:tc>
          <w:tcPr>
            <w:tcW w:w="1565" w:type="dxa"/>
            <w:noWrap w:val="0"/>
            <w:vAlign w:val="center"/>
          </w:tcPr>
          <w:p w14:paraId="6C3E41E3">
            <w:pPr>
              <w:spacing w:line="276" w:lineRule="auto"/>
              <w:jc w:val="center"/>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投标文件有效期</w:t>
            </w:r>
          </w:p>
        </w:tc>
        <w:tc>
          <w:tcPr>
            <w:tcW w:w="6677" w:type="dxa"/>
            <w:noWrap w:val="0"/>
            <w:vAlign w:val="center"/>
          </w:tcPr>
          <w:p w14:paraId="565A05DB">
            <w:pPr>
              <w:spacing w:line="276" w:lineRule="auto"/>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u w:val="single"/>
                <w14:textFill>
                  <w14:solidFill>
                    <w14:schemeClr w14:val="tx1"/>
                  </w14:solidFill>
                </w14:textFill>
              </w:rPr>
              <w:t>自投标文件提交截止之日起</w:t>
            </w:r>
            <w:r>
              <w:rPr>
                <w:rFonts w:hint="eastAsia" w:ascii="宋体" w:hAnsi="宋体" w:eastAsia="宋体" w:cs="宋体"/>
                <w:color w:val="000000" w:themeColor="text1"/>
                <w:w w:val="90"/>
                <w:sz w:val="24"/>
                <w:szCs w:val="24"/>
                <w:highlight w:val="none"/>
                <w:u w:val="single"/>
                <w:lang w:val="en-US" w:eastAsia="zh-CN"/>
                <w14:textFill>
                  <w14:solidFill>
                    <w14:schemeClr w14:val="tx1"/>
                  </w14:solidFill>
                </w14:textFill>
              </w:rPr>
              <w:t>9</w:t>
            </w:r>
            <w:r>
              <w:rPr>
                <w:rFonts w:hint="eastAsia" w:ascii="宋体" w:hAnsi="宋体" w:eastAsia="宋体" w:cs="宋体"/>
                <w:color w:val="000000" w:themeColor="text1"/>
                <w:w w:val="90"/>
                <w:sz w:val="24"/>
                <w:szCs w:val="24"/>
                <w:highlight w:val="none"/>
                <w:u w:val="single"/>
                <w14:textFill>
                  <w14:solidFill>
                    <w14:schemeClr w14:val="tx1"/>
                  </w14:solidFill>
                </w14:textFill>
              </w:rPr>
              <w:t>0天</w:t>
            </w:r>
          </w:p>
        </w:tc>
      </w:tr>
      <w:tr w14:paraId="0C6456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5" w:type="dxa"/>
            <w:noWrap w:val="0"/>
            <w:vAlign w:val="center"/>
          </w:tcPr>
          <w:p w14:paraId="4A6250E1">
            <w:pPr>
              <w:spacing w:line="276" w:lineRule="auto"/>
              <w:jc w:val="center"/>
              <w:rPr>
                <w:rFonts w:hint="eastAsia" w:ascii="宋体" w:hAnsi="宋体" w:eastAsia="宋体" w:cs="宋体"/>
                <w:color w:val="000000" w:themeColor="text1"/>
                <w:w w:val="90"/>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22</w:t>
            </w:r>
          </w:p>
        </w:tc>
        <w:tc>
          <w:tcPr>
            <w:tcW w:w="1565" w:type="dxa"/>
            <w:noWrap w:val="0"/>
            <w:vAlign w:val="center"/>
          </w:tcPr>
          <w:p w14:paraId="433A3DA0">
            <w:pPr>
              <w:spacing w:line="276" w:lineRule="auto"/>
              <w:jc w:val="center"/>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lang w:eastAsia="zh-CN"/>
                <w14:textFill>
                  <w14:solidFill>
                    <w14:schemeClr w14:val="tx1"/>
                  </w14:solidFill>
                </w14:textFill>
              </w:rPr>
              <w:t>招标</w:t>
            </w:r>
            <w:r>
              <w:rPr>
                <w:rFonts w:hint="eastAsia" w:ascii="宋体" w:hAnsi="宋体" w:eastAsia="宋体" w:cs="宋体"/>
                <w:color w:val="000000" w:themeColor="text1"/>
                <w:w w:val="90"/>
                <w:sz w:val="24"/>
                <w:szCs w:val="24"/>
                <w:highlight w:val="none"/>
                <w14:textFill>
                  <w14:solidFill>
                    <w14:schemeClr w14:val="tx1"/>
                  </w14:solidFill>
                </w14:textFill>
              </w:rPr>
              <w:t>代理服务费</w:t>
            </w:r>
          </w:p>
        </w:tc>
        <w:tc>
          <w:tcPr>
            <w:tcW w:w="6677" w:type="dxa"/>
            <w:noWrap w:val="0"/>
            <w:vAlign w:val="center"/>
          </w:tcPr>
          <w:p w14:paraId="26D10519">
            <w:pPr>
              <w:spacing w:line="276" w:lineRule="auto"/>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lang w:eastAsia="zh-CN"/>
                <w14:textFill>
                  <w14:solidFill>
                    <w14:schemeClr w14:val="tx1"/>
                  </w14:solidFill>
                </w14:textFill>
              </w:rPr>
              <w:t>中标人在领取中标通知书同时向招标代理机构支付招标代理服务费，根据原国家计委《招标代理服务收费管理暂行办法》（[2002]1980号）的服务类收费标准按</w:t>
            </w: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w w:val="90"/>
                <w:sz w:val="24"/>
                <w:szCs w:val="24"/>
                <w:highlight w:val="none"/>
                <w:lang w:eastAsia="zh-CN"/>
                <w14:textFill>
                  <w14:solidFill>
                    <w14:schemeClr w14:val="tx1"/>
                  </w14:solidFill>
                </w14:textFill>
              </w:rPr>
              <w:t>000元计取</w:t>
            </w: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(各标段按照比例分摊支付）</w:t>
            </w:r>
            <w:r>
              <w:rPr>
                <w:rFonts w:hint="eastAsia" w:ascii="宋体" w:hAnsi="宋体" w:eastAsia="宋体" w:cs="宋体"/>
                <w:color w:val="000000" w:themeColor="text1"/>
                <w:w w:val="90"/>
                <w:sz w:val="24"/>
                <w:szCs w:val="24"/>
                <w:highlight w:val="none"/>
                <w:lang w:eastAsia="zh-CN"/>
                <w14:textFill>
                  <w14:solidFill>
                    <w14:schemeClr w14:val="tx1"/>
                  </w14:solidFill>
                </w14:textFill>
              </w:rPr>
              <w:t>。此部分费用自行考虑。</w:t>
            </w:r>
          </w:p>
          <w:p w14:paraId="7BAE1A1D">
            <w:pPr>
              <w:spacing w:line="276" w:lineRule="auto"/>
              <w:rPr>
                <w:rFonts w:hint="eastAsia" w:ascii="宋体" w:hAnsi="宋体" w:eastAsia="宋体" w:cs="宋体"/>
                <w:color w:val="000000" w:themeColor="text1"/>
                <w:w w:val="90"/>
                <w:sz w:val="24"/>
                <w:szCs w:val="24"/>
                <w:highlight w:val="none"/>
                <w:lang w:val="en-US" w:eastAsia="zh-CN"/>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户  名</w:t>
            </w:r>
            <w:r>
              <w:rPr>
                <w:rFonts w:hint="eastAsia" w:ascii="宋体" w:hAnsi="宋体" w:eastAsia="宋体" w:cs="宋体"/>
                <w:color w:val="000000" w:themeColor="text1"/>
                <w:w w:val="90"/>
                <w:sz w:val="24"/>
                <w:szCs w:val="24"/>
                <w:highlight w:val="none"/>
                <w:lang w:eastAsia="zh-CN"/>
                <w14:textFill>
                  <w14:solidFill>
                    <w14:schemeClr w14:val="tx1"/>
                  </w14:solidFill>
                </w14:textFill>
              </w:rPr>
              <w:t>：浙江之信工程项目管理有限公司</w:t>
            </w: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苍南分公司</w:t>
            </w:r>
          </w:p>
          <w:p w14:paraId="1D1C0DF1">
            <w:pPr>
              <w:spacing w:line="276" w:lineRule="auto"/>
              <w:rPr>
                <w:rFonts w:hint="eastAsia" w:ascii="宋体" w:hAnsi="宋体" w:eastAsia="宋体" w:cs="宋体"/>
                <w:color w:val="000000" w:themeColor="text1"/>
                <w:w w:val="90"/>
                <w:sz w:val="24"/>
                <w:szCs w:val="24"/>
                <w:highlight w:val="none"/>
                <w:lang w:eastAsia="zh-CN"/>
                <w14:textFill>
                  <w14:solidFill>
                    <w14:schemeClr w14:val="tx1"/>
                  </w14:solidFill>
                </w14:textFill>
              </w:rPr>
            </w:pPr>
            <w:r>
              <w:rPr>
                <w:rFonts w:hint="eastAsia" w:ascii="宋体" w:hAnsi="宋体" w:eastAsia="宋体" w:cs="宋体"/>
                <w:color w:val="000000" w:themeColor="text1"/>
                <w:w w:val="90"/>
                <w:sz w:val="24"/>
                <w:szCs w:val="24"/>
                <w:highlight w:val="none"/>
                <w:lang w:eastAsia="zh-CN"/>
                <w14:textFill>
                  <w14:solidFill>
                    <w14:schemeClr w14:val="tx1"/>
                  </w14:solidFill>
                </w14:textFill>
              </w:rPr>
              <w:t xml:space="preserve">帐  号：1203284609200032382        </w:t>
            </w:r>
          </w:p>
          <w:p w14:paraId="0BA4FC0D">
            <w:pPr>
              <w:spacing w:line="276" w:lineRule="auto"/>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lang w:eastAsia="zh-CN"/>
                <w14:textFill>
                  <w14:solidFill>
                    <w14:schemeClr w14:val="tx1"/>
                  </w14:solidFill>
                </w14:textFill>
              </w:rPr>
              <w:t>开户行：工行苍南县支行江湾分理处</w:t>
            </w:r>
          </w:p>
        </w:tc>
      </w:tr>
      <w:tr w14:paraId="01ECA4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5" w:type="dxa"/>
            <w:noWrap w:val="0"/>
            <w:vAlign w:val="center"/>
          </w:tcPr>
          <w:p w14:paraId="75CACAC7">
            <w:pPr>
              <w:spacing w:line="276" w:lineRule="auto"/>
              <w:jc w:val="center"/>
              <w:rPr>
                <w:rFonts w:hint="eastAsia" w:ascii="宋体" w:hAnsi="宋体" w:eastAsia="宋体" w:cs="宋体"/>
                <w:color w:val="000000" w:themeColor="text1"/>
                <w:w w:val="90"/>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2</w:t>
            </w: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3</w:t>
            </w:r>
          </w:p>
        </w:tc>
        <w:tc>
          <w:tcPr>
            <w:tcW w:w="1565" w:type="dxa"/>
            <w:noWrap w:val="0"/>
            <w:vAlign w:val="center"/>
          </w:tcPr>
          <w:p w14:paraId="6CFEEDE1">
            <w:pPr>
              <w:spacing w:line="276" w:lineRule="auto"/>
              <w:jc w:val="center"/>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供应商代表出席开标大会注意事项</w:t>
            </w:r>
          </w:p>
        </w:tc>
        <w:tc>
          <w:tcPr>
            <w:tcW w:w="6677" w:type="dxa"/>
            <w:noWrap w:val="0"/>
            <w:vAlign w:val="center"/>
          </w:tcPr>
          <w:p w14:paraId="185D449F">
            <w:pPr>
              <w:spacing w:line="276" w:lineRule="auto"/>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投标银行应派其</w:t>
            </w:r>
            <w:r>
              <w:rPr>
                <w:rFonts w:hint="eastAsia" w:ascii="宋体" w:hAnsi="宋体" w:eastAsia="宋体" w:cs="宋体"/>
                <w:color w:val="000000" w:themeColor="text1"/>
                <w:w w:val="90"/>
                <w:sz w:val="24"/>
                <w:szCs w:val="24"/>
                <w:highlight w:val="none"/>
                <w:lang w:eastAsia="zh-CN"/>
                <w14:textFill>
                  <w14:solidFill>
                    <w14:schemeClr w14:val="tx1"/>
                  </w14:solidFill>
                </w14:textFill>
              </w:rPr>
              <w:t>法定代表人</w:t>
            </w:r>
            <w:r>
              <w:rPr>
                <w:rFonts w:hint="eastAsia" w:ascii="宋体" w:hAnsi="宋体" w:eastAsia="宋体" w:cs="宋体"/>
                <w:color w:val="000000" w:themeColor="text1"/>
                <w:w w:val="90"/>
                <w:sz w:val="24"/>
                <w:szCs w:val="24"/>
                <w:highlight w:val="none"/>
                <w14:textFill>
                  <w14:solidFill>
                    <w14:schemeClr w14:val="tx1"/>
                  </w14:solidFill>
                </w14:textFill>
              </w:rPr>
              <w:t>或</w:t>
            </w:r>
            <w:r>
              <w:rPr>
                <w:rFonts w:hint="eastAsia" w:ascii="宋体" w:hAnsi="宋体" w:eastAsia="宋体" w:cs="宋体"/>
                <w:color w:val="000000" w:themeColor="text1"/>
                <w:w w:val="90"/>
                <w:sz w:val="24"/>
                <w:szCs w:val="24"/>
                <w:highlight w:val="none"/>
                <w:lang w:eastAsia="zh-CN"/>
                <w14:textFill>
                  <w14:solidFill>
                    <w14:schemeClr w14:val="tx1"/>
                  </w14:solidFill>
                </w14:textFill>
              </w:rPr>
              <w:t>法定代表人</w:t>
            </w:r>
            <w:r>
              <w:rPr>
                <w:rFonts w:hint="eastAsia" w:ascii="宋体" w:hAnsi="宋体" w:eastAsia="宋体" w:cs="宋体"/>
                <w:color w:val="000000" w:themeColor="text1"/>
                <w:w w:val="90"/>
                <w:sz w:val="24"/>
                <w:szCs w:val="24"/>
                <w:highlight w:val="none"/>
                <w14:textFill>
                  <w14:solidFill>
                    <w14:schemeClr w14:val="tx1"/>
                  </w14:solidFill>
                </w14:textFill>
              </w:rPr>
              <w:t>授权代表参加开标大会，否则事后不得对</w:t>
            </w:r>
            <w:r>
              <w:rPr>
                <w:rFonts w:hint="eastAsia" w:ascii="宋体" w:hAnsi="宋体" w:eastAsia="宋体" w:cs="宋体"/>
                <w:color w:val="000000" w:themeColor="text1"/>
                <w:w w:val="90"/>
                <w:sz w:val="24"/>
                <w:szCs w:val="24"/>
                <w:highlight w:val="none"/>
                <w:lang w:eastAsia="zh-CN"/>
                <w14:textFill>
                  <w14:solidFill>
                    <w14:schemeClr w14:val="tx1"/>
                  </w14:solidFill>
                </w14:textFill>
              </w:rPr>
              <w:t>招标</w:t>
            </w:r>
            <w:r>
              <w:rPr>
                <w:rFonts w:hint="eastAsia" w:ascii="宋体" w:hAnsi="宋体" w:eastAsia="宋体" w:cs="宋体"/>
                <w:color w:val="000000" w:themeColor="text1"/>
                <w:w w:val="90"/>
                <w:sz w:val="24"/>
                <w:szCs w:val="24"/>
                <w:highlight w:val="none"/>
                <w14:textFill>
                  <w14:solidFill>
                    <w14:schemeClr w14:val="tx1"/>
                  </w14:solidFill>
                </w14:textFill>
              </w:rPr>
              <w:t>相关人员、开标过程和开标结果提出异议。</w:t>
            </w:r>
          </w:p>
        </w:tc>
      </w:tr>
      <w:tr w14:paraId="00754F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5" w:type="dxa"/>
            <w:noWrap w:val="0"/>
            <w:vAlign w:val="center"/>
          </w:tcPr>
          <w:p w14:paraId="3C6D0513">
            <w:pPr>
              <w:spacing w:line="276" w:lineRule="auto"/>
              <w:jc w:val="center"/>
              <w:rPr>
                <w:rFonts w:hint="eastAsia" w:ascii="宋体" w:hAnsi="宋体" w:eastAsia="宋体" w:cs="宋体"/>
                <w:color w:val="000000" w:themeColor="text1"/>
                <w:w w:val="90"/>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2</w:t>
            </w: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4</w:t>
            </w:r>
          </w:p>
        </w:tc>
        <w:tc>
          <w:tcPr>
            <w:tcW w:w="1565" w:type="dxa"/>
            <w:noWrap w:val="0"/>
            <w:vAlign w:val="center"/>
          </w:tcPr>
          <w:p w14:paraId="27BFDA88">
            <w:pPr>
              <w:spacing w:line="276" w:lineRule="auto"/>
              <w:jc w:val="center"/>
              <w:rPr>
                <w:rFonts w:hint="eastAsia" w:ascii="宋体" w:hAnsi="宋体" w:eastAsia="宋体" w:cs="宋体"/>
                <w:b/>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重要提醒</w:t>
            </w:r>
          </w:p>
        </w:tc>
        <w:tc>
          <w:tcPr>
            <w:tcW w:w="6677" w:type="dxa"/>
            <w:noWrap w:val="0"/>
            <w:vAlign w:val="center"/>
          </w:tcPr>
          <w:p w14:paraId="13E42EB0">
            <w:pPr>
              <w:spacing w:line="276" w:lineRule="auto"/>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（1）投标银行在编制投标文件时应作出符合客观事实的真实响应，任何的“虚假响应”或者“虚假应标”均将被视为“提供虚假材料”行为，并按照“提供虚假材料”进行处理。</w:t>
            </w:r>
          </w:p>
          <w:p w14:paraId="71D57C87">
            <w:pPr>
              <w:spacing w:line="276" w:lineRule="auto"/>
              <w:rPr>
                <w:rFonts w:hint="eastAsia" w:ascii="宋体" w:hAnsi="宋体" w:eastAsia="宋体" w:cs="宋体"/>
                <w:b/>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（2）招标文件中标注“▲”的技术或商务条款均为实质性要求条款，不满足实质性要求条款的投标无效。</w:t>
            </w:r>
          </w:p>
        </w:tc>
      </w:tr>
      <w:tr w14:paraId="099E2B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5" w:type="dxa"/>
            <w:noWrap w:val="0"/>
            <w:vAlign w:val="center"/>
          </w:tcPr>
          <w:p w14:paraId="5AB5680D">
            <w:pPr>
              <w:spacing w:line="276" w:lineRule="auto"/>
              <w:jc w:val="center"/>
              <w:rPr>
                <w:rFonts w:hint="eastAsia" w:ascii="宋体" w:hAnsi="宋体" w:eastAsia="宋体" w:cs="宋体"/>
                <w:color w:val="000000" w:themeColor="text1"/>
                <w:w w:val="90"/>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2</w:t>
            </w: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5</w:t>
            </w:r>
          </w:p>
        </w:tc>
        <w:tc>
          <w:tcPr>
            <w:tcW w:w="1565" w:type="dxa"/>
            <w:noWrap w:val="0"/>
            <w:vAlign w:val="center"/>
          </w:tcPr>
          <w:p w14:paraId="77A27776">
            <w:pPr>
              <w:spacing w:line="276" w:lineRule="auto"/>
              <w:jc w:val="center"/>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解释</w:t>
            </w:r>
          </w:p>
        </w:tc>
        <w:tc>
          <w:tcPr>
            <w:tcW w:w="6677" w:type="dxa"/>
            <w:noWrap w:val="0"/>
            <w:vAlign w:val="center"/>
          </w:tcPr>
          <w:p w14:paraId="3FB4C70D">
            <w:pPr>
              <w:spacing w:line="276" w:lineRule="auto"/>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本《招标文件》电子稿与纸质版本具有同等效力，如发现不一致，请投标银行在规定的提疑时间前向</w:t>
            </w:r>
            <w:r>
              <w:rPr>
                <w:rFonts w:hint="eastAsia" w:ascii="宋体" w:hAnsi="宋体" w:eastAsia="宋体" w:cs="宋体"/>
                <w:color w:val="000000" w:themeColor="text1"/>
                <w:w w:val="90"/>
                <w:sz w:val="24"/>
                <w:szCs w:val="24"/>
                <w:highlight w:val="none"/>
                <w:lang w:eastAsia="zh-CN"/>
                <w14:textFill>
                  <w14:solidFill>
                    <w14:schemeClr w14:val="tx1"/>
                  </w14:solidFill>
                </w14:textFill>
              </w:rPr>
              <w:t>招标</w:t>
            </w:r>
            <w:r>
              <w:rPr>
                <w:rFonts w:hint="eastAsia" w:ascii="宋体" w:hAnsi="宋体" w:eastAsia="宋体" w:cs="宋体"/>
                <w:color w:val="000000" w:themeColor="text1"/>
                <w:w w:val="90"/>
                <w:sz w:val="24"/>
                <w:szCs w:val="24"/>
                <w:highlight w:val="none"/>
                <w14:textFill>
                  <w14:solidFill>
                    <w14:schemeClr w14:val="tx1"/>
                  </w14:solidFill>
                </w14:textFill>
              </w:rPr>
              <w:t>组织机构提出，招标文件的解释权属于招标人及</w:t>
            </w:r>
            <w:r>
              <w:rPr>
                <w:rFonts w:hint="eastAsia" w:ascii="宋体" w:hAnsi="宋体" w:eastAsia="宋体" w:cs="宋体"/>
                <w:color w:val="000000" w:themeColor="text1"/>
                <w:w w:val="90"/>
                <w:sz w:val="24"/>
                <w:szCs w:val="24"/>
                <w:highlight w:val="none"/>
                <w:lang w:eastAsia="zh-CN"/>
                <w14:textFill>
                  <w14:solidFill>
                    <w14:schemeClr w14:val="tx1"/>
                  </w14:solidFill>
                </w14:textFill>
              </w:rPr>
              <w:t>招标</w:t>
            </w:r>
            <w:r>
              <w:rPr>
                <w:rFonts w:hint="eastAsia" w:ascii="宋体" w:hAnsi="宋体" w:eastAsia="宋体" w:cs="宋体"/>
                <w:color w:val="000000" w:themeColor="text1"/>
                <w:w w:val="90"/>
                <w:sz w:val="24"/>
                <w:szCs w:val="24"/>
                <w:highlight w:val="none"/>
                <w14:textFill>
                  <w14:solidFill>
                    <w14:schemeClr w14:val="tx1"/>
                  </w14:solidFill>
                </w14:textFill>
              </w:rPr>
              <w:t>组织机构所有。</w:t>
            </w:r>
          </w:p>
        </w:tc>
      </w:tr>
    </w:tbl>
    <w:p w14:paraId="33AEC7B3">
      <w:pPr>
        <w:rPr>
          <w:rFonts w:hint="eastAsia" w:ascii="宋体" w:hAnsi="宋体" w:eastAsia="宋体" w:cs="宋体"/>
          <w:color w:val="000000" w:themeColor="text1"/>
          <w:highlight w:val="none"/>
          <w14:textFill>
            <w14:solidFill>
              <w14:schemeClr w14:val="tx1"/>
            </w14:solidFill>
          </w14:textFill>
        </w:rPr>
      </w:pPr>
      <w:bookmarkStart w:id="33" w:name="_Toc424164154"/>
    </w:p>
    <w:p w14:paraId="3575FB46">
      <w:pPr>
        <w:rPr>
          <w:rFonts w:hint="eastAsia" w:ascii="宋体" w:hAnsi="宋体" w:eastAsia="宋体" w:cs="宋体"/>
          <w:color w:val="000000" w:themeColor="text1"/>
          <w:highlight w:val="none"/>
          <w14:textFill>
            <w14:solidFill>
              <w14:schemeClr w14:val="tx1"/>
            </w14:solidFill>
          </w14:textFill>
        </w:rPr>
      </w:pPr>
    </w:p>
    <w:p w14:paraId="594CA803">
      <w:pPr>
        <w:rPr>
          <w:rFonts w:hint="eastAsia" w:ascii="宋体" w:hAnsi="宋体" w:eastAsia="宋体" w:cs="宋体"/>
          <w:color w:val="000000" w:themeColor="text1"/>
          <w:highlight w:val="none"/>
          <w14:textFill>
            <w14:solidFill>
              <w14:schemeClr w14:val="tx1"/>
            </w14:solidFill>
          </w14:textFill>
        </w:rPr>
      </w:pPr>
    </w:p>
    <w:p w14:paraId="799802D3">
      <w:pPr>
        <w:pStyle w:val="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34" w:name="_Toc452032117"/>
      <w:bookmarkStart w:id="35" w:name="_Toc115"/>
      <w:bookmarkStart w:id="36" w:name="_Toc13057"/>
      <w:bookmarkStart w:id="37" w:name="_Toc23788"/>
      <w:bookmarkStart w:id="38" w:name="_Toc446950603"/>
      <w:bookmarkStart w:id="39" w:name="_Toc32637"/>
      <w:bookmarkStart w:id="40" w:name="_Toc29702"/>
      <w:bookmarkStart w:id="41" w:name="_Toc440162786"/>
      <w:r>
        <w:rPr>
          <w:rFonts w:hint="eastAsia" w:ascii="宋体" w:hAnsi="宋体" w:eastAsia="宋体" w:cs="宋体"/>
          <w:color w:val="000000" w:themeColor="text1"/>
          <w:highlight w:val="none"/>
          <w14:textFill>
            <w14:solidFill>
              <w14:schemeClr w14:val="tx1"/>
            </w14:solidFill>
          </w14:textFill>
        </w:rPr>
        <w:t>一、总则</w:t>
      </w:r>
      <w:bookmarkEnd w:id="33"/>
      <w:bookmarkEnd w:id="34"/>
      <w:bookmarkEnd w:id="35"/>
      <w:bookmarkEnd w:id="36"/>
      <w:bookmarkEnd w:id="37"/>
      <w:bookmarkEnd w:id="38"/>
      <w:bookmarkEnd w:id="39"/>
      <w:bookmarkEnd w:id="40"/>
      <w:bookmarkEnd w:id="41"/>
    </w:p>
    <w:p w14:paraId="16A8C090">
      <w:pPr>
        <w:jc w:val="left"/>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1、实施依据及适用范围</w:t>
      </w:r>
    </w:p>
    <w:p w14:paraId="02BB52A1">
      <w:pPr>
        <w:ind w:firstLine="460" w:firstLineChars="19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1.1实施依据：本次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工作是</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根据《浙江省财政厅关于印发浙江省省级行政事业单位公款竞争性存放管理办法的通知》（浙财预执〔2021〕7号）、《苍南县县级预算单位公款竞争性存放管理暂行办法》（苍政办〔2019〕7号）</w:t>
      </w:r>
      <w:r>
        <w:rPr>
          <w:rFonts w:hint="eastAsia" w:ascii="宋体" w:hAnsi="宋体" w:eastAsia="宋体" w:cs="宋体"/>
          <w:color w:val="000000" w:themeColor="text1"/>
          <w:kern w:val="0"/>
          <w:sz w:val="24"/>
          <w:szCs w:val="24"/>
          <w:highlight w:val="none"/>
          <w14:textFill>
            <w14:solidFill>
              <w14:schemeClr w14:val="tx1"/>
            </w14:solidFill>
          </w14:textFill>
        </w:rPr>
        <w:t>有关规定组织和实施。</w:t>
      </w:r>
    </w:p>
    <w:p w14:paraId="1EF58702">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1.2本《招标文件》适用于</w:t>
      </w:r>
      <w:r>
        <w:rPr>
          <w:rFonts w:hint="eastAsia" w:ascii="宋体" w:hAnsi="宋体" w:eastAsia="宋体" w:cs="宋体"/>
          <w:b/>
          <w:color w:val="000000" w:themeColor="text1"/>
          <w:kern w:val="0"/>
          <w:sz w:val="24"/>
          <w:szCs w:val="24"/>
          <w:highlight w:val="none"/>
          <w:u w:val="single"/>
          <w:lang w:eastAsia="zh-CN"/>
          <w14:textFill>
            <w14:solidFill>
              <w14:schemeClr w14:val="tx1"/>
            </w14:solidFill>
          </w14:textFill>
        </w:rPr>
        <w:t>2025年度苍南县测绘院公款竞争性存放项目</w:t>
      </w:r>
      <w:r>
        <w:rPr>
          <w:rFonts w:hint="eastAsia" w:ascii="宋体" w:hAnsi="宋体" w:eastAsia="宋体" w:cs="宋体"/>
          <w:color w:val="000000" w:themeColor="text1"/>
          <w:kern w:val="0"/>
          <w:sz w:val="24"/>
          <w:szCs w:val="24"/>
          <w:highlight w:val="none"/>
          <w14:textFill>
            <w14:solidFill>
              <w14:schemeClr w14:val="tx1"/>
            </w14:solidFill>
          </w14:textFill>
        </w:rPr>
        <w:t>的招标、评标、定标、验收、合同履约等（法律、法规另有规定的，从其规定）。</w:t>
      </w:r>
    </w:p>
    <w:p w14:paraId="6D750B4F">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2、定义</w:t>
      </w:r>
    </w:p>
    <w:p w14:paraId="4AE36112">
      <w:pPr>
        <w:ind w:firstLine="456" w:firstLineChars="19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2.1“招标人”系指提出本次招标的“</w:t>
      </w:r>
      <w:r>
        <w:rPr>
          <w:rFonts w:hint="eastAsia" w:ascii="宋体" w:hAnsi="宋体" w:eastAsia="宋体" w:cs="宋体"/>
          <w:b/>
          <w:color w:val="000000" w:themeColor="text1"/>
          <w:kern w:val="0"/>
          <w:sz w:val="24"/>
          <w:szCs w:val="24"/>
          <w:highlight w:val="none"/>
          <w:lang w:eastAsia="zh-CN"/>
          <w14:textFill>
            <w14:solidFill>
              <w14:schemeClr w14:val="tx1"/>
            </w14:solidFill>
          </w14:textFill>
        </w:rPr>
        <w:t>苍南县测绘院</w:t>
      </w:r>
      <w:r>
        <w:rPr>
          <w:rFonts w:hint="eastAsia" w:ascii="宋体" w:hAnsi="宋体" w:eastAsia="宋体" w:cs="宋体"/>
          <w:b/>
          <w:color w:val="000000" w:themeColor="text1"/>
          <w:kern w:val="0"/>
          <w:sz w:val="24"/>
          <w:szCs w:val="24"/>
          <w:highlight w:val="none"/>
          <w14:textFill>
            <w14:solidFill>
              <w14:schemeClr w14:val="tx1"/>
            </w14:solidFill>
          </w14:textFill>
        </w:rPr>
        <w:t>”，即合同中的“甲方”</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0FD5E841">
      <w:pPr>
        <w:ind w:firstLine="456" w:firstLineChars="19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2.2“</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组织机构（或</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代理机构）”均系指受招标人委托组织本次招标活动的</w:t>
      </w:r>
      <w:r>
        <w:rPr>
          <w:rFonts w:hint="eastAsia" w:ascii="宋体" w:hAnsi="宋体" w:eastAsia="宋体" w:cs="宋体"/>
          <w:b/>
          <w:color w:val="000000" w:themeColor="text1"/>
          <w:kern w:val="0"/>
          <w:sz w:val="24"/>
          <w:szCs w:val="24"/>
          <w:highlight w:val="none"/>
          <w14:textFill>
            <w14:solidFill>
              <w14:schemeClr w14:val="tx1"/>
            </w14:solidFill>
          </w14:textFill>
        </w:rPr>
        <w:t>“</w:t>
      </w:r>
      <w:r>
        <w:rPr>
          <w:rFonts w:hint="eastAsia" w:ascii="宋体" w:hAnsi="宋体" w:eastAsia="宋体" w:cs="宋体"/>
          <w:b/>
          <w:color w:val="000000" w:themeColor="text1"/>
          <w:kern w:val="0"/>
          <w:sz w:val="24"/>
          <w:szCs w:val="24"/>
          <w:highlight w:val="none"/>
          <w:lang w:eastAsia="zh-CN"/>
          <w14:textFill>
            <w14:solidFill>
              <w14:schemeClr w14:val="tx1"/>
            </w14:solidFill>
          </w14:textFill>
        </w:rPr>
        <w:t>浙江之信工程项目管理有限公司</w:t>
      </w:r>
      <w:r>
        <w:rPr>
          <w:rFonts w:hint="eastAsia" w:ascii="宋体" w:hAnsi="宋体" w:eastAsia="宋体" w:cs="宋体"/>
          <w:b/>
          <w:color w:val="000000" w:themeColor="text1"/>
          <w:kern w:val="0"/>
          <w:sz w:val="24"/>
          <w:szCs w:val="24"/>
          <w:highlight w:val="none"/>
          <w14:textFill>
            <w14:solidFill>
              <w14:schemeClr w14:val="tx1"/>
            </w14:solidFill>
          </w14:textFill>
        </w:rPr>
        <w:t>”；</w:t>
      </w:r>
    </w:p>
    <w:p w14:paraId="71F1A4EC">
      <w:pPr>
        <w:ind w:firstLine="456" w:firstLineChars="19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2.3“投标银行”系指在规定的时间和地点向招标人提交投标响应文件的供应商。</w:t>
      </w:r>
    </w:p>
    <w:p w14:paraId="62BA70E0">
      <w:pPr>
        <w:ind w:firstLine="456" w:firstLineChars="19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2.4“投标银行代表”</w:t>
      </w:r>
      <w:r>
        <w:rPr>
          <w:rFonts w:hint="eastAsia" w:ascii="宋体" w:hAnsi="宋体" w:eastAsia="宋体" w:cs="宋体"/>
          <w:color w:val="000000" w:themeColor="text1"/>
          <w:sz w:val="24"/>
          <w:szCs w:val="24"/>
          <w:highlight w:val="none"/>
          <w14:textFill>
            <w14:solidFill>
              <w14:schemeClr w14:val="tx1"/>
            </w14:solidFill>
          </w14:textFill>
        </w:rPr>
        <w:t>是指参加本项目投标活动的投标银行的</w:t>
      </w:r>
      <w:r>
        <w:rPr>
          <w:rFonts w:hint="eastAsia" w:ascii="宋体" w:hAnsi="宋体" w:eastAsia="宋体" w:cs="宋体"/>
          <w:color w:val="000000" w:themeColor="text1"/>
          <w:sz w:val="24"/>
          <w:szCs w:val="24"/>
          <w:highlight w:val="none"/>
          <w:lang w:eastAsia="zh-CN"/>
          <w14:textFill>
            <w14:solidFill>
              <w14:schemeClr w14:val="tx1"/>
            </w14:solidFill>
          </w14:textFill>
        </w:rPr>
        <w:t>法定代表人</w:t>
      </w:r>
      <w:r>
        <w:rPr>
          <w:rFonts w:hint="eastAsia" w:ascii="宋体" w:hAnsi="宋体" w:eastAsia="宋体" w:cs="宋体"/>
          <w:color w:val="000000" w:themeColor="text1"/>
          <w:sz w:val="24"/>
          <w:szCs w:val="24"/>
          <w:highlight w:val="none"/>
          <w14:textFill>
            <w14:solidFill>
              <w14:schemeClr w14:val="tx1"/>
            </w14:solidFill>
          </w14:textFill>
        </w:rPr>
        <w:t>或</w:t>
      </w:r>
      <w:r>
        <w:rPr>
          <w:rFonts w:hint="eastAsia" w:ascii="宋体" w:hAnsi="宋体" w:eastAsia="宋体" w:cs="宋体"/>
          <w:color w:val="000000" w:themeColor="text1"/>
          <w:sz w:val="24"/>
          <w:szCs w:val="24"/>
          <w:highlight w:val="none"/>
          <w:lang w:eastAsia="zh-CN"/>
          <w14:textFill>
            <w14:solidFill>
              <w14:schemeClr w14:val="tx1"/>
            </w14:solidFill>
          </w14:textFill>
        </w:rPr>
        <w:t>法定代表人</w:t>
      </w:r>
      <w:r>
        <w:rPr>
          <w:rFonts w:hint="eastAsia" w:ascii="宋体" w:hAnsi="宋体" w:eastAsia="宋体" w:cs="宋体"/>
          <w:color w:val="000000" w:themeColor="text1"/>
          <w:sz w:val="24"/>
          <w:szCs w:val="24"/>
          <w:highlight w:val="none"/>
          <w14:textFill>
            <w14:solidFill>
              <w14:schemeClr w14:val="tx1"/>
            </w14:solidFill>
          </w14:textFill>
        </w:rPr>
        <w:t>授权代表。</w:t>
      </w:r>
    </w:p>
    <w:p w14:paraId="7A63C5DD">
      <w:pPr>
        <w:ind w:firstLine="456" w:firstLineChars="19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2.5“中标（成交）供应商”系指经评审小组推荐并经招标人确认的中标成交单位，</w:t>
      </w:r>
      <w:r>
        <w:rPr>
          <w:rFonts w:hint="eastAsia" w:ascii="宋体" w:hAnsi="宋体" w:eastAsia="宋体" w:cs="宋体"/>
          <w:b/>
          <w:color w:val="000000" w:themeColor="text1"/>
          <w:kern w:val="0"/>
          <w:sz w:val="24"/>
          <w:szCs w:val="24"/>
          <w:highlight w:val="none"/>
          <w14:textFill>
            <w14:solidFill>
              <w14:schemeClr w14:val="tx1"/>
            </w14:solidFill>
          </w14:textFill>
        </w:rPr>
        <w:t>即合同中的“乙方”</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29876045">
      <w:pPr>
        <w:ind w:firstLine="456" w:firstLineChars="19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2.6“产品”系指投标银行按《招标文件》规定向招标人提供的存款存放服务。</w:t>
      </w:r>
    </w:p>
    <w:p w14:paraId="2EBA337C">
      <w:pPr>
        <w:ind w:firstLine="456" w:firstLineChars="19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2.7“书面形式”系指加盖有单位公章的信函、传真、电子扫描件等。</w:t>
      </w:r>
    </w:p>
    <w:p w14:paraId="35BAA0CB">
      <w:pPr>
        <w:ind w:firstLine="456" w:firstLineChars="19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2.8“个人有效身份证明”系指公安部门出具的“有效居民身份证”或“护照”或“驾驶证”。</w:t>
      </w:r>
    </w:p>
    <w:p w14:paraId="7919AB45">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3、</w:t>
      </w:r>
      <w:r>
        <w:rPr>
          <w:rFonts w:hint="eastAsia" w:ascii="宋体" w:hAnsi="宋体" w:eastAsia="宋体" w:cs="宋体"/>
          <w:b/>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b/>
          <w:color w:val="000000" w:themeColor="text1"/>
          <w:kern w:val="0"/>
          <w:sz w:val="24"/>
          <w:szCs w:val="24"/>
          <w:highlight w:val="none"/>
          <w14:textFill>
            <w14:solidFill>
              <w14:schemeClr w14:val="tx1"/>
            </w14:solidFill>
          </w14:textFill>
        </w:rPr>
        <w:t>方式和</w:t>
      </w:r>
      <w:r>
        <w:rPr>
          <w:rFonts w:hint="eastAsia" w:ascii="宋体" w:hAnsi="宋体" w:eastAsia="宋体" w:cs="宋体"/>
          <w:b/>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b/>
          <w:color w:val="000000" w:themeColor="text1"/>
          <w:kern w:val="0"/>
          <w:sz w:val="24"/>
          <w:szCs w:val="24"/>
          <w:highlight w:val="none"/>
          <w14:textFill>
            <w14:solidFill>
              <w14:schemeClr w14:val="tx1"/>
            </w14:solidFill>
          </w14:textFill>
        </w:rPr>
        <w:t>组织类型</w:t>
      </w:r>
    </w:p>
    <w:p w14:paraId="2B9941F2">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组织类型：</w:t>
      </w:r>
      <w:r>
        <w:rPr>
          <w:rFonts w:hint="eastAsia" w:ascii="宋体" w:hAnsi="宋体" w:eastAsia="宋体" w:cs="宋体"/>
          <w:b/>
          <w:color w:val="000000" w:themeColor="text1"/>
          <w:kern w:val="0"/>
          <w:sz w:val="24"/>
          <w:szCs w:val="24"/>
          <w:highlight w:val="none"/>
          <w14:textFill>
            <w14:solidFill>
              <w14:schemeClr w14:val="tx1"/>
            </w14:solidFill>
          </w14:textFill>
        </w:rPr>
        <w:t>委托代理。</w:t>
      </w:r>
    </w:p>
    <w:p w14:paraId="393B0943">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4、投标委托</w:t>
      </w:r>
    </w:p>
    <w:p w14:paraId="0CC22611">
      <w:pPr>
        <w:ind w:firstLine="463" w:firstLineChars="192"/>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投标银行的法定代表人可以授权其单位的其他在职员工全权处理本次投标事项，但其授权代表必须持有法定代表人出具的授权委托书，</w:t>
      </w:r>
      <w:r>
        <w:rPr>
          <w:rFonts w:hint="eastAsia" w:ascii="宋体" w:hAnsi="宋体" w:eastAsia="宋体" w:cs="宋体"/>
          <w:b/>
          <w:color w:val="000000" w:themeColor="text1"/>
          <w:kern w:val="0"/>
          <w:sz w:val="24"/>
          <w:szCs w:val="24"/>
          <w:highlight w:val="none"/>
          <w:lang w:eastAsia="zh-CN"/>
          <w14:textFill>
            <w14:solidFill>
              <w14:schemeClr w14:val="tx1"/>
            </w14:solidFill>
          </w14:textFill>
        </w:rPr>
        <w:t>法定代表人</w:t>
      </w:r>
      <w:r>
        <w:rPr>
          <w:rFonts w:hint="eastAsia" w:ascii="宋体" w:hAnsi="宋体" w:eastAsia="宋体" w:cs="宋体"/>
          <w:b/>
          <w:color w:val="000000" w:themeColor="text1"/>
          <w:sz w:val="24"/>
          <w:szCs w:val="24"/>
          <w:highlight w:val="none"/>
          <w14:textFill>
            <w14:solidFill>
              <w14:schemeClr w14:val="tx1"/>
            </w14:solidFill>
          </w14:textFill>
        </w:rPr>
        <w:t>授权委托书必须经法定代表人签字（或盖章），否则视为无效授权（等同未提供）。</w:t>
      </w:r>
    </w:p>
    <w:p w14:paraId="563FEE07">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5、投标费用</w:t>
      </w:r>
    </w:p>
    <w:p w14:paraId="201BF007">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不论投标结果如何，投标银行均应自行承担所有与投标有关的全部费用，</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组织机构概不负责。</w:t>
      </w:r>
    </w:p>
    <w:p w14:paraId="7C1B9D16">
      <w:pPr>
        <w:ind w:firstLine="426"/>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6、联合体投标：不接受。</w:t>
      </w:r>
    </w:p>
    <w:p w14:paraId="2708B8F7">
      <w:pPr>
        <w:ind w:firstLine="446"/>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7、关联供应商投标限制：隶属于同一</w:t>
      </w:r>
      <w:r>
        <w:rPr>
          <w:rFonts w:hint="eastAsia" w:ascii="宋体" w:hAnsi="宋体" w:eastAsia="宋体" w:cs="宋体"/>
          <w:b/>
          <w:color w:val="000000" w:themeColor="text1"/>
          <w:kern w:val="0"/>
          <w:sz w:val="24"/>
          <w:szCs w:val="24"/>
          <w:highlight w:val="none"/>
          <w:lang w:eastAsia="zh-CN"/>
          <w14:textFill>
            <w14:solidFill>
              <w14:schemeClr w14:val="tx1"/>
            </w14:solidFill>
          </w14:textFill>
        </w:rPr>
        <w:t>法定代表人</w:t>
      </w:r>
      <w:r>
        <w:rPr>
          <w:rFonts w:hint="eastAsia" w:ascii="宋体" w:hAnsi="宋体" w:eastAsia="宋体" w:cs="宋体"/>
          <w:b/>
          <w:color w:val="000000" w:themeColor="text1"/>
          <w:kern w:val="0"/>
          <w:sz w:val="24"/>
          <w:szCs w:val="24"/>
          <w:highlight w:val="none"/>
          <w14:textFill>
            <w14:solidFill>
              <w14:schemeClr w14:val="tx1"/>
            </w14:solidFill>
          </w14:textFill>
        </w:rPr>
        <w:t>的银行机构不得同时参加本次项目同一合同项下的投标。</w:t>
      </w:r>
    </w:p>
    <w:p w14:paraId="0D05FED9">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8、转包、分包：不允许。</w:t>
      </w:r>
    </w:p>
    <w:p w14:paraId="39F828A7">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9、特别说明：</w:t>
      </w:r>
    </w:p>
    <w:p w14:paraId="54BA43AD">
      <w:pPr>
        <w:ind w:left="-36" w:leftChars="-15" w:firstLine="496" w:firstLineChars="207"/>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9.1除采用最低评标价法的项目外，直接或者间接受招标人控制的当事人，或者与招标人受共同上级控制的当事人，为本次招标进行设计或编制规范和其他文件的当事人，或者直接或间接地与为本次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进行设计或编制规范、其他文件的个人、企业、</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代理机构或其附属机构有关联关系的当事人，不得参加本项目投标。</w:t>
      </w:r>
    </w:p>
    <w:p w14:paraId="77E9B4CA">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9.2投标银行投标所使用的资格、信誉、荣誉、投标银行业绩与企业认证必须为本</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法定代表人</w:t>
      </w:r>
      <w:r>
        <w:rPr>
          <w:rFonts w:hint="eastAsia" w:ascii="宋体" w:hAnsi="宋体" w:eastAsia="宋体" w:cs="宋体"/>
          <w:color w:val="000000" w:themeColor="text1"/>
          <w:kern w:val="0"/>
          <w:sz w:val="24"/>
          <w:szCs w:val="24"/>
          <w:highlight w:val="none"/>
          <w14:textFill>
            <w14:solidFill>
              <w14:schemeClr w14:val="tx1"/>
            </w14:solidFill>
          </w14:textFill>
        </w:rPr>
        <w:t>所拥有。</w:t>
      </w:r>
    </w:p>
    <w:p w14:paraId="768AEF3D">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9.3投标银行在投标活动中提供任何虚假材料或从事其他违法活动的，其投标无效，并报监管部门查处；中标后发现的，须依照相关规定双倍赔偿给招标人。且民事赔偿并不免除违法投标银行的行政与刑事责任。</w:t>
      </w:r>
    </w:p>
    <w:p w14:paraId="68F467DA">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9.4投标银行应仔细阅读《招标文件》的所有内容，按照《招标文件》的要求提交《投标文件》。《投标文件》应对《招标文件》的要求作出实质性响应，并对所提供的全部资料的真实性承担法律责任。</w:t>
      </w:r>
    </w:p>
    <w:p w14:paraId="2339BCD0">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10、质疑和投诉</w:t>
      </w:r>
    </w:p>
    <w:p w14:paraId="506D050F">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10.1</w:t>
      </w:r>
      <w:r>
        <w:rPr>
          <w:rFonts w:hint="eastAsia" w:ascii="宋体" w:hAnsi="宋体" w:eastAsia="宋体" w:cs="宋体"/>
          <w:color w:val="000000" w:themeColor="text1"/>
          <w:sz w:val="24"/>
          <w:szCs w:val="24"/>
          <w:highlight w:val="none"/>
          <w14:textFill>
            <w14:solidFill>
              <w14:schemeClr w14:val="tx1"/>
            </w14:solidFill>
          </w14:textFill>
        </w:rPr>
        <w:t>如发现招标文件存在含糊不清、相互矛盾、多种含义以及歧视性不公正条款或违法违规等内容时，请在规定的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提</w:t>
      </w:r>
      <w:r>
        <w:rPr>
          <w:rFonts w:hint="eastAsia" w:ascii="宋体" w:hAnsi="宋体" w:eastAsia="宋体" w:cs="宋体"/>
          <w:color w:val="000000" w:themeColor="text1"/>
          <w:sz w:val="24"/>
          <w:szCs w:val="24"/>
          <w:highlight w:val="none"/>
          <w14:textFill>
            <w14:solidFill>
              <w14:schemeClr w14:val="tx1"/>
            </w14:solidFill>
          </w14:textFill>
        </w:rPr>
        <w:t>疑截止时间前提出，逾期</w:t>
      </w:r>
      <w:r>
        <w:rPr>
          <w:rFonts w:hint="eastAsia" w:ascii="宋体" w:hAnsi="宋体" w:eastAsia="宋体" w:cs="宋体"/>
          <w:color w:val="000000" w:themeColor="text1"/>
          <w:sz w:val="24"/>
          <w:szCs w:val="24"/>
          <w:highlight w:val="none"/>
          <w:lang w:val="en-US" w:eastAsia="zh-CN"/>
          <w14:textFill>
            <w14:solidFill>
              <w14:schemeClr w14:val="tx1"/>
            </w14:solidFill>
          </w14:textFill>
        </w:rPr>
        <w:t>不接收</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14:textFill>
            <w14:solidFill>
              <w14:schemeClr w14:val="tx1"/>
            </w14:solidFill>
          </w14:textFill>
        </w:rPr>
        <w:t>投标银行对</w:t>
      </w:r>
      <w:r>
        <w:rPr>
          <w:rFonts w:hint="eastAsia" w:ascii="宋体" w:hAnsi="宋体" w:eastAsia="宋体" w:cs="宋体"/>
          <w:color w:val="000000" w:themeColor="text1"/>
          <w:kern w:val="2"/>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2"/>
          <w:sz w:val="24"/>
          <w:szCs w:val="24"/>
          <w:highlight w:val="none"/>
          <w14:textFill>
            <w14:solidFill>
              <w14:schemeClr w14:val="tx1"/>
            </w14:solidFill>
          </w14:textFill>
        </w:rPr>
        <w:t>组织机构的质疑答复不满意或者</w:t>
      </w:r>
      <w:r>
        <w:rPr>
          <w:rFonts w:hint="eastAsia" w:ascii="宋体" w:hAnsi="宋体" w:eastAsia="宋体" w:cs="宋体"/>
          <w:color w:val="000000" w:themeColor="text1"/>
          <w:kern w:val="2"/>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2"/>
          <w:sz w:val="24"/>
          <w:szCs w:val="24"/>
          <w:highlight w:val="none"/>
          <w14:textFill>
            <w14:solidFill>
              <w14:schemeClr w14:val="tx1"/>
            </w14:solidFill>
          </w14:textFill>
        </w:rPr>
        <w:t>组织机构未在规定时间内作出答复的，可以在答复期满后十五个工作日内向监管部门投诉。</w:t>
      </w:r>
    </w:p>
    <w:p w14:paraId="5D6C4135">
      <w:pPr>
        <w:pStyle w:val="90"/>
        <w:spacing w:line="360" w:lineRule="auto"/>
        <w:ind w:firstLine="442"/>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10.1.</w:t>
      </w:r>
      <w:r>
        <w:rPr>
          <w:rFonts w:hint="eastAsia" w:ascii="宋体" w:hAnsi="宋体" w:eastAsia="宋体" w:cs="宋体"/>
          <w:b/>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color w:val="000000" w:themeColor="text1"/>
          <w:sz w:val="24"/>
          <w:szCs w:val="24"/>
          <w:highlight w:val="none"/>
          <w14:textFill>
            <w14:solidFill>
              <w14:schemeClr w14:val="tx1"/>
            </w14:solidFill>
          </w14:textFill>
        </w:rPr>
        <w:t>质疑书须包括以下内容：</w:t>
      </w:r>
    </w:p>
    <w:p w14:paraId="69A7FA15">
      <w:pPr>
        <w:pStyle w:val="90"/>
        <w:spacing w:line="360" w:lineRule="auto"/>
        <w:ind w:firstLine="4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（一）质疑人的名称、地址、邮政编码、联系人、联系电话、</w:t>
      </w:r>
      <w:r>
        <w:rPr>
          <w:rFonts w:hint="eastAsia" w:ascii="宋体" w:hAnsi="宋体" w:eastAsia="宋体" w:cs="宋体"/>
          <w:color w:val="000000" w:themeColor="text1"/>
          <w:sz w:val="24"/>
          <w:szCs w:val="24"/>
          <w:highlight w:val="none"/>
          <w:lang w:eastAsia="zh-CN"/>
          <w14:textFill>
            <w14:solidFill>
              <w14:schemeClr w14:val="tx1"/>
            </w14:solidFill>
          </w14:textFill>
        </w:rPr>
        <w:t>法定代表人</w:t>
      </w:r>
      <w:r>
        <w:rPr>
          <w:rFonts w:hint="eastAsia" w:ascii="宋体" w:hAnsi="宋体" w:eastAsia="宋体" w:cs="宋体"/>
          <w:color w:val="000000" w:themeColor="text1"/>
          <w:sz w:val="24"/>
          <w:szCs w:val="24"/>
          <w:highlight w:val="none"/>
          <w14:textFill>
            <w14:solidFill>
              <w14:schemeClr w14:val="tx1"/>
            </w14:solidFill>
          </w14:textFill>
        </w:rPr>
        <w:t>签字或盖章；</w:t>
      </w:r>
    </w:p>
    <w:p w14:paraId="3D813D4E">
      <w:pPr>
        <w:pStyle w:val="90"/>
        <w:spacing w:line="360" w:lineRule="auto"/>
        <w:ind w:firstLine="4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（二）被质疑</w:t>
      </w:r>
      <w:r>
        <w:rPr>
          <w:rFonts w:hint="eastAsia" w:ascii="宋体" w:hAnsi="宋体" w:eastAsia="宋体" w:cs="宋体"/>
          <w:color w:val="000000" w:themeColor="text1"/>
          <w:sz w:val="24"/>
          <w:szCs w:val="24"/>
          <w:highlight w:val="none"/>
          <w:lang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项目名称、编号及</w:t>
      </w:r>
      <w:r>
        <w:rPr>
          <w:rFonts w:hint="eastAsia" w:ascii="宋体" w:hAnsi="宋体" w:eastAsia="宋体" w:cs="宋体"/>
          <w:color w:val="000000" w:themeColor="text1"/>
          <w:sz w:val="24"/>
          <w:szCs w:val="24"/>
          <w:highlight w:val="none"/>
          <w:lang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内容；</w:t>
      </w:r>
    </w:p>
    <w:p w14:paraId="1BE82484">
      <w:pPr>
        <w:pStyle w:val="90"/>
        <w:spacing w:line="360" w:lineRule="auto"/>
        <w:ind w:firstLine="4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（三）具体的质疑事项及事实依据；</w:t>
      </w:r>
    </w:p>
    <w:p w14:paraId="3017CAFF">
      <w:pPr>
        <w:pStyle w:val="90"/>
        <w:spacing w:line="360" w:lineRule="auto"/>
        <w:ind w:firstLine="4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（四）认为自己合法权益受到损害或可能受到损害的相关证据材料；</w:t>
      </w:r>
    </w:p>
    <w:p w14:paraId="41C7D50D">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（五）提出质疑的日期。</w:t>
      </w:r>
    </w:p>
    <w:p w14:paraId="58DE62F2">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10.2投标银行认可</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组织机构在质疑答复程序中启用的调查和重新评审等程序，在该程序操作过程未明显违反法律禁止性规定时，不得再提出异议。</w:t>
      </w:r>
    </w:p>
    <w:p w14:paraId="1C8DDB62">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10.3质疑、投诉应当采用书面形式，经</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法定代表人</w:t>
      </w:r>
      <w:r>
        <w:rPr>
          <w:rFonts w:hint="eastAsia" w:ascii="宋体" w:hAnsi="宋体" w:eastAsia="宋体" w:cs="宋体"/>
          <w:color w:val="000000" w:themeColor="text1"/>
          <w:kern w:val="0"/>
          <w:sz w:val="24"/>
          <w:szCs w:val="24"/>
          <w:highlight w:val="none"/>
          <w14:textFill>
            <w14:solidFill>
              <w14:schemeClr w14:val="tx1"/>
            </w14:solidFill>
          </w14:textFill>
        </w:rPr>
        <w:t>或其授权代表签署后加盖单位公章，质疑书、投诉书均应明确阐述《招标文件》、招标过程和中标结果中使自己合法权益受到损害的实质性内容，供应商提出的质疑、投诉应当有明确的诉求（即通过质疑所要达到的具体目标）和必要的证明材料（即通过合法手段获得的能够证明供应商的诉求成立的必要材料）。</w:t>
      </w:r>
    </w:p>
    <w:p w14:paraId="5845D158">
      <w:pPr>
        <w:pStyle w:val="3"/>
        <w:rPr>
          <w:rFonts w:hint="eastAsia" w:ascii="宋体" w:hAnsi="宋体" w:eastAsia="宋体" w:cs="宋体"/>
          <w:color w:val="000000" w:themeColor="text1"/>
          <w:highlight w:val="none"/>
          <w14:textFill>
            <w14:solidFill>
              <w14:schemeClr w14:val="tx1"/>
            </w14:solidFill>
          </w14:textFill>
        </w:rPr>
      </w:pPr>
      <w:bookmarkStart w:id="42" w:name="_Toc424164155"/>
      <w:bookmarkStart w:id="43" w:name="_Toc446950604"/>
      <w:bookmarkStart w:id="44" w:name="_Toc6997"/>
      <w:bookmarkStart w:id="45" w:name="_Toc12657"/>
      <w:bookmarkStart w:id="46" w:name="_Toc29347"/>
      <w:bookmarkStart w:id="47" w:name="_Toc28380"/>
      <w:bookmarkStart w:id="48" w:name="_Toc440162787"/>
      <w:bookmarkStart w:id="49" w:name="_Toc452032118"/>
      <w:bookmarkStart w:id="50" w:name="_Toc18923"/>
      <w:r>
        <w:rPr>
          <w:rFonts w:hint="eastAsia" w:ascii="宋体" w:hAnsi="宋体" w:eastAsia="宋体" w:cs="宋体"/>
          <w:color w:val="000000" w:themeColor="text1"/>
          <w:highlight w:val="none"/>
          <w14:textFill>
            <w14:solidFill>
              <w14:schemeClr w14:val="tx1"/>
            </w14:solidFill>
          </w14:textFill>
        </w:rPr>
        <w:t>二、《招标文件》</w:t>
      </w:r>
      <w:bookmarkEnd w:id="42"/>
      <w:r>
        <w:rPr>
          <w:rFonts w:hint="eastAsia" w:ascii="宋体" w:hAnsi="宋体" w:eastAsia="宋体" w:cs="宋体"/>
          <w:color w:val="000000" w:themeColor="text1"/>
          <w:highlight w:val="none"/>
          <w14:textFill>
            <w14:solidFill>
              <w14:schemeClr w14:val="tx1"/>
            </w14:solidFill>
          </w14:textFill>
        </w:rPr>
        <w:t>组成与说明</w:t>
      </w:r>
      <w:bookmarkEnd w:id="43"/>
      <w:bookmarkEnd w:id="44"/>
      <w:bookmarkEnd w:id="45"/>
      <w:bookmarkEnd w:id="46"/>
      <w:bookmarkEnd w:id="47"/>
      <w:bookmarkEnd w:id="48"/>
      <w:bookmarkEnd w:id="49"/>
      <w:bookmarkEnd w:id="50"/>
    </w:p>
    <w:p w14:paraId="3EB0F3ED">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11、《招标文件》的组成</w:t>
      </w:r>
    </w:p>
    <w:p w14:paraId="1A0952B9">
      <w:pPr>
        <w:ind w:firstLine="463" w:firstLineChars="193"/>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第一章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公告</w:t>
      </w:r>
    </w:p>
    <w:p w14:paraId="2A391CEB">
      <w:pPr>
        <w:ind w:firstLine="463" w:firstLineChars="193"/>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第二章 招标</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要求</w:t>
      </w:r>
    </w:p>
    <w:p w14:paraId="0AA152E9">
      <w:pPr>
        <w:ind w:firstLine="463" w:firstLineChars="193"/>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第三章 投标须知</w:t>
      </w:r>
    </w:p>
    <w:p w14:paraId="5AE6C368">
      <w:pPr>
        <w:ind w:firstLine="463" w:firstLineChars="193"/>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第四章 评审办法及标准</w:t>
      </w:r>
    </w:p>
    <w:p w14:paraId="4588B751">
      <w:pPr>
        <w:ind w:firstLine="463" w:firstLineChars="193"/>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第五章 合同主要条款</w:t>
      </w:r>
    </w:p>
    <w:p w14:paraId="6C211C7E">
      <w:pPr>
        <w:ind w:firstLine="463" w:firstLineChars="193"/>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第六章 投标文件格式</w:t>
      </w:r>
    </w:p>
    <w:p w14:paraId="3401EE35">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12、投标银行的风险</w:t>
      </w:r>
    </w:p>
    <w:p w14:paraId="4B224952">
      <w:pPr>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银行没有按照《招标文件》要求提供全部资料，或者没有仔细阅读《招标文件》，或者投标银行没有对《招标文件》在各方面的要求作出实质性响应是投标银行的风险，由此造成的一切后果由投标银行自行承担。</w:t>
      </w:r>
    </w:p>
    <w:p w14:paraId="09E3E0C0">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13、《招标文件》的澄清与修改</w:t>
      </w:r>
    </w:p>
    <w:p w14:paraId="2512BD8C">
      <w:pPr>
        <w:ind w:left="1" w:firstLine="463" w:firstLineChars="192"/>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13.1投标银行应认真阅读《招标文件》，发现其中有误或前后矛盾或有要求不合理要求的，投标银行应按投标银行须知前附表中规定的“招标文件提疑截止时间”前以书面形式向</w:t>
      </w:r>
      <w:r>
        <w:rPr>
          <w:rFonts w:hint="eastAsia" w:ascii="宋体" w:hAnsi="宋体" w:eastAsia="宋体" w:cs="宋体"/>
          <w:b/>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b/>
          <w:color w:val="000000" w:themeColor="text1"/>
          <w:kern w:val="0"/>
          <w:sz w:val="24"/>
          <w:szCs w:val="24"/>
          <w:highlight w:val="none"/>
          <w14:textFill>
            <w14:solidFill>
              <w14:schemeClr w14:val="tx1"/>
            </w14:solidFill>
          </w14:textFill>
        </w:rPr>
        <w:t>组织机构发出“询问”，否则造成的一切后果由投标银行自行承担，</w:t>
      </w:r>
      <w:r>
        <w:rPr>
          <w:rFonts w:hint="eastAsia" w:ascii="宋体" w:hAnsi="宋体" w:eastAsia="宋体" w:cs="宋体"/>
          <w:b/>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b/>
          <w:color w:val="000000" w:themeColor="text1"/>
          <w:kern w:val="0"/>
          <w:sz w:val="24"/>
          <w:szCs w:val="24"/>
          <w:highlight w:val="none"/>
          <w14:textFill>
            <w14:solidFill>
              <w14:schemeClr w14:val="tx1"/>
            </w14:solidFill>
          </w14:textFill>
        </w:rPr>
        <w:t>组织机构概不负责。</w:t>
      </w:r>
    </w:p>
    <w:p w14:paraId="77946E3A">
      <w:pPr>
        <w:ind w:left="1"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13.2</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组织机构将以书面形式答复投标银行询问的问题，并将不包含问题来源的答复书面通知所有登记购买《招标文件》的供应商；除书面答复以外的其他澄清方式及澄清内容均无效。</w:t>
      </w:r>
    </w:p>
    <w:p w14:paraId="0D05C8CB">
      <w:pPr>
        <w:ind w:left="1"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13.3</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组织机构对已发出的《招标文件》进行必要澄清、答复、修改或补充的，将在《招标文件》要求提交《投标文件》截止时间三日前，在指定媒体上发布更正公告，并以书面形式通知所有登记购买《招标文件》的供应商。</w:t>
      </w:r>
    </w:p>
    <w:p w14:paraId="5028A3BC">
      <w:pPr>
        <w:ind w:left="1"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13.4补充（或更正）文件发出后，投标银行如认为补充（或更正）事项影响到投标文件的编制，需要延长投标截止时间和开标时间的，必须在收到补充（或更正）文件后24小时内将意见及理由以书面形式向</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代理机构提出。</w:t>
      </w:r>
    </w:p>
    <w:p w14:paraId="4F5A7CED">
      <w:pPr>
        <w:ind w:left="1"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13.5《招标文件》澄清、答复、修改、补充的内容为《招标文件》的组成部分。当《招标文件》与《招标文件》的答复、澄清、修改、补充通知就同一内容的表述不一致时，以最后发出的书面文件为准。</w:t>
      </w:r>
    </w:p>
    <w:p w14:paraId="2434613E">
      <w:pPr>
        <w:ind w:left="1"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13.6《招标文件》的澄清、答复、修改或补充均通过</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组织机构以法定形式发布。</w:t>
      </w:r>
    </w:p>
    <w:p w14:paraId="7D04FCEF">
      <w:pPr>
        <w:pStyle w:val="3"/>
        <w:rPr>
          <w:rFonts w:hint="eastAsia" w:ascii="宋体" w:hAnsi="宋体" w:eastAsia="宋体" w:cs="宋体"/>
          <w:b/>
          <w:color w:val="000000" w:themeColor="text1"/>
          <w:kern w:val="0"/>
          <w:sz w:val="24"/>
          <w:szCs w:val="24"/>
          <w:highlight w:val="none"/>
          <w14:textFill>
            <w14:solidFill>
              <w14:schemeClr w14:val="tx1"/>
            </w14:solidFill>
          </w14:textFill>
        </w:rPr>
      </w:pPr>
      <w:bookmarkStart w:id="51" w:name="_Toc13455"/>
      <w:bookmarkStart w:id="52" w:name="_Toc452032119"/>
      <w:bookmarkStart w:id="53" w:name="_Toc446950605"/>
      <w:bookmarkStart w:id="54" w:name="_Toc424164156"/>
      <w:bookmarkStart w:id="55" w:name="_Toc28150"/>
      <w:bookmarkStart w:id="56" w:name="_Toc371"/>
      <w:bookmarkStart w:id="57" w:name="_Toc21526"/>
      <w:bookmarkStart w:id="58" w:name="_Toc6703"/>
      <w:bookmarkStart w:id="59" w:name="_Toc440162788"/>
      <w:r>
        <w:rPr>
          <w:rFonts w:hint="eastAsia" w:ascii="宋体" w:hAnsi="宋体" w:eastAsia="宋体" w:cs="宋体"/>
          <w:color w:val="000000" w:themeColor="text1"/>
          <w:highlight w:val="none"/>
          <w14:textFill>
            <w14:solidFill>
              <w14:schemeClr w14:val="tx1"/>
            </w14:solidFill>
          </w14:textFill>
        </w:rPr>
        <w:t>三、《投标文件》的编制</w:t>
      </w:r>
      <w:bookmarkEnd w:id="51"/>
      <w:bookmarkEnd w:id="52"/>
      <w:bookmarkEnd w:id="53"/>
      <w:bookmarkEnd w:id="54"/>
      <w:bookmarkEnd w:id="55"/>
      <w:bookmarkEnd w:id="56"/>
      <w:bookmarkEnd w:id="57"/>
      <w:bookmarkEnd w:id="58"/>
      <w:bookmarkEnd w:id="59"/>
    </w:p>
    <w:p w14:paraId="589511A7">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14、《投标文件》的组成</w:t>
      </w:r>
    </w:p>
    <w:p w14:paraId="6FA55E06">
      <w:pPr>
        <w:ind w:firstLine="463"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投标文件由以下内容组成（投标银行应按以下清单提供相关资料，否则一切风险和责任由投标银行自行承担，正副本不一致时以正本为准）：</w:t>
      </w:r>
    </w:p>
    <w:p w14:paraId="7D59DD92">
      <w:pPr>
        <w:ind w:firstLine="463"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（1）“投标文件”封面</w:t>
      </w:r>
      <w:r>
        <w:rPr>
          <w:rFonts w:hint="eastAsia" w:ascii="宋体" w:hAnsi="宋体" w:eastAsia="宋体" w:cs="宋体"/>
          <w:color w:val="000000" w:themeColor="text1"/>
          <w:kern w:val="0"/>
          <w:sz w:val="24"/>
          <w:szCs w:val="24"/>
          <w:highlight w:val="none"/>
          <w14:textFill>
            <w14:solidFill>
              <w14:schemeClr w14:val="tx1"/>
            </w14:solidFill>
          </w14:textFill>
        </w:rPr>
        <w:t>【格式见第六章】；</w:t>
      </w:r>
    </w:p>
    <w:p w14:paraId="3876E11C">
      <w:pPr>
        <w:ind w:firstLine="463"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（2）“投标文件”目录</w:t>
      </w:r>
      <w:r>
        <w:rPr>
          <w:rFonts w:hint="eastAsia" w:ascii="宋体" w:hAnsi="宋体" w:eastAsia="宋体" w:cs="宋体"/>
          <w:color w:val="000000" w:themeColor="text1"/>
          <w:kern w:val="0"/>
          <w:sz w:val="24"/>
          <w:szCs w:val="24"/>
          <w:highlight w:val="none"/>
          <w14:textFill>
            <w14:solidFill>
              <w14:schemeClr w14:val="tx1"/>
            </w14:solidFill>
          </w14:textFill>
        </w:rPr>
        <w:t>（带页码，格式自拟）；</w:t>
      </w:r>
    </w:p>
    <w:p w14:paraId="4E33AC86">
      <w:pPr>
        <w:ind w:firstLine="463"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（3）投标银行关于《投标文件》所有内容真实、可靠的承诺书</w:t>
      </w:r>
      <w:r>
        <w:rPr>
          <w:rFonts w:hint="eastAsia" w:ascii="宋体" w:hAnsi="宋体" w:eastAsia="宋体" w:cs="宋体"/>
          <w:color w:val="000000" w:themeColor="text1"/>
          <w:kern w:val="0"/>
          <w:sz w:val="24"/>
          <w:szCs w:val="24"/>
          <w:highlight w:val="none"/>
          <w14:textFill>
            <w14:solidFill>
              <w14:schemeClr w14:val="tx1"/>
            </w14:solidFill>
          </w14:textFill>
        </w:rPr>
        <w:t>【格式见第六章】；</w:t>
      </w:r>
    </w:p>
    <w:p w14:paraId="79B5819F">
      <w:pPr>
        <w:ind w:firstLine="463"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（4）《投标函》</w:t>
      </w:r>
      <w:r>
        <w:rPr>
          <w:rFonts w:hint="eastAsia" w:ascii="宋体" w:hAnsi="宋体" w:eastAsia="宋体" w:cs="宋体"/>
          <w:color w:val="000000" w:themeColor="text1"/>
          <w:kern w:val="0"/>
          <w:sz w:val="24"/>
          <w:szCs w:val="24"/>
          <w:highlight w:val="none"/>
          <w14:textFill>
            <w14:solidFill>
              <w14:schemeClr w14:val="tx1"/>
            </w14:solidFill>
          </w14:textFill>
        </w:rPr>
        <w:t>【格式见第六章】；</w:t>
      </w:r>
    </w:p>
    <w:p w14:paraId="6094F9CD">
      <w:pPr>
        <w:ind w:firstLine="463"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b/>
          <w:color w:val="000000" w:themeColor="text1"/>
          <w:kern w:val="0"/>
          <w:sz w:val="24"/>
          <w:szCs w:val="24"/>
          <w:highlight w:val="none"/>
          <w14:textFill>
            <w14:solidFill>
              <w14:schemeClr w14:val="tx1"/>
            </w14:solidFill>
          </w14:textFill>
        </w:rPr>
        <w:t>）《法定代表人（或分支机构负责人）授权委托书》</w:t>
      </w:r>
      <w:r>
        <w:rPr>
          <w:rFonts w:hint="eastAsia" w:ascii="宋体" w:hAnsi="宋体" w:eastAsia="宋体" w:cs="宋体"/>
          <w:color w:val="000000" w:themeColor="text1"/>
          <w:kern w:val="0"/>
          <w:sz w:val="24"/>
          <w:szCs w:val="24"/>
          <w:highlight w:val="none"/>
          <w14:textFill>
            <w14:solidFill>
              <w14:schemeClr w14:val="tx1"/>
            </w14:solidFill>
          </w14:textFill>
        </w:rPr>
        <w:t>【格式见第六章】</w:t>
      </w:r>
      <w:r>
        <w:rPr>
          <w:rFonts w:hint="eastAsia" w:ascii="宋体" w:hAnsi="宋体" w:eastAsia="宋体" w:cs="宋体"/>
          <w:b/>
          <w:color w:val="000000" w:themeColor="text1"/>
          <w:kern w:val="0"/>
          <w:sz w:val="24"/>
          <w:szCs w:val="24"/>
          <w:highlight w:val="none"/>
          <w14:textFill>
            <w14:solidFill>
              <w14:schemeClr w14:val="tx1"/>
            </w14:solidFill>
          </w14:textFill>
        </w:rPr>
        <w:t>；</w:t>
      </w:r>
    </w:p>
    <w:p w14:paraId="55427AFB">
      <w:pPr>
        <w:ind w:firstLine="463"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b/>
          <w:color w:val="000000" w:themeColor="text1"/>
          <w:kern w:val="0"/>
          <w:sz w:val="24"/>
          <w:szCs w:val="24"/>
          <w:highlight w:val="none"/>
          <w14:textFill>
            <w14:solidFill>
              <w14:schemeClr w14:val="tx1"/>
            </w14:solidFill>
          </w14:textFill>
        </w:rPr>
        <w:t>）《开标一览表》</w:t>
      </w:r>
      <w:r>
        <w:rPr>
          <w:rFonts w:hint="eastAsia" w:ascii="宋体" w:hAnsi="宋体" w:eastAsia="宋体" w:cs="宋体"/>
          <w:color w:val="000000" w:themeColor="text1"/>
          <w:kern w:val="0"/>
          <w:sz w:val="24"/>
          <w:szCs w:val="24"/>
          <w:highlight w:val="none"/>
          <w14:textFill>
            <w14:solidFill>
              <w14:schemeClr w14:val="tx1"/>
            </w14:solidFill>
          </w14:textFill>
        </w:rPr>
        <w:t>【格式见第六章】；</w:t>
      </w:r>
    </w:p>
    <w:p w14:paraId="62B40B3F">
      <w:pPr>
        <w:ind w:firstLine="463" w:firstLineChars="192"/>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b/>
          <w:color w:val="000000" w:themeColor="text1"/>
          <w:kern w:val="0"/>
          <w:sz w:val="24"/>
          <w:szCs w:val="24"/>
          <w:highlight w:val="none"/>
          <w14:textFill>
            <w14:solidFill>
              <w14:schemeClr w14:val="tx1"/>
            </w14:solidFill>
          </w14:textFill>
        </w:rPr>
        <w:t>）投标银行资格证明文件（资格证明文件不全的投标无效）：</w:t>
      </w:r>
    </w:p>
    <w:p w14:paraId="0C293864">
      <w:pPr>
        <w:ind w:firstLine="1082" w:firstLineChars="501"/>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w w:val="90"/>
          <w:sz w:val="24"/>
          <w:szCs w:val="24"/>
          <w:highlight w:val="none"/>
          <w14:textFill>
            <w14:solidFill>
              <w14:schemeClr w14:val="tx1"/>
            </w14:solidFill>
          </w14:textFill>
        </w:rPr>
        <w:t>-1、投标银行企业营业执照（复印件，加盖投标银行公章）。</w:t>
      </w:r>
    </w:p>
    <w:p w14:paraId="168B1048">
      <w:pPr>
        <w:ind w:firstLine="1082" w:firstLineChars="501"/>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w w:val="90"/>
          <w:sz w:val="24"/>
          <w:szCs w:val="24"/>
          <w:highlight w:val="none"/>
          <w14:textFill>
            <w14:solidFill>
              <w14:schemeClr w14:val="tx1"/>
            </w14:solidFill>
          </w14:textFill>
        </w:rPr>
        <w:t>-2、《中华人民共和国金融许可证》（复印件，加盖投标银行公章）。</w:t>
      </w:r>
    </w:p>
    <w:p w14:paraId="7488380D">
      <w:pPr>
        <w:ind w:firstLine="1082" w:firstLineChars="501"/>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w w:val="90"/>
          <w:sz w:val="24"/>
          <w:szCs w:val="24"/>
          <w:highlight w:val="none"/>
          <w14:textFill>
            <w14:solidFill>
              <w14:schemeClr w14:val="tx1"/>
            </w14:solidFill>
          </w14:textFill>
        </w:rPr>
        <w:t>-</w:t>
      </w: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w w:val="90"/>
          <w:sz w:val="24"/>
          <w:szCs w:val="24"/>
          <w:highlight w:val="none"/>
          <w14:textFill>
            <w14:solidFill>
              <w14:schemeClr w14:val="tx1"/>
            </w14:solidFill>
          </w14:textFill>
        </w:rPr>
        <w:t>、近三年内未发生金融风险及重大违约违法违纪时间的书面声明。</w:t>
      </w:r>
    </w:p>
    <w:p w14:paraId="162BB2FA">
      <w:pPr>
        <w:ind w:firstLine="1082" w:firstLineChars="501"/>
        <w:rPr>
          <w:rFonts w:hint="eastAsia" w:ascii="宋体" w:hAnsi="宋体" w:eastAsia="宋体" w:cs="宋体"/>
          <w:color w:val="000000" w:themeColor="text1"/>
          <w:w w:val="90"/>
          <w:sz w:val="24"/>
          <w:szCs w:val="24"/>
          <w:highlight w:val="none"/>
          <w:lang w:eastAsia="zh-CN"/>
          <w14:textFill>
            <w14:solidFill>
              <w14:schemeClr w14:val="tx1"/>
            </w14:solidFill>
          </w14:textFill>
        </w:rPr>
      </w:pP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w w:val="90"/>
          <w:sz w:val="24"/>
          <w:szCs w:val="24"/>
          <w:highlight w:val="none"/>
          <w14:textFill>
            <w14:solidFill>
              <w14:schemeClr w14:val="tx1"/>
            </w14:solidFill>
          </w14:textFill>
        </w:rPr>
        <w:t>-</w:t>
      </w: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w w:val="90"/>
          <w:sz w:val="24"/>
          <w:szCs w:val="24"/>
          <w:highlight w:val="none"/>
          <w14:textFill>
            <w14:solidFill>
              <w14:schemeClr w14:val="tx1"/>
            </w14:solidFill>
          </w14:textFill>
        </w:rPr>
        <w:t>、关于财务稳健的书面声明</w:t>
      </w:r>
      <w:r>
        <w:rPr>
          <w:rFonts w:hint="eastAsia" w:ascii="宋体" w:hAnsi="宋体" w:eastAsia="宋体" w:cs="宋体"/>
          <w:color w:val="000000" w:themeColor="text1"/>
          <w:w w:val="90"/>
          <w:sz w:val="24"/>
          <w:szCs w:val="24"/>
          <w:highlight w:val="none"/>
          <w:lang w:eastAsia="zh-CN"/>
          <w14:textFill>
            <w14:solidFill>
              <w14:schemeClr w14:val="tx1"/>
            </w14:solidFill>
          </w14:textFill>
        </w:rPr>
        <w:t>。</w:t>
      </w:r>
    </w:p>
    <w:p w14:paraId="69C528CD">
      <w:pPr>
        <w:ind w:firstLine="1082" w:firstLineChars="501"/>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w w:val="90"/>
          <w:sz w:val="24"/>
          <w:szCs w:val="24"/>
          <w:highlight w:val="none"/>
          <w14:textFill>
            <w14:solidFill>
              <w14:schemeClr w14:val="tx1"/>
            </w14:solidFill>
          </w14:textFill>
        </w:rPr>
        <w:t>-</w:t>
      </w: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w w:val="90"/>
          <w:sz w:val="24"/>
          <w:szCs w:val="24"/>
          <w:highlight w:val="none"/>
          <w14:textFill>
            <w14:solidFill>
              <w14:schemeClr w14:val="tx1"/>
            </w14:solidFill>
          </w14:textFill>
        </w:rPr>
        <w:t>、合格投标银行资格要求中要求提供的其他材料（复印件，加盖投标银行公章）。</w:t>
      </w:r>
    </w:p>
    <w:p w14:paraId="2C766682">
      <w:pPr>
        <w:ind w:firstLine="463" w:firstLineChars="192"/>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b/>
          <w:color w:val="000000" w:themeColor="text1"/>
          <w:kern w:val="0"/>
          <w:sz w:val="24"/>
          <w:szCs w:val="24"/>
          <w:highlight w:val="none"/>
          <w14:textFill>
            <w14:solidFill>
              <w14:schemeClr w14:val="tx1"/>
            </w14:solidFill>
          </w14:textFill>
        </w:rPr>
        <w:t>）投标银行情况介绍</w:t>
      </w:r>
      <w:r>
        <w:rPr>
          <w:rFonts w:hint="eastAsia" w:ascii="宋体" w:hAnsi="宋体" w:eastAsia="宋体" w:cs="宋体"/>
          <w:color w:val="000000" w:themeColor="text1"/>
          <w:kern w:val="0"/>
          <w:sz w:val="24"/>
          <w:szCs w:val="24"/>
          <w:highlight w:val="none"/>
          <w14:textFill>
            <w14:solidFill>
              <w14:schemeClr w14:val="tx1"/>
            </w14:solidFill>
          </w14:textFill>
        </w:rPr>
        <w:t>【格式自拟】</w:t>
      </w:r>
      <w:r>
        <w:rPr>
          <w:rFonts w:hint="eastAsia" w:ascii="宋体" w:hAnsi="宋体" w:eastAsia="宋体" w:cs="宋体"/>
          <w:color w:val="000000" w:themeColor="text1"/>
          <w:w w:val="90"/>
          <w:sz w:val="24"/>
          <w:szCs w:val="24"/>
          <w:highlight w:val="none"/>
          <w14:textFill>
            <w14:solidFill>
              <w14:schemeClr w14:val="tx1"/>
            </w14:solidFill>
          </w14:textFill>
        </w:rPr>
        <w:t>；</w:t>
      </w:r>
    </w:p>
    <w:p w14:paraId="61BFD20B">
      <w:pPr>
        <w:ind w:firstLine="463" w:firstLineChars="192"/>
        <w:rPr>
          <w:rFonts w:hint="eastAsia" w:ascii="宋体" w:hAnsi="宋体" w:eastAsia="宋体" w:cs="宋体"/>
          <w:b/>
          <w:color w:val="000000" w:themeColor="text1"/>
          <w:w w:val="9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
          <w:color w:val="000000" w:themeColor="text1"/>
          <w:kern w:val="0"/>
          <w:sz w:val="24"/>
          <w:szCs w:val="24"/>
          <w:highlight w:val="none"/>
          <w14:textFill>
            <w14:solidFill>
              <w14:schemeClr w14:val="tx1"/>
            </w14:solidFill>
          </w14:textFill>
        </w:rPr>
        <w:t>）</w:t>
      </w:r>
      <w:r>
        <w:rPr>
          <w:rFonts w:hint="eastAsia" w:ascii="宋体" w:hAnsi="宋体" w:eastAsia="宋体" w:cs="宋体"/>
          <w:b/>
          <w:color w:val="000000" w:themeColor="text1"/>
          <w:w w:val="90"/>
          <w:sz w:val="24"/>
          <w:szCs w:val="24"/>
          <w:highlight w:val="none"/>
          <w14:textFill>
            <w14:solidFill>
              <w14:schemeClr w14:val="tx1"/>
            </w14:solidFill>
          </w14:textFill>
        </w:rPr>
        <w:t>针对本项目的</w:t>
      </w:r>
      <w:r>
        <w:rPr>
          <w:rFonts w:hint="eastAsia" w:ascii="宋体" w:hAnsi="宋体" w:eastAsia="宋体" w:cs="宋体"/>
          <w:b/>
          <w:color w:val="000000" w:themeColor="text1"/>
          <w:kern w:val="0"/>
          <w:sz w:val="24"/>
          <w:szCs w:val="24"/>
          <w:highlight w:val="none"/>
          <w14:textFill>
            <w14:solidFill>
              <w14:schemeClr w14:val="tx1"/>
            </w14:solidFill>
          </w14:textFill>
        </w:rPr>
        <w:t>服务方案承诺</w:t>
      </w:r>
      <w:r>
        <w:rPr>
          <w:rFonts w:hint="eastAsia" w:ascii="宋体" w:hAnsi="宋体" w:eastAsia="宋体" w:cs="宋体"/>
          <w:b/>
          <w:color w:val="000000" w:themeColor="text1"/>
          <w:w w:val="90"/>
          <w:sz w:val="24"/>
          <w:szCs w:val="24"/>
          <w:highlight w:val="none"/>
          <w14:textFill>
            <w14:solidFill>
              <w14:schemeClr w14:val="tx1"/>
            </w14:solidFill>
          </w14:textFill>
        </w:rPr>
        <w:t>；</w:t>
      </w:r>
    </w:p>
    <w:p w14:paraId="51086698">
      <w:pPr>
        <w:ind w:firstLine="462" w:firstLineChars="213"/>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w w:val="90"/>
          <w:sz w:val="24"/>
          <w:szCs w:val="24"/>
          <w:highlight w:val="none"/>
          <w:lang w:eastAsia="zh-CN"/>
          <w14:textFill>
            <w14:solidFill>
              <w14:schemeClr w14:val="tx1"/>
            </w14:solidFill>
          </w14:textFill>
        </w:rPr>
        <w:t>（</w:t>
      </w:r>
      <w:r>
        <w:rPr>
          <w:rFonts w:hint="eastAsia" w:ascii="宋体" w:hAnsi="宋体" w:eastAsia="宋体" w:cs="宋体"/>
          <w:b/>
          <w:color w:val="000000" w:themeColor="text1"/>
          <w:w w:val="90"/>
          <w:sz w:val="24"/>
          <w:szCs w:val="24"/>
          <w:highlight w:val="none"/>
          <w:lang w:val="en-US" w:eastAsia="zh-CN"/>
          <w14:textFill>
            <w14:solidFill>
              <w14:schemeClr w14:val="tx1"/>
            </w14:solidFill>
          </w14:textFill>
        </w:rPr>
        <w:t>12</w:t>
      </w:r>
      <w:r>
        <w:rPr>
          <w:rFonts w:hint="eastAsia" w:ascii="宋体" w:hAnsi="宋体" w:eastAsia="宋体" w:cs="宋体"/>
          <w:b/>
          <w:color w:val="000000" w:themeColor="text1"/>
          <w:w w:val="90"/>
          <w:sz w:val="24"/>
          <w:szCs w:val="24"/>
          <w:highlight w:val="none"/>
          <w:lang w:eastAsia="zh-CN"/>
          <w14:textFill>
            <w14:solidFill>
              <w14:schemeClr w14:val="tx1"/>
            </w14:solidFill>
          </w14:textFill>
        </w:rPr>
        <w:t>）</w:t>
      </w:r>
      <w:r>
        <w:rPr>
          <w:rFonts w:hint="eastAsia" w:ascii="宋体" w:hAnsi="宋体" w:eastAsia="宋体" w:cs="宋体"/>
          <w:b/>
          <w:color w:val="000000" w:themeColor="text1"/>
          <w:w w:val="90"/>
          <w:sz w:val="24"/>
          <w:szCs w:val="24"/>
          <w:highlight w:val="none"/>
          <w14:textFill>
            <w14:solidFill>
              <w14:schemeClr w14:val="tx1"/>
            </w14:solidFill>
          </w14:textFill>
        </w:rPr>
        <w:t>针对本项目各项指标的说明材料</w:t>
      </w:r>
      <w:r>
        <w:rPr>
          <w:rFonts w:hint="eastAsia" w:ascii="宋体" w:hAnsi="宋体" w:eastAsia="宋体" w:cs="宋体"/>
          <w:color w:val="000000" w:themeColor="text1"/>
          <w:w w:val="90"/>
          <w:sz w:val="24"/>
          <w:szCs w:val="24"/>
          <w:highlight w:val="none"/>
          <w14:textFill>
            <w14:solidFill>
              <w14:schemeClr w14:val="tx1"/>
            </w14:solidFill>
          </w14:textFill>
        </w:rPr>
        <w:t>（包括经营状况指标、服务水平指标、经济发展贡献指标、收益水平指标）【格式见第六章】</w:t>
      </w:r>
      <w:r>
        <w:rPr>
          <w:rFonts w:hint="eastAsia" w:ascii="宋体" w:hAnsi="宋体" w:eastAsia="宋体" w:cs="宋体"/>
          <w:b/>
          <w:color w:val="000000" w:themeColor="text1"/>
          <w:w w:val="90"/>
          <w:sz w:val="24"/>
          <w:szCs w:val="24"/>
          <w:highlight w:val="none"/>
          <w14:textFill>
            <w14:solidFill>
              <w14:schemeClr w14:val="tx1"/>
            </w14:solidFill>
          </w14:textFill>
        </w:rPr>
        <w:t>；</w:t>
      </w:r>
    </w:p>
    <w:p w14:paraId="63FDAC07">
      <w:pPr>
        <w:ind w:firstLine="463"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color w:val="000000" w:themeColor="text1"/>
          <w:kern w:val="0"/>
          <w:sz w:val="24"/>
          <w:szCs w:val="24"/>
          <w:highlight w:val="none"/>
          <w14:textFill>
            <w14:solidFill>
              <w14:schemeClr w14:val="tx1"/>
            </w14:solidFill>
          </w14:textFill>
        </w:rPr>
        <w:t>）优惠承诺</w:t>
      </w:r>
      <w:r>
        <w:rPr>
          <w:rFonts w:hint="eastAsia" w:ascii="宋体" w:hAnsi="宋体" w:eastAsia="宋体" w:cs="宋体"/>
          <w:color w:val="000000" w:themeColor="text1"/>
          <w:kern w:val="0"/>
          <w:sz w:val="24"/>
          <w:szCs w:val="24"/>
          <w:highlight w:val="none"/>
          <w14:textFill>
            <w14:solidFill>
              <w14:schemeClr w14:val="tx1"/>
            </w14:solidFill>
          </w14:textFill>
        </w:rPr>
        <w:t>【含偏离说明，格式见第六章】；</w:t>
      </w:r>
    </w:p>
    <w:p w14:paraId="46A92ECA">
      <w:pPr>
        <w:ind w:firstLine="463" w:firstLineChars="192"/>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b/>
          <w:color w:val="000000" w:themeColor="text1"/>
          <w:kern w:val="0"/>
          <w:sz w:val="24"/>
          <w:szCs w:val="24"/>
          <w:highlight w:val="none"/>
          <w14:textFill>
            <w14:solidFill>
              <w14:schemeClr w14:val="tx1"/>
            </w14:solidFill>
          </w14:textFill>
        </w:rPr>
        <w:t>）拟派服务团队成员组成情况</w:t>
      </w:r>
      <w:r>
        <w:rPr>
          <w:rFonts w:hint="eastAsia" w:ascii="宋体" w:hAnsi="宋体" w:eastAsia="宋体" w:cs="宋体"/>
          <w:color w:val="000000" w:themeColor="text1"/>
          <w:kern w:val="0"/>
          <w:sz w:val="24"/>
          <w:szCs w:val="24"/>
          <w:highlight w:val="none"/>
          <w14:textFill>
            <w14:solidFill>
              <w14:schemeClr w14:val="tx1"/>
            </w14:solidFill>
          </w14:textFill>
        </w:rPr>
        <w:t>【格式见第六章】</w:t>
      </w:r>
      <w:r>
        <w:rPr>
          <w:rFonts w:hint="eastAsia" w:ascii="宋体" w:hAnsi="宋体" w:eastAsia="宋体" w:cs="宋体"/>
          <w:b/>
          <w:color w:val="000000" w:themeColor="text1"/>
          <w:kern w:val="0"/>
          <w:sz w:val="24"/>
          <w:szCs w:val="24"/>
          <w:highlight w:val="none"/>
          <w14:textFill>
            <w14:solidFill>
              <w14:schemeClr w14:val="tx1"/>
            </w14:solidFill>
          </w14:textFill>
        </w:rPr>
        <w:t>；</w:t>
      </w:r>
    </w:p>
    <w:p w14:paraId="1DD74DD0">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）《招标文件》中要求的或投标银行认为有必要提供的其他材料或说明。</w:t>
      </w:r>
    </w:p>
    <w:p w14:paraId="257D8F1F">
      <w:pPr>
        <w:ind w:firstLine="463"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1）上述材料本《招标文件》有提供格式的，参照格式内容要求进行编制，内容或签章不齐的视同未提供。（2）《法定代表人授权委托书》必须由投标银行的法定代表人签字（或盖章）并加盖投标银行公章（其他需要签字的部分可由授权代表签字（或盖章）并加盖公章）；资格、许可证书、业绩证明材料复印件须加盖投标银行单位公章；签章不齐的视同未提供。</w:t>
      </w:r>
    </w:p>
    <w:p w14:paraId="19709747">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15、《投标文件》的语言及计量</w:t>
      </w:r>
    </w:p>
    <w:p w14:paraId="75894725">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15.1《投标文件》以及投标银行与招标人就有关投标事宜的所有来往函电，均应以中文汉语书写。除签名、盖章、专用名称等特殊情形外，</w:t>
      </w:r>
      <w:r>
        <w:rPr>
          <w:rFonts w:hint="eastAsia" w:ascii="宋体" w:hAnsi="宋体" w:eastAsia="宋体" w:cs="宋体"/>
          <w:b/>
          <w:color w:val="000000" w:themeColor="text1"/>
          <w:kern w:val="0"/>
          <w:sz w:val="24"/>
          <w:szCs w:val="24"/>
          <w:highlight w:val="none"/>
          <w14:textFill>
            <w14:solidFill>
              <w14:schemeClr w14:val="tx1"/>
            </w14:solidFill>
          </w14:textFill>
        </w:rPr>
        <w:t>以中文汉语以外的文字表述的投标文件视同未提供。</w:t>
      </w:r>
    </w:p>
    <w:p w14:paraId="21E639D5">
      <w:pPr>
        <w:ind w:firstLine="460" w:firstLineChars="192"/>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15.2投标计量单位，《招标文件》已有明确规定的，使用《招标文件》规定的计量单位；</w:t>
      </w:r>
      <w:r>
        <w:rPr>
          <w:rFonts w:hint="eastAsia" w:ascii="宋体" w:hAnsi="宋体" w:eastAsia="宋体" w:cs="宋体"/>
          <w:b/>
          <w:color w:val="000000" w:themeColor="text1"/>
          <w:kern w:val="0"/>
          <w:sz w:val="24"/>
          <w:szCs w:val="24"/>
          <w:highlight w:val="none"/>
          <w14:textFill>
            <w14:solidFill>
              <w14:schemeClr w14:val="tx1"/>
            </w14:solidFill>
          </w14:textFill>
        </w:rPr>
        <w:t>《招标文件》没有规定的，应采用中华人民共和国法定计量单位，否则视同未响应。</w:t>
      </w:r>
    </w:p>
    <w:p w14:paraId="18903CA6">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16、投标报价</w:t>
      </w:r>
    </w:p>
    <w:p w14:paraId="3844CCC4">
      <w:pPr>
        <w:ind w:firstLine="463" w:firstLineChars="192"/>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16.1投标报价应按《招标文件》中相关附表格式填写。</w:t>
      </w:r>
    </w:p>
    <w:p w14:paraId="72CC2B52">
      <w:pPr>
        <w:ind w:firstLine="463"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16.2本次项目以</w:t>
      </w:r>
      <w:r>
        <w:rPr>
          <w:rFonts w:hint="eastAsia" w:ascii="宋体" w:hAnsi="宋体" w:eastAsia="宋体" w:cs="宋体"/>
          <w:b/>
          <w:color w:val="000000" w:themeColor="text1"/>
          <w:w w:val="100"/>
          <w:kern w:val="0"/>
          <w:sz w:val="24"/>
          <w:szCs w:val="24"/>
          <w:highlight w:val="none"/>
          <w14:textFill>
            <w14:solidFill>
              <w14:schemeClr w14:val="tx1"/>
            </w14:solidFill>
          </w14:textFill>
        </w:rPr>
        <w:t>符合国家利率政策的</w:t>
      </w:r>
      <w:r>
        <w:rPr>
          <w:rFonts w:hint="eastAsia" w:ascii="宋体" w:hAnsi="宋体" w:eastAsia="宋体" w:cs="宋体"/>
          <w:b/>
          <w:color w:val="000000" w:themeColor="text1"/>
          <w:w w:val="100"/>
          <w:kern w:val="0"/>
          <w:sz w:val="24"/>
          <w:szCs w:val="24"/>
          <w:highlight w:val="none"/>
          <w:lang w:eastAsia="zh-CN"/>
          <w14:textFill>
            <w14:solidFill>
              <w14:schemeClr w14:val="tx1"/>
            </w14:solidFill>
          </w14:textFill>
        </w:rPr>
        <w:t>“</w:t>
      </w:r>
      <w:r>
        <w:rPr>
          <w:rFonts w:hint="eastAsia" w:ascii="宋体" w:hAnsi="宋体" w:eastAsia="宋体" w:cs="宋体"/>
          <w:b/>
          <w:color w:val="000000" w:themeColor="text1"/>
          <w:w w:val="100"/>
          <w:kern w:val="0"/>
          <w:sz w:val="24"/>
          <w:szCs w:val="24"/>
          <w:highlight w:val="none"/>
          <w:lang w:val="en-US" w:eastAsia="zh-CN"/>
          <w14:textFill>
            <w14:solidFill>
              <w14:schemeClr w14:val="tx1"/>
            </w14:solidFill>
          </w14:textFill>
        </w:rPr>
        <w:t>定期存款利率</w:t>
      </w:r>
      <w:r>
        <w:rPr>
          <w:rFonts w:hint="eastAsia" w:ascii="宋体" w:hAnsi="宋体" w:eastAsia="宋体" w:cs="宋体"/>
          <w:b/>
          <w:color w:val="000000" w:themeColor="text1"/>
          <w:w w:val="100"/>
          <w:kern w:val="0"/>
          <w:sz w:val="24"/>
          <w:szCs w:val="24"/>
          <w:highlight w:val="none"/>
          <w:lang w:eastAsia="zh-CN"/>
          <w14:textFill>
            <w14:solidFill>
              <w14:schemeClr w14:val="tx1"/>
            </w14:solidFill>
          </w14:textFill>
        </w:rPr>
        <w:t>”</w:t>
      </w:r>
      <w:r>
        <w:rPr>
          <w:rFonts w:hint="eastAsia" w:ascii="宋体" w:hAnsi="宋体" w:eastAsia="宋体" w:cs="宋体"/>
          <w:b/>
          <w:color w:val="000000" w:themeColor="text1"/>
          <w:kern w:val="0"/>
          <w:sz w:val="24"/>
          <w:szCs w:val="24"/>
          <w:highlight w:val="none"/>
          <w14:textFill>
            <w14:solidFill>
              <w14:schemeClr w14:val="tx1"/>
            </w14:solidFill>
          </w14:textFill>
        </w:rPr>
        <w:t>报价。</w:t>
      </w:r>
    </w:p>
    <w:p w14:paraId="1BF3803B">
      <w:pPr>
        <w:ind w:firstLine="465" w:firstLineChars="193"/>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16.3《投标文件》只允许有一个报价，有选择的报价将不予接受。</w:t>
      </w:r>
    </w:p>
    <w:p w14:paraId="3F4B5E9F">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17、《投标文件》的有效期</w:t>
      </w:r>
    </w:p>
    <w:p w14:paraId="28EC4C8F">
      <w:pPr>
        <w:ind w:firstLine="465" w:firstLineChars="193"/>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17.1</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b/>
          <w:color w:val="000000" w:themeColor="text1"/>
          <w:kern w:val="0"/>
          <w:sz w:val="24"/>
          <w:szCs w:val="24"/>
          <w:highlight w:val="none"/>
          <w14:textFill>
            <w14:solidFill>
              <w14:schemeClr w14:val="tx1"/>
            </w14:solidFill>
          </w14:textFill>
        </w:rPr>
        <w:t>自投标截止日起</w:t>
      </w:r>
      <w:r>
        <w:rPr>
          <w:rFonts w:hint="eastAsia" w:ascii="宋体" w:hAnsi="宋体" w:eastAsia="宋体" w:cs="宋体"/>
          <w:b/>
          <w:color w:val="000000" w:themeColor="text1"/>
          <w:kern w:val="0"/>
          <w:sz w:val="24"/>
          <w:szCs w:val="24"/>
          <w:highlight w:val="none"/>
          <w:u w:val="single"/>
          <w:lang w:val="en-US" w:eastAsia="zh-CN"/>
          <w14:textFill>
            <w14:solidFill>
              <w14:schemeClr w14:val="tx1"/>
            </w14:solidFill>
          </w14:textFill>
        </w:rPr>
        <w:t>9</w:t>
      </w:r>
      <w:r>
        <w:rPr>
          <w:rFonts w:hint="eastAsia" w:ascii="宋体" w:hAnsi="宋体" w:eastAsia="宋体" w:cs="宋体"/>
          <w:b/>
          <w:color w:val="000000" w:themeColor="text1"/>
          <w:kern w:val="0"/>
          <w:sz w:val="24"/>
          <w:szCs w:val="24"/>
          <w:highlight w:val="none"/>
          <w:u w:val="single"/>
          <w14:textFill>
            <w14:solidFill>
              <w14:schemeClr w14:val="tx1"/>
            </w14:solidFill>
          </w14:textFill>
        </w:rPr>
        <w:t>0</w:t>
      </w:r>
      <w:r>
        <w:rPr>
          <w:rFonts w:hint="eastAsia" w:ascii="宋体" w:hAnsi="宋体" w:eastAsia="宋体" w:cs="宋体"/>
          <w:b/>
          <w:color w:val="000000" w:themeColor="text1"/>
          <w:kern w:val="0"/>
          <w:sz w:val="24"/>
          <w:szCs w:val="24"/>
          <w:highlight w:val="none"/>
          <w14:textFill>
            <w14:solidFill>
              <w14:schemeClr w14:val="tx1"/>
            </w14:solidFill>
          </w14:textFill>
        </w:rPr>
        <w:t>天内《投标文件》应保持有效。投标文件有效期短于这个规定期限的投标将作无效标处理。</w:t>
      </w:r>
    </w:p>
    <w:p w14:paraId="3F426F5B">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17.2在特殊情况下，招标人可与投标银行协商延长《投标文件》的有效期，这种要求和答复均以书面形式进行。</w:t>
      </w:r>
    </w:p>
    <w:p w14:paraId="0C62AFBF">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17.3投标银行可拒绝接受延期要求。同意延长有效期的，但不能修改《投标文件》。</w:t>
      </w:r>
    </w:p>
    <w:p w14:paraId="06F67ACE">
      <w:pPr>
        <w:ind w:firstLine="460" w:firstLineChars="192"/>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17.4中标（成交）供应商的《投标文件》自开标之日起至合同履行完毕止均应保持有效。</w:t>
      </w:r>
    </w:p>
    <w:p w14:paraId="4E747548">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w:t>
      </w:r>
      <w:r>
        <w:rPr>
          <w:rFonts w:hint="eastAsia" w:ascii="宋体" w:hAnsi="宋体" w:eastAsia="宋体" w:cs="宋体"/>
          <w:b/>
          <w:color w:val="000000" w:themeColor="text1"/>
          <w:kern w:val="0"/>
          <w:sz w:val="24"/>
          <w:szCs w:val="24"/>
          <w:highlight w:val="none"/>
          <w:lang w:eastAsia="zh-CN"/>
          <w14:textFill>
            <w14:solidFill>
              <w14:schemeClr w14:val="tx1"/>
            </w14:solidFill>
          </w14:textFill>
        </w:rPr>
        <w:t>8</w:t>
      </w:r>
      <w:r>
        <w:rPr>
          <w:rFonts w:hint="eastAsia" w:ascii="宋体" w:hAnsi="宋体" w:eastAsia="宋体" w:cs="宋体"/>
          <w:b/>
          <w:color w:val="000000" w:themeColor="text1"/>
          <w:kern w:val="0"/>
          <w:sz w:val="24"/>
          <w:szCs w:val="24"/>
          <w:highlight w:val="none"/>
          <w14:textFill>
            <w14:solidFill>
              <w14:schemeClr w14:val="tx1"/>
            </w14:solidFill>
          </w14:textFill>
        </w:rPr>
        <w:t>、《投标文件》的签署和份数</w:t>
      </w:r>
    </w:p>
    <w:p w14:paraId="7BBC1970">
      <w:pPr>
        <w:ind w:firstLine="460" w:firstLineChars="192"/>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eastAsia="zh-CN"/>
          <w14:textFill>
            <w14:solidFill>
              <w14:schemeClr w14:val="tx1"/>
            </w14:solidFill>
          </w14:textFill>
        </w:rPr>
        <w:t>8</w:t>
      </w:r>
      <w:r>
        <w:rPr>
          <w:rFonts w:hint="eastAsia" w:ascii="宋体" w:hAnsi="宋体" w:eastAsia="宋体" w:cs="宋体"/>
          <w:color w:val="000000" w:themeColor="text1"/>
          <w:kern w:val="0"/>
          <w:sz w:val="24"/>
          <w:szCs w:val="24"/>
          <w:highlight w:val="none"/>
          <w14:textFill>
            <w14:solidFill>
              <w14:schemeClr w14:val="tx1"/>
            </w14:solidFill>
          </w14:textFill>
        </w:rPr>
        <w:t>.1投标银行应按照本《招标文件》规定的格式和顺序编制、装订《投标文件》，《投标文件》内容不完整、编排混乱导致《投标文件》被误读、漏读或者查找不到相关内容的，是投标银行的责任。</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b/>
          <w:color w:val="000000" w:themeColor="text1"/>
          <w:kern w:val="0"/>
          <w:sz w:val="24"/>
          <w:szCs w:val="24"/>
          <w:highlight w:val="none"/>
          <w14:textFill>
            <w14:solidFill>
              <w14:schemeClr w14:val="tx1"/>
            </w14:solidFill>
          </w14:textFill>
        </w:rPr>
        <w:t>《投标文件》</w:t>
      </w:r>
      <w:r>
        <w:rPr>
          <w:rFonts w:hint="eastAsia" w:ascii="宋体" w:hAnsi="宋体" w:eastAsia="宋体" w:cs="宋体"/>
          <w:b/>
          <w:color w:val="000000" w:themeColor="text1"/>
          <w:kern w:val="0"/>
          <w:sz w:val="24"/>
          <w:szCs w:val="24"/>
          <w:highlight w:val="none"/>
          <w:u w:val="single"/>
          <w14:textFill>
            <w14:solidFill>
              <w14:schemeClr w14:val="tx1"/>
            </w14:solidFill>
          </w14:textFill>
        </w:rPr>
        <w:t>纸质版本不得采用任何形式的活页装订，任何形式活页装订的投标文件将作无效标处理（活页装订是指不借助工具的情况下就随时可以拆卸替换复原的装订方式，投标文件建议采用胶装）。</w:t>
      </w:r>
    </w:p>
    <w:p w14:paraId="27E771D6">
      <w:pPr>
        <w:ind w:firstLine="463" w:firstLineChars="192"/>
        <w:rPr>
          <w:rFonts w:hint="eastAsia" w:ascii="宋体" w:hAnsi="宋体" w:eastAsia="宋体" w:cs="宋体"/>
          <w:b/>
          <w:color w:val="000000" w:themeColor="text1"/>
          <w:kern w:val="0"/>
          <w:sz w:val="24"/>
          <w:szCs w:val="24"/>
          <w:highlight w:val="none"/>
          <w:u w:val="singl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w:t>
      </w:r>
      <w:r>
        <w:rPr>
          <w:rFonts w:hint="eastAsia" w:ascii="宋体" w:hAnsi="宋体" w:eastAsia="宋体" w:cs="宋体"/>
          <w:b/>
          <w:color w:val="000000" w:themeColor="text1"/>
          <w:kern w:val="0"/>
          <w:sz w:val="24"/>
          <w:szCs w:val="24"/>
          <w:highlight w:val="none"/>
          <w:lang w:eastAsia="zh-CN"/>
          <w14:textFill>
            <w14:solidFill>
              <w14:schemeClr w14:val="tx1"/>
            </w14:solidFill>
          </w14:textFill>
        </w:rPr>
        <w:t>8</w:t>
      </w:r>
      <w:r>
        <w:rPr>
          <w:rFonts w:hint="eastAsia" w:ascii="宋体" w:hAnsi="宋体" w:eastAsia="宋体" w:cs="宋体"/>
          <w:b/>
          <w:color w:val="000000" w:themeColor="text1"/>
          <w:kern w:val="0"/>
          <w:sz w:val="24"/>
          <w:szCs w:val="24"/>
          <w:highlight w:val="none"/>
          <w14:textFill>
            <w14:solidFill>
              <w14:schemeClr w14:val="tx1"/>
            </w14:solidFill>
          </w14:textFill>
        </w:rPr>
        <w:t>.2为方便评委独立评审，《投标文件》提供正本一册、副本四册，单独装订成册，并在封面注明“正本”或“副本”字样。</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b/>
          <w:color w:val="000000" w:themeColor="text1"/>
          <w:kern w:val="0"/>
          <w:sz w:val="24"/>
          <w:szCs w:val="24"/>
          <w:highlight w:val="none"/>
          <w14:textFill>
            <w14:solidFill>
              <w14:schemeClr w14:val="tx1"/>
            </w14:solidFill>
          </w14:textFill>
        </w:rPr>
        <w:t>投标文件数量不符合本条款规定的（不影响评审的情况除外）做无效标处理。</w:t>
      </w:r>
    </w:p>
    <w:p w14:paraId="6D951836">
      <w:pPr>
        <w:ind w:firstLine="463" w:firstLineChars="192"/>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b/>
          <w:color w:val="000000" w:themeColor="text1"/>
          <w:kern w:val="0"/>
          <w:sz w:val="24"/>
          <w:szCs w:val="24"/>
          <w:highlight w:val="none"/>
          <w14:textFill>
            <w14:solidFill>
              <w14:schemeClr w14:val="tx1"/>
            </w14:solidFill>
          </w14:textFill>
        </w:rPr>
        <w:t>.3《投标文件》的正本应打印或用不褪色的墨水填写，正本除招标文件规定的可提供复印件外均须提供原件（复印件须加盖投标银行公章），否则视为未提供。《投标文件》副本可以是正本的复印件。</w:t>
      </w:r>
    </w:p>
    <w:p w14:paraId="6E99324B">
      <w:pPr>
        <w:ind w:firstLine="463" w:firstLineChars="192"/>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b/>
          <w:color w:val="000000" w:themeColor="text1"/>
          <w:kern w:val="0"/>
          <w:sz w:val="24"/>
          <w:szCs w:val="24"/>
          <w:highlight w:val="none"/>
          <w14:textFill>
            <w14:solidFill>
              <w14:schemeClr w14:val="tx1"/>
            </w14:solidFill>
          </w14:textFill>
        </w:rPr>
        <w:t>.4投标银行应按招标文件的要求在其《投标文件》相应处盖章并签署（或盖章），否则视为未提供。</w:t>
      </w:r>
    </w:p>
    <w:p w14:paraId="12A37E61">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none"/>
          <w14:textFill>
            <w14:solidFill>
              <w14:schemeClr w14:val="tx1"/>
            </w14:solidFill>
          </w14:textFill>
        </w:rPr>
        <w:t>.5《投标文件》不得涂改，若有修改，须加盖投标银行单位公章或者法定代表人或授权委托人签字（或盖章）。</w:t>
      </w:r>
      <w:r>
        <w:rPr>
          <w:rFonts w:hint="eastAsia" w:ascii="宋体" w:hAnsi="宋体" w:eastAsia="宋体" w:cs="宋体"/>
          <w:b/>
          <w:color w:val="000000" w:themeColor="text1"/>
          <w:kern w:val="0"/>
          <w:sz w:val="24"/>
          <w:szCs w:val="24"/>
          <w:highlight w:val="none"/>
          <w14:textFill>
            <w14:solidFill>
              <w14:schemeClr w14:val="tx1"/>
            </w14:solidFill>
          </w14:textFill>
        </w:rPr>
        <w:t>《投标文件》因字迹潦草或表达不清所引起的后果由投标银行负责</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78968659">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19</w:t>
      </w:r>
      <w:r>
        <w:rPr>
          <w:rFonts w:hint="eastAsia" w:ascii="宋体" w:hAnsi="宋体" w:eastAsia="宋体" w:cs="宋体"/>
          <w:b/>
          <w:color w:val="000000" w:themeColor="text1"/>
          <w:kern w:val="0"/>
          <w:sz w:val="24"/>
          <w:szCs w:val="24"/>
          <w:highlight w:val="none"/>
          <w14:textFill>
            <w14:solidFill>
              <w14:schemeClr w14:val="tx1"/>
            </w14:solidFill>
          </w14:textFill>
        </w:rPr>
        <w:t>、《投标文件》的包装、递交、修改和撤回</w:t>
      </w:r>
    </w:p>
    <w:p w14:paraId="3C96E716">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19.1</w:t>
      </w:r>
      <w:r>
        <w:rPr>
          <w:rFonts w:hint="eastAsia" w:ascii="宋体" w:hAnsi="宋体" w:eastAsia="宋体" w:cs="宋体"/>
          <w:color w:val="000000" w:themeColor="text1"/>
          <w:kern w:val="0"/>
          <w:sz w:val="24"/>
          <w:szCs w:val="24"/>
          <w:highlight w:val="none"/>
          <w14:textFill>
            <w14:solidFill>
              <w14:schemeClr w14:val="tx1"/>
            </w14:solidFill>
          </w14:textFill>
        </w:rPr>
        <w:t>供应商在投标截止时间前可以补充、修改或者撤回投标文件。</w:t>
      </w:r>
    </w:p>
    <w:p w14:paraId="7D40B995">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19.2</w:t>
      </w:r>
      <w:r>
        <w:rPr>
          <w:rFonts w:hint="eastAsia" w:ascii="宋体" w:hAnsi="宋体" w:eastAsia="宋体" w:cs="宋体"/>
          <w:color w:val="000000" w:themeColor="text1"/>
          <w:kern w:val="0"/>
          <w:sz w:val="24"/>
          <w:szCs w:val="24"/>
          <w:highlight w:val="none"/>
          <w14:textFill>
            <w14:solidFill>
              <w14:schemeClr w14:val="tx1"/>
            </w14:solidFill>
          </w14:textFill>
        </w:rPr>
        <w:t>补充或者修改投标文件的，应当先行撤回原投标文件，补充、修改后重新上传递交。</w:t>
      </w:r>
    </w:p>
    <w:p w14:paraId="324A4C88">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19.3</w:t>
      </w:r>
      <w:r>
        <w:rPr>
          <w:rFonts w:hint="eastAsia" w:ascii="宋体" w:hAnsi="宋体" w:eastAsia="宋体" w:cs="宋体"/>
          <w:color w:val="000000" w:themeColor="text1"/>
          <w:kern w:val="0"/>
          <w:sz w:val="24"/>
          <w:szCs w:val="24"/>
          <w:highlight w:val="none"/>
          <w14:textFill>
            <w14:solidFill>
              <w14:schemeClr w14:val="tx1"/>
            </w14:solidFill>
          </w14:textFill>
        </w:rPr>
        <w:t>投标截止时间前未完成上传的，视为撤回投标文件。</w:t>
      </w:r>
    </w:p>
    <w:p w14:paraId="77B55E5E">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19</w:t>
      </w:r>
      <w:r>
        <w:rPr>
          <w:rFonts w:hint="eastAsia" w:ascii="宋体" w:hAnsi="宋体" w:eastAsia="宋体" w:cs="宋体"/>
          <w:color w:val="000000" w:themeColor="text1"/>
          <w:kern w:val="0"/>
          <w:sz w:val="24"/>
          <w:szCs w:val="24"/>
          <w:highlight w:val="none"/>
          <w14:textFill>
            <w14:solidFill>
              <w14:schemeClr w14:val="tx1"/>
            </w14:solidFill>
          </w14:textFill>
        </w:rPr>
        <w:t>.4投标银行存在下列情形之一的投标文件将被拒收：</w:t>
      </w:r>
    </w:p>
    <w:p w14:paraId="2A457872">
      <w:pPr>
        <w:numPr>
          <w:ilvl w:val="0"/>
          <w:numId w:val="6"/>
        </w:num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《投标文件》未在招标文件标明的投标截止时间前</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上传</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56F86D38">
      <w:pPr>
        <w:ind w:firstLine="460" w:firstLineChars="19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（2）《投标文件》未按本《招标文件》规定密封的。</w:t>
      </w:r>
    </w:p>
    <w:p w14:paraId="54C81FEA">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2</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b/>
          <w:color w:val="000000" w:themeColor="text1"/>
          <w:kern w:val="0"/>
          <w:sz w:val="24"/>
          <w:szCs w:val="24"/>
          <w:highlight w:val="none"/>
          <w14:textFill>
            <w14:solidFill>
              <w14:schemeClr w14:val="tx1"/>
            </w14:solidFill>
          </w14:textFill>
        </w:rPr>
        <w:t>、投标无效的情形</w:t>
      </w:r>
    </w:p>
    <w:p w14:paraId="41DA6777">
      <w:pPr>
        <w:ind w:firstLine="463"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实质上没有响应《招标文件》要求的投标将被视为无效投标。</w:t>
      </w:r>
      <w:r>
        <w:rPr>
          <w:rFonts w:hint="eastAsia" w:ascii="宋体" w:hAnsi="宋体" w:eastAsia="宋体" w:cs="宋体"/>
          <w:color w:val="000000" w:themeColor="text1"/>
          <w:kern w:val="0"/>
          <w:sz w:val="24"/>
          <w:szCs w:val="24"/>
          <w:highlight w:val="none"/>
          <w14:textFill>
            <w14:solidFill>
              <w14:schemeClr w14:val="tx1"/>
            </w14:solidFill>
          </w14:textFill>
        </w:rPr>
        <w:t>投标银行不得通过修正或撤消不符合要求的偏离或保留从而使其投标成为实质上响应的投标，但经评审小组认定属于投标银行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银行修改、补正投标文件后，不影响评审小组对其《投标文件》所作的评价和评分结果。</w:t>
      </w:r>
    </w:p>
    <w:p w14:paraId="3FFF6B9F">
      <w:pPr>
        <w:ind w:firstLine="463" w:firstLineChars="192"/>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2</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b/>
          <w:color w:val="000000" w:themeColor="text1"/>
          <w:kern w:val="0"/>
          <w:sz w:val="24"/>
          <w:szCs w:val="24"/>
          <w:highlight w:val="none"/>
          <w14:textFill>
            <w14:solidFill>
              <w14:schemeClr w14:val="tx1"/>
            </w14:solidFill>
          </w14:textFill>
        </w:rPr>
        <w:t>.1▲在资格性审查时，发现下列情形的，做无效标处理：</w:t>
      </w:r>
    </w:p>
    <w:p w14:paraId="45039906">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（1）投标银行不满足“合格投标银行资格要求”的，或者资格证明文件不全的；</w:t>
      </w:r>
    </w:p>
    <w:p w14:paraId="1BA2CC4F">
      <w:pPr>
        <w:ind w:firstLine="463"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2</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b/>
          <w:color w:val="000000" w:themeColor="text1"/>
          <w:kern w:val="0"/>
          <w:sz w:val="24"/>
          <w:szCs w:val="24"/>
          <w:highlight w:val="none"/>
          <w14:textFill>
            <w14:solidFill>
              <w14:schemeClr w14:val="tx1"/>
            </w14:solidFill>
          </w14:textFill>
        </w:rPr>
        <w:t>.2▲投标文件符合性审查时，如发现下列情形之一的，做无效标处理</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4228C0F9">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（1）投标文件未按招标文件（投标银行须知）规定签署或盖章的；</w:t>
      </w:r>
    </w:p>
    <w:p w14:paraId="11E070EE">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）未提供有效的</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法定代表人</w:t>
      </w:r>
      <w:r>
        <w:rPr>
          <w:rFonts w:hint="eastAsia" w:ascii="宋体" w:hAnsi="宋体" w:eastAsia="宋体" w:cs="宋体"/>
          <w:color w:val="000000" w:themeColor="text1"/>
          <w:kern w:val="0"/>
          <w:sz w:val="24"/>
          <w:szCs w:val="24"/>
          <w:highlight w:val="none"/>
          <w14:textFill>
            <w14:solidFill>
              <w14:schemeClr w14:val="tx1"/>
            </w14:solidFill>
          </w14:textFill>
        </w:rPr>
        <w:t>授权委托书原件的，或有效的投标函的，或投标函填写项目不齐全的，或联合体投标未提供联合体协议的；</w:t>
      </w:r>
    </w:p>
    <w:p w14:paraId="28E6AEAA">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）未按照《招标文件》规定格式报价的；</w:t>
      </w:r>
    </w:p>
    <w:p w14:paraId="07B1827A">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）报价具有选择性的；</w:t>
      </w:r>
    </w:p>
    <w:p w14:paraId="153071D4">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）投标文件标注的响应或偏离情况与事实不符或虚假应标的；</w:t>
      </w:r>
    </w:p>
    <w:p w14:paraId="6E9F5BD2">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）提供虚假材料或者投标文件内容虚假的；</w:t>
      </w:r>
    </w:p>
    <w:p w14:paraId="1BD12289">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szCs w:val="24"/>
          <w:highlight w:val="none"/>
          <w14:textFill>
            <w14:solidFill>
              <w14:schemeClr w14:val="tx1"/>
            </w14:solidFill>
          </w14:textFill>
        </w:rPr>
        <w:t>）投标文件没有对招标文件作出实质性响应的；</w:t>
      </w:r>
    </w:p>
    <w:p w14:paraId="6B18BE4E">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none"/>
          <w14:textFill>
            <w14:solidFill>
              <w14:schemeClr w14:val="tx1"/>
            </w14:solidFill>
          </w14:textFill>
        </w:rPr>
        <w:t>）投标文件有效期不符合《招标文件》要求的；</w:t>
      </w:r>
    </w:p>
    <w:p w14:paraId="72ABC0F7">
      <w:pPr>
        <w:ind w:firstLine="463" w:firstLineChars="193"/>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w:t>
      </w:r>
      <w:r>
        <w:rPr>
          <w:rFonts w:hint="eastAsia" w:ascii="宋体" w:hAnsi="宋体" w:eastAsia="宋体" w:cs="宋体"/>
          <w:color w:val="000000" w:themeColor="text1"/>
          <w:kern w:val="0"/>
          <w:sz w:val="24"/>
          <w:szCs w:val="24"/>
          <w:highlight w:val="none"/>
          <w14:textFill>
            <w14:solidFill>
              <w14:schemeClr w14:val="tx1"/>
            </w14:solidFill>
          </w14:textFill>
        </w:rPr>
        <w:t>）不响应或擅自改变《招标文件》要求或《投标文件》有招标人不能接受的附加条件的；</w:t>
      </w:r>
    </w:p>
    <w:p w14:paraId="0569A7E3">
      <w:pPr>
        <w:ind w:firstLine="463" w:firstLineChars="193"/>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color w:val="000000" w:themeColor="text1"/>
          <w:kern w:val="0"/>
          <w:sz w:val="24"/>
          <w:szCs w:val="24"/>
          <w:highlight w:val="none"/>
          <w14:textFill>
            <w14:solidFill>
              <w14:schemeClr w14:val="tx1"/>
            </w14:solidFill>
          </w14:textFill>
        </w:rPr>
        <w:t>）不符合</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《苍南县县级预算单位公款竞争性存放管理暂行办法》（苍政办〔2019〕7号）</w:t>
      </w:r>
      <w:r>
        <w:rPr>
          <w:rFonts w:hint="eastAsia" w:ascii="宋体" w:hAnsi="宋体" w:eastAsia="宋体" w:cs="宋体"/>
          <w:color w:val="000000" w:themeColor="text1"/>
          <w:kern w:val="0"/>
          <w:sz w:val="24"/>
          <w:szCs w:val="24"/>
          <w:highlight w:val="none"/>
          <w14:textFill>
            <w14:solidFill>
              <w14:schemeClr w14:val="tx1"/>
            </w14:solidFill>
          </w14:textFill>
        </w:rPr>
        <w:t>等公款存放相关规定和招标文件中规定的其他实质性要求的。</w:t>
      </w:r>
    </w:p>
    <w:p w14:paraId="7DFFEF4A">
      <w:pPr>
        <w:ind w:firstLine="463" w:firstLineChars="192"/>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2</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b/>
          <w:color w:val="000000" w:themeColor="text1"/>
          <w:kern w:val="0"/>
          <w:sz w:val="24"/>
          <w:szCs w:val="24"/>
          <w:highlight w:val="none"/>
          <w14:textFill>
            <w14:solidFill>
              <w14:schemeClr w14:val="tx1"/>
            </w14:solidFill>
          </w14:textFill>
        </w:rPr>
        <w:t>.3符合《招标文件》明确规定的其他无效投标条款的。</w:t>
      </w:r>
    </w:p>
    <w:p w14:paraId="6E657E5D">
      <w:pPr>
        <w:ind w:firstLine="463" w:firstLineChars="192"/>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2</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b/>
          <w:color w:val="000000" w:themeColor="text1"/>
          <w:kern w:val="0"/>
          <w:sz w:val="24"/>
          <w:szCs w:val="24"/>
          <w:highlight w:val="none"/>
          <w14:textFill>
            <w14:solidFill>
              <w14:schemeClr w14:val="tx1"/>
            </w14:solidFill>
          </w14:textFill>
        </w:rPr>
        <w:t>.4有下列情形之一的，投标无效且将《投标文件》、《询标记录》等报监管部门查处：</w:t>
      </w:r>
    </w:p>
    <w:p w14:paraId="29AD4AA7">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（1）未如实违法违纪记录等信息，影响或者可能影响中标结果的；</w:t>
      </w:r>
    </w:p>
    <w:p w14:paraId="23EA35B3">
      <w:pPr>
        <w:ind w:firstLine="460"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（2）存在其他违法行为或其他严重干扰招投标秩序的行为的。</w:t>
      </w:r>
    </w:p>
    <w:p w14:paraId="30BF84A6">
      <w:pPr>
        <w:pStyle w:val="3"/>
        <w:rPr>
          <w:rFonts w:hint="eastAsia" w:ascii="宋体" w:hAnsi="宋体" w:eastAsia="宋体" w:cs="宋体"/>
          <w:color w:val="000000" w:themeColor="text1"/>
          <w:highlight w:val="none"/>
          <w14:textFill>
            <w14:solidFill>
              <w14:schemeClr w14:val="tx1"/>
            </w14:solidFill>
          </w14:textFill>
        </w:rPr>
      </w:pPr>
      <w:bookmarkStart w:id="60" w:name="_Toc440162789"/>
      <w:bookmarkStart w:id="61" w:name="_Toc424164157"/>
      <w:bookmarkStart w:id="62" w:name="_Toc1239"/>
      <w:bookmarkStart w:id="63" w:name="_Toc28826"/>
      <w:bookmarkStart w:id="64" w:name="_Toc452032120"/>
      <w:bookmarkStart w:id="65" w:name="_Toc28997"/>
      <w:bookmarkStart w:id="66" w:name="_Toc27261"/>
      <w:bookmarkStart w:id="67" w:name="_Toc13366"/>
      <w:bookmarkStart w:id="68" w:name="_Toc446950606"/>
      <w:r>
        <w:rPr>
          <w:rFonts w:hint="eastAsia" w:ascii="宋体" w:hAnsi="宋体" w:eastAsia="宋体" w:cs="宋体"/>
          <w:color w:val="000000" w:themeColor="text1"/>
          <w:highlight w:val="none"/>
          <w14:textFill>
            <w14:solidFill>
              <w14:schemeClr w14:val="tx1"/>
            </w14:solidFill>
          </w14:textFill>
        </w:rPr>
        <w:t>四、开标</w:t>
      </w:r>
      <w:bookmarkEnd w:id="60"/>
      <w:bookmarkEnd w:id="61"/>
      <w:bookmarkEnd w:id="62"/>
      <w:bookmarkEnd w:id="63"/>
      <w:bookmarkEnd w:id="64"/>
      <w:bookmarkEnd w:id="65"/>
      <w:bookmarkEnd w:id="66"/>
      <w:bookmarkEnd w:id="67"/>
      <w:bookmarkEnd w:id="68"/>
    </w:p>
    <w:p w14:paraId="4A94563E">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2</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
          <w:color w:val="000000" w:themeColor="text1"/>
          <w:kern w:val="0"/>
          <w:sz w:val="24"/>
          <w:szCs w:val="24"/>
          <w:highlight w:val="none"/>
          <w14:textFill>
            <w14:solidFill>
              <w14:schemeClr w14:val="tx1"/>
            </w14:solidFill>
          </w14:textFill>
        </w:rPr>
        <w:t>、开标准备</w:t>
      </w:r>
    </w:p>
    <w:p w14:paraId="048046E5">
      <w:pPr>
        <w:ind w:firstLine="482" w:firstLineChars="200"/>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2</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
          <w:color w:val="000000" w:themeColor="text1"/>
          <w:kern w:val="0"/>
          <w:sz w:val="24"/>
          <w:szCs w:val="24"/>
          <w:highlight w:val="none"/>
          <w14:textFill>
            <w14:solidFill>
              <w14:schemeClr w14:val="tx1"/>
            </w14:solidFill>
          </w14:textFill>
        </w:rPr>
        <w:t>.1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597D02EE">
      <w:pPr>
        <w:ind w:firstLine="482"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2</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color w:val="000000" w:themeColor="text1"/>
          <w:kern w:val="0"/>
          <w:sz w:val="24"/>
          <w:szCs w:val="24"/>
          <w:highlight w:val="none"/>
          <w14:textFill>
            <w14:solidFill>
              <w14:schemeClr w14:val="tx1"/>
            </w14:solidFill>
          </w14:textFill>
        </w:rPr>
        <w:t>、开标程序</w:t>
      </w:r>
    </w:p>
    <w:p w14:paraId="4D5B126F">
      <w:pPr>
        <w:ind w:firstLine="463" w:firstLineChars="193"/>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.1开标</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会议</w:t>
      </w:r>
      <w:r>
        <w:rPr>
          <w:rFonts w:hint="eastAsia" w:ascii="宋体" w:hAnsi="宋体" w:eastAsia="宋体" w:cs="宋体"/>
          <w:color w:val="000000" w:themeColor="text1"/>
          <w:kern w:val="0"/>
          <w:sz w:val="24"/>
          <w:szCs w:val="24"/>
          <w:highlight w:val="none"/>
          <w14:textFill>
            <w14:solidFill>
              <w14:schemeClr w14:val="tx1"/>
            </w14:solidFill>
          </w14:textFill>
        </w:rPr>
        <w:t>由</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组织机构主持；</w:t>
      </w:r>
    </w:p>
    <w:p w14:paraId="60A91B28">
      <w:pPr>
        <w:ind w:firstLine="463" w:firstLineChars="193"/>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.2将投标文</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开启并</w:t>
      </w:r>
      <w:r>
        <w:rPr>
          <w:rFonts w:hint="eastAsia" w:ascii="宋体" w:hAnsi="宋体" w:eastAsia="宋体" w:cs="宋体"/>
          <w:color w:val="000000" w:themeColor="text1"/>
          <w:kern w:val="0"/>
          <w:sz w:val="24"/>
          <w:szCs w:val="24"/>
          <w:highlight w:val="none"/>
          <w14:textFill>
            <w14:solidFill>
              <w14:schemeClr w14:val="tx1"/>
            </w14:solidFill>
          </w14:textFill>
        </w:rPr>
        <w:t>进行评审。</w:t>
      </w:r>
    </w:p>
    <w:p w14:paraId="0830293F">
      <w:pPr>
        <w:ind w:firstLine="463" w:firstLineChars="193"/>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.7评审结束后，公布中标（成交）候选供应商名单。</w:t>
      </w:r>
    </w:p>
    <w:p w14:paraId="6F6D0047">
      <w:pPr>
        <w:pStyle w:val="3"/>
        <w:rPr>
          <w:rFonts w:hint="eastAsia" w:ascii="宋体" w:hAnsi="宋体" w:eastAsia="宋体" w:cs="宋体"/>
          <w:color w:val="000000" w:themeColor="text1"/>
          <w:highlight w:val="none"/>
          <w14:textFill>
            <w14:solidFill>
              <w14:schemeClr w14:val="tx1"/>
            </w14:solidFill>
          </w14:textFill>
        </w:rPr>
      </w:pPr>
      <w:bookmarkStart w:id="69" w:name="_Toc20675"/>
      <w:bookmarkStart w:id="70" w:name="_Toc16609"/>
      <w:bookmarkStart w:id="71" w:name="_Toc24835"/>
      <w:bookmarkStart w:id="72" w:name="_Toc424164158"/>
      <w:bookmarkStart w:id="73" w:name="_Toc440162790"/>
      <w:bookmarkStart w:id="74" w:name="_Toc7906"/>
      <w:bookmarkStart w:id="75" w:name="_Toc446950607"/>
      <w:bookmarkStart w:id="76" w:name="_Toc9167"/>
      <w:bookmarkStart w:id="77" w:name="_Toc452032121"/>
      <w:r>
        <w:rPr>
          <w:rFonts w:hint="eastAsia" w:ascii="宋体" w:hAnsi="宋体" w:eastAsia="宋体" w:cs="宋体"/>
          <w:color w:val="000000" w:themeColor="text1"/>
          <w:highlight w:val="none"/>
          <w14:textFill>
            <w14:solidFill>
              <w14:schemeClr w14:val="tx1"/>
            </w14:solidFill>
          </w14:textFill>
        </w:rPr>
        <w:t>五、评标</w:t>
      </w:r>
      <w:bookmarkEnd w:id="69"/>
      <w:bookmarkEnd w:id="70"/>
      <w:bookmarkEnd w:id="71"/>
      <w:bookmarkEnd w:id="72"/>
      <w:bookmarkEnd w:id="73"/>
      <w:bookmarkEnd w:id="74"/>
      <w:bookmarkEnd w:id="75"/>
      <w:bookmarkEnd w:id="76"/>
      <w:bookmarkEnd w:id="77"/>
    </w:p>
    <w:p w14:paraId="71608582">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2</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color w:val="000000" w:themeColor="text1"/>
          <w:kern w:val="0"/>
          <w:sz w:val="24"/>
          <w:szCs w:val="24"/>
          <w:highlight w:val="none"/>
          <w14:textFill>
            <w14:solidFill>
              <w14:schemeClr w14:val="tx1"/>
            </w14:solidFill>
          </w14:textFill>
        </w:rPr>
        <w:t>、组建评审小组</w:t>
      </w:r>
    </w:p>
    <w:p w14:paraId="5BCF6273">
      <w:pPr>
        <w:ind w:firstLine="463" w:firstLineChars="193"/>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本项目评审小组由</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组织机构依法组建，成员总数为5人或以上单数，包含评审专家及用户代表，其中评审专家不少于总人数的2/3。</w:t>
      </w:r>
    </w:p>
    <w:p w14:paraId="6F6B07BD">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2</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b/>
          <w:color w:val="000000" w:themeColor="text1"/>
          <w:kern w:val="0"/>
          <w:sz w:val="24"/>
          <w:szCs w:val="24"/>
          <w:highlight w:val="none"/>
          <w14:textFill>
            <w14:solidFill>
              <w14:schemeClr w14:val="tx1"/>
            </w14:solidFill>
          </w14:textFill>
        </w:rPr>
        <w:t>、评审方式和依据</w:t>
      </w:r>
    </w:p>
    <w:p w14:paraId="12E13235">
      <w:pPr>
        <w:ind w:firstLine="463" w:firstLineChars="193"/>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本项目采用不公开方式评审，评审的依据为《招标文件》、《投标文件》及其他招标文件中事先已列明的内容。</w:t>
      </w:r>
    </w:p>
    <w:p w14:paraId="4DAE956F">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25</w:t>
      </w:r>
      <w:r>
        <w:rPr>
          <w:rFonts w:hint="eastAsia" w:ascii="宋体" w:hAnsi="宋体" w:eastAsia="宋体" w:cs="宋体"/>
          <w:b/>
          <w:color w:val="000000" w:themeColor="text1"/>
          <w:kern w:val="0"/>
          <w:sz w:val="24"/>
          <w:szCs w:val="24"/>
          <w:highlight w:val="none"/>
          <w14:textFill>
            <w14:solidFill>
              <w14:schemeClr w14:val="tx1"/>
            </w14:solidFill>
          </w14:textFill>
        </w:rPr>
        <w:t>、评审程序</w:t>
      </w:r>
    </w:p>
    <w:p w14:paraId="10A78E0B">
      <w:pPr>
        <w:ind w:firstLine="458" w:firstLineChars="191"/>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.1推选评审小组组长，由组长召集成员阅读</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文件及相关补充、质疑、答复文件、项目书面说明等材料，熟悉</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项目基本情况，</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项目的质量要求、数量、主要技术标准或服务需求，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合同主要条款，投标文件无效情形，评审办法、评审依据、评审标准等。</w:t>
      </w:r>
    </w:p>
    <w:p w14:paraId="212B0706">
      <w:pPr>
        <w:ind w:firstLine="458" w:firstLineChars="191"/>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.2依据法律法规和招标文件的规定，对投标文件中的资格证明进行审查，以确定投标银行是否具备投标资格。</w:t>
      </w:r>
    </w:p>
    <w:p w14:paraId="3464911F">
      <w:pPr>
        <w:ind w:firstLine="458" w:firstLineChars="191"/>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.3对各投标银行的投标文件的有效性、完整性和响应程度进行审查，确定是否对</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文件作出实质性响应。</w:t>
      </w:r>
    </w:p>
    <w:p w14:paraId="6CB1704A">
      <w:pPr>
        <w:ind w:firstLine="458" w:firstLineChars="191"/>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.4按</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文件规定的评审办法和评审标准，依法独立对投标银行投标文件进行评估、比较，并给予评价或打分。</w:t>
      </w:r>
    </w:p>
    <w:p w14:paraId="5D00B5F1">
      <w:pPr>
        <w:ind w:firstLine="458" w:firstLineChars="191"/>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5评审人员如对投标银行投标文件非实质性内容有疑义或异议的，或者审查发现明显的文字或计算错误等情况，经商议认为需要投标银行作出澄清或说明的，以书面形式通知有关投标银行并要求其作出书面澄清或说明。</w:t>
      </w:r>
    </w:p>
    <w:p w14:paraId="65948A65">
      <w:pPr>
        <w:ind w:firstLine="458" w:firstLineChars="191"/>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.6汇总、统计、核对、确认评审结果，并依据</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文件规定确定中标（成交）候选人排序名单。</w:t>
      </w:r>
    </w:p>
    <w:p w14:paraId="317AEB11">
      <w:pPr>
        <w:ind w:firstLine="458" w:firstLineChars="191"/>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.7评审小组起草和签署评审报告。</w:t>
      </w:r>
    </w:p>
    <w:p w14:paraId="5F09C32D">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2</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b/>
          <w:color w:val="000000" w:themeColor="text1"/>
          <w:kern w:val="0"/>
          <w:sz w:val="24"/>
          <w:szCs w:val="24"/>
          <w:highlight w:val="none"/>
          <w14:textFill>
            <w14:solidFill>
              <w14:schemeClr w14:val="tx1"/>
            </w14:solidFill>
          </w14:textFill>
        </w:rPr>
        <w:t>、投标银行澄清问题的形式</w:t>
      </w:r>
    </w:p>
    <w:p w14:paraId="434B3B4A">
      <w:pPr>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对《投标文件》含义不明确、同类问题表述不一致或者有明显文字描述和计算错误的内容，评审小组可以书面形式要求投标银行在规定的时间内作出必要的澄清、说明或者纠正。投标银行的澄清、说明或者纠正应采用书面形式，由其授权的代表签字，并不得超出投标文件的范围或者改变《投标文件》的实质性内容。</w:t>
      </w:r>
    </w:p>
    <w:p w14:paraId="3FC4A95E">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2</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b/>
          <w:color w:val="000000" w:themeColor="text1"/>
          <w:kern w:val="0"/>
          <w:sz w:val="24"/>
          <w:szCs w:val="24"/>
          <w:highlight w:val="none"/>
          <w14:textFill>
            <w14:solidFill>
              <w14:schemeClr w14:val="tx1"/>
            </w14:solidFill>
          </w14:textFill>
        </w:rPr>
        <w:t>、错误修正</w:t>
      </w:r>
    </w:p>
    <w:p w14:paraId="14E48875">
      <w:pPr>
        <w:ind w:firstLine="463" w:firstLineChars="193"/>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《投标文件》如果出现计算或表达上的错误，修正错误的原则如下：</w:t>
      </w:r>
    </w:p>
    <w:p w14:paraId="1C1A22AD">
      <w:pPr>
        <w:ind w:firstLine="463" w:firstLineChars="193"/>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（1）对不同文字文本《投标文件》的解释发生异议的，以中文文本为准。</w:t>
      </w:r>
    </w:p>
    <w:p w14:paraId="4940DEA7">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2</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b/>
          <w:color w:val="000000" w:themeColor="text1"/>
          <w:kern w:val="0"/>
          <w:sz w:val="24"/>
          <w:szCs w:val="24"/>
          <w:highlight w:val="none"/>
          <w14:textFill>
            <w14:solidFill>
              <w14:schemeClr w14:val="tx1"/>
            </w14:solidFill>
          </w14:textFill>
        </w:rPr>
        <w:t>、评审原则和评审办法</w:t>
      </w:r>
    </w:p>
    <w:p w14:paraId="55A4CC59">
      <w:pPr>
        <w:ind w:left="1" w:firstLine="463"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2</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b/>
          <w:color w:val="000000" w:themeColor="text1"/>
          <w:kern w:val="0"/>
          <w:sz w:val="24"/>
          <w:szCs w:val="24"/>
          <w:highlight w:val="none"/>
          <w14:textFill>
            <w14:solidFill>
              <w14:schemeClr w14:val="tx1"/>
            </w14:solidFill>
          </w14:textFill>
        </w:rPr>
        <w:t>.1评审原则</w:t>
      </w:r>
      <w:r>
        <w:rPr>
          <w:rFonts w:hint="eastAsia" w:ascii="宋体" w:hAnsi="宋体" w:eastAsia="宋体" w:cs="宋体"/>
          <w:color w:val="000000" w:themeColor="text1"/>
          <w:kern w:val="0"/>
          <w:sz w:val="24"/>
          <w:szCs w:val="24"/>
          <w:highlight w:val="none"/>
          <w14:textFill>
            <w14:solidFill>
              <w14:schemeClr w14:val="tx1"/>
            </w14:solidFill>
          </w14:textFill>
        </w:rPr>
        <w:t xml:space="preserve">：公平、公正、客观，不带任何倾向性和启发性； </w:t>
      </w:r>
    </w:p>
    <w:p w14:paraId="6419506A">
      <w:pPr>
        <w:ind w:left="1" w:firstLine="463" w:firstLineChars="19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2</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b/>
          <w:color w:val="000000" w:themeColor="text1"/>
          <w:kern w:val="0"/>
          <w:sz w:val="24"/>
          <w:szCs w:val="24"/>
          <w:highlight w:val="none"/>
          <w14:textFill>
            <w14:solidFill>
              <w14:schemeClr w14:val="tx1"/>
            </w14:solidFill>
          </w14:textFill>
        </w:rPr>
        <w:t>.2评审办法</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b/>
          <w:color w:val="000000" w:themeColor="text1"/>
          <w:kern w:val="0"/>
          <w:sz w:val="24"/>
          <w:szCs w:val="24"/>
          <w:highlight w:val="none"/>
          <w14:textFill>
            <w14:solidFill>
              <w14:schemeClr w14:val="tx1"/>
            </w14:solidFill>
          </w14:textFill>
        </w:rPr>
        <w:t>本项目采用综合评分办法。投标银行的综合得分为评分细则各部分评分内容得分的总和，投标银行的最终评审得分为评标委员会各成员评分的算术平均值。具体评审内容及评分标准等详见《第四章：评审办法及评分标准》。</w:t>
      </w:r>
    </w:p>
    <w:p w14:paraId="417E9290">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29</w:t>
      </w:r>
      <w:r>
        <w:rPr>
          <w:rFonts w:hint="eastAsia" w:ascii="宋体" w:hAnsi="宋体" w:eastAsia="宋体" w:cs="宋体"/>
          <w:b/>
          <w:color w:val="000000" w:themeColor="text1"/>
          <w:kern w:val="0"/>
          <w:sz w:val="24"/>
          <w:szCs w:val="24"/>
          <w:highlight w:val="none"/>
          <w14:textFill>
            <w14:solidFill>
              <w14:schemeClr w14:val="tx1"/>
            </w14:solidFill>
          </w14:textFill>
        </w:rPr>
        <w:t>、评审过程的纪律</w:t>
      </w:r>
    </w:p>
    <w:p w14:paraId="559E4816">
      <w:pPr>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本项目评审过程由</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组织机构负责组织，由监督员进行现场监督。评审小组不得向外界透露任何与评标有关的内容；任何单位和个人不得干扰、影响评标的正常进行；评审小组及有关工作人员不得私下与投标银行接触；浙江省政府</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活动现场组织管理办法中规定的其他禁止行为。</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b/>
          <w:color w:val="000000" w:themeColor="text1"/>
          <w:kern w:val="0"/>
          <w:sz w:val="24"/>
          <w:szCs w:val="24"/>
          <w:highlight w:val="none"/>
          <w14:textFill>
            <w14:solidFill>
              <w14:schemeClr w14:val="tx1"/>
            </w14:solidFill>
          </w14:textFill>
        </w:rPr>
        <w:t>投标银行在评标过程中所进行的企图影响评标结果的不公正活动，将导致其投标作无效标处理。</w:t>
      </w:r>
    </w:p>
    <w:p w14:paraId="32EFC103">
      <w:pPr>
        <w:pStyle w:val="3"/>
        <w:rPr>
          <w:rFonts w:hint="eastAsia" w:ascii="宋体" w:hAnsi="宋体" w:eastAsia="宋体" w:cs="宋体"/>
          <w:color w:val="000000" w:themeColor="text1"/>
          <w:highlight w:val="none"/>
          <w14:textFill>
            <w14:solidFill>
              <w14:schemeClr w14:val="tx1"/>
            </w14:solidFill>
          </w14:textFill>
        </w:rPr>
      </w:pPr>
      <w:bookmarkStart w:id="78" w:name="_Toc424164159"/>
      <w:bookmarkStart w:id="79" w:name="_Toc5672"/>
      <w:bookmarkStart w:id="80" w:name="_Toc1015"/>
      <w:bookmarkStart w:id="81" w:name="_Toc440162791"/>
      <w:bookmarkStart w:id="82" w:name="_Toc11804"/>
      <w:bookmarkStart w:id="83" w:name="_Toc452032122"/>
      <w:bookmarkStart w:id="84" w:name="_Toc15984"/>
      <w:bookmarkStart w:id="85" w:name="_Toc23096"/>
      <w:bookmarkStart w:id="86" w:name="_Toc446950608"/>
      <w:r>
        <w:rPr>
          <w:rFonts w:hint="eastAsia" w:ascii="宋体" w:hAnsi="宋体" w:eastAsia="宋体" w:cs="宋体"/>
          <w:color w:val="000000" w:themeColor="text1"/>
          <w:highlight w:val="none"/>
          <w14:textFill>
            <w14:solidFill>
              <w14:schemeClr w14:val="tx1"/>
            </w14:solidFill>
          </w14:textFill>
        </w:rPr>
        <w:t>六、</w:t>
      </w:r>
      <w:bookmarkEnd w:id="78"/>
      <w:r>
        <w:rPr>
          <w:rFonts w:hint="eastAsia" w:ascii="宋体" w:hAnsi="宋体" w:eastAsia="宋体" w:cs="宋体"/>
          <w:color w:val="000000" w:themeColor="text1"/>
          <w:highlight w:val="none"/>
          <w:lang w:eastAsia="zh-CN"/>
          <w14:textFill>
            <w14:solidFill>
              <w14:schemeClr w14:val="tx1"/>
            </w14:solidFill>
          </w14:textFill>
        </w:rPr>
        <w:t>招标</w:t>
      </w:r>
      <w:r>
        <w:rPr>
          <w:rFonts w:hint="eastAsia" w:ascii="宋体" w:hAnsi="宋体" w:eastAsia="宋体" w:cs="宋体"/>
          <w:color w:val="000000" w:themeColor="text1"/>
          <w:highlight w:val="none"/>
          <w14:textFill>
            <w14:solidFill>
              <w14:schemeClr w14:val="tx1"/>
            </w14:solidFill>
          </w14:textFill>
        </w:rPr>
        <w:t>结果发布</w:t>
      </w:r>
      <w:bookmarkEnd w:id="79"/>
      <w:bookmarkEnd w:id="80"/>
      <w:bookmarkEnd w:id="81"/>
      <w:bookmarkEnd w:id="82"/>
      <w:bookmarkEnd w:id="83"/>
      <w:bookmarkEnd w:id="84"/>
      <w:bookmarkEnd w:id="85"/>
      <w:bookmarkEnd w:id="86"/>
    </w:p>
    <w:p w14:paraId="0A3A0F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3</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b/>
          <w:color w:val="000000" w:themeColor="text1"/>
          <w:kern w:val="0"/>
          <w:sz w:val="24"/>
          <w:szCs w:val="24"/>
          <w:highlight w:val="none"/>
          <w14:textFill>
            <w14:solidFill>
              <w14:schemeClr w14:val="tx1"/>
            </w14:solidFill>
          </w14:textFill>
        </w:rPr>
        <w:t>、中标结果确定</w:t>
      </w:r>
    </w:p>
    <w:p w14:paraId="3A72E000">
      <w:pPr>
        <w:keepNext w:val="0"/>
        <w:keepLines w:val="0"/>
        <w:pageBreakBefore w:val="0"/>
        <w:widowControl w:val="0"/>
        <w:kinsoku/>
        <w:wordWrap/>
        <w:overflowPunct/>
        <w:topLinePunct w:val="0"/>
        <w:autoSpaceDE/>
        <w:autoSpaceDN/>
        <w:bidi w:val="0"/>
        <w:adjustRightInd/>
        <w:snapToGrid/>
        <w:spacing w:line="360" w:lineRule="auto"/>
        <w:ind w:firstLine="465" w:firstLineChars="193"/>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本项目由招标人根据评审小组提交的《评审报告》依法确定中标（成交）单位。</w:t>
      </w:r>
    </w:p>
    <w:p w14:paraId="337D5724">
      <w:pPr>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招标人将在评审结束之日起7个工作日内确定中标（成交）单位。自中标（成交）单位确定之日起2个工作日内发出中标（成交）通知书，并发布中标公告。</w:t>
      </w:r>
    </w:p>
    <w:p w14:paraId="5697A0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3</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
          <w:color w:val="000000" w:themeColor="text1"/>
          <w:kern w:val="0"/>
          <w:sz w:val="24"/>
          <w:szCs w:val="24"/>
          <w:highlight w:val="none"/>
          <w14:textFill>
            <w14:solidFill>
              <w14:schemeClr w14:val="tx1"/>
            </w14:solidFill>
          </w14:textFill>
        </w:rPr>
        <w:t>、中标通知书签发</w:t>
      </w:r>
    </w:p>
    <w:p w14:paraId="6820BDDC">
      <w:pPr>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自中标（成交）单位确定之日起2个工作日内发出中标（成交）通知书，并发布中标公告。</w:t>
      </w:r>
    </w:p>
    <w:p w14:paraId="7D51EA55">
      <w:pPr>
        <w:pStyle w:val="3"/>
        <w:spacing w:line="240" w:lineRule="auto"/>
        <w:rPr>
          <w:rFonts w:hint="eastAsia" w:ascii="宋体" w:hAnsi="宋体" w:eastAsia="宋体" w:cs="宋体"/>
          <w:color w:val="000000" w:themeColor="text1"/>
          <w:highlight w:val="none"/>
          <w14:textFill>
            <w14:solidFill>
              <w14:schemeClr w14:val="tx1"/>
            </w14:solidFill>
          </w14:textFill>
        </w:rPr>
      </w:pPr>
      <w:bookmarkStart w:id="87" w:name="_Toc440162792"/>
      <w:bookmarkStart w:id="88" w:name="_Toc26366"/>
      <w:bookmarkStart w:id="89" w:name="_Toc5454"/>
      <w:bookmarkStart w:id="90" w:name="_Toc19038"/>
      <w:bookmarkStart w:id="91" w:name="_Toc452032123"/>
      <w:bookmarkStart w:id="92" w:name="_Toc888"/>
      <w:bookmarkStart w:id="93" w:name="_Toc446950609"/>
      <w:bookmarkStart w:id="94" w:name="_Toc424164160"/>
      <w:bookmarkStart w:id="95" w:name="_Toc6917"/>
      <w:r>
        <w:rPr>
          <w:rFonts w:hint="eastAsia" w:ascii="宋体" w:hAnsi="宋体" w:eastAsia="宋体" w:cs="宋体"/>
          <w:color w:val="000000" w:themeColor="text1"/>
          <w:highlight w:val="none"/>
          <w14:textFill>
            <w14:solidFill>
              <w14:schemeClr w14:val="tx1"/>
            </w14:solidFill>
          </w14:textFill>
        </w:rPr>
        <w:t>七、合同授予</w:t>
      </w:r>
      <w:bookmarkEnd w:id="87"/>
      <w:bookmarkEnd w:id="88"/>
      <w:bookmarkEnd w:id="89"/>
      <w:bookmarkEnd w:id="90"/>
      <w:bookmarkEnd w:id="91"/>
      <w:bookmarkEnd w:id="92"/>
      <w:bookmarkEnd w:id="93"/>
      <w:bookmarkEnd w:id="94"/>
      <w:bookmarkEnd w:id="95"/>
    </w:p>
    <w:p w14:paraId="4F883895">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3</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color w:val="000000" w:themeColor="text1"/>
          <w:kern w:val="0"/>
          <w:sz w:val="24"/>
          <w:szCs w:val="24"/>
          <w:highlight w:val="none"/>
          <w14:textFill>
            <w14:solidFill>
              <w14:schemeClr w14:val="tx1"/>
            </w14:solidFill>
          </w14:textFill>
        </w:rPr>
        <w:t>、签订合同</w:t>
      </w:r>
    </w:p>
    <w:p w14:paraId="31BD80FE">
      <w:pPr>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.1中标（成交）供应商应按投标须知前附表中规定的时间内与招标人签订政府</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合同。同时，</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组织机构根据委托代理事项对合同内容进行审查，如发现与</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结果和投标承诺内容不一致的，应予以纠正。</w:t>
      </w:r>
    </w:p>
    <w:p w14:paraId="09D1FDE6">
      <w:pPr>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.2中标（成交）供应商拖延、拒签合同的，将被取消中标资格；给招标人及使用单位造成损失的应按照相关规定进行赔偿。</w:t>
      </w:r>
      <w:r>
        <w:rPr>
          <w:rFonts w:hint="eastAsia" w:ascii="宋体" w:hAnsi="宋体" w:eastAsia="宋体" w:cs="宋体"/>
          <w:b/>
          <w:bCs/>
          <w:color w:val="000000" w:themeColor="text1"/>
          <w:kern w:val="0"/>
          <w:sz w:val="24"/>
          <w:szCs w:val="24"/>
          <w:highlight w:val="none"/>
          <w14:textFill>
            <w14:solidFill>
              <w14:schemeClr w14:val="tx1"/>
            </w14:solidFill>
          </w14:textFill>
        </w:rPr>
        <w:t>招标人重新组织</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b/>
          <w:bCs/>
          <w:color w:val="000000" w:themeColor="text1"/>
          <w:kern w:val="0"/>
          <w:sz w:val="24"/>
          <w:szCs w:val="24"/>
          <w:highlight w:val="none"/>
          <w14:textFill>
            <w14:solidFill>
              <w14:schemeClr w14:val="tx1"/>
            </w14:solidFill>
          </w14:textFill>
        </w:rPr>
        <w:t>的，所需费用由原中标供应商承担。</w:t>
      </w:r>
    </w:p>
    <w:p w14:paraId="2D3516E4">
      <w:pP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3</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color w:val="000000" w:themeColor="text1"/>
          <w:kern w:val="0"/>
          <w:sz w:val="24"/>
          <w:szCs w:val="24"/>
          <w:highlight w:val="none"/>
          <w14:textFill>
            <w14:solidFill>
              <w14:schemeClr w14:val="tx1"/>
            </w14:solidFill>
          </w14:textFill>
        </w:rPr>
        <w:t>、</w:t>
      </w:r>
      <w:r>
        <w:rPr>
          <w:rFonts w:hint="eastAsia" w:ascii="宋体" w:hAnsi="宋体" w:eastAsia="宋体" w:cs="宋体"/>
          <w:b/>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b/>
          <w:color w:val="000000" w:themeColor="text1"/>
          <w:kern w:val="0"/>
          <w:sz w:val="24"/>
          <w:szCs w:val="24"/>
          <w:highlight w:val="none"/>
          <w14:textFill>
            <w14:solidFill>
              <w14:schemeClr w14:val="tx1"/>
            </w14:solidFill>
          </w14:textFill>
        </w:rPr>
        <w:t>代理服务费</w:t>
      </w:r>
    </w:p>
    <w:p w14:paraId="638CE50D">
      <w:pPr>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.1中标（成交）供应商在领取《中标通知书》前，须按《投标须知前附表》的规定一次性向</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组织机构支付</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代理服务费。</w:t>
      </w:r>
    </w:p>
    <w:p w14:paraId="40ACEF53">
      <w:pPr>
        <w:pStyle w:val="37"/>
        <w:spacing w:line="240" w:lineRule="auto"/>
        <w:rPr>
          <w:rFonts w:hint="eastAsia" w:ascii="宋体" w:hAnsi="宋体" w:eastAsia="宋体" w:cs="宋体"/>
          <w:color w:val="000000" w:themeColor="text1"/>
          <w:sz w:val="22"/>
          <w:szCs w:val="22"/>
          <w:highlight w:val="none"/>
          <w14:textFill>
            <w14:solidFill>
              <w14:schemeClr w14:val="tx1"/>
            </w14:solidFill>
          </w14:textFill>
        </w:rPr>
      </w:pPr>
      <w:bookmarkStart w:id="96" w:name="_Toc424164161"/>
      <w:bookmarkStart w:id="97" w:name="_Toc16013"/>
      <w:bookmarkStart w:id="98" w:name="_Toc440162793"/>
      <w:bookmarkStart w:id="99" w:name="_Toc446950610"/>
      <w:bookmarkStart w:id="100" w:name="_Toc1454"/>
      <w:bookmarkStart w:id="101" w:name="_Toc2429"/>
      <w:bookmarkStart w:id="102" w:name="_Toc452032124"/>
      <w:bookmarkStart w:id="103" w:name="_Toc8437"/>
      <w:bookmarkStart w:id="104" w:name="_Toc27187"/>
      <w:r>
        <w:rPr>
          <w:rFonts w:hint="eastAsia" w:ascii="宋体" w:hAnsi="宋体" w:eastAsia="宋体" w:cs="宋体"/>
          <w:color w:val="000000" w:themeColor="text1"/>
          <w:highlight w:val="none"/>
          <w14:textFill>
            <w14:solidFill>
              <w14:schemeClr w14:val="tx1"/>
            </w14:solidFill>
          </w14:textFill>
        </w:rPr>
        <w:br w:type="page"/>
      </w:r>
      <w:r>
        <w:rPr>
          <w:rFonts w:hint="eastAsia" w:ascii="宋体" w:hAnsi="宋体" w:eastAsia="宋体" w:cs="宋体"/>
          <w:color w:val="000000" w:themeColor="text1"/>
          <w:highlight w:val="none"/>
          <w14:textFill>
            <w14:solidFill>
              <w14:schemeClr w14:val="tx1"/>
            </w14:solidFill>
          </w14:textFill>
        </w:rPr>
        <w:t xml:space="preserve">第四章 </w:t>
      </w:r>
      <w:bookmarkEnd w:id="96"/>
      <w:r>
        <w:rPr>
          <w:rFonts w:hint="eastAsia" w:ascii="宋体" w:hAnsi="宋体" w:eastAsia="宋体" w:cs="宋体"/>
          <w:color w:val="000000" w:themeColor="text1"/>
          <w:highlight w:val="none"/>
          <w14:textFill>
            <w14:solidFill>
              <w14:schemeClr w14:val="tx1"/>
            </w14:solidFill>
          </w14:textFill>
        </w:rPr>
        <w:t>评审办法及标准</w:t>
      </w:r>
      <w:bookmarkEnd w:id="97"/>
      <w:bookmarkEnd w:id="98"/>
      <w:bookmarkEnd w:id="99"/>
      <w:bookmarkEnd w:id="100"/>
      <w:bookmarkEnd w:id="101"/>
      <w:bookmarkEnd w:id="102"/>
      <w:bookmarkEnd w:id="103"/>
      <w:bookmarkEnd w:id="104"/>
    </w:p>
    <w:p w14:paraId="71D115EC">
      <w:pPr>
        <w:ind w:firstLine="482" w:firstLineChars="200"/>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为公正、公平、科学地选择中标（成交）供应商，</w:t>
      </w:r>
      <w:r>
        <w:rPr>
          <w:rFonts w:hint="eastAsia" w:ascii="宋体" w:hAnsi="宋体" w:eastAsia="宋体" w:cs="宋体"/>
          <w:b/>
          <w:color w:val="000000" w:themeColor="text1"/>
          <w:kern w:val="0"/>
          <w:sz w:val="24"/>
          <w:szCs w:val="24"/>
          <w:highlight w:val="none"/>
          <w:lang w:eastAsia="zh-CN"/>
          <w14:textFill>
            <w14:solidFill>
              <w14:schemeClr w14:val="tx1"/>
            </w14:solidFill>
          </w14:textFill>
        </w:rPr>
        <w:t>《浙江省财政厅关于印发浙江省省级行政事业单位公款竞争性存放管理办法的通知》（浙财预执〔2021〕7号）、《苍南县县级预算单位公款竞争性存放管理暂行办法》（苍政办〔2019〕7号）</w:t>
      </w:r>
      <w:r>
        <w:rPr>
          <w:rFonts w:hint="eastAsia" w:ascii="宋体" w:hAnsi="宋体" w:eastAsia="宋体" w:cs="宋体"/>
          <w:b/>
          <w:color w:val="000000" w:themeColor="text1"/>
          <w:kern w:val="0"/>
          <w:sz w:val="24"/>
          <w:szCs w:val="24"/>
          <w:highlight w:val="none"/>
          <w14:textFill>
            <w14:solidFill>
              <w14:schemeClr w14:val="tx1"/>
            </w14:solidFill>
          </w14:textFill>
        </w:rPr>
        <w:t>公款存放相关规定，并结合本项目的实际，制定本办法。</w:t>
      </w:r>
    </w:p>
    <w:p w14:paraId="3C74EF8D">
      <w:pPr>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本办法适用于</w:t>
      </w:r>
      <w:r>
        <w:rPr>
          <w:rFonts w:hint="eastAsia" w:ascii="宋体" w:hAnsi="宋体" w:eastAsia="宋体" w:cs="宋体"/>
          <w:b/>
          <w:color w:val="000000" w:themeColor="text1"/>
          <w:kern w:val="0"/>
          <w:sz w:val="24"/>
          <w:szCs w:val="24"/>
          <w:highlight w:val="none"/>
          <w:u w:val="single"/>
          <w:lang w:eastAsia="zh-CN"/>
          <w14:textFill>
            <w14:solidFill>
              <w14:schemeClr w14:val="tx1"/>
            </w14:solidFill>
          </w14:textFill>
        </w:rPr>
        <w:t>2025年度苍南县测绘院公款竞争性存放项目</w:t>
      </w:r>
      <w:r>
        <w:rPr>
          <w:rFonts w:hint="eastAsia" w:ascii="宋体" w:hAnsi="宋体" w:eastAsia="宋体" w:cs="宋体"/>
          <w:color w:val="000000" w:themeColor="text1"/>
          <w:kern w:val="0"/>
          <w:sz w:val="24"/>
          <w:szCs w:val="24"/>
          <w:highlight w:val="none"/>
          <w14:textFill>
            <w14:solidFill>
              <w14:schemeClr w14:val="tx1"/>
            </w14:solidFill>
          </w14:textFill>
        </w:rPr>
        <w:t>的评审。</w:t>
      </w:r>
    </w:p>
    <w:p w14:paraId="2028DE47">
      <w:pPr>
        <w:autoSpaceDE w:val="0"/>
        <w:autoSpaceDN w:val="0"/>
        <w:adjustRightInd w:val="0"/>
        <w:ind w:firstLine="482" w:firstLineChars="200"/>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本项目采用综合评分办法。综合打分的内容为经营状态、服务水平、经济发展贡献、综合收益水平等方面进行综合评审。投标银行的最终评审得分为评标委员会各成员评分的算术平均值。具体评分细则如下：</w:t>
      </w:r>
    </w:p>
    <w:tbl>
      <w:tblPr>
        <w:tblStyle w:val="39"/>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894"/>
        <w:gridCol w:w="5949"/>
        <w:gridCol w:w="856"/>
      </w:tblGrid>
      <w:tr w14:paraId="4AA95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blHeader/>
          <w:jc w:val="center"/>
        </w:trPr>
        <w:tc>
          <w:tcPr>
            <w:tcW w:w="1159" w:type="dxa"/>
            <w:noWrap w:val="0"/>
            <w:vAlign w:val="center"/>
          </w:tcPr>
          <w:p w14:paraId="303716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themeColor="text1"/>
                <w:w w:val="90"/>
                <w:sz w:val="32"/>
                <w:szCs w:val="32"/>
                <w:highlight w:val="none"/>
                <w14:textFill>
                  <w14:solidFill>
                    <w14:schemeClr w14:val="tx1"/>
                  </w14:solidFill>
                </w14:textFill>
              </w:rPr>
            </w:pPr>
            <w:r>
              <w:rPr>
                <w:rFonts w:hint="eastAsia" w:ascii="宋体" w:hAnsi="宋体" w:eastAsia="宋体" w:cs="宋体"/>
                <w:b/>
                <w:color w:val="000000" w:themeColor="text1"/>
                <w:w w:val="90"/>
                <w:sz w:val="32"/>
                <w:szCs w:val="32"/>
                <w:highlight w:val="none"/>
                <w14:textFill>
                  <w14:solidFill>
                    <w14:schemeClr w14:val="tx1"/>
                  </w14:solidFill>
                </w14:textFill>
              </w:rPr>
              <w:t>项目</w:t>
            </w:r>
          </w:p>
        </w:tc>
        <w:tc>
          <w:tcPr>
            <w:tcW w:w="6843" w:type="dxa"/>
            <w:gridSpan w:val="2"/>
            <w:noWrap w:val="0"/>
            <w:vAlign w:val="center"/>
          </w:tcPr>
          <w:p w14:paraId="072047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themeColor="text1"/>
                <w:w w:val="90"/>
                <w:sz w:val="32"/>
                <w:szCs w:val="32"/>
                <w:highlight w:val="none"/>
                <w14:textFill>
                  <w14:solidFill>
                    <w14:schemeClr w14:val="tx1"/>
                  </w14:solidFill>
                </w14:textFill>
              </w:rPr>
            </w:pPr>
            <w:r>
              <w:rPr>
                <w:rFonts w:hint="eastAsia" w:ascii="宋体" w:hAnsi="宋体" w:eastAsia="宋体" w:cs="宋体"/>
                <w:b/>
                <w:color w:val="000000" w:themeColor="text1"/>
                <w:w w:val="90"/>
                <w:sz w:val="32"/>
                <w:szCs w:val="32"/>
                <w:highlight w:val="none"/>
                <w14:textFill>
                  <w14:solidFill>
                    <w14:schemeClr w14:val="tx1"/>
                  </w14:solidFill>
                </w14:textFill>
              </w:rPr>
              <w:t>评审内容及评分细则</w:t>
            </w:r>
          </w:p>
        </w:tc>
        <w:tc>
          <w:tcPr>
            <w:tcW w:w="856" w:type="dxa"/>
            <w:noWrap w:val="0"/>
            <w:vAlign w:val="center"/>
          </w:tcPr>
          <w:p w14:paraId="4AE221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themeColor="text1"/>
                <w:w w:val="90"/>
                <w:sz w:val="32"/>
                <w:szCs w:val="32"/>
                <w:highlight w:val="none"/>
                <w14:textFill>
                  <w14:solidFill>
                    <w14:schemeClr w14:val="tx1"/>
                  </w14:solidFill>
                </w14:textFill>
              </w:rPr>
            </w:pPr>
            <w:r>
              <w:rPr>
                <w:rFonts w:hint="eastAsia" w:ascii="宋体" w:hAnsi="宋体" w:eastAsia="宋体" w:cs="宋体"/>
                <w:b/>
                <w:color w:val="000000" w:themeColor="text1"/>
                <w:w w:val="90"/>
                <w:sz w:val="32"/>
                <w:szCs w:val="32"/>
                <w:highlight w:val="none"/>
                <w14:textFill>
                  <w14:solidFill>
                    <w14:schemeClr w14:val="tx1"/>
                  </w14:solidFill>
                </w14:textFill>
              </w:rPr>
              <w:t>分值</w:t>
            </w:r>
          </w:p>
        </w:tc>
      </w:tr>
      <w:tr w14:paraId="21A63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9" w:type="dxa"/>
            <w:vMerge w:val="restart"/>
            <w:noWrap w:val="0"/>
            <w:vAlign w:val="center"/>
          </w:tcPr>
          <w:p w14:paraId="2BB4F281">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经营状况指标</w:t>
            </w:r>
          </w:p>
          <w:p w14:paraId="42F8AB35">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color w:val="000000" w:themeColor="text1"/>
                <w:w w:val="90"/>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b/>
                <w:bCs/>
                <w:color w:val="000000" w:themeColor="text1"/>
                <w:sz w:val="21"/>
                <w:szCs w:val="21"/>
                <w:highlight w:val="none"/>
                <w14:textFill>
                  <w14:solidFill>
                    <w14:schemeClr w14:val="tx1"/>
                  </w14:solidFill>
                </w14:textFill>
              </w:rPr>
              <w:t>分)</w:t>
            </w:r>
          </w:p>
        </w:tc>
        <w:tc>
          <w:tcPr>
            <w:tcW w:w="894" w:type="dxa"/>
            <w:noWrap w:val="0"/>
            <w:vAlign w:val="center"/>
          </w:tcPr>
          <w:p w14:paraId="4102BB2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w w:val="90"/>
                <w:sz w:val="21"/>
                <w:szCs w:val="21"/>
                <w:highlight w:val="none"/>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资产质量</w:t>
            </w:r>
          </w:p>
        </w:tc>
        <w:tc>
          <w:tcPr>
            <w:tcW w:w="5949" w:type="dxa"/>
            <w:noWrap w:val="0"/>
            <w:vAlign w:val="center"/>
          </w:tcPr>
          <w:p w14:paraId="36F80288">
            <w:pPr>
              <w:keepNext w:val="0"/>
              <w:keepLines w:val="0"/>
              <w:pageBreakBefore w:val="0"/>
              <w:widowControl w:val="0"/>
              <w:kinsoku/>
              <w:wordWrap/>
              <w:overflowPunct/>
              <w:topLinePunct w:val="0"/>
              <w:autoSpaceDE/>
              <w:autoSpaceDN/>
              <w:bidi w:val="0"/>
              <w:adjustRightInd/>
              <w:snapToGrid/>
              <w:spacing w:line="240" w:lineRule="auto"/>
              <w:ind w:firstLine="378" w:firstLineChars="200"/>
              <w:textAlignment w:val="auto"/>
              <w:rPr>
                <w:rFonts w:hint="eastAsia" w:ascii="宋体" w:hAnsi="宋体" w:eastAsia="宋体" w:cs="宋体"/>
                <w:color w:val="000000" w:themeColor="text1"/>
                <w:w w:val="90"/>
                <w:sz w:val="21"/>
                <w:szCs w:val="21"/>
                <w:highlight w:val="none"/>
                <w14:textFill>
                  <w14:solidFill>
                    <w14:schemeClr w14:val="tx1"/>
                  </w14:solidFill>
                </w14:textFill>
              </w:rPr>
            </w:pPr>
            <w:r>
              <w:rPr>
                <w:rFonts w:hint="eastAsia" w:ascii="宋体" w:hAnsi="宋体" w:eastAsia="宋体" w:cs="宋体"/>
                <w:color w:val="000000" w:themeColor="text1"/>
                <w:w w:val="90"/>
                <w:sz w:val="21"/>
                <w:szCs w:val="21"/>
                <w:highlight w:val="none"/>
                <w14:textFill>
                  <w14:solidFill>
                    <w14:schemeClr w14:val="tx1"/>
                  </w14:solidFill>
                </w14:textFill>
              </w:rPr>
              <w:t>根据投标银行不良</w:t>
            </w: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贷款率</w:t>
            </w:r>
            <w:r>
              <w:rPr>
                <w:rFonts w:hint="eastAsia" w:ascii="宋体" w:hAnsi="宋体" w:eastAsia="宋体" w:cs="宋体"/>
                <w:color w:val="000000" w:themeColor="text1"/>
                <w:w w:val="90"/>
                <w:sz w:val="21"/>
                <w:szCs w:val="21"/>
                <w:highlight w:val="none"/>
                <w14:textFill>
                  <w14:solidFill>
                    <w14:schemeClr w14:val="tx1"/>
                  </w14:solidFill>
                </w14:textFill>
              </w:rPr>
              <w:t>(按不良率最低的开始排名)排名评分。排名第一得</w:t>
            </w: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w w:val="90"/>
                <w:sz w:val="21"/>
                <w:szCs w:val="21"/>
                <w:highlight w:val="none"/>
                <w14:textFill>
                  <w14:solidFill>
                    <w14:schemeClr w14:val="tx1"/>
                  </w14:solidFill>
                </w14:textFill>
              </w:rPr>
              <w:t>分，其余投标银行排名每降低一名相应递减0.</w:t>
            </w: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w w:val="90"/>
                <w:sz w:val="21"/>
                <w:szCs w:val="21"/>
                <w:highlight w:val="none"/>
                <w14:textFill>
                  <w14:solidFill>
                    <w14:schemeClr w14:val="tx1"/>
                  </w14:solidFill>
                </w14:textFill>
              </w:rPr>
              <w:t>5分，减完为止。</w:t>
            </w:r>
          </w:p>
          <w:p w14:paraId="3D0DE6A0">
            <w:pPr>
              <w:keepNext w:val="0"/>
              <w:keepLines w:val="0"/>
              <w:pageBreakBefore w:val="0"/>
              <w:widowControl w:val="0"/>
              <w:kinsoku/>
              <w:wordWrap/>
              <w:overflowPunct/>
              <w:topLinePunct w:val="0"/>
              <w:autoSpaceDE/>
              <w:autoSpaceDN/>
              <w:bidi w:val="0"/>
              <w:adjustRightInd/>
              <w:snapToGrid/>
              <w:spacing w:line="240" w:lineRule="auto"/>
              <w:ind w:firstLine="378" w:firstLineChars="200"/>
              <w:textAlignment w:val="auto"/>
              <w:rPr>
                <w:rFonts w:hint="eastAsia" w:ascii="宋体" w:hAnsi="宋体" w:eastAsia="宋体" w:cs="宋体"/>
                <w:color w:val="000000" w:themeColor="text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w w:val="90"/>
                <w:sz w:val="21"/>
                <w:szCs w:val="21"/>
                <w:highlight w:val="none"/>
                <w14:textFill>
                  <w14:solidFill>
                    <w14:schemeClr w14:val="tx1"/>
                  </w14:solidFill>
                </w14:textFill>
              </w:rPr>
              <w:t>注:以202</w:t>
            </w: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w w:val="90"/>
                <w:sz w:val="21"/>
                <w:szCs w:val="21"/>
                <w:highlight w:val="none"/>
                <w14:textFill>
                  <w14:solidFill>
                    <w14:schemeClr w14:val="tx1"/>
                  </w14:solidFill>
                </w14:textFill>
              </w:rPr>
              <w:t>年度数据为准，由投标银行自行提供证明文件为准，否则不得分。</w:t>
            </w:r>
          </w:p>
        </w:tc>
        <w:tc>
          <w:tcPr>
            <w:tcW w:w="856" w:type="dxa"/>
            <w:noWrap w:val="0"/>
            <w:vAlign w:val="center"/>
          </w:tcPr>
          <w:p w14:paraId="38895A4C">
            <w:pPr>
              <w:spacing w:line="360" w:lineRule="auto"/>
              <w:jc w:val="center"/>
              <w:textAlignment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0-5</w:t>
            </w:r>
          </w:p>
        </w:tc>
      </w:tr>
      <w:tr w14:paraId="6BA43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9" w:type="dxa"/>
            <w:vMerge w:val="continue"/>
            <w:noWrap w:val="0"/>
            <w:vAlign w:val="center"/>
          </w:tcPr>
          <w:p w14:paraId="31F382EF">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color w:val="000000" w:themeColor="text1"/>
                <w:w w:val="90"/>
                <w:sz w:val="21"/>
                <w:szCs w:val="21"/>
                <w:highlight w:val="none"/>
                <w14:textFill>
                  <w14:solidFill>
                    <w14:schemeClr w14:val="tx1"/>
                  </w14:solidFill>
                </w14:textFill>
              </w:rPr>
            </w:pPr>
          </w:p>
        </w:tc>
        <w:tc>
          <w:tcPr>
            <w:tcW w:w="894" w:type="dxa"/>
            <w:noWrap w:val="0"/>
            <w:vAlign w:val="center"/>
          </w:tcPr>
          <w:p w14:paraId="165490A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w w:val="90"/>
                <w:sz w:val="21"/>
                <w:szCs w:val="21"/>
                <w:highlight w:val="none"/>
                <w14:textFill>
                  <w14:solidFill>
                    <w14:schemeClr w14:val="tx1"/>
                  </w14:solidFill>
                </w14:textFill>
              </w:rPr>
            </w:pPr>
            <w:r>
              <w:rPr>
                <w:rFonts w:hint="eastAsia" w:ascii="宋体" w:hAnsi="宋体" w:eastAsia="宋体" w:cs="宋体"/>
                <w:color w:val="000000" w:themeColor="text1"/>
                <w:w w:val="90"/>
                <w:sz w:val="21"/>
                <w:szCs w:val="21"/>
                <w:highlight w:val="none"/>
                <w14:textFill>
                  <w14:solidFill>
                    <w14:schemeClr w14:val="tx1"/>
                  </w14:solidFill>
                </w14:textFill>
              </w:rPr>
              <w:t>各项存款</w:t>
            </w:r>
          </w:p>
        </w:tc>
        <w:tc>
          <w:tcPr>
            <w:tcW w:w="5949" w:type="dxa"/>
            <w:noWrap w:val="0"/>
            <w:vAlign w:val="center"/>
          </w:tcPr>
          <w:p w14:paraId="51222C9D">
            <w:pPr>
              <w:keepNext w:val="0"/>
              <w:keepLines w:val="0"/>
              <w:pageBreakBefore w:val="0"/>
              <w:widowControl w:val="0"/>
              <w:kinsoku/>
              <w:wordWrap/>
              <w:overflowPunct/>
              <w:topLinePunct w:val="0"/>
              <w:autoSpaceDE/>
              <w:autoSpaceDN/>
              <w:bidi w:val="0"/>
              <w:adjustRightInd/>
              <w:snapToGrid/>
              <w:spacing w:line="240" w:lineRule="auto"/>
              <w:ind w:firstLine="378" w:firstLineChars="200"/>
              <w:textAlignment w:val="auto"/>
              <w:rPr>
                <w:rFonts w:hint="eastAsia" w:ascii="宋体" w:hAnsi="宋体" w:eastAsia="宋体" w:cs="宋体"/>
                <w:color w:val="000000" w:themeColor="text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根据投标银行存款余额排名评分。存款余额最高得排名第一得5分，其余投标银行排名每降低一名相应递减0.25分，减完为止。</w:t>
            </w:r>
          </w:p>
          <w:p w14:paraId="38815D4E">
            <w:pPr>
              <w:keepNext w:val="0"/>
              <w:keepLines w:val="0"/>
              <w:pageBreakBefore w:val="0"/>
              <w:widowControl w:val="0"/>
              <w:kinsoku/>
              <w:wordWrap/>
              <w:overflowPunct/>
              <w:topLinePunct w:val="0"/>
              <w:autoSpaceDE/>
              <w:autoSpaceDN/>
              <w:bidi w:val="0"/>
              <w:adjustRightInd/>
              <w:snapToGrid/>
              <w:spacing w:line="240" w:lineRule="auto"/>
              <w:ind w:firstLine="378" w:firstLineChars="200"/>
              <w:textAlignment w:val="auto"/>
              <w:rPr>
                <w:rFonts w:hint="eastAsia" w:ascii="宋体" w:hAnsi="宋体" w:eastAsia="宋体" w:cs="宋体"/>
                <w:color w:val="000000" w:themeColor="text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注：以人民银行提供的2024年12月底存款余额为准，由投标银行自行提供人行苍南支行出具的证明文件为准，否则不得分。</w:t>
            </w:r>
          </w:p>
        </w:tc>
        <w:tc>
          <w:tcPr>
            <w:tcW w:w="856" w:type="dxa"/>
            <w:noWrap w:val="0"/>
            <w:vAlign w:val="center"/>
          </w:tcPr>
          <w:p w14:paraId="2884BE31">
            <w:pPr>
              <w:spacing w:line="360" w:lineRule="auto"/>
              <w:jc w:val="center"/>
              <w:textAlignment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0-5</w:t>
            </w:r>
          </w:p>
        </w:tc>
      </w:tr>
      <w:tr w14:paraId="5224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9" w:type="dxa"/>
            <w:vMerge w:val="continue"/>
            <w:noWrap w:val="0"/>
            <w:vAlign w:val="center"/>
          </w:tcPr>
          <w:p w14:paraId="555DE63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color w:val="000000" w:themeColor="text1"/>
                <w:w w:val="90"/>
                <w:sz w:val="21"/>
                <w:szCs w:val="21"/>
                <w:highlight w:val="none"/>
                <w14:textFill>
                  <w14:solidFill>
                    <w14:schemeClr w14:val="tx1"/>
                  </w14:solidFill>
                </w14:textFill>
              </w:rPr>
            </w:pPr>
          </w:p>
        </w:tc>
        <w:tc>
          <w:tcPr>
            <w:tcW w:w="894" w:type="dxa"/>
            <w:noWrap w:val="0"/>
            <w:vAlign w:val="center"/>
          </w:tcPr>
          <w:p w14:paraId="773F6D6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w w:val="90"/>
                <w:sz w:val="21"/>
                <w:szCs w:val="21"/>
                <w:highlight w:val="none"/>
                <w14:textFill>
                  <w14:solidFill>
                    <w14:schemeClr w14:val="tx1"/>
                  </w14:solidFill>
                </w14:textFill>
              </w:rPr>
            </w:pPr>
            <w:r>
              <w:rPr>
                <w:rFonts w:hint="eastAsia" w:ascii="宋体" w:hAnsi="宋体" w:eastAsia="宋体" w:cs="宋体"/>
                <w:color w:val="000000" w:themeColor="text1"/>
                <w:w w:val="90"/>
                <w:sz w:val="21"/>
                <w:szCs w:val="21"/>
                <w:highlight w:val="none"/>
                <w14:textFill>
                  <w14:solidFill>
                    <w14:schemeClr w14:val="tx1"/>
                  </w14:solidFill>
                </w14:textFill>
              </w:rPr>
              <w:t>各项贷款</w:t>
            </w:r>
          </w:p>
        </w:tc>
        <w:tc>
          <w:tcPr>
            <w:tcW w:w="5949" w:type="dxa"/>
            <w:noWrap w:val="0"/>
            <w:vAlign w:val="center"/>
          </w:tcPr>
          <w:p w14:paraId="75D64EA9">
            <w:pPr>
              <w:keepNext w:val="0"/>
              <w:keepLines w:val="0"/>
              <w:pageBreakBefore w:val="0"/>
              <w:widowControl w:val="0"/>
              <w:kinsoku/>
              <w:wordWrap/>
              <w:overflowPunct/>
              <w:topLinePunct w:val="0"/>
              <w:autoSpaceDE/>
              <w:autoSpaceDN/>
              <w:bidi w:val="0"/>
              <w:adjustRightInd/>
              <w:snapToGrid/>
              <w:spacing w:line="240" w:lineRule="auto"/>
              <w:ind w:firstLine="378" w:firstLineChars="200"/>
              <w:textAlignment w:val="auto"/>
              <w:rPr>
                <w:rFonts w:hint="eastAsia" w:ascii="宋体" w:hAnsi="宋体" w:eastAsia="宋体" w:cs="宋体"/>
                <w:color w:val="000000" w:themeColor="text1"/>
                <w:w w:val="90"/>
                <w:sz w:val="21"/>
                <w:szCs w:val="21"/>
                <w:highlight w:val="none"/>
                <w14:textFill>
                  <w14:solidFill>
                    <w14:schemeClr w14:val="tx1"/>
                  </w14:solidFill>
                </w14:textFill>
              </w:rPr>
            </w:pPr>
            <w:r>
              <w:rPr>
                <w:rFonts w:hint="eastAsia" w:ascii="宋体" w:hAnsi="宋体" w:eastAsia="宋体" w:cs="宋体"/>
                <w:color w:val="000000" w:themeColor="text1"/>
                <w:w w:val="90"/>
                <w:sz w:val="21"/>
                <w:szCs w:val="21"/>
                <w:highlight w:val="none"/>
                <w14:textFill>
                  <w14:solidFill>
                    <w14:schemeClr w14:val="tx1"/>
                  </w14:solidFill>
                </w14:textFill>
              </w:rPr>
              <w:t>根据投标银行贷款余额排名评分。贷款余额最高得排名第一得1</w:t>
            </w: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0</w:t>
            </w:r>
            <w:r>
              <w:rPr>
                <w:rFonts w:hint="eastAsia" w:ascii="宋体" w:hAnsi="宋体" w:eastAsia="宋体" w:cs="宋体"/>
                <w:color w:val="000000" w:themeColor="text1"/>
                <w:w w:val="90"/>
                <w:sz w:val="21"/>
                <w:szCs w:val="21"/>
                <w:highlight w:val="none"/>
                <w14:textFill>
                  <w14:solidFill>
                    <w14:schemeClr w14:val="tx1"/>
                  </w14:solidFill>
                </w14:textFill>
              </w:rPr>
              <w:t>分，其余投标银行排名每降低一名相应递减0.5分，减完为止。</w:t>
            </w:r>
          </w:p>
          <w:p w14:paraId="20AF86F6">
            <w:pPr>
              <w:keepNext w:val="0"/>
              <w:keepLines w:val="0"/>
              <w:pageBreakBefore w:val="0"/>
              <w:widowControl w:val="0"/>
              <w:kinsoku/>
              <w:wordWrap/>
              <w:overflowPunct/>
              <w:topLinePunct w:val="0"/>
              <w:autoSpaceDE/>
              <w:autoSpaceDN/>
              <w:bidi w:val="0"/>
              <w:adjustRightInd/>
              <w:snapToGrid/>
              <w:spacing w:line="240" w:lineRule="auto"/>
              <w:ind w:firstLine="378" w:firstLineChars="200"/>
              <w:textAlignment w:val="auto"/>
              <w:rPr>
                <w:rFonts w:hint="eastAsia" w:ascii="宋体" w:hAnsi="宋体" w:eastAsia="宋体" w:cs="宋体"/>
                <w:color w:val="000000" w:themeColor="text1"/>
                <w:w w:val="90"/>
                <w:sz w:val="21"/>
                <w:szCs w:val="21"/>
                <w:highlight w:val="none"/>
                <w14:textFill>
                  <w14:solidFill>
                    <w14:schemeClr w14:val="tx1"/>
                  </w14:solidFill>
                </w14:textFill>
              </w:rPr>
            </w:pPr>
            <w:r>
              <w:rPr>
                <w:rFonts w:hint="eastAsia" w:ascii="宋体" w:hAnsi="宋体" w:eastAsia="宋体" w:cs="宋体"/>
                <w:color w:val="000000" w:themeColor="text1"/>
                <w:w w:val="90"/>
                <w:sz w:val="21"/>
                <w:szCs w:val="21"/>
                <w:highlight w:val="none"/>
                <w:lang w:eastAsia="zh-CN"/>
                <w14:textFill>
                  <w14:solidFill>
                    <w14:schemeClr w14:val="tx1"/>
                  </w14:solidFill>
                </w14:textFill>
              </w:rPr>
              <w:t>注：</w:t>
            </w:r>
            <w:r>
              <w:rPr>
                <w:rFonts w:hint="eastAsia" w:ascii="宋体" w:hAnsi="宋体" w:eastAsia="宋体" w:cs="宋体"/>
                <w:color w:val="000000" w:themeColor="text1"/>
                <w:w w:val="90"/>
                <w:sz w:val="21"/>
                <w:szCs w:val="21"/>
                <w:highlight w:val="none"/>
                <w14:textFill>
                  <w14:solidFill>
                    <w14:schemeClr w14:val="tx1"/>
                  </w14:solidFill>
                </w14:textFill>
              </w:rPr>
              <w:t>以人民银行提供的202</w:t>
            </w: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w w:val="90"/>
                <w:sz w:val="21"/>
                <w:szCs w:val="21"/>
                <w:highlight w:val="none"/>
                <w14:textFill>
                  <w14:solidFill>
                    <w14:schemeClr w14:val="tx1"/>
                  </w14:solidFill>
                </w14:textFill>
              </w:rPr>
              <w:t>年12月底贷款余额为准，由投标银行自行提供人行苍南支行出具的证明文件为准，否则不得分。</w:t>
            </w:r>
          </w:p>
        </w:tc>
        <w:tc>
          <w:tcPr>
            <w:tcW w:w="856" w:type="dxa"/>
            <w:noWrap w:val="0"/>
            <w:vAlign w:val="center"/>
          </w:tcPr>
          <w:p w14:paraId="524486D8">
            <w:pPr>
              <w:spacing w:line="360" w:lineRule="auto"/>
              <w:jc w:val="center"/>
              <w:textAlignment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0-10</w:t>
            </w:r>
          </w:p>
        </w:tc>
      </w:tr>
      <w:tr w14:paraId="683F2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159" w:type="dxa"/>
            <w:vMerge w:val="continue"/>
            <w:noWrap w:val="0"/>
            <w:vAlign w:val="center"/>
          </w:tcPr>
          <w:p w14:paraId="4DE8BCBF">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color w:val="000000" w:themeColor="text1"/>
                <w:w w:val="90"/>
                <w:sz w:val="21"/>
                <w:szCs w:val="21"/>
                <w:highlight w:val="none"/>
                <w14:textFill>
                  <w14:solidFill>
                    <w14:schemeClr w14:val="tx1"/>
                  </w14:solidFill>
                </w14:textFill>
              </w:rPr>
            </w:pPr>
          </w:p>
        </w:tc>
        <w:tc>
          <w:tcPr>
            <w:tcW w:w="894" w:type="dxa"/>
            <w:noWrap w:val="0"/>
            <w:vAlign w:val="center"/>
          </w:tcPr>
          <w:p w14:paraId="01A9E02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w w:val="90"/>
                <w:sz w:val="21"/>
                <w:szCs w:val="21"/>
                <w:highlight w:val="none"/>
                <w14:textFill>
                  <w14:solidFill>
                    <w14:schemeClr w14:val="tx1"/>
                  </w14:solidFill>
                </w14:textFill>
              </w:rPr>
            </w:pPr>
            <w:r>
              <w:rPr>
                <w:rFonts w:hint="eastAsia" w:ascii="宋体" w:hAnsi="宋体" w:eastAsia="宋体" w:cs="宋体"/>
                <w:color w:val="000000" w:themeColor="text1"/>
                <w:w w:val="90"/>
                <w:sz w:val="21"/>
                <w:szCs w:val="21"/>
                <w:highlight w:val="none"/>
                <w14:textFill>
                  <w14:solidFill>
                    <w14:schemeClr w14:val="tx1"/>
                  </w14:solidFill>
                </w14:textFill>
              </w:rPr>
              <w:t>内控水平</w:t>
            </w:r>
          </w:p>
        </w:tc>
        <w:tc>
          <w:tcPr>
            <w:tcW w:w="5949" w:type="dxa"/>
            <w:noWrap w:val="0"/>
            <w:vAlign w:val="top"/>
          </w:tcPr>
          <w:p w14:paraId="3C5E61AB">
            <w:pPr>
              <w:keepNext w:val="0"/>
              <w:keepLines w:val="0"/>
              <w:pageBreakBefore w:val="0"/>
              <w:widowControl w:val="0"/>
              <w:kinsoku/>
              <w:wordWrap/>
              <w:overflowPunct/>
              <w:topLinePunct w:val="0"/>
              <w:autoSpaceDE/>
              <w:autoSpaceDN/>
              <w:bidi w:val="0"/>
              <w:adjustRightInd/>
              <w:snapToGrid/>
              <w:spacing w:line="240" w:lineRule="auto"/>
              <w:ind w:firstLine="378" w:firstLineChars="200"/>
              <w:textAlignment w:val="auto"/>
              <w:rPr>
                <w:rFonts w:hint="eastAsia" w:ascii="宋体" w:hAnsi="宋体" w:eastAsia="宋体" w:cs="宋体"/>
                <w:color w:val="000000" w:themeColor="text1"/>
                <w:w w:val="90"/>
                <w:sz w:val="21"/>
                <w:szCs w:val="21"/>
                <w:highlight w:val="none"/>
                <w14:textFill>
                  <w14:solidFill>
                    <w14:schemeClr w14:val="tx1"/>
                  </w14:solidFill>
                </w14:textFill>
              </w:rPr>
            </w:pPr>
            <w:r>
              <w:rPr>
                <w:rFonts w:hint="eastAsia" w:ascii="宋体" w:hAnsi="宋体" w:eastAsia="宋体" w:cs="宋体"/>
                <w:color w:val="000000" w:themeColor="text1"/>
                <w:w w:val="90"/>
                <w:sz w:val="21"/>
                <w:szCs w:val="21"/>
                <w:highlight w:val="none"/>
                <w14:textFill>
                  <w14:solidFill>
                    <w14:schemeClr w14:val="tx1"/>
                  </w14:solidFill>
                </w14:textFill>
              </w:rPr>
              <w:t>以各竞标银行的偿付能力、运营能力、内部控制水平为计分依据，满分</w:t>
            </w: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w w:val="90"/>
                <w:sz w:val="21"/>
                <w:szCs w:val="21"/>
                <w:highlight w:val="none"/>
                <w14:textFill>
                  <w14:solidFill>
                    <w14:schemeClr w14:val="tx1"/>
                  </w14:solidFill>
                </w14:textFill>
              </w:rPr>
              <w:t>分。该指标以各家银行提供的该行总行经审计公布的最近一期年报数据为测评依据，具体包括：资本充足率、拨备覆盖率、流动性比例、加权平均净资产收益率（简称资产收益率）等</w:t>
            </w: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w w:val="90"/>
                <w:sz w:val="21"/>
                <w:szCs w:val="21"/>
                <w:highlight w:val="none"/>
                <w14:textFill>
                  <w14:solidFill>
                    <w14:schemeClr w14:val="tx1"/>
                  </w14:solidFill>
                </w14:textFill>
              </w:rPr>
              <w:t>项指标。</w:t>
            </w:r>
          </w:p>
          <w:p w14:paraId="04DDC21A">
            <w:pPr>
              <w:keepNext w:val="0"/>
              <w:keepLines w:val="0"/>
              <w:pageBreakBefore w:val="0"/>
              <w:widowControl w:val="0"/>
              <w:kinsoku/>
              <w:wordWrap/>
              <w:overflowPunct/>
              <w:topLinePunct w:val="0"/>
              <w:autoSpaceDE/>
              <w:autoSpaceDN/>
              <w:bidi w:val="0"/>
              <w:adjustRightInd/>
              <w:snapToGrid/>
              <w:spacing w:line="240" w:lineRule="auto"/>
              <w:ind w:firstLine="378" w:firstLineChars="200"/>
              <w:textAlignment w:val="auto"/>
              <w:rPr>
                <w:rFonts w:hint="eastAsia" w:ascii="宋体" w:hAnsi="宋体" w:eastAsia="宋体" w:cs="宋体"/>
                <w:color w:val="000000" w:themeColor="text1"/>
                <w:w w:val="90"/>
                <w:sz w:val="21"/>
                <w:szCs w:val="21"/>
                <w:highlight w:val="none"/>
                <w14:textFill>
                  <w14:solidFill>
                    <w14:schemeClr w14:val="tx1"/>
                  </w14:solidFill>
                </w14:textFill>
              </w:rPr>
            </w:pPr>
            <w:r>
              <w:rPr>
                <w:rFonts w:hint="eastAsia" w:ascii="宋体" w:hAnsi="宋体" w:eastAsia="宋体" w:cs="宋体"/>
                <w:color w:val="000000" w:themeColor="text1"/>
                <w:w w:val="90"/>
                <w:sz w:val="21"/>
                <w:szCs w:val="21"/>
                <w:highlight w:val="none"/>
                <w:lang w:eastAsia="zh-CN"/>
                <w14:textFill>
                  <w14:solidFill>
                    <w14:schemeClr w14:val="tx1"/>
                  </w14:solidFill>
                </w14:textFill>
              </w:rPr>
              <w:t>①</w:t>
            </w:r>
            <w:r>
              <w:rPr>
                <w:rFonts w:hint="eastAsia" w:ascii="宋体" w:hAnsi="宋体" w:eastAsia="宋体" w:cs="宋体"/>
                <w:color w:val="000000" w:themeColor="text1"/>
                <w:w w:val="90"/>
                <w:sz w:val="21"/>
                <w:szCs w:val="21"/>
                <w:highlight w:val="none"/>
                <w14:textFill>
                  <w14:solidFill>
                    <w14:schemeClr w14:val="tx1"/>
                  </w14:solidFill>
                </w14:textFill>
              </w:rPr>
              <w:t>资本充足率、拨备覆盖率、流动性比例三项指标数值符合银行监管标准的，每项得</w:t>
            </w: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w w:val="90"/>
                <w:sz w:val="21"/>
                <w:szCs w:val="21"/>
                <w:highlight w:val="none"/>
                <w14:textFill>
                  <w14:solidFill>
                    <w14:schemeClr w14:val="tx1"/>
                  </w14:solidFill>
                </w14:textFill>
              </w:rPr>
              <w:t>分，否则每项得0分；</w:t>
            </w:r>
          </w:p>
          <w:p w14:paraId="50DEC841">
            <w:pPr>
              <w:keepNext w:val="0"/>
              <w:keepLines w:val="0"/>
              <w:pageBreakBefore w:val="0"/>
              <w:widowControl w:val="0"/>
              <w:kinsoku/>
              <w:wordWrap/>
              <w:overflowPunct/>
              <w:topLinePunct w:val="0"/>
              <w:autoSpaceDE/>
              <w:autoSpaceDN/>
              <w:bidi w:val="0"/>
              <w:adjustRightInd/>
              <w:snapToGrid/>
              <w:spacing w:line="240" w:lineRule="auto"/>
              <w:ind w:firstLine="378" w:firstLineChars="200"/>
              <w:textAlignment w:val="auto"/>
              <w:rPr>
                <w:rFonts w:hint="eastAsia" w:ascii="宋体" w:hAnsi="宋体" w:eastAsia="宋体" w:cs="宋体"/>
                <w:color w:val="000000" w:themeColor="text1"/>
                <w:w w:val="90"/>
                <w:sz w:val="21"/>
                <w:szCs w:val="21"/>
                <w:highlight w:val="none"/>
                <w14:textFill>
                  <w14:solidFill>
                    <w14:schemeClr w14:val="tx1"/>
                  </w14:solidFill>
                </w14:textFill>
              </w:rPr>
            </w:pPr>
            <w:r>
              <w:rPr>
                <w:rFonts w:hint="eastAsia" w:ascii="宋体" w:hAnsi="宋体" w:eastAsia="宋体" w:cs="宋体"/>
                <w:color w:val="000000" w:themeColor="text1"/>
                <w:w w:val="90"/>
                <w:sz w:val="21"/>
                <w:szCs w:val="21"/>
                <w:highlight w:val="none"/>
                <w:lang w:eastAsia="zh-CN"/>
                <w14:textFill>
                  <w14:solidFill>
                    <w14:schemeClr w14:val="tx1"/>
                  </w14:solidFill>
                </w14:textFill>
              </w:rPr>
              <w:t>②</w:t>
            </w:r>
            <w:r>
              <w:rPr>
                <w:rFonts w:hint="eastAsia" w:ascii="宋体" w:hAnsi="宋体" w:eastAsia="宋体" w:cs="宋体"/>
                <w:color w:val="000000" w:themeColor="text1"/>
                <w:w w:val="90"/>
                <w:sz w:val="21"/>
                <w:szCs w:val="21"/>
                <w:highlight w:val="none"/>
                <w14:textFill>
                  <w14:solidFill>
                    <w14:schemeClr w14:val="tx1"/>
                  </w14:solidFill>
                </w14:textFill>
              </w:rPr>
              <w:t>资产收益率指标大于等于0的，得</w:t>
            </w: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w w:val="90"/>
                <w:sz w:val="21"/>
                <w:szCs w:val="21"/>
                <w:highlight w:val="none"/>
                <w14:textFill>
                  <w14:solidFill>
                    <w14:schemeClr w14:val="tx1"/>
                  </w14:solidFill>
                </w14:textFill>
              </w:rPr>
              <w:t>分，每减少一个百分点扣0.</w:t>
            </w: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w w:val="90"/>
                <w:sz w:val="21"/>
                <w:szCs w:val="21"/>
                <w:highlight w:val="none"/>
                <w14:textFill>
                  <w14:solidFill>
                    <w14:schemeClr w14:val="tx1"/>
                  </w14:solidFill>
                </w14:textFill>
              </w:rPr>
              <w:t>分，扣完为止，不足一个百分点的，按比例折算。</w:t>
            </w:r>
          </w:p>
          <w:p w14:paraId="3488BD2D">
            <w:pPr>
              <w:keepNext w:val="0"/>
              <w:keepLines w:val="0"/>
              <w:pageBreakBefore w:val="0"/>
              <w:widowControl w:val="0"/>
              <w:kinsoku/>
              <w:wordWrap/>
              <w:overflowPunct/>
              <w:topLinePunct w:val="0"/>
              <w:autoSpaceDE/>
              <w:autoSpaceDN/>
              <w:bidi w:val="0"/>
              <w:adjustRightInd/>
              <w:snapToGrid/>
              <w:spacing w:line="240" w:lineRule="auto"/>
              <w:ind w:firstLine="378" w:firstLineChars="200"/>
              <w:textAlignment w:val="auto"/>
              <w:rPr>
                <w:rFonts w:hint="eastAsia" w:ascii="宋体" w:hAnsi="宋体" w:eastAsia="宋体" w:cs="宋体"/>
                <w:color w:val="000000" w:themeColor="text1"/>
                <w:w w:val="90"/>
                <w:sz w:val="21"/>
                <w:szCs w:val="21"/>
                <w:highlight w:val="none"/>
                <w:lang w:eastAsia="zh-CN"/>
                <w14:textFill>
                  <w14:solidFill>
                    <w14:schemeClr w14:val="tx1"/>
                  </w14:solidFill>
                </w14:textFill>
              </w:rPr>
            </w:pPr>
            <w:r>
              <w:rPr>
                <w:rFonts w:hint="eastAsia" w:ascii="宋体" w:hAnsi="宋体" w:eastAsia="宋体" w:cs="宋体"/>
                <w:color w:val="000000" w:themeColor="text1"/>
                <w:w w:val="90"/>
                <w:sz w:val="21"/>
                <w:szCs w:val="21"/>
                <w:highlight w:val="none"/>
                <w14:textFill>
                  <w14:solidFill>
                    <w14:schemeClr w14:val="tx1"/>
                  </w14:solidFill>
                </w14:textFill>
              </w:rPr>
              <w:t>按银保监下限：资本充足率≥10.5%，拨备覆盖率≥120%，流动性比例≥25%</w:t>
            </w:r>
            <w:r>
              <w:rPr>
                <w:rFonts w:hint="eastAsia" w:ascii="宋体" w:hAnsi="宋体" w:eastAsia="宋体" w:cs="宋体"/>
                <w:color w:val="000000" w:themeColor="text1"/>
                <w:w w:val="90"/>
                <w:sz w:val="21"/>
                <w:szCs w:val="21"/>
                <w:highlight w:val="none"/>
                <w:lang w:eastAsia="zh-CN"/>
                <w14:textFill>
                  <w14:solidFill>
                    <w14:schemeClr w14:val="tx1"/>
                  </w14:solidFill>
                </w14:textFill>
              </w:rPr>
              <w:t>。）</w:t>
            </w:r>
          </w:p>
        </w:tc>
        <w:tc>
          <w:tcPr>
            <w:tcW w:w="856" w:type="dxa"/>
            <w:noWrap w:val="0"/>
            <w:vAlign w:val="center"/>
          </w:tcPr>
          <w:p w14:paraId="1C111E62">
            <w:pPr>
              <w:spacing w:line="360" w:lineRule="auto"/>
              <w:jc w:val="center"/>
              <w:textAlignment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0-10</w:t>
            </w:r>
          </w:p>
        </w:tc>
      </w:tr>
      <w:tr w14:paraId="49395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59" w:type="dxa"/>
            <w:vMerge w:val="restart"/>
            <w:noWrap w:val="0"/>
            <w:vAlign w:val="center"/>
          </w:tcPr>
          <w:p w14:paraId="57DD2CDF">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color w:val="000000" w:themeColor="text1"/>
                <w:w w:val="9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经济贡献度指标</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50</w:t>
            </w:r>
            <w:r>
              <w:rPr>
                <w:rFonts w:hint="eastAsia" w:ascii="宋体" w:hAnsi="宋体" w:eastAsia="宋体" w:cs="宋体"/>
                <w:b/>
                <w:bCs/>
                <w:color w:val="000000" w:themeColor="text1"/>
                <w:sz w:val="21"/>
                <w:szCs w:val="21"/>
                <w:highlight w:val="none"/>
                <w14:textFill>
                  <w14:solidFill>
                    <w14:schemeClr w14:val="tx1"/>
                  </w14:solidFill>
                </w14:textFill>
              </w:rPr>
              <w:t>分)</w:t>
            </w:r>
          </w:p>
        </w:tc>
        <w:tc>
          <w:tcPr>
            <w:tcW w:w="894" w:type="dxa"/>
            <w:noWrap w:val="0"/>
            <w:vAlign w:val="center"/>
          </w:tcPr>
          <w:p w14:paraId="362A0A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纳税情况</w:t>
            </w:r>
          </w:p>
        </w:tc>
        <w:tc>
          <w:tcPr>
            <w:tcW w:w="5949" w:type="dxa"/>
            <w:noWrap w:val="0"/>
            <w:vAlign w:val="center"/>
          </w:tcPr>
          <w:p w14:paraId="5A43AF29">
            <w:pPr>
              <w:keepNext w:val="0"/>
              <w:keepLines w:val="0"/>
              <w:pageBreakBefore w:val="0"/>
              <w:widowControl w:val="0"/>
              <w:kinsoku/>
              <w:wordWrap/>
              <w:overflowPunct/>
              <w:topLinePunct w:val="0"/>
              <w:autoSpaceDE/>
              <w:autoSpaceDN/>
              <w:bidi w:val="0"/>
              <w:adjustRightInd/>
              <w:snapToGrid/>
              <w:spacing w:line="240" w:lineRule="auto"/>
              <w:ind w:firstLine="378" w:firstLineChars="200"/>
              <w:textAlignment w:val="auto"/>
              <w:rPr>
                <w:rFonts w:hint="eastAsia" w:ascii="宋体" w:hAnsi="宋体" w:eastAsia="宋体" w:cs="宋体"/>
                <w:color w:val="000000" w:themeColor="text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以各投标银行在苍南地区各分支机构2024年年度纳税情况作为计分依据，纳税总额最高得排名第一得15分，其余投标银行排名每降低一名相应递减1分，减完为止。</w:t>
            </w:r>
          </w:p>
          <w:p w14:paraId="0EAEBEE4">
            <w:pPr>
              <w:keepNext w:val="0"/>
              <w:keepLines w:val="0"/>
              <w:pageBreakBefore w:val="0"/>
              <w:widowControl w:val="0"/>
              <w:kinsoku/>
              <w:wordWrap/>
              <w:overflowPunct/>
              <w:topLinePunct w:val="0"/>
              <w:autoSpaceDE/>
              <w:autoSpaceDN/>
              <w:bidi w:val="0"/>
              <w:adjustRightInd/>
              <w:snapToGrid/>
              <w:spacing w:line="240" w:lineRule="auto"/>
              <w:ind w:firstLine="378" w:firstLineChars="200"/>
              <w:textAlignment w:val="auto"/>
              <w:rPr>
                <w:rFonts w:hint="eastAsia" w:ascii="宋体" w:hAnsi="宋体" w:eastAsia="宋体" w:cs="宋体"/>
                <w:color w:val="000000" w:themeColor="text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注:以各投标银行2024年度完税证明(不含个税)为准，由投标银行自行提供证明资料。</w:t>
            </w:r>
          </w:p>
        </w:tc>
        <w:tc>
          <w:tcPr>
            <w:tcW w:w="856" w:type="dxa"/>
            <w:noWrap w:val="0"/>
            <w:vAlign w:val="center"/>
          </w:tcPr>
          <w:p w14:paraId="7CC946ED">
            <w:pPr>
              <w:spacing w:line="360" w:lineRule="auto"/>
              <w:jc w:val="center"/>
              <w:textAlignment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0-15</w:t>
            </w:r>
          </w:p>
        </w:tc>
      </w:tr>
      <w:tr w14:paraId="4698B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159" w:type="dxa"/>
            <w:vMerge w:val="continue"/>
            <w:noWrap w:val="0"/>
            <w:vAlign w:val="center"/>
          </w:tcPr>
          <w:p w14:paraId="435B1D2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bCs/>
                <w:color w:val="000000" w:themeColor="text1"/>
                <w:kern w:val="0"/>
                <w:sz w:val="21"/>
                <w:szCs w:val="21"/>
                <w:highlight w:val="none"/>
                <w14:textFill>
                  <w14:solidFill>
                    <w14:schemeClr w14:val="tx1"/>
                  </w14:solidFill>
                </w14:textFill>
              </w:rPr>
            </w:pPr>
          </w:p>
        </w:tc>
        <w:tc>
          <w:tcPr>
            <w:tcW w:w="894" w:type="dxa"/>
            <w:noWrap w:val="0"/>
            <w:vAlign w:val="center"/>
          </w:tcPr>
          <w:p w14:paraId="4A4CE06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制造业贷款</w:t>
            </w:r>
          </w:p>
        </w:tc>
        <w:tc>
          <w:tcPr>
            <w:tcW w:w="5949" w:type="dxa"/>
            <w:noWrap w:val="0"/>
            <w:vAlign w:val="center"/>
          </w:tcPr>
          <w:p w14:paraId="79484C9F">
            <w:pPr>
              <w:keepNext w:val="0"/>
              <w:keepLines w:val="0"/>
              <w:pageBreakBefore w:val="0"/>
              <w:widowControl w:val="0"/>
              <w:kinsoku/>
              <w:wordWrap/>
              <w:overflowPunct/>
              <w:topLinePunct w:val="0"/>
              <w:autoSpaceDE/>
              <w:autoSpaceDN/>
              <w:bidi w:val="0"/>
              <w:adjustRightInd/>
              <w:snapToGrid/>
              <w:spacing w:line="240" w:lineRule="auto"/>
              <w:ind w:firstLine="378" w:firstLineChars="200"/>
              <w:textAlignment w:val="auto"/>
              <w:rPr>
                <w:rFonts w:hint="eastAsia" w:ascii="宋体" w:hAnsi="宋体" w:eastAsia="宋体" w:cs="宋体"/>
                <w:color w:val="000000" w:themeColor="text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以根据投标银行对苍南县制造业支持力度情况作为计分依据，2024年12月底制造业贷款余额最高得排名第一得10分，其余投标银行排名每降低一名相应递减0.5分，减完为止。</w:t>
            </w:r>
          </w:p>
          <w:p w14:paraId="62119520">
            <w:pPr>
              <w:keepNext w:val="0"/>
              <w:keepLines w:val="0"/>
              <w:pageBreakBefore w:val="0"/>
              <w:widowControl w:val="0"/>
              <w:kinsoku/>
              <w:wordWrap/>
              <w:overflowPunct/>
              <w:topLinePunct w:val="0"/>
              <w:autoSpaceDE/>
              <w:autoSpaceDN/>
              <w:bidi w:val="0"/>
              <w:adjustRightInd/>
              <w:snapToGrid/>
              <w:spacing w:line="240" w:lineRule="auto"/>
              <w:ind w:firstLine="378" w:firstLineChars="200"/>
              <w:textAlignment w:val="auto"/>
              <w:rPr>
                <w:rFonts w:hint="eastAsia" w:ascii="宋体" w:hAnsi="宋体" w:eastAsia="宋体" w:cs="宋体"/>
                <w:color w:val="000000" w:themeColor="text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注:投标人须出具相关证明文件，否则不得分。</w:t>
            </w:r>
          </w:p>
        </w:tc>
        <w:tc>
          <w:tcPr>
            <w:tcW w:w="856" w:type="dxa"/>
            <w:noWrap w:val="0"/>
            <w:vAlign w:val="center"/>
          </w:tcPr>
          <w:p w14:paraId="73E3275B">
            <w:pPr>
              <w:spacing w:line="360" w:lineRule="auto"/>
              <w:jc w:val="center"/>
              <w:textAlignment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0-10</w:t>
            </w:r>
          </w:p>
        </w:tc>
      </w:tr>
      <w:tr w14:paraId="3300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159" w:type="dxa"/>
            <w:vMerge w:val="continue"/>
            <w:noWrap w:val="0"/>
            <w:vAlign w:val="center"/>
          </w:tcPr>
          <w:p w14:paraId="6F57AB68">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bCs/>
                <w:color w:val="000000" w:themeColor="text1"/>
                <w:kern w:val="0"/>
                <w:sz w:val="21"/>
                <w:szCs w:val="21"/>
                <w:highlight w:val="none"/>
                <w14:textFill>
                  <w14:solidFill>
                    <w14:schemeClr w14:val="tx1"/>
                  </w14:solidFill>
                </w14:textFill>
              </w:rPr>
            </w:pPr>
          </w:p>
        </w:tc>
        <w:tc>
          <w:tcPr>
            <w:tcW w:w="894" w:type="dxa"/>
            <w:noWrap w:val="0"/>
            <w:vAlign w:val="center"/>
          </w:tcPr>
          <w:p w14:paraId="42BD07B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国有融资</w:t>
            </w:r>
          </w:p>
        </w:tc>
        <w:tc>
          <w:tcPr>
            <w:tcW w:w="5949" w:type="dxa"/>
            <w:noWrap w:val="0"/>
            <w:vAlign w:val="center"/>
          </w:tcPr>
          <w:p w14:paraId="00D99955">
            <w:pPr>
              <w:keepNext w:val="0"/>
              <w:keepLines w:val="0"/>
              <w:pageBreakBefore w:val="0"/>
              <w:widowControl w:val="0"/>
              <w:kinsoku/>
              <w:wordWrap/>
              <w:overflowPunct/>
              <w:topLinePunct w:val="0"/>
              <w:autoSpaceDE/>
              <w:autoSpaceDN/>
              <w:bidi w:val="0"/>
              <w:adjustRightInd/>
              <w:snapToGrid/>
              <w:spacing w:line="240" w:lineRule="auto"/>
              <w:ind w:firstLine="378" w:firstLineChars="200"/>
              <w:textAlignment w:val="auto"/>
              <w:rPr>
                <w:rFonts w:hint="eastAsia" w:ascii="宋体" w:hAnsi="宋体" w:eastAsia="宋体" w:cs="宋体"/>
                <w:color w:val="000000" w:themeColor="text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以根据投标银行对苍南县国有企业融资支持力度情况作为计分依据，2024年12月底融资余额</w:t>
            </w:r>
            <w:r>
              <w:rPr>
                <w:rFonts w:hint="eastAsia" w:ascii="宋体" w:hAnsi="宋体" w:eastAsia="宋体" w:cs="宋体"/>
                <w:color w:val="000000" w:themeColor="text1"/>
                <w:w w:val="90"/>
                <w:sz w:val="21"/>
                <w:szCs w:val="21"/>
                <w:highlight w:val="none"/>
                <w14:textFill>
                  <w14:solidFill>
                    <w14:schemeClr w14:val="tx1"/>
                  </w14:solidFill>
                </w14:textFill>
              </w:rPr>
              <w:t>最高得排名第一得1</w:t>
            </w: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0</w:t>
            </w:r>
            <w:r>
              <w:rPr>
                <w:rFonts w:hint="eastAsia" w:ascii="宋体" w:hAnsi="宋体" w:eastAsia="宋体" w:cs="宋体"/>
                <w:color w:val="000000" w:themeColor="text1"/>
                <w:w w:val="90"/>
                <w:sz w:val="21"/>
                <w:szCs w:val="21"/>
                <w:highlight w:val="none"/>
                <w14:textFill>
                  <w14:solidFill>
                    <w14:schemeClr w14:val="tx1"/>
                  </w14:solidFill>
                </w14:textFill>
              </w:rPr>
              <w:t>分，其余投标银行排名每降低一名相应递减0.5分，减完为止。</w:t>
            </w:r>
          </w:p>
          <w:p w14:paraId="6915525B">
            <w:pPr>
              <w:keepNext w:val="0"/>
              <w:keepLines w:val="0"/>
              <w:pageBreakBefore w:val="0"/>
              <w:widowControl w:val="0"/>
              <w:kinsoku/>
              <w:wordWrap/>
              <w:overflowPunct/>
              <w:topLinePunct w:val="0"/>
              <w:autoSpaceDE/>
              <w:autoSpaceDN/>
              <w:bidi w:val="0"/>
              <w:adjustRightInd/>
              <w:snapToGrid/>
              <w:spacing w:line="240" w:lineRule="auto"/>
              <w:ind w:firstLine="378" w:firstLineChars="200"/>
              <w:textAlignment w:val="auto"/>
              <w:rPr>
                <w:rFonts w:hint="eastAsia" w:ascii="宋体" w:hAnsi="宋体" w:eastAsia="宋体" w:cs="宋体"/>
                <w:color w:val="000000" w:themeColor="text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注:投标人须出具相关证明文件，否则不得分。</w:t>
            </w:r>
          </w:p>
        </w:tc>
        <w:tc>
          <w:tcPr>
            <w:tcW w:w="856" w:type="dxa"/>
            <w:noWrap w:val="0"/>
            <w:vAlign w:val="center"/>
          </w:tcPr>
          <w:p w14:paraId="3EC199BE">
            <w:pPr>
              <w:spacing w:line="360" w:lineRule="auto"/>
              <w:jc w:val="center"/>
              <w:textAlignment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0-10</w:t>
            </w:r>
          </w:p>
        </w:tc>
      </w:tr>
      <w:tr w14:paraId="792F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1159" w:type="dxa"/>
            <w:vMerge w:val="continue"/>
            <w:noWrap w:val="0"/>
            <w:vAlign w:val="center"/>
          </w:tcPr>
          <w:p w14:paraId="0F56E11D">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bCs/>
                <w:color w:val="000000" w:themeColor="text1"/>
                <w:kern w:val="0"/>
                <w:sz w:val="21"/>
                <w:szCs w:val="21"/>
                <w:highlight w:val="none"/>
                <w14:textFill>
                  <w14:solidFill>
                    <w14:schemeClr w14:val="tx1"/>
                  </w14:solidFill>
                </w14:textFill>
              </w:rPr>
            </w:pPr>
          </w:p>
        </w:tc>
        <w:tc>
          <w:tcPr>
            <w:tcW w:w="894" w:type="dxa"/>
            <w:noWrap w:val="0"/>
            <w:vAlign w:val="center"/>
          </w:tcPr>
          <w:p w14:paraId="23748BA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支持地方经济发展</w:t>
            </w:r>
          </w:p>
        </w:tc>
        <w:tc>
          <w:tcPr>
            <w:tcW w:w="5949" w:type="dxa"/>
            <w:noWrap w:val="0"/>
            <w:vAlign w:val="center"/>
          </w:tcPr>
          <w:p w14:paraId="33965E69">
            <w:pPr>
              <w:keepNext w:val="0"/>
              <w:keepLines w:val="0"/>
              <w:pageBreakBefore w:val="0"/>
              <w:widowControl w:val="0"/>
              <w:kinsoku/>
              <w:wordWrap/>
              <w:overflowPunct/>
              <w:topLinePunct w:val="0"/>
              <w:autoSpaceDE/>
              <w:autoSpaceDN/>
              <w:bidi w:val="0"/>
              <w:adjustRightInd/>
              <w:snapToGrid/>
              <w:spacing w:line="240" w:lineRule="auto"/>
              <w:ind w:firstLine="378" w:firstLineChars="200"/>
              <w:textAlignment w:val="auto"/>
              <w:rPr>
                <w:rFonts w:hint="eastAsia" w:ascii="宋体" w:hAnsi="宋体" w:eastAsia="宋体" w:cs="宋体"/>
                <w:color w:val="000000" w:themeColor="text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根据“2024年苍南县鼓励和支持金融业发展改革与创新业绩考核评分表”，得分从高到低排名。排名第一得15分，其余投标银行排名每降低一名相应递减1分，减完为止。</w:t>
            </w:r>
          </w:p>
          <w:p w14:paraId="1BE9FFFC">
            <w:pPr>
              <w:keepNext w:val="0"/>
              <w:keepLines w:val="0"/>
              <w:pageBreakBefore w:val="0"/>
              <w:widowControl w:val="0"/>
              <w:kinsoku/>
              <w:wordWrap/>
              <w:overflowPunct/>
              <w:topLinePunct w:val="0"/>
              <w:autoSpaceDE/>
              <w:autoSpaceDN/>
              <w:bidi w:val="0"/>
              <w:adjustRightInd/>
              <w:snapToGrid/>
              <w:spacing w:line="240" w:lineRule="auto"/>
              <w:ind w:firstLine="378" w:firstLineChars="200"/>
              <w:textAlignment w:val="auto"/>
              <w:rPr>
                <w:rFonts w:hint="eastAsia" w:ascii="宋体" w:hAnsi="宋体" w:eastAsia="宋体" w:cs="宋体"/>
                <w:color w:val="000000" w:themeColor="text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注：由投标银行自行提供苍南县金融办出具的证明文件为准，否则不得分。</w:t>
            </w:r>
          </w:p>
        </w:tc>
        <w:tc>
          <w:tcPr>
            <w:tcW w:w="856" w:type="dxa"/>
            <w:noWrap w:val="0"/>
            <w:vAlign w:val="center"/>
          </w:tcPr>
          <w:p w14:paraId="62B71F26">
            <w:pPr>
              <w:spacing w:line="360" w:lineRule="auto"/>
              <w:jc w:val="center"/>
              <w:textAlignment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0-15</w:t>
            </w:r>
          </w:p>
        </w:tc>
      </w:tr>
      <w:tr w14:paraId="51AE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59" w:type="dxa"/>
            <w:vMerge w:val="restart"/>
            <w:noWrap w:val="0"/>
            <w:vAlign w:val="center"/>
          </w:tcPr>
          <w:p w14:paraId="077BA49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lang w:bidi="ar"/>
                <w14:textFill>
                  <w14:solidFill>
                    <w14:schemeClr w14:val="tx1"/>
                  </w14:solidFill>
                </w14:textFill>
              </w:rPr>
              <w:t>银行服务水平</w:t>
            </w:r>
            <w:r>
              <w:rPr>
                <w:rFonts w:hint="eastAsia" w:ascii="宋体" w:hAnsi="宋体" w:eastAsia="宋体" w:cs="宋体"/>
                <w:b/>
                <w:color w:val="000000" w:themeColor="text1"/>
                <w:kern w:val="0"/>
                <w:sz w:val="21"/>
                <w:szCs w:val="21"/>
                <w:highlight w:val="none"/>
                <w:lang w:val="en-US" w:eastAsia="zh-CN" w:bidi="ar"/>
                <w14:textFill>
                  <w14:solidFill>
                    <w14:schemeClr w14:val="tx1"/>
                  </w14:solidFill>
                </w14:textFill>
              </w:rPr>
              <w:t>指标（10分）</w:t>
            </w:r>
          </w:p>
        </w:tc>
        <w:tc>
          <w:tcPr>
            <w:tcW w:w="894" w:type="dxa"/>
            <w:noWrap w:val="0"/>
            <w:vAlign w:val="center"/>
          </w:tcPr>
          <w:p w14:paraId="1105E3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年度</w:t>
            </w:r>
          </w:p>
          <w:p w14:paraId="3F59299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考核</w:t>
            </w:r>
          </w:p>
        </w:tc>
        <w:tc>
          <w:tcPr>
            <w:tcW w:w="5949" w:type="dxa"/>
            <w:noWrap w:val="0"/>
            <w:vAlign w:val="center"/>
          </w:tcPr>
          <w:p w14:paraId="62297C12">
            <w:pPr>
              <w:keepNext w:val="0"/>
              <w:keepLines w:val="0"/>
              <w:pageBreakBefore w:val="0"/>
              <w:widowControl w:val="0"/>
              <w:kinsoku/>
              <w:wordWrap/>
              <w:overflowPunct/>
              <w:topLinePunct w:val="0"/>
              <w:autoSpaceDE/>
              <w:autoSpaceDN/>
              <w:bidi w:val="0"/>
              <w:adjustRightInd/>
              <w:snapToGrid/>
              <w:spacing w:line="240" w:lineRule="auto"/>
              <w:ind w:firstLine="378" w:firstLineChars="200"/>
              <w:textAlignment w:val="auto"/>
              <w:rPr>
                <w:rFonts w:hint="eastAsia" w:ascii="宋体" w:hAnsi="宋体" w:eastAsia="宋体" w:cs="宋体"/>
                <w:color w:val="000000" w:themeColor="text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根据中共苍南县人民政府关于2024年度 综合考核结果的通报，先进单位得5分，良好单位得2分，未评分得0分。(以中共苍南县委发文为准（文号:苍委发〔2025〕10 号）（注：投标人须出具相关证明文件。）</w:t>
            </w:r>
          </w:p>
        </w:tc>
        <w:tc>
          <w:tcPr>
            <w:tcW w:w="856" w:type="dxa"/>
            <w:noWrap w:val="0"/>
            <w:vAlign w:val="center"/>
          </w:tcPr>
          <w:p w14:paraId="00954C49">
            <w:pPr>
              <w:spacing w:line="360" w:lineRule="auto"/>
              <w:jc w:val="center"/>
              <w:textAlignment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0-5</w:t>
            </w:r>
          </w:p>
        </w:tc>
      </w:tr>
      <w:tr w14:paraId="40D6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59" w:type="dxa"/>
            <w:vMerge w:val="continue"/>
            <w:noWrap w:val="0"/>
            <w:vAlign w:val="center"/>
          </w:tcPr>
          <w:p w14:paraId="7E60615F">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color w:val="000000" w:themeColor="text1"/>
                <w:kern w:val="0"/>
                <w:sz w:val="21"/>
                <w:szCs w:val="21"/>
                <w:highlight w:val="none"/>
                <w:lang w:bidi="ar"/>
                <w14:textFill>
                  <w14:solidFill>
                    <w14:schemeClr w14:val="tx1"/>
                  </w14:solidFill>
                </w14:textFill>
              </w:rPr>
            </w:pPr>
          </w:p>
        </w:tc>
        <w:tc>
          <w:tcPr>
            <w:tcW w:w="894" w:type="dxa"/>
            <w:noWrap w:val="0"/>
            <w:vAlign w:val="center"/>
          </w:tcPr>
          <w:p w14:paraId="4359137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对账服务承诺</w:t>
            </w:r>
          </w:p>
        </w:tc>
        <w:tc>
          <w:tcPr>
            <w:tcW w:w="5949" w:type="dxa"/>
            <w:noWrap w:val="0"/>
            <w:vAlign w:val="center"/>
          </w:tcPr>
          <w:p w14:paraId="526B61BF">
            <w:pPr>
              <w:keepNext w:val="0"/>
              <w:keepLines w:val="0"/>
              <w:pageBreakBefore w:val="0"/>
              <w:widowControl w:val="0"/>
              <w:kinsoku/>
              <w:wordWrap/>
              <w:overflowPunct/>
              <w:topLinePunct w:val="0"/>
              <w:autoSpaceDE/>
              <w:autoSpaceDN/>
              <w:bidi w:val="0"/>
              <w:adjustRightInd/>
              <w:snapToGrid/>
              <w:spacing w:line="240" w:lineRule="auto"/>
              <w:ind w:firstLine="378" w:firstLineChars="200"/>
              <w:textAlignment w:val="auto"/>
              <w:rPr>
                <w:rFonts w:hint="eastAsia" w:ascii="宋体" w:hAnsi="宋体" w:eastAsia="宋体" w:cs="宋体"/>
                <w:color w:val="000000" w:themeColor="text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承诺每月5日前及时送达对账单(或提供网上对账服务)的得2.5分，未承诺的不分。</w:t>
            </w:r>
          </w:p>
        </w:tc>
        <w:tc>
          <w:tcPr>
            <w:tcW w:w="856" w:type="dxa"/>
            <w:noWrap w:val="0"/>
            <w:vAlign w:val="center"/>
          </w:tcPr>
          <w:p w14:paraId="03332980">
            <w:pPr>
              <w:spacing w:line="360" w:lineRule="auto"/>
              <w:jc w:val="center"/>
              <w:textAlignment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0-2.5</w:t>
            </w:r>
          </w:p>
        </w:tc>
      </w:tr>
      <w:tr w14:paraId="4185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59" w:type="dxa"/>
            <w:vMerge w:val="continue"/>
            <w:noWrap w:val="0"/>
            <w:vAlign w:val="center"/>
          </w:tcPr>
          <w:p w14:paraId="55C5109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color w:val="000000" w:themeColor="text1"/>
                <w:kern w:val="0"/>
                <w:sz w:val="21"/>
                <w:szCs w:val="21"/>
                <w:highlight w:val="none"/>
                <w:lang w:bidi="ar"/>
                <w14:textFill>
                  <w14:solidFill>
                    <w14:schemeClr w14:val="tx1"/>
                  </w14:solidFill>
                </w14:textFill>
              </w:rPr>
            </w:pPr>
          </w:p>
        </w:tc>
        <w:tc>
          <w:tcPr>
            <w:tcW w:w="894" w:type="dxa"/>
            <w:noWrap w:val="0"/>
            <w:vAlign w:val="center"/>
          </w:tcPr>
          <w:p w14:paraId="684328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承诺对账率</w:t>
            </w:r>
          </w:p>
        </w:tc>
        <w:tc>
          <w:tcPr>
            <w:tcW w:w="5949" w:type="dxa"/>
            <w:noWrap w:val="0"/>
            <w:vAlign w:val="center"/>
          </w:tcPr>
          <w:p w14:paraId="654EDD6C">
            <w:pPr>
              <w:keepNext w:val="0"/>
              <w:keepLines w:val="0"/>
              <w:pageBreakBefore w:val="0"/>
              <w:widowControl w:val="0"/>
              <w:kinsoku/>
              <w:wordWrap/>
              <w:overflowPunct/>
              <w:topLinePunct w:val="0"/>
              <w:autoSpaceDE/>
              <w:autoSpaceDN/>
              <w:bidi w:val="0"/>
              <w:adjustRightInd/>
              <w:snapToGrid/>
              <w:spacing w:line="240" w:lineRule="auto"/>
              <w:ind w:firstLine="378" w:firstLineChars="200"/>
              <w:textAlignment w:val="auto"/>
              <w:rPr>
                <w:rFonts w:hint="eastAsia" w:ascii="宋体" w:hAnsi="宋体" w:eastAsia="宋体" w:cs="宋体"/>
                <w:color w:val="000000" w:themeColor="text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承诺对账率为100%的得2.5分，低于100%或未承诺的不得分。</w:t>
            </w:r>
          </w:p>
        </w:tc>
        <w:tc>
          <w:tcPr>
            <w:tcW w:w="856" w:type="dxa"/>
            <w:noWrap w:val="0"/>
            <w:vAlign w:val="center"/>
          </w:tcPr>
          <w:p w14:paraId="5F77E31A">
            <w:pPr>
              <w:spacing w:line="360" w:lineRule="auto"/>
              <w:jc w:val="center"/>
              <w:textAlignment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0-2.5</w:t>
            </w:r>
          </w:p>
        </w:tc>
      </w:tr>
      <w:tr w14:paraId="4409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59" w:type="dxa"/>
            <w:noWrap w:val="0"/>
            <w:vAlign w:val="center"/>
          </w:tcPr>
          <w:p w14:paraId="098103F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color w:val="000000" w:themeColor="text1"/>
                <w:kern w:val="0"/>
                <w:sz w:val="21"/>
                <w:szCs w:val="21"/>
                <w:highlight w:val="none"/>
                <w:lang w:bidi="ar"/>
                <w14:textFill>
                  <w14:solidFill>
                    <w14:schemeClr w14:val="tx1"/>
                  </w14:solidFill>
                </w14:textFill>
              </w:rPr>
            </w:pPr>
            <w:r>
              <w:rPr>
                <w:rFonts w:hint="eastAsia" w:ascii="宋体" w:hAnsi="宋体" w:eastAsia="宋体" w:cs="宋体"/>
                <w:b/>
                <w:color w:val="000000" w:themeColor="text1"/>
                <w:kern w:val="0"/>
                <w:sz w:val="21"/>
                <w:szCs w:val="21"/>
                <w:highlight w:val="none"/>
                <w:lang w:bidi="ar"/>
                <w14:textFill>
                  <w14:solidFill>
                    <w14:schemeClr w14:val="tx1"/>
                  </w14:solidFill>
                </w14:textFill>
              </w:rPr>
              <w:t>利率水平</w:t>
            </w:r>
          </w:p>
          <w:p w14:paraId="0EA4B33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color w:val="000000" w:themeColor="text1"/>
                <w:kern w:val="0"/>
                <w:sz w:val="21"/>
                <w:szCs w:val="21"/>
                <w:highlight w:val="none"/>
                <w:lang w:bidi="ar"/>
                <w14:textFill>
                  <w14:solidFill>
                    <w14:schemeClr w14:val="tx1"/>
                  </w14:solidFill>
                </w14:textFill>
              </w:rPr>
            </w:pPr>
            <w:r>
              <w:rPr>
                <w:rFonts w:hint="eastAsia" w:ascii="宋体" w:hAnsi="宋体" w:eastAsia="宋体" w:cs="宋体"/>
                <w:b/>
                <w:color w:val="000000" w:themeColor="text1"/>
                <w:kern w:val="0"/>
                <w:sz w:val="21"/>
                <w:szCs w:val="21"/>
                <w:highlight w:val="none"/>
                <w:lang w:bidi="ar"/>
                <w14:textFill>
                  <w14:solidFill>
                    <w14:schemeClr w14:val="tx1"/>
                  </w14:solidFill>
                </w14:textFill>
              </w:rPr>
              <w:t>(</w:t>
            </w:r>
            <w:r>
              <w:rPr>
                <w:rFonts w:hint="eastAsia" w:ascii="宋体" w:hAnsi="宋体" w:eastAsia="宋体" w:cs="宋体"/>
                <w:b/>
                <w:color w:val="000000" w:themeColor="text1"/>
                <w:kern w:val="0"/>
                <w:sz w:val="21"/>
                <w:szCs w:val="21"/>
                <w:highlight w:val="none"/>
                <w:lang w:val="en-US" w:eastAsia="zh-CN" w:bidi="ar"/>
                <w14:textFill>
                  <w14:solidFill>
                    <w14:schemeClr w14:val="tx1"/>
                  </w14:solidFill>
                </w14:textFill>
              </w:rPr>
              <w:t>10</w:t>
            </w:r>
            <w:r>
              <w:rPr>
                <w:rFonts w:hint="eastAsia" w:ascii="宋体" w:hAnsi="宋体" w:eastAsia="宋体" w:cs="宋体"/>
                <w:b/>
                <w:color w:val="000000" w:themeColor="text1"/>
                <w:kern w:val="0"/>
                <w:sz w:val="21"/>
                <w:szCs w:val="21"/>
                <w:highlight w:val="none"/>
                <w:lang w:bidi="ar"/>
                <w14:textFill>
                  <w14:solidFill>
                    <w14:schemeClr w14:val="tx1"/>
                  </w14:solidFill>
                </w14:textFill>
              </w:rPr>
              <w:t>分)</w:t>
            </w:r>
          </w:p>
        </w:tc>
        <w:tc>
          <w:tcPr>
            <w:tcW w:w="894" w:type="dxa"/>
            <w:noWrap w:val="0"/>
            <w:vAlign w:val="center"/>
          </w:tcPr>
          <w:p w14:paraId="2009F46C">
            <w:pPr>
              <w:keepNext w:val="0"/>
              <w:keepLines w:val="0"/>
              <w:pageBreakBefore w:val="0"/>
              <w:widowControl w:val="0"/>
              <w:kinsoku/>
              <w:wordWrap/>
              <w:overflowPunct/>
              <w:topLinePunct w:val="0"/>
              <w:bidi w:val="0"/>
              <w:adjustRightInd/>
              <w:spacing w:line="240" w:lineRule="auto"/>
              <w:jc w:val="center"/>
              <w:rPr>
                <w:rFonts w:hint="eastAsia" w:ascii="宋体" w:hAnsi="宋体" w:eastAsia="宋体" w:cs="宋体"/>
                <w:color w:val="000000" w:themeColor="text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定期存款利率</w:t>
            </w:r>
          </w:p>
        </w:tc>
        <w:tc>
          <w:tcPr>
            <w:tcW w:w="5949" w:type="dxa"/>
            <w:noWrap w:val="0"/>
            <w:vAlign w:val="center"/>
          </w:tcPr>
          <w:p w14:paraId="22099222">
            <w:pPr>
              <w:keepNext w:val="0"/>
              <w:keepLines w:val="0"/>
              <w:pageBreakBefore w:val="0"/>
              <w:widowControl w:val="0"/>
              <w:kinsoku/>
              <w:wordWrap/>
              <w:overflowPunct/>
              <w:topLinePunct w:val="0"/>
              <w:autoSpaceDE/>
              <w:autoSpaceDN/>
              <w:bidi w:val="0"/>
              <w:adjustRightInd/>
              <w:snapToGrid/>
              <w:spacing w:line="240" w:lineRule="auto"/>
              <w:ind w:firstLine="378" w:firstLineChars="200"/>
              <w:textAlignment w:val="auto"/>
              <w:rPr>
                <w:rFonts w:hint="eastAsia" w:ascii="宋体" w:hAnsi="宋体" w:eastAsia="宋体" w:cs="宋体"/>
                <w:color w:val="000000" w:themeColor="text1"/>
                <w:w w:val="90"/>
                <w:sz w:val="21"/>
                <w:szCs w:val="21"/>
                <w:highlight w:val="none"/>
                <w14:textFill>
                  <w14:solidFill>
                    <w14:schemeClr w14:val="tx1"/>
                  </w14:solidFill>
                </w14:textFill>
              </w:rPr>
            </w:pPr>
            <w:r>
              <w:rPr>
                <w:rFonts w:hint="eastAsia" w:ascii="宋体" w:hAnsi="宋体" w:eastAsia="宋体" w:cs="宋体"/>
                <w:color w:val="000000" w:themeColor="text1"/>
                <w:w w:val="90"/>
                <w:sz w:val="21"/>
                <w:szCs w:val="21"/>
                <w:highlight w:val="none"/>
                <w:lang w:val="en-US" w:eastAsia="zh-CN"/>
                <w14:textFill>
                  <w14:solidFill>
                    <w14:schemeClr w14:val="tx1"/>
                  </w14:solidFill>
                </w14:textFill>
              </w:rPr>
              <w:t>投标银行承诺一年定期存款利率情况评分，承诺的一年期定期存款年利率最高的为基准利率，投标人的分数按下列计算公式:得分=投标人承诺的定期利率/基准利率*10，满分10分。</w:t>
            </w:r>
          </w:p>
        </w:tc>
        <w:tc>
          <w:tcPr>
            <w:tcW w:w="856" w:type="dxa"/>
            <w:noWrap w:val="0"/>
            <w:vAlign w:val="center"/>
          </w:tcPr>
          <w:p w14:paraId="1B2327D2">
            <w:pPr>
              <w:spacing w:line="360" w:lineRule="auto"/>
              <w:jc w:val="center"/>
              <w:textAlignment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0-10</w:t>
            </w:r>
          </w:p>
        </w:tc>
      </w:tr>
      <w:tr w14:paraId="4596E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02" w:type="dxa"/>
            <w:gridSpan w:val="3"/>
            <w:noWrap w:val="0"/>
            <w:vAlign w:val="center"/>
          </w:tcPr>
          <w:p w14:paraId="7DE47D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w w:val="90"/>
                <w:sz w:val="21"/>
                <w:szCs w:val="21"/>
                <w:highlight w:val="none"/>
                <w14:textFill>
                  <w14:solidFill>
                    <w14:schemeClr w14:val="tx1"/>
                  </w14:solidFill>
                </w14:textFill>
              </w:rPr>
            </w:pPr>
            <w:r>
              <w:rPr>
                <w:rFonts w:hint="eastAsia" w:ascii="宋体" w:hAnsi="宋体" w:eastAsia="宋体" w:cs="宋体"/>
                <w:color w:val="000000" w:themeColor="text1"/>
                <w:w w:val="90"/>
                <w:sz w:val="21"/>
                <w:szCs w:val="21"/>
                <w:highlight w:val="none"/>
                <w14:textFill>
                  <w14:solidFill>
                    <w14:schemeClr w14:val="tx1"/>
                  </w14:solidFill>
                </w14:textFill>
              </w:rPr>
              <w:t>合计</w:t>
            </w:r>
          </w:p>
        </w:tc>
        <w:tc>
          <w:tcPr>
            <w:tcW w:w="856" w:type="dxa"/>
            <w:noWrap w:val="0"/>
            <w:vAlign w:val="center"/>
          </w:tcPr>
          <w:p w14:paraId="7D1ACE5C">
            <w:pPr>
              <w:spacing w:line="360" w:lineRule="auto"/>
              <w:jc w:val="center"/>
              <w:textAlignment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100分</w:t>
            </w:r>
          </w:p>
        </w:tc>
      </w:tr>
    </w:tbl>
    <w:p w14:paraId="6AACCFDC">
      <w:pPr>
        <w:pStyle w:val="37"/>
        <w:keepNext w:val="0"/>
        <w:keepLines w:val="0"/>
        <w:pageBreakBefore w:val="0"/>
        <w:widowControl w:val="0"/>
        <w:numPr>
          <w:ilvl w:val="0"/>
          <w:numId w:val="0"/>
        </w:numPr>
        <w:kinsoku/>
        <w:wordWrap/>
        <w:overflowPunct/>
        <w:topLinePunct w:val="0"/>
        <w:autoSpaceDE/>
        <w:autoSpaceDN/>
        <w:bidi w:val="0"/>
        <w:adjustRightInd/>
        <w:snapToGrid/>
        <w:spacing w:before="0" w:after="0"/>
        <w:ind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bookmarkStart w:id="105" w:name="_Toc440162798"/>
      <w:bookmarkStart w:id="106" w:name="_Toc16381"/>
      <w:bookmarkStart w:id="107" w:name="_Toc30100"/>
      <w:bookmarkStart w:id="108" w:name="_Toc424164165"/>
      <w:bookmarkStart w:id="109" w:name="_Toc446950615"/>
      <w:bookmarkStart w:id="110" w:name="_Toc452032125"/>
      <w:bookmarkStart w:id="111" w:name="_Toc15226"/>
      <w:bookmarkStart w:id="112" w:name="_Toc4261"/>
      <w:bookmarkStart w:id="113" w:name="_Toc13793"/>
      <w:r>
        <w:rPr>
          <w:rFonts w:hint="eastAsia" w:ascii="宋体" w:hAnsi="宋体" w:eastAsia="宋体" w:cs="宋体"/>
          <w:b w:val="0"/>
          <w:bCs w:val="0"/>
          <w:color w:val="000000" w:themeColor="text1"/>
          <w:sz w:val="24"/>
          <w:szCs w:val="24"/>
          <w:lang w:val="en-US" w:eastAsia="zh-CN"/>
          <w14:textFill>
            <w14:solidFill>
              <w14:schemeClr w14:val="tx1"/>
            </w14:solidFill>
          </w14:textFill>
        </w:rPr>
        <w:t>备注：</w:t>
      </w:r>
      <w:r>
        <w:rPr>
          <w:rFonts w:hint="eastAsia" w:ascii="宋体" w:hAnsi="宋体" w:eastAsia="宋体" w:cs="宋体"/>
          <w:b w:val="0"/>
          <w:bCs w:val="0"/>
          <w:color w:val="000000" w:themeColor="text1"/>
          <w:sz w:val="24"/>
          <w:szCs w:val="24"/>
          <w14:textFill>
            <w14:solidFill>
              <w14:schemeClr w14:val="tx1"/>
            </w14:solidFill>
          </w14:textFill>
        </w:rPr>
        <w:t>评标委员会按有效标中按各投标人的最终得分（即商务标得分及资信标得分之和）由高到低进行排名，最终得分最高的为第一名</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以此类推</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综合得分</w:t>
      </w:r>
      <w:r>
        <w:rPr>
          <w:rFonts w:hint="eastAsia" w:ascii="宋体" w:hAnsi="宋体" w:eastAsia="宋体" w:cs="宋体"/>
          <w:b w:val="0"/>
          <w:bCs w:val="0"/>
          <w:color w:val="000000" w:themeColor="text1"/>
          <w:sz w:val="24"/>
          <w:szCs w:val="24"/>
          <w14:textFill>
            <w14:solidFill>
              <w14:schemeClr w14:val="tx1"/>
            </w14:solidFill>
          </w14:textFill>
        </w:rPr>
        <w:t>第一名投标人确定为标</w:t>
      </w:r>
      <w:r>
        <w:rPr>
          <w:rFonts w:hint="eastAsia" w:ascii="宋体" w:hAnsi="宋体" w:eastAsia="宋体" w:cs="宋体"/>
          <w:b w:val="0"/>
          <w:bCs w:val="0"/>
          <w:color w:val="000000" w:themeColor="text1"/>
          <w:sz w:val="24"/>
          <w:szCs w:val="24"/>
          <w:lang w:eastAsia="zh-CN"/>
          <w14:textFill>
            <w14:solidFill>
              <w14:schemeClr w14:val="tx1"/>
            </w14:solidFill>
          </w14:textFill>
        </w:rPr>
        <w:t>项</w:t>
      </w:r>
      <w:r>
        <w:rPr>
          <w:rFonts w:hint="eastAsia" w:ascii="宋体" w:hAnsi="宋体" w:eastAsia="宋体" w:cs="宋体"/>
          <w:b w:val="0"/>
          <w:bCs w:val="0"/>
          <w:color w:val="000000" w:themeColor="text1"/>
          <w:sz w:val="24"/>
          <w:szCs w:val="24"/>
          <w14:textFill>
            <w14:solidFill>
              <w14:schemeClr w14:val="tx1"/>
            </w14:solidFill>
          </w14:textFill>
        </w:rPr>
        <w:t>一中标候选人、</w:t>
      </w:r>
      <w:r>
        <w:rPr>
          <w:rFonts w:hint="eastAsia" w:ascii="宋体" w:hAnsi="宋体" w:eastAsia="宋体" w:cs="宋体"/>
          <w:b w:val="0"/>
          <w:bCs w:val="0"/>
          <w:color w:val="000000" w:themeColor="text1"/>
          <w:sz w:val="24"/>
          <w:szCs w:val="24"/>
          <w:lang w:val="en-US" w:eastAsia="zh-CN"/>
          <w14:textFill>
            <w14:solidFill>
              <w14:schemeClr w14:val="tx1"/>
            </w14:solidFill>
          </w14:textFill>
        </w:rPr>
        <w:t>综合得分</w:t>
      </w:r>
      <w:r>
        <w:rPr>
          <w:rFonts w:hint="eastAsia" w:ascii="宋体" w:hAnsi="宋体" w:eastAsia="宋体" w:cs="宋体"/>
          <w:b w:val="0"/>
          <w:bCs w:val="0"/>
          <w:color w:val="000000" w:themeColor="text1"/>
          <w:sz w:val="24"/>
          <w:szCs w:val="24"/>
          <w14:textFill>
            <w14:solidFill>
              <w14:schemeClr w14:val="tx1"/>
            </w14:solidFill>
          </w14:textFill>
        </w:rPr>
        <w:t>第二名投标人确定为标</w:t>
      </w:r>
      <w:r>
        <w:rPr>
          <w:rFonts w:hint="eastAsia" w:ascii="宋体" w:hAnsi="宋体" w:eastAsia="宋体" w:cs="宋体"/>
          <w:b w:val="0"/>
          <w:bCs w:val="0"/>
          <w:color w:val="000000" w:themeColor="text1"/>
          <w:sz w:val="24"/>
          <w:szCs w:val="24"/>
          <w:lang w:eastAsia="zh-CN"/>
          <w14:textFill>
            <w14:solidFill>
              <w14:schemeClr w14:val="tx1"/>
            </w14:solidFill>
          </w14:textFill>
        </w:rPr>
        <w:t>项</w:t>
      </w:r>
      <w:r>
        <w:rPr>
          <w:rFonts w:hint="eastAsia" w:ascii="宋体" w:hAnsi="宋体" w:eastAsia="宋体" w:cs="宋体"/>
          <w:b w:val="0"/>
          <w:bCs w:val="0"/>
          <w:color w:val="000000" w:themeColor="text1"/>
          <w:sz w:val="24"/>
          <w:szCs w:val="24"/>
          <w:lang w:val="en-US" w:eastAsia="zh-CN"/>
          <w14:textFill>
            <w14:solidFill>
              <w14:schemeClr w14:val="tx1"/>
            </w14:solidFill>
          </w14:textFill>
        </w:rPr>
        <w:t>二</w:t>
      </w:r>
      <w:r>
        <w:rPr>
          <w:rFonts w:hint="eastAsia" w:ascii="宋体" w:hAnsi="宋体" w:eastAsia="宋体" w:cs="宋体"/>
          <w:b w:val="0"/>
          <w:bCs w:val="0"/>
          <w:color w:val="000000" w:themeColor="text1"/>
          <w:sz w:val="24"/>
          <w:szCs w:val="24"/>
          <w14:textFill>
            <w14:solidFill>
              <w14:schemeClr w14:val="tx1"/>
            </w14:solidFill>
          </w14:textFill>
        </w:rPr>
        <w:t>中标候选人；（最终得分相同的，商务标</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利率水平</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得分高者优先；商务标</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利率水平</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得分，资信标得分也相同的，以随机方式确定优先者）。如发现中标人资格无效或其放弃中标资格，则按本次评标的得分排序结果依次替补或重新组织。</w:t>
      </w:r>
    </w:p>
    <w:p w14:paraId="6C3AFF1F">
      <w:pPr>
        <w:pStyle w:val="37"/>
        <w:numPr>
          <w:ilvl w:val="0"/>
          <w:numId w:val="7"/>
        </w:numPr>
        <w:spacing w:after="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br w:type="page"/>
      </w:r>
      <w:r>
        <w:rPr>
          <w:rFonts w:hint="eastAsia" w:ascii="宋体" w:hAnsi="宋体" w:eastAsia="宋体" w:cs="宋体"/>
          <w:color w:val="000000" w:themeColor="text1"/>
          <w:highlight w:val="none"/>
          <w14:textFill>
            <w14:solidFill>
              <w14:schemeClr w14:val="tx1"/>
            </w14:solidFill>
          </w14:textFill>
        </w:rPr>
        <w:t>合同主要条款</w:t>
      </w:r>
      <w:bookmarkEnd w:id="105"/>
      <w:bookmarkEnd w:id="106"/>
      <w:bookmarkEnd w:id="107"/>
      <w:bookmarkEnd w:id="108"/>
      <w:bookmarkEnd w:id="109"/>
      <w:bookmarkEnd w:id="110"/>
      <w:bookmarkEnd w:id="111"/>
      <w:bookmarkEnd w:id="112"/>
      <w:bookmarkEnd w:id="113"/>
    </w:p>
    <w:p w14:paraId="1CD71744">
      <w:pPr>
        <w:jc w:val="center"/>
        <w:rPr>
          <w:rFonts w:hint="eastAsia" w:ascii="宋体" w:hAnsi="宋体" w:eastAsia="宋体" w:cs="宋体"/>
          <w:b/>
          <w:color w:val="000000" w:themeColor="text1"/>
          <w:kern w:val="0"/>
          <w:sz w:val="32"/>
          <w:szCs w:val="28"/>
          <w:highlight w:val="none"/>
          <w14:textFill>
            <w14:solidFill>
              <w14:schemeClr w14:val="tx1"/>
            </w14:solidFill>
          </w14:textFill>
        </w:rPr>
      </w:pPr>
      <w:r>
        <w:rPr>
          <w:rFonts w:hint="eastAsia" w:ascii="宋体" w:hAnsi="宋体" w:eastAsia="宋体" w:cs="宋体"/>
          <w:b/>
          <w:color w:val="000000" w:themeColor="text1"/>
          <w:kern w:val="0"/>
          <w:sz w:val="32"/>
          <w:szCs w:val="28"/>
          <w:highlight w:val="none"/>
          <w14:textFill>
            <w14:solidFill>
              <w14:schemeClr w14:val="tx1"/>
            </w14:solidFill>
          </w14:textFill>
        </w:rPr>
        <w:t>（本合同样式供参考）</w:t>
      </w:r>
    </w:p>
    <w:p w14:paraId="20DF4F5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合同编号：</w:t>
      </w:r>
      <w:r>
        <w:rPr>
          <w:rFonts w:hint="eastAsia" w:ascii="宋体" w:hAnsi="宋体" w:eastAsia="宋体" w:cs="宋体"/>
          <w:b/>
          <w:color w:val="000000" w:themeColor="text1"/>
          <w:kern w:val="0"/>
          <w:sz w:val="24"/>
          <w:szCs w:val="24"/>
          <w:highlight w:val="none"/>
          <w:u w:val="single"/>
          <w14:textFill>
            <w14:solidFill>
              <w14:schemeClr w14:val="tx1"/>
            </w14:solidFill>
          </w14:textFill>
        </w:rPr>
        <w:t xml:space="preserve">                 </w:t>
      </w:r>
    </w:p>
    <w:p w14:paraId="7908B3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p>
    <w:p w14:paraId="155316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kern w:val="0"/>
          <w:sz w:val="24"/>
          <w:szCs w:val="24"/>
          <w:highlight w:val="none"/>
          <w:u w:val="singl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甲方：</w:t>
      </w:r>
      <w:r>
        <w:rPr>
          <w:rFonts w:hint="eastAsia" w:ascii="宋体" w:hAnsi="宋体" w:eastAsia="宋体" w:cs="宋体"/>
          <w:color w:val="000000" w:themeColor="text1"/>
          <w:kern w:val="0"/>
          <w:sz w:val="24"/>
          <w:szCs w:val="24"/>
          <w:highlight w:val="none"/>
          <w:u w:val="single"/>
          <w:lang w:eastAsia="zh-CN"/>
          <w14:textFill>
            <w14:solidFill>
              <w14:schemeClr w14:val="tx1"/>
            </w14:solidFill>
          </w14:textFill>
        </w:rPr>
        <w:t>苍南县测绘院</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p>
    <w:p w14:paraId="26B055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乙方：</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p>
    <w:p w14:paraId="061D07A2">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color w:val="000000" w:themeColor="text1"/>
          <w:sz w:val="22"/>
          <w14:textFill>
            <w14:solidFill>
              <w14:schemeClr w14:val="tx1"/>
            </w14:solidFill>
          </w14:textFill>
        </w:rPr>
      </w:pPr>
      <w:bookmarkStart w:id="114" w:name="_Toc3990"/>
      <w:bookmarkStart w:id="115" w:name="_Toc446950616"/>
      <w:bookmarkStart w:id="116" w:name="_Toc1450"/>
      <w:bookmarkStart w:id="117" w:name="_Toc424164166"/>
      <w:bookmarkStart w:id="118" w:name="_Toc452032126"/>
      <w:bookmarkStart w:id="119" w:name="_Toc440162799"/>
      <w:bookmarkStart w:id="120" w:name="_Toc6274"/>
      <w:r>
        <w:rPr>
          <w:rFonts w:hint="eastAsia" w:ascii="宋体" w:hAnsi="宋体" w:eastAsia="宋体" w:cs="宋体"/>
          <w:color w:val="000000" w:themeColor="text1"/>
          <w:sz w:val="22"/>
          <w:u w:val="single"/>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（甲方名称）的</w:t>
      </w:r>
      <w:r>
        <w:rPr>
          <w:rFonts w:hint="eastAsia" w:ascii="宋体" w:hAnsi="宋体" w:eastAsia="宋体" w:cs="宋体"/>
          <w:color w:val="000000" w:themeColor="text1"/>
          <w:sz w:val="22"/>
          <w:u w:val="single"/>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在国内以公开招标方式进行采购，经评标委员会评定</w:t>
      </w:r>
      <w:r>
        <w:rPr>
          <w:rFonts w:hint="eastAsia" w:ascii="宋体" w:hAnsi="宋体" w:eastAsia="宋体" w:cs="宋体"/>
          <w:color w:val="000000" w:themeColor="text1"/>
          <w:sz w:val="22"/>
          <w:u w:val="single"/>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（乙方名称）为中标人。甲、乙双方本着诚信及互利互惠的原则，同意按照下面条款和条件，签署本合同。</w:t>
      </w:r>
    </w:p>
    <w:p w14:paraId="5926115F">
      <w:pPr>
        <w:keepNext w:val="0"/>
        <w:keepLines w:val="0"/>
        <w:pageBreakBefore w:val="0"/>
        <w:widowControl w:val="0"/>
        <w:kinsoku/>
        <w:wordWrap/>
        <w:overflowPunct/>
        <w:topLinePunct w:val="0"/>
        <w:autoSpaceDE/>
        <w:autoSpaceDN/>
        <w:bidi w:val="0"/>
        <w:adjustRightInd/>
        <w:snapToGrid/>
        <w:spacing w:line="360" w:lineRule="auto"/>
        <w:ind w:firstLine="541" w:firstLineChars="245"/>
        <w:textAlignment w:val="auto"/>
        <w:outlineLvl w:val="1"/>
        <w:rPr>
          <w:rFonts w:hint="eastAsia" w:ascii="宋体" w:hAnsi="宋体" w:eastAsia="宋体" w:cs="宋体"/>
          <w:b/>
          <w:color w:val="000000" w:themeColor="text1"/>
          <w:sz w:val="22"/>
          <w14:textFill>
            <w14:solidFill>
              <w14:schemeClr w14:val="tx1"/>
            </w14:solidFill>
          </w14:textFill>
        </w:rPr>
      </w:pPr>
      <w:bookmarkStart w:id="121" w:name="_Toc25918879"/>
      <w:r>
        <w:rPr>
          <w:rFonts w:hint="eastAsia" w:ascii="宋体" w:hAnsi="宋体" w:eastAsia="宋体" w:cs="宋体"/>
          <w:b/>
          <w:color w:val="000000" w:themeColor="text1"/>
          <w:sz w:val="22"/>
          <w14:textFill>
            <w14:solidFill>
              <w14:schemeClr w14:val="tx1"/>
            </w14:solidFill>
          </w14:textFill>
        </w:rPr>
        <w:t>一、本合同文件的优先次序</w:t>
      </w:r>
      <w:bookmarkEnd w:id="121"/>
    </w:p>
    <w:p w14:paraId="2A73F814">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合同文件由以下文件组成，如存在歧义或不一致则根据以下优先次序来判断：</w:t>
      </w:r>
    </w:p>
    <w:p w14:paraId="430F91B3">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1</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color w:val="000000" w:themeColor="text1"/>
          <w:sz w:val="22"/>
          <w14:textFill>
            <w14:solidFill>
              <w14:schemeClr w14:val="tx1"/>
            </w14:solidFill>
          </w14:textFill>
        </w:rPr>
        <w:t xml:space="preserve">合同书及合同补充条款或说明 </w:t>
      </w:r>
    </w:p>
    <w:p w14:paraId="16CA64DB">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2</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color w:val="000000" w:themeColor="text1"/>
          <w:sz w:val="22"/>
          <w14:textFill>
            <w14:solidFill>
              <w14:schemeClr w14:val="tx1"/>
            </w14:solidFill>
          </w14:textFill>
        </w:rPr>
        <w:t>中标通知书</w:t>
      </w:r>
    </w:p>
    <w:p w14:paraId="1A3B99AF">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3</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color w:val="000000" w:themeColor="text1"/>
          <w:sz w:val="22"/>
          <w14:textFill>
            <w14:solidFill>
              <w14:schemeClr w14:val="tx1"/>
            </w14:solidFill>
          </w14:textFill>
        </w:rPr>
        <w:t>承诺书（含询标记录和优惠条款）</w:t>
      </w:r>
    </w:p>
    <w:p w14:paraId="7C0C3AEB">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4</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color w:val="000000" w:themeColor="text1"/>
          <w:sz w:val="22"/>
          <w14:textFill>
            <w14:solidFill>
              <w14:schemeClr w14:val="tx1"/>
            </w14:solidFill>
          </w14:textFill>
        </w:rPr>
        <w:t>投标文件</w:t>
      </w:r>
    </w:p>
    <w:p w14:paraId="0767B60B">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5</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color w:val="000000" w:themeColor="text1"/>
          <w:sz w:val="22"/>
          <w14:textFill>
            <w14:solidFill>
              <w14:schemeClr w14:val="tx1"/>
            </w14:solidFill>
          </w14:textFill>
        </w:rPr>
        <w:t>招标文件</w:t>
      </w:r>
    </w:p>
    <w:p w14:paraId="61990633">
      <w:pPr>
        <w:keepNext w:val="0"/>
        <w:keepLines w:val="0"/>
        <w:pageBreakBefore w:val="0"/>
        <w:widowControl w:val="0"/>
        <w:kinsoku/>
        <w:wordWrap/>
        <w:overflowPunct/>
        <w:topLinePunct w:val="0"/>
        <w:autoSpaceDE/>
        <w:autoSpaceDN/>
        <w:bidi w:val="0"/>
        <w:adjustRightInd/>
        <w:snapToGrid/>
        <w:spacing w:line="360" w:lineRule="auto"/>
        <w:ind w:firstLine="541" w:firstLineChars="245"/>
        <w:textAlignment w:val="auto"/>
        <w:outlineLvl w:val="1"/>
        <w:rPr>
          <w:rFonts w:hint="eastAsia" w:ascii="宋体" w:hAnsi="宋体" w:eastAsia="宋体" w:cs="宋体"/>
          <w:color w:val="000000" w:themeColor="text1"/>
          <w:kern w:val="0"/>
          <w:sz w:val="22"/>
          <w:szCs w:val="22"/>
          <w14:textFill>
            <w14:solidFill>
              <w14:schemeClr w14:val="tx1"/>
            </w14:solidFill>
          </w14:textFill>
        </w:rPr>
      </w:pPr>
      <w:bookmarkStart w:id="122" w:name="_Toc25918880"/>
      <w:r>
        <w:rPr>
          <w:rFonts w:hint="eastAsia" w:ascii="宋体" w:hAnsi="宋体" w:eastAsia="宋体" w:cs="宋体"/>
          <w:b/>
          <w:color w:val="000000" w:themeColor="text1"/>
          <w:sz w:val="22"/>
          <w14:textFill>
            <w14:solidFill>
              <w14:schemeClr w14:val="tx1"/>
            </w14:solidFill>
          </w14:textFill>
        </w:rPr>
        <w:t>二、总则</w:t>
      </w:r>
      <w:bookmarkEnd w:id="122"/>
    </w:p>
    <w:p w14:paraId="18072943">
      <w:pPr>
        <w:pStyle w:val="3"/>
        <w:keepNext w:val="0"/>
        <w:keepLines w:val="0"/>
        <w:pageBreakBefore w:val="0"/>
        <w:widowControl w:val="0"/>
        <w:shd w:val="clear" w:color="auto" w:fill="FFFFFF"/>
        <w:tabs>
          <w:tab w:val="left" w:pos="576"/>
        </w:tabs>
        <w:kinsoku/>
        <w:wordWrap/>
        <w:overflowPunct/>
        <w:topLinePunct w:val="0"/>
        <w:autoSpaceDE/>
        <w:autoSpaceDN/>
        <w:bidi w:val="0"/>
        <w:adjustRightInd/>
        <w:snapToGrid/>
        <w:spacing w:before="0" w:after="0" w:line="360" w:lineRule="auto"/>
        <w:ind w:firstLine="442" w:firstLineChars="200"/>
        <w:jc w:val="both"/>
        <w:textAlignment w:val="auto"/>
        <w:rPr>
          <w:rFonts w:hint="eastAsia" w:ascii="宋体" w:hAnsi="宋体" w:eastAsia="宋体" w:cs="宋体"/>
          <w:color w:val="000000" w:themeColor="text1"/>
          <w:kern w:val="2"/>
          <w:sz w:val="22"/>
          <w:szCs w:val="22"/>
          <w:lang w:bidi="ar"/>
          <w14:textFill>
            <w14:solidFill>
              <w14:schemeClr w14:val="tx1"/>
            </w14:solidFill>
          </w14:textFill>
        </w:rPr>
      </w:pPr>
      <w:r>
        <w:rPr>
          <w:rFonts w:hint="eastAsia" w:ascii="宋体" w:hAnsi="宋体" w:eastAsia="宋体" w:cs="宋体"/>
          <w:color w:val="000000" w:themeColor="text1"/>
          <w:kern w:val="2"/>
          <w:sz w:val="22"/>
          <w:szCs w:val="22"/>
          <w:lang w:bidi="ar"/>
          <w14:textFill>
            <w14:solidFill>
              <w14:schemeClr w14:val="tx1"/>
            </w14:solidFill>
          </w14:textFill>
        </w:rPr>
        <w:t>1、依据招投标相关法律法规和根据《关于防止领导干部在公款存放方面发生利益冲突和利益输送的办法》(浙委办发〔2015〕8号)、《浙江省财政厅关于印发浙江省省级行政事业单位公款竞争性存放管理办法的通知》（浙财预执〔2021〕7号）、《苍南县县级预算单位公款竞争性存放管理暂行办法》（苍政办〔2019〕7号）等规定，经甲乙双方平等协商，签订本合同。</w:t>
      </w:r>
    </w:p>
    <w:p w14:paraId="1359CA8E">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2</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color w:val="000000" w:themeColor="text1"/>
          <w:sz w:val="22"/>
          <w14:textFill>
            <w14:solidFill>
              <w14:schemeClr w14:val="tx1"/>
            </w14:solidFill>
          </w14:textFill>
        </w:rPr>
        <w:t>甲方通过公开招标方式择优确定单位资金存放的定期存款银行，其定期存款有关的资金管理、本息收回等活动适用本合同。</w:t>
      </w:r>
    </w:p>
    <w:p w14:paraId="359C53A8">
      <w:pPr>
        <w:keepNext w:val="0"/>
        <w:keepLines w:val="0"/>
        <w:pageBreakBefore w:val="0"/>
        <w:widowControl w:val="0"/>
        <w:kinsoku/>
        <w:wordWrap/>
        <w:overflowPunct/>
        <w:topLinePunct w:val="0"/>
        <w:autoSpaceDE/>
        <w:autoSpaceDN/>
        <w:bidi w:val="0"/>
        <w:adjustRightInd/>
        <w:snapToGrid/>
        <w:spacing w:line="360" w:lineRule="auto"/>
        <w:ind w:firstLine="541" w:firstLineChars="245"/>
        <w:textAlignment w:val="auto"/>
        <w:rPr>
          <w:rFonts w:hint="eastAsia" w:ascii="宋体" w:hAnsi="宋体" w:eastAsia="宋体" w:cs="宋体"/>
          <w:b/>
          <w:bCs/>
          <w:color w:val="000000" w:themeColor="text1"/>
          <w:sz w:val="22"/>
          <w:szCs w:val="22"/>
          <w:u w:val="none"/>
          <w14:textFill>
            <w14:solidFill>
              <w14:schemeClr w14:val="tx1"/>
            </w14:solidFill>
          </w14:textFill>
        </w:rPr>
      </w:pPr>
      <w:r>
        <w:rPr>
          <w:rFonts w:hint="eastAsia" w:ascii="宋体" w:hAnsi="宋体" w:eastAsia="宋体" w:cs="宋体"/>
          <w:b/>
          <w:bCs/>
          <w:color w:val="000000" w:themeColor="text1"/>
          <w:sz w:val="22"/>
          <w:szCs w:val="22"/>
          <w14:textFill>
            <w14:solidFill>
              <w14:schemeClr w14:val="tx1"/>
            </w14:solidFill>
          </w14:textFill>
        </w:rPr>
        <w:t>3</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b/>
          <w:bCs/>
          <w:color w:val="000000" w:themeColor="text1"/>
          <w:sz w:val="22"/>
          <w:szCs w:val="22"/>
          <w14:textFill>
            <w14:solidFill>
              <w14:schemeClr w14:val="tx1"/>
            </w14:solidFill>
          </w14:textFill>
        </w:rPr>
        <w:t>经招标确定，甲方在乙方开立存款账户，人民币定期存款</w:t>
      </w:r>
      <w:r>
        <w:rPr>
          <w:rFonts w:hint="eastAsia" w:ascii="宋体" w:hAnsi="宋体" w:eastAsia="宋体" w:cs="宋体"/>
          <w:b/>
          <w:bCs/>
          <w:color w:val="000000" w:themeColor="text1"/>
          <w:sz w:val="22"/>
          <w:szCs w:val="22"/>
          <w:u w:val="single"/>
          <w14:textFill>
            <w14:solidFill>
              <w14:schemeClr w14:val="tx1"/>
            </w14:solidFill>
          </w14:textFill>
        </w:rPr>
        <w:t xml:space="preserve">       </w:t>
      </w:r>
      <w:r>
        <w:rPr>
          <w:rFonts w:hint="eastAsia" w:ascii="宋体" w:hAnsi="宋体" w:eastAsia="宋体" w:cs="宋体"/>
          <w:b/>
          <w:bCs/>
          <w:color w:val="000000" w:themeColor="text1"/>
          <w:sz w:val="22"/>
          <w:szCs w:val="22"/>
          <w14:textFill>
            <w14:solidFill>
              <w14:schemeClr w14:val="tx1"/>
            </w14:solidFill>
          </w14:textFill>
        </w:rPr>
        <w:t>万元，定期存款年利率基础上加</w:t>
      </w:r>
      <w:r>
        <w:rPr>
          <w:rFonts w:hint="eastAsia" w:ascii="宋体" w:hAnsi="宋体" w:eastAsia="宋体" w:cs="宋体"/>
          <w:b/>
          <w:bCs/>
          <w:color w:val="000000" w:themeColor="text1"/>
          <w:sz w:val="22"/>
          <w:szCs w:val="22"/>
          <w:u w:val="single"/>
          <w14:textFill>
            <w14:solidFill>
              <w14:schemeClr w14:val="tx1"/>
            </w14:solidFill>
          </w14:textFill>
        </w:rPr>
        <w:t xml:space="preserve">     </w:t>
      </w:r>
      <w:r>
        <w:rPr>
          <w:rFonts w:hint="eastAsia" w:ascii="宋体" w:hAnsi="宋体" w:eastAsia="宋体" w:cs="宋体"/>
          <w:b/>
          <w:bCs/>
          <w:color w:val="000000" w:themeColor="text1"/>
          <w:sz w:val="22"/>
          <w:szCs w:val="22"/>
          <w:u w:val="none"/>
          <w14:textFill>
            <w14:solidFill>
              <w14:schemeClr w14:val="tx1"/>
            </w14:solidFill>
          </w14:textFill>
        </w:rPr>
        <w:t>BP</w:t>
      </w:r>
      <w:r>
        <w:rPr>
          <w:rFonts w:hint="eastAsia" w:ascii="宋体" w:hAnsi="宋体" w:eastAsia="宋体" w:cs="宋体"/>
          <w:b/>
          <w:bCs/>
          <w:color w:val="000000" w:themeColor="text1"/>
          <w:sz w:val="22"/>
          <w:szCs w:val="22"/>
          <w14:textFill>
            <w14:solidFill>
              <w14:schemeClr w14:val="tx1"/>
            </w14:solidFill>
          </w14:textFill>
        </w:rPr>
        <w:t xml:space="preserve"> (中国人民银行公布的人民币单位定期</w:t>
      </w:r>
      <w:r>
        <w:rPr>
          <w:rFonts w:hint="eastAsia" w:ascii="宋体" w:hAnsi="宋体" w:eastAsia="宋体" w:cs="宋体"/>
          <w:b/>
          <w:bCs/>
          <w:color w:val="000000" w:themeColor="text1"/>
          <w:sz w:val="22"/>
          <w:szCs w:val="22"/>
          <w:lang w:val="en-US" w:eastAsia="zh-CN"/>
          <w14:textFill>
            <w14:solidFill>
              <w14:schemeClr w14:val="tx1"/>
            </w14:solidFill>
          </w14:textFill>
        </w:rPr>
        <w:t>一</w:t>
      </w:r>
      <w:r>
        <w:rPr>
          <w:rFonts w:hint="eastAsia" w:ascii="宋体" w:hAnsi="宋体" w:eastAsia="宋体" w:cs="宋体"/>
          <w:b/>
          <w:bCs/>
          <w:color w:val="000000" w:themeColor="text1"/>
          <w:sz w:val="22"/>
          <w:szCs w:val="22"/>
          <w14:textFill>
            <w14:solidFill>
              <w14:schemeClr w14:val="tx1"/>
            </w14:solidFill>
          </w14:textFill>
        </w:rPr>
        <w:t>年存款基准利率基础上加点）。（乙方指定办理定期存款的分支机构为：</w:t>
      </w:r>
      <w:r>
        <w:rPr>
          <w:rFonts w:hint="eastAsia" w:ascii="宋体" w:hAnsi="宋体" w:eastAsia="宋体" w:cs="宋体"/>
          <w:b/>
          <w:bCs/>
          <w:color w:val="000000" w:themeColor="text1"/>
          <w:sz w:val="22"/>
          <w:szCs w:val="22"/>
          <w:u w:val="single"/>
          <w14:textFill>
            <w14:solidFill>
              <w14:schemeClr w14:val="tx1"/>
            </w14:solidFill>
          </w14:textFill>
        </w:rPr>
        <w:t xml:space="preserve">               </w:t>
      </w:r>
      <w:r>
        <w:rPr>
          <w:rFonts w:hint="eastAsia" w:ascii="宋体" w:hAnsi="宋体" w:eastAsia="宋体" w:cs="宋体"/>
          <w:b/>
          <w:bCs/>
          <w:color w:val="000000" w:themeColor="text1"/>
          <w:sz w:val="22"/>
          <w:szCs w:val="22"/>
          <w:u w:val="none"/>
          <w14:textFill>
            <w14:solidFill>
              <w14:schemeClr w14:val="tx1"/>
            </w14:solidFill>
          </w14:textFill>
        </w:rPr>
        <w:t>。</w:t>
      </w:r>
    </w:p>
    <w:p w14:paraId="6E7C128B">
      <w:pPr>
        <w:keepNext w:val="0"/>
        <w:keepLines w:val="0"/>
        <w:pageBreakBefore w:val="0"/>
        <w:widowControl w:val="0"/>
        <w:kinsoku/>
        <w:wordWrap/>
        <w:overflowPunct/>
        <w:topLinePunct w:val="0"/>
        <w:autoSpaceDE/>
        <w:autoSpaceDN/>
        <w:bidi w:val="0"/>
        <w:adjustRightInd/>
        <w:snapToGrid/>
        <w:spacing w:line="360" w:lineRule="auto"/>
        <w:ind w:firstLine="541" w:firstLineChars="245"/>
        <w:textAlignment w:val="auto"/>
        <w:rPr>
          <w:rFonts w:hint="eastAsia" w:ascii="宋体" w:hAnsi="宋体" w:eastAsia="宋体" w:cs="宋体"/>
          <w:b/>
          <w:bCs/>
          <w:color w:val="000000" w:themeColor="text1"/>
          <w:sz w:val="22"/>
          <w:szCs w:val="22"/>
          <w:u w:val="none"/>
          <w:lang w:val="en-US" w:eastAsia="zh-CN"/>
          <w14:textFill>
            <w14:solidFill>
              <w14:schemeClr w14:val="tx1"/>
            </w14:solidFill>
          </w14:textFill>
        </w:rPr>
      </w:pPr>
      <w:r>
        <w:rPr>
          <w:rFonts w:hint="eastAsia" w:ascii="宋体" w:hAnsi="宋体" w:eastAsia="宋体" w:cs="宋体"/>
          <w:b/>
          <w:bCs/>
          <w:color w:val="000000" w:themeColor="text1"/>
          <w:sz w:val="22"/>
          <w:szCs w:val="22"/>
          <w:u w:val="none"/>
          <w:lang w:val="en-US" w:eastAsia="zh-CN"/>
          <w14:textFill>
            <w14:solidFill>
              <w14:schemeClr w14:val="tx1"/>
            </w14:solidFill>
          </w14:textFill>
        </w:rPr>
        <w:t>注：招标人可以根据实际需求将中标金额划分成多个存单存入乙方指定办理定期存款的分支机构。</w:t>
      </w:r>
    </w:p>
    <w:p w14:paraId="4119DB0F">
      <w:pPr>
        <w:keepNext w:val="0"/>
        <w:keepLines w:val="0"/>
        <w:pageBreakBefore w:val="0"/>
        <w:widowControl w:val="0"/>
        <w:kinsoku/>
        <w:wordWrap/>
        <w:overflowPunct/>
        <w:topLinePunct w:val="0"/>
        <w:autoSpaceDE/>
        <w:autoSpaceDN/>
        <w:bidi w:val="0"/>
        <w:adjustRightInd/>
        <w:snapToGrid/>
        <w:spacing w:line="360" w:lineRule="auto"/>
        <w:ind w:firstLine="541" w:firstLineChars="245"/>
        <w:textAlignment w:val="auto"/>
        <w:outlineLvl w:val="1"/>
        <w:rPr>
          <w:rFonts w:hint="eastAsia" w:ascii="宋体" w:hAnsi="宋体" w:eastAsia="宋体" w:cs="宋体"/>
          <w:b/>
          <w:color w:val="000000" w:themeColor="text1"/>
          <w:sz w:val="22"/>
          <w14:textFill>
            <w14:solidFill>
              <w14:schemeClr w14:val="tx1"/>
            </w14:solidFill>
          </w14:textFill>
        </w:rPr>
      </w:pPr>
      <w:bookmarkStart w:id="123" w:name="_Toc25918881"/>
      <w:r>
        <w:rPr>
          <w:rFonts w:hint="eastAsia" w:ascii="宋体" w:hAnsi="宋体" w:eastAsia="宋体" w:cs="宋体"/>
          <w:b/>
          <w:color w:val="000000" w:themeColor="text1"/>
          <w:sz w:val="22"/>
          <w14:textFill>
            <w14:solidFill>
              <w14:schemeClr w14:val="tx1"/>
            </w14:solidFill>
          </w14:textFill>
        </w:rPr>
        <w:t>三、甲方权利与义务</w:t>
      </w:r>
      <w:bookmarkEnd w:id="123"/>
    </w:p>
    <w:p w14:paraId="35C5F7FD">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（一）甲方权利：</w:t>
      </w:r>
    </w:p>
    <w:p w14:paraId="6364E80A">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1</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color w:val="000000" w:themeColor="text1"/>
          <w:sz w:val="22"/>
          <w14:textFill>
            <w14:solidFill>
              <w14:schemeClr w14:val="tx1"/>
            </w14:solidFill>
          </w14:textFill>
        </w:rPr>
        <w:t>组织开展甲方单位资金存放工作；</w:t>
      </w:r>
    </w:p>
    <w:p w14:paraId="282C6C37">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2</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color w:val="000000" w:themeColor="text1"/>
          <w:sz w:val="22"/>
          <w14:textFill>
            <w14:solidFill>
              <w14:schemeClr w14:val="tx1"/>
            </w14:solidFill>
          </w14:textFill>
        </w:rPr>
        <w:t>要求乙方提供存款证明；</w:t>
      </w:r>
    </w:p>
    <w:p w14:paraId="2E881C12">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3、对在乙方的资金定期存款业务实施监督管理；</w:t>
      </w:r>
    </w:p>
    <w:p w14:paraId="2DF5AE31">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4、甲方对存放的资金有绝对支配权，乙方不得以任何理由，阻挠和限制甲方对存放资金的调度和使用；</w:t>
      </w:r>
    </w:p>
    <w:p w14:paraId="4AD607AE">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5、其它</w:t>
      </w:r>
      <w:r>
        <w:rPr>
          <w:rFonts w:hint="eastAsia" w:ascii="宋体" w:hAnsi="宋体" w:eastAsia="宋体" w:cs="宋体"/>
          <w:color w:val="000000" w:themeColor="text1"/>
          <w:kern w:val="0"/>
          <w:sz w:val="22"/>
          <w:szCs w:val="22"/>
          <w:u w:val="single"/>
          <w14:textFill>
            <w14:solidFill>
              <w14:schemeClr w14:val="tx1"/>
            </w14:solidFill>
          </w14:textFill>
        </w:rPr>
        <w:t xml:space="preserve">                                   </w:t>
      </w:r>
      <w:r>
        <w:rPr>
          <w:rFonts w:hint="eastAsia" w:ascii="宋体" w:hAnsi="宋体" w:eastAsia="宋体" w:cs="宋体"/>
          <w:color w:val="000000" w:themeColor="text1"/>
          <w:kern w:val="0"/>
          <w:sz w:val="22"/>
          <w:szCs w:val="22"/>
          <w14:textFill>
            <w14:solidFill>
              <w14:schemeClr w14:val="tx1"/>
            </w14:solidFill>
          </w14:textFill>
        </w:rPr>
        <w:t xml:space="preserve">。  </w:t>
      </w:r>
    </w:p>
    <w:p w14:paraId="122AF53B">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（二）甲方义务：</w:t>
      </w:r>
    </w:p>
    <w:p w14:paraId="5119B754">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1、按合同约定存放定期存款资金；</w:t>
      </w:r>
    </w:p>
    <w:p w14:paraId="3F506BD7">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2、其它</w:t>
      </w:r>
      <w:r>
        <w:rPr>
          <w:rFonts w:hint="eastAsia" w:ascii="宋体" w:hAnsi="宋体" w:eastAsia="宋体" w:cs="宋体"/>
          <w:color w:val="000000" w:themeColor="text1"/>
          <w:kern w:val="0"/>
          <w:sz w:val="22"/>
          <w:szCs w:val="22"/>
          <w:u w:val="single"/>
          <w14:textFill>
            <w14:solidFill>
              <w14:schemeClr w14:val="tx1"/>
            </w14:solidFill>
          </w14:textFill>
        </w:rPr>
        <w:t xml:space="preserve">                                   </w:t>
      </w:r>
      <w:r>
        <w:rPr>
          <w:rFonts w:hint="eastAsia" w:ascii="宋体" w:hAnsi="宋体" w:eastAsia="宋体" w:cs="宋体"/>
          <w:color w:val="000000" w:themeColor="text1"/>
          <w:kern w:val="0"/>
          <w:sz w:val="22"/>
          <w:szCs w:val="22"/>
          <w14:textFill>
            <w14:solidFill>
              <w14:schemeClr w14:val="tx1"/>
            </w14:solidFill>
          </w14:textFill>
        </w:rPr>
        <w:t>。</w:t>
      </w:r>
    </w:p>
    <w:p w14:paraId="1715DD02">
      <w:pPr>
        <w:keepNext w:val="0"/>
        <w:keepLines w:val="0"/>
        <w:pageBreakBefore w:val="0"/>
        <w:widowControl w:val="0"/>
        <w:kinsoku/>
        <w:wordWrap/>
        <w:overflowPunct/>
        <w:topLinePunct w:val="0"/>
        <w:autoSpaceDE/>
        <w:autoSpaceDN/>
        <w:bidi w:val="0"/>
        <w:adjustRightInd/>
        <w:snapToGrid/>
        <w:spacing w:line="360" w:lineRule="auto"/>
        <w:ind w:firstLine="541" w:firstLineChars="245"/>
        <w:textAlignment w:val="auto"/>
        <w:outlineLvl w:val="1"/>
        <w:rPr>
          <w:rFonts w:hint="eastAsia" w:ascii="宋体" w:hAnsi="宋体" w:eastAsia="宋体" w:cs="宋体"/>
          <w:b/>
          <w:color w:val="000000" w:themeColor="text1"/>
          <w:sz w:val="22"/>
          <w14:textFill>
            <w14:solidFill>
              <w14:schemeClr w14:val="tx1"/>
            </w14:solidFill>
          </w14:textFill>
        </w:rPr>
      </w:pPr>
      <w:bookmarkStart w:id="124" w:name="_Toc25918882"/>
      <w:r>
        <w:rPr>
          <w:rFonts w:hint="eastAsia" w:ascii="宋体" w:hAnsi="宋体" w:eastAsia="宋体" w:cs="宋体"/>
          <w:b/>
          <w:color w:val="000000" w:themeColor="text1"/>
          <w:sz w:val="22"/>
          <w14:textFill>
            <w14:solidFill>
              <w14:schemeClr w14:val="tx1"/>
            </w14:solidFill>
          </w14:textFill>
        </w:rPr>
        <w:t>四、乙方权利与义务：</w:t>
      </w:r>
      <w:bookmarkEnd w:id="124"/>
    </w:p>
    <w:p w14:paraId="238AC3AC">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（一）乙方权利：</w:t>
      </w:r>
    </w:p>
    <w:p w14:paraId="314A42AD">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1</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bCs/>
          <w:color w:val="000000" w:themeColor="text1"/>
          <w:sz w:val="22"/>
          <w14:textFill>
            <w14:solidFill>
              <w14:schemeClr w14:val="tx1"/>
            </w14:solidFill>
          </w14:textFill>
        </w:rPr>
        <w:t>参与甲方组织的资金存放工作；</w:t>
      </w:r>
    </w:p>
    <w:p w14:paraId="76E6C968">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2</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bCs/>
          <w:color w:val="000000" w:themeColor="text1"/>
          <w:sz w:val="22"/>
          <w14:textFill>
            <w14:solidFill>
              <w14:schemeClr w14:val="tx1"/>
            </w14:solidFill>
          </w14:textFill>
        </w:rPr>
        <w:t>乙方有权要求甲方按规定进行资金存放；</w:t>
      </w:r>
    </w:p>
    <w:p w14:paraId="25A6FDD6">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3、其它</w:t>
      </w:r>
      <w:r>
        <w:rPr>
          <w:rFonts w:hint="eastAsia" w:ascii="宋体" w:hAnsi="宋体" w:eastAsia="宋体" w:cs="宋体"/>
          <w:color w:val="000000" w:themeColor="text1"/>
          <w:kern w:val="0"/>
          <w:sz w:val="22"/>
          <w:szCs w:val="22"/>
          <w:u w:val="single"/>
          <w14:textFill>
            <w14:solidFill>
              <w14:schemeClr w14:val="tx1"/>
            </w14:solidFill>
          </w14:textFill>
        </w:rPr>
        <w:t xml:space="preserve">                                   </w:t>
      </w:r>
      <w:r>
        <w:rPr>
          <w:rFonts w:hint="eastAsia" w:ascii="宋体" w:hAnsi="宋体" w:eastAsia="宋体" w:cs="宋体"/>
          <w:color w:val="000000" w:themeColor="text1"/>
          <w:kern w:val="0"/>
          <w:sz w:val="22"/>
          <w:szCs w:val="22"/>
          <w14:textFill>
            <w14:solidFill>
              <w14:schemeClr w14:val="tx1"/>
            </w14:solidFill>
          </w14:textFill>
        </w:rPr>
        <w:t>。</w:t>
      </w:r>
    </w:p>
    <w:p w14:paraId="48B1754B">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（二）乙方义务：</w:t>
      </w:r>
    </w:p>
    <w:p w14:paraId="0B23B9CC">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1</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bCs/>
          <w:color w:val="000000" w:themeColor="text1"/>
          <w:sz w:val="22"/>
          <w14:textFill>
            <w14:solidFill>
              <w14:schemeClr w14:val="tx1"/>
            </w14:solidFill>
          </w14:textFill>
        </w:rPr>
        <w:t>按规定向甲方预留印鉴、办理账户信息备案手续；</w:t>
      </w:r>
    </w:p>
    <w:p w14:paraId="6315DAAF">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2</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bCs/>
          <w:color w:val="000000" w:themeColor="text1"/>
          <w:sz w:val="22"/>
          <w14:textFill>
            <w14:solidFill>
              <w14:schemeClr w14:val="tx1"/>
            </w14:solidFill>
          </w14:textFill>
        </w:rPr>
        <w:t>向甲方提供存款证明；</w:t>
      </w:r>
    </w:p>
    <w:p w14:paraId="1DEA0D21">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3</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bCs/>
          <w:color w:val="000000" w:themeColor="text1"/>
          <w:sz w:val="22"/>
          <w14:textFill>
            <w14:solidFill>
              <w14:schemeClr w14:val="tx1"/>
            </w14:solidFill>
          </w14:textFill>
        </w:rPr>
        <w:t>存款到期及时足额缴清甲方存款本息；</w:t>
      </w:r>
    </w:p>
    <w:p w14:paraId="747192CC">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5</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bCs/>
          <w:color w:val="000000" w:themeColor="text1"/>
          <w:sz w:val="22"/>
          <w14:textFill>
            <w14:solidFill>
              <w14:schemeClr w14:val="tx1"/>
            </w14:solidFill>
          </w14:textFill>
        </w:rPr>
        <w:t>确保甲方资金在存款期间的资金安全；</w:t>
      </w:r>
    </w:p>
    <w:p w14:paraId="3211830F">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6</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bCs/>
          <w:color w:val="000000" w:themeColor="text1"/>
          <w:sz w:val="22"/>
          <w14:textFill>
            <w14:solidFill>
              <w14:schemeClr w14:val="tx1"/>
            </w14:solidFill>
          </w14:textFill>
        </w:rPr>
        <w:t>接受甲方对资金定期存款业务的监督管理；</w:t>
      </w:r>
    </w:p>
    <w:p w14:paraId="035758E1">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7</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bCs/>
          <w:color w:val="000000" w:themeColor="text1"/>
          <w:sz w:val="22"/>
          <w14:textFill>
            <w14:solidFill>
              <w14:schemeClr w14:val="tx1"/>
            </w14:solidFill>
          </w14:textFill>
        </w:rPr>
        <w:t>提供甲方单位资金存放期存款相关单据及报表；</w:t>
      </w:r>
    </w:p>
    <w:p w14:paraId="363492E4">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8</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bCs/>
          <w:color w:val="000000" w:themeColor="text1"/>
          <w:sz w:val="22"/>
          <w14:textFill>
            <w14:solidFill>
              <w14:schemeClr w14:val="tx1"/>
            </w14:solidFill>
          </w14:textFill>
        </w:rPr>
        <w:t>监测存款有关情况，并及时通报甲方；</w:t>
      </w:r>
    </w:p>
    <w:p w14:paraId="5DAE3BBF">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9</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bCs/>
          <w:color w:val="000000" w:themeColor="text1"/>
          <w:sz w:val="22"/>
          <w14:textFill>
            <w14:solidFill>
              <w14:schemeClr w14:val="tx1"/>
            </w14:solidFill>
          </w14:textFill>
        </w:rPr>
        <w:t>配合甲方对在乙方资金定期存款业务实施监督管理；</w:t>
      </w:r>
    </w:p>
    <w:p w14:paraId="7F5146EE">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10</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bCs/>
          <w:color w:val="000000" w:themeColor="text1"/>
          <w:sz w:val="22"/>
          <w14:textFill>
            <w14:solidFill>
              <w14:schemeClr w14:val="tx1"/>
            </w14:solidFill>
          </w14:textFill>
        </w:rPr>
        <w:t>其它</w:t>
      </w:r>
      <w:r>
        <w:rPr>
          <w:rFonts w:hint="eastAsia" w:ascii="宋体" w:hAnsi="宋体" w:eastAsia="宋体" w:cs="宋体"/>
          <w:bCs/>
          <w:color w:val="000000" w:themeColor="text1"/>
          <w:sz w:val="22"/>
          <w:u w:val="single"/>
          <w14:textFill>
            <w14:solidFill>
              <w14:schemeClr w14:val="tx1"/>
            </w14:solidFill>
          </w14:textFill>
        </w:rPr>
        <w:t xml:space="preserve">                                   </w:t>
      </w:r>
      <w:r>
        <w:rPr>
          <w:rFonts w:hint="eastAsia" w:ascii="宋体" w:hAnsi="宋体" w:eastAsia="宋体" w:cs="宋体"/>
          <w:bCs/>
          <w:color w:val="000000" w:themeColor="text1"/>
          <w:sz w:val="22"/>
          <w14:textFill>
            <w14:solidFill>
              <w14:schemeClr w14:val="tx1"/>
            </w14:solidFill>
          </w14:textFill>
        </w:rPr>
        <w:t>。</w:t>
      </w:r>
    </w:p>
    <w:p w14:paraId="1C931E33">
      <w:pPr>
        <w:keepNext w:val="0"/>
        <w:keepLines w:val="0"/>
        <w:pageBreakBefore w:val="0"/>
        <w:widowControl w:val="0"/>
        <w:kinsoku/>
        <w:wordWrap/>
        <w:overflowPunct/>
        <w:topLinePunct w:val="0"/>
        <w:autoSpaceDE/>
        <w:autoSpaceDN/>
        <w:bidi w:val="0"/>
        <w:adjustRightInd/>
        <w:snapToGrid/>
        <w:spacing w:line="360" w:lineRule="auto"/>
        <w:ind w:firstLine="541" w:firstLineChars="245"/>
        <w:textAlignment w:val="auto"/>
        <w:outlineLvl w:val="1"/>
        <w:rPr>
          <w:rFonts w:hint="eastAsia" w:ascii="宋体" w:hAnsi="宋体" w:eastAsia="宋体" w:cs="宋体"/>
          <w:b/>
          <w:color w:val="000000" w:themeColor="text1"/>
          <w:sz w:val="22"/>
          <w14:textFill>
            <w14:solidFill>
              <w14:schemeClr w14:val="tx1"/>
            </w14:solidFill>
          </w14:textFill>
        </w:rPr>
      </w:pPr>
      <w:bookmarkStart w:id="125" w:name="_Toc25918883"/>
      <w:r>
        <w:rPr>
          <w:rFonts w:hint="eastAsia" w:ascii="宋体" w:hAnsi="宋体" w:eastAsia="宋体" w:cs="宋体"/>
          <w:b/>
          <w:color w:val="000000" w:themeColor="text1"/>
          <w:sz w:val="22"/>
          <w14:textFill>
            <w14:solidFill>
              <w14:schemeClr w14:val="tx1"/>
            </w14:solidFill>
          </w14:textFill>
        </w:rPr>
        <w:t>五、违约责任</w:t>
      </w:r>
      <w:bookmarkEnd w:id="125"/>
    </w:p>
    <w:p w14:paraId="0C088BCF">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除发生不可抗力外，违约责任按以下条款执行：</w:t>
      </w:r>
    </w:p>
    <w:p w14:paraId="4B73025A">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1</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bCs/>
          <w:color w:val="000000" w:themeColor="text1"/>
          <w:sz w:val="22"/>
          <w14:textFill>
            <w14:solidFill>
              <w14:schemeClr w14:val="tx1"/>
            </w14:solidFill>
          </w14:textFill>
        </w:rPr>
        <w:t>乙方正常履约，甲方未按合同约定存款，甲乙双方协商不成的，未划款部分甲方以当期存款合同中定期存款利率的两倍折成日利率，按日向乙方支付违约金；</w:t>
      </w:r>
    </w:p>
    <w:p w14:paraId="5C78C23F">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2</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bCs/>
          <w:color w:val="000000" w:themeColor="text1"/>
          <w:sz w:val="22"/>
          <w14:textFill>
            <w14:solidFill>
              <w14:schemeClr w14:val="tx1"/>
            </w14:solidFill>
          </w14:textFill>
        </w:rPr>
        <w:t>开户银行或资金存放银行出现以下情形，各单位应及时变更开户银行或提前收回定期存款，并取消其在以后各期竞争性存放的投标资格：</w:t>
      </w:r>
    </w:p>
    <w:p w14:paraId="4BAF8514">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（1）出现资金安全事故、重大违法违规行为或财务状况恶化的；</w:t>
      </w:r>
    </w:p>
    <w:p w14:paraId="184A1805">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（2）监管评级降低，监管部门认为存在较大运营风险的；</w:t>
      </w:r>
    </w:p>
    <w:p w14:paraId="60014B96">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（3）进行不正当投标的；</w:t>
      </w:r>
    </w:p>
    <w:p w14:paraId="532488B8">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（4）中标后弃标的；</w:t>
      </w:r>
    </w:p>
    <w:p w14:paraId="4E0A0770">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（5）没有按照中标协议承诺履行相应的责任和义务的；</w:t>
      </w:r>
    </w:p>
    <w:p w14:paraId="0DB43475">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（6）未按规定将到期存款本息足额缴入单位账户的；</w:t>
      </w:r>
    </w:p>
    <w:p w14:paraId="69F41855">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（7）存在其他可能影响公款竞存公平性或资金安全性的问题的</w:t>
      </w:r>
    </w:p>
    <w:p w14:paraId="52310C8B">
      <w:pPr>
        <w:keepNext w:val="0"/>
        <w:keepLines w:val="0"/>
        <w:pageBreakBefore w:val="0"/>
        <w:widowControl w:val="0"/>
        <w:kinsoku/>
        <w:wordWrap/>
        <w:overflowPunct/>
        <w:topLinePunct w:val="0"/>
        <w:autoSpaceDE/>
        <w:autoSpaceDN/>
        <w:bidi w:val="0"/>
        <w:adjustRightInd/>
        <w:snapToGrid/>
        <w:spacing w:line="360" w:lineRule="auto"/>
        <w:ind w:firstLine="541" w:firstLineChars="245"/>
        <w:textAlignment w:val="auto"/>
        <w:outlineLvl w:val="1"/>
        <w:rPr>
          <w:rFonts w:hint="eastAsia" w:ascii="宋体" w:hAnsi="宋体" w:eastAsia="宋体" w:cs="宋体"/>
          <w:b/>
          <w:color w:val="000000" w:themeColor="text1"/>
          <w:sz w:val="22"/>
          <w14:textFill>
            <w14:solidFill>
              <w14:schemeClr w14:val="tx1"/>
            </w14:solidFill>
          </w14:textFill>
        </w:rPr>
      </w:pPr>
      <w:bookmarkStart w:id="126" w:name="_Toc25918884"/>
      <w:r>
        <w:rPr>
          <w:rFonts w:hint="eastAsia" w:ascii="宋体" w:hAnsi="宋体" w:eastAsia="宋体" w:cs="宋体"/>
          <w:b/>
          <w:color w:val="000000" w:themeColor="text1"/>
          <w:sz w:val="22"/>
          <w14:textFill>
            <w14:solidFill>
              <w14:schemeClr w14:val="tx1"/>
            </w14:solidFill>
          </w14:textFill>
        </w:rPr>
        <w:t>六、提前支取</w:t>
      </w:r>
      <w:bookmarkEnd w:id="126"/>
    </w:p>
    <w:p w14:paraId="7B604F18">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sz w:val="22"/>
          <w:szCs w:val="22"/>
          <w14:textFill>
            <w14:solidFill>
              <w14:schemeClr w14:val="tx1"/>
            </w14:solidFill>
          </w14:textFill>
        </w:rPr>
        <w:t>1、</w:t>
      </w:r>
      <w:r>
        <w:rPr>
          <w:rFonts w:hint="eastAsia" w:ascii="宋体" w:hAnsi="宋体" w:eastAsia="宋体" w:cs="宋体"/>
          <w:b/>
          <w:bCs/>
          <w:color w:val="000000" w:themeColor="text1"/>
          <w:sz w:val="22"/>
          <w:szCs w:val="22"/>
          <w:u w:val="single"/>
          <w14:textFill>
            <w14:solidFill>
              <w14:schemeClr w14:val="tx1"/>
            </w14:solidFill>
          </w14:textFill>
        </w:rPr>
        <w:t xml:space="preserve">                                                                    </w:t>
      </w:r>
      <w:r>
        <w:rPr>
          <w:rFonts w:hint="eastAsia" w:ascii="宋体" w:hAnsi="宋体" w:eastAsia="宋体" w:cs="宋体"/>
          <w:b/>
          <w:bCs/>
          <w:color w:val="000000" w:themeColor="text1"/>
          <w:sz w:val="22"/>
          <w:szCs w:val="22"/>
          <w14:textFill>
            <w14:solidFill>
              <w14:schemeClr w14:val="tx1"/>
            </w14:solidFill>
          </w14:textFill>
        </w:rPr>
        <w:t>。</w:t>
      </w:r>
    </w:p>
    <w:p w14:paraId="2BDBD91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七、增值服务</w:t>
      </w:r>
    </w:p>
    <w:p w14:paraId="4114B605">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sz w:val="22"/>
          <w:szCs w:val="22"/>
          <w14:textFill>
            <w14:solidFill>
              <w14:schemeClr w14:val="tx1"/>
            </w14:solidFill>
          </w14:textFill>
        </w:rPr>
        <w:t>1、</w:t>
      </w:r>
      <w:r>
        <w:rPr>
          <w:rFonts w:hint="eastAsia" w:ascii="宋体" w:hAnsi="宋体" w:eastAsia="宋体" w:cs="宋体"/>
          <w:b/>
          <w:bCs/>
          <w:color w:val="000000" w:themeColor="text1"/>
          <w:sz w:val="22"/>
          <w:szCs w:val="22"/>
          <w:u w:val="single"/>
          <w14:textFill>
            <w14:solidFill>
              <w14:schemeClr w14:val="tx1"/>
            </w14:solidFill>
          </w14:textFill>
        </w:rPr>
        <w:t xml:space="preserve">                                                                    </w:t>
      </w:r>
      <w:r>
        <w:rPr>
          <w:rFonts w:hint="eastAsia" w:ascii="宋体" w:hAnsi="宋体" w:eastAsia="宋体" w:cs="宋体"/>
          <w:b/>
          <w:bCs/>
          <w:color w:val="000000" w:themeColor="text1"/>
          <w:sz w:val="22"/>
          <w:szCs w:val="22"/>
          <w14:textFill>
            <w14:solidFill>
              <w14:schemeClr w14:val="tx1"/>
            </w14:solidFill>
          </w14:textFill>
        </w:rPr>
        <w:t>。</w:t>
      </w:r>
    </w:p>
    <w:p w14:paraId="1FFB19DE">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八、争议及未尽事宜：</w:t>
      </w:r>
    </w:p>
    <w:p w14:paraId="366B6BD0">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1、有关本合同和签署本合同的争议应通过友好协商解决。如果协商不成，该争议应按照以下</w:t>
      </w:r>
      <w:r>
        <w:rPr>
          <w:rFonts w:hint="eastAsia" w:ascii="宋体" w:hAnsi="宋体" w:eastAsia="宋体" w:cs="宋体"/>
          <w:bCs/>
          <w:color w:val="000000" w:themeColor="text1"/>
          <w:sz w:val="22"/>
          <w:u w:val="single"/>
          <w14:textFill>
            <w14:solidFill>
              <w14:schemeClr w14:val="tx1"/>
            </w14:solidFill>
          </w14:textFill>
        </w:rPr>
        <w:t xml:space="preserve">    </w:t>
      </w:r>
      <w:r>
        <w:rPr>
          <w:rFonts w:hint="eastAsia" w:ascii="宋体" w:hAnsi="宋体" w:eastAsia="宋体" w:cs="宋体"/>
          <w:bCs/>
          <w:color w:val="000000" w:themeColor="text1"/>
          <w:sz w:val="22"/>
          <w14:textFill>
            <w14:solidFill>
              <w14:schemeClr w14:val="tx1"/>
            </w14:solidFill>
          </w14:textFill>
        </w:rPr>
        <w:t>方式解决：</w:t>
      </w:r>
    </w:p>
    <w:p w14:paraId="30E19BB4">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（一）提交温州仲裁委员会仲裁，仲裁结果具有终结效力，双方应严格遵守；</w:t>
      </w:r>
    </w:p>
    <w:p w14:paraId="0237409D">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（二）提交甲方注册地人民法院通过诉讼解决。</w:t>
      </w:r>
    </w:p>
    <w:p w14:paraId="192ED240">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2</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bCs/>
          <w:color w:val="000000" w:themeColor="text1"/>
          <w:sz w:val="22"/>
          <w14:textFill>
            <w14:solidFill>
              <w14:schemeClr w14:val="tx1"/>
            </w14:solidFill>
          </w14:textFill>
        </w:rPr>
        <w:t>本协议未尽事宜或与国家有关法律、法规相悖的，均按国家有关法律、规定执行。</w:t>
      </w:r>
    </w:p>
    <w:p w14:paraId="762040F3">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3</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bCs/>
          <w:color w:val="000000" w:themeColor="text1"/>
          <w:sz w:val="22"/>
          <w14:textFill>
            <w14:solidFill>
              <w14:schemeClr w14:val="tx1"/>
            </w14:solidFill>
          </w14:textFill>
        </w:rPr>
        <w:t>任何一方就对方针对本合同项下任何条款的违约行为的自动弃权或重复性弃权不应被视为是对下一次针对同一条款的违约行为、或针对其他条款的违约行为的弃权。</w:t>
      </w:r>
    </w:p>
    <w:p w14:paraId="0D0977F6">
      <w:pPr>
        <w:keepNext w:val="0"/>
        <w:keepLines w:val="0"/>
        <w:pageBreakBefore w:val="0"/>
        <w:widowControl w:val="0"/>
        <w:kinsoku/>
        <w:wordWrap/>
        <w:overflowPunct/>
        <w:topLinePunct w:val="0"/>
        <w:autoSpaceDE/>
        <w:autoSpaceDN/>
        <w:bidi w:val="0"/>
        <w:adjustRightInd/>
        <w:snapToGrid/>
        <w:spacing w:line="360" w:lineRule="auto"/>
        <w:ind w:firstLine="541" w:firstLineChars="245"/>
        <w:textAlignment w:val="auto"/>
        <w:outlineLvl w:val="1"/>
        <w:rPr>
          <w:rFonts w:hint="eastAsia" w:ascii="宋体" w:hAnsi="宋体" w:eastAsia="宋体" w:cs="宋体"/>
          <w:b/>
          <w:color w:val="000000" w:themeColor="text1"/>
          <w:sz w:val="22"/>
          <w14:textFill>
            <w14:solidFill>
              <w14:schemeClr w14:val="tx1"/>
            </w14:solidFill>
          </w14:textFill>
        </w:rPr>
      </w:pPr>
      <w:bookmarkStart w:id="127" w:name="_Toc25918885"/>
      <w:r>
        <w:rPr>
          <w:rFonts w:hint="eastAsia" w:ascii="宋体" w:hAnsi="宋体" w:eastAsia="宋体" w:cs="宋体"/>
          <w:b/>
          <w:color w:val="000000" w:themeColor="text1"/>
          <w:sz w:val="22"/>
          <w14:textFill>
            <w14:solidFill>
              <w14:schemeClr w14:val="tx1"/>
            </w14:solidFill>
          </w14:textFill>
        </w:rPr>
        <w:t>九、合同期限</w:t>
      </w:r>
      <w:bookmarkEnd w:id="127"/>
    </w:p>
    <w:p w14:paraId="45DEC14C">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本合同期限为</w:t>
      </w:r>
      <w:r>
        <w:rPr>
          <w:rFonts w:hint="eastAsia" w:ascii="宋体" w:hAnsi="宋体" w:eastAsia="宋体" w:cs="宋体"/>
          <w:bCs/>
          <w:color w:val="000000" w:themeColor="text1"/>
          <w:sz w:val="22"/>
          <w:u w:val="single"/>
          <w14:textFill>
            <w14:solidFill>
              <w14:schemeClr w14:val="tx1"/>
            </w14:solidFill>
          </w14:textFill>
        </w:rPr>
        <w:t xml:space="preserve">      </w:t>
      </w:r>
      <w:r>
        <w:rPr>
          <w:rFonts w:hint="eastAsia" w:ascii="宋体" w:hAnsi="宋体" w:eastAsia="宋体" w:cs="宋体"/>
          <w:bCs/>
          <w:color w:val="000000" w:themeColor="text1"/>
          <w:sz w:val="22"/>
          <w14:textFill>
            <w14:solidFill>
              <w14:schemeClr w14:val="tx1"/>
            </w14:solidFill>
          </w14:textFill>
        </w:rPr>
        <w:t>，自</w:t>
      </w:r>
      <w:r>
        <w:rPr>
          <w:rFonts w:hint="eastAsia" w:ascii="宋体" w:hAnsi="宋体" w:eastAsia="宋体" w:cs="宋体"/>
          <w:bCs/>
          <w:color w:val="000000" w:themeColor="text1"/>
          <w:sz w:val="22"/>
          <w:u w:val="single"/>
          <w14:textFill>
            <w14:solidFill>
              <w14:schemeClr w14:val="tx1"/>
            </w14:solidFill>
          </w14:textFill>
        </w:rPr>
        <w:t xml:space="preserve">    </w:t>
      </w:r>
      <w:r>
        <w:rPr>
          <w:rFonts w:hint="eastAsia" w:ascii="宋体" w:hAnsi="宋体" w:eastAsia="宋体" w:cs="宋体"/>
          <w:bCs/>
          <w:color w:val="000000" w:themeColor="text1"/>
          <w:sz w:val="22"/>
          <w14:textFill>
            <w14:solidFill>
              <w14:schemeClr w14:val="tx1"/>
            </w14:solidFill>
          </w14:textFill>
        </w:rPr>
        <w:t>年</w:t>
      </w:r>
      <w:r>
        <w:rPr>
          <w:rFonts w:hint="eastAsia" w:ascii="宋体" w:hAnsi="宋体" w:eastAsia="宋体" w:cs="宋体"/>
          <w:bCs/>
          <w:color w:val="000000" w:themeColor="text1"/>
          <w:sz w:val="22"/>
          <w:u w:val="single"/>
          <w14:textFill>
            <w14:solidFill>
              <w14:schemeClr w14:val="tx1"/>
            </w14:solidFill>
          </w14:textFill>
        </w:rPr>
        <w:t xml:space="preserve">    </w:t>
      </w:r>
      <w:r>
        <w:rPr>
          <w:rFonts w:hint="eastAsia" w:ascii="宋体" w:hAnsi="宋体" w:eastAsia="宋体" w:cs="宋体"/>
          <w:bCs/>
          <w:color w:val="000000" w:themeColor="text1"/>
          <w:sz w:val="22"/>
          <w14:textFill>
            <w14:solidFill>
              <w14:schemeClr w14:val="tx1"/>
            </w14:solidFill>
          </w14:textFill>
        </w:rPr>
        <w:t>月</w:t>
      </w:r>
      <w:r>
        <w:rPr>
          <w:rFonts w:hint="eastAsia" w:ascii="宋体" w:hAnsi="宋体" w:eastAsia="宋体" w:cs="宋体"/>
          <w:bCs/>
          <w:color w:val="000000" w:themeColor="text1"/>
          <w:sz w:val="22"/>
          <w:u w:val="single"/>
          <w14:textFill>
            <w14:solidFill>
              <w14:schemeClr w14:val="tx1"/>
            </w14:solidFill>
          </w14:textFill>
        </w:rPr>
        <w:t xml:space="preserve">    </w:t>
      </w:r>
      <w:r>
        <w:rPr>
          <w:rFonts w:hint="eastAsia" w:ascii="宋体" w:hAnsi="宋体" w:eastAsia="宋体" w:cs="宋体"/>
          <w:bCs/>
          <w:color w:val="000000" w:themeColor="text1"/>
          <w:sz w:val="22"/>
          <w14:textFill>
            <w14:solidFill>
              <w14:schemeClr w14:val="tx1"/>
            </w14:solidFill>
          </w14:textFill>
        </w:rPr>
        <w:t>日起至</w:t>
      </w:r>
      <w:r>
        <w:rPr>
          <w:rFonts w:hint="eastAsia" w:ascii="宋体" w:hAnsi="宋体" w:eastAsia="宋体" w:cs="宋体"/>
          <w:bCs/>
          <w:color w:val="000000" w:themeColor="text1"/>
          <w:sz w:val="22"/>
          <w:u w:val="single"/>
          <w14:textFill>
            <w14:solidFill>
              <w14:schemeClr w14:val="tx1"/>
            </w14:solidFill>
          </w14:textFill>
        </w:rPr>
        <w:t xml:space="preserve">    </w:t>
      </w:r>
      <w:r>
        <w:rPr>
          <w:rFonts w:hint="eastAsia" w:ascii="宋体" w:hAnsi="宋体" w:eastAsia="宋体" w:cs="宋体"/>
          <w:bCs/>
          <w:color w:val="000000" w:themeColor="text1"/>
          <w:sz w:val="22"/>
          <w14:textFill>
            <w14:solidFill>
              <w14:schemeClr w14:val="tx1"/>
            </w14:solidFill>
          </w14:textFill>
        </w:rPr>
        <w:t>年</w:t>
      </w:r>
      <w:r>
        <w:rPr>
          <w:rFonts w:hint="eastAsia" w:ascii="宋体" w:hAnsi="宋体" w:eastAsia="宋体" w:cs="宋体"/>
          <w:bCs/>
          <w:color w:val="000000" w:themeColor="text1"/>
          <w:sz w:val="22"/>
          <w:u w:val="single"/>
          <w14:textFill>
            <w14:solidFill>
              <w14:schemeClr w14:val="tx1"/>
            </w14:solidFill>
          </w14:textFill>
        </w:rPr>
        <w:t xml:space="preserve">    </w:t>
      </w:r>
      <w:r>
        <w:rPr>
          <w:rFonts w:hint="eastAsia" w:ascii="宋体" w:hAnsi="宋体" w:eastAsia="宋体" w:cs="宋体"/>
          <w:bCs/>
          <w:color w:val="000000" w:themeColor="text1"/>
          <w:sz w:val="22"/>
          <w14:textFill>
            <w14:solidFill>
              <w14:schemeClr w14:val="tx1"/>
            </w14:solidFill>
          </w14:textFill>
        </w:rPr>
        <w:t>月</w:t>
      </w:r>
      <w:r>
        <w:rPr>
          <w:rFonts w:hint="eastAsia" w:ascii="宋体" w:hAnsi="宋体" w:eastAsia="宋体" w:cs="宋体"/>
          <w:bCs/>
          <w:color w:val="000000" w:themeColor="text1"/>
          <w:sz w:val="22"/>
          <w:u w:val="single"/>
          <w14:textFill>
            <w14:solidFill>
              <w14:schemeClr w14:val="tx1"/>
            </w14:solidFill>
          </w14:textFill>
        </w:rPr>
        <w:t xml:space="preserve">    </w:t>
      </w:r>
      <w:r>
        <w:rPr>
          <w:rFonts w:hint="eastAsia" w:ascii="宋体" w:hAnsi="宋体" w:eastAsia="宋体" w:cs="宋体"/>
          <w:bCs/>
          <w:color w:val="000000" w:themeColor="text1"/>
          <w:sz w:val="22"/>
          <w14:textFill>
            <w14:solidFill>
              <w14:schemeClr w14:val="tx1"/>
            </w14:solidFill>
          </w14:textFill>
        </w:rPr>
        <w:t>日止</w:t>
      </w:r>
    </w:p>
    <w:p w14:paraId="2B26DAE5">
      <w:pPr>
        <w:keepNext w:val="0"/>
        <w:keepLines w:val="0"/>
        <w:pageBreakBefore w:val="0"/>
        <w:widowControl w:val="0"/>
        <w:kinsoku/>
        <w:wordWrap/>
        <w:overflowPunct/>
        <w:topLinePunct w:val="0"/>
        <w:autoSpaceDE/>
        <w:autoSpaceDN/>
        <w:bidi w:val="0"/>
        <w:adjustRightInd/>
        <w:snapToGrid/>
        <w:spacing w:line="360" w:lineRule="auto"/>
        <w:ind w:firstLine="541" w:firstLineChars="245"/>
        <w:textAlignment w:val="auto"/>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十、本合同一式五份，双方各执二份，一份送招标公司备案，具有同等法律效力。</w:t>
      </w:r>
    </w:p>
    <w:p w14:paraId="6B0B8FD2">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甲方：                                   乙方：</w:t>
      </w:r>
    </w:p>
    <w:p w14:paraId="5D2286E8">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法定（委托）代表人（签字）：              法定（委托）代表人（签字）：</w:t>
      </w:r>
    </w:p>
    <w:p w14:paraId="66074D89">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项目联系人：                              项目联系人：</w:t>
      </w:r>
    </w:p>
    <w:p w14:paraId="2D642FBA">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通信地址：                                通信地址：</w:t>
      </w:r>
    </w:p>
    <w:p w14:paraId="1B352D28">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电话：                                    电话：</w:t>
      </w:r>
    </w:p>
    <w:p w14:paraId="3FDDECC9">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传真：                                    传真：</w:t>
      </w:r>
    </w:p>
    <w:p w14:paraId="7DEDA203">
      <w:pPr>
        <w:keepNext w:val="0"/>
        <w:keepLines w:val="0"/>
        <w:pageBreakBefore w:val="0"/>
        <w:widowControl w:val="0"/>
        <w:kinsoku/>
        <w:wordWrap/>
        <w:overflowPunct/>
        <w:topLinePunct w:val="0"/>
        <w:autoSpaceDE/>
        <w:autoSpaceDN/>
        <w:bidi w:val="0"/>
        <w:adjustRightInd/>
        <w:snapToGrid/>
        <w:spacing w:line="360" w:lineRule="auto"/>
        <w:ind w:firstLine="539" w:firstLineChars="245"/>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签字日期：     年   月   日               签字日期：   年   月   日</w:t>
      </w:r>
    </w:p>
    <w:p w14:paraId="5F631126">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r>
        <w:rPr>
          <w:rFonts w:hint="eastAsia" w:ascii="宋体" w:hAnsi="宋体" w:eastAsia="宋体" w:cs="宋体"/>
          <w:color w:val="000000" w:themeColor="text1"/>
          <w:sz w:val="40"/>
          <w:szCs w:val="48"/>
          <w14:textFill>
            <w14:solidFill>
              <w14:schemeClr w14:val="tx1"/>
            </w14:solidFill>
          </w14:textFill>
        </w:rPr>
        <w:t>廉政承诺书</w:t>
      </w:r>
    </w:p>
    <w:p w14:paraId="1B3E0F28">
      <w:pPr>
        <w:rPr>
          <w:rFonts w:hint="eastAsia" w:ascii="宋体" w:hAnsi="宋体" w:eastAsia="宋体" w:cs="宋体"/>
          <w:color w:val="000000" w:themeColor="text1"/>
          <w:sz w:val="28"/>
          <w:szCs w:val="36"/>
          <w:u w:val="single"/>
          <w14:textFill>
            <w14:solidFill>
              <w14:schemeClr w14:val="tx1"/>
            </w14:solidFill>
          </w14:textFill>
        </w:rPr>
      </w:pPr>
    </w:p>
    <w:p w14:paraId="2541993C">
      <w:pPr>
        <w:rPr>
          <w:rFonts w:hint="eastAsia" w:ascii="宋体" w:hAnsi="宋体" w:eastAsia="宋体" w:cs="宋体"/>
          <w:color w:val="000000" w:themeColor="text1"/>
          <w:sz w:val="28"/>
          <w:szCs w:val="36"/>
          <w14:textFill>
            <w14:solidFill>
              <w14:schemeClr w14:val="tx1"/>
            </w14:solidFill>
          </w14:textFill>
        </w:rPr>
      </w:pPr>
      <w:r>
        <w:rPr>
          <w:rFonts w:hint="eastAsia" w:ascii="宋体" w:hAnsi="宋体" w:eastAsia="宋体" w:cs="宋体"/>
          <w:color w:val="000000" w:themeColor="text1"/>
          <w:sz w:val="28"/>
          <w:szCs w:val="36"/>
          <w:u w:val="single"/>
          <w14:textFill>
            <w14:solidFill>
              <w14:schemeClr w14:val="tx1"/>
            </w14:solidFill>
          </w14:textFill>
        </w:rPr>
        <w:t xml:space="preserve">                   </w:t>
      </w:r>
      <w:r>
        <w:rPr>
          <w:rFonts w:hint="eastAsia" w:ascii="宋体" w:hAnsi="宋体" w:eastAsia="宋体" w:cs="宋体"/>
          <w:color w:val="000000" w:themeColor="text1"/>
          <w:sz w:val="28"/>
          <w:szCs w:val="36"/>
          <w14:textFill>
            <w14:solidFill>
              <w14:schemeClr w14:val="tx1"/>
            </w14:solidFill>
          </w14:textFill>
        </w:rPr>
        <w:t>部门(单位):</w:t>
      </w:r>
    </w:p>
    <w:p w14:paraId="5133FBA2">
      <w:pPr>
        <w:ind w:firstLine="560" w:firstLineChars="200"/>
        <w:rPr>
          <w:rFonts w:hint="eastAsia" w:ascii="宋体" w:hAnsi="宋体" w:eastAsia="宋体" w:cs="宋体"/>
          <w:color w:val="000000" w:themeColor="text1"/>
          <w:sz w:val="28"/>
          <w:szCs w:val="36"/>
          <w14:textFill>
            <w14:solidFill>
              <w14:schemeClr w14:val="tx1"/>
            </w14:solidFill>
          </w14:textFill>
        </w:rPr>
      </w:pPr>
      <w:r>
        <w:rPr>
          <w:rFonts w:hint="eastAsia" w:ascii="宋体" w:hAnsi="宋体" w:eastAsia="宋体" w:cs="宋体"/>
          <w:color w:val="000000" w:themeColor="text1"/>
          <w:sz w:val="28"/>
          <w:szCs w:val="36"/>
          <w14:textFill>
            <w14:solidFill>
              <w14:schemeClr w14:val="tx1"/>
            </w14:solidFill>
          </w14:textFill>
        </w:rPr>
        <w:t>根据《财政部关于进一步加强财政部门和预算单位资金存放管理的指导意见》(财库[2017]76号)、《浙江省财政厅关于印发浙江省省级行政事业单位公款竞争性存放管理办法的通知》（浙财预执〔2021〕7号）</w:t>
      </w:r>
      <w:r>
        <w:rPr>
          <w:rFonts w:hint="eastAsia" w:ascii="宋体" w:hAnsi="宋体" w:eastAsia="宋体" w:cs="宋体"/>
          <w:color w:val="000000" w:themeColor="text1"/>
          <w:sz w:val="28"/>
          <w:szCs w:val="36"/>
          <w:lang w:eastAsia="zh-CN"/>
          <w14:textFill>
            <w14:solidFill>
              <w14:schemeClr w14:val="tx1"/>
            </w14:solidFill>
          </w14:textFill>
        </w:rPr>
        <w:t>、</w:t>
      </w:r>
      <w:r>
        <w:rPr>
          <w:rFonts w:hint="eastAsia" w:ascii="宋体" w:hAnsi="宋体" w:eastAsia="宋体" w:cs="宋体"/>
          <w:color w:val="000000" w:themeColor="text1"/>
          <w:sz w:val="28"/>
          <w:szCs w:val="36"/>
          <w14:textFill>
            <w14:solidFill>
              <w14:schemeClr w14:val="tx1"/>
            </w14:solidFill>
          </w14:textFill>
        </w:rPr>
        <w:t>《苍南县县级预算单位公款竞争性存放管理暂行办法》（苍政办〔2019〕7号）相关规定，现就本行参加贵单位</w:t>
      </w:r>
      <w:r>
        <w:rPr>
          <w:rFonts w:hint="eastAsia" w:ascii="宋体" w:hAnsi="宋体" w:eastAsia="宋体" w:cs="宋体"/>
          <w:color w:val="000000" w:themeColor="text1"/>
          <w:sz w:val="28"/>
          <w:szCs w:val="36"/>
          <w:u w:val="single"/>
          <w14:textFill>
            <w14:solidFill>
              <w14:schemeClr w14:val="tx1"/>
            </w14:solidFill>
          </w14:textFill>
        </w:rPr>
        <w:t xml:space="preserve">        </w:t>
      </w:r>
      <w:r>
        <w:rPr>
          <w:rFonts w:hint="eastAsia" w:ascii="宋体" w:hAnsi="宋体" w:eastAsia="宋体" w:cs="宋体"/>
          <w:color w:val="000000" w:themeColor="text1"/>
          <w:sz w:val="28"/>
          <w:szCs w:val="36"/>
          <w14:textFill>
            <w14:solidFill>
              <w14:schemeClr w14:val="tx1"/>
            </w14:solidFill>
          </w14:textFill>
        </w:rPr>
        <w:t>年第</w:t>
      </w:r>
      <w:r>
        <w:rPr>
          <w:rFonts w:hint="eastAsia" w:ascii="宋体" w:hAnsi="宋体" w:eastAsia="宋体" w:cs="宋体"/>
          <w:color w:val="000000" w:themeColor="text1"/>
          <w:sz w:val="28"/>
          <w:szCs w:val="36"/>
          <w:u w:val="single"/>
          <w14:textFill>
            <w14:solidFill>
              <w14:schemeClr w14:val="tx1"/>
            </w14:solidFill>
          </w14:textFill>
        </w:rPr>
        <w:t xml:space="preserve">     </w:t>
      </w:r>
      <w:r>
        <w:rPr>
          <w:rFonts w:hint="eastAsia" w:ascii="宋体" w:hAnsi="宋体" w:eastAsia="宋体" w:cs="宋体"/>
          <w:color w:val="000000" w:themeColor="text1"/>
          <w:sz w:val="28"/>
          <w:szCs w:val="36"/>
          <w14:textFill>
            <w14:solidFill>
              <w14:schemeClr w14:val="tx1"/>
            </w14:solidFill>
          </w14:textFill>
        </w:rPr>
        <w:t>期公款竞争性存放作出如下承诺：</w:t>
      </w:r>
    </w:p>
    <w:p w14:paraId="3925A3DA">
      <w:pPr>
        <w:numPr>
          <w:ilvl w:val="0"/>
          <w:numId w:val="8"/>
        </w:numPr>
        <w:rPr>
          <w:rFonts w:hint="eastAsia" w:ascii="宋体" w:hAnsi="宋体" w:eastAsia="宋体" w:cs="宋体"/>
          <w:color w:val="000000" w:themeColor="text1"/>
          <w:sz w:val="28"/>
          <w:szCs w:val="36"/>
          <w14:textFill>
            <w14:solidFill>
              <w14:schemeClr w14:val="tx1"/>
            </w14:solidFill>
          </w14:textFill>
        </w:rPr>
      </w:pPr>
      <w:r>
        <w:rPr>
          <w:rFonts w:hint="eastAsia" w:ascii="宋体" w:hAnsi="宋体" w:eastAsia="宋体" w:cs="宋体"/>
          <w:color w:val="000000" w:themeColor="text1"/>
          <w:sz w:val="28"/>
          <w:szCs w:val="36"/>
          <w14:textFill>
            <w14:solidFill>
              <w14:schemeClr w14:val="tx1"/>
            </w14:solidFill>
          </w14:textFill>
        </w:rPr>
        <w:t>不向贵单位负责公款存放管理的领导及相关人员进行利益输送；</w:t>
      </w:r>
    </w:p>
    <w:p w14:paraId="04B2177F">
      <w:pPr>
        <w:rPr>
          <w:rFonts w:hint="eastAsia" w:ascii="宋体" w:hAnsi="宋体" w:eastAsia="宋体" w:cs="宋体"/>
          <w:color w:val="000000" w:themeColor="text1"/>
          <w:sz w:val="28"/>
          <w:szCs w:val="36"/>
          <w14:textFill>
            <w14:solidFill>
              <w14:schemeClr w14:val="tx1"/>
            </w14:solidFill>
          </w14:textFill>
        </w:rPr>
      </w:pPr>
      <w:r>
        <w:rPr>
          <w:rFonts w:hint="eastAsia" w:ascii="宋体" w:hAnsi="宋体" w:eastAsia="宋体" w:cs="宋体"/>
          <w:color w:val="000000" w:themeColor="text1"/>
          <w:sz w:val="28"/>
          <w:szCs w:val="36"/>
          <w14:textFill>
            <w14:solidFill>
              <w14:schemeClr w14:val="tx1"/>
            </w14:solidFill>
          </w14:textFill>
        </w:rPr>
        <w:t>2、不将公款存放与贵单位负责公款存放管理的领导及相关人员在本行的配偶、子女及其配偶和其他直接利益相关人员的业绩、收入、晋升等利益挂钩；</w:t>
      </w:r>
    </w:p>
    <w:p w14:paraId="465EAC76">
      <w:pPr>
        <w:rPr>
          <w:rFonts w:hint="eastAsia" w:ascii="宋体" w:hAnsi="宋体" w:eastAsia="宋体" w:cs="宋体"/>
          <w:color w:val="000000" w:themeColor="text1"/>
          <w:sz w:val="28"/>
          <w:szCs w:val="36"/>
          <w14:textFill>
            <w14:solidFill>
              <w14:schemeClr w14:val="tx1"/>
            </w14:solidFill>
          </w14:textFill>
        </w:rPr>
      </w:pPr>
      <w:r>
        <w:rPr>
          <w:rFonts w:hint="eastAsia" w:ascii="宋体" w:hAnsi="宋体" w:eastAsia="宋体" w:cs="宋体"/>
          <w:color w:val="000000" w:themeColor="text1"/>
          <w:sz w:val="28"/>
          <w:szCs w:val="36"/>
          <w14:textFill>
            <w14:solidFill>
              <w14:schemeClr w14:val="tx1"/>
            </w14:solidFill>
          </w14:textFill>
        </w:rPr>
        <w:t>3、严格执行利益回避制度，贵单位负责公款竞争性存放相关人员的配偶、子女及其配偶和其他直接利益相关人员为本行工作人员的，不参与公款竞争性存放工作；</w:t>
      </w:r>
    </w:p>
    <w:p w14:paraId="73EB1694">
      <w:pPr>
        <w:rPr>
          <w:rFonts w:hint="eastAsia" w:ascii="宋体" w:hAnsi="宋体" w:eastAsia="宋体" w:cs="宋体"/>
          <w:color w:val="000000" w:themeColor="text1"/>
          <w:sz w:val="28"/>
          <w:szCs w:val="36"/>
          <w14:textFill>
            <w14:solidFill>
              <w14:schemeClr w14:val="tx1"/>
            </w14:solidFill>
          </w14:textFill>
        </w:rPr>
      </w:pPr>
      <w:r>
        <w:rPr>
          <w:rFonts w:hint="eastAsia" w:ascii="宋体" w:hAnsi="宋体" w:eastAsia="宋体" w:cs="宋体"/>
          <w:color w:val="000000" w:themeColor="text1"/>
          <w:sz w:val="28"/>
          <w:szCs w:val="36"/>
          <w14:textFill>
            <w14:solidFill>
              <w14:schemeClr w14:val="tx1"/>
            </w14:solidFill>
          </w14:textFill>
        </w:rPr>
        <w:t>4、不发生除，上述行为之外的其他任何利益输送行为。</w:t>
      </w:r>
    </w:p>
    <w:p w14:paraId="7C7FB916">
      <w:pPr>
        <w:ind w:firstLine="560" w:firstLineChars="200"/>
        <w:rPr>
          <w:rFonts w:hint="eastAsia" w:ascii="宋体" w:hAnsi="宋体" w:eastAsia="宋体" w:cs="宋体"/>
          <w:color w:val="000000" w:themeColor="text1"/>
          <w:sz w:val="28"/>
          <w:szCs w:val="36"/>
          <w14:textFill>
            <w14:solidFill>
              <w14:schemeClr w14:val="tx1"/>
            </w14:solidFill>
          </w14:textFill>
        </w:rPr>
      </w:pPr>
      <w:r>
        <w:rPr>
          <w:rFonts w:hint="eastAsia" w:ascii="宋体" w:hAnsi="宋体" w:eastAsia="宋体" w:cs="宋体"/>
          <w:color w:val="000000" w:themeColor="text1"/>
          <w:sz w:val="28"/>
          <w:szCs w:val="36"/>
          <w14:textFill>
            <w14:solidFill>
              <w14:schemeClr w14:val="tx1"/>
            </w14:solidFill>
          </w14:textFill>
        </w:rPr>
        <w:t>未遵守以上承诺的，本行自愿接受财政部门通报和处理，承担相应的一切后果。</w:t>
      </w:r>
    </w:p>
    <w:p w14:paraId="50E202CA">
      <w:pPr>
        <w:rPr>
          <w:rFonts w:hint="eastAsia" w:ascii="宋体" w:hAnsi="宋体" w:eastAsia="宋体" w:cs="宋体"/>
          <w:color w:val="000000" w:themeColor="text1"/>
          <w:sz w:val="28"/>
          <w:szCs w:val="36"/>
          <w14:textFill>
            <w14:solidFill>
              <w14:schemeClr w14:val="tx1"/>
            </w14:solidFill>
          </w14:textFill>
        </w:rPr>
      </w:pPr>
    </w:p>
    <w:p w14:paraId="4C1B7865">
      <w:pPr>
        <w:ind w:firstLine="5600" w:firstLineChars="2000"/>
        <w:rPr>
          <w:rFonts w:hint="eastAsia" w:ascii="宋体" w:hAnsi="宋体" w:eastAsia="宋体" w:cs="宋体"/>
          <w:color w:val="000000" w:themeColor="text1"/>
          <w:sz w:val="28"/>
          <w:szCs w:val="36"/>
          <w14:textFill>
            <w14:solidFill>
              <w14:schemeClr w14:val="tx1"/>
            </w14:solidFill>
          </w14:textFill>
        </w:rPr>
      </w:pPr>
      <w:r>
        <w:rPr>
          <w:rFonts w:hint="eastAsia" w:ascii="宋体" w:hAnsi="宋体" w:eastAsia="宋体" w:cs="宋体"/>
          <w:color w:val="000000" w:themeColor="text1"/>
          <w:sz w:val="28"/>
          <w:szCs w:val="36"/>
          <w:u w:val="single"/>
          <w14:textFill>
            <w14:solidFill>
              <w14:schemeClr w14:val="tx1"/>
            </w14:solidFill>
          </w14:textFill>
        </w:rPr>
        <w:t xml:space="preserve">          </w:t>
      </w:r>
      <w:r>
        <w:rPr>
          <w:rFonts w:hint="eastAsia" w:ascii="宋体" w:hAnsi="宋体" w:eastAsia="宋体" w:cs="宋体"/>
          <w:color w:val="000000" w:themeColor="text1"/>
          <w:sz w:val="28"/>
          <w:szCs w:val="36"/>
          <w14:textFill>
            <w14:solidFill>
              <w14:schemeClr w14:val="tx1"/>
            </w14:solidFill>
          </w14:textFill>
        </w:rPr>
        <w:t xml:space="preserve">银行（公章）  </w:t>
      </w:r>
    </w:p>
    <w:p w14:paraId="3C9C35B2">
      <w:pPr>
        <w:pStyle w:val="37"/>
        <w:keepNext w:val="0"/>
        <w:keepLines w:val="0"/>
        <w:pageBreakBefore w:val="0"/>
        <w:widowControl w:val="0"/>
        <w:kinsoku/>
        <w:wordWrap/>
        <w:overflowPunct/>
        <w:topLinePunct w:val="0"/>
        <w:autoSpaceDE/>
        <w:autoSpaceDN/>
        <w:bidi w:val="0"/>
        <w:adjustRightInd/>
        <w:snapToGrid/>
        <w:spacing w:before="0" w:after="0" w:line="360" w:lineRule="auto"/>
        <w:ind w:firstLine="5622" w:firstLineChars="2000"/>
        <w:jc w:val="both"/>
        <w:textAlignment w:val="auto"/>
        <w:rPr>
          <w:rFonts w:hint="eastAsia" w:ascii="宋体" w:hAnsi="宋体" w:eastAsia="宋体" w:cs="宋体"/>
          <w:color w:val="000000" w:themeColor="text1"/>
          <w:highlight w:val="none"/>
          <w14:textFill>
            <w14:solidFill>
              <w14:schemeClr w14:val="tx1"/>
            </w14:solidFill>
          </w14:textFill>
        </w:rPr>
        <w:sectPr>
          <w:footerReference r:id="rId6" w:type="default"/>
          <w:pgSz w:w="11906" w:h="16838"/>
          <w:pgMar w:top="1440" w:right="1418" w:bottom="1440" w:left="1559" w:header="851" w:footer="992" w:gutter="0"/>
          <w:pgNumType w:fmt="decimal" w:start="1"/>
          <w:cols w:space="720" w:num="1"/>
          <w:docGrid w:linePitch="312" w:charSpace="0"/>
        </w:sectPr>
      </w:pPr>
      <w:r>
        <w:rPr>
          <w:rFonts w:hint="eastAsia" w:ascii="宋体" w:hAnsi="宋体" w:eastAsia="宋体" w:cs="宋体"/>
          <w:color w:val="000000" w:themeColor="text1"/>
          <w:sz w:val="28"/>
          <w:szCs w:val="36"/>
          <w:u w:val="single"/>
          <w14:textFill>
            <w14:solidFill>
              <w14:schemeClr w14:val="tx1"/>
            </w14:solidFill>
          </w14:textFill>
        </w:rPr>
        <w:t xml:space="preserve">         </w:t>
      </w:r>
      <w:r>
        <w:rPr>
          <w:rFonts w:hint="eastAsia" w:ascii="宋体" w:hAnsi="宋体" w:eastAsia="宋体" w:cs="宋体"/>
          <w:color w:val="000000" w:themeColor="text1"/>
          <w:sz w:val="28"/>
          <w:szCs w:val="36"/>
          <w14:textFill>
            <w14:solidFill>
              <w14:schemeClr w14:val="tx1"/>
            </w14:solidFill>
          </w14:textFill>
        </w:rPr>
        <w:t>年</w:t>
      </w:r>
      <w:r>
        <w:rPr>
          <w:rFonts w:hint="eastAsia" w:ascii="宋体" w:hAnsi="宋体" w:eastAsia="宋体" w:cs="宋体"/>
          <w:color w:val="000000" w:themeColor="text1"/>
          <w:sz w:val="28"/>
          <w:szCs w:val="36"/>
          <w:u w:val="single"/>
          <w14:textFill>
            <w14:solidFill>
              <w14:schemeClr w14:val="tx1"/>
            </w14:solidFill>
          </w14:textFill>
        </w:rPr>
        <w:t xml:space="preserve">   </w:t>
      </w:r>
      <w:r>
        <w:rPr>
          <w:rFonts w:hint="eastAsia" w:ascii="宋体" w:hAnsi="宋体" w:eastAsia="宋体" w:cs="宋体"/>
          <w:color w:val="000000" w:themeColor="text1"/>
          <w:sz w:val="28"/>
          <w:szCs w:val="36"/>
          <w14:textFill>
            <w14:solidFill>
              <w14:schemeClr w14:val="tx1"/>
            </w14:solidFill>
          </w14:textFill>
        </w:rPr>
        <w:t>月</w:t>
      </w:r>
      <w:r>
        <w:rPr>
          <w:rFonts w:hint="eastAsia" w:ascii="宋体" w:hAnsi="宋体" w:eastAsia="宋体" w:cs="宋体"/>
          <w:color w:val="000000" w:themeColor="text1"/>
          <w:sz w:val="28"/>
          <w:szCs w:val="36"/>
          <w:u w:val="single"/>
          <w14:textFill>
            <w14:solidFill>
              <w14:schemeClr w14:val="tx1"/>
            </w14:solidFill>
          </w14:textFill>
        </w:rPr>
        <w:t xml:space="preserve">   </w:t>
      </w:r>
      <w:r>
        <w:rPr>
          <w:rFonts w:hint="eastAsia" w:ascii="宋体" w:hAnsi="宋体" w:eastAsia="宋体" w:cs="宋体"/>
          <w:color w:val="000000" w:themeColor="text1"/>
          <w:sz w:val="28"/>
          <w:szCs w:val="36"/>
          <w14:textFill>
            <w14:solidFill>
              <w14:schemeClr w14:val="tx1"/>
            </w14:solidFill>
          </w14:textFill>
        </w:rPr>
        <w:t>日</w:t>
      </w:r>
    </w:p>
    <w:p w14:paraId="7A652F6E">
      <w:pPr>
        <w:pStyle w:val="37"/>
        <w:spacing w:before="625" w:beforeLines="200" w:after="0" w:line="360" w:lineRule="auto"/>
        <w:jc w:val="center"/>
        <w:rPr>
          <w:rFonts w:hint="eastAsia" w:ascii="宋体" w:hAnsi="宋体" w:eastAsia="宋体" w:cs="宋体"/>
          <w:color w:val="000000" w:themeColor="text1"/>
          <w:highlight w:val="none"/>
          <w14:textFill>
            <w14:solidFill>
              <w14:schemeClr w14:val="tx1"/>
            </w14:solidFill>
          </w14:textFill>
        </w:rPr>
      </w:pPr>
      <w:bookmarkStart w:id="128" w:name="_Toc10968"/>
      <w:bookmarkStart w:id="129" w:name="_Toc30912"/>
      <w:r>
        <w:rPr>
          <w:rFonts w:hint="eastAsia" w:ascii="宋体" w:hAnsi="宋体" w:eastAsia="宋体" w:cs="宋体"/>
          <w:color w:val="000000" w:themeColor="text1"/>
          <w:highlight w:val="none"/>
          <w14:textFill>
            <w14:solidFill>
              <w14:schemeClr w14:val="tx1"/>
            </w14:solidFill>
          </w14:textFill>
        </w:rPr>
        <w:t>第六章 投标文件格式</w:t>
      </w:r>
      <w:bookmarkEnd w:id="114"/>
      <w:bookmarkEnd w:id="115"/>
      <w:bookmarkEnd w:id="116"/>
      <w:bookmarkEnd w:id="117"/>
      <w:bookmarkEnd w:id="118"/>
      <w:bookmarkEnd w:id="119"/>
      <w:bookmarkEnd w:id="120"/>
      <w:bookmarkEnd w:id="128"/>
      <w:bookmarkEnd w:id="129"/>
    </w:p>
    <w:p w14:paraId="2CBD0C6E">
      <w:pPr>
        <w:rPr>
          <w:rFonts w:hint="eastAsia" w:ascii="宋体" w:hAnsi="宋体" w:eastAsia="宋体" w:cs="宋体"/>
          <w:b/>
          <w:color w:val="000000" w:themeColor="text1"/>
          <w:sz w:val="22"/>
          <w:szCs w:val="22"/>
          <w:highlight w:val="none"/>
          <w:u w:val="single"/>
          <w14:textFill>
            <w14:solidFill>
              <w14:schemeClr w14:val="tx1"/>
            </w14:solidFill>
          </w14:textFill>
        </w:rPr>
      </w:pPr>
    </w:p>
    <w:p w14:paraId="02AC3287">
      <w:pPr>
        <w:rPr>
          <w:rFonts w:hint="eastAsia" w:ascii="宋体" w:hAnsi="宋体" w:eastAsia="宋体" w:cs="宋体"/>
          <w:b/>
          <w:color w:val="000000" w:themeColor="text1"/>
          <w:sz w:val="22"/>
          <w:szCs w:val="22"/>
          <w:highlight w:val="none"/>
          <w:u w:val="singl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重要提示：</w:t>
      </w:r>
    </w:p>
    <w:p w14:paraId="69394A60">
      <w:pPr>
        <w:ind w:firstLine="424" w:firstLineChars="192"/>
        <w:rPr>
          <w:rFonts w:hint="eastAsia" w:ascii="宋体" w:hAnsi="宋体" w:eastAsia="宋体" w:cs="宋体"/>
          <w:b/>
          <w:color w:val="000000" w:themeColor="text1"/>
          <w:sz w:val="22"/>
          <w:szCs w:val="22"/>
          <w:highlight w:val="none"/>
          <w:u w:val="singl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①</w:t>
      </w:r>
      <w:r>
        <w:rPr>
          <w:rFonts w:hint="eastAsia" w:ascii="宋体" w:hAnsi="宋体" w:eastAsia="宋体" w:cs="宋体"/>
          <w:b/>
          <w:color w:val="000000" w:themeColor="text1"/>
          <w:sz w:val="22"/>
          <w:szCs w:val="22"/>
          <w:highlight w:val="none"/>
          <w:u w:val="single"/>
          <w14:textFill>
            <w14:solidFill>
              <w14:schemeClr w14:val="tx1"/>
            </w14:solidFill>
          </w14:textFill>
        </w:rPr>
        <w:t>《招标文件》提供格式的，投标银行应参照格式制作，在指定位置加盖投标银行公章并由</w:t>
      </w:r>
      <w:r>
        <w:rPr>
          <w:rFonts w:hint="eastAsia" w:ascii="宋体" w:hAnsi="宋体" w:eastAsia="宋体" w:cs="宋体"/>
          <w:b/>
          <w:color w:val="000000" w:themeColor="text1"/>
          <w:sz w:val="22"/>
          <w:szCs w:val="22"/>
          <w:highlight w:val="none"/>
          <w:u w:val="single"/>
          <w:lang w:eastAsia="zh-CN"/>
          <w14:textFill>
            <w14:solidFill>
              <w14:schemeClr w14:val="tx1"/>
            </w14:solidFill>
          </w14:textFill>
        </w:rPr>
        <w:t>法定代表人</w:t>
      </w:r>
      <w:r>
        <w:rPr>
          <w:rFonts w:hint="eastAsia" w:ascii="宋体" w:hAnsi="宋体" w:eastAsia="宋体" w:cs="宋体"/>
          <w:b/>
          <w:color w:val="000000" w:themeColor="text1"/>
          <w:sz w:val="22"/>
          <w:szCs w:val="22"/>
          <w:highlight w:val="none"/>
          <w:u w:val="single"/>
          <w14:textFill>
            <w14:solidFill>
              <w14:schemeClr w14:val="tx1"/>
            </w14:solidFill>
          </w14:textFill>
        </w:rPr>
        <w:t>或其授权代表签署（签字或盖章）</w:t>
      </w:r>
      <w:r>
        <w:rPr>
          <w:rFonts w:hint="eastAsia" w:ascii="宋体" w:hAnsi="宋体" w:eastAsia="宋体" w:cs="宋体"/>
          <w:b/>
          <w:color w:val="000000" w:themeColor="text1"/>
          <w:sz w:val="22"/>
          <w:szCs w:val="22"/>
          <w:highlight w:val="none"/>
          <w14:textFill>
            <w14:solidFill>
              <w14:schemeClr w14:val="tx1"/>
            </w14:solidFill>
          </w14:textFill>
        </w:rPr>
        <w:t>；</w:t>
      </w:r>
    </w:p>
    <w:p w14:paraId="5C24F8E3">
      <w:pPr>
        <w:ind w:firstLine="424" w:firstLineChars="192"/>
        <w:rPr>
          <w:rFonts w:hint="eastAsia" w:ascii="宋体" w:hAnsi="宋体" w:eastAsia="宋体" w:cs="宋体"/>
          <w:b/>
          <w:color w:val="000000" w:themeColor="text1"/>
          <w:sz w:val="22"/>
          <w:szCs w:val="22"/>
          <w:highlight w:val="none"/>
          <w:u w:val="singl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②</w:t>
      </w:r>
      <w:r>
        <w:rPr>
          <w:rFonts w:hint="eastAsia" w:ascii="宋体" w:hAnsi="宋体" w:eastAsia="宋体" w:cs="宋体"/>
          <w:b/>
          <w:color w:val="000000" w:themeColor="text1"/>
          <w:sz w:val="22"/>
          <w:szCs w:val="22"/>
          <w:highlight w:val="none"/>
          <w:u w:val="single"/>
          <w14:textFill>
            <w14:solidFill>
              <w14:schemeClr w14:val="tx1"/>
            </w14:solidFill>
          </w14:textFill>
        </w:rPr>
        <w:t>《招标文件》未提供格式的，请各投标单位自行拟定格式，加盖公章并由</w:t>
      </w:r>
      <w:r>
        <w:rPr>
          <w:rFonts w:hint="eastAsia" w:ascii="宋体" w:hAnsi="宋体" w:eastAsia="宋体" w:cs="宋体"/>
          <w:b/>
          <w:color w:val="000000" w:themeColor="text1"/>
          <w:sz w:val="22"/>
          <w:szCs w:val="22"/>
          <w:highlight w:val="none"/>
          <w:u w:val="single"/>
          <w:lang w:eastAsia="zh-CN"/>
          <w14:textFill>
            <w14:solidFill>
              <w14:schemeClr w14:val="tx1"/>
            </w14:solidFill>
          </w14:textFill>
        </w:rPr>
        <w:t>法定代表人</w:t>
      </w:r>
      <w:r>
        <w:rPr>
          <w:rFonts w:hint="eastAsia" w:ascii="宋体" w:hAnsi="宋体" w:eastAsia="宋体" w:cs="宋体"/>
          <w:b/>
          <w:color w:val="000000" w:themeColor="text1"/>
          <w:sz w:val="22"/>
          <w:szCs w:val="22"/>
          <w:highlight w:val="none"/>
          <w:u w:val="single"/>
          <w14:textFill>
            <w14:solidFill>
              <w14:schemeClr w14:val="tx1"/>
            </w14:solidFill>
          </w14:textFill>
        </w:rPr>
        <w:t>或其授权代表签署（签字或盖章）</w:t>
      </w:r>
      <w:r>
        <w:rPr>
          <w:rFonts w:hint="eastAsia" w:ascii="宋体" w:hAnsi="宋体" w:eastAsia="宋体" w:cs="宋体"/>
          <w:b/>
          <w:color w:val="000000" w:themeColor="text1"/>
          <w:sz w:val="22"/>
          <w:szCs w:val="22"/>
          <w:highlight w:val="none"/>
          <w14:textFill>
            <w14:solidFill>
              <w14:schemeClr w14:val="tx1"/>
            </w14:solidFill>
          </w14:textFill>
        </w:rPr>
        <w:t>；</w:t>
      </w:r>
    </w:p>
    <w:p w14:paraId="4F0465B8">
      <w:pPr>
        <w:ind w:firstLine="424" w:firstLineChars="192"/>
        <w:rPr>
          <w:rFonts w:hint="eastAsia" w:ascii="宋体" w:hAnsi="宋体" w:eastAsia="宋体" w:cs="宋体"/>
          <w:b/>
          <w:color w:val="000000" w:themeColor="text1"/>
          <w:sz w:val="22"/>
          <w:szCs w:val="22"/>
          <w:highlight w:val="none"/>
          <w:u w:val="singl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③</w:t>
      </w:r>
      <w:r>
        <w:rPr>
          <w:rFonts w:hint="eastAsia" w:ascii="宋体" w:hAnsi="宋体" w:eastAsia="宋体" w:cs="宋体"/>
          <w:b/>
          <w:color w:val="000000" w:themeColor="text1"/>
          <w:sz w:val="22"/>
          <w:szCs w:val="22"/>
          <w:highlight w:val="none"/>
          <w:u w:val="single"/>
          <w14:textFill>
            <w14:solidFill>
              <w14:schemeClr w14:val="tx1"/>
            </w14:solidFill>
          </w14:textFill>
        </w:rPr>
        <w:t>投标银行资格、业绩、许可证书等其他要求提供复印件的证明材料应加盖投标银行公章，否则视为未提供</w:t>
      </w:r>
      <w:r>
        <w:rPr>
          <w:rFonts w:hint="eastAsia" w:ascii="宋体" w:hAnsi="宋体" w:eastAsia="宋体" w:cs="宋体"/>
          <w:b/>
          <w:color w:val="000000" w:themeColor="text1"/>
          <w:sz w:val="22"/>
          <w:szCs w:val="22"/>
          <w:highlight w:val="none"/>
          <w14:textFill>
            <w14:solidFill>
              <w14:schemeClr w14:val="tx1"/>
            </w14:solidFill>
          </w14:textFill>
        </w:rPr>
        <w:t>。</w:t>
      </w:r>
    </w:p>
    <w:p w14:paraId="60E434DE">
      <w:pPr>
        <w:ind w:firstLine="424" w:firstLineChars="192"/>
        <w:rPr>
          <w:rFonts w:hint="eastAsia" w:ascii="宋体" w:hAnsi="宋体" w:eastAsia="宋体" w:cs="宋体"/>
          <w:b/>
          <w:color w:val="000000" w:themeColor="text1"/>
          <w:sz w:val="22"/>
          <w:szCs w:val="22"/>
          <w:highlight w:val="none"/>
          <w:u w:val="single"/>
          <w14:textFill>
            <w14:solidFill>
              <w14:schemeClr w14:val="tx1"/>
            </w14:solidFill>
          </w14:textFill>
        </w:rPr>
      </w:pPr>
    </w:p>
    <w:p w14:paraId="6AB045BC">
      <w:pPr>
        <w:ind w:firstLine="424" w:firstLineChars="192"/>
        <w:rPr>
          <w:rFonts w:hint="eastAsia" w:ascii="宋体" w:hAnsi="宋体" w:eastAsia="宋体" w:cs="宋体"/>
          <w:b/>
          <w:color w:val="000000" w:themeColor="text1"/>
          <w:sz w:val="22"/>
          <w:szCs w:val="22"/>
          <w:highlight w:val="none"/>
          <w:u w:val="single"/>
          <w14:textFill>
            <w14:solidFill>
              <w14:schemeClr w14:val="tx1"/>
            </w14:solidFill>
          </w14:textFill>
        </w:rPr>
      </w:pPr>
    </w:p>
    <w:p w14:paraId="24447449">
      <w:pPr>
        <w:pStyle w:val="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br w:type="page"/>
      </w:r>
      <w:bookmarkStart w:id="130" w:name="_Toc21498"/>
      <w:bookmarkStart w:id="131" w:name="_Toc3458"/>
      <w:bookmarkStart w:id="132" w:name="_Toc452032127"/>
      <w:bookmarkStart w:id="133" w:name="_Toc31789"/>
      <w:r>
        <w:rPr>
          <w:rFonts w:hint="eastAsia" w:ascii="宋体" w:hAnsi="宋体" w:eastAsia="宋体" w:cs="宋体"/>
          <w:color w:val="000000" w:themeColor="text1"/>
          <w:highlight w:val="none"/>
          <w14:textFill>
            <w14:solidFill>
              <w14:schemeClr w14:val="tx1"/>
            </w14:solidFill>
          </w14:textFill>
        </w:rPr>
        <w:t>格式1、“</w:t>
      </w:r>
      <w:r>
        <w:rPr>
          <w:rFonts w:hint="eastAsia" w:ascii="宋体" w:hAnsi="宋体" w:eastAsia="宋体" w:cs="宋体"/>
          <w:color w:val="000000" w:themeColor="text1"/>
          <w:highlight w:val="none"/>
          <w:lang w:eastAsia="zh-CN"/>
          <w14:textFill>
            <w14:solidFill>
              <w14:schemeClr w14:val="tx1"/>
            </w14:solidFill>
          </w14:textFill>
        </w:rPr>
        <w:t>投标</w:t>
      </w:r>
      <w:r>
        <w:rPr>
          <w:rFonts w:hint="eastAsia" w:ascii="宋体" w:hAnsi="宋体" w:eastAsia="宋体" w:cs="宋体"/>
          <w:color w:val="000000" w:themeColor="text1"/>
          <w:highlight w:val="none"/>
          <w14:textFill>
            <w14:solidFill>
              <w14:schemeClr w14:val="tx1"/>
            </w14:solidFill>
          </w14:textFill>
        </w:rPr>
        <w:t>文件”封面</w:t>
      </w:r>
      <w:bookmarkEnd w:id="130"/>
      <w:bookmarkEnd w:id="131"/>
      <w:bookmarkEnd w:id="132"/>
      <w:bookmarkEnd w:id="133"/>
    </w:p>
    <w:p w14:paraId="57DF5857">
      <w:pPr>
        <w:jc w:val="right"/>
        <w:rPr>
          <w:rFonts w:hint="eastAsia" w:ascii="宋体" w:hAnsi="宋体" w:eastAsia="宋体" w:cs="宋体"/>
          <w:b/>
          <w:color w:val="000000" w:themeColor="text1"/>
          <w:sz w:val="32"/>
          <w:szCs w:val="22"/>
          <w:highlight w:val="none"/>
          <w14:textFill>
            <w14:solidFill>
              <w14:schemeClr w14:val="tx1"/>
            </w14:solidFill>
          </w14:textFill>
        </w:rPr>
      </w:pPr>
    </w:p>
    <w:p w14:paraId="03BDB59F">
      <w:pPr>
        <w:spacing w:line="276" w:lineRule="auto"/>
        <w:jc w:val="center"/>
        <w:rPr>
          <w:rFonts w:hint="eastAsia" w:ascii="宋体" w:hAnsi="宋体" w:eastAsia="宋体" w:cs="宋体"/>
          <w:b/>
          <w:color w:val="000000" w:themeColor="text1"/>
          <w:w w:val="90"/>
          <w:sz w:val="160"/>
          <w:szCs w:val="22"/>
          <w:highlight w:val="none"/>
          <w14:textFill>
            <w14:solidFill>
              <w14:schemeClr w14:val="tx1"/>
            </w14:solidFill>
          </w14:textFill>
        </w:rPr>
      </w:pPr>
      <w:r>
        <w:rPr>
          <w:rFonts w:hint="eastAsia" w:ascii="宋体" w:hAnsi="宋体" w:eastAsia="宋体" w:cs="宋体"/>
          <w:b/>
          <w:color w:val="000000" w:themeColor="text1"/>
          <w:w w:val="90"/>
          <w:sz w:val="56"/>
          <w:szCs w:val="22"/>
          <w:highlight w:val="none"/>
          <w:lang w:eastAsia="zh-CN"/>
          <w14:textFill>
            <w14:solidFill>
              <w14:schemeClr w14:val="tx1"/>
            </w14:solidFill>
          </w14:textFill>
        </w:rPr>
        <w:t>2025年度苍南县测绘院公款竞争性存放项目</w:t>
      </w:r>
    </w:p>
    <w:p w14:paraId="2754757B">
      <w:pPr>
        <w:jc w:val="center"/>
        <w:rPr>
          <w:rFonts w:hint="eastAsia" w:ascii="宋体" w:hAnsi="宋体" w:eastAsia="宋体" w:cs="宋体"/>
          <w:b/>
          <w:color w:val="000000" w:themeColor="text1"/>
          <w:sz w:val="52"/>
          <w:szCs w:val="22"/>
          <w:highlight w:val="none"/>
          <w14:textFill>
            <w14:solidFill>
              <w14:schemeClr w14:val="tx1"/>
            </w14:solidFill>
          </w14:textFill>
        </w:rPr>
      </w:pPr>
    </w:p>
    <w:p w14:paraId="1968EBE6">
      <w:pPr>
        <w:spacing w:line="276" w:lineRule="auto"/>
        <w:jc w:val="center"/>
        <w:rPr>
          <w:rFonts w:hint="eastAsia" w:ascii="宋体" w:hAnsi="宋体" w:eastAsia="宋体" w:cs="宋体"/>
          <w:color w:val="000000" w:themeColor="text1"/>
          <w:sz w:val="96"/>
          <w:szCs w:val="22"/>
          <w:highlight w:val="none"/>
          <w14:textFill>
            <w14:solidFill>
              <w14:schemeClr w14:val="tx1"/>
            </w14:solidFill>
          </w14:textFill>
        </w:rPr>
      </w:pPr>
      <w:r>
        <w:rPr>
          <w:rFonts w:hint="eastAsia" w:ascii="宋体" w:hAnsi="宋体" w:eastAsia="宋体" w:cs="宋体"/>
          <w:color w:val="000000" w:themeColor="text1"/>
          <w:sz w:val="96"/>
          <w:szCs w:val="22"/>
          <w:highlight w:val="none"/>
          <w14:textFill>
            <w14:solidFill>
              <w14:schemeClr w14:val="tx1"/>
            </w14:solidFill>
          </w14:textFill>
        </w:rPr>
        <w:t>投 标 文 件</w:t>
      </w:r>
    </w:p>
    <w:tbl>
      <w:tblPr>
        <w:tblStyle w:val="39"/>
        <w:tblpPr w:leftFromText="180" w:rightFromText="180" w:vertAnchor="text" w:horzAnchor="margin" w:tblpXSpec="center" w:tblpY="643"/>
        <w:tblW w:w="0" w:type="auto"/>
        <w:tblInd w:w="0" w:type="dxa"/>
        <w:tblLayout w:type="fixed"/>
        <w:tblCellMar>
          <w:top w:w="0" w:type="dxa"/>
          <w:left w:w="108" w:type="dxa"/>
          <w:bottom w:w="0" w:type="dxa"/>
          <w:right w:w="108" w:type="dxa"/>
        </w:tblCellMar>
      </w:tblPr>
      <w:tblGrid>
        <w:gridCol w:w="7797"/>
      </w:tblGrid>
      <w:tr w14:paraId="6896EEC1">
        <w:tblPrEx>
          <w:tblCellMar>
            <w:top w:w="0" w:type="dxa"/>
            <w:left w:w="108" w:type="dxa"/>
            <w:bottom w:w="0" w:type="dxa"/>
            <w:right w:w="108" w:type="dxa"/>
          </w:tblCellMar>
        </w:tblPrEx>
        <w:trPr>
          <w:trHeight w:val="680" w:hRule="atLeast"/>
        </w:trPr>
        <w:tc>
          <w:tcPr>
            <w:tcW w:w="7797" w:type="dxa"/>
            <w:noWrap w:val="0"/>
            <w:vAlign w:val="center"/>
          </w:tcPr>
          <w:p w14:paraId="54CC9137">
            <w:pP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项目编号：</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苍产告字[2025]13号</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tc>
      </w:tr>
      <w:tr w14:paraId="412E5DA1">
        <w:tblPrEx>
          <w:tblCellMar>
            <w:top w:w="0" w:type="dxa"/>
            <w:left w:w="108" w:type="dxa"/>
            <w:bottom w:w="0" w:type="dxa"/>
            <w:right w:w="108" w:type="dxa"/>
          </w:tblCellMar>
        </w:tblPrEx>
        <w:trPr>
          <w:trHeight w:val="680" w:hRule="atLeast"/>
        </w:trPr>
        <w:tc>
          <w:tcPr>
            <w:tcW w:w="7797" w:type="dxa"/>
            <w:noWrap w:val="0"/>
            <w:vAlign w:val="center"/>
          </w:tcPr>
          <w:p w14:paraId="62269EC1">
            <w:pP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投标银行名称（盖章）：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tc>
      </w:tr>
      <w:tr w14:paraId="05BF1667">
        <w:tblPrEx>
          <w:tblCellMar>
            <w:top w:w="0" w:type="dxa"/>
            <w:left w:w="108" w:type="dxa"/>
            <w:bottom w:w="0" w:type="dxa"/>
            <w:right w:w="108" w:type="dxa"/>
          </w:tblCellMar>
        </w:tblPrEx>
        <w:trPr>
          <w:trHeight w:val="680" w:hRule="atLeast"/>
        </w:trPr>
        <w:tc>
          <w:tcPr>
            <w:tcW w:w="7797" w:type="dxa"/>
            <w:noWrap w:val="0"/>
            <w:vAlign w:val="center"/>
          </w:tcPr>
          <w:p w14:paraId="6483C9CA">
            <w:pP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地址：</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tc>
      </w:tr>
      <w:tr w14:paraId="5A7A1E34">
        <w:tblPrEx>
          <w:tblCellMar>
            <w:top w:w="0" w:type="dxa"/>
            <w:left w:w="108" w:type="dxa"/>
            <w:bottom w:w="0" w:type="dxa"/>
            <w:right w:w="108" w:type="dxa"/>
          </w:tblCellMar>
        </w:tblPrEx>
        <w:trPr>
          <w:trHeight w:val="680" w:hRule="atLeast"/>
        </w:trPr>
        <w:tc>
          <w:tcPr>
            <w:tcW w:w="7797" w:type="dxa"/>
            <w:noWrap w:val="0"/>
            <w:vAlign w:val="center"/>
          </w:tcPr>
          <w:p w14:paraId="206402D0">
            <w:pP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联系人：</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tc>
      </w:tr>
      <w:tr w14:paraId="27623EF0">
        <w:tblPrEx>
          <w:tblCellMar>
            <w:top w:w="0" w:type="dxa"/>
            <w:left w:w="108" w:type="dxa"/>
            <w:bottom w:w="0" w:type="dxa"/>
            <w:right w:w="108" w:type="dxa"/>
          </w:tblCellMar>
        </w:tblPrEx>
        <w:trPr>
          <w:trHeight w:val="680" w:hRule="atLeast"/>
        </w:trPr>
        <w:tc>
          <w:tcPr>
            <w:tcW w:w="7797" w:type="dxa"/>
            <w:noWrap w:val="0"/>
            <w:vAlign w:val="center"/>
          </w:tcPr>
          <w:p w14:paraId="35D52D43">
            <w:pP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日期：</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tc>
      </w:tr>
      <w:tr w14:paraId="76CDB527">
        <w:tblPrEx>
          <w:tblCellMar>
            <w:top w:w="0" w:type="dxa"/>
            <w:left w:w="108" w:type="dxa"/>
            <w:bottom w:w="0" w:type="dxa"/>
            <w:right w:w="108" w:type="dxa"/>
          </w:tblCellMar>
        </w:tblPrEx>
        <w:trPr>
          <w:trHeight w:val="335" w:hRule="atLeast"/>
        </w:trPr>
        <w:tc>
          <w:tcPr>
            <w:tcW w:w="7797" w:type="dxa"/>
            <w:noWrap w:val="0"/>
            <w:vAlign w:val="center"/>
          </w:tcPr>
          <w:p w14:paraId="72001CE1">
            <w:pPr>
              <w:rPr>
                <w:rFonts w:hint="eastAsia" w:ascii="宋体" w:hAnsi="宋体" w:eastAsia="宋体" w:cs="宋体"/>
                <w:color w:val="000000" w:themeColor="text1"/>
                <w:sz w:val="28"/>
                <w:szCs w:val="28"/>
                <w:highlight w:val="none"/>
                <w14:textFill>
                  <w14:solidFill>
                    <w14:schemeClr w14:val="tx1"/>
                  </w14:solidFill>
                </w14:textFill>
              </w:rPr>
            </w:pPr>
          </w:p>
        </w:tc>
      </w:tr>
      <w:tr w14:paraId="4408866E">
        <w:trPr>
          <w:trHeight w:val="680" w:hRule="atLeast"/>
        </w:trPr>
        <w:tc>
          <w:tcPr>
            <w:tcW w:w="7797" w:type="dxa"/>
            <w:noWrap w:val="0"/>
            <w:vAlign w:val="center"/>
          </w:tcPr>
          <w:p w14:paraId="1A5F8535">
            <w:pPr>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开标前不得启封</w:t>
            </w:r>
          </w:p>
        </w:tc>
      </w:tr>
    </w:tbl>
    <w:p w14:paraId="47137435">
      <w:pPr>
        <w:jc w:val="center"/>
        <w:rPr>
          <w:rFonts w:hint="eastAsia" w:ascii="宋体" w:hAnsi="宋体" w:eastAsia="宋体" w:cs="宋体"/>
          <w:b/>
          <w:color w:val="000000" w:themeColor="text1"/>
          <w:sz w:val="52"/>
          <w:szCs w:val="22"/>
          <w:highlight w:val="none"/>
          <w14:textFill>
            <w14:solidFill>
              <w14:schemeClr w14:val="tx1"/>
            </w14:solidFill>
          </w14:textFill>
        </w:rPr>
      </w:pPr>
    </w:p>
    <w:p w14:paraId="50AD21A6">
      <w:pPr>
        <w:rPr>
          <w:rFonts w:hint="eastAsia" w:ascii="宋体" w:hAnsi="宋体" w:eastAsia="宋体" w:cs="宋体"/>
          <w:color w:val="000000" w:themeColor="text1"/>
          <w:highlight w:val="none"/>
          <w14:textFill>
            <w14:solidFill>
              <w14:schemeClr w14:val="tx1"/>
            </w14:solidFill>
          </w14:textFill>
        </w:rPr>
      </w:pPr>
    </w:p>
    <w:p w14:paraId="7FA20713">
      <w:pPr>
        <w:pStyle w:val="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134" w:name="_Toc2521"/>
      <w:bookmarkStart w:id="135" w:name="_Toc452032128"/>
      <w:bookmarkStart w:id="136" w:name="_Toc21804"/>
      <w:bookmarkStart w:id="137" w:name="_Toc2009"/>
      <w:r>
        <w:rPr>
          <w:rFonts w:hint="eastAsia" w:ascii="宋体" w:hAnsi="宋体" w:eastAsia="宋体" w:cs="宋体"/>
          <w:color w:val="000000" w:themeColor="text1"/>
          <w:highlight w:val="none"/>
          <w14:textFill>
            <w14:solidFill>
              <w14:schemeClr w14:val="tx1"/>
            </w14:solidFill>
          </w14:textFill>
        </w:rPr>
        <w:t>格式2、关于投标文件所有内容真实可靠的声明书</w:t>
      </w:r>
      <w:bookmarkEnd w:id="134"/>
      <w:bookmarkEnd w:id="135"/>
      <w:bookmarkEnd w:id="136"/>
      <w:bookmarkEnd w:id="137"/>
    </w:p>
    <w:p w14:paraId="4C8B96AE">
      <w:pPr>
        <w:rPr>
          <w:rFonts w:hint="eastAsia" w:ascii="宋体" w:hAnsi="宋体" w:eastAsia="宋体" w:cs="宋体"/>
          <w:color w:val="000000" w:themeColor="text1"/>
          <w:highlight w:val="none"/>
          <w14:textFill>
            <w14:solidFill>
              <w14:schemeClr w14:val="tx1"/>
            </w14:solidFill>
          </w14:textFill>
        </w:rPr>
      </w:pPr>
    </w:p>
    <w:p w14:paraId="135AE678">
      <w:pPr>
        <w:jc w:val="center"/>
        <w:rPr>
          <w:rFonts w:hint="eastAsia" w:ascii="宋体" w:hAnsi="宋体" w:eastAsia="宋体" w:cs="宋体"/>
          <w:b/>
          <w:color w:val="000000" w:themeColor="text1"/>
          <w:kern w:val="0"/>
          <w:sz w:val="36"/>
          <w:szCs w:val="32"/>
          <w:highlight w:val="none"/>
          <w14:textFill>
            <w14:solidFill>
              <w14:schemeClr w14:val="tx1"/>
            </w14:solidFill>
          </w14:textFill>
        </w:rPr>
      </w:pPr>
    </w:p>
    <w:p w14:paraId="30055DC2">
      <w:pPr>
        <w:jc w:val="center"/>
        <w:rPr>
          <w:rFonts w:hint="eastAsia" w:ascii="宋体" w:hAnsi="宋体" w:eastAsia="宋体" w:cs="宋体"/>
          <w:b/>
          <w:color w:val="000000" w:themeColor="text1"/>
          <w:kern w:val="0"/>
          <w:sz w:val="36"/>
          <w:szCs w:val="32"/>
          <w:highlight w:val="none"/>
          <w14:textFill>
            <w14:solidFill>
              <w14:schemeClr w14:val="tx1"/>
            </w14:solidFill>
          </w14:textFill>
        </w:rPr>
      </w:pPr>
      <w:r>
        <w:rPr>
          <w:rFonts w:hint="eastAsia" w:ascii="宋体" w:hAnsi="宋体" w:eastAsia="宋体" w:cs="宋体"/>
          <w:b/>
          <w:color w:val="000000" w:themeColor="text1"/>
          <w:kern w:val="0"/>
          <w:sz w:val="36"/>
          <w:szCs w:val="32"/>
          <w:highlight w:val="none"/>
          <w14:textFill>
            <w14:solidFill>
              <w14:schemeClr w14:val="tx1"/>
            </w14:solidFill>
          </w14:textFill>
        </w:rPr>
        <w:t>关于投标文件所有内容真实可靠的书面声明</w:t>
      </w:r>
    </w:p>
    <w:p w14:paraId="25E067B4">
      <w:pPr>
        <w:rPr>
          <w:rFonts w:hint="eastAsia" w:ascii="宋体" w:hAnsi="宋体" w:eastAsia="宋体" w:cs="宋体"/>
          <w:b/>
          <w:color w:val="000000" w:themeColor="text1"/>
          <w:kern w:val="0"/>
          <w:sz w:val="24"/>
          <w:szCs w:val="28"/>
          <w:highlight w:val="none"/>
          <w:u w:val="single"/>
          <w14:textFill>
            <w14:solidFill>
              <w14:schemeClr w14:val="tx1"/>
            </w14:solidFill>
          </w14:textFill>
        </w:rPr>
      </w:pPr>
    </w:p>
    <w:p w14:paraId="34975CBF">
      <w:pPr>
        <w:rPr>
          <w:rFonts w:hint="eastAsia" w:ascii="宋体" w:hAnsi="宋体" w:eastAsia="宋体" w:cs="宋体"/>
          <w:b/>
          <w:color w:val="000000" w:themeColor="text1"/>
          <w:kern w:val="0"/>
          <w:sz w:val="28"/>
          <w:szCs w:val="28"/>
          <w:highlight w:val="none"/>
          <w:u w:val="single"/>
          <w:lang w:eastAsia="zh-CN"/>
          <w14:textFill>
            <w14:solidFill>
              <w14:schemeClr w14:val="tx1"/>
            </w14:solidFill>
          </w14:textFill>
        </w:rPr>
      </w:pPr>
      <w:r>
        <w:rPr>
          <w:rFonts w:hint="eastAsia" w:ascii="宋体" w:hAnsi="宋体" w:eastAsia="宋体" w:cs="宋体"/>
          <w:b/>
          <w:color w:val="000000" w:themeColor="text1"/>
          <w:w w:val="90"/>
          <w:kern w:val="0"/>
          <w:sz w:val="24"/>
          <w:szCs w:val="22"/>
          <w:highlight w:val="none"/>
          <w:u w:val="single"/>
          <w:lang w:eastAsia="zh-CN"/>
          <w14:textFill>
            <w14:solidFill>
              <w14:schemeClr w14:val="tx1"/>
            </w14:solidFill>
          </w14:textFill>
        </w:rPr>
        <w:t>苍南县测绘院</w:t>
      </w:r>
      <w:r>
        <w:rPr>
          <w:rFonts w:hint="eastAsia" w:ascii="宋体" w:hAnsi="宋体" w:eastAsia="宋体" w:cs="宋体"/>
          <w:b/>
          <w:color w:val="000000" w:themeColor="text1"/>
          <w:w w:val="90"/>
          <w:kern w:val="0"/>
          <w:sz w:val="24"/>
          <w:szCs w:val="22"/>
          <w:highlight w:val="none"/>
          <w:u w:val="single"/>
          <w14:textFill>
            <w14:solidFill>
              <w14:schemeClr w14:val="tx1"/>
            </w14:solidFill>
          </w14:textFill>
        </w:rPr>
        <w:t>、</w:t>
      </w:r>
      <w:r>
        <w:rPr>
          <w:rFonts w:hint="eastAsia" w:ascii="宋体" w:hAnsi="宋体" w:eastAsia="宋体" w:cs="宋体"/>
          <w:b/>
          <w:color w:val="000000" w:themeColor="text1"/>
          <w:w w:val="90"/>
          <w:kern w:val="0"/>
          <w:sz w:val="24"/>
          <w:szCs w:val="22"/>
          <w:highlight w:val="none"/>
          <w:u w:val="single"/>
          <w:lang w:eastAsia="zh-CN"/>
          <w14:textFill>
            <w14:solidFill>
              <w14:schemeClr w14:val="tx1"/>
            </w14:solidFill>
          </w14:textFill>
        </w:rPr>
        <w:t>浙江之信工程项目管理有限公司</w:t>
      </w:r>
    </w:p>
    <w:p w14:paraId="131A4804">
      <w:pPr>
        <w:rPr>
          <w:rFonts w:hint="eastAsia" w:ascii="宋体" w:hAnsi="宋体" w:eastAsia="宋体" w:cs="宋体"/>
          <w:color w:val="000000" w:themeColor="text1"/>
          <w:kern w:val="0"/>
          <w:sz w:val="28"/>
          <w:szCs w:val="28"/>
          <w:highlight w:val="none"/>
          <w14:textFill>
            <w14:solidFill>
              <w14:schemeClr w14:val="tx1"/>
            </w14:solidFill>
          </w14:textFill>
        </w:rPr>
      </w:pPr>
    </w:p>
    <w:p w14:paraId="5F8FF3A8">
      <w:pPr>
        <w:ind w:firstLine="480" w:firstLineChars="200"/>
        <w:rPr>
          <w:rFonts w:hint="eastAsia" w:ascii="宋体" w:hAnsi="宋体" w:eastAsia="宋体" w:cs="宋体"/>
          <w:color w:val="000000" w:themeColor="text1"/>
          <w:kern w:val="0"/>
          <w:sz w:val="24"/>
          <w:szCs w:val="22"/>
          <w:highlight w:val="none"/>
          <w14:textFill>
            <w14:solidFill>
              <w14:schemeClr w14:val="tx1"/>
            </w14:solidFill>
          </w14:textFill>
        </w:rPr>
      </w:pPr>
      <w:r>
        <w:rPr>
          <w:rFonts w:hint="eastAsia" w:ascii="宋体" w:hAnsi="宋体" w:eastAsia="宋体" w:cs="宋体"/>
          <w:color w:val="000000" w:themeColor="text1"/>
          <w:kern w:val="0"/>
          <w:sz w:val="24"/>
          <w:szCs w:val="22"/>
          <w:highlight w:val="none"/>
          <w14:textFill>
            <w14:solidFill>
              <w14:schemeClr w14:val="tx1"/>
            </w14:solidFill>
          </w14:textFill>
        </w:rPr>
        <w:t>我单位郑重声明，我公司参加</w:t>
      </w:r>
      <w:r>
        <w:rPr>
          <w:rFonts w:hint="eastAsia" w:ascii="宋体" w:hAnsi="宋体" w:eastAsia="宋体" w:cs="宋体"/>
          <w:b/>
          <w:color w:val="000000" w:themeColor="text1"/>
          <w:kern w:val="0"/>
          <w:sz w:val="24"/>
          <w:szCs w:val="22"/>
          <w:highlight w:val="none"/>
          <w:u w:val="single"/>
          <w:lang w:eastAsia="zh-CN"/>
          <w14:textFill>
            <w14:solidFill>
              <w14:schemeClr w14:val="tx1"/>
            </w14:solidFill>
          </w14:textFill>
        </w:rPr>
        <w:t>2025年度苍南县测绘院公款竞争性存放项目</w:t>
      </w:r>
      <w:r>
        <w:rPr>
          <w:rFonts w:hint="eastAsia" w:ascii="宋体" w:hAnsi="宋体" w:eastAsia="宋体" w:cs="宋体"/>
          <w:b/>
          <w:color w:val="000000" w:themeColor="text1"/>
          <w:kern w:val="0"/>
          <w:sz w:val="24"/>
          <w:szCs w:val="22"/>
          <w:highlight w:val="none"/>
          <w:u w:val="single"/>
          <w14:textFill>
            <w14:solidFill>
              <w14:schemeClr w14:val="tx1"/>
            </w14:solidFill>
          </w14:textFill>
        </w:rPr>
        <w:t>（招标编号：</w:t>
      </w:r>
      <w:r>
        <w:rPr>
          <w:rFonts w:hint="eastAsia" w:ascii="宋体" w:hAnsi="宋体" w:eastAsia="宋体" w:cs="宋体"/>
          <w:b/>
          <w:color w:val="000000" w:themeColor="text1"/>
          <w:kern w:val="0"/>
          <w:sz w:val="24"/>
          <w:szCs w:val="22"/>
          <w:highlight w:val="none"/>
          <w:u w:val="single"/>
          <w:lang w:eastAsia="zh-CN"/>
          <w14:textFill>
            <w14:solidFill>
              <w14:schemeClr w14:val="tx1"/>
            </w14:solidFill>
          </w14:textFill>
        </w:rPr>
        <w:t>苍产告字[2025]13号</w:t>
      </w:r>
      <w:r>
        <w:rPr>
          <w:rFonts w:hint="eastAsia" w:ascii="宋体" w:hAnsi="宋体" w:eastAsia="宋体" w:cs="宋体"/>
          <w:b/>
          <w:color w:val="000000" w:themeColor="text1"/>
          <w:kern w:val="0"/>
          <w:sz w:val="24"/>
          <w:szCs w:val="22"/>
          <w:highlight w:val="none"/>
          <w:u w:val="single"/>
          <w14:textFill>
            <w14:solidFill>
              <w14:schemeClr w14:val="tx1"/>
            </w14:solidFill>
          </w14:textFill>
        </w:rPr>
        <w:t>）</w:t>
      </w:r>
      <w:r>
        <w:rPr>
          <w:rFonts w:hint="eastAsia" w:ascii="宋体" w:hAnsi="宋体" w:eastAsia="宋体" w:cs="宋体"/>
          <w:color w:val="000000" w:themeColor="text1"/>
          <w:kern w:val="0"/>
          <w:sz w:val="24"/>
          <w:szCs w:val="22"/>
          <w:highlight w:val="none"/>
          <w14:textFill>
            <w14:solidFill>
              <w14:schemeClr w14:val="tx1"/>
            </w14:solidFill>
          </w14:textFill>
        </w:rPr>
        <w:t>活动中所提交的投标文件所有内容真实、可靠，不存在虚假、造假行为。如有违反，愿承担一切责任。</w:t>
      </w:r>
    </w:p>
    <w:p w14:paraId="6B3118E2">
      <w:pPr>
        <w:ind w:firstLine="480" w:firstLineChars="200"/>
        <w:rPr>
          <w:rFonts w:hint="eastAsia" w:ascii="宋体" w:hAnsi="宋体" w:eastAsia="宋体" w:cs="宋体"/>
          <w:color w:val="000000" w:themeColor="text1"/>
          <w:kern w:val="0"/>
          <w:sz w:val="24"/>
          <w:szCs w:val="22"/>
          <w:highlight w:val="none"/>
          <w14:textFill>
            <w14:solidFill>
              <w14:schemeClr w14:val="tx1"/>
            </w14:solidFill>
          </w14:textFill>
        </w:rPr>
      </w:pPr>
    </w:p>
    <w:p w14:paraId="469B4A49">
      <w:pPr>
        <w:ind w:firstLine="480" w:firstLineChars="2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4"/>
          <w:szCs w:val="22"/>
          <w:highlight w:val="none"/>
          <w14:textFill>
            <w14:solidFill>
              <w14:schemeClr w14:val="tx1"/>
            </w14:solidFill>
          </w14:textFill>
        </w:rPr>
        <w:t>特此声明</w:t>
      </w:r>
    </w:p>
    <w:p w14:paraId="2D5857D5">
      <w:pPr>
        <w:ind w:firstLine="480" w:firstLineChars="200"/>
        <w:rPr>
          <w:rFonts w:hint="eastAsia" w:ascii="宋体" w:hAnsi="宋体" w:eastAsia="宋体" w:cs="宋体"/>
          <w:color w:val="000000" w:themeColor="text1"/>
          <w:kern w:val="0"/>
          <w:szCs w:val="22"/>
          <w:highlight w:val="none"/>
          <w14:textFill>
            <w14:solidFill>
              <w14:schemeClr w14:val="tx1"/>
            </w14:solidFill>
          </w14:textFill>
        </w:rPr>
      </w:pPr>
    </w:p>
    <w:p w14:paraId="0EEDD6EC">
      <w:pPr>
        <w:ind w:firstLine="480" w:firstLineChars="200"/>
        <w:rPr>
          <w:rFonts w:hint="eastAsia" w:ascii="宋体" w:hAnsi="宋体" w:eastAsia="宋体" w:cs="宋体"/>
          <w:color w:val="000000" w:themeColor="text1"/>
          <w:kern w:val="0"/>
          <w:szCs w:val="22"/>
          <w:highlight w:val="none"/>
          <w14:textFill>
            <w14:solidFill>
              <w14:schemeClr w14:val="tx1"/>
            </w14:solidFill>
          </w14:textFill>
        </w:rPr>
      </w:pPr>
    </w:p>
    <w:p w14:paraId="2DC55A4D">
      <w:pPr>
        <w:ind w:firstLine="480" w:firstLineChars="200"/>
        <w:rPr>
          <w:rFonts w:hint="eastAsia" w:ascii="宋体" w:hAnsi="宋体" w:eastAsia="宋体" w:cs="宋体"/>
          <w:color w:val="000000" w:themeColor="text1"/>
          <w:kern w:val="0"/>
          <w:szCs w:val="22"/>
          <w:highlight w:val="none"/>
          <w14:textFill>
            <w14:solidFill>
              <w14:schemeClr w14:val="tx1"/>
            </w14:solidFill>
          </w14:textFill>
        </w:rPr>
      </w:pPr>
    </w:p>
    <w:p w14:paraId="3ED14DDA">
      <w:pPr>
        <w:snapToGrid w:val="0"/>
        <w:rPr>
          <w:rFonts w:hint="eastAsia"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投标银行名称（盖章）：</w:t>
      </w:r>
      <w:r>
        <w:rPr>
          <w:rFonts w:hint="eastAsia" w:ascii="宋体" w:hAnsi="宋体" w:eastAsia="宋体" w:cs="宋体"/>
          <w:color w:val="000000" w:themeColor="text1"/>
          <w:sz w:val="24"/>
          <w:szCs w:val="22"/>
          <w:highlight w:val="none"/>
          <w:u w:val="single"/>
          <w14:textFill>
            <w14:solidFill>
              <w14:schemeClr w14:val="tx1"/>
            </w14:solidFill>
          </w14:textFill>
        </w:rPr>
        <w:t xml:space="preserve">                            </w:t>
      </w:r>
    </w:p>
    <w:p w14:paraId="06FAEF3C">
      <w:pPr>
        <w:snapToGrid w:val="0"/>
        <w:rPr>
          <w:rFonts w:hint="eastAsia"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color w:val="000000" w:themeColor="text1"/>
          <w:sz w:val="24"/>
          <w:szCs w:val="22"/>
          <w:highlight w:val="none"/>
          <w:lang w:eastAsia="zh-CN"/>
          <w14:textFill>
            <w14:solidFill>
              <w14:schemeClr w14:val="tx1"/>
            </w14:solidFill>
          </w14:textFill>
        </w:rPr>
        <w:t>法定代表人</w:t>
      </w:r>
      <w:r>
        <w:rPr>
          <w:rFonts w:hint="eastAsia" w:ascii="宋体" w:hAnsi="宋体" w:eastAsia="宋体" w:cs="宋体"/>
          <w:color w:val="000000" w:themeColor="text1"/>
          <w:sz w:val="24"/>
          <w:szCs w:val="22"/>
          <w:highlight w:val="none"/>
          <w14:textFill>
            <w14:solidFill>
              <w14:schemeClr w14:val="tx1"/>
            </w14:solidFill>
          </w14:textFill>
        </w:rPr>
        <w:t>或其授权代表（签字或盖章）：</w:t>
      </w:r>
      <w:r>
        <w:rPr>
          <w:rFonts w:hint="eastAsia" w:ascii="宋体" w:hAnsi="宋体" w:eastAsia="宋体" w:cs="宋体"/>
          <w:color w:val="000000" w:themeColor="text1"/>
          <w:sz w:val="24"/>
          <w:szCs w:val="22"/>
          <w:highlight w:val="none"/>
          <w:u w:val="single"/>
          <w14:textFill>
            <w14:solidFill>
              <w14:schemeClr w14:val="tx1"/>
            </w14:solidFill>
          </w14:textFill>
        </w:rPr>
        <w:t xml:space="preserve">                </w:t>
      </w:r>
    </w:p>
    <w:p w14:paraId="5FC8A2E2">
      <w:pPr>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日期：</w:t>
      </w:r>
      <w:r>
        <w:rPr>
          <w:rFonts w:hint="eastAsia" w:ascii="宋体" w:hAnsi="宋体" w:eastAsia="宋体" w:cs="宋体"/>
          <w:color w:val="000000" w:themeColor="text1"/>
          <w:sz w:val="24"/>
          <w:szCs w:val="22"/>
          <w:highlight w:val="none"/>
          <w:u w:val="single"/>
          <w14:textFill>
            <w14:solidFill>
              <w14:schemeClr w14:val="tx1"/>
            </w14:solidFill>
          </w14:textFill>
        </w:rPr>
        <w:t xml:space="preserve">                                         </w:t>
      </w:r>
    </w:p>
    <w:p w14:paraId="30B12560">
      <w:pPr>
        <w:rPr>
          <w:rFonts w:hint="eastAsia" w:ascii="宋体" w:hAnsi="宋体" w:eastAsia="宋体" w:cs="宋体"/>
          <w:color w:val="000000" w:themeColor="text1"/>
          <w:sz w:val="22"/>
          <w:szCs w:val="22"/>
          <w:highlight w:val="none"/>
          <w:u w:val="single"/>
          <w14:textFill>
            <w14:solidFill>
              <w14:schemeClr w14:val="tx1"/>
            </w14:solidFill>
          </w14:textFill>
        </w:rPr>
      </w:pPr>
    </w:p>
    <w:p w14:paraId="036139F0">
      <w:pPr>
        <w:pStyle w:val="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br w:type="page"/>
      </w:r>
      <w:bookmarkStart w:id="138" w:name="_Toc2601"/>
      <w:bookmarkStart w:id="139" w:name="_Toc24457"/>
      <w:bookmarkStart w:id="140" w:name="_Toc452032129"/>
      <w:bookmarkStart w:id="141" w:name="_Toc25776"/>
      <w:r>
        <w:rPr>
          <w:rFonts w:hint="eastAsia" w:ascii="宋体" w:hAnsi="宋体" w:eastAsia="宋体" w:cs="宋体"/>
          <w:color w:val="000000" w:themeColor="text1"/>
          <w:highlight w:val="none"/>
          <w14:textFill>
            <w14:solidFill>
              <w14:schemeClr w14:val="tx1"/>
            </w14:solidFill>
          </w14:textFill>
        </w:rPr>
        <w:t>格式3、投标函</w:t>
      </w:r>
      <w:bookmarkEnd w:id="138"/>
      <w:bookmarkEnd w:id="139"/>
      <w:bookmarkEnd w:id="140"/>
      <w:bookmarkEnd w:id="141"/>
    </w:p>
    <w:p w14:paraId="1CF94705">
      <w:pPr>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投标函</w:t>
      </w:r>
    </w:p>
    <w:p w14:paraId="39A59675">
      <w:pPr>
        <w:rPr>
          <w:rFonts w:hint="eastAsia" w:ascii="宋体" w:hAnsi="宋体" w:eastAsia="宋体" w:cs="宋体"/>
          <w:color w:val="000000" w:themeColor="text1"/>
          <w:w w:val="90"/>
          <w:kern w:val="0"/>
          <w:sz w:val="22"/>
          <w:szCs w:val="22"/>
          <w:highlight w:val="none"/>
          <w14:textFill>
            <w14:solidFill>
              <w14:schemeClr w14:val="tx1"/>
            </w14:solidFill>
          </w14:textFill>
        </w:rPr>
      </w:pPr>
      <w:r>
        <w:rPr>
          <w:rFonts w:hint="eastAsia" w:ascii="宋体" w:hAnsi="宋体" w:eastAsia="宋体" w:cs="宋体"/>
          <w:b/>
          <w:color w:val="000000" w:themeColor="text1"/>
          <w:w w:val="90"/>
          <w:kern w:val="0"/>
          <w:sz w:val="22"/>
          <w:szCs w:val="22"/>
          <w:highlight w:val="none"/>
          <w:u w:val="single"/>
          <w:lang w:eastAsia="zh-CN"/>
          <w14:textFill>
            <w14:solidFill>
              <w14:schemeClr w14:val="tx1"/>
            </w14:solidFill>
          </w14:textFill>
        </w:rPr>
        <w:t>苍南县测绘院</w:t>
      </w:r>
      <w:r>
        <w:rPr>
          <w:rFonts w:hint="eastAsia" w:ascii="宋体" w:hAnsi="宋体" w:eastAsia="宋体" w:cs="宋体"/>
          <w:b/>
          <w:color w:val="000000" w:themeColor="text1"/>
          <w:w w:val="90"/>
          <w:kern w:val="0"/>
          <w:sz w:val="22"/>
          <w:szCs w:val="22"/>
          <w:highlight w:val="none"/>
          <w:u w:val="single"/>
          <w14:textFill>
            <w14:solidFill>
              <w14:schemeClr w14:val="tx1"/>
            </w14:solidFill>
          </w14:textFill>
        </w:rPr>
        <w:t>、</w:t>
      </w:r>
      <w:r>
        <w:rPr>
          <w:rFonts w:hint="eastAsia" w:ascii="宋体" w:hAnsi="宋体" w:eastAsia="宋体" w:cs="宋体"/>
          <w:b/>
          <w:color w:val="000000" w:themeColor="text1"/>
          <w:w w:val="90"/>
          <w:kern w:val="0"/>
          <w:sz w:val="22"/>
          <w:szCs w:val="22"/>
          <w:highlight w:val="none"/>
          <w:u w:val="single"/>
          <w:lang w:eastAsia="zh-CN"/>
          <w14:textFill>
            <w14:solidFill>
              <w14:schemeClr w14:val="tx1"/>
            </w14:solidFill>
          </w14:textFill>
        </w:rPr>
        <w:t>浙江之信工程项目管理有限公司</w:t>
      </w:r>
      <w:r>
        <w:rPr>
          <w:rFonts w:hint="eastAsia" w:ascii="宋体" w:hAnsi="宋体" w:eastAsia="宋体" w:cs="宋体"/>
          <w:b/>
          <w:color w:val="000000" w:themeColor="text1"/>
          <w:w w:val="90"/>
          <w:kern w:val="0"/>
          <w:sz w:val="22"/>
          <w:szCs w:val="22"/>
          <w:highlight w:val="none"/>
          <w14:textFill>
            <w14:solidFill>
              <w14:schemeClr w14:val="tx1"/>
            </w14:solidFill>
          </w14:textFill>
        </w:rPr>
        <w:t>：</w:t>
      </w:r>
    </w:p>
    <w:p w14:paraId="7419AD16">
      <w:pPr>
        <w:ind w:firstLine="380" w:firstLineChars="192"/>
        <w:rPr>
          <w:rFonts w:hint="eastAsia" w:ascii="宋体" w:hAnsi="宋体" w:eastAsia="宋体" w:cs="宋体"/>
          <w:color w:val="000000" w:themeColor="text1"/>
          <w:w w:val="90"/>
          <w:kern w:val="0"/>
          <w:sz w:val="22"/>
          <w:szCs w:val="22"/>
          <w:highlight w:val="none"/>
          <w14:textFill>
            <w14:solidFill>
              <w14:schemeClr w14:val="tx1"/>
            </w14:solidFill>
          </w14:textFill>
        </w:rPr>
      </w:pPr>
      <w:r>
        <w:rPr>
          <w:rFonts w:hint="eastAsia" w:ascii="宋体" w:hAnsi="宋体" w:eastAsia="宋体" w:cs="宋体"/>
          <w:color w:val="000000" w:themeColor="text1"/>
          <w:w w:val="90"/>
          <w:kern w:val="0"/>
          <w:sz w:val="22"/>
          <w:szCs w:val="22"/>
          <w:highlight w:val="none"/>
          <w14:textFill>
            <w14:solidFill>
              <w14:schemeClr w14:val="tx1"/>
            </w14:solidFill>
          </w14:textFill>
        </w:rPr>
        <w:t>根据贵方为</w:t>
      </w:r>
      <w:r>
        <w:rPr>
          <w:rFonts w:hint="eastAsia" w:ascii="宋体" w:hAnsi="宋体" w:eastAsia="宋体" w:cs="宋体"/>
          <w:b/>
          <w:color w:val="000000" w:themeColor="text1"/>
          <w:w w:val="90"/>
          <w:kern w:val="0"/>
          <w:sz w:val="22"/>
          <w:szCs w:val="22"/>
          <w:highlight w:val="none"/>
          <w:u w:val="single"/>
          <w:lang w:eastAsia="zh-CN"/>
          <w14:textFill>
            <w14:solidFill>
              <w14:schemeClr w14:val="tx1"/>
            </w14:solidFill>
          </w14:textFill>
        </w:rPr>
        <w:t>2025年度苍南县测绘院公款竞争性存放项目</w:t>
      </w:r>
      <w:r>
        <w:rPr>
          <w:rFonts w:hint="eastAsia" w:ascii="宋体" w:hAnsi="宋体" w:eastAsia="宋体" w:cs="宋体"/>
          <w:color w:val="000000" w:themeColor="text1"/>
          <w:w w:val="90"/>
          <w:kern w:val="0"/>
          <w:sz w:val="22"/>
          <w:szCs w:val="22"/>
          <w:highlight w:val="none"/>
          <w14:textFill>
            <w14:solidFill>
              <w14:schemeClr w14:val="tx1"/>
            </w14:solidFill>
          </w14:textFill>
        </w:rPr>
        <w:t>的招标公告（项目编号：</w:t>
      </w:r>
      <w:bookmarkStart w:id="194" w:name="_GoBack"/>
      <w:r>
        <w:rPr>
          <w:rFonts w:hint="eastAsia" w:ascii="宋体" w:hAnsi="宋体" w:eastAsia="宋体" w:cs="宋体"/>
          <w:b/>
          <w:color w:val="000000" w:themeColor="text1"/>
          <w:w w:val="90"/>
          <w:kern w:val="0"/>
          <w:sz w:val="22"/>
          <w:szCs w:val="22"/>
          <w:highlight w:val="none"/>
          <w:u w:val="single"/>
          <w:lang w:eastAsia="zh-CN"/>
          <w14:textFill>
            <w14:solidFill>
              <w14:schemeClr w14:val="tx1"/>
            </w14:solidFill>
          </w14:textFill>
        </w:rPr>
        <w:t>苍产告字[2025]13号</w:t>
      </w:r>
      <w:bookmarkEnd w:id="194"/>
      <w:r>
        <w:rPr>
          <w:rFonts w:hint="eastAsia" w:ascii="宋体" w:hAnsi="宋体" w:eastAsia="宋体" w:cs="宋体"/>
          <w:color w:val="000000" w:themeColor="text1"/>
          <w:w w:val="90"/>
          <w:kern w:val="0"/>
          <w:sz w:val="22"/>
          <w:szCs w:val="22"/>
          <w:highlight w:val="none"/>
          <w14:textFill>
            <w14:solidFill>
              <w14:schemeClr w14:val="tx1"/>
            </w14:solidFill>
          </w14:textFill>
        </w:rPr>
        <w:t>），我方签字代表____________（全名）经正式授权并代表投标银行________________（投标银行名称）参与本次项目的投标，同时按《招标文件》要求提交投标文件</w:t>
      </w:r>
      <w:r>
        <w:rPr>
          <w:rFonts w:hint="eastAsia" w:ascii="宋体" w:hAnsi="宋体" w:eastAsia="宋体" w:cs="宋体"/>
          <w:b/>
          <w:color w:val="000000" w:themeColor="text1"/>
          <w:w w:val="90"/>
          <w:kern w:val="0"/>
          <w:sz w:val="22"/>
          <w:szCs w:val="22"/>
          <w:highlight w:val="none"/>
          <w14:textFill>
            <w14:solidFill>
              <w14:schemeClr w14:val="tx1"/>
            </w14:solidFill>
          </w14:textFill>
        </w:rPr>
        <w:t>（正本一册、副本四册</w:t>
      </w:r>
      <w:r>
        <w:rPr>
          <w:rFonts w:hint="eastAsia" w:ascii="宋体" w:hAnsi="宋体" w:eastAsia="宋体" w:cs="宋体"/>
          <w:color w:val="000000" w:themeColor="text1"/>
          <w:w w:val="90"/>
          <w:kern w:val="0"/>
          <w:sz w:val="22"/>
          <w:szCs w:val="22"/>
          <w:highlight w:val="none"/>
          <w14:textFill>
            <w14:solidFill>
              <w14:schemeClr w14:val="tx1"/>
            </w14:solidFill>
          </w14:textFill>
        </w:rPr>
        <w:t>）。</w:t>
      </w:r>
      <w:r>
        <w:rPr>
          <w:rFonts w:hint="eastAsia" w:ascii="宋体" w:hAnsi="宋体" w:eastAsia="宋体" w:cs="宋体"/>
          <w:b/>
          <w:color w:val="000000" w:themeColor="text1"/>
          <w:w w:val="90"/>
          <w:kern w:val="0"/>
          <w:sz w:val="22"/>
          <w:szCs w:val="22"/>
          <w:highlight w:val="none"/>
          <w14:textFill>
            <w14:solidFill>
              <w14:schemeClr w14:val="tx1"/>
            </w14:solidFill>
          </w14:textFill>
        </w:rPr>
        <w:t>据此函，签字代表宣布同意如下：</w:t>
      </w:r>
    </w:p>
    <w:p w14:paraId="0AD254A2">
      <w:pPr>
        <w:ind w:firstLine="396" w:firstLineChars="200"/>
        <w:rPr>
          <w:rFonts w:hint="eastAsia" w:ascii="宋体" w:hAnsi="宋体" w:eastAsia="宋体" w:cs="宋体"/>
          <w:color w:val="000000" w:themeColor="text1"/>
          <w:w w:val="90"/>
          <w:kern w:val="0"/>
          <w:sz w:val="22"/>
          <w:szCs w:val="22"/>
          <w:highlight w:val="none"/>
          <w14:textFill>
            <w14:solidFill>
              <w14:schemeClr w14:val="tx1"/>
            </w14:solidFill>
          </w14:textFill>
        </w:rPr>
      </w:pPr>
      <w:r>
        <w:rPr>
          <w:rFonts w:hint="eastAsia" w:ascii="宋体" w:hAnsi="宋体" w:eastAsia="宋体" w:cs="宋体"/>
          <w:color w:val="000000" w:themeColor="text1"/>
          <w:w w:val="90"/>
          <w:kern w:val="0"/>
          <w:sz w:val="22"/>
          <w:szCs w:val="22"/>
          <w:highlight w:val="none"/>
          <w14:textFill>
            <w14:solidFill>
              <w14:schemeClr w14:val="tx1"/>
            </w14:solidFill>
          </w14:textFill>
        </w:rPr>
        <w:t>1、我方已详细阅读全部《招标文件》，包括补充（更正）文件（如有）以及全部参考资料和有关附件，我方已经了解对于《招标文件》、</w:t>
      </w:r>
      <w:r>
        <w:rPr>
          <w:rFonts w:hint="eastAsia" w:ascii="宋体" w:hAnsi="宋体" w:eastAsia="宋体" w:cs="宋体"/>
          <w:color w:val="000000" w:themeColor="text1"/>
          <w:w w:val="90"/>
          <w:kern w:val="0"/>
          <w:sz w:val="22"/>
          <w:szCs w:val="22"/>
          <w:highlight w:val="none"/>
          <w:lang w:eastAsia="zh-CN"/>
          <w14:textFill>
            <w14:solidFill>
              <w14:schemeClr w14:val="tx1"/>
            </w14:solidFill>
          </w14:textFill>
        </w:rPr>
        <w:t>招标</w:t>
      </w:r>
      <w:r>
        <w:rPr>
          <w:rFonts w:hint="eastAsia" w:ascii="宋体" w:hAnsi="宋体" w:eastAsia="宋体" w:cs="宋体"/>
          <w:color w:val="000000" w:themeColor="text1"/>
          <w:w w:val="90"/>
          <w:kern w:val="0"/>
          <w:sz w:val="22"/>
          <w:szCs w:val="22"/>
          <w:highlight w:val="none"/>
          <w14:textFill>
            <w14:solidFill>
              <w14:schemeClr w14:val="tx1"/>
            </w14:solidFill>
          </w14:textFill>
        </w:rPr>
        <w:t>过程、</w:t>
      </w:r>
      <w:r>
        <w:rPr>
          <w:rFonts w:hint="eastAsia" w:ascii="宋体" w:hAnsi="宋体" w:eastAsia="宋体" w:cs="宋体"/>
          <w:color w:val="000000" w:themeColor="text1"/>
          <w:w w:val="90"/>
          <w:kern w:val="0"/>
          <w:sz w:val="22"/>
          <w:szCs w:val="22"/>
          <w:highlight w:val="none"/>
          <w:lang w:eastAsia="zh-CN"/>
          <w14:textFill>
            <w14:solidFill>
              <w14:schemeClr w14:val="tx1"/>
            </w14:solidFill>
          </w14:textFill>
        </w:rPr>
        <w:t>招标</w:t>
      </w:r>
      <w:r>
        <w:rPr>
          <w:rFonts w:hint="eastAsia" w:ascii="宋体" w:hAnsi="宋体" w:eastAsia="宋体" w:cs="宋体"/>
          <w:color w:val="000000" w:themeColor="text1"/>
          <w:w w:val="90"/>
          <w:kern w:val="0"/>
          <w:sz w:val="22"/>
          <w:szCs w:val="22"/>
          <w:highlight w:val="none"/>
          <w14:textFill>
            <w14:solidFill>
              <w14:schemeClr w14:val="tx1"/>
            </w14:solidFill>
          </w14:textFill>
        </w:rPr>
        <w:t>结果有依法进行询问、质疑、投诉的权利及相关渠道和要求。</w:t>
      </w:r>
    </w:p>
    <w:p w14:paraId="07622B2E">
      <w:pPr>
        <w:ind w:firstLine="396" w:firstLineChars="200"/>
        <w:rPr>
          <w:rFonts w:hint="eastAsia" w:ascii="宋体" w:hAnsi="宋体" w:eastAsia="宋体" w:cs="宋体"/>
          <w:color w:val="000000" w:themeColor="text1"/>
          <w:w w:val="90"/>
          <w:kern w:val="0"/>
          <w:sz w:val="22"/>
          <w:szCs w:val="22"/>
          <w:highlight w:val="none"/>
          <w14:textFill>
            <w14:solidFill>
              <w14:schemeClr w14:val="tx1"/>
            </w14:solidFill>
          </w14:textFill>
        </w:rPr>
      </w:pPr>
      <w:r>
        <w:rPr>
          <w:rFonts w:hint="eastAsia" w:ascii="宋体" w:hAnsi="宋体" w:eastAsia="宋体" w:cs="宋体"/>
          <w:color w:val="000000" w:themeColor="text1"/>
          <w:w w:val="90"/>
          <w:kern w:val="0"/>
          <w:sz w:val="22"/>
          <w:szCs w:val="22"/>
          <w:highlight w:val="none"/>
          <w14:textFill>
            <w14:solidFill>
              <w14:schemeClr w14:val="tx1"/>
            </w14:solidFill>
          </w14:textFill>
        </w:rPr>
        <w:t>2、我方向贵方提交的所有《投标文件》、资料都是准确和真实的；</w:t>
      </w:r>
    </w:p>
    <w:p w14:paraId="115DBF61">
      <w:pPr>
        <w:ind w:firstLine="396" w:firstLineChars="200"/>
        <w:rPr>
          <w:rFonts w:hint="eastAsia" w:ascii="宋体" w:hAnsi="宋体" w:eastAsia="宋体" w:cs="宋体"/>
          <w:color w:val="000000" w:themeColor="text1"/>
          <w:w w:val="90"/>
          <w:kern w:val="0"/>
          <w:sz w:val="22"/>
          <w:szCs w:val="22"/>
          <w:highlight w:val="none"/>
          <w14:textFill>
            <w14:solidFill>
              <w14:schemeClr w14:val="tx1"/>
            </w14:solidFill>
          </w14:textFill>
        </w:rPr>
      </w:pPr>
      <w:r>
        <w:rPr>
          <w:rFonts w:hint="eastAsia" w:ascii="宋体" w:hAnsi="宋体" w:eastAsia="宋体" w:cs="宋体"/>
          <w:color w:val="000000" w:themeColor="text1"/>
          <w:w w:val="90"/>
          <w:kern w:val="0"/>
          <w:sz w:val="22"/>
          <w:szCs w:val="22"/>
          <w:highlight w:val="none"/>
          <w14:textFill>
            <w14:solidFill>
              <w14:schemeClr w14:val="tx1"/>
            </w14:solidFill>
          </w14:textFill>
        </w:rPr>
        <w:t>3、我方不是招标人的附属机构；在获知本项目</w:t>
      </w:r>
      <w:r>
        <w:rPr>
          <w:rFonts w:hint="eastAsia" w:ascii="宋体" w:hAnsi="宋体" w:eastAsia="宋体" w:cs="宋体"/>
          <w:color w:val="000000" w:themeColor="text1"/>
          <w:w w:val="90"/>
          <w:kern w:val="0"/>
          <w:sz w:val="22"/>
          <w:szCs w:val="22"/>
          <w:highlight w:val="none"/>
          <w:lang w:eastAsia="zh-CN"/>
          <w14:textFill>
            <w14:solidFill>
              <w14:schemeClr w14:val="tx1"/>
            </w14:solidFill>
          </w14:textFill>
        </w:rPr>
        <w:t>招标</w:t>
      </w:r>
      <w:r>
        <w:rPr>
          <w:rFonts w:hint="eastAsia" w:ascii="宋体" w:hAnsi="宋体" w:eastAsia="宋体" w:cs="宋体"/>
          <w:color w:val="000000" w:themeColor="text1"/>
          <w:w w:val="90"/>
          <w:kern w:val="0"/>
          <w:sz w:val="22"/>
          <w:szCs w:val="22"/>
          <w:highlight w:val="none"/>
          <w14:textFill>
            <w14:solidFill>
              <w14:schemeClr w14:val="tx1"/>
            </w14:solidFill>
          </w14:textFill>
        </w:rPr>
        <w:t>信息后，与招标人聘请的为此项目提供咨询服务的公司及其附属机构没有任何关系；</w:t>
      </w:r>
    </w:p>
    <w:p w14:paraId="6CA8969F">
      <w:pPr>
        <w:ind w:firstLine="396" w:firstLineChars="200"/>
        <w:rPr>
          <w:rFonts w:hint="eastAsia" w:ascii="宋体" w:hAnsi="宋体" w:eastAsia="宋体" w:cs="宋体"/>
          <w:color w:val="000000" w:themeColor="text1"/>
          <w:w w:val="90"/>
          <w:kern w:val="0"/>
          <w:sz w:val="22"/>
          <w:szCs w:val="22"/>
          <w:highlight w:val="none"/>
          <w14:textFill>
            <w14:solidFill>
              <w14:schemeClr w14:val="tx1"/>
            </w14:solidFill>
          </w14:textFill>
        </w:rPr>
      </w:pPr>
      <w:r>
        <w:rPr>
          <w:rFonts w:hint="eastAsia" w:ascii="宋体" w:hAnsi="宋体" w:eastAsia="宋体" w:cs="宋体"/>
          <w:color w:val="000000" w:themeColor="text1"/>
          <w:w w:val="90"/>
          <w:kern w:val="0"/>
          <w:sz w:val="22"/>
          <w:szCs w:val="22"/>
          <w:highlight w:val="none"/>
          <w14:textFill>
            <w14:solidFill>
              <w14:schemeClr w14:val="tx1"/>
            </w14:solidFill>
          </w14:textFill>
        </w:rPr>
        <w:t>4、我方在投标之前已经与贵方进行了充分的沟通，完全理解并接受《招标文件》的各项规定和要求，对《招标文件》的合理性、合法性不再有异议；</w:t>
      </w:r>
    </w:p>
    <w:p w14:paraId="37800908">
      <w:pPr>
        <w:ind w:firstLine="396" w:firstLineChars="200"/>
        <w:rPr>
          <w:rFonts w:hint="eastAsia" w:ascii="宋体" w:hAnsi="宋体" w:eastAsia="宋体" w:cs="宋体"/>
          <w:color w:val="000000" w:themeColor="text1"/>
          <w:w w:val="90"/>
          <w:kern w:val="0"/>
          <w:sz w:val="22"/>
          <w:szCs w:val="22"/>
          <w:highlight w:val="none"/>
          <w14:textFill>
            <w14:solidFill>
              <w14:schemeClr w14:val="tx1"/>
            </w14:solidFill>
          </w14:textFill>
        </w:rPr>
      </w:pPr>
      <w:r>
        <w:rPr>
          <w:rFonts w:hint="eastAsia" w:ascii="宋体" w:hAnsi="宋体" w:eastAsia="宋体" w:cs="宋体"/>
          <w:color w:val="000000" w:themeColor="text1"/>
          <w:w w:val="90"/>
          <w:kern w:val="0"/>
          <w:sz w:val="22"/>
          <w:szCs w:val="22"/>
          <w:highlight w:val="none"/>
          <w14:textFill>
            <w14:solidFill>
              <w14:schemeClr w14:val="tx1"/>
            </w14:solidFill>
          </w14:textFill>
        </w:rPr>
        <w:t>5、我方将按《招标文件》的规定履行合同责任和义务；</w:t>
      </w:r>
    </w:p>
    <w:p w14:paraId="3A0CBCA6">
      <w:pPr>
        <w:ind w:firstLine="396" w:firstLineChars="200"/>
        <w:rPr>
          <w:rFonts w:hint="eastAsia" w:ascii="宋体" w:hAnsi="宋体" w:eastAsia="宋体" w:cs="宋体"/>
          <w:color w:val="000000" w:themeColor="text1"/>
          <w:w w:val="90"/>
          <w:kern w:val="0"/>
          <w:sz w:val="22"/>
          <w:szCs w:val="22"/>
          <w:highlight w:val="none"/>
          <w14:textFill>
            <w14:solidFill>
              <w14:schemeClr w14:val="tx1"/>
            </w14:solidFill>
          </w14:textFill>
        </w:rPr>
      </w:pPr>
      <w:r>
        <w:rPr>
          <w:rFonts w:hint="eastAsia" w:ascii="宋体" w:hAnsi="宋体" w:eastAsia="宋体" w:cs="宋体"/>
          <w:color w:val="000000" w:themeColor="text1"/>
          <w:w w:val="90"/>
          <w:kern w:val="0"/>
          <w:sz w:val="22"/>
          <w:szCs w:val="22"/>
          <w:highlight w:val="none"/>
          <w14:textFill>
            <w14:solidFill>
              <w14:schemeClr w14:val="tx1"/>
            </w14:solidFill>
          </w14:textFill>
        </w:rPr>
        <w:t>6、我方此次报价以我方《投标一览表》所列为准；</w:t>
      </w:r>
    </w:p>
    <w:p w14:paraId="3AA9E862">
      <w:pPr>
        <w:ind w:firstLine="396" w:firstLineChars="200"/>
        <w:rPr>
          <w:rFonts w:hint="eastAsia" w:ascii="宋体" w:hAnsi="宋体" w:eastAsia="宋体" w:cs="宋体"/>
          <w:color w:val="000000" w:themeColor="text1"/>
          <w:w w:val="90"/>
          <w:kern w:val="0"/>
          <w:sz w:val="22"/>
          <w:szCs w:val="22"/>
          <w:highlight w:val="none"/>
          <w14:textFill>
            <w14:solidFill>
              <w14:schemeClr w14:val="tx1"/>
            </w14:solidFill>
          </w14:textFill>
        </w:rPr>
      </w:pPr>
      <w:r>
        <w:rPr>
          <w:rFonts w:hint="eastAsia" w:ascii="宋体" w:hAnsi="宋体" w:eastAsia="宋体" w:cs="宋体"/>
          <w:color w:val="000000" w:themeColor="text1"/>
          <w:w w:val="90"/>
          <w:kern w:val="0"/>
          <w:sz w:val="22"/>
          <w:szCs w:val="22"/>
          <w:highlight w:val="none"/>
          <w14:textFill>
            <w14:solidFill>
              <w14:schemeClr w14:val="tx1"/>
            </w14:solidFill>
          </w14:textFill>
        </w:rPr>
        <w:t>7、本投标文件有效期为自投标截止之日起</w:t>
      </w:r>
      <w:r>
        <w:rPr>
          <w:rFonts w:hint="eastAsia" w:ascii="宋体" w:hAnsi="宋体" w:eastAsia="宋体" w:cs="宋体"/>
          <w:color w:val="000000" w:themeColor="text1"/>
          <w:w w:val="90"/>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w w:val="90"/>
          <w:kern w:val="0"/>
          <w:sz w:val="22"/>
          <w:szCs w:val="22"/>
          <w:highlight w:val="none"/>
          <w:u w:val="single"/>
          <w:lang w:val="en-US" w:eastAsia="zh-CN"/>
          <w14:textFill>
            <w14:solidFill>
              <w14:schemeClr w14:val="tx1"/>
            </w14:solidFill>
          </w14:textFill>
        </w:rPr>
        <w:t>9</w:t>
      </w:r>
      <w:r>
        <w:rPr>
          <w:rFonts w:hint="eastAsia" w:ascii="宋体" w:hAnsi="宋体" w:eastAsia="宋体" w:cs="宋体"/>
          <w:color w:val="000000" w:themeColor="text1"/>
          <w:w w:val="90"/>
          <w:kern w:val="0"/>
          <w:sz w:val="22"/>
          <w:szCs w:val="22"/>
          <w:highlight w:val="none"/>
          <w:u w:val="single"/>
          <w14:textFill>
            <w14:solidFill>
              <w14:schemeClr w14:val="tx1"/>
            </w14:solidFill>
          </w14:textFill>
        </w:rPr>
        <w:t>0</w:t>
      </w:r>
      <w:r>
        <w:rPr>
          <w:rFonts w:hint="eastAsia" w:ascii="宋体" w:hAnsi="宋体" w:eastAsia="宋体" w:cs="宋体"/>
          <w:color w:val="000000" w:themeColor="text1"/>
          <w:w w:val="90"/>
          <w:kern w:val="0"/>
          <w:sz w:val="22"/>
          <w:szCs w:val="22"/>
          <w:highlight w:val="none"/>
          <w14:textFill>
            <w14:solidFill>
              <w14:schemeClr w14:val="tx1"/>
            </w14:solidFill>
          </w14:textFill>
        </w:rPr>
        <w:t>个日历日。</w:t>
      </w:r>
    </w:p>
    <w:p w14:paraId="6E88EAE7">
      <w:pPr>
        <w:ind w:firstLine="396" w:firstLineChars="200"/>
        <w:rPr>
          <w:rFonts w:hint="eastAsia" w:ascii="宋体" w:hAnsi="宋体" w:eastAsia="宋体" w:cs="宋体"/>
          <w:color w:val="000000" w:themeColor="text1"/>
          <w:w w:val="90"/>
          <w:kern w:val="0"/>
          <w:sz w:val="22"/>
          <w:szCs w:val="22"/>
          <w:highlight w:val="none"/>
          <w:lang w:eastAsia="zh-CN"/>
          <w14:textFill>
            <w14:solidFill>
              <w14:schemeClr w14:val="tx1"/>
            </w14:solidFill>
          </w14:textFill>
        </w:rPr>
      </w:pPr>
      <w:r>
        <w:rPr>
          <w:rFonts w:hint="eastAsia" w:ascii="宋体" w:hAnsi="宋体" w:eastAsia="宋体" w:cs="宋体"/>
          <w:color w:val="000000" w:themeColor="text1"/>
          <w:w w:val="90"/>
          <w:kern w:val="0"/>
          <w:sz w:val="22"/>
          <w:szCs w:val="22"/>
          <w:highlight w:val="none"/>
          <w:lang w:eastAsia="zh-CN"/>
          <w14:textFill>
            <w14:solidFill>
              <w14:schemeClr w14:val="tx1"/>
            </w14:solidFill>
          </w14:textFill>
        </w:rPr>
        <w:t>8、如中标（成交），本《投标文件》至本项目合同履行完毕止均保持有效，我方将按《招标文件》、投标文件承诺以及根据《浙江省财政厅关于印发浙江省省级行政事业单位公款竞争性存放管理办法的通知》（浙财预执〔2021〕7号）、《苍南县县级预算单位公款竞争性存放管理暂行办法》（苍政办〔2019〕7号）公款存放相关规定履行合同责任和义务。</w:t>
      </w:r>
    </w:p>
    <w:p w14:paraId="6A1B066A">
      <w:pPr>
        <w:ind w:firstLine="396" w:firstLineChars="200"/>
        <w:rPr>
          <w:rFonts w:hint="eastAsia" w:ascii="宋体" w:hAnsi="宋体" w:eastAsia="宋体" w:cs="宋体"/>
          <w:color w:val="000000" w:themeColor="text1"/>
          <w:w w:val="90"/>
          <w:kern w:val="0"/>
          <w:sz w:val="22"/>
          <w:szCs w:val="22"/>
          <w:highlight w:val="none"/>
          <w:lang w:eastAsia="zh-CN"/>
          <w14:textFill>
            <w14:solidFill>
              <w14:schemeClr w14:val="tx1"/>
            </w14:solidFill>
          </w14:textFill>
        </w:rPr>
      </w:pPr>
      <w:r>
        <w:rPr>
          <w:rFonts w:hint="eastAsia" w:ascii="宋体" w:hAnsi="宋体" w:eastAsia="宋体" w:cs="宋体"/>
          <w:color w:val="000000" w:themeColor="text1"/>
          <w:w w:val="90"/>
          <w:kern w:val="0"/>
          <w:sz w:val="22"/>
          <w:szCs w:val="22"/>
          <w:highlight w:val="none"/>
          <w:lang w:eastAsia="zh-CN"/>
          <w14:textFill>
            <w14:solidFill>
              <w14:schemeClr w14:val="tx1"/>
            </w14:solidFill>
          </w14:textFill>
        </w:rPr>
        <w:t>9、我方同意按照贵方要求提供与投标有关的一切数据或资料。</w:t>
      </w:r>
    </w:p>
    <w:p w14:paraId="1D2C6975">
      <w:pPr>
        <w:ind w:firstLine="380" w:firstLineChars="192"/>
        <w:rPr>
          <w:rFonts w:hint="eastAsia" w:ascii="宋体" w:hAnsi="宋体" w:eastAsia="宋体" w:cs="宋体"/>
          <w:color w:val="000000" w:themeColor="text1"/>
          <w:w w:val="90"/>
          <w:kern w:val="0"/>
          <w:sz w:val="22"/>
          <w:szCs w:val="22"/>
          <w:highlight w:val="none"/>
          <w:u w:val="single"/>
          <w14:textFill>
            <w14:solidFill>
              <w14:schemeClr w14:val="tx1"/>
            </w14:solidFill>
          </w14:textFill>
        </w:rPr>
      </w:pPr>
      <w:r>
        <w:rPr>
          <w:rFonts w:hint="eastAsia" w:ascii="宋体" w:hAnsi="宋体" w:eastAsia="宋体" w:cs="宋体"/>
          <w:color w:val="000000" w:themeColor="text1"/>
          <w:w w:val="90"/>
          <w:kern w:val="0"/>
          <w:sz w:val="22"/>
          <w:szCs w:val="22"/>
          <w:highlight w:val="none"/>
          <w:lang w:eastAsia="zh-CN"/>
          <w14:textFill>
            <w14:solidFill>
              <w14:schemeClr w14:val="tx1"/>
            </w14:solidFill>
          </w14:textFill>
        </w:rPr>
        <w:t>投标银行名称（公章）：</w:t>
      </w:r>
      <w:r>
        <w:rPr>
          <w:rFonts w:hint="eastAsia" w:ascii="宋体" w:hAnsi="宋体" w:eastAsia="宋体" w:cs="宋体"/>
          <w:color w:val="000000" w:themeColor="text1"/>
          <w:w w:val="90"/>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w w:val="90"/>
          <w:kern w:val="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w w:val="90"/>
          <w:kern w:val="0"/>
          <w:sz w:val="22"/>
          <w:szCs w:val="22"/>
          <w:highlight w:val="none"/>
          <w:u w:val="single"/>
          <w14:textFill>
            <w14:solidFill>
              <w14:schemeClr w14:val="tx1"/>
            </w14:solidFill>
          </w14:textFill>
        </w:rPr>
        <w:t xml:space="preserve">              </w:t>
      </w:r>
    </w:p>
    <w:p w14:paraId="65DEB6AD">
      <w:pPr>
        <w:ind w:firstLine="380" w:firstLineChars="192"/>
        <w:rPr>
          <w:rFonts w:hint="eastAsia" w:ascii="宋体" w:hAnsi="宋体" w:eastAsia="宋体" w:cs="宋体"/>
          <w:color w:val="000000" w:themeColor="text1"/>
          <w:w w:val="90"/>
          <w:kern w:val="0"/>
          <w:sz w:val="22"/>
          <w:szCs w:val="22"/>
          <w:highlight w:val="none"/>
          <w:u w:val="single"/>
          <w14:textFill>
            <w14:solidFill>
              <w14:schemeClr w14:val="tx1"/>
            </w14:solidFill>
          </w14:textFill>
        </w:rPr>
      </w:pPr>
      <w:r>
        <w:rPr>
          <w:rFonts w:hint="eastAsia" w:ascii="宋体" w:hAnsi="宋体" w:eastAsia="宋体" w:cs="宋体"/>
          <w:color w:val="000000" w:themeColor="text1"/>
          <w:w w:val="90"/>
          <w:kern w:val="0"/>
          <w:sz w:val="22"/>
          <w:szCs w:val="22"/>
          <w:highlight w:val="none"/>
          <w:lang w:eastAsia="zh-CN"/>
          <w14:textFill>
            <w14:solidFill>
              <w14:schemeClr w14:val="tx1"/>
            </w14:solidFill>
          </w14:textFill>
        </w:rPr>
        <w:t>法定代表人</w:t>
      </w:r>
      <w:r>
        <w:rPr>
          <w:rFonts w:hint="eastAsia" w:ascii="宋体" w:hAnsi="宋体" w:eastAsia="宋体" w:cs="宋体"/>
          <w:color w:val="000000" w:themeColor="text1"/>
          <w:w w:val="90"/>
          <w:kern w:val="0"/>
          <w:sz w:val="22"/>
          <w:szCs w:val="22"/>
          <w:highlight w:val="none"/>
          <w14:textFill>
            <w14:solidFill>
              <w14:schemeClr w14:val="tx1"/>
            </w14:solidFill>
          </w14:textFill>
        </w:rPr>
        <w:t>或授权代表姓名：</w:t>
      </w:r>
      <w:r>
        <w:rPr>
          <w:rFonts w:hint="eastAsia" w:ascii="宋体" w:hAnsi="宋体" w:eastAsia="宋体" w:cs="宋体"/>
          <w:color w:val="000000" w:themeColor="text1"/>
          <w:w w:val="90"/>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w w:val="90"/>
          <w:kern w:val="0"/>
          <w:sz w:val="22"/>
          <w:szCs w:val="22"/>
          <w:highlight w:val="none"/>
          <w14:textFill>
            <w14:solidFill>
              <w14:schemeClr w14:val="tx1"/>
            </w14:solidFill>
          </w14:textFill>
        </w:rPr>
        <w:t xml:space="preserve"> 职务：</w:t>
      </w:r>
      <w:r>
        <w:rPr>
          <w:rFonts w:hint="eastAsia" w:ascii="宋体" w:hAnsi="宋体" w:eastAsia="宋体" w:cs="宋体"/>
          <w:color w:val="000000" w:themeColor="text1"/>
          <w:w w:val="90"/>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w w:val="90"/>
          <w:kern w:val="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w w:val="90"/>
          <w:kern w:val="0"/>
          <w:sz w:val="22"/>
          <w:szCs w:val="22"/>
          <w:highlight w:val="none"/>
          <w:u w:val="single"/>
          <w14:textFill>
            <w14:solidFill>
              <w14:schemeClr w14:val="tx1"/>
            </w14:solidFill>
          </w14:textFill>
        </w:rPr>
        <w:t xml:space="preserve">       </w:t>
      </w:r>
    </w:p>
    <w:p w14:paraId="3BC205E4">
      <w:pPr>
        <w:ind w:firstLine="380" w:firstLineChars="192"/>
        <w:rPr>
          <w:rFonts w:hint="eastAsia" w:ascii="宋体" w:hAnsi="宋体" w:eastAsia="宋体" w:cs="宋体"/>
          <w:color w:val="000000" w:themeColor="text1"/>
          <w:w w:val="90"/>
          <w:kern w:val="0"/>
          <w:sz w:val="22"/>
          <w:szCs w:val="22"/>
          <w:highlight w:val="none"/>
          <w:u w:val="single"/>
          <w14:textFill>
            <w14:solidFill>
              <w14:schemeClr w14:val="tx1"/>
            </w14:solidFill>
          </w14:textFill>
        </w:rPr>
      </w:pPr>
      <w:r>
        <w:rPr>
          <w:rFonts w:hint="eastAsia" w:ascii="宋体" w:hAnsi="宋体" w:eastAsia="宋体" w:cs="宋体"/>
          <w:color w:val="000000" w:themeColor="text1"/>
          <w:w w:val="90"/>
          <w:kern w:val="0"/>
          <w:sz w:val="22"/>
          <w:szCs w:val="22"/>
          <w:highlight w:val="none"/>
          <w:lang w:eastAsia="zh-CN"/>
          <w14:textFill>
            <w14:solidFill>
              <w14:schemeClr w14:val="tx1"/>
            </w14:solidFill>
          </w14:textFill>
        </w:rPr>
        <w:t>法定代表人</w:t>
      </w:r>
      <w:r>
        <w:rPr>
          <w:rFonts w:hint="eastAsia" w:ascii="宋体" w:hAnsi="宋体" w:eastAsia="宋体" w:cs="宋体"/>
          <w:color w:val="000000" w:themeColor="text1"/>
          <w:w w:val="90"/>
          <w:kern w:val="0"/>
          <w:sz w:val="22"/>
          <w:szCs w:val="22"/>
          <w:highlight w:val="none"/>
          <w14:textFill>
            <w14:solidFill>
              <w14:schemeClr w14:val="tx1"/>
            </w14:solidFill>
          </w14:textFill>
        </w:rPr>
        <w:t>或授权代表签字（或盖章）：</w:t>
      </w:r>
      <w:r>
        <w:rPr>
          <w:rFonts w:hint="eastAsia" w:ascii="宋体" w:hAnsi="宋体" w:eastAsia="宋体" w:cs="宋体"/>
          <w:color w:val="000000" w:themeColor="text1"/>
          <w:w w:val="90"/>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w w:val="90"/>
          <w:kern w:val="0"/>
          <w:sz w:val="22"/>
          <w:szCs w:val="22"/>
          <w:highlight w:val="none"/>
          <w14:textFill>
            <w14:solidFill>
              <w14:schemeClr w14:val="tx1"/>
            </w14:solidFill>
          </w14:textFill>
        </w:rPr>
        <w:t xml:space="preserve"> </w:t>
      </w:r>
      <w:r>
        <w:rPr>
          <w:rFonts w:hint="eastAsia" w:ascii="宋体" w:hAnsi="宋体" w:eastAsia="宋体" w:cs="宋体"/>
          <w:color w:val="000000" w:themeColor="text1"/>
          <w:w w:val="90"/>
          <w:kern w:val="0"/>
          <w:sz w:val="22"/>
          <w:szCs w:val="22"/>
          <w:highlight w:val="none"/>
          <w:lang w:eastAsia="zh-CN"/>
          <w14:textFill>
            <w14:solidFill>
              <w14:schemeClr w14:val="tx1"/>
            </w14:solidFill>
          </w14:textFill>
        </w:rPr>
        <w:t>法定代表人</w:t>
      </w:r>
      <w:r>
        <w:rPr>
          <w:rFonts w:hint="eastAsia" w:ascii="宋体" w:hAnsi="宋体" w:eastAsia="宋体" w:cs="宋体"/>
          <w:color w:val="000000" w:themeColor="text1"/>
          <w:w w:val="90"/>
          <w:kern w:val="0"/>
          <w:sz w:val="22"/>
          <w:szCs w:val="22"/>
          <w:highlight w:val="none"/>
          <w14:textFill>
            <w14:solidFill>
              <w14:schemeClr w14:val="tx1"/>
            </w14:solidFill>
          </w14:textFill>
        </w:rPr>
        <w:t>或授权代表手机号码：</w:t>
      </w:r>
      <w:r>
        <w:rPr>
          <w:rFonts w:hint="eastAsia" w:ascii="宋体" w:hAnsi="宋体" w:eastAsia="宋体" w:cs="宋体"/>
          <w:color w:val="000000" w:themeColor="text1"/>
          <w:w w:val="90"/>
          <w:kern w:val="0"/>
          <w:sz w:val="22"/>
          <w:szCs w:val="22"/>
          <w:highlight w:val="none"/>
          <w:u w:val="single"/>
          <w14:textFill>
            <w14:solidFill>
              <w14:schemeClr w14:val="tx1"/>
            </w14:solidFill>
          </w14:textFill>
        </w:rPr>
        <w:t xml:space="preserve">         </w:t>
      </w:r>
    </w:p>
    <w:p w14:paraId="494F7583">
      <w:pPr>
        <w:ind w:firstLine="380" w:firstLineChars="192"/>
        <w:rPr>
          <w:rFonts w:hint="eastAsia" w:ascii="宋体" w:hAnsi="宋体" w:eastAsia="宋体" w:cs="宋体"/>
          <w:color w:val="000000" w:themeColor="text1"/>
          <w:w w:val="90"/>
          <w:kern w:val="0"/>
          <w:sz w:val="22"/>
          <w:szCs w:val="22"/>
          <w:highlight w:val="none"/>
          <w:u w:val="single"/>
          <w14:textFill>
            <w14:solidFill>
              <w14:schemeClr w14:val="tx1"/>
            </w14:solidFill>
          </w14:textFill>
        </w:rPr>
      </w:pPr>
      <w:r>
        <w:rPr>
          <w:rFonts w:hint="eastAsia" w:ascii="宋体" w:hAnsi="宋体" w:eastAsia="宋体" w:cs="宋体"/>
          <w:color w:val="000000" w:themeColor="text1"/>
          <w:w w:val="90"/>
          <w:kern w:val="0"/>
          <w:sz w:val="22"/>
          <w:szCs w:val="22"/>
          <w:highlight w:val="none"/>
          <w14:textFill>
            <w14:solidFill>
              <w14:schemeClr w14:val="tx1"/>
            </w14:solidFill>
          </w14:textFill>
        </w:rPr>
        <w:t>单位地址：</w:t>
      </w:r>
      <w:r>
        <w:rPr>
          <w:rFonts w:hint="eastAsia" w:ascii="宋体" w:hAnsi="宋体" w:eastAsia="宋体" w:cs="宋体"/>
          <w:color w:val="000000" w:themeColor="text1"/>
          <w:w w:val="90"/>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w w:val="90"/>
          <w:kern w:val="0"/>
          <w:sz w:val="22"/>
          <w:szCs w:val="22"/>
          <w:highlight w:val="none"/>
          <w14:textFill>
            <w14:solidFill>
              <w14:schemeClr w14:val="tx1"/>
            </w14:solidFill>
          </w14:textFill>
        </w:rPr>
        <w:t xml:space="preserve"> 邮编：</w:t>
      </w:r>
      <w:r>
        <w:rPr>
          <w:rFonts w:hint="eastAsia" w:ascii="宋体" w:hAnsi="宋体" w:eastAsia="宋体" w:cs="宋体"/>
          <w:color w:val="000000" w:themeColor="text1"/>
          <w:w w:val="90"/>
          <w:kern w:val="0"/>
          <w:sz w:val="22"/>
          <w:szCs w:val="22"/>
          <w:highlight w:val="none"/>
          <w:u w:val="single"/>
          <w14:textFill>
            <w14:solidFill>
              <w14:schemeClr w14:val="tx1"/>
            </w14:solidFill>
          </w14:textFill>
        </w:rPr>
        <w:t xml:space="preserve">                            </w:t>
      </w:r>
    </w:p>
    <w:p w14:paraId="4E8DF211">
      <w:pPr>
        <w:ind w:firstLine="380" w:firstLineChars="192"/>
        <w:rPr>
          <w:rFonts w:hint="eastAsia" w:ascii="宋体" w:hAnsi="宋体" w:eastAsia="宋体" w:cs="宋体"/>
          <w:color w:val="000000" w:themeColor="text1"/>
          <w:w w:val="90"/>
          <w:kern w:val="0"/>
          <w:sz w:val="22"/>
          <w:szCs w:val="22"/>
          <w:highlight w:val="none"/>
          <w:u w:val="single"/>
          <w14:textFill>
            <w14:solidFill>
              <w14:schemeClr w14:val="tx1"/>
            </w14:solidFill>
          </w14:textFill>
        </w:rPr>
      </w:pPr>
      <w:r>
        <w:rPr>
          <w:rFonts w:hint="eastAsia" w:ascii="宋体" w:hAnsi="宋体" w:eastAsia="宋体" w:cs="宋体"/>
          <w:color w:val="000000" w:themeColor="text1"/>
          <w:w w:val="90"/>
          <w:kern w:val="0"/>
          <w:sz w:val="22"/>
          <w:szCs w:val="22"/>
          <w:highlight w:val="none"/>
          <w14:textFill>
            <w14:solidFill>
              <w14:schemeClr w14:val="tx1"/>
            </w14:solidFill>
          </w14:textFill>
        </w:rPr>
        <w:t>单位电话：</w:t>
      </w:r>
      <w:r>
        <w:rPr>
          <w:rFonts w:hint="eastAsia" w:ascii="宋体" w:hAnsi="宋体" w:eastAsia="宋体" w:cs="宋体"/>
          <w:color w:val="000000" w:themeColor="text1"/>
          <w:w w:val="90"/>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w w:val="90"/>
          <w:kern w:val="0"/>
          <w:sz w:val="22"/>
          <w:szCs w:val="22"/>
          <w:highlight w:val="none"/>
          <w14:textFill>
            <w14:solidFill>
              <w14:schemeClr w14:val="tx1"/>
            </w14:solidFill>
          </w14:textFill>
        </w:rPr>
        <w:t xml:space="preserve"> 单位传真：</w:t>
      </w:r>
      <w:r>
        <w:rPr>
          <w:rFonts w:hint="eastAsia" w:ascii="宋体" w:hAnsi="宋体" w:eastAsia="宋体" w:cs="宋体"/>
          <w:color w:val="000000" w:themeColor="text1"/>
          <w:w w:val="90"/>
          <w:kern w:val="0"/>
          <w:sz w:val="22"/>
          <w:szCs w:val="22"/>
          <w:highlight w:val="none"/>
          <w:u w:val="single"/>
          <w14:textFill>
            <w14:solidFill>
              <w14:schemeClr w14:val="tx1"/>
            </w14:solidFill>
          </w14:textFill>
        </w:rPr>
        <w:t xml:space="preserve">                        </w:t>
      </w:r>
    </w:p>
    <w:p w14:paraId="3770FF29">
      <w:pPr>
        <w:ind w:firstLine="380" w:firstLineChars="192"/>
        <w:rPr>
          <w:rFonts w:hint="eastAsia" w:ascii="宋体" w:hAnsi="宋体" w:eastAsia="宋体" w:cs="宋体"/>
          <w:color w:val="000000" w:themeColor="text1"/>
          <w:w w:val="90"/>
          <w:kern w:val="0"/>
          <w:sz w:val="22"/>
          <w:szCs w:val="22"/>
          <w:highlight w:val="none"/>
          <w:lang w:eastAsia="zh-CN"/>
          <w14:textFill>
            <w14:solidFill>
              <w14:schemeClr w14:val="tx1"/>
            </w14:solidFill>
          </w14:textFill>
        </w:rPr>
      </w:pPr>
      <w:r>
        <w:rPr>
          <w:rFonts w:hint="eastAsia" w:ascii="宋体" w:hAnsi="宋体" w:eastAsia="宋体" w:cs="宋体"/>
          <w:color w:val="000000" w:themeColor="text1"/>
          <w:w w:val="90"/>
          <w:kern w:val="0"/>
          <w:sz w:val="22"/>
          <w:szCs w:val="22"/>
          <w:highlight w:val="none"/>
          <w:lang w:eastAsia="zh-CN"/>
          <w14:textFill>
            <w14:solidFill>
              <w14:schemeClr w14:val="tx1"/>
            </w14:solidFill>
          </w14:textFill>
        </w:rPr>
        <w:t>日    期：      年    月    日</w:t>
      </w:r>
    </w:p>
    <w:p w14:paraId="2340D881">
      <w:pPr>
        <w:pStyle w:val="3"/>
        <w:rPr>
          <w:rFonts w:hint="eastAsia" w:ascii="宋体" w:hAnsi="宋体" w:eastAsia="宋体" w:cs="宋体"/>
          <w:color w:val="000000" w:themeColor="text1"/>
          <w:highlight w:val="none"/>
          <w14:textFill>
            <w14:solidFill>
              <w14:schemeClr w14:val="tx1"/>
            </w14:solidFill>
          </w14:textFill>
        </w:rPr>
      </w:pPr>
      <w:bookmarkStart w:id="142" w:name="_Toc28206"/>
      <w:bookmarkStart w:id="143" w:name="_Toc452032131"/>
      <w:bookmarkStart w:id="144" w:name="_Toc27668"/>
      <w:bookmarkStart w:id="145" w:name="_Toc2512"/>
      <w:r>
        <w:rPr>
          <w:rFonts w:hint="eastAsia" w:ascii="宋体" w:hAnsi="宋体" w:eastAsia="宋体" w:cs="宋体"/>
          <w:color w:val="000000" w:themeColor="text1"/>
          <w:highlight w:val="none"/>
          <w14:textFill>
            <w14:solidFill>
              <w14:schemeClr w14:val="tx1"/>
            </w14:solidFill>
          </w14:textFill>
        </w:rPr>
        <w:t>格式</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法定代表人（或负责人）</w:t>
      </w:r>
      <w:r>
        <w:rPr>
          <w:rFonts w:hint="eastAsia" w:ascii="宋体" w:hAnsi="宋体" w:eastAsia="宋体" w:cs="宋体"/>
          <w:color w:val="000000" w:themeColor="text1"/>
          <w:highlight w:val="none"/>
          <w14:textFill>
            <w14:solidFill>
              <w14:schemeClr w14:val="tx1"/>
            </w14:solidFill>
          </w14:textFill>
        </w:rPr>
        <w:t>授权委托书</w:t>
      </w:r>
      <w:bookmarkEnd w:id="142"/>
      <w:bookmarkEnd w:id="143"/>
      <w:bookmarkEnd w:id="144"/>
      <w:bookmarkEnd w:id="145"/>
    </w:p>
    <w:p w14:paraId="21244121">
      <w:pPr>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法定代表人（或负责人）授权委托书</w:t>
      </w:r>
    </w:p>
    <w:p w14:paraId="4FD2A9F9">
      <w:pPr>
        <w:rPr>
          <w:rFonts w:hint="eastAsia" w:ascii="宋体" w:hAnsi="宋体" w:eastAsia="宋体" w:cs="宋体"/>
          <w:b/>
          <w:color w:val="000000" w:themeColor="text1"/>
          <w:kern w:val="0"/>
          <w:sz w:val="22"/>
          <w:szCs w:val="22"/>
          <w:highlight w:val="none"/>
          <w:u w:val="single"/>
          <w14:textFill>
            <w14:solidFill>
              <w14:schemeClr w14:val="tx1"/>
            </w14:solidFill>
          </w14:textFill>
        </w:rPr>
      </w:pPr>
      <w:r>
        <w:rPr>
          <w:rFonts w:hint="eastAsia" w:ascii="宋体" w:hAnsi="宋体" w:eastAsia="宋体" w:cs="宋体"/>
          <w:b/>
          <w:color w:val="000000" w:themeColor="text1"/>
          <w:w w:val="90"/>
          <w:kern w:val="0"/>
          <w:sz w:val="22"/>
          <w:szCs w:val="22"/>
          <w:highlight w:val="none"/>
          <w:u w:val="single"/>
          <w:lang w:eastAsia="zh-CN"/>
          <w14:textFill>
            <w14:solidFill>
              <w14:schemeClr w14:val="tx1"/>
            </w14:solidFill>
          </w14:textFill>
        </w:rPr>
        <w:t>苍南县测绘院</w:t>
      </w:r>
      <w:r>
        <w:rPr>
          <w:rFonts w:hint="eastAsia" w:ascii="宋体" w:hAnsi="宋体" w:eastAsia="宋体" w:cs="宋体"/>
          <w:b/>
          <w:color w:val="000000" w:themeColor="text1"/>
          <w:w w:val="90"/>
          <w:kern w:val="0"/>
          <w:sz w:val="22"/>
          <w:szCs w:val="22"/>
          <w:highlight w:val="none"/>
          <w:u w:val="single"/>
          <w14:textFill>
            <w14:solidFill>
              <w14:schemeClr w14:val="tx1"/>
            </w14:solidFill>
          </w14:textFill>
        </w:rPr>
        <w:t>、</w:t>
      </w:r>
      <w:r>
        <w:rPr>
          <w:rFonts w:hint="eastAsia" w:ascii="宋体" w:hAnsi="宋体" w:eastAsia="宋体" w:cs="宋体"/>
          <w:b/>
          <w:color w:val="000000" w:themeColor="text1"/>
          <w:kern w:val="0"/>
          <w:sz w:val="22"/>
          <w:szCs w:val="22"/>
          <w:highlight w:val="none"/>
          <w:u w:val="single"/>
          <w:lang w:eastAsia="zh-CN"/>
          <w14:textFill>
            <w14:solidFill>
              <w14:schemeClr w14:val="tx1"/>
            </w14:solidFill>
          </w14:textFill>
        </w:rPr>
        <w:t>浙江之信工程项目管理有限公司</w:t>
      </w:r>
      <w:r>
        <w:rPr>
          <w:rFonts w:hint="eastAsia" w:ascii="宋体" w:hAnsi="宋体" w:eastAsia="宋体" w:cs="宋体"/>
          <w:b/>
          <w:color w:val="000000" w:themeColor="text1"/>
          <w:kern w:val="0"/>
          <w:sz w:val="22"/>
          <w:szCs w:val="22"/>
          <w:highlight w:val="none"/>
          <w14:textFill>
            <w14:solidFill>
              <w14:schemeClr w14:val="tx1"/>
            </w14:solidFill>
          </w14:textFill>
        </w:rPr>
        <w:t>：</w:t>
      </w:r>
    </w:p>
    <w:p w14:paraId="6A7929B4">
      <w:pPr>
        <w:rPr>
          <w:rFonts w:hint="eastAsia" w:ascii="宋体" w:hAnsi="宋体" w:eastAsia="宋体" w:cs="宋体"/>
          <w:color w:val="000000" w:themeColor="text1"/>
          <w:kern w:val="0"/>
          <w:sz w:val="22"/>
          <w:szCs w:val="22"/>
          <w:highlight w:val="none"/>
          <w14:textFill>
            <w14:solidFill>
              <w14:schemeClr w14:val="tx1"/>
            </w14:solidFill>
          </w14:textFill>
        </w:rPr>
      </w:pPr>
    </w:p>
    <w:p w14:paraId="1FFBEEB9">
      <w:pPr>
        <w:ind w:firstLine="440" w:firstLineChars="2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我</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（姓名）    </w:t>
      </w:r>
      <w:r>
        <w:rPr>
          <w:rFonts w:hint="eastAsia" w:ascii="宋体" w:hAnsi="宋体" w:eastAsia="宋体" w:cs="宋体"/>
          <w:color w:val="000000" w:themeColor="text1"/>
          <w:kern w:val="0"/>
          <w:sz w:val="22"/>
          <w:szCs w:val="22"/>
          <w:highlight w:val="none"/>
          <w14:textFill>
            <w14:solidFill>
              <w14:schemeClr w14:val="tx1"/>
            </w14:solidFill>
          </w14:textFill>
        </w:rPr>
        <w:t>系</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（投标银行名称）       </w:t>
      </w:r>
      <w:r>
        <w:rPr>
          <w:rFonts w:hint="eastAsia" w:ascii="宋体" w:hAnsi="宋体" w:eastAsia="宋体" w:cs="宋体"/>
          <w:color w:val="000000" w:themeColor="text1"/>
          <w:kern w:val="0"/>
          <w:sz w:val="22"/>
          <w:szCs w:val="22"/>
          <w:highlight w:val="none"/>
          <w14:textFill>
            <w14:solidFill>
              <w14:schemeClr w14:val="tx1"/>
            </w14:solidFill>
          </w14:textFill>
        </w:rPr>
        <w:t>的法定代表人，现授权委托本单位在职职工</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（姓名）    </w:t>
      </w:r>
      <w:r>
        <w:rPr>
          <w:rFonts w:hint="eastAsia" w:ascii="宋体" w:hAnsi="宋体" w:eastAsia="宋体" w:cs="宋体"/>
          <w:color w:val="000000" w:themeColor="text1"/>
          <w:kern w:val="0"/>
          <w:sz w:val="22"/>
          <w:szCs w:val="22"/>
          <w:highlight w:val="none"/>
          <w14:textFill>
            <w14:solidFill>
              <w14:schemeClr w14:val="tx1"/>
            </w14:solidFill>
          </w14:textFill>
        </w:rPr>
        <w:t xml:space="preserve">以我方的名义参加 </w:t>
      </w:r>
      <w:r>
        <w:rPr>
          <w:rFonts w:hint="eastAsia" w:ascii="宋体" w:hAnsi="宋体" w:eastAsia="宋体" w:cs="宋体"/>
          <w:b/>
          <w:color w:val="000000" w:themeColor="text1"/>
          <w:kern w:val="0"/>
          <w:sz w:val="22"/>
          <w:szCs w:val="22"/>
          <w:highlight w:val="none"/>
          <w:u w:val="single"/>
          <w:lang w:eastAsia="zh-CN"/>
          <w14:textFill>
            <w14:solidFill>
              <w14:schemeClr w14:val="tx1"/>
            </w14:solidFill>
          </w14:textFill>
        </w:rPr>
        <w:t>2025年度苍南县测绘院公款竞争性存放项目</w:t>
      </w:r>
      <w:r>
        <w:rPr>
          <w:rFonts w:hint="eastAsia" w:ascii="宋体" w:hAnsi="宋体" w:eastAsia="宋体" w:cs="宋体"/>
          <w:b/>
          <w:color w:val="000000" w:themeColor="text1"/>
          <w:kern w:val="0"/>
          <w:sz w:val="22"/>
          <w:szCs w:val="22"/>
          <w:highlight w:val="none"/>
          <w:u w:val="single"/>
          <w14:textFill>
            <w14:solidFill>
              <w14:schemeClr w14:val="tx1"/>
            </w14:solidFill>
          </w14:textFill>
        </w:rPr>
        <w:t>（项目编号：</w:t>
      </w:r>
      <w:r>
        <w:rPr>
          <w:rFonts w:hint="eastAsia" w:ascii="宋体" w:hAnsi="宋体" w:eastAsia="宋体" w:cs="宋体"/>
          <w:b/>
          <w:color w:val="000000" w:themeColor="text1"/>
          <w:kern w:val="0"/>
          <w:sz w:val="22"/>
          <w:szCs w:val="22"/>
          <w:highlight w:val="none"/>
          <w:u w:val="single"/>
          <w:lang w:eastAsia="zh-CN"/>
          <w14:textFill>
            <w14:solidFill>
              <w14:schemeClr w14:val="tx1"/>
            </w14:solidFill>
          </w14:textFill>
        </w:rPr>
        <w:t>苍产告字[2025]13号</w:t>
      </w:r>
      <w:r>
        <w:rPr>
          <w:rFonts w:hint="eastAsia" w:ascii="宋体" w:hAnsi="宋体" w:eastAsia="宋体" w:cs="宋体"/>
          <w:b/>
          <w:color w:val="000000" w:themeColor="text1"/>
          <w:kern w:val="0"/>
          <w:sz w:val="22"/>
          <w:szCs w:val="22"/>
          <w:highlight w:val="none"/>
          <w:u w:val="single"/>
          <w14:textFill>
            <w14:solidFill>
              <w14:schemeClr w14:val="tx1"/>
            </w14:solidFill>
          </w14:textFill>
        </w:rPr>
        <w:t>）</w:t>
      </w:r>
      <w:r>
        <w:rPr>
          <w:rFonts w:hint="eastAsia" w:ascii="宋体" w:hAnsi="宋体" w:eastAsia="宋体" w:cs="宋体"/>
          <w:color w:val="000000" w:themeColor="text1"/>
          <w:kern w:val="0"/>
          <w:sz w:val="22"/>
          <w:szCs w:val="22"/>
          <w:highlight w:val="none"/>
          <w14:textFill>
            <w14:solidFill>
              <w14:schemeClr w14:val="tx1"/>
            </w14:solidFill>
          </w14:textFill>
        </w:rPr>
        <w:t>的投标活动，并代表我方全权办理针对上述项目的投标、开标、评标、签约等具体事务和签署相关文件。</w:t>
      </w:r>
    </w:p>
    <w:p w14:paraId="06AEDC34">
      <w:pPr>
        <w:ind w:firstLine="440" w:firstLineChars="2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我方对被授权人的签名负全部责任。</w:t>
      </w:r>
    </w:p>
    <w:p w14:paraId="19541656">
      <w:pPr>
        <w:ind w:firstLine="440" w:firstLineChars="2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在撤销授权的书面通知以前，本授权书一直有效。被授权人在授权书有效期内签署的所有文件不因授权的撤销而失效。</w:t>
      </w:r>
    </w:p>
    <w:p w14:paraId="21FDDACF">
      <w:pPr>
        <w:ind w:firstLine="440" w:firstLineChars="2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被授权人无转委托权，特此委托。</w:t>
      </w:r>
    </w:p>
    <w:tbl>
      <w:tblPr>
        <w:tblStyle w:val="39"/>
        <w:tblW w:w="0" w:type="auto"/>
        <w:tblInd w:w="108"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037"/>
      </w:tblGrid>
      <w:tr w14:paraId="15F887D8">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2417" w:hRule="atLeast"/>
        </w:trPr>
        <w:tc>
          <w:tcPr>
            <w:tcW w:w="9037" w:type="dxa"/>
            <w:tcBorders>
              <w:top w:val="dotDash" w:color="BFBFBF" w:sz="4" w:space="0"/>
              <w:left w:val="dotDash" w:color="BFBFBF" w:sz="4" w:space="0"/>
              <w:bottom w:val="dotDash" w:color="BFBFBF" w:sz="4" w:space="0"/>
              <w:right w:val="dotDash" w:color="BFBFBF" w:sz="4" w:space="0"/>
            </w:tcBorders>
            <w:noWrap w:val="0"/>
            <w:vAlign w:val="center"/>
          </w:tcPr>
          <w:p w14:paraId="4D3EDF4B">
            <w:pPr>
              <w:jc w:val="center"/>
              <w:rPr>
                <w:rFonts w:hint="eastAsia" w:ascii="宋体" w:hAnsi="宋体" w:eastAsia="宋体" w:cs="宋体"/>
                <w:i/>
                <w:color w:val="000000" w:themeColor="text1"/>
                <w:kern w:val="0"/>
                <w:sz w:val="28"/>
                <w:szCs w:val="22"/>
                <w:highlight w:val="none"/>
                <w14:textFill>
                  <w14:solidFill>
                    <w14:schemeClr w14:val="tx1"/>
                  </w14:solidFill>
                </w14:textFill>
              </w:rPr>
            </w:pPr>
            <w:r>
              <w:rPr>
                <w:rFonts w:hint="eastAsia" w:ascii="宋体" w:hAnsi="宋体" w:eastAsia="宋体" w:cs="宋体"/>
                <w:i/>
                <w:color w:val="000000" w:themeColor="text1"/>
                <w:kern w:val="0"/>
                <w:sz w:val="28"/>
                <w:szCs w:val="22"/>
                <w:highlight w:val="none"/>
                <w14:textFill>
                  <w14:solidFill>
                    <w14:schemeClr w14:val="tx1"/>
                  </w14:solidFill>
                </w14:textFill>
              </w:rPr>
              <w:t>法定代表人身份证扫描件或复印件（正反面均须提供）</w:t>
            </w:r>
          </w:p>
        </w:tc>
      </w:tr>
      <w:tr w14:paraId="3102D915">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2417" w:hRule="atLeast"/>
        </w:trPr>
        <w:tc>
          <w:tcPr>
            <w:tcW w:w="9037" w:type="dxa"/>
            <w:tcBorders>
              <w:top w:val="dotDash" w:color="BFBFBF" w:sz="4" w:space="0"/>
              <w:left w:val="dotDash" w:color="BFBFBF" w:sz="4" w:space="0"/>
              <w:bottom w:val="dotDash" w:color="BFBFBF" w:sz="4" w:space="0"/>
              <w:right w:val="dotDash" w:color="BFBFBF" w:sz="4" w:space="0"/>
            </w:tcBorders>
            <w:noWrap w:val="0"/>
            <w:vAlign w:val="center"/>
          </w:tcPr>
          <w:p w14:paraId="3DD8565A">
            <w:pPr>
              <w:jc w:val="center"/>
              <w:rPr>
                <w:rFonts w:hint="eastAsia" w:ascii="宋体" w:hAnsi="宋体" w:eastAsia="宋体" w:cs="宋体"/>
                <w:i/>
                <w:color w:val="000000" w:themeColor="text1"/>
                <w:kern w:val="0"/>
                <w:sz w:val="28"/>
                <w:szCs w:val="22"/>
                <w:highlight w:val="none"/>
                <w14:textFill>
                  <w14:solidFill>
                    <w14:schemeClr w14:val="tx1"/>
                  </w14:solidFill>
                </w14:textFill>
              </w:rPr>
            </w:pPr>
            <w:r>
              <w:rPr>
                <w:rFonts w:hint="eastAsia" w:ascii="宋体" w:hAnsi="宋体" w:eastAsia="宋体" w:cs="宋体"/>
                <w:i/>
                <w:color w:val="000000" w:themeColor="text1"/>
                <w:kern w:val="0"/>
                <w:sz w:val="28"/>
                <w:szCs w:val="22"/>
                <w:highlight w:val="none"/>
                <w14:textFill>
                  <w14:solidFill>
                    <w14:schemeClr w14:val="tx1"/>
                  </w14:solidFill>
                </w14:textFill>
              </w:rPr>
              <w:t>被授权人（授权代表）身份证扫描件或复印件（正反面均须提供）</w:t>
            </w:r>
          </w:p>
        </w:tc>
      </w:tr>
    </w:tbl>
    <w:p w14:paraId="4CD5F825">
      <w:pPr>
        <w:rPr>
          <w:rFonts w:hint="eastAsia" w:ascii="宋体" w:hAnsi="宋体" w:eastAsia="宋体" w:cs="宋体"/>
          <w:color w:val="000000" w:themeColor="text1"/>
          <w:kern w:val="0"/>
          <w:sz w:val="22"/>
          <w:szCs w:val="22"/>
          <w:highlight w:val="none"/>
          <w:u w:val="singl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法定代表人签名（或盖章）：</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p>
    <w:p w14:paraId="0181DD40">
      <w:pP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职务：</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p>
    <w:p w14:paraId="4AA2013C">
      <w:pPr>
        <w:rPr>
          <w:rFonts w:hint="eastAsia" w:ascii="宋体" w:hAnsi="宋体" w:eastAsia="宋体" w:cs="宋体"/>
          <w:color w:val="000000" w:themeColor="text1"/>
          <w:kern w:val="0"/>
          <w:sz w:val="22"/>
          <w:szCs w:val="22"/>
          <w:highlight w:val="none"/>
          <w:u w:val="singl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被授权人身份证号码：</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p>
    <w:p w14:paraId="46AFC000">
      <w:pP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投标银行（公章）：</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p>
    <w:p w14:paraId="50A28836">
      <w:pP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时      间：</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年</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月</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日</w:t>
      </w:r>
    </w:p>
    <w:p w14:paraId="10C3610A">
      <w:pPr>
        <w:pStyle w:val="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br w:type="page"/>
      </w:r>
      <w:bookmarkStart w:id="146" w:name="_Toc30164"/>
      <w:bookmarkStart w:id="147" w:name="_Toc18640"/>
      <w:bookmarkStart w:id="148" w:name="_Toc17820"/>
      <w:bookmarkStart w:id="149" w:name="_Toc452032133"/>
      <w:r>
        <w:rPr>
          <w:rFonts w:hint="eastAsia" w:ascii="宋体" w:hAnsi="宋体" w:eastAsia="宋体" w:cs="宋体"/>
          <w:color w:val="000000" w:themeColor="text1"/>
          <w:highlight w:val="none"/>
          <w14:textFill>
            <w14:solidFill>
              <w14:schemeClr w14:val="tx1"/>
            </w14:solidFill>
          </w14:textFill>
        </w:rPr>
        <w:t>格式</w:t>
      </w: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、投标一览表</w:t>
      </w:r>
      <w:bookmarkEnd w:id="146"/>
      <w:bookmarkEnd w:id="147"/>
      <w:bookmarkEnd w:id="148"/>
      <w:bookmarkEnd w:id="149"/>
    </w:p>
    <w:p w14:paraId="0818ED06">
      <w:pPr>
        <w:jc w:val="center"/>
        <w:rPr>
          <w:rFonts w:hint="eastAsia" w:ascii="宋体" w:hAnsi="宋体" w:eastAsia="宋体" w:cs="宋体"/>
          <w:b/>
          <w:color w:val="000000" w:themeColor="text1"/>
          <w:kern w:val="0"/>
          <w:sz w:val="44"/>
          <w:szCs w:val="22"/>
          <w:highlight w:val="none"/>
          <w14:textFill>
            <w14:solidFill>
              <w14:schemeClr w14:val="tx1"/>
            </w14:solidFill>
          </w14:textFill>
        </w:rPr>
      </w:pPr>
      <w:r>
        <w:rPr>
          <w:rFonts w:hint="eastAsia" w:ascii="宋体" w:hAnsi="宋体" w:eastAsia="宋体" w:cs="宋体"/>
          <w:b/>
          <w:color w:val="000000" w:themeColor="text1"/>
          <w:kern w:val="0"/>
          <w:sz w:val="44"/>
          <w:szCs w:val="22"/>
          <w:highlight w:val="none"/>
          <w14:textFill>
            <w14:solidFill>
              <w14:schemeClr w14:val="tx1"/>
            </w14:solidFill>
          </w14:textFill>
        </w:rPr>
        <w:t>投标一览表</w:t>
      </w:r>
    </w:p>
    <w:p w14:paraId="1C05632C">
      <w:pP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项目名称：</w:t>
      </w:r>
      <w:r>
        <w:rPr>
          <w:rFonts w:hint="eastAsia" w:ascii="宋体" w:hAnsi="宋体" w:eastAsia="宋体" w:cs="宋体"/>
          <w:b/>
          <w:color w:val="000000" w:themeColor="text1"/>
          <w:sz w:val="22"/>
          <w:szCs w:val="22"/>
          <w:highlight w:val="none"/>
          <w:u w:val="single"/>
          <w:lang w:eastAsia="zh-CN"/>
          <w14:textFill>
            <w14:solidFill>
              <w14:schemeClr w14:val="tx1"/>
            </w14:solidFill>
          </w14:textFill>
        </w:rPr>
        <w:t>2025年度苍南县测绘院公款竞争性存放项目</w:t>
      </w:r>
    </w:p>
    <w:p w14:paraId="12BA88E9">
      <w:pPr>
        <w:rPr>
          <w:rFonts w:hint="eastAsia" w:ascii="宋体" w:hAnsi="宋体" w:eastAsia="宋体" w:cs="宋体"/>
          <w:b/>
          <w:color w:val="000000" w:themeColor="text1"/>
          <w:sz w:val="22"/>
          <w:szCs w:val="22"/>
          <w:highlight w:val="none"/>
          <w:u w:val="single"/>
          <w:lang w:eastAsia="zh-CN"/>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项目编号：</w:t>
      </w:r>
      <w:r>
        <w:rPr>
          <w:rFonts w:hint="eastAsia" w:ascii="宋体" w:hAnsi="宋体" w:eastAsia="宋体" w:cs="宋体"/>
          <w:b/>
          <w:color w:val="000000" w:themeColor="text1"/>
          <w:kern w:val="0"/>
          <w:sz w:val="22"/>
          <w:szCs w:val="22"/>
          <w:highlight w:val="none"/>
          <w:u w:val="single"/>
          <w:lang w:eastAsia="zh-CN"/>
          <w14:textFill>
            <w14:solidFill>
              <w14:schemeClr w14:val="tx1"/>
            </w14:solidFill>
          </w14:textFill>
        </w:rPr>
        <w:t>苍产告字[2025]13号</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7230"/>
      </w:tblGrid>
      <w:tr w14:paraId="421A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644" w:type="dxa"/>
            <w:noWrap w:val="0"/>
            <w:vAlign w:val="center"/>
          </w:tcPr>
          <w:p w14:paraId="252BF4BF">
            <w:pPr>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项目名称</w:t>
            </w:r>
          </w:p>
        </w:tc>
        <w:tc>
          <w:tcPr>
            <w:tcW w:w="7230" w:type="dxa"/>
            <w:noWrap w:val="0"/>
            <w:vAlign w:val="center"/>
          </w:tcPr>
          <w:p w14:paraId="7CDDBC19">
            <w:pPr>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2025年度苍南县测绘院公款竞争性存放项目</w:t>
            </w:r>
          </w:p>
        </w:tc>
      </w:tr>
      <w:tr w14:paraId="49ACB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1644" w:type="dxa"/>
            <w:noWrap w:val="0"/>
            <w:vAlign w:val="center"/>
          </w:tcPr>
          <w:p w14:paraId="61501AF3">
            <w:pPr>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投标报价</w:t>
            </w:r>
          </w:p>
        </w:tc>
        <w:tc>
          <w:tcPr>
            <w:tcW w:w="7230" w:type="dxa"/>
            <w:noWrap w:val="0"/>
            <w:vAlign w:val="center"/>
          </w:tcPr>
          <w:p w14:paraId="10227062">
            <w:pPr>
              <w:jc w:val="left"/>
              <w:rPr>
                <w:rFonts w:hint="eastAsia" w:ascii="宋体" w:hAnsi="宋体" w:eastAsia="宋体" w:cs="宋体"/>
                <w:i/>
                <w:color w:val="000000" w:themeColor="text1"/>
                <w:w w:val="90"/>
                <w:kern w:val="0"/>
                <w:sz w:val="22"/>
                <w:szCs w:val="22"/>
                <w:highlight w:val="none"/>
                <w:u w:val="singl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定期存款</w:t>
            </w:r>
            <w:r>
              <w:rPr>
                <w:rFonts w:hint="eastAsia" w:ascii="宋体" w:hAnsi="宋体" w:eastAsia="宋体" w:cs="宋体"/>
                <w:color w:val="000000" w:themeColor="text1"/>
                <w:sz w:val="24"/>
                <w:highlight w:val="none"/>
                <w14:textFill>
                  <w14:solidFill>
                    <w14:schemeClr w14:val="tx1"/>
                  </w14:solidFill>
                </w14:textFill>
              </w:rPr>
              <w:t>利率为央行存款基准利率基础上</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i w:val="0"/>
                <w:caps w:val="0"/>
                <w:color w:val="000000" w:themeColor="text1"/>
                <w:spacing w:val="0"/>
                <w:sz w:val="24"/>
                <w:szCs w:val="24"/>
                <w:shd w:val="clear" w:color="auto" w:fill="FFFFFF"/>
                <w:lang w:val="en-US" w:eastAsia="zh-CN"/>
                <w14:textFill>
                  <w14:solidFill>
                    <w14:schemeClr w14:val="tx1"/>
                  </w14:solidFill>
                </w14:textFill>
              </w:rPr>
              <w:t>BP。</w:t>
            </w:r>
          </w:p>
        </w:tc>
      </w:tr>
    </w:tbl>
    <w:p w14:paraId="2FE2EEB5">
      <w:pP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b/>
          <w:color w:val="000000" w:themeColor="text1"/>
          <w:kern w:val="0"/>
          <w:sz w:val="22"/>
          <w:szCs w:val="22"/>
          <w:highlight w:val="none"/>
          <w:u w:val="single"/>
          <w14:textFill>
            <w14:solidFill>
              <w14:schemeClr w14:val="tx1"/>
            </w14:solidFill>
          </w14:textFill>
        </w:rPr>
        <w:t>注：报价一经涂改，应在涂改处加盖单位公章或者由法定代表人或授权委托人签字或盖章，否则其投标作无效标处理。</w:t>
      </w:r>
    </w:p>
    <w:p w14:paraId="056D5CBD">
      <w:pPr>
        <w:rPr>
          <w:rFonts w:hint="eastAsia" w:ascii="宋体" w:hAnsi="宋体" w:eastAsia="宋体" w:cs="宋体"/>
          <w:color w:val="000000" w:themeColor="text1"/>
          <w:kern w:val="0"/>
          <w:sz w:val="22"/>
          <w:szCs w:val="22"/>
          <w:highlight w:val="none"/>
          <w14:textFill>
            <w14:solidFill>
              <w14:schemeClr w14:val="tx1"/>
            </w14:solidFill>
          </w14:textFill>
        </w:rPr>
      </w:pPr>
    </w:p>
    <w:p w14:paraId="2F9E6C67">
      <w:pPr>
        <w:rPr>
          <w:rFonts w:hint="eastAsia" w:ascii="宋体" w:hAnsi="宋体" w:eastAsia="宋体" w:cs="宋体"/>
          <w:color w:val="000000" w:themeColor="text1"/>
          <w:kern w:val="0"/>
          <w:sz w:val="22"/>
          <w:szCs w:val="22"/>
          <w:highlight w:val="none"/>
          <w14:textFill>
            <w14:solidFill>
              <w14:schemeClr w14:val="tx1"/>
            </w14:solidFill>
          </w14:textFill>
        </w:rPr>
      </w:pPr>
    </w:p>
    <w:p w14:paraId="52016D24">
      <w:pPr>
        <w:snapToGrid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投标银行名称（盖章）：</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14:paraId="6BED6EA2">
      <w:pPr>
        <w:snapToGrid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法定代表人</w:t>
      </w:r>
      <w:r>
        <w:rPr>
          <w:rFonts w:hint="eastAsia" w:ascii="宋体" w:hAnsi="宋体" w:eastAsia="宋体" w:cs="宋体"/>
          <w:color w:val="000000" w:themeColor="text1"/>
          <w:sz w:val="22"/>
          <w:szCs w:val="22"/>
          <w:highlight w:val="none"/>
          <w14:textFill>
            <w14:solidFill>
              <w14:schemeClr w14:val="tx1"/>
            </w14:solidFill>
          </w14:textFill>
        </w:rPr>
        <w:t>或其授权代表（签字或盖章）：</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14:paraId="5AC2D238">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 xml:space="preserve">日期： </w:t>
      </w:r>
      <w:r>
        <w:rPr>
          <w:rFonts w:hint="eastAsia" w:ascii="宋体" w:hAnsi="宋体" w:eastAsia="宋体" w:cs="宋体"/>
          <w:color w:val="000000" w:themeColor="text1"/>
          <w:highlight w:val="none"/>
          <w14:textFill>
            <w14:solidFill>
              <w14:schemeClr w14:val="tx1"/>
            </w14:solidFill>
          </w14:textFill>
        </w:rPr>
        <w:t xml:space="preserve">                                        </w:t>
      </w:r>
    </w:p>
    <w:p w14:paraId="4480A251">
      <w:pPr>
        <w:pStyle w:val="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br w:type="page"/>
      </w:r>
      <w:bookmarkStart w:id="150" w:name="_Toc11824"/>
      <w:bookmarkStart w:id="151" w:name="_Toc25712"/>
      <w:bookmarkStart w:id="152" w:name="_Toc452032134"/>
      <w:bookmarkStart w:id="153" w:name="_Toc6200"/>
      <w:r>
        <w:rPr>
          <w:rFonts w:hint="eastAsia" w:ascii="宋体" w:hAnsi="宋体" w:eastAsia="宋体" w:cs="宋体"/>
          <w:color w:val="000000" w:themeColor="text1"/>
          <w:highlight w:val="none"/>
          <w14:textFill>
            <w14:solidFill>
              <w14:schemeClr w14:val="tx1"/>
            </w14:solidFill>
          </w14:textFill>
        </w:rPr>
        <w:t>格式</w:t>
      </w: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、营业执照</w:t>
      </w:r>
      <w:bookmarkEnd w:id="150"/>
      <w:bookmarkEnd w:id="151"/>
      <w:bookmarkEnd w:id="152"/>
      <w:bookmarkEnd w:id="153"/>
    </w:p>
    <w:p w14:paraId="52130F74">
      <w:pPr>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营业执照</w:t>
      </w:r>
    </w:p>
    <w:tbl>
      <w:tblPr>
        <w:tblStyle w:val="39"/>
        <w:tblW w:w="0" w:type="auto"/>
        <w:jc w:val="center"/>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050"/>
      </w:tblGrid>
      <w:tr w14:paraId="3E08B457">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jc w:val="center"/>
        </w:trPr>
        <w:tc>
          <w:tcPr>
            <w:tcW w:w="9050" w:type="dxa"/>
            <w:noWrap w:val="0"/>
            <w:vAlign w:val="center"/>
          </w:tcPr>
          <w:p w14:paraId="1F46BD5D">
            <w:pPr>
              <w:jc w:val="center"/>
              <w:rPr>
                <w:rFonts w:hint="eastAsia" w:ascii="宋体" w:hAnsi="宋体" w:eastAsia="宋体" w:cs="宋体"/>
                <w:i/>
                <w:color w:val="000000" w:themeColor="text1"/>
                <w:szCs w:val="21"/>
                <w:highlight w:val="none"/>
                <w14:textFill>
                  <w14:solidFill>
                    <w14:schemeClr w14:val="tx1"/>
                  </w14:solidFill>
                </w14:textFill>
              </w:rPr>
            </w:pPr>
            <w:r>
              <w:rPr>
                <w:rFonts w:hint="eastAsia" w:ascii="宋体" w:hAnsi="宋体" w:eastAsia="宋体" w:cs="宋体"/>
                <w:i/>
                <w:color w:val="000000" w:themeColor="text1"/>
                <w:kern w:val="0"/>
                <w:sz w:val="28"/>
                <w:szCs w:val="22"/>
                <w:highlight w:val="none"/>
                <w14:textFill>
                  <w14:solidFill>
                    <w14:schemeClr w14:val="tx1"/>
                  </w14:solidFill>
                </w14:textFill>
              </w:rPr>
              <w:t>投标银行营业执照复印件</w:t>
            </w:r>
            <w:r>
              <w:rPr>
                <w:rFonts w:hint="eastAsia" w:ascii="宋体" w:hAnsi="宋体" w:eastAsia="宋体" w:cs="宋体"/>
                <w:i/>
                <w:color w:val="000000" w:themeColor="text1"/>
                <w:kern w:val="0"/>
                <w:sz w:val="28"/>
                <w:szCs w:val="22"/>
                <w:highlight w:val="none"/>
                <w:lang w:eastAsia="zh-CN"/>
                <w14:textFill>
                  <w14:solidFill>
                    <w14:schemeClr w14:val="tx1"/>
                  </w14:solidFill>
                </w14:textFill>
              </w:rPr>
              <w:t>（</w:t>
            </w:r>
            <w:r>
              <w:rPr>
                <w:rFonts w:hint="eastAsia" w:ascii="宋体" w:hAnsi="宋体" w:eastAsia="宋体" w:cs="宋体"/>
                <w:i/>
                <w:color w:val="000000" w:themeColor="text1"/>
                <w:w w:val="100"/>
                <w:kern w:val="0"/>
                <w:sz w:val="28"/>
                <w:szCs w:val="22"/>
                <w:highlight w:val="none"/>
                <w14:textFill>
                  <w14:solidFill>
                    <w14:schemeClr w14:val="tx1"/>
                  </w14:solidFill>
                </w14:textFill>
              </w:rPr>
              <w:t>加盖投标银行公章</w:t>
            </w:r>
            <w:r>
              <w:rPr>
                <w:rFonts w:hint="eastAsia" w:ascii="宋体" w:hAnsi="宋体" w:eastAsia="宋体" w:cs="宋体"/>
                <w:i/>
                <w:color w:val="000000" w:themeColor="text1"/>
                <w:kern w:val="0"/>
                <w:sz w:val="28"/>
                <w:szCs w:val="22"/>
                <w:highlight w:val="none"/>
                <w:lang w:eastAsia="zh-CN"/>
                <w14:textFill>
                  <w14:solidFill>
                    <w14:schemeClr w14:val="tx1"/>
                  </w14:solidFill>
                </w14:textFill>
              </w:rPr>
              <w:t>）</w:t>
            </w:r>
          </w:p>
        </w:tc>
      </w:tr>
    </w:tbl>
    <w:p w14:paraId="73DEE679">
      <w:pPr>
        <w:rPr>
          <w:rFonts w:hint="eastAsia" w:ascii="宋体" w:hAnsi="宋体" w:eastAsia="宋体" w:cs="宋体"/>
          <w:i/>
          <w:color w:val="000000" w:themeColor="text1"/>
          <w:sz w:val="22"/>
          <w:szCs w:val="22"/>
          <w:highlight w:val="none"/>
          <w14:textFill>
            <w14:solidFill>
              <w14:schemeClr w14:val="tx1"/>
            </w14:solidFill>
          </w14:textFill>
        </w:rPr>
      </w:pPr>
    </w:p>
    <w:p w14:paraId="5CC050FD">
      <w:pPr>
        <w:rPr>
          <w:rFonts w:hint="eastAsia" w:ascii="宋体" w:hAnsi="宋体" w:eastAsia="宋体" w:cs="宋体"/>
          <w:i/>
          <w:color w:val="000000" w:themeColor="text1"/>
          <w:sz w:val="22"/>
          <w:szCs w:val="22"/>
          <w:highlight w:val="none"/>
          <w14:textFill>
            <w14:solidFill>
              <w14:schemeClr w14:val="tx1"/>
            </w14:solidFill>
          </w14:textFill>
        </w:rPr>
      </w:pPr>
    </w:p>
    <w:p w14:paraId="76D92286">
      <w:pPr>
        <w:pStyle w:val="3"/>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br w:type="page"/>
      </w:r>
      <w:bookmarkStart w:id="154" w:name="_Toc452032136"/>
      <w:bookmarkStart w:id="155" w:name="_Toc31827"/>
      <w:bookmarkStart w:id="156" w:name="_Toc15833"/>
      <w:bookmarkStart w:id="157" w:name="_Toc22957"/>
      <w:r>
        <w:rPr>
          <w:rFonts w:hint="eastAsia" w:ascii="宋体" w:hAnsi="宋体" w:eastAsia="宋体" w:cs="宋体"/>
          <w:color w:val="000000" w:themeColor="text1"/>
          <w:highlight w:val="none"/>
          <w14:textFill>
            <w14:solidFill>
              <w14:schemeClr w14:val="tx1"/>
            </w14:solidFill>
          </w14:textFill>
        </w:rPr>
        <w:t>格式</w:t>
      </w:r>
      <w:r>
        <w:rPr>
          <w:rFonts w:hint="eastAsia" w:ascii="宋体" w:hAnsi="宋体" w:eastAsia="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中华人民共和国金融许可证</w:t>
      </w:r>
      <w:bookmarkEnd w:id="154"/>
      <w:bookmarkEnd w:id="155"/>
      <w:bookmarkEnd w:id="156"/>
      <w:bookmarkEnd w:id="157"/>
    </w:p>
    <w:p w14:paraId="761E3E66">
      <w:pPr>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中华人民共和国金融许可证</w:t>
      </w:r>
    </w:p>
    <w:tbl>
      <w:tblPr>
        <w:tblStyle w:val="39"/>
        <w:tblW w:w="0" w:type="auto"/>
        <w:jc w:val="center"/>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8941"/>
      </w:tblGrid>
      <w:tr w14:paraId="325F6725">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jc w:val="center"/>
        </w:trPr>
        <w:tc>
          <w:tcPr>
            <w:tcW w:w="8941" w:type="dxa"/>
            <w:noWrap w:val="0"/>
            <w:vAlign w:val="center"/>
          </w:tcPr>
          <w:p w14:paraId="64027407">
            <w:pPr>
              <w:jc w:val="center"/>
              <w:rPr>
                <w:rFonts w:hint="eastAsia" w:ascii="宋体" w:hAnsi="宋体" w:eastAsia="宋体" w:cs="宋体"/>
                <w:i/>
                <w:color w:val="000000" w:themeColor="text1"/>
                <w:szCs w:val="21"/>
                <w:highlight w:val="none"/>
                <w14:textFill>
                  <w14:solidFill>
                    <w14:schemeClr w14:val="tx1"/>
                  </w14:solidFill>
                </w14:textFill>
              </w:rPr>
            </w:pPr>
            <w:r>
              <w:rPr>
                <w:rFonts w:hint="eastAsia" w:ascii="宋体" w:hAnsi="宋体" w:eastAsia="宋体" w:cs="宋体"/>
                <w:i/>
                <w:color w:val="000000" w:themeColor="text1"/>
                <w:kern w:val="0"/>
                <w:sz w:val="28"/>
                <w:szCs w:val="22"/>
                <w:highlight w:val="none"/>
                <w14:textFill>
                  <w14:solidFill>
                    <w14:schemeClr w14:val="tx1"/>
                  </w14:solidFill>
                </w14:textFill>
              </w:rPr>
              <w:t>提供总机构中华人民共和国金融许可证</w:t>
            </w:r>
            <w:r>
              <w:rPr>
                <w:rFonts w:hint="eastAsia" w:ascii="宋体" w:hAnsi="宋体" w:eastAsia="宋体" w:cs="宋体"/>
                <w:i/>
                <w:color w:val="000000" w:themeColor="text1"/>
                <w:kern w:val="0"/>
                <w:sz w:val="28"/>
                <w:szCs w:val="22"/>
                <w:highlight w:val="none"/>
                <w:lang w:eastAsia="zh-CN"/>
                <w14:textFill>
                  <w14:solidFill>
                    <w14:schemeClr w14:val="tx1"/>
                  </w14:solidFill>
                </w14:textFill>
              </w:rPr>
              <w:t>（</w:t>
            </w:r>
            <w:r>
              <w:rPr>
                <w:rFonts w:hint="eastAsia" w:ascii="宋体" w:hAnsi="宋体" w:eastAsia="宋体" w:cs="宋体"/>
                <w:i/>
                <w:color w:val="000000" w:themeColor="text1"/>
                <w:w w:val="100"/>
                <w:kern w:val="0"/>
                <w:sz w:val="28"/>
                <w:szCs w:val="22"/>
                <w:highlight w:val="none"/>
                <w14:textFill>
                  <w14:solidFill>
                    <w14:schemeClr w14:val="tx1"/>
                  </w14:solidFill>
                </w14:textFill>
              </w:rPr>
              <w:t>加盖投标银行公章</w:t>
            </w:r>
            <w:r>
              <w:rPr>
                <w:rFonts w:hint="eastAsia" w:ascii="宋体" w:hAnsi="宋体" w:eastAsia="宋体" w:cs="宋体"/>
                <w:i/>
                <w:color w:val="000000" w:themeColor="text1"/>
                <w:kern w:val="0"/>
                <w:sz w:val="28"/>
                <w:szCs w:val="22"/>
                <w:highlight w:val="none"/>
                <w:lang w:eastAsia="zh-CN"/>
                <w14:textFill>
                  <w14:solidFill>
                    <w14:schemeClr w14:val="tx1"/>
                  </w14:solidFill>
                </w14:textFill>
              </w:rPr>
              <w:t>）</w:t>
            </w:r>
          </w:p>
        </w:tc>
      </w:tr>
    </w:tbl>
    <w:p w14:paraId="0861611A">
      <w:pPr>
        <w:pStyle w:val="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i/>
          <w:color w:val="000000" w:themeColor="text1"/>
          <w:sz w:val="22"/>
          <w:szCs w:val="22"/>
          <w:highlight w:val="none"/>
          <w14:textFill>
            <w14:solidFill>
              <w14:schemeClr w14:val="tx1"/>
            </w14:solidFill>
          </w14:textFill>
        </w:rPr>
        <w:br w:type="page"/>
      </w:r>
      <w:bookmarkStart w:id="158" w:name="_Toc11154"/>
      <w:bookmarkStart w:id="159" w:name="_Toc452032137"/>
      <w:bookmarkStart w:id="160" w:name="_Toc8499"/>
      <w:bookmarkStart w:id="161" w:name="_Toc30706"/>
      <w:r>
        <w:rPr>
          <w:rFonts w:hint="eastAsia" w:ascii="宋体" w:hAnsi="宋体" w:eastAsia="宋体" w:cs="宋体"/>
          <w:color w:val="000000" w:themeColor="text1"/>
          <w:highlight w:val="none"/>
          <w14:textFill>
            <w14:solidFill>
              <w14:schemeClr w14:val="tx1"/>
            </w14:solidFill>
          </w14:textFill>
        </w:rPr>
        <w:t>格式</w:t>
      </w:r>
      <w:r>
        <w:rPr>
          <w:rFonts w:hint="eastAsia" w:ascii="宋体" w:hAnsi="宋体" w:eastAsia="宋体" w:cs="宋体"/>
          <w:color w:val="000000" w:themeColor="text1"/>
          <w:highlight w:val="none"/>
          <w:lang w:val="en-US" w:eastAsia="zh-CN"/>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t>、</w:t>
      </w:r>
      <w:bookmarkEnd w:id="158"/>
      <w:bookmarkEnd w:id="159"/>
      <w:bookmarkEnd w:id="160"/>
      <w:bookmarkEnd w:id="161"/>
      <w:bookmarkStart w:id="162" w:name="_Toc8642"/>
      <w:bookmarkStart w:id="163" w:name="_Toc825"/>
      <w:bookmarkStart w:id="164" w:name="_Toc11980"/>
      <w:bookmarkStart w:id="165" w:name="_Toc452032139"/>
      <w:r>
        <w:rPr>
          <w:rFonts w:hint="eastAsia" w:ascii="宋体" w:hAnsi="宋体" w:eastAsia="宋体" w:cs="宋体"/>
          <w:color w:val="000000" w:themeColor="text1"/>
          <w:szCs w:val="22"/>
          <w:highlight w:val="none"/>
          <w14:textFill>
            <w14:solidFill>
              <w14:schemeClr w14:val="tx1"/>
            </w14:solidFill>
          </w14:textFill>
        </w:rPr>
        <w:t>近三年内未发生金融风险及重大违约违法违纪声明</w:t>
      </w:r>
      <w:bookmarkEnd w:id="162"/>
      <w:bookmarkEnd w:id="163"/>
      <w:bookmarkEnd w:id="164"/>
      <w:bookmarkEnd w:id="165"/>
    </w:p>
    <w:p w14:paraId="1C1C3B4E">
      <w:pPr>
        <w:ind w:firstLine="389"/>
        <w:rPr>
          <w:rFonts w:hint="eastAsia" w:ascii="宋体" w:hAnsi="宋体" w:eastAsia="宋体" w:cs="宋体"/>
          <w:color w:val="000000" w:themeColor="text1"/>
          <w:highlight w:val="none"/>
          <w14:textFill>
            <w14:solidFill>
              <w14:schemeClr w14:val="tx1"/>
            </w14:solidFill>
          </w14:textFill>
        </w:rPr>
      </w:pPr>
    </w:p>
    <w:p w14:paraId="2B31576E">
      <w:pPr>
        <w:widowControl/>
        <w:jc w:val="center"/>
        <w:rPr>
          <w:rFonts w:hint="eastAsia" w:ascii="宋体" w:hAnsi="宋体" w:eastAsia="宋体" w:cs="宋体"/>
          <w:b/>
          <w:color w:val="000000" w:themeColor="text1"/>
          <w:w w:val="80"/>
          <w:kern w:val="0"/>
          <w:sz w:val="44"/>
          <w:szCs w:val="44"/>
          <w:highlight w:val="none"/>
          <w14:textFill>
            <w14:solidFill>
              <w14:schemeClr w14:val="tx1"/>
            </w14:solidFill>
          </w14:textFill>
        </w:rPr>
      </w:pPr>
      <w:r>
        <w:rPr>
          <w:rFonts w:hint="eastAsia" w:ascii="宋体" w:hAnsi="宋体" w:eastAsia="宋体" w:cs="宋体"/>
          <w:b/>
          <w:color w:val="000000" w:themeColor="text1"/>
          <w:w w:val="80"/>
          <w:kern w:val="0"/>
          <w:sz w:val="44"/>
          <w:szCs w:val="44"/>
          <w:highlight w:val="none"/>
          <w14:textFill>
            <w14:solidFill>
              <w14:schemeClr w14:val="tx1"/>
            </w14:solidFill>
          </w14:textFill>
        </w:rPr>
        <w:t>近三年内未发生金融风险及重大违约违法违纪事件声明</w:t>
      </w:r>
    </w:p>
    <w:p w14:paraId="1E19C679">
      <w:pPr>
        <w:widowControl/>
        <w:jc w:val="center"/>
        <w:rPr>
          <w:rFonts w:hint="eastAsia" w:ascii="宋体" w:hAnsi="宋体" w:eastAsia="宋体" w:cs="宋体"/>
          <w:b/>
          <w:color w:val="000000" w:themeColor="text1"/>
          <w:w w:val="80"/>
          <w:kern w:val="0"/>
          <w:sz w:val="28"/>
          <w:szCs w:val="44"/>
          <w:highlight w:val="none"/>
          <w14:textFill>
            <w14:solidFill>
              <w14:schemeClr w14:val="tx1"/>
            </w14:solidFill>
          </w14:textFill>
        </w:rPr>
      </w:pPr>
    </w:p>
    <w:p w14:paraId="26EB66A5">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w w:val="90"/>
          <w:kern w:val="0"/>
          <w:sz w:val="24"/>
          <w:highlight w:val="none"/>
          <w:u w:val="single"/>
          <w:lang w:eastAsia="zh-CN"/>
          <w14:textFill>
            <w14:solidFill>
              <w14:schemeClr w14:val="tx1"/>
            </w14:solidFill>
          </w14:textFill>
        </w:rPr>
        <w:t>苍南县测绘院</w:t>
      </w:r>
      <w:r>
        <w:rPr>
          <w:rFonts w:hint="eastAsia" w:ascii="宋体" w:hAnsi="宋体" w:eastAsia="宋体" w:cs="宋体"/>
          <w:b/>
          <w:color w:val="000000" w:themeColor="text1"/>
          <w:w w:val="90"/>
          <w:kern w:val="0"/>
          <w:sz w:val="24"/>
          <w:highlight w:val="none"/>
          <w:u w:val="single"/>
          <w14:textFill>
            <w14:solidFill>
              <w14:schemeClr w14:val="tx1"/>
            </w14:solidFill>
          </w14:textFill>
        </w:rPr>
        <w:t>、</w:t>
      </w:r>
      <w:r>
        <w:rPr>
          <w:rFonts w:hint="eastAsia" w:ascii="宋体" w:hAnsi="宋体" w:eastAsia="宋体" w:cs="宋体"/>
          <w:b/>
          <w:color w:val="000000" w:themeColor="text1"/>
          <w:w w:val="90"/>
          <w:kern w:val="0"/>
          <w:sz w:val="24"/>
          <w:highlight w:val="none"/>
          <w:u w:val="single"/>
          <w:lang w:eastAsia="zh-CN"/>
          <w14:textFill>
            <w14:solidFill>
              <w14:schemeClr w14:val="tx1"/>
            </w14:solidFill>
          </w14:textFill>
        </w:rPr>
        <w:t>浙江之信工程项目管理有限公司</w:t>
      </w:r>
      <w:r>
        <w:rPr>
          <w:rFonts w:hint="eastAsia" w:ascii="宋体" w:hAnsi="宋体" w:eastAsia="宋体" w:cs="宋体"/>
          <w:b/>
          <w:color w:val="000000" w:themeColor="text1"/>
          <w:w w:val="90"/>
          <w:kern w:val="0"/>
          <w:sz w:val="24"/>
          <w:highlight w:val="none"/>
          <w:u w:val="single"/>
          <w14:textFill>
            <w14:solidFill>
              <w14:schemeClr w14:val="tx1"/>
            </w14:solidFill>
          </w14:textFill>
        </w:rPr>
        <w:t>：</w:t>
      </w:r>
    </w:p>
    <w:p w14:paraId="22E3E3C2">
      <w:pPr>
        <w:rPr>
          <w:rFonts w:hint="eastAsia" w:ascii="宋体" w:hAnsi="宋体" w:eastAsia="宋体" w:cs="宋体"/>
          <w:color w:val="000000" w:themeColor="text1"/>
          <w:sz w:val="24"/>
          <w:highlight w:val="none"/>
          <w:u w:val="single"/>
          <w14:textFill>
            <w14:solidFill>
              <w14:schemeClr w14:val="tx1"/>
            </w14:solidFill>
          </w14:textFill>
        </w:rPr>
      </w:pPr>
    </w:p>
    <w:p w14:paraId="334FA3B8">
      <w:pPr>
        <w:ind w:firstLine="470"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w:t>
      </w:r>
      <w:r>
        <w:rPr>
          <w:rFonts w:hint="eastAsia" w:ascii="宋体" w:hAnsi="宋体" w:eastAsia="宋体" w:cs="宋体"/>
          <w:color w:val="000000" w:themeColor="text1"/>
          <w:sz w:val="24"/>
          <w:highlight w:val="none"/>
          <w:u w:val="single"/>
          <w14:textFill>
            <w14:solidFill>
              <w14:schemeClr w14:val="tx1"/>
            </w14:solidFill>
          </w14:textFill>
        </w:rPr>
        <w:t xml:space="preserve">        （投标银行名称）             </w:t>
      </w:r>
      <w:r>
        <w:rPr>
          <w:rFonts w:hint="eastAsia" w:ascii="宋体" w:hAnsi="宋体" w:eastAsia="宋体" w:cs="宋体"/>
          <w:color w:val="000000" w:themeColor="text1"/>
          <w:sz w:val="24"/>
          <w:highlight w:val="none"/>
          <w14:textFill>
            <w14:solidFill>
              <w14:schemeClr w14:val="tx1"/>
            </w14:solidFill>
          </w14:textFill>
        </w:rPr>
        <w:t>在参加本项目投标活动前三年内，未发生金融风险、重大违约、违法违纪行为</w:t>
      </w:r>
      <w:r>
        <w:rPr>
          <w:rFonts w:hint="eastAsia" w:ascii="宋体" w:hAnsi="宋体" w:eastAsia="宋体" w:cs="宋体"/>
          <w:color w:val="000000" w:themeColor="text1"/>
          <w:kern w:val="0"/>
          <w:sz w:val="24"/>
          <w:highlight w:val="none"/>
          <w14:textFill>
            <w14:solidFill>
              <w14:schemeClr w14:val="tx1"/>
            </w14:solidFill>
          </w14:textFill>
        </w:rPr>
        <w:t>。如有虚假，招标人可取消我方任何资格（投标/谈判/中标（成交）/签订合同），我方对此无任何异议。</w:t>
      </w:r>
    </w:p>
    <w:p w14:paraId="01D617D2">
      <w:pPr>
        <w:ind w:firstLine="470" w:firstLineChars="196"/>
        <w:rPr>
          <w:rFonts w:hint="eastAsia" w:ascii="宋体" w:hAnsi="宋体" w:eastAsia="宋体" w:cs="宋体"/>
          <w:color w:val="000000" w:themeColor="text1"/>
          <w:kern w:val="0"/>
          <w:sz w:val="24"/>
          <w:highlight w:val="none"/>
          <w14:textFill>
            <w14:solidFill>
              <w14:schemeClr w14:val="tx1"/>
            </w14:solidFill>
          </w14:textFill>
        </w:rPr>
      </w:pPr>
    </w:p>
    <w:p w14:paraId="583E5183">
      <w:pP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特此声明</w:t>
      </w:r>
    </w:p>
    <w:p w14:paraId="28621C59">
      <w:pPr>
        <w:rPr>
          <w:rFonts w:hint="eastAsia" w:ascii="宋体" w:hAnsi="宋体" w:eastAsia="宋体" w:cs="宋体"/>
          <w:color w:val="000000" w:themeColor="text1"/>
          <w:sz w:val="24"/>
          <w:highlight w:val="none"/>
          <w14:textFill>
            <w14:solidFill>
              <w14:schemeClr w14:val="tx1"/>
            </w14:solidFill>
          </w14:textFill>
        </w:rPr>
      </w:pPr>
    </w:p>
    <w:p w14:paraId="540193F2">
      <w:pP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投标银行名称（盖章）：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11C033C6">
      <w:pP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法定代表人</w:t>
      </w:r>
      <w:r>
        <w:rPr>
          <w:rFonts w:hint="eastAsia" w:ascii="宋体" w:hAnsi="宋体" w:eastAsia="宋体" w:cs="宋体"/>
          <w:color w:val="000000" w:themeColor="text1"/>
          <w:sz w:val="24"/>
          <w:highlight w:val="none"/>
          <w14:textFill>
            <w14:solidFill>
              <w14:schemeClr w14:val="tx1"/>
            </w14:solidFill>
          </w14:textFill>
        </w:rPr>
        <w:t>或其授权代表（签字或盖章）：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1DB48E67">
      <w:pPr>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0043803">
      <w:pPr>
        <w:pStyle w:val="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br w:type="page"/>
      </w:r>
      <w:bookmarkStart w:id="166" w:name="_Toc452032140"/>
      <w:bookmarkStart w:id="167" w:name="_Toc15117"/>
      <w:bookmarkStart w:id="168" w:name="_Toc12313"/>
      <w:bookmarkStart w:id="169" w:name="_Toc16123"/>
      <w:r>
        <w:rPr>
          <w:rFonts w:hint="eastAsia" w:ascii="宋体" w:hAnsi="宋体" w:eastAsia="宋体" w:cs="宋体"/>
          <w:color w:val="000000" w:themeColor="text1"/>
          <w:highlight w:val="none"/>
          <w14:textFill>
            <w14:solidFill>
              <w14:schemeClr w14:val="tx1"/>
            </w14:solidFill>
          </w14:textFill>
        </w:rPr>
        <w:t>格式</w:t>
      </w:r>
      <w:r>
        <w:rPr>
          <w:rFonts w:hint="eastAsia" w:ascii="宋体" w:hAnsi="宋体" w:eastAsia="宋体" w:cs="宋体"/>
          <w:color w:val="000000" w:themeColor="text1"/>
          <w:highlight w:val="none"/>
          <w:lang w:val="en-US" w:eastAsia="zh-CN"/>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Cs w:val="22"/>
          <w:highlight w:val="none"/>
          <w:lang w:eastAsia="zh-CN"/>
          <w14:textFill>
            <w14:solidFill>
              <w14:schemeClr w14:val="tx1"/>
            </w14:solidFill>
          </w14:textFill>
        </w:rPr>
        <w:t>关于财务稳健的书面</w:t>
      </w:r>
      <w:r>
        <w:rPr>
          <w:rFonts w:hint="eastAsia" w:ascii="宋体" w:hAnsi="宋体" w:eastAsia="宋体" w:cs="宋体"/>
          <w:color w:val="000000" w:themeColor="text1"/>
          <w:szCs w:val="22"/>
          <w:highlight w:val="none"/>
          <w14:textFill>
            <w14:solidFill>
              <w14:schemeClr w14:val="tx1"/>
            </w14:solidFill>
          </w14:textFill>
        </w:rPr>
        <w:t>声明</w:t>
      </w:r>
      <w:bookmarkEnd w:id="166"/>
      <w:bookmarkEnd w:id="167"/>
      <w:bookmarkEnd w:id="168"/>
      <w:bookmarkEnd w:id="169"/>
    </w:p>
    <w:p w14:paraId="6A08BF49">
      <w:pPr>
        <w:ind w:firstLine="389"/>
        <w:rPr>
          <w:rFonts w:hint="eastAsia" w:ascii="宋体" w:hAnsi="宋体" w:eastAsia="宋体" w:cs="宋体"/>
          <w:color w:val="000000" w:themeColor="text1"/>
          <w:highlight w:val="none"/>
          <w14:textFill>
            <w14:solidFill>
              <w14:schemeClr w14:val="tx1"/>
            </w14:solidFill>
          </w14:textFill>
        </w:rPr>
      </w:pPr>
    </w:p>
    <w:p w14:paraId="67AE68AD">
      <w:pPr>
        <w:widowControl/>
        <w:jc w:val="center"/>
        <w:rPr>
          <w:rFonts w:hint="eastAsia" w:ascii="宋体" w:hAnsi="宋体" w:eastAsia="宋体" w:cs="宋体"/>
          <w:b/>
          <w:color w:val="000000" w:themeColor="text1"/>
          <w:w w:val="80"/>
          <w:kern w:val="0"/>
          <w:sz w:val="44"/>
          <w:szCs w:val="44"/>
          <w:highlight w:val="none"/>
          <w14:textFill>
            <w14:solidFill>
              <w14:schemeClr w14:val="tx1"/>
            </w14:solidFill>
          </w14:textFill>
        </w:rPr>
      </w:pPr>
      <w:r>
        <w:rPr>
          <w:rFonts w:hint="eastAsia" w:ascii="宋体" w:hAnsi="宋体" w:eastAsia="宋体" w:cs="宋体"/>
          <w:b/>
          <w:color w:val="000000" w:themeColor="text1"/>
          <w:w w:val="80"/>
          <w:kern w:val="0"/>
          <w:sz w:val="44"/>
          <w:szCs w:val="44"/>
          <w:highlight w:val="none"/>
          <w14:textFill>
            <w14:solidFill>
              <w14:schemeClr w14:val="tx1"/>
            </w14:solidFill>
          </w14:textFill>
        </w:rPr>
        <w:t>关于财务稳健的书面声明</w:t>
      </w:r>
    </w:p>
    <w:p w14:paraId="3144AEE6">
      <w:pPr>
        <w:widowControl/>
        <w:jc w:val="center"/>
        <w:rPr>
          <w:rFonts w:hint="eastAsia" w:ascii="宋体" w:hAnsi="宋体" w:eastAsia="宋体" w:cs="宋体"/>
          <w:b/>
          <w:color w:val="000000" w:themeColor="text1"/>
          <w:w w:val="80"/>
          <w:kern w:val="0"/>
          <w:sz w:val="28"/>
          <w:szCs w:val="44"/>
          <w:highlight w:val="none"/>
          <w14:textFill>
            <w14:solidFill>
              <w14:schemeClr w14:val="tx1"/>
            </w14:solidFill>
          </w14:textFill>
        </w:rPr>
      </w:pPr>
    </w:p>
    <w:p w14:paraId="471A0D8B">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w w:val="90"/>
          <w:kern w:val="0"/>
          <w:sz w:val="24"/>
          <w:highlight w:val="none"/>
          <w:u w:val="single"/>
          <w:lang w:eastAsia="zh-CN"/>
          <w14:textFill>
            <w14:solidFill>
              <w14:schemeClr w14:val="tx1"/>
            </w14:solidFill>
          </w14:textFill>
        </w:rPr>
        <w:t>苍南县测绘院</w:t>
      </w:r>
      <w:r>
        <w:rPr>
          <w:rFonts w:hint="eastAsia" w:ascii="宋体" w:hAnsi="宋体" w:eastAsia="宋体" w:cs="宋体"/>
          <w:b/>
          <w:color w:val="000000" w:themeColor="text1"/>
          <w:w w:val="90"/>
          <w:kern w:val="0"/>
          <w:sz w:val="24"/>
          <w:highlight w:val="none"/>
          <w:u w:val="single"/>
          <w14:textFill>
            <w14:solidFill>
              <w14:schemeClr w14:val="tx1"/>
            </w14:solidFill>
          </w14:textFill>
        </w:rPr>
        <w:t>、</w:t>
      </w:r>
      <w:r>
        <w:rPr>
          <w:rFonts w:hint="eastAsia" w:ascii="宋体" w:hAnsi="宋体" w:eastAsia="宋体" w:cs="宋体"/>
          <w:b/>
          <w:color w:val="000000" w:themeColor="text1"/>
          <w:w w:val="90"/>
          <w:kern w:val="0"/>
          <w:sz w:val="24"/>
          <w:highlight w:val="none"/>
          <w:u w:val="single"/>
          <w:lang w:eastAsia="zh-CN"/>
          <w14:textFill>
            <w14:solidFill>
              <w14:schemeClr w14:val="tx1"/>
            </w14:solidFill>
          </w14:textFill>
        </w:rPr>
        <w:t>浙江之信工程项目管理有限公司</w:t>
      </w:r>
      <w:r>
        <w:rPr>
          <w:rFonts w:hint="eastAsia" w:ascii="宋体" w:hAnsi="宋体" w:eastAsia="宋体" w:cs="宋体"/>
          <w:b/>
          <w:color w:val="000000" w:themeColor="text1"/>
          <w:w w:val="90"/>
          <w:kern w:val="0"/>
          <w:sz w:val="24"/>
          <w:highlight w:val="none"/>
          <w:u w:val="single"/>
          <w14:textFill>
            <w14:solidFill>
              <w14:schemeClr w14:val="tx1"/>
            </w14:solidFill>
          </w14:textFill>
        </w:rPr>
        <w:t>：</w:t>
      </w:r>
    </w:p>
    <w:p w14:paraId="18775A50">
      <w:pPr>
        <w:rPr>
          <w:rFonts w:hint="eastAsia" w:ascii="宋体" w:hAnsi="宋体" w:eastAsia="宋体" w:cs="宋体"/>
          <w:color w:val="000000" w:themeColor="text1"/>
          <w:sz w:val="24"/>
          <w:highlight w:val="none"/>
          <w:u w:val="single"/>
          <w14:textFill>
            <w14:solidFill>
              <w14:schemeClr w14:val="tx1"/>
            </w14:solidFill>
          </w14:textFill>
        </w:rPr>
      </w:pPr>
    </w:p>
    <w:p w14:paraId="2E798886">
      <w:pPr>
        <w:ind w:firstLine="470"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w:t>
      </w:r>
      <w:r>
        <w:rPr>
          <w:rFonts w:hint="eastAsia" w:ascii="宋体" w:hAnsi="宋体" w:eastAsia="宋体" w:cs="宋体"/>
          <w:color w:val="000000" w:themeColor="text1"/>
          <w:sz w:val="24"/>
          <w:highlight w:val="none"/>
          <w:u w:val="single"/>
          <w14:textFill>
            <w14:solidFill>
              <w14:schemeClr w14:val="tx1"/>
            </w14:solidFill>
          </w14:textFill>
        </w:rPr>
        <w:t xml:space="preserve">        （投标银行名称）             </w:t>
      </w:r>
      <w:r>
        <w:rPr>
          <w:rFonts w:hint="eastAsia" w:ascii="宋体" w:hAnsi="宋体" w:eastAsia="宋体" w:cs="宋体"/>
          <w:color w:val="000000" w:themeColor="text1"/>
          <w:sz w:val="24"/>
          <w:highlight w:val="none"/>
          <w14:textFill>
            <w14:solidFill>
              <w14:schemeClr w14:val="tx1"/>
            </w14:solidFill>
          </w14:textFill>
        </w:rPr>
        <w:t>目前各项财务指标正常，财务稳健，资金充足率、不良贷款率、拨备覆盖率、流动性覆盖率、流动性比例等指标均达到监管标准。</w:t>
      </w:r>
      <w:r>
        <w:rPr>
          <w:rFonts w:hint="eastAsia" w:ascii="宋体" w:hAnsi="宋体" w:eastAsia="宋体" w:cs="宋体"/>
          <w:color w:val="000000" w:themeColor="text1"/>
          <w:kern w:val="0"/>
          <w:sz w:val="24"/>
          <w:highlight w:val="none"/>
          <w14:textFill>
            <w14:solidFill>
              <w14:schemeClr w14:val="tx1"/>
            </w14:solidFill>
          </w14:textFill>
        </w:rPr>
        <w:t>如有虚假，招标人可取消我方任何资格（投标/谈判/中标（成交）/签订合同），我方对此无任何异议。</w:t>
      </w:r>
    </w:p>
    <w:p w14:paraId="6F9FA637">
      <w:pPr>
        <w:ind w:firstLine="470" w:firstLineChars="196"/>
        <w:rPr>
          <w:rFonts w:hint="eastAsia" w:ascii="宋体" w:hAnsi="宋体" w:eastAsia="宋体" w:cs="宋体"/>
          <w:color w:val="000000" w:themeColor="text1"/>
          <w:kern w:val="0"/>
          <w:sz w:val="24"/>
          <w:highlight w:val="none"/>
          <w14:textFill>
            <w14:solidFill>
              <w14:schemeClr w14:val="tx1"/>
            </w14:solidFill>
          </w14:textFill>
        </w:rPr>
      </w:pPr>
    </w:p>
    <w:p w14:paraId="7EC5CDA1">
      <w:pP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特此声明</w:t>
      </w:r>
    </w:p>
    <w:p w14:paraId="02FCC62B">
      <w:pPr>
        <w:rPr>
          <w:rFonts w:hint="eastAsia" w:ascii="宋体" w:hAnsi="宋体" w:eastAsia="宋体" w:cs="宋体"/>
          <w:color w:val="000000" w:themeColor="text1"/>
          <w:sz w:val="24"/>
          <w:highlight w:val="none"/>
          <w14:textFill>
            <w14:solidFill>
              <w14:schemeClr w14:val="tx1"/>
            </w14:solidFill>
          </w14:textFill>
        </w:rPr>
      </w:pPr>
    </w:p>
    <w:p w14:paraId="46BA5151">
      <w:pP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投标银行名称（盖章）：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73F2CDF">
      <w:pP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法定代表人</w:t>
      </w:r>
      <w:r>
        <w:rPr>
          <w:rFonts w:hint="eastAsia" w:ascii="宋体" w:hAnsi="宋体" w:eastAsia="宋体" w:cs="宋体"/>
          <w:color w:val="000000" w:themeColor="text1"/>
          <w:sz w:val="24"/>
          <w:highlight w:val="none"/>
          <w14:textFill>
            <w14:solidFill>
              <w14:schemeClr w14:val="tx1"/>
            </w14:solidFill>
          </w14:textFill>
        </w:rPr>
        <w:t>或其授权代表（签字或盖章）：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63DDD12">
      <w:pPr>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29CFF81">
      <w:pPr>
        <w:pStyle w:val="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br w:type="page"/>
      </w:r>
      <w:bookmarkStart w:id="170" w:name="_Toc7601"/>
      <w:bookmarkStart w:id="171" w:name="_Toc13492"/>
      <w:bookmarkStart w:id="172" w:name="_Toc30718"/>
      <w:bookmarkStart w:id="173" w:name="_Toc452032141"/>
      <w:r>
        <w:rPr>
          <w:rFonts w:hint="eastAsia" w:ascii="宋体" w:hAnsi="宋体" w:eastAsia="宋体" w:cs="宋体"/>
          <w:color w:val="000000" w:themeColor="text1"/>
          <w:highlight w:val="none"/>
          <w14:textFill>
            <w14:solidFill>
              <w14:schemeClr w14:val="tx1"/>
            </w14:solidFill>
          </w14:textFill>
        </w:rPr>
        <w:t>格式</w:t>
      </w:r>
      <w:r>
        <w:rPr>
          <w:rFonts w:hint="eastAsia" w:ascii="宋体" w:hAnsi="宋体" w:eastAsia="宋体" w:cs="宋体"/>
          <w:color w:val="000000" w:themeColor="text1"/>
          <w:highlight w:val="none"/>
          <w:lang w:eastAsia="zh-CN"/>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0</w:t>
      </w:r>
      <w:r>
        <w:rPr>
          <w:rFonts w:hint="eastAsia" w:ascii="宋体" w:hAnsi="宋体" w:eastAsia="宋体" w:cs="宋体"/>
          <w:color w:val="000000" w:themeColor="text1"/>
          <w:highlight w:val="none"/>
          <w14:textFill>
            <w14:solidFill>
              <w14:schemeClr w14:val="tx1"/>
            </w14:solidFill>
          </w14:textFill>
        </w:rPr>
        <w:t>、其他证书等材料</w:t>
      </w:r>
      <w:bookmarkEnd w:id="170"/>
      <w:bookmarkEnd w:id="171"/>
      <w:bookmarkEnd w:id="172"/>
      <w:bookmarkEnd w:id="173"/>
    </w:p>
    <w:p w14:paraId="711800C7">
      <w:pPr>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其他证书等材料</w:t>
      </w:r>
    </w:p>
    <w:tbl>
      <w:tblPr>
        <w:tblStyle w:val="39"/>
        <w:tblW w:w="0" w:type="auto"/>
        <w:tblInd w:w="77"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8960"/>
      </w:tblGrid>
      <w:tr w14:paraId="717FEF7B">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1006" w:hRule="atLeast"/>
        </w:trPr>
        <w:tc>
          <w:tcPr>
            <w:tcW w:w="8960" w:type="dxa"/>
            <w:noWrap w:val="0"/>
            <w:vAlign w:val="center"/>
          </w:tcPr>
          <w:p w14:paraId="2F2B8EC2">
            <w:pPr>
              <w:jc w:val="center"/>
              <w:rPr>
                <w:rFonts w:hint="eastAsia" w:ascii="宋体" w:hAnsi="宋体" w:eastAsia="宋体" w:cs="宋体"/>
                <w:i/>
                <w:color w:val="000000" w:themeColor="text1"/>
                <w:szCs w:val="21"/>
                <w:highlight w:val="none"/>
                <w14:textFill>
                  <w14:solidFill>
                    <w14:schemeClr w14:val="tx1"/>
                  </w14:solidFill>
                </w14:textFill>
              </w:rPr>
            </w:pPr>
            <w:r>
              <w:rPr>
                <w:rFonts w:hint="eastAsia" w:ascii="宋体" w:hAnsi="宋体" w:eastAsia="宋体" w:cs="宋体"/>
                <w:i/>
                <w:color w:val="000000" w:themeColor="text1"/>
                <w:kern w:val="0"/>
                <w:sz w:val="28"/>
                <w:szCs w:val="22"/>
                <w:highlight w:val="none"/>
                <w14:textFill>
                  <w14:solidFill>
                    <w14:schemeClr w14:val="tx1"/>
                  </w14:solidFill>
                </w14:textFill>
              </w:rPr>
              <w:t>投标银行其他资质、资格、许可证书以及技术资信评审中要求提供的其他材料</w:t>
            </w:r>
            <w:r>
              <w:rPr>
                <w:rFonts w:hint="eastAsia" w:ascii="宋体" w:hAnsi="宋体" w:eastAsia="宋体" w:cs="宋体"/>
                <w:i/>
                <w:color w:val="000000" w:themeColor="text1"/>
                <w:kern w:val="0"/>
                <w:sz w:val="28"/>
                <w:szCs w:val="22"/>
                <w:highlight w:val="none"/>
                <w:lang w:eastAsia="zh-CN"/>
                <w14:textFill>
                  <w14:solidFill>
                    <w14:schemeClr w14:val="tx1"/>
                  </w14:solidFill>
                </w14:textFill>
              </w:rPr>
              <w:t>（</w:t>
            </w:r>
            <w:r>
              <w:rPr>
                <w:rFonts w:hint="eastAsia" w:ascii="宋体" w:hAnsi="宋体" w:eastAsia="宋体" w:cs="宋体"/>
                <w:i/>
                <w:color w:val="000000" w:themeColor="text1"/>
                <w:w w:val="100"/>
                <w:kern w:val="0"/>
                <w:sz w:val="28"/>
                <w:szCs w:val="22"/>
                <w:highlight w:val="none"/>
                <w14:textFill>
                  <w14:solidFill>
                    <w14:schemeClr w14:val="tx1"/>
                  </w14:solidFill>
                </w14:textFill>
              </w:rPr>
              <w:t>加盖投标银行公章</w:t>
            </w:r>
            <w:r>
              <w:rPr>
                <w:rFonts w:hint="eastAsia" w:ascii="宋体" w:hAnsi="宋体" w:eastAsia="宋体" w:cs="宋体"/>
                <w:i/>
                <w:color w:val="000000" w:themeColor="text1"/>
                <w:kern w:val="0"/>
                <w:sz w:val="28"/>
                <w:szCs w:val="22"/>
                <w:highlight w:val="none"/>
                <w:lang w:eastAsia="zh-CN"/>
                <w14:textFill>
                  <w14:solidFill>
                    <w14:schemeClr w14:val="tx1"/>
                  </w14:solidFill>
                </w14:textFill>
              </w:rPr>
              <w:t>）</w:t>
            </w:r>
          </w:p>
        </w:tc>
      </w:tr>
    </w:tbl>
    <w:p w14:paraId="4B607A14">
      <w:pPr>
        <w:rPr>
          <w:rFonts w:hint="eastAsia" w:ascii="宋体" w:hAnsi="宋体" w:eastAsia="宋体" w:cs="宋体"/>
          <w:color w:val="000000" w:themeColor="text1"/>
          <w:sz w:val="22"/>
          <w:szCs w:val="22"/>
          <w:highlight w:val="none"/>
          <w:u w:val="single"/>
          <w14:textFill>
            <w14:solidFill>
              <w14:schemeClr w14:val="tx1"/>
            </w14:solidFill>
          </w14:textFill>
        </w:rPr>
      </w:pPr>
    </w:p>
    <w:p w14:paraId="607248F0">
      <w:pPr>
        <w:pStyle w:val="3"/>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br w:type="page"/>
      </w:r>
      <w:bookmarkStart w:id="174" w:name="_Toc3140"/>
      <w:bookmarkStart w:id="175" w:name="_Toc12603"/>
      <w:bookmarkStart w:id="176" w:name="_Toc20608"/>
      <w:bookmarkStart w:id="177" w:name="_Toc452032142"/>
      <w:r>
        <w:rPr>
          <w:rFonts w:hint="eastAsia" w:ascii="宋体" w:hAnsi="宋体" w:eastAsia="宋体" w:cs="宋体"/>
          <w:color w:val="000000" w:themeColor="text1"/>
          <w:highlight w:val="none"/>
          <w14:textFill>
            <w14:solidFill>
              <w14:schemeClr w14:val="tx1"/>
            </w14:solidFill>
          </w14:textFill>
        </w:rPr>
        <w:t>格式1</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投标银行情况介绍</w:t>
      </w:r>
      <w:bookmarkEnd w:id="174"/>
      <w:bookmarkEnd w:id="175"/>
      <w:bookmarkEnd w:id="176"/>
      <w:bookmarkEnd w:id="177"/>
    </w:p>
    <w:p w14:paraId="29AF35E3">
      <w:pPr>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投标银行情况介绍</w:t>
      </w:r>
    </w:p>
    <w:tbl>
      <w:tblPr>
        <w:tblStyle w:val="39"/>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023"/>
      </w:tblGrid>
      <w:tr w14:paraId="18C763D9">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1006" w:hRule="atLeast"/>
        </w:trPr>
        <w:tc>
          <w:tcPr>
            <w:tcW w:w="9023" w:type="dxa"/>
            <w:noWrap w:val="0"/>
            <w:vAlign w:val="center"/>
          </w:tcPr>
          <w:p w14:paraId="26CC6212">
            <w:pPr>
              <w:jc w:val="center"/>
              <w:rPr>
                <w:rFonts w:hint="eastAsia" w:ascii="宋体" w:hAnsi="宋体" w:eastAsia="宋体" w:cs="宋体"/>
                <w:i/>
                <w:color w:val="000000" w:themeColor="text1"/>
                <w:szCs w:val="21"/>
                <w:highlight w:val="none"/>
                <w14:textFill>
                  <w14:solidFill>
                    <w14:schemeClr w14:val="tx1"/>
                  </w14:solidFill>
                </w14:textFill>
              </w:rPr>
            </w:pPr>
          </w:p>
        </w:tc>
      </w:tr>
    </w:tbl>
    <w:p w14:paraId="2B23C53E">
      <w:pPr>
        <w:rPr>
          <w:rFonts w:hint="eastAsia" w:ascii="宋体" w:hAnsi="宋体" w:eastAsia="宋体" w:cs="宋体"/>
          <w:color w:val="000000" w:themeColor="text1"/>
          <w:sz w:val="22"/>
          <w:szCs w:val="22"/>
          <w:highlight w:val="none"/>
          <w:u w:val="single"/>
          <w14:textFill>
            <w14:solidFill>
              <w14:schemeClr w14:val="tx1"/>
            </w14:solidFill>
          </w14:textFill>
        </w:rPr>
      </w:pPr>
    </w:p>
    <w:p w14:paraId="71F1459B">
      <w:pPr>
        <w:pStyle w:val="3"/>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178" w:name="_Toc24163"/>
      <w:bookmarkStart w:id="179" w:name="_Toc3884"/>
      <w:bookmarkStart w:id="180" w:name="_Toc32134"/>
      <w:bookmarkStart w:id="181" w:name="_Toc452032143"/>
      <w:r>
        <w:rPr>
          <w:rFonts w:hint="eastAsia" w:ascii="宋体" w:hAnsi="宋体" w:eastAsia="宋体" w:cs="宋体"/>
          <w:color w:val="000000" w:themeColor="text1"/>
          <w:highlight w:val="none"/>
          <w14:textFill>
            <w14:solidFill>
              <w14:schemeClr w14:val="tx1"/>
            </w14:solidFill>
          </w14:textFill>
        </w:rPr>
        <w:t>格式1</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针对本项目的服务方案与承诺</w:t>
      </w:r>
      <w:bookmarkEnd w:id="178"/>
      <w:bookmarkEnd w:id="179"/>
      <w:bookmarkEnd w:id="180"/>
      <w:bookmarkEnd w:id="181"/>
    </w:p>
    <w:p w14:paraId="1FBC85CB">
      <w:pPr>
        <w:jc w:val="center"/>
        <w:rPr>
          <w:rFonts w:hint="eastAsia" w:ascii="宋体" w:hAnsi="宋体" w:eastAsia="宋体" w:cs="宋体"/>
          <w:b/>
          <w:color w:val="000000" w:themeColor="text1"/>
          <w:sz w:val="40"/>
          <w:highlight w:val="none"/>
          <w14:textFill>
            <w14:solidFill>
              <w14:schemeClr w14:val="tx1"/>
            </w14:solidFill>
          </w14:textFill>
        </w:rPr>
      </w:pPr>
      <w:r>
        <w:rPr>
          <w:rFonts w:hint="eastAsia" w:ascii="宋体" w:hAnsi="宋体" w:eastAsia="宋体" w:cs="宋体"/>
          <w:b/>
          <w:color w:val="000000" w:themeColor="text1"/>
          <w:sz w:val="40"/>
          <w:highlight w:val="none"/>
          <w14:textFill>
            <w14:solidFill>
              <w14:schemeClr w14:val="tx1"/>
            </w14:solidFill>
          </w14:textFill>
        </w:rPr>
        <w:t>服务方案与承诺</w:t>
      </w:r>
    </w:p>
    <w:p w14:paraId="08AEB829">
      <w:pP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项目名称：</w:t>
      </w:r>
      <w:r>
        <w:rPr>
          <w:rFonts w:hint="eastAsia" w:ascii="宋体" w:hAnsi="宋体" w:eastAsia="宋体" w:cs="宋体"/>
          <w:b/>
          <w:color w:val="000000" w:themeColor="text1"/>
          <w:sz w:val="22"/>
          <w:szCs w:val="22"/>
          <w:highlight w:val="none"/>
          <w:u w:val="single"/>
          <w:lang w:eastAsia="zh-CN"/>
          <w14:textFill>
            <w14:solidFill>
              <w14:schemeClr w14:val="tx1"/>
            </w14:solidFill>
          </w14:textFill>
        </w:rPr>
        <w:t>2025年度苍南县测绘院公款竞争性存放项目</w:t>
      </w:r>
    </w:p>
    <w:p w14:paraId="29D9CD16">
      <w:pPr>
        <w:rPr>
          <w:rFonts w:hint="eastAsia" w:ascii="宋体" w:hAnsi="宋体" w:eastAsia="宋体" w:cs="宋体"/>
          <w:b/>
          <w:color w:val="000000" w:themeColor="text1"/>
          <w:kern w:val="0"/>
          <w:sz w:val="22"/>
          <w:szCs w:val="22"/>
          <w:highlight w:val="none"/>
          <w:u w:val="single"/>
          <w:lang w:eastAsia="zh-CN"/>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项目编号：</w:t>
      </w:r>
      <w:r>
        <w:rPr>
          <w:rFonts w:hint="eastAsia" w:ascii="宋体" w:hAnsi="宋体" w:eastAsia="宋体" w:cs="宋体"/>
          <w:b/>
          <w:color w:val="000000" w:themeColor="text1"/>
          <w:sz w:val="22"/>
          <w:szCs w:val="22"/>
          <w:highlight w:val="none"/>
          <w:u w:val="single"/>
          <w:lang w:eastAsia="zh-CN"/>
          <w14:textFill>
            <w14:solidFill>
              <w14:schemeClr w14:val="tx1"/>
            </w14:solidFill>
          </w14:textFill>
        </w:rPr>
        <w:t>苍产告字[2025]13号</w:t>
      </w:r>
    </w:p>
    <w:tbl>
      <w:tblPr>
        <w:tblStyle w:val="39"/>
        <w:tblW w:w="0" w:type="auto"/>
        <w:jc w:val="center"/>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8868"/>
      </w:tblGrid>
      <w:tr w14:paraId="28E8E257">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jc w:val="center"/>
        </w:trPr>
        <w:tc>
          <w:tcPr>
            <w:tcW w:w="8868" w:type="dxa"/>
            <w:noWrap w:val="0"/>
            <w:vAlign w:val="center"/>
          </w:tcPr>
          <w:p w14:paraId="6007E133">
            <w:pPr>
              <w:jc w:val="center"/>
              <w:rPr>
                <w:rFonts w:hint="eastAsia" w:ascii="宋体" w:hAnsi="宋体" w:eastAsia="宋体" w:cs="宋体"/>
                <w:i/>
                <w:color w:val="000000" w:themeColor="text1"/>
                <w:szCs w:val="21"/>
                <w:highlight w:val="none"/>
                <w14:textFill>
                  <w14:solidFill>
                    <w14:schemeClr w14:val="tx1"/>
                  </w14:solidFill>
                </w14:textFill>
              </w:rPr>
            </w:pPr>
          </w:p>
        </w:tc>
      </w:tr>
    </w:tbl>
    <w:p w14:paraId="2F578BF4">
      <w:pPr>
        <w:snapToGrid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投标银行名称（盖章）：</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14:paraId="61BD76D1">
      <w:pPr>
        <w:snapToGrid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法定代表人</w:t>
      </w:r>
      <w:r>
        <w:rPr>
          <w:rFonts w:hint="eastAsia" w:ascii="宋体" w:hAnsi="宋体" w:eastAsia="宋体" w:cs="宋体"/>
          <w:color w:val="000000" w:themeColor="text1"/>
          <w:sz w:val="22"/>
          <w:szCs w:val="22"/>
          <w:highlight w:val="none"/>
          <w14:textFill>
            <w14:solidFill>
              <w14:schemeClr w14:val="tx1"/>
            </w14:solidFill>
          </w14:textFill>
        </w:rPr>
        <w:t>或其授权代表（签字或盖章）：</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14:paraId="672F0891">
      <w:pPr>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日期：</w:t>
      </w:r>
      <w:r>
        <w:rPr>
          <w:rFonts w:hint="eastAsia" w:ascii="宋体" w:hAnsi="宋体" w:eastAsia="宋体" w:cs="宋体"/>
          <w:color w:val="000000" w:themeColor="text1"/>
          <w:highlight w:val="none"/>
          <w:u w:val="single"/>
          <w14:textFill>
            <w14:solidFill>
              <w14:schemeClr w14:val="tx1"/>
            </w14:solidFill>
          </w14:textFill>
        </w:rPr>
        <w:t xml:space="preserve">                                         </w:t>
      </w:r>
    </w:p>
    <w:p w14:paraId="2131145B">
      <w:pPr>
        <w:pStyle w:val="3"/>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182" w:name="_Toc452032144"/>
      <w:bookmarkStart w:id="183" w:name="_Toc2480"/>
      <w:bookmarkStart w:id="184" w:name="_Toc18517"/>
      <w:bookmarkStart w:id="185" w:name="_Toc2784"/>
      <w:r>
        <w:rPr>
          <w:rFonts w:hint="eastAsia" w:ascii="宋体" w:hAnsi="宋体" w:eastAsia="宋体" w:cs="宋体"/>
          <w:color w:val="000000" w:themeColor="text1"/>
          <w:highlight w:val="none"/>
          <w14:textFill>
            <w14:solidFill>
              <w14:schemeClr w14:val="tx1"/>
            </w14:solidFill>
          </w14:textFill>
        </w:rPr>
        <w:t>格式1</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指标说明</w:t>
      </w:r>
      <w:bookmarkEnd w:id="182"/>
      <w:bookmarkEnd w:id="183"/>
      <w:bookmarkEnd w:id="184"/>
      <w:bookmarkEnd w:id="185"/>
    </w:p>
    <w:p w14:paraId="2EAC9ED9">
      <w:pPr>
        <w:jc w:val="center"/>
        <w:rPr>
          <w:rFonts w:hint="eastAsia" w:ascii="宋体" w:hAnsi="宋体" w:eastAsia="宋体" w:cs="宋体"/>
          <w:b/>
          <w:color w:val="000000" w:themeColor="text1"/>
          <w:sz w:val="40"/>
          <w:highlight w:val="none"/>
          <w14:textFill>
            <w14:solidFill>
              <w14:schemeClr w14:val="tx1"/>
            </w14:solidFill>
          </w14:textFill>
        </w:rPr>
      </w:pPr>
      <w:r>
        <w:rPr>
          <w:rFonts w:hint="eastAsia" w:ascii="宋体" w:hAnsi="宋体" w:eastAsia="宋体" w:cs="宋体"/>
          <w:b/>
          <w:color w:val="000000" w:themeColor="text1"/>
          <w:sz w:val="40"/>
          <w:highlight w:val="none"/>
          <w14:textFill>
            <w14:solidFill>
              <w14:schemeClr w14:val="tx1"/>
            </w14:solidFill>
          </w14:textFill>
        </w:rPr>
        <w:t>指标说明</w:t>
      </w:r>
    </w:p>
    <w:p w14:paraId="32AE7E88">
      <w:pP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项目名称：</w:t>
      </w:r>
      <w:r>
        <w:rPr>
          <w:rFonts w:hint="eastAsia" w:ascii="宋体" w:hAnsi="宋体" w:eastAsia="宋体" w:cs="宋体"/>
          <w:b/>
          <w:color w:val="000000" w:themeColor="text1"/>
          <w:sz w:val="22"/>
          <w:szCs w:val="22"/>
          <w:highlight w:val="none"/>
          <w:u w:val="single"/>
          <w:lang w:eastAsia="zh-CN"/>
          <w14:textFill>
            <w14:solidFill>
              <w14:schemeClr w14:val="tx1"/>
            </w14:solidFill>
          </w14:textFill>
        </w:rPr>
        <w:t>2025年度苍南县测绘院公款竞争性存放项目</w:t>
      </w:r>
    </w:p>
    <w:p w14:paraId="1B8E660E">
      <w:pPr>
        <w:rPr>
          <w:rFonts w:hint="eastAsia" w:ascii="宋体" w:hAnsi="宋体" w:eastAsia="宋体" w:cs="宋体"/>
          <w:b/>
          <w:color w:val="000000" w:themeColor="text1"/>
          <w:kern w:val="0"/>
          <w:sz w:val="22"/>
          <w:szCs w:val="22"/>
          <w:highlight w:val="none"/>
          <w:u w:val="single"/>
          <w:lang w:eastAsia="zh-CN"/>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项目编号：</w:t>
      </w:r>
      <w:r>
        <w:rPr>
          <w:rFonts w:hint="eastAsia" w:ascii="宋体" w:hAnsi="宋体" w:eastAsia="宋体" w:cs="宋体"/>
          <w:b/>
          <w:color w:val="000000" w:themeColor="text1"/>
          <w:sz w:val="22"/>
          <w:szCs w:val="22"/>
          <w:highlight w:val="none"/>
          <w:u w:val="single"/>
          <w:lang w:eastAsia="zh-CN"/>
          <w14:textFill>
            <w14:solidFill>
              <w14:schemeClr w14:val="tx1"/>
            </w14:solidFill>
          </w14:textFill>
        </w:rPr>
        <w:t>苍产告字[2025]13号</w:t>
      </w:r>
    </w:p>
    <w:tbl>
      <w:tblPr>
        <w:tblStyle w:val="39"/>
        <w:tblW w:w="0" w:type="auto"/>
        <w:jc w:val="center"/>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8851"/>
      </w:tblGrid>
      <w:tr w14:paraId="090A2D32">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jc w:val="center"/>
        </w:trPr>
        <w:tc>
          <w:tcPr>
            <w:tcW w:w="8851" w:type="dxa"/>
            <w:noWrap w:val="0"/>
            <w:vAlign w:val="center"/>
          </w:tcPr>
          <w:p w14:paraId="4C4711C3">
            <w:pPr>
              <w:jc w:val="center"/>
              <w:rPr>
                <w:rFonts w:hint="eastAsia" w:ascii="宋体" w:hAnsi="宋体" w:eastAsia="宋体" w:cs="宋体"/>
                <w:i/>
                <w:color w:val="000000" w:themeColor="text1"/>
                <w:szCs w:val="21"/>
                <w:highlight w:val="none"/>
                <w14:textFill>
                  <w14:solidFill>
                    <w14:schemeClr w14:val="tx1"/>
                  </w14:solidFill>
                </w14:textFill>
              </w:rPr>
            </w:pPr>
            <w:r>
              <w:rPr>
                <w:rFonts w:hint="eastAsia" w:ascii="宋体" w:hAnsi="宋体" w:eastAsia="宋体" w:cs="宋体"/>
                <w:color w:val="000000" w:themeColor="text1"/>
                <w:w w:val="90"/>
                <w:sz w:val="22"/>
                <w:szCs w:val="22"/>
                <w:highlight w:val="none"/>
                <w14:textFill>
                  <w14:solidFill>
                    <w14:schemeClr w14:val="tx1"/>
                  </w14:solidFill>
                </w14:textFill>
              </w:rPr>
              <w:t>包括经营状况指标、服务水平指标、经济发展贡献指标、综合收益水平指标</w:t>
            </w:r>
          </w:p>
        </w:tc>
      </w:tr>
    </w:tbl>
    <w:p w14:paraId="230BD999">
      <w:pPr>
        <w:snapToGrid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投标银行名称（盖章）：</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14:paraId="695C1CE7">
      <w:pPr>
        <w:snapToGrid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法定代表人</w:t>
      </w:r>
      <w:r>
        <w:rPr>
          <w:rFonts w:hint="eastAsia" w:ascii="宋体" w:hAnsi="宋体" w:eastAsia="宋体" w:cs="宋体"/>
          <w:color w:val="000000" w:themeColor="text1"/>
          <w:sz w:val="22"/>
          <w:szCs w:val="22"/>
          <w:highlight w:val="none"/>
          <w14:textFill>
            <w14:solidFill>
              <w14:schemeClr w14:val="tx1"/>
            </w14:solidFill>
          </w14:textFill>
        </w:rPr>
        <w:t>或其授权代表（签字或盖章）：</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14:paraId="200BC4B1">
      <w:pPr>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日期：</w:t>
      </w:r>
      <w:r>
        <w:rPr>
          <w:rFonts w:hint="eastAsia" w:ascii="宋体" w:hAnsi="宋体" w:eastAsia="宋体" w:cs="宋体"/>
          <w:color w:val="000000" w:themeColor="text1"/>
          <w:highlight w:val="none"/>
          <w:u w:val="single"/>
          <w14:textFill>
            <w14:solidFill>
              <w14:schemeClr w14:val="tx1"/>
            </w14:solidFill>
          </w14:textFill>
        </w:rPr>
        <w:t xml:space="preserve">                                         </w:t>
      </w:r>
    </w:p>
    <w:p w14:paraId="55D67869">
      <w:pPr>
        <w:pStyle w:val="3"/>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br w:type="page"/>
      </w:r>
      <w:bookmarkStart w:id="186" w:name="_Toc31138"/>
      <w:bookmarkStart w:id="187" w:name="_Toc452032145"/>
      <w:bookmarkStart w:id="188" w:name="_Toc18127"/>
      <w:bookmarkStart w:id="189" w:name="_Toc26975"/>
      <w:r>
        <w:rPr>
          <w:rFonts w:hint="eastAsia" w:ascii="宋体" w:hAnsi="宋体" w:eastAsia="宋体" w:cs="宋体"/>
          <w:color w:val="000000" w:themeColor="text1"/>
          <w:highlight w:val="none"/>
          <w14:textFill>
            <w14:solidFill>
              <w14:schemeClr w14:val="tx1"/>
            </w14:solidFill>
          </w14:textFill>
        </w:rPr>
        <w:t>格式1</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优惠承诺</w:t>
      </w:r>
      <w:bookmarkEnd w:id="186"/>
      <w:bookmarkEnd w:id="187"/>
      <w:bookmarkEnd w:id="188"/>
      <w:bookmarkEnd w:id="189"/>
    </w:p>
    <w:p w14:paraId="7EA69DEB">
      <w:pPr>
        <w:jc w:val="center"/>
        <w:rPr>
          <w:rFonts w:hint="eastAsia" w:ascii="宋体" w:hAnsi="宋体" w:eastAsia="宋体" w:cs="宋体"/>
          <w:b/>
          <w:color w:val="000000" w:themeColor="text1"/>
          <w:sz w:val="40"/>
          <w:highlight w:val="none"/>
          <w14:textFill>
            <w14:solidFill>
              <w14:schemeClr w14:val="tx1"/>
            </w14:solidFill>
          </w14:textFill>
        </w:rPr>
      </w:pPr>
      <w:r>
        <w:rPr>
          <w:rFonts w:hint="eastAsia" w:ascii="宋体" w:hAnsi="宋体" w:eastAsia="宋体" w:cs="宋体"/>
          <w:b/>
          <w:color w:val="000000" w:themeColor="text1"/>
          <w:sz w:val="40"/>
          <w:highlight w:val="none"/>
          <w14:textFill>
            <w14:solidFill>
              <w14:schemeClr w14:val="tx1"/>
            </w14:solidFill>
          </w14:textFill>
        </w:rPr>
        <w:t>优惠承诺</w:t>
      </w:r>
    </w:p>
    <w:p w14:paraId="0BBF31EC">
      <w:pP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项目名称：</w:t>
      </w:r>
      <w:r>
        <w:rPr>
          <w:rFonts w:hint="eastAsia" w:ascii="宋体" w:hAnsi="宋体" w:eastAsia="宋体" w:cs="宋体"/>
          <w:b/>
          <w:color w:val="000000" w:themeColor="text1"/>
          <w:sz w:val="22"/>
          <w:szCs w:val="22"/>
          <w:highlight w:val="none"/>
          <w:u w:val="single"/>
          <w:lang w:eastAsia="zh-CN"/>
          <w14:textFill>
            <w14:solidFill>
              <w14:schemeClr w14:val="tx1"/>
            </w14:solidFill>
          </w14:textFill>
        </w:rPr>
        <w:t>2025年度苍南县测绘院公款竞争性存放项目</w:t>
      </w:r>
    </w:p>
    <w:p w14:paraId="222D6D45">
      <w:pPr>
        <w:rPr>
          <w:rFonts w:hint="eastAsia" w:ascii="宋体" w:hAnsi="宋体" w:eastAsia="宋体" w:cs="宋体"/>
          <w:b/>
          <w:color w:val="000000" w:themeColor="text1"/>
          <w:kern w:val="0"/>
          <w:sz w:val="22"/>
          <w:szCs w:val="22"/>
          <w:highlight w:val="none"/>
          <w:u w:val="single"/>
          <w:lang w:eastAsia="zh-CN"/>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项目编号：</w:t>
      </w:r>
      <w:r>
        <w:rPr>
          <w:rFonts w:hint="eastAsia" w:ascii="宋体" w:hAnsi="宋体" w:eastAsia="宋体" w:cs="宋体"/>
          <w:b/>
          <w:color w:val="000000" w:themeColor="text1"/>
          <w:sz w:val="22"/>
          <w:szCs w:val="22"/>
          <w:highlight w:val="none"/>
          <w:u w:val="single"/>
          <w:lang w:eastAsia="zh-CN"/>
          <w14:textFill>
            <w14:solidFill>
              <w14:schemeClr w14:val="tx1"/>
            </w14:solidFill>
          </w14:textFill>
        </w:rPr>
        <w:t>苍产告字[2025]13号</w:t>
      </w:r>
    </w:p>
    <w:tbl>
      <w:tblPr>
        <w:tblStyle w:val="39"/>
        <w:tblW w:w="0" w:type="auto"/>
        <w:jc w:val="center"/>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8900"/>
      </w:tblGrid>
      <w:tr w14:paraId="00BAA3B2">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jc w:val="center"/>
        </w:trPr>
        <w:tc>
          <w:tcPr>
            <w:tcW w:w="8900" w:type="dxa"/>
            <w:noWrap w:val="0"/>
            <w:vAlign w:val="center"/>
          </w:tcPr>
          <w:p w14:paraId="1FEDE18D">
            <w:pPr>
              <w:jc w:val="center"/>
              <w:rPr>
                <w:rFonts w:hint="eastAsia" w:ascii="宋体" w:hAnsi="宋体" w:eastAsia="宋体" w:cs="宋体"/>
                <w:i/>
                <w:color w:val="000000" w:themeColor="text1"/>
                <w:szCs w:val="21"/>
                <w:highlight w:val="none"/>
                <w14:textFill>
                  <w14:solidFill>
                    <w14:schemeClr w14:val="tx1"/>
                  </w14:solidFill>
                </w14:textFill>
              </w:rPr>
            </w:pPr>
          </w:p>
        </w:tc>
      </w:tr>
    </w:tbl>
    <w:p w14:paraId="1936119A">
      <w:pPr>
        <w:snapToGrid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投标银行名称（盖章）：</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14:paraId="244F448E">
      <w:pPr>
        <w:snapToGrid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法定代表人</w:t>
      </w:r>
      <w:r>
        <w:rPr>
          <w:rFonts w:hint="eastAsia" w:ascii="宋体" w:hAnsi="宋体" w:eastAsia="宋体" w:cs="宋体"/>
          <w:color w:val="000000" w:themeColor="text1"/>
          <w:sz w:val="22"/>
          <w:szCs w:val="22"/>
          <w:highlight w:val="none"/>
          <w14:textFill>
            <w14:solidFill>
              <w14:schemeClr w14:val="tx1"/>
            </w14:solidFill>
          </w14:textFill>
        </w:rPr>
        <w:t>或其授权代表（签字或盖章）：</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14:paraId="13CAA506">
      <w:pPr>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日期：</w:t>
      </w:r>
      <w:r>
        <w:rPr>
          <w:rFonts w:hint="eastAsia" w:ascii="宋体" w:hAnsi="宋体" w:eastAsia="宋体" w:cs="宋体"/>
          <w:color w:val="000000" w:themeColor="text1"/>
          <w:highlight w:val="none"/>
          <w:u w:val="single"/>
          <w14:textFill>
            <w14:solidFill>
              <w14:schemeClr w14:val="tx1"/>
            </w14:solidFill>
          </w14:textFill>
        </w:rPr>
        <w:t xml:space="preserve">                                         </w:t>
      </w:r>
    </w:p>
    <w:p w14:paraId="3A9576FF">
      <w:pPr>
        <w:pStyle w:val="3"/>
        <w:rPr>
          <w:rFonts w:hint="eastAsia" w:ascii="宋体" w:hAnsi="宋体" w:eastAsia="宋体" w:cs="宋体"/>
          <w:color w:val="000000" w:themeColor="text1"/>
          <w:highlight w:val="none"/>
          <w14:textFill>
            <w14:solidFill>
              <w14:schemeClr w14:val="tx1"/>
            </w14:solidFill>
          </w14:textFill>
        </w:rPr>
      </w:pPr>
      <w:bookmarkStart w:id="190" w:name="_Toc24689"/>
      <w:bookmarkStart w:id="191" w:name="_Toc9809"/>
      <w:bookmarkStart w:id="192" w:name="_Toc23696"/>
      <w:bookmarkStart w:id="193" w:name="_Toc452032146"/>
      <w:r>
        <w:rPr>
          <w:rFonts w:hint="eastAsia" w:ascii="宋体" w:hAnsi="宋体" w:eastAsia="宋体" w:cs="宋体"/>
          <w:color w:val="000000" w:themeColor="text1"/>
          <w:highlight w:val="none"/>
          <w14:textFill>
            <w14:solidFill>
              <w14:schemeClr w14:val="tx1"/>
            </w14:solidFill>
          </w14:textFill>
        </w:rPr>
        <w:t>格式</w:t>
      </w:r>
      <w:r>
        <w:rPr>
          <w:rFonts w:hint="eastAsia" w:ascii="宋体" w:hAnsi="宋体" w:eastAsia="宋体" w:cs="宋体"/>
          <w:color w:val="000000" w:themeColor="text1"/>
          <w:highlight w:val="none"/>
          <w:lang w:val="en-US" w:eastAsia="zh-CN"/>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拟派项目</w:t>
      </w:r>
      <w:r>
        <w:rPr>
          <w:rFonts w:hint="eastAsia" w:ascii="宋体" w:hAnsi="宋体" w:eastAsia="宋体" w:cs="宋体"/>
          <w:color w:val="000000" w:themeColor="text1"/>
          <w:highlight w:val="none"/>
          <w14:textFill>
            <w14:solidFill>
              <w14:schemeClr w14:val="tx1"/>
            </w14:solidFill>
          </w14:textFill>
        </w:rPr>
        <w:t>团队组成情况</w:t>
      </w:r>
      <w:bookmarkEnd w:id="190"/>
      <w:bookmarkEnd w:id="191"/>
      <w:bookmarkEnd w:id="192"/>
      <w:bookmarkEnd w:id="193"/>
    </w:p>
    <w:p w14:paraId="61CBEFC0">
      <w:pPr>
        <w:jc w:val="center"/>
        <w:rPr>
          <w:rFonts w:hint="eastAsia" w:ascii="宋体" w:hAnsi="宋体" w:eastAsia="宋体" w:cs="宋体"/>
          <w:b/>
          <w:color w:val="000000" w:themeColor="text1"/>
          <w:sz w:val="40"/>
          <w:highlight w:val="none"/>
          <w14:textFill>
            <w14:solidFill>
              <w14:schemeClr w14:val="tx1"/>
            </w14:solidFill>
          </w14:textFill>
        </w:rPr>
      </w:pPr>
      <w:r>
        <w:rPr>
          <w:rFonts w:hint="eastAsia" w:ascii="宋体" w:hAnsi="宋体" w:eastAsia="宋体" w:cs="宋体"/>
          <w:b/>
          <w:color w:val="000000" w:themeColor="text1"/>
          <w:sz w:val="40"/>
          <w:highlight w:val="none"/>
          <w14:textFill>
            <w14:solidFill>
              <w14:schemeClr w14:val="tx1"/>
            </w14:solidFill>
          </w14:textFill>
        </w:rPr>
        <w:t>拟派</w:t>
      </w:r>
      <w:r>
        <w:rPr>
          <w:rFonts w:hint="eastAsia" w:ascii="宋体" w:hAnsi="宋体" w:eastAsia="宋体" w:cs="宋体"/>
          <w:b/>
          <w:color w:val="000000" w:themeColor="text1"/>
          <w:sz w:val="40"/>
          <w:highlight w:val="none"/>
          <w:lang w:val="en-US" w:eastAsia="zh-CN"/>
          <w14:textFill>
            <w14:solidFill>
              <w14:schemeClr w14:val="tx1"/>
            </w14:solidFill>
          </w14:textFill>
        </w:rPr>
        <w:t>项目</w:t>
      </w:r>
      <w:r>
        <w:rPr>
          <w:rFonts w:hint="eastAsia" w:ascii="宋体" w:hAnsi="宋体" w:eastAsia="宋体" w:cs="宋体"/>
          <w:b/>
          <w:color w:val="000000" w:themeColor="text1"/>
          <w:sz w:val="40"/>
          <w:highlight w:val="none"/>
          <w14:textFill>
            <w14:solidFill>
              <w14:schemeClr w14:val="tx1"/>
            </w14:solidFill>
          </w14:textFill>
        </w:rPr>
        <w:t>团队组成情况</w:t>
      </w:r>
    </w:p>
    <w:p w14:paraId="52B52B32">
      <w:pP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项目名称：</w:t>
      </w:r>
      <w:r>
        <w:rPr>
          <w:rFonts w:hint="eastAsia" w:ascii="宋体" w:hAnsi="宋体" w:eastAsia="宋体" w:cs="宋体"/>
          <w:b/>
          <w:color w:val="000000" w:themeColor="text1"/>
          <w:sz w:val="22"/>
          <w:szCs w:val="22"/>
          <w:highlight w:val="none"/>
          <w:u w:val="single"/>
          <w:lang w:eastAsia="zh-CN"/>
          <w14:textFill>
            <w14:solidFill>
              <w14:schemeClr w14:val="tx1"/>
            </w14:solidFill>
          </w14:textFill>
        </w:rPr>
        <w:t>2025年度苍南县测绘院公款竞争性存放项目</w:t>
      </w:r>
    </w:p>
    <w:p w14:paraId="5D7BCDD6">
      <w:pPr>
        <w:rPr>
          <w:rFonts w:hint="eastAsia" w:ascii="宋体" w:hAnsi="宋体" w:eastAsia="宋体" w:cs="宋体"/>
          <w:color w:val="000000" w:themeColor="text1"/>
          <w:kern w:val="0"/>
          <w:sz w:val="22"/>
          <w:szCs w:val="22"/>
          <w:highlight w:val="none"/>
          <w:u w:val="single"/>
          <w:lang w:eastAsia="zh-CN"/>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项目编号：</w:t>
      </w:r>
      <w:r>
        <w:rPr>
          <w:rFonts w:hint="eastAsia" w:ascii="宋体" w:hAnsi="宋体" w:eastAsia="宋体" w:cs="宋体"/>
          <w:b/>
          <w:color w:val="000000" w:themeColor="text1"/>
          <w:sz w:val="22"/>
          <w:szCs w:val="22"/>
          <w:highlight w:val="none"/>
          <w:u w:val="single"/>
          <w:lang w:eastAsia="zh-CN"/>
          <w14:textFill>
            <w14:solidFill>
              <w14:schemeClr w14:val="tx1"/>
            </w14:solidFill>
          </w14:textFill>
        </w:rPr>
        <w:t>苍产告字[2025]13号</w:t>
      </w:r>
    </w:p>
    <w:tbl>
      <w:tblPr>
        <w:tblStyle w:val="39"/>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538"/>
        <w:gridCol w:w="1380"/>
        <w:gridCol w:w="1701"/>
        <w:gridCol w:w="1769"/>
        <w:gridCol w:w="1435"/>
      </w:tblGrid>
      <w:tr w14:paraId="4C0D5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2" w:type="dxa"/>
            <w:noWrap w:val="0"/>
            <w:vAlign w:val="center"/>
          </w:tcPr>
          <w:p w14:paraId="0A0D3804">
            <w:pPr>
              <w:spacing w:line="240" w:lineRule="auto"/>
              <w:jc w:val="center"/>
              <w:rPr>
                <w:rFonts w:hint="eastAsia" w:ascii="宋体" w:hAnsi="宋体" w:eastAsia="宋体" w:cs="宋体"/>
                <w:b/>
                <w:color w:val="000000" w:themeColor="text1"/>
                <w:w w:val="90"/>
                <w:sz w:val="22"/>
                <w:szCs w:val="22"/>
                <w:highlight w:val="none"/>
                <w14:textFill>
                  <w14:solidFill>
                    <w14:schemeClr w14:val="tx1"/>
                  </w14:solidFill>
                </w14:textFill>
              </w:rPr>
            </w:pPr>
            <w:r>
              <w:rPr>
                <w:rFonts w:hint="eastAsia" w:ascii="宋体" w:hAnsi="宋体" w:eastAsia="宋体" w:cs="宋体"/>
                <w:b/>
                <w:color w:val="000000" w:themeColor="text1"/>
                <w:w w:val="90"/>
                <w:sz w:val="22"/>
                <w:szCs w:val="22"/>
                <w:highlight w:val="none"/>
                <w14:textFill>
                  <w14:solidFill>
                    <w14:schemeClr w14:val="tx1"/>
                  </w14:solidFill>
                </w14:textFill>
              </w:rPr>
              <w:t>序号</w:t>
            </w:r>
          </w:p>
        </w:tc>
        <w:tc>
          <w:tcPr>
            <w:tcW w:w="1538" w:type="dxa"/>
            <w:noWrap w:val="0"/>
            <w:vAlign w:val="center"/>
          </w:tcPr>
          <w:p w14:paraId="02BA3FDE">
            <w:pPr>
              <w:spacing w:line="240" w:lineRule="auto"/>
              <w:jc w:val="center"/>
              <w:rPr>
                <w:rFonts w:hint="eastAsia" w:ascii="宋体" w:hAnsi="宋体" w:eastAsia="宋体" w:cs="宋体"/>
                <w:b/>
                <w:color w:val="000000" w:themeColor="text1"/>
                <w:w w:val="90"/>
                <w:sz w:val="22"/>
                <w:szCs w:val="22"/>
                <w:highlight w:val="none"/>
                <w14:textFill>
                  <w14:solidFill>
                    <w14:schemeClr w14:val="tx1"/>
                  </w14:solidFill>
                </w14:textFill>
              </w:rPr>
            </w:pPr>
            <w:r>
              <w:rPr>
                <w:rFonts w:hint="eastAsia" w:ascii="宋体" w:hAnsi="宋体" w:eastAsia="宋体" w:cs="宋体"/>
                <w:b/>
                <w:color w:val="000000" w:themeColor="text1"/>
                <w:w w:val="90"/>
                <w:sz w:val="22"/>
                <w:szCs w:val="22"/>
                <w:highlight w:val="none"/>
                <w14:textFill>
                  <w14:solidFill>
                    <w14:schemeClr w14:val="tx1"/>
                  </w14:solidFill>
                </w14:textFill>
              </w:rPr>
              <w:t>姓名</w:t>
            </w:r>
          </w:p>
        </w:tc>
        <w:tc>
          <w:tcPr>
            <w:tcW w:w="1380" w:type="dxa"/>
            <w:noWrap w:val="0"/>
            <w:vAlign w:val="center"/>
          </w:tcPr>
          <w:p w14:paraId="786BCB9D">
            <w:pPr>
              <w:spacing w:line="240" w:lineRule="auto"/>
              <w:jc w:val="center"/>
              <w:rPr>
                <w:rFonts w:hint="eastAsia" w:ascii="宋体" w:hAnsi="宋体" w:eastAsia="宋体" w:cs="宋体"/>
                <w:b/>
                <w:color w:val="000000" w:themeColor="text1"/>
                <w:w w:val="90"/>
                <w:sz w:val="22"/>
                <w:szCs w:val="22"/>
                <w:highlight w:val="none"/>
                <w14:textFill>
                  <w14:solidFill>
                    <w14:schemeClr w14:val="tx1"/>
                  </w14:solidFill>
                </w14:textFill>
              </w:rPr>
            </w:pPr>
            <w:r>
              <w:rPr>
                <w:rFonts w:hint="eastAsia" w:ascii="宋体" w:hAnsi="宋体" w:eastAsia="宋体" w:cs="宋体"/>
                <w:b/>
                <w:color w:val="000000" w:themeColor="text1"/>
                <w:w w:val="90"/>
                <w:sz w:val="22"/>
                <w:szCs w:val="22"/>
                <w:highlight w:val="none"/>
                <w14:textFill>
                  <w14:solidFill>
                    <w14:schemeClr w14:val="tx1"/>
                  </w14:solidFill>
                </w14:textFill>
              </w:rPr>
              <w:t>职务职称</w:t>
            </w:r>
          </w:p>
        </w:tc>
        <w:tc>
          <w:tcPr>
            <w:tcW w:w="1701" w:type="dxa"/>
            <w:noWrap w:val="0"/>
            <w:vAlign w:val="center"/>
          </w:tcPr>
          <w:p w14:paraId="1B9EBA05">
            <w:pPr>
              <w:spacing w:line="240" w:lineRule="auto"/>
              <w:jc w:val="center"/>
              <w:rPr>
                <w:rFonts w:hint="eastAsia" w:ascii="宋体" w:hAnsi="宋体" w:eastAsia="宋体" w:cs="宋体"/>
                <w:b/>
                <w:color w:val="000000" w:themeColor="text1"/>
                <w:w w:val="90"/>
                <w:sz w:val="22"/>
                <w:szCs w:val="22"/>
                <w:highlight w:val="none"/>
                <w14:textFill>
                  <w14:solidFill>
                    <w14:schemeClr w14:val="tx1"/>
                  </w14:solidFill>
                </w14:textFill>
              </w:rPr>
            </w:pPr>
            <w:r>
              <w:rPr>
                <w:rFonts w:hint="eastAsia" w:ascii="宋体" w:hAnsi="宋体" w:eastAsia="宋体" w:cs="宋体"/>
                <w:b/>
                <w:color w:val="000000" w:themeColor="text1"/>
                <w:w w:val="90"/>
                <w:sz w:val="22"/>
                <w:szCs w:val="22"/>
                <w:highlight w:val="none"/>
                <w14:textFill>
                  <w14:solidFill>
                    <w14:schemeClr w14:val="tx1"/>
                  </w14:solidFill>
                </w14:textFill>
              </w:rPr>
              <w:t>出生年月</w:t>
            </w:r>
          </w:p>
        </w:tc>
        <w:tc>
          <w:tcPr>
            <w:tcW w:w="1769" w:type="dxa"/>
            <w:noWrap w:val="0"/>
            <w:vAlign w:val="center"/>
          </w:tcPr>
          <w:p w14:paraId="6DFD29D7">
            <w:pPr>
              <w:spacing w:line="240" w:lineRule="auto"/>
              <w:jc w:val="center"/>
              <w:rPr>
                <w:rFonts w:hint="eastAsia" w:ascii="宋体" w:hAnsi="宋体" w:eastAsia="宋体" w:cs="宋体"/>
                <w:b/>
                <w:color w:val="000000" w:themeColor="text1"/>
                <w:w w:val="90"/>
                <w:sz w:val="22"/>
                <w:szCs w:val="22"/>
                <w:highlight w:val="none"/>
                <w14:textFill>
                  <w14:solidFill>
                    <w14:schemeClr w14:val="tx1"/>
                  </w14:solidFill>
                </w14:textFill>
              </w:rPr>
            </w:pPr>
            <w:r>
              <w:rPr>
                <w:rFonts w:hint="eastAsia" w:ascii="宋体" w:hAnsi="宋体" w:eastAsia="宋体" w:cs="宋体"/>
                <w:b/>
                <w:color w:val="000000" w:themeColor="text1"/>
                <w:w w:val="90"/>
                <w:sz w:val="22"/>
                <w:szCs w:val="22"/>
                <w:highlight w:val="none"/>
                <w14:textFill>
                  <w14:solidFill>
                    <w14:schemeClr w14:val="tx1"/>
                  </w14:solidFill>
                </w14:textFill>
              </w:rPr>
              <w:t>拟任岗位</w:t>
            </w:r>
          </w:p>
        </w:tc>
        <w:tc>
          <w:tcPr>
            <w:tcW w:w="1435" w:type="dxa"/>
            <w:noWrap w:val="0"/>
            <w:vAlign w:val="center"/>
          </w:tcPr>
          <w:p w14:paraId="648BA126">
            <w:pPr>
              <w:spacing w:line="240" w:lineRule="auto"/>
              <w:jc w:val="center"/>
              <w:rPr>
                <w:rFonts w:hint="eastAsia" w:ascii="宋体" w:hAnsi="宋体" w:eastAsia="宋体" w:cs="宋体"/>
                <w:b/>
                <w:color w:val="000000" w:themeColor="text1"/>
                <w:w w:val="90"/>
                <w:sz w:val="22"/>
                <w:szCs w:val="22"/>
                <w:highlight w:val="none"/>
                <w14:textFill>
                  <w14:solidFill>
                    <w14:schemeClr w14:val="tx1"/>
                  </w14:solidFill>
                </w14:textFill>
              </w:rPr>
            </w:pPr>
            <w:r>
              <w:rPr>
                <w:rFonts w:hint="eastAsia" w:ascii="宋体" w:hAnsi="宋体" w:eastAsia="宋体" w:cs="宋体"/>
                <w:b/>
                <w:color w:val="000000" w:themeColor="text1"/>
                <w:w w:val="90"/>
                <w:sz w:val="22"/>
                <w:szCs w:val="22"/>
                <w:highlight w:val="none"/>
                <w14:textFill>
                  <w14:solidFill>
                    <w14:schemeClr w14:val="tx1"/>
                  </w14:solidFill>
                </w14:textFill>
              </w:rPr>
              <w:t>工作年限</w:t>
            </w:r>
          </w:p>
        </w:tc>
      </w:tr>
      <w:tr w14:paraId="4DB59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2" w:type="dxa"/>
            <w:noWrap w:val="0"/>
            <w:vAlign w:val="center"/>
          </w:tcPr>
          <w:p w14:paraId="34D1DFE0">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538" w:type="dxa"/>
            <w:noWrap w:val="0"/>
            <w:vAlign w:val="center"/>
          </w:tcPr>
          <w:p w14:paraId="60F55537">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380" w:type="dxa"/>
            <w:noWrap w:val="0"/>
            <w:vAlign w:val="center"/>
          </w:tcPr>
          <w:p w14:paraId="2F02D62D">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01" w:type="dxa"/>
            <w:noWrap w:val="0"/>
            <w:vAlign w:val="center"/>
          </w:tcPr>
          <w:p w14:paraId="017A17DA">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69" w:type="dxa"/>
            <w:noWrap w:val="0"/>
            <w:vAlign w:val="center"/>
          </w:tcPr>
          <w:p w14:paraId="3E05632A">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435" w:type="dxa"/>
            <w:noWrap w:val="0"/>
            <w:vAlign w:val="center"/>
          </w:tcPr>
          <w:p w14:paraId="362AA274">
            <w:pPr>
              <w:rPr>
                <w:rFonts w:hint="eastAsia" w:ascii="宋体" w:hAnsi="宋体" w:eastAsia="宋体" w:cs="宋体"/>
                <w:color w:val="000000" w:themeColor="text1"/>
                <w:w w:val="90"/>
                <w:sz w:val="22"/>
                <w:szCs w:val="22"/>
                <w:highlight w:val="none"/>
                <w14:textFill>
                  <w14:solidFill>
                    <w14:schemeClr w14:val="tx1"/>
                  </w14:solidFill>
                </w14:textFill>
              </w:rPr>
            </w:pPr>
          </w:p>
        </w:tc>
      </w:tr>
      <w:tr w14:paraId="5D9E5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2" w:type="dxa"/>
            <w:noWrap w:val="0"/>
            <w:vAlign w:val="center"/>
          </w:tcPr>
          <w:p w14:paraId="442CA383">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538" w:type="dxa"/>
            <w:noWrap w:val="0"/>
            <w:vAlign w:val="center"/>
          </w:tcPr>
          <w:p w14:paraId="39E682D9">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380" w:type="dxa"/>
            <w:noWrap w:val="0"/>
            <w:vAlign w:val="center"/>
          </w:tcPr>
          <w:p w14:paraId="7CC085F9">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01" w:type="dxa"/>
            <w:noWrap w:val="0"/>
            <w:vAlign w:val="center"/>
          </w:tcPr>
          <w:p w14:paraId="10CEA4AF">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69" w:type="dxa"/>
            <w:noWrap w:val="0"/>
            <w:vAlign w:val="center"/>
          </w:tcPr>
          <w:p w14:paraId="0D983A72">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435" w:type="dxa"/>
            <w:noWrap w:val="0"/>
            <w:vAlign w:val="center"/>
          </w:tcPr>
          <w:p w14:paraId="57F74059">
            <w:pPr>
              <w:rPr>
                <w:rFonts w:hint="eastAsia" w:ascii="宋体" w:hAnsi="宋体" w:eastAsia="宋体" w:cs="宋体"/>
                <w:color w:val="000000" w:themeColor="text1"/>
                <w:w w:val="90"/>
                <w:sz w:val="22"/>
                <w:szCs w:val="22"/>
                <w:highlight w:val="none"/>
                <w14:textFill>
                  <w14:solidFill>
                    <w14:schemeClr w14:val="tx1"/>
                  </w14:solidFill>
                </w14:textFill>
              </w:rPr>
            </w:pPr>
          </w:p>
        </w:tc>
      </w:tr>
      <w:tr w14:paraId="5ABE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2" w:type="dxa"/>
            <w:noWrap w:val="0"/>
            <w:vAlign w:val="center"/>
          </w:tcPr>
          <w:p w14:paraId="562E8725">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538" w:type="dxa"/>
            <w:noWrap w:val="0"/>
            <w:vAlign w:val="center"/>
          </w:tcPr>
          <w:p w14:paraId="754AA214">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380" w:type="dxa"/>
            <w:noWrap w:val="0"/>
            <w:vAlign w:val="center"/>
          </w:tcPr>
          <w:p w14:paraId="676368C4">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01" w:type="dxa"/>
            <w:noWrap w:val="0"/>
            <w:vAlign w:val="center"/>
          </w:tcPr>
          <w:p w14:paraId="32200DE1">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69" w:type="dxa"/>
            <w:noWrap w:val="0"/>
            <w:vAlign w:val="center"/>
          </w:tcPr>
          <w:p w14:paraId="276B31ED">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435" w:type="dxa"/>
            <w:noWrap w:val="0"/>
            <w:vAlign w:val="center"/>
          </w:tcPr>
          <w:p w14:paraId="268A7397">
            <w:pPr>
              <w:rPr>
                <w:rFonts w:hint="eastAsia" w:ascii="宋体" w:hAnsi="宋体" w:eastAsia="宋体" w:cs="宋体"/>
                <w:color w:val="000000" w:themeColor="text1"/>
                <w:w w:val="90"/>
                <w:sz w:val="22"/>
                <w:szCs w:val="22"/>
                <w:highlight w:val="none"/>
                <w14:textFill>
                  <w14:solidFill>
                    <w14:schemeClr w14:val="tx1"/>
                  </w14:solidFill>
                </w14:textFill>
              </w:rPr>
            </w:pPr>
          </w:p>
        </w:tc>
      </w:tr>
      <w:tr w14:paraId="067D0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2" w:type="dxa"/>
            <w:noWrap w:val="0"/>
            <w:vAlign w:val="center"/>
          </w:tcPr>
          <w:p w14:paraId="0A9926F3">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538" w:type="dxa"/>
            <w:noWrap w:val="0"/>
            <w:vAlign w:val="center"/>
          </w:tcPr>
          <w:p w14:paraId="2B1FABDA">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380" w:type="dxa"/>
            <w:noWrap w:val="0"/>
            <w:vAlign w:val="center"/>
          </w:tcPr>
          <w:p w14:paraId="5C830086">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01" w:type="dxa"/>
            <w:noWrap w:val="0"/>
            <w:vAlign w:val="center"/>
          </w:tcPr>
          <w:p w14:paraId="754C6A7A">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69" w:type="dxa"/>
            <w:noWrap w:val="0"/>
            <w:vAlign w:val="center"/>
          </w:tcPr>
          <w:p w14:paraId="0B2BF5A4">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435" w:type="dxa"/>
            <w:noWrap w:val="0"/>
            <w:vAlign w:val="center"/>
          </w:tcPr>
          <w:p w14:paraId="63A5CDF5">
            <w:pPr>
              <w:rPr>
                <w:rFonts w:hint="eastAsia" w:ascii="宋体" w:hAnsi="宋体" w:eastAsia="宋体" w:cs="宋体"/>
                <w:color w:val="000000" w:themeColor="text1"/>
                <w:w w:val="90"/>
                <w:sz w:val="22"/>
                <w:szCs w:val="22"/>
                <w:highlight w:val="none"/>
                <w14:textFill>
                  <w14:solidFill>
                    <w14:schemeClr w14:val="tx1"/>
                  </w14:solidFill>
                </w14:textFill>
              </w:rPr>
            </w:pPr>
          </w:p>
        </w:tc>
      </w:tr>
      <w:tr w14:paraId="55B86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2" w:type="dxa"/>
            <w:noWrap w:val="0"/>
            <w:vAlign w:val="center"/>
          </w:tcPr>
          <w:p w14:paraId="2133E276">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538" w:type="dxa"/>
            <w:noWrap w:val="0"/>
            <w:vAlign w:val="center"/>
          </w:tcPr>
          <w:p w14:paraId="0CD9437A">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380" w:type="dxa"/>
            <w:noWrap w:val="0"/>
            <w:vAlign w:val="center"/>
          </w:tcPr>
          <w:p w14:paraId="4B7AD1B2">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01" w:type="dxa"/>
            <w:noWrap w:val="0"/>
            <w:vAlign w:val="center"/>
          </w:tcPr>
          <w:p w14:paraId="40EA5EBA">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69" w:type="dxa"/>
            <w:noWrap w:val="0"/>
            <w:vAlign w:val="center"/>
          </w:tcPr>
          <w:p w14:paraId="0BC096AA">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435" w:type="dxa"/>
            <w:noWrap w:val="0"/>
            <w:vAlign w:val="center"/>
          </w:tcPr>
          <w:p w14:paraId="35C3E1D9">
            <w:pPr>
              <w:rPr>
                <w:rFonts w:hint="eastAsia" w:ascii="宋体" w:hAnsi="宋体" w:eastAsia="宋体" w:cs="宋体"/>
                <w:color w:val="000000" w:themeColor="text1"/>
                <w:w w:val="90"/>
                <w:sz w:val="22"/>
                <w:szCs w:val="22"/>
                <w:highlight w:val="none"/>
                <w14:textFill>
                  <w14:solidFill>
                    <w14:schemeClr w14:val="tx1"/>
                  </w14:solidFill>
                </w14:textFill>
              </w:rPr>
            </w:pPr>
          </w:p>
        </w:tc>
      </w:tr>
      <w:tr w14:paraId="22BFC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2" w:type="dxa"/>
            <w:noWrap w:val="0"/>
            <w:vAlign w:val="center"/>
          </w:tcPr>
          <w:p w14:paraId="0FF00F49">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538" w:type="dxa"/>
            <w:noWrap w:val="0"/>
            <w:vAlign w:val="center"/>
          </w:tcPr>
          <w:p w14:paraId="7663636C">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380" w:type="dxa"/>
            <w:noWrap w:val="0"/>
            <w:vAlign w:val="center"/>
          </w:tcPr>
          <w:p w14:paraId="6922804B">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01" w:type="dxa"/>
            <w:noWrap w:val="0"/>
            <w:vAlign w:val="center"/>
          </w:tcPr>
          <w:p w14:paraId="2EC2DB61">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69" w:type="dxa"/>
            <w:noWrap w:val="0"/>
            <w:vAlign w:val="center"/>
          </w:tcPr>
          <w:p w14:paraId="4A19D8CE">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435" w:type="dxa"/>
            <w:noWrap w:val="0"/>
            <w:vAlign w:val="center"/>
          </w:tcPr>
          <w:p w14:paraId="08D94B15">
            <w:pPr>
              <w:rPr>
                <w:rFonts w:hint="eastAsia" w:ascii="宋体" w:hAnsi="宋体" w:eastAsia="宋体" w:cs="宋体"/>
                <w:color w:val="000000" w:themeColor="text1"/>
                <w:w w:val="90"/>
                <w:sz w:val="22"/>
                <w:szCs w:val="22"/>
                <w:highlight w:val="none"/>
                <w14:textFill>
                  <w14:solidFill>
                    <w14:schemeClr w14:val="tx1"/>
                  </w14:solidFill>
                </w14:textFill>
              </w:rPr>
            </w:pPr>
          </w:p>
        </w:tc>
      </w:tr>
      <w:tr w14:paraId="27D25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2" w:type="dxa"/>
            <w:noWrap w:val="0"/>
            <w:vAlign w:val="center"/>
          </w:tcPr>
          <w:p w14:paraId="016946D6">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538" w:type="dxa"/>
            <w:noWrap w:val="0"/>
            <w:vAlign w:val="center"/>
          </w:tcPr>
          <w:p w14:paraId="2D22CBED">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380" w:type="dxa"/>
            <w:noWrap w:val="0"/>
            <w:vAlign w:val="center"/>
          </w:tcPr>
          <w:p w14:paraId="3B0D28DC">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01" w:type="dxa"/>
            <w:noWrap w:val="0"/>
            <w:vAlign w:val="center"/>
          </w:tcPr>
          <w:p w14:paraId="318C45C2">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69" w:type="dxa"/>
            <w:noWrap w:val="0"/>
            <w:vAlign w:val="center"/>
          </w:tcPr>
          <w:p w14:paraId="2B92A27D">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435" w:type="dxa"/>
            <w:noWrap w:val="0"/>
            <w:vAlign w:val="center"/>
          </w:tcPr>
          <w:p w14:paraId="6D26998E">
            <w:pPr>
              <w:rPr>
                <w:rFonts w:hint="eastAsia" w:ascii="宋体" w:hAnsi="宋体" w:eastAsia="宋体" w:cs="宋体"/>
                <w:color w:val="000000" w:themeColor="text1"/>
                <w:w w:val="90"/>
                <w:sz w:val="22"/>
                <w:szCs w:val="22"/>
                <w:highlight w:val="none"/>
                <w14:textFill>
                  <w14:solidFill>
                    <w14:schemeClr w14:val="tx1"/>
                  </w14:solidFill>
                </w14:textFill>
              </w:rPr>
            </w:pPr>
          </w:p>
        </w:tc>
      </w:tr>
      <w:tr w14:paraId="21B3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2" w:type="dxa"/>
            <w:noWrap w:val="0"/>
            <w:vAlign w:val="center"/>
          </w:tcPr>
          <w:p w14:paraId="6DF5C067">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538" w:type="dxa"/>
            <w:noWrap w:val="0"/>
            <w:vAlign w:val="center"/>
          </w:tcPr>
          <w:p w14:paraId="1BEFCCD3">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380" w:type="dxa"/>
            <w:noWrap w:val="0"/>
            <w:vAlign w:val="center"/>
          </w:tcPr>
          <w:p w14:paraId="1EBDF248">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01" w:type="dxa"/>
            <w:noWrap w:val="0"/>
            <w:vAlign w:val="center"/>
          </w:tcPr>
          <w:p w14:paraId="09C6CDD0">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69" w:type="dxa"/>
            <w:noWrap w:val="0"/>
            <w:vAlign w:val="center"/>
          </w:tcPr>
          <w:p w14:paraId="14E1AD5C">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435" w:type="dxa"/>
            <w:noWrap w:val="0"/>
            <w:vAlign w:val="center"/>
          </w:tcPr>
          <w:p w14:paraId="08E724D2">
            <w:pPr>
              <w:rPr>
                <w:rFonts w:hint="eastAsia" w:ascii="宋体" w:hAnsi="宋体" w:eastAsia="宋体" w:cs="宋体"/>
                <w:color w:val="000000" w:themeColor="text1"/>
                <w:w w:val="90"/>
                <w:sz w:val="22"/>
                <w:szCs w:val="22"/>
                <w:highlight w:val="none"/>
                <w14:textFill>
                  <w14:solidFill>
                    <w14:schemeClr w14:val="tx1"/>
                  </w14:solidFill>
                </w14:textFill>
              </w:rPr>
            </w:pPr>
          </w:p>
        </w:tc>
      </w:tr>
      <w:tr w14:paraId="5BBE3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2" w:type="dxa"/>
            <w:noWrap w:val="0"/>
            <w:vAlign w:val="center"/>
          </w:tcPr>
          <w:p w14:paraId="1C49D2A0">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538" w:type="dxa"/>
            <w:noWrap w:val="0"/>
            <w:vAlign w:val="center"/>
          </w:tcPr>
          <w:p w14:paraId="094A8767">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380" w:type="dxa"/>
            <w:noWrap w:val="0"/>
            <w:vAlign w:val="center"/>
          </w:tcPr>
          <w:p w14:paraId="545197B1">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01" w:type="dxa"/>
            <w:noWrap w:val="0"/>
            <w:vAlign w:val="center"/>
          </w:tcPr>
          <w:p w14:paraId="5EBC7BB3">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69" w:type="dxa"/>
            <w:noWrap w:val="0"/>
            <w:vAlign w:val="center"/>
          </w:tcPr>
          <w:p w14:paraId="51C60E40">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435" w:type="dxa"/>
            <w:noWrap w:val="0"/>
            <w:vAlign w:val="center"/>
          </w:tcPr>
          <w:p w14:paraId="5DA98AF6">
            <w:pPr>
              <w:rPr>
                <w:rFonts w:hint="eastAsia" w:ascii="宋体" w:hAnsi="宋体" w:eastAsia="宋体" w:cs="宋体"/>
                <w:color w:val="000000" w:themeColor="text1"/>
                <w:w w:val="90"/>
                <w:sz w:val="22"/>
                <w:szCs w:val="22"/>
                <w:highlight w:val="none"/>
                <w14:textFill>
                  <w14:solidFill>
                    <w14:schemeClr w14:val="tx1"/>
                  </w14:solidFill>
                </w14:textFill>
              </w:rPr>
            </w:pPr>
          </w:p>
        </w:tc>
      </w:tr>
      <w:tr w14:paraId="629B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2" w:type="dxa"/>
            <w:noWrap w:val="0"/>
            <w:vAlign w:val="center"/>
          </w:tcPr>
          <w:p w14:paraId="2F05F9C0">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538" w:type="dxa"/>
            <w:noWrap w:val="0"/>
            <w:vAlign w:val="center"/>
          </w:tcPr>
          <w:p w14:paraId="112F916C">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380" w:type="dxa"/>
            <w:noWrap w:val="0"/>
            <w:vAlign w:val="center"/>
          </w:tcPr>
          <w:p w14:paraId="1761DF2F">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01" w:type="dxa"/>
            <w:noWrap w:val="0"/>
            <w:vAlign w:val="center"/>
          </w:tcPr>
          <w:p w14:paraId="0944ABED">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69" w:type="dxa"/>
            <w:noWrap w:val="0"/>
            <w:vAlign w:val="center"/>
          </w:tcPr>
          <w:p w14:paraId="4EE95CE7">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435" w:type="dxa"/>
            <w:noWrap w:val="0"/>
            <w:vAlign w:val="center"/>
          </w:tcPr>
          <w:p w14:paraId="4FA033FA">
            <w:pPr>
              <w:rPr>
                <w:rFonts w:hint="eastAsia" w:ascii="宋体" w:hAnsi="宋体" w:eastAsia="宋体" w:cs="宋体"/>
                <w:color w:val="000000" w:themeColor="text1"/>
                <w:w w:val="90"/>
                <w:sz w:val="22"/>
                <w:szCs w:val="22"/>
                <w:highlight w:val="none"/>
                <w14:textFill>
                  <w14:solidFill>
                    <w14:schemeClr w14:val="tx1"/>
                  </w14:solidFill>
                </w14:textFill>
              </w:rPr>
            </w:pPr>
          </w:p>
        </w:tc>
      </w:tr>
      <w:tr w14:paraId="2BAC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2" w:type="dxa"/>
            <w:noWrap w:val="0"/>
            <w:vAlign w:val="center"/>
          </w:tcPr>
          <w:p w14:paraId="6350C82F">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538" w:type="dxa"/>
            <w:noWrap w:val="0"/>
            <w:vAlign w:val="center"/>
          </w:tcPr>
          <w:p w14:paraId="183C8B4C">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380" w:type="dxa"/>
            <w:noWrap w:val="0"/>
            <w:vAlign w:val="center"/>
          </w:tcPr>
          <w:p w14:paraId="5265C16D">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01" w:type="dxa"/>
            <w:noWrap w:val="0"/>
            <w:vAlign w:val="center"/>
          </w:tcPr>
          <w:p w14:paraId="39515750">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69" w:type="dxa"/>
            <w:noWrap w:val="0"/>
            <w:vAlign w:val="center"/>
          </w:tcPr>
          <w:p w14:paraId="0163F6F8">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435" w:type="dxa"/>
            <w:noWrap w:val="0"/>
            <w:vAlign w:val="center"/>
          </w:tcPr>
          <w:p w14:paraId="634F0984">
            <w:pPr>
              <w:rPr>
                <w:rFonts w:hint="eastAsia" w:ascii="宋体" w:hAnsi="宋体" w:eastAsia="宋体" w:cs="宋体"/>
                <w:color w:val="000000" w:themeColor="text1"/>
                <w:w w:val="90"/>
                <w:sz w:val="22"/>
                <w:szCs w:val="22"/>
                <w:highlight w:val="none"/>
                <w14:textFill>
                  <w14:solidFill>
                    <w14:schemeClr w14:val="tx1"/>
                  </w14:solidFill>
                </w14:textFill>
              </w:rPr>
            </w:pPr>
          </w:p>
        </w:tc>
      </w:tr>
      <w:tr w14:paraId="67868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2" w:type="dxa"/>
            <w:noWrap w:val="0"/>
            <w:vAlign w:val="center"/>
          </w:tcPr>
          <w:p w14:paraId="340FB014">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538" w:type="dxa"/>
            <w:noWrap w:val="0"/>
            <w:vAlign w:val="center"/>
          </w:tcPr>
          <w:p w14:paraId="09BAC667">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380" w:type="dxa"/>
            <w:noWrap w:val="0"/>
            <w:vAlign w:val="center"/>
          </w:tcPr>
          <w:p w14:paraId="599684B1">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01" w:type="dxa"/>
            <w:noWrap w:val="0"/>
            <w:vAlign w:val="center"/>
          </w:tcPr>
          <w:p w14:paraId="488A3AD1">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69" w:type="dxa"/>
            <w:noWrap w:val="0"/>
            <w:vAlign w:val="center"/>
          </w:tcPr>
          <w:p w14:paraId="328B8F06">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435" w:type="dxa"/>
            <w:noWrap w:val="0"/>
            <w:vAlign w:val="center"/>
          </w:tcPr>
          <w:p w14:paraId="1036CA61">
            <w:pPr>
              <w:rPr>
                <w:rFonts w:hint="eastAsia" w:ascii="宋体" w:hAnsi="宋体" w:eastAsia="宋体" w:cs="宋体"/>
                <w:color w:val="000000" w:themeColor="text1"/>
                <w:w w:val="90"/>
                <w:sz w:val="22"/>
                <w:szCs w:val="22"/>
                <w:highlight w:val="none"/>
                <w14:textFill>
                  <w14:solidFill>
                    <w14:schemeClr w14:val="tx1"/>
                  </w14:solidFill>
                </w14:textFill>
              </w:rPr>
            </w:pPr>
          </w:p>
        </w:tc>
      </w:tr>
      <w:tr w14:paraId="6455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2" w:type="dxa"/>
            <w:noWrap w:val="0"/>
            <w:vAlign w:val="center"/>
          </w:tcPr>
          <w:p w14:paraId="599A1827">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538" w:type="dxa"/>
            <w:noWrap w:val="0"/>
            <w:vAlign w:val="center"/>
          </w:tcPr>
          <w:p w14:paraId="1C082E58">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380" w:type="dxa"/>
            <w:noWrap w:val="0"/>
            <w:vAlign w:val="center"/>
          </w:tcPr>
          <w:p w14:paraId="47802C6B">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01" w:type="dxa"/>
            <w:noWrap w:val="0"/>
            <w:vAlign w:val="center"/>
          </w:tcPr>
          <w:p w14:paraId="26E03421">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69" w:type="dxa"/>
            <w:noWrap w:val="0"/>
            <w:vAlign w:val="center"/>
          </w:tcPr>
          <w:p w14:paraId="6A8FF2F8">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435" w:type="dxa"/>
            <w:noWrap w:val="0"/>
            <w:vAlign w:val="center"/>
          </w:tcPr>
          <w:p w14:paraId="42B60988">
            <w:pPr>
              <w:rPr>
                <w:rFonts w:hint="eastAsia" w:ascii="宋体" w:hAnsi="宋体" w:eastAsia="宋体" w:cs="宋体"/>
                <w:color w:val="000000" w:themeColor="text1"/>
                <w:w w:val="90"/>
                <w:sz w:val="22"/>
                <w:szCs w:val="22"/>
                <w:highlight w:val="none"/>
                <w14:textFill>
                  <w14:solidFill>
                    <w14:schemeClr w14:val="tx1"/>
                  </w14:solidFill>
                </w14:textFill>
              </w:rPr>
            </w:pPr>
          </w:p>
        </w:tc>
      </w:tr>
      <w:tr w14:paraId="0F04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2" w:type="dxa"/>
            <w:noWrap w:val="0"/>
            <w:vAlign w:val="center"/>
          </w:tcPr>
          <w:p w14:paraId="0BD3416C">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538" w:type="dxa"/>
            <w:noWrap w:val="0"/>
            <w:vAlign w:val="center"/>
          </w:tcPr>
          <w:p w14:paraId="3E4F767C">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380" w:type="dxa"/>
            <w:noWrap w:val="0"/>
            <w:vAlign w:val="center"/>
          </w:tcPr>
          <w:p w14:paraId="335A3850">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01" w:type="dxa"/>
            <w:noWrap w:val="0"/>
            <w:vAlign w:val="center"/>
          </w:tcPr>
          <w:p w14:paraId="4648ACC3">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69" w:type="dxa"/>
            <w:noWrap w:val="0"/>
            <w:vAlign w:val="center"/>
          </w:tcPr>
          <w:p w14:paraId="6F5E55FD">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435" w:type="dxa"/>
            <w:noWrap w:val="0"/>
            <w:vAlign w:val="center"/>
          </w:tcPr>
          <w:p w14:paraId="4E2103DC">
            <w:pPr>
              <w:rPr>
                <w:rFonts w:hint="eastAsia" w:ascii="宋体" w:hAnsi="宋体" w:eastAsia="宋体" w:cs="宋体"/>
                <w:color w:val="000000" w:themeColor="text1"/>
                <w:w w:val="90"/>
                <w:sz w:val="22"/>
                <w:szCs w:val="22"/>
                <w:highlight w:val="none"/>
                <w14:textFill>
                  <w14:solidFill>
                    <w14:schemeClr w14:val="tx1"/>
                  </w14:solidFill>
                </w14:textFill>
              </w:rPr>
            </w:pPr>
          </w:p>
        </w:tc>
      </w:tr>
      <w:tr w14:paraId="7B28C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2" w:type="dxa"/>
            <w:noWrap w:val="0"/>
            <w:vAlign w:val="center"/>
          </w:tcPr>
          <w:p w14:paraId="575D82F3">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538" w:type="dxa"/>
            <w:noWrap w:val="0"/>
            <w:vAlign w:val="center"/>
          </w:tcPr>
          <w:p w14:paraId="50E08557">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380" w:type="dxa"/>
            <w:noWrap w:val="0"/>
            <w:vAlign w:val="center"/>
          </w:tcPr>
          <w:p w14:paraId="3737A2F1">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01" w:type="dxa"/>
            <w:noWrap w:val="0"/>
            <w:vAlign w:val="center"/>
          </w:tcPr>
          <w:p w14:paraId="797B998B">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69" w:type="dxa"/>
            <w:noWrap w:val="0"/>
            <w:vAlign w:val="center"/>
          </w:tcPr>
          <w:p w14:paraId="782F4762">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435" w:type="dxa"/>
            <w:noWrap w:val="0"/>
            <w:vAlign w:val="center"/>
          </w:tcPr>
          <w:p w14:paraId="16086B20">
            <w:pPr>
              <w:rPr>
                <w:rFonts w:hint="eastAsia" w:ascii="宋体" w:hAnsi="宋体" w:eastAsia="宋体" w:cs="宋体"/>
                <w:color w:val="000000" w:themeColor="text1"/>
                <w:w w:val="90"/>
                <w:sz w:val="22"/>
                <w:szCs w:val="22"/>
                <w:highlight w:val="none"/>
                <w14:textFill>
                  <w14:solidFill>
                    <w14:schemeClr w14:val="tx1"/>
                  </w14:solidFill>
                </w14:textFill>
              </w:rPr>
            </w:pPr>
          </w:p>
        </w:tc>
      </w:tr>
      <w:tr w14:paraId="7572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2" w:type="dxa"/>
            <w:noWrap w:val="0"/>
            <w:vAlign w:val="center"/>
          </w:tcPr>
          <w:p w14:paraId="461D3B3C">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538" w:type="dxa"/>
            <w:noWrap w:val="0"/>
            <w:vAlign w:val="center"/>
          </w:tcPr>
          <w:p w14:paraId="3DF0A885">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380" w:type="dxa"/>
            <w:noWrap w:val="0"/>
            <w:vAlign w:val="center"/>
          </w:tcPr>
          <w:p w14:paraId="20E8CCBC">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01" w:type="dxa"/>
            <w:noWrap w:val="0"/>
            <w:vAlign w:val="center"/>
          </w:tcPr>
          <w:p w14:paraId="7D49369F">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69" w:type="dxa"/>
            <w:noWrap w:val="0"/>
            <w:vAlign w:val="center"/>
          </w:tcPr>
          <w:p w14:paraId="2CE96C10">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435" w:type="dxa"/>
            <w:noWrap w:val="0"/>
            <w:vAlign w:val="center"/>
          </w:tcPr>
          <w:p w14:paraId="13360F02">
            <w:pPr>
              <w:rPr>
                <w:rFonts w:hint="eastAsia" w:ascii="宋体" w:hAnsi="宋体" w:eastAsia="宋体" w:cs="宋体"/>
                <w:color w:val="000000" w:themeColor="text1"/>
                <w:w w:val="90"/>
                <w:sz w:val="22"/>
                <w:szCs w:val="22"/>
                <w:highlight w:val="none"/>
                <w14:textFill>
                  <w14:solidFill>
                    <w14:schemeClr w14:val="tx1"/>
                  </w14:solidFill>
                </w14:textFill>
              </w:rPr>
            </w:pPr>
          </w:p>
        </w:tc>
      </w:tr>
      <w:tr w14:paraId="214C0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2" w:type="dxa"/>
            <w:noWrap w:val="0"/>
            <w:vAlign w:val="center"/>
          </w:tcPr>
          <w:p w14:paraId="15B4FD08">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538" w:type="dxa"/>
            <w:noWrap w:val="0"/>
            <w:vAlign w:val="center"/>
          </w:tcPr>
          <w:p w14:paraId="4DC6E6C0">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380" w:type="dxa"/>
            <w:noWrap w:val="0"/>
            <w:vAlign w:val="center"/>
          </w:tcPr>
          <w:p w14:paraId="63BF02BF">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01" w:type="dxa"/>
            <w:noWrap w:val="0"/>
            <w:vAlign w:val="center"/>
          </w:tcPr>
          <w:p w14:paraId="3F1241E2">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769" w:type="dxa"/>
            <w:noWrap w:val="0"/>
            <w:vAlign w:val="center"/>
          </w:tcPr>
          <w:p w14:paraId="3721D866">
            <w:pPr>
              <w:rPr>
                <w:rFonts w:hint="eastAsia" w:ascii="宋体" w:hAnsi="宋体" w:eastAsia="宋体" w:cs="宋体"/>
                <w:color w:val="000000" w:themeColor="text1"/>
                <w:w w:val="90"/>
                <w:sz w:val="22"/>
                <w:szCs w:val="22"/>
                <w:highlight w:val="none"/>
                <w14:textFill>
                  <w14:solidFill>
                    <w14:schemeClr w14:val="tx1"/>
                  </w14:solidFill>
                </w14:textFill>
              </w:rPr>
            </w:pPr>
          </w:p>
        </w:tc>
        <w:tc>
          <w:tcPr>
            <w:tcW w:w="1435" w:type="dxa"/>
            <w:noWrap w:val="0"/>
            <w:vAlign w:val="center"/>
          </w:tcPr>
          <w:p w14:paraId="6C84BC7C">
            <w:pPr>
              <w:rPr>
                <w:rFonts w:hint="eastAsia" w:ascii="宋体" w:hAnsi="宋体" w:eastAsia="宋体" w:cs="宋体"/>
                <w:color w:val="000000" w:themeColor="text1"/>
                <w:w w:val="90"/>
                <w:sz w:val="22"/>
                <w:szCs w:val="22"/>
                <w:highlight w:val="none"/>
                <w14:textFill>
                  <w14:solidFill>
                    <w14:schemeClr w14:val="tx1"/>
                  </w14:solidFill>
                </w14:textFill>
              </w:rPr>
            </w:pPr>
          </w:p>
        </w:tc>
      </w:tr>
    </w:tbl>
    <w:p w14:paraId="5E8D13D0">
      <w:pP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 </w:t>
      </w:r>
    </w:p>
    <w:p w14:paraId="41A5CDB2">
      <w:pPr>
        <w:snapToGrid w:val="0"/>
        <w:rPr>
          <w:rFonts w:hint="eastAsia" w:ascii="宋体" w:hAnsi="宋体" w:eastAsia="宋体" w:cs="宋体"/>
          <w:color w:val="000000" w:themeColor="text1"/>
          <w:sz w:val="22"/>
          <w:szCs w:val="22"/>
          <w:highlight w:val="none"/>
          <w14:textFill>
            <w14:solidFill>
              <w14:schemeClr w14:val="tx1"/>
            </w14:solidFill>
          </w14:textFill>
        </w:rPr>
      </w:pPr>
    </w:p>
    <w:p w14:paraId="39C35428">
      <w:pPr>
        <w:snapToGrid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投标银行名称（盖章）：</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14:paraId="5860FA9A">
      <w:pPr>
        <w:snapToGrid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法定代表人</w:t>
      </w:r>
      <w:r>
        <w:rPr>
          <w:rFonts w:hint="eastAsia" w:ascii="宋体" w:hAnsi="宋体" w:eastAsia="宋体" w:cs="宋体"/>
          <w:color w:val="000000" w:themeColor="text1"/>
          <w:sz w:val="22"/>
          <w:szCs w:val="22"/>
          <w:highlight w:val="none"/>
          <w14:textFill>
            <w14:solidFill>
              <w14:schemeClr w14:val="tx1"/>
            </w14:solidFill>
          </w14:textFill>
        </w:rPr>
        <w:t>或其授权代表（签字或盖章）：</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14:paraId="2B861FC2">
      <w:pPr>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日期：</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sectPr>
      <w:headerReference r:id="rId7" w:type="default"/>
      <w:pgSz w:w="11906" w:h="16838"/>
      <w:pgMar w:top="1440" w:right="1418" w:bottom="1440" w:left="1559" w:header="851" w:footer="992"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细圆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2289A">
    <w:pPr>
      <w:pStyle w:val="28"/>
      <w:jc w:val="center"/>
    </w:pPr>
    <w:r>
      <w:rPr>
        <w:b/>
        <w:sz w:val="24"/>
        <w:szCs w:val="24"/>
      </w:rPr>
      <w:fldChar w:fldCharType="begin"/>
    </w:r>
    <w:r>
      <w:rPr>
        <w:rStyle w:val="44"/>
        <w:b/>
        <w:sz w:val="24"/>
        <w:szCs w:val="24"/>
      </w:rPr>
      <w:instrText xml:space="preserve"> PAGE </w:instrText>
    </w:r>
    <w:r>
      <w:rPr>
        <w:b/>
        <w:sz w:val="24"/>
        <w:szCs w:val="24"/>
      </w:rPr>
      <w:fldChar w:fldCharType="separate"/>
    </w:r>
    <w:r>
      <w:rPr>
        <w:rStyle w:val="44"/>
        <w:b/>
        <w:sz w:val="24"/>
        <w:szCs w:val="24"/>
      </w:rPr>
      <w:t>- 42 -</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5634A">
    <w:pPr>
      <w:pStyle w:val="29"/>
      <w:pBdr>
        <w:bottom w:val="none" w:color="auto" w:sz="0" w:space="1"/>
      </w:pBdr>
      <w:tabs>
        <w:tab w:val="center" w:pos="4614"/>
        <w:tab w:val="left" w:pos="6787"/>
        <w:tab w:val="left" w:pos="9000"/>
        <w:tab w:val="clear" w:pos="8306"/>
      </w:tabs>
      <w:jc w:val="left"/>
      <w:rPr>
        <w:rFonts w:hint="default" w:eastAsia="宋体"/>
        <w:lang w:val="en-US" w:eastAsia="zh-CN"/>
      </w:rPr>
    </w:pPr>
    <w:r>
      <w:rPr>
        <w:rFonts w:hint="eastAsia"/>
        <w:lang w:val="en-US" w:eastAsia="zh-CN"/>
      </w:rPr>
      <w:tab/>
    </w:r>
    <w:r>
      <w:rPr>
        <w:rFonts w:hint="eastAsia"/>
        <w:lang w:val="en-US" w:eastAsia="zh-CN"/>
      </w:rPr>
      <w:tab/>
    </w:r>
    <w:r>
      <w:rPr>
        <w:rFonts w:hint="eastAsia"/>
        <w:lang w:val="en-US" w:eastAsia="zh-CN"/>
      </w:rPr>
      <w:t xml:space="preserve">  </w:t>
    </w:r>
    <w:r>
      <w:rPr>
        <w:rFonts w:hint="eastAsia"/>
        <w:lang w:val="en-US"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2EAC2">
    <w:pPr>
      <w:pStyle w:val="29"/>
      <w:tabs>
        <w:tab w:val="left" w:pos="9000"/>
        <w:tab w:val="clear" w:pos="8306"/>
      </w:tabs>
      <w:jc w:val="right"/>
      <w:rPr>
        <w:rFonts w:hint="default" w:eastAsia="宋体"/>
        <w:lang w:val="en-US" w:eastAsia="zh-CN"/>
      </w:rPr>
    </w:pPr>
    <w:r>
      <w:rPr>
        <w:rFonts w:hint="eastAsia"/>
        <w:lang w:val="en-US" w:eastAsia="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8D247F"/>
    <w:multiLevelType w:val="singleLevel"/>
    <w:tmpl w:val="ED8D247F"/>
    <w:lvl w:ilvl="0" w:tentative="0">
      <w:start w:val="1"/>
      <w:numFmt w:val="decimal"/>
      <w:pStyle w:val="11"/>
      <w:lvlText w:val="%1."/>
      <w:lvlJc w:val="left"/>
      <w:pPr>
        <w:tabs>
          <w:tab w:val="left" w:pos="360"/>
        </w:tabs>
        <w:ind w:left="360" w:hanging="360"/>
      </w:pPr>
    </w:lvl>
  </w:abstractNum>
  <w:abstractNum w:abstractNumId="1">
    <w:nsid w:val="FFFFFF7D"/>
    <w:multiLevelType w:val="singleLevel"/>
    <w:tmpl w:val="FFFFFF7D"/>
    <w:lvl w:ilvl="0" w:tentative="0">
      <w:start w:val="1"/>
      <w:numFmt w:val="decimal"/>
      <w:pStyle w:val="23"/>
      <w:lvlText w:val="%1."/>
      <w:lvlJc w:val="left"/>
      <w:pPr>
        <w:tabs>
          <w:tab w:val="left" w:pos="1620"/>
        </w:tabs>
        <w:ind w:left="1620" w:hanging="360"/>
      </w:pPr>
    </w:lvl>
  </w:abstractNum>
  <w:abstractNum w:abstractNumId="2">
    <w:nsid w:val="00000016"/>
    <w:multiLevelType w:val="multilevel"/>
    <w:tmpl w:val="00000016"/>
    <w:lvl w:ilvl="0" w:tentative="0">
      <w:start w:val="1"/>
      <w:numFmt w:val="decimal"/>
      <w:lvlText w:val="%1."/>
      <w:lvlJc w:val="left"/>
      <w:pPr>
        <w:tabs>
          <w:tab w:val="left" w:pos="425"/>
        </w:tabs>
        <w:ind w:left="425" w:hanging="425"/>
      </w:pPr>
      <w:rPr>
        <w:rFonts w:hint="default"/>
        <w:b/>
        <w:i w:val="0"/>
        <w:sz w:val="24"/>
      </w:rPr>
    </w:lvl>
    <w:lvl w:ilvl="1" w:tentative="0">
      <w:start w:val="1"/>
      <w:numFmt w:val="decimal"/>
      <w:lvlText w:val="%1.%2."/>
      <w:lvlJc w:val="left"/>
      <w:pPr>
        <w:tabs>
          <w:tab w:val="left" w:pos="882"/>
        </w:tabs>
        <w:ind w:left="882" w:hanging="567"/>
      </w:pPr>
      <w:rPr>
        <w:rFonts w:hint="default"/>
        <w:b w:val="0"/>
        <w:i w:val="0"/>
        <w:color w:val="000000"/>
        <w:sz w:val="21"/>
        <w:szCs w:val="24"/>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EADB63C"/>
    <w:multiLevelType w:val="singleLevel"/>
    <w:tmpl w:val="0EADB63C"/>
    <w:lvl w:ilvl="0" w:tentative="0">
      <w:start w:val="1"/>
      <w:numFmt w:val="decimal"/>
      <w:suff w:val="nothing"/>
      <w:lvlText w:val="（%1）"/>
      <w:lvlJc w:val="left"/>
    </w:lvl>
  </w:abstractNum>
  <w:abstractNum w:abstractNumId="4">
    <w:nsid w:val="21347244"/>
    <w:multiLevelType w:val="singleLevel"/>
    <w:tmpl w:val="21347244"/>
    <w:lvl w:ilvl="0" w:tentative="0">
      <w:start w:val="5"/>
      <w:numFmt w:val="chineseCounting"/>
      <w:suff w:val="space"/>
      <w:lvlText w:val="第%1章"/>
      <w:lvlJc w:val="left"/>
      <w:rPr>
        <w:rFonts w:hint="eastAsia"/>
      </w:rPr>
    </w:lvl>
  </w:abstractNum>
  <w:abstractNum w:abstractNumId="5">
    <w:nsid w:val="5383AE80"/>
    <w:multiLevelType w:val="singleLevel"/>
    <w:tmpl w:val="5383AE80"/>
    <w:lvl w:ilvl="0" w:tentative="0">
      <w:start w:val="1"/>
      <w:numFmt w:val="decimal"/>
      <w:suff w:val="nothing"/>
      <w:lvlText w:val="（%1）"/>
      <w:lvlJc w:val="left"/>
    </w:lvl>
  </w:abstractNum>
  <w:abstractNum w:abstractNumId="6">
    <w:nsid w:val="638BF215"/>
    <w:multiLevelType w:val="singleLevel"/>
    <w:tmpl w:val="638BF215"/>
    <w:lvl w:ilvl="0" w:tentative="0">
      <w:start w:val="2"/>
      <w:numFmt w:val="chineseCounting"/>
      <w:suff w:val="space"/>
      <w:lvlText w:val="第%1章"/>
      <w:lvlJc w:val="left"/>
      <w:rPr>
        <w:rFonts w:hint="eastAsia"/>
      </w:rPr>
    </w:lvl>
  </w:abstractNum>
  <w:abstractNum w:abstractNumId="7">
    <w:nsid w:val="7519315D"/>
    <w:multiLevelType w:val="singleLevel"/>
    <w:tmpl w:val="7519315D"/>
    <w:lvl w:ilvl="0" w:tentative="0">
      <w:start w:val="1"/>
      <w:numFmt w:val="decimal"/>
      <w:suff w:val="nothing"/>
      <w:lvlText w:val="%1、"/>
      <w:lvlJc w:val="left"/>
    </w:lvl>
  </w:abstractNum>
  <w:num w:numId="1">
    <w:abstractNumId w:val="0"/>
  </w:num>
  <w:num w:numId="2">
    <w:abstractNumId w:val="1"/>
  </w:num>
  <w:num w:numId="3">
    <w:abstractNumId w:val="5"/>
  </w:num>
  <w:num w:numId="4">
    <w:abstractNumId w:val="6"/>
  </w:num>
  <w:num w:numId="5">
    <w:abstractNumId w:val="2"/>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xZGIwMGRmN2YyYmRjNTdlYTY0NmRkNGY1YjEzZjIifQ=="/>
  </w:docVars>
  <w:rsids>
    <w:rsidRoot w:val="00174C54"/>
    <w:rsid w:val="0000200E"/>
    <w:rsid w:val="00004470"/>
    <w:rsid w:val="00005E97"/>
    <w:rsid w:val="000063F9"/>
    <w:rsid w:val="00006C80"/>
    <w:rsid w:val="0001085C"/>
    <w:rsid w:val="00010A21"/>
    <w:rsid w:val="00015565"/>
    <w:rsid w:val="00016322"/>
    <w:rsid w:val="00016828"/>
    <w:rsid w:val="00017DBC"/>
    <w:rsid w:val="000202F7"/>
    <w:rsid w:val="000207F1"/>
    <w:rsid w:val="0002257A"/>
    <w:rsid w:val="00022D78"/>
    <w:rsid w:val="000246CD"/>
    <w:rsid w:val="00025EF2"/>
    <w:rsid w:val="0003015C"/>
    <w:rsid w:val="00031888"/>
    <w:rsid w:val="000345C2"/>
    <w:rsid w:val="0003583A"/>
    <w:rsid w:val="00035FCF"/>
    <w:rsid w:val="000361CF"/>
    <w:rsid w:val="000367F1"/>
    <w:rsid w:val="00037D29"/>
    <w:rsid w:val="00040A4D"/>
    <w:rsid w:val="00041693"/>
    <w:rsid w:val="000420A3"/>
    <w:rsid w:val="00042F8B"/>
    <w:rsid w:val="0004434B"/>
    <w:rsid w:val="00044F04"/>
    <w:rsid w:val="0004662E"/>
    <w:rsid w:val="0004687E"/>
    <w:rsid w:val="00047119"/>
    <w:rsid w:val="000509FE"/>
    <w:rsid w:val="00050DDE"/>
    <w:rsid w:val="00052B1E"/>
    <w:rsid w:val="000538DF"/>
    <w:rsid w:val="0005797E"/>
    <w:rsid w:val="00060487"/>
    <w:rsid w:val="00060F29"/>
    <w:rsid w:val="00062119"/>
    <w:rsid w:val="00065304"/>
    <w:rsid w:val="000656F4"/>
    <w:rsid w:val="00070EDF"/>
    <w:rsid w:val="000714D5"/>
    <w:rsid w:val="00073BE5"/>
    <w:rsid w:val="000744FD"/>
    <w:rsid w:val="0007484F"/>
    <w:rsid w:val="00074AD1"/>
    <w:rsid w:val="00074DDF"/>
    <w:rsid w:val="00075D64"/>
    <w:rsid w:val="00076E50"/>
    <w:rsid w:val="00077C5B"/>
    <w:rsid w:val="00077EA4"/>
    <w:rsid w:val="00077F9B"/>
    <w:rsid w:val="000803CD"/>
    <w:rsid w:val="00080603"/>
    <w:rsid w:val="00081B8F"/>
    <w:rsid w:val="00083FD2"/>
    <w:rsid w:val="0008742B"/>
    <w:rsid w:val="000909F9"/>
    <w:rsid w:val="00091AF6"/>
    <w:rsid w:val="000943E3"/>
    <w:rsid w:val="0009482F"/>
    <w:rsid w:val="00094973"/>
    <w:rsid w:val="0009499A"/>
    <w:rsid w:val="00094C88"/>
    <w:rsid w:val="00094C9B"/>
    <w:rsid w:val="00094E50"/>
    <w:rsid w:val="00094F14"/>
    <w:rsid w:val="00095EE0"/>
    <w:rsid w:val="0009602E"/>
    <w:rsid w:val="000A05A7"/>
    <w:rsid w:val="000A0642"/>
    <w:rsid w:val="000A097F"/>
    <w:rsid w:val="000A37BB"/>
    <w:rsid w:val="000A3EF5"/>
    <w:rsid w:val="000A559A"/>
    <w:rsid w:val="000A5E45"/>
    <w:rsid w:val="000A6373"/>
    <w:rsid w:val="000A65AB"/>
    <w:rsid w:val="000A717D"/>
    <w:rsid w:val="000B02A6"/>
    <w:rsid w:val="000B257A"/>
    <w:rsid w:val="000B27F0"/>
    <w:rsid w:val="000B42F6"/>
    <w:rsid w:val="000B4B2A"/>
    <w:rsid w:val="000B62B3"/>
    <w:rsid w:val="000C0197"/>
    <w:rsid w:val="000C0390"/>
    <w:rsid w:val="000C1640"/>
    <w:rsid w:val="000C229A"/>
    <w:rsid w:val="000C287C"/>
    <w:rsid w:val="000C3995"/>
    <w:rsid w:val="000C4001"/>
    <w:rsid w:val="000C4F6F"/>
    <w:rsid w:val="000C5267"/>
    <w:rsid w:val="000C5309"/>
    <w:rsid w:val="000C5395"/>
    <w:rsid w:val="000C54FC"/>
    <w:rsid w:val="000C767D"/>
    <w:rsid w:val="000D021C"/>
    <w:rsid w:val="000D0CF9"/>
    <w:rsid w:val="000D30CB"/>
    <w:rsid w:val="000D378E"/>
    <w:rsid w:val="000D3B38"/>
    <w:rsid w:val="000D432A"/>
    <w:rsid w:val="000D5FC2"/>
    <w:rsid w:val="000D64C3"/>
    <w:rsid w:val="000D665D"/>
    <w:rsid w:val="000D6C48"/>
    <w:rsid w:val="000E063A"/>
    <w:rsid w:val="000E075A"/>
    <w:rsid w:val="000E12DD"/>
    <w:rsid w:val="000E1336"/>
    <w:rsid w:val="000E186E"/>
    <w:rsid w:val="000E337E"/>
    <w:rsid w:val="000E363A"/>
    <w:rsid w:val="000E378F"/>
    <w:rsid w:val="000E3B77"/>
    <w:rsid w:val="000E44B6"/>
    <w:rsid w:val="000E4F04"/>
    <w:rsid w:val="000E7D20"/>
    <w:rsid w:val="000E7F35"/>
    <w:rsid w:val="000F378B"/>
    <w:rsid w:val="000F4178"/>
    <w:rsid w:val="000F48D9"/>
    <w:rsid w:val="000F558C"/>
    <w:rsid w:val="000F59FD"/>
    <w:rsid w:val="000F5BE7"/>
    <w:rsid w:val="001000F4"/>
    <w:rsid w:val="00100194"/>
    <w:rsid w:val="00101CE8"/>
    <w:rsid w:val="001052A4"/>
    <w:rsid w:val="001063F4"/>
    <w:rsid w:val="0010657B"/>
    <w:rsid w:val="00106E1D"/>
    <w:rsid w:val="001108C4"/>
    <w:rsid w:val="001110C6"/>
    <w:rsid w:val="0011157F"/>
    <w:rsid w:val="00111AC8"/>
    <w:rsid w:val="00111E01"/>
    <w:rsid w:val="001128DB"/>
    <w:rsid w:val="00112E98"/>
    <w:rsid w:val="00114F69"/>
    <w:rsid w:val="00115220"/>
    <w:rsid w:val="001165DE"/>
    <w:rsid w:val="00116D68"/>
    <w:rsid w:val="00116E4A"/>
    <w:rsid w:val="00120144"/>
    <w:rsid w:val="00120147"/>
    <w:rsid w:val="0012041A"/>
    <w:rsid w:val="0012074C"/>
    <w:rsid w:val="0012153E"/>
    <w:rsid w:val="00121753"/>
    <w:rsid w:val="00121EDE"/>
    <w:rsid w:val="0012233A"/>
    <w:rsid w:val="00125FA2"/>
    <w:rsid w:val="001266E2"/>
    <w:rsid w:val="00126FDE"/>
    <w:rsid w:val="001300D6"/>
    <w:rsid w:val="00131199"/>
    <w:rsid w:val="00132C8F"/>
    <w:rsid w:val="001335BF"/>
    <w:rsid w:val="001346C1"/>
    <w:rsid w:val="00135A5E"/>
    <w:rsid w:val="00136522"/>
    <w:rsid w:val="00136D1F"/>
    <w:rsid w:val="0014108D"/>
    <w:rsid w:val="00141AE9"/>
    <w:rsid w:val="00142DC4"/>
    <w:rsid w:val="00146E56"/>
    <w:rsid w:val="00150997"/>
    <w:rsid w:val="00152414"/>
    <w:rsid w:val="00152ED2"/>
    <w:rsid w:val="0015340B"/>
    <w:rsid w:val="00153BF2"/>
    <w:rsid w:val="00154005"/>
    <w:rsid w:val="00154B19"/>
    <w:rsid w:val="00154D2E"/>
    <w:rsid w:val="0015774B"/>
    <w:rsid w:val="00160415"/>
    <w:rsid w:val="00160F77"/>
    <w:rsid w:val="0016122E"/>
    <w:rsid w:val="0016140C"/>
    <w:rsid w:val="001655AB"/>
    <w:rsid w:val="00167774"/>
    <w:rsid w:val="001711E8"/>
    <w:rsid w:val="0017132F"/>
    <w:rsid w:val="001713E6"/>
    <w:rsid w:val="00172134"/>
    <w:rsid w:val="001731AA"/>
    <w:rsid w:val="00174C54"/>
    <w:rsid w:val="00174DA3"/>
    <w:rsid w:val="00174EF6"/>
    <w:rsid w:val="00176B96"/>
    <w:rsid w:val="00177064"/>
    <w:rsid w:val="001811F8"/>
    <w:rsid w:val="00181A02"/>
    <w:rsid w:val="00181AFD"/>
    <w:rsid w:val="00181D04"/>
    <w:rsid w:val="00185475"/>
    <w:rsid w:val="001925C8"/>
    <w:rsid w:val="001932A8"/>
    <w:rsid w:val="00193A80"/>
    <w:rsid w:val="00197E2A"/>
    <w:rsid w:val="001A107E"/>
    <w:rsid w:val="001A12EF"/>
    <w:rsid w:val="001A198E"/>
    <w:rsid w:val="001A2237"/>
    <w:rsid w:val="001A22AD"/>
    <w:rsid w:val="001A4584"/>
    <w:rsid w:val="001A48B6"/>
    <w:rsid w:val="001A571F"/>
    <w:rsid w:val="001A5C51"/>
    <w:rsid w:val="001A673C"/>
    <w:rsid w:val="001B120C"/>
    <w:rsid w:val="001B13AA"/>
    <w:rsid w:val="001B5B78"/>
    <w:rsid w:val="001B6242"/>
    <w:rsid w:val="001B6813"/>
    <w:rsid w:val="001B7707"/>
    <w:rsid w:val="001C0785"/>
    <w:rsid w:val="001C0A92"/>
    <w:rsid w:val="001C0AC1"/>
    <w:rsid w:val="001C0B64"/>
    <w:rsid w:val="001C33EF"/>
    <w:rsid w:val="001C3F79"/>
    <w:rsid w:val="001C4E86"/>
    <w:rsid w:val="001C562A"/>
    <w:rsid w:val="001C57B7"/>
    <w:rsid w:val="001C77D1"/>
    <w:rsid w:val="001D05DC"/>
    <w:rsid w:val="001D0AE8"/>
    <w:rsid w:val="001D25AA"/>
    <w:rsid w:val="001D3A4C"/>
    <w:rsid w:val="001D6175"/>
    <w:rsid w:val="001D72C8"/>
    <w:rsid w:val="001E105A"/>
    <w:rsid w:val="001E23FE"/>
    <w:rsid w:val="001E312C"/>
    <w:rsid w:val="001E33FF"/>
    <w:rsid w:val="001E3DDE"/>
    <w:rsid w:val="001E4961"/>
    <w:rsid w:val="001E7478"/>
    <w:rsid w:val="001E7D3E"/>
    <w:rsid w:val="001F07FF"/>
    <w:rsid w:val="001F53EE"/>
    <w:rsid w:val="001F5B71"/>
    <w:rsid w:val="001F613B"/>
    <w:rsid w:val="001F7E36"/>
    <w:rsid w:val="002002A5"/>
    <w:rsid w:val="00200C8D"/>
    <w:rsid w:val="00200D14"/>
    <w:rsid w:val="00203D29"/>
    <w:rsid w:val="00205F57"/>
    <w:rsid w:val="002070C6"/>
    <w:rsid w:val="002076B4"/>
    <w:rsid w:val="0021068D"/>
    <w:rsid w:val="00210760"/>
    <w:rsid w:val="00210F74"/>
    <w:rsid w:val="00211B7E"/>
    <w:rsid w:val="002138D6"/>
    <w:rsid w:val="002154C4"/>
    <w:rsid w:val="00216DDD"/>
    <w:rsid w:val="00217CFD"/>
    <w:rsid w:val="00220488"/>
    <w:rsid w:val="00221A94"/>
    <w:rsid w:val="00222814"/>
    <w:rsid w:val="00224906"/>
    <w:rsid w:val="00225306"/>
    <w:rsid w:val="00225780"/>
    <w:rsid w:val="0022618D"/>
    <w:rsid w:val="00226773"/>
    <w:rsid w:val="00226BD1"/>
    <w:rsid w:val="0023031E"/>
    <w:rsid w:val="00230FC8"/>
    <w:rsid w:val="0023124B"/>
    <w:rsid w:val="00231A33"/>
    <w:rsid w:val="00232009"/>
    <w:rsid w:val="00234FAF"/>
    <w:rsid w:val="002362DE"/>
    <w:rsid w:val="00236925"/>
    <w:rsid w:val="0023739D"/>
    <w:rsid w:val="00240CD5"/>
    <w:rsid w:val="00242B2A"/>
    <w:rsid w:val="002430B2"/>
    <w:rsid w:val="0024377B"/>
    <w:rsid w:val="00244663"/>
    <w:rsid w:val="00244714"/>
    <w:rsid w:val="00244D54"/>
    <w:rsid w:val="00244D84"/>
    <w:rsid w:val="00245EF9"/>
    <w:rsid w:val="00246D7C"/>
    <w:rsid w:val="00247DAD"/>
    <w:rsid w:val="0025070C"/>
    <w:rsid w:val="00250FB6"/>
    <w:rsid w:val="00251848"/>
    <w:rsid w:val="00251B1B"/>
    <w:rsid w:val="00251E75"/>
    <w:rsid w:val="00252C02"/>
    <w:rsid w:val="00253596"/>
    <w:rsid w:val="00255348"/>
    <w:rsid w:val="00256BA8"/>
    <w:rsid w:val="0025718D"/>
    <w:rsid w:val="00257C0F"/>
    <w:rsid w:val="00263146"/>
    <w:rsid w:val="00263C18"/>
    <w:rsid w:val="00264192"/>
    <w:rsid w:val="002663A3"/>
    <w:rsid w:val="002666F0"/>
    <w:rsid w:val="00267C84"/>
    <w:rsid w:val="00270385"/>
    <w:rsid w:val="002706F7"/>
    <w:rsid w:val="00270A26"/>
    <w:rsid w:val="00272A48"/>
    <w:rsid w:val="0027371B"/>
    <w:rsid w:val="00274DB2"/>
    <w:rsid w:val="00274EEA"/>
    <w:rsid w:val="002758A2"/>
    <w:rsid w:val="0027633E"/>
    <w:rsid w:val="00276FA2"/>
    <w:rsid w:val="0028048A"/>
    <w:rsid w:val="002810D5"/>
    <w:rsid w:val="0028287D"/>
    <w:rsid w:val="00283393"/>
    <w:rsid w:val="00284542"/>
    <w:rsid w:val="00285473"/>
    <w:rsid w:val="002876CD"/>
    <w:rsid w:val="00290151"/>
    <w:rsid w:val="00290314"/>
    <w:rsid w:val="002908CF"/>
    <w:rsid w:val="002909D7"/>
    <w:rsid w:val="00293D66"/>
    <w:rsid w:val="00295523"/>
    <w:rsid w:val="00296AFB"/>
    <w:rsid w:val="00297FC2"/>
    <w:rsid w:val="002A0B0F"/>
    <w:rsid w:val="002A0DF2"/>
    <w:rsid w:val="002A1E88"/>
    <w:rsid w:val="002A234B"/>
    <w:rsid w:val="002A4791"/>
    <w:rsid w:val="002A620F"/>
    <w:rsid w:val="002A6A92"/>
    <w:rsid w:val="002B0482"/>
    <w:rsid w:val="002B1D4A"/>
    <w:rsid w:val="002B1EE5"/>
    <w:rsid w:val="002B23ED"/>
    <w:rsid w:val="002B296E"/>
    <w:rsid w:val="002B359C"/>
    <w:rsid w:val="002B3A28"/>
    <w:rsid w:val="002B3C9B"/>
    <w:rsid w:val="002B55F9"/>
    <w:rsid w:val="002B563D"/>
    <w:rsid w:val="002B6314"/>
    <w:rsid w:val="002C0CF4"/>
    <w:rsid w:val="002C1775"/>
    <w:rsid w:val="002C1C1C"/>
    <w:rsid w:val="002C53EB"/>
    <w:rsid w:val="002C5435"/>
    <w:rsid w:val="002C5811"/>
    <w:rsid w:val="002C58DF"/>
    <w:rsid w:val="002C5FDA"/>
    <w:rsid w:val="002D14A9"/>
    <w:rsid w:val="002D15F0"/>
    <w:rsid w:val="002D29E9"/>
    <w:rsid w:val="002D2B9D"/>
    <w:rsid w:val="002D2BB1"/>
    <w:rsid w:val="002D34FB"/>
    <w:rsid w:val="002D37D2"/>
    <w:rsid w:val="002D4BBE"/>
    <w:rsid w:val="002D5795"/>
    <w:rsid w:val="002D6915"/>
    <w:rsid w:val="002D736A"/>
    <w:rsid w:val="002D763B"/>
    <w:rsid w:val="002D7822"/>
    <w:rsid w:val="002D78BA"/>
    <w:rsid w:val="002D792E"/>
    <w:rsid w:val="002E0FA7"/>
    <w:rsid w:val="002E27FF"/>
    <w:rsid w:val="002E4A2D"/>
    <w:rsid w:val="002E5174"/>
    <w:rsid w:val="002E5BCD"/>
    <w:rsid w:val="002E5D03"/>
    <w:rsid w:val="002F16E6"/>
    <w:rsid w:val="002F72BF"/>
    <w:rsid w:val="00300197"/>
    <w:rsid w:val="0030099F"/>
    <w:rsid w:val="00301985"/>
    <w:rsid w:val="00301B96"/>
    <w:rsid w:val="00304D2E"/>
    <w:rsid w:val="00306868"/>
    <w:rsid w:val="00310F9F"/>
    <w:rsid w:val="00311A79"/>
    <w:rsid w:val="0031341C"/>
    <w:rsid w:val="00314F75"/>
    <w:rsid w:val="003164E3"/>
    <w:rsid w:val="003165EB"/>
    <w:rsid w:val="003172F5"/>
    <w:rsid w:val="003178C6"/>
    <w:rsid w:val="00320FB6"/>
    <w:rsid w:val="0032217A"/>
    <w:rsid w:val="003240D6"/>
    <w:rsid w:val="0032680D"/>
    <w:rsid w:val="00326CB9"/>
    <w:rsid w:val="003304A8"/>
    <w:rsid w:val="00330F89"/>
    <w:rsid w:val="00331D69"/>
    <w:rsid w:val="00334F16"/>
    <w:rsid w:val="00335655"/>
    <w:rsid w:val="00336687"/>
    <w:rsid w:val="003366CF"/>
    <w:rsid w:val="0033783F"/>
    <w:rsid w:val="00337930"/>
    <w:rsid w:val="00337B19"/>
    <w:rsid w:val="00341FF8"/>
    <w:rsid w:val="0034417D"/>
    <w:rsid w:val="00345189"/>
    <w:rsid w:val="0034545B"/>
    <w:rsid w:val="0034578E"/>
    <w:rsid w:val="00346F64"/>
    <w:rsid w:val="00347E20"/>
    <w:rsid w:val="00350750"/>
    <w:rsid w:val="00353E62"/>
    <w:rsid w:val="00354FF2"/>
    <w:rsid w:val="00360AEB"/>
    <w:rsid w:val="00361163"/>
    <w:rsid w:val="00361255"/>
    <w:rsid w:val="00361EAA"/>
    <w:rsid w:val="00363D1D"/>
    <w:rsid w:val="003642C2"/>
    <w:rsid w:val="00364486"/>
    <w:rsid w:val="003651C6"/>
    <w:rsid w:val="00365827"/>
    <w:rsid w:val="0036607B"/>
    <w:rsid w:val="00366BD2"/>
    <w:rsid w:val="00366E9A"/>
    <w:rsid w:val="003705ED"/>
    <w:rsid w:val="003720B1"/>
    <w:rsid w:val="0037222F"/>
    <w:rsid w:val="0037374E"/>
    <w:rsid w:val="00373E38"/>
    <w:rsid w:val="003765AC"/>
    <w:rsid w:val="00376685"/>
    <w:rsid w:val="00376895"/>
    <w:rsid w:val="00380776"/>
    <w:rsid w:val="003808FA"/>
    <w:rsid w:val="0038121F"/>
    <w:rsid w:val="003825D4"/>
    <w:rsid w:val="003832E8"/>
    <w:rsid w:val="00385F29"/>
    <w:rsid w:val="00386495"/>
    <w:rsid w:val="00386DCF"/>
    <w:rsid w:val="00386E7E"/>
    <w:rsid w:val="00392017"/>
    <w:rsid w:val="00393458"/>
    <w:rsid w:val="00393E21"/>
    <w:rsid w:val="003943B8"/>
    <w:rsid w:val="00397A8F"/>
    <w:rsid w:val="003A34F0"/>
    <w:rsid w:val="003A4D16"/>
    <w:rsid w:val="003A70FB"/>
    <w:rsid w:val="003B0105"/>
    <w:rsid w:val="003B07FC"/>
    <w:rsid w:val="003B1852"/>
    <w:rsid w:val="003B3287"/>
    <w:rsid w:val="003B3868"/>
    <w:rsid w:val="003B44F7"/>
    <w:rsid w:val="003B57DB"/>
    <w:rsid w:val="003B59C5"/>
    <w:rsid w:val="003B5CB5"/>
    <w:rsid w:val="003B65ED"/>
    <w:rsid w:val="003C0BF9"/>
    <w:rsid w:val="003C0E83"/>
    <w:rsid w:val="003C1C3B"/>
    <w:rsid w:val="003C213D"/>
    <w:rsid w:val="003C3A44"/>
    <w:rsid w:val="003C40BE"/>
    <w:rsid w:val="003C6BBC"/>
    <w:rsid w:val="003C6D23"/>
    <w:rsid w:val="003C7284"/>
    <w:rsid w:val="003C7F4C"/>
    <w:rsid w:val="003D019E"/>
    <w:rsid w:val="003D0CBF"/>
    <w:rsid w:val="003D15DF"/>
    <w:rsid w:val="003D167C"/>
    <w:rsid w:val="003D2099"/>
    <w:rsid w:val="003D2C72"/>
    <w:rsid w:val="003D365E"/>
    <w:rsid w:val="003D5DC6"/>
    <w:rsid w:val="003D647B"/>
    <w:rsid w:val="003D6B79"/>
    <w:rsid w:val="003D7D95"/>
    <w:rsid w:val="003D7E0F"/>
    <w:rsid w:val="003E0827"/>
    <w:rsid w:val="003E0C5B"/>
    <w:rsid w:val="003E1B7E"/>
    <w:rsid w:val="003E2EF5"/>
    <w:rsid w:val="003E30E5"/>
    <w:rsid w:val="003E32B2"/>
    <w:rsid w:val="003E5C0B"/>
    <w:rsid w:val="003E70A0"/>
    <w:rsid w:val="003E78AC"/>
    <w:rsid w:val="003F2B05"/>
    <w:rsid w:val="003F3B2E"/>
    <w:rsid w:val="003F3D23"/>
    <w:rsid w:val="003F47A5"/>
    <w:rsid w:val="003F4FB7"/>
    <w:rsid w:val="003F59A1"/>
    <w:rsid w:val="003F59BC"/>
    <w:rsid w:val="003F7A3E"/>
    <w:rsid w:val="003F7AB7"/>
    <w:rsid w:val="0040200D"/>
    <w:rsid w:val="00403556"/>
    <w:rsid w:val="0040702F"/>
    <w:rsid w:val="00407CCF"/>
    <w:rsid w:val="004110D2"/>
    <w:rsid w:val="00411DA1"/>
    <w:rsid w:val="00411F31"/>
    <w:rsid w:val="004122D1"/>
    <w:rsid w:val="00414530"/>
    <w:rsid w:val="004148FA"/>
    <w:rsid w:val="00414F04"/>
    <w:rsid w:val="00420793"/>
    <w:rsid w:val="00423CEA"/>
    <w:rsid w:val="004248C8"/>
    <w:rsid w:val="00424BE1"/>
    <w:rsid w:val="00424E84"/>
    <w:rsid w:val="004254F6"/>
    <w:rsid w:val="00425A9D"/>
    <w:rsid w:val="00425DEB"/>
    <w:rsid w:val="004310D6"/>
    <w:rsid w:val="004313B7"/>
    <w:rsid w:val="004315A4"/>
    <w:rsid w:val="00432385"/>
    <w:rsid w:val="004325CE"/>
    <w:rsid w:val="00433723"/>
    <w:rsid w:val="00434078"/>
    <w:rsid w:val="0043486E"/>
    <w:rsid w:val="004349C5"/>
    <w:rsid w:val="00435159"/>
    <w:rsid w:val="00436FAA"/>
    <w:rsid w:val="00437F43"/>
    <w:rsid w:val="00440894"/>
    <w:rsid w:val="00440D1C"/>
    <w:rsid w:val="0044106C"/>
    <w:rsid w:val="004410F4"/>
    <w:rsid w:val="0044187D"/>
    <w:rsid w:val="0044342D"/>
    <w:rsid w:val="004439B5"/>
    <w:rsid w:val="00443FB7"/>
    <w:rsid w:val="004442C6"/>
    <w:rsid w:val="00444626"/>
    <w:rsid w:val="004468AB"/>
    <w:rsid w:val="00446A82"/>
    <w:rsid w:val="004476D8"/>
    <w:rsid w:val="00450F44"/>
    <w:rsid w:val="004513F2"/>
    <w:rsid w:val="0045140E"/>
    <w:rsid w:val="00452377"/>
    <w:rsid w:val="00454549"/>
    <w:rsid w:val="00455398"/>
    <w:rsid w:val="00455A98"/>
    <w:rsid w:val="00456BF3"/>
    <w:rsid w:val="00456E0C"/>
    <w:rsid w:val="00457FBD"/>
    <w:rsid w:val="00460BFD"/>
    <w:rsid w:val="00461706"/>
    <w:rsid w:val="00461FF6"/>
    <w:rsid w:val="00462291"/>
    <w:rsid w:val="00464115"/>
    <w:rsid w:val="00464249"/>
    <w:rsid w:val="00464E01"/>
    <w:rsid w:val="00464F72"/>
    <w:rsid w:val="00465082"/>
    <w:rsid w:val="004654C6"/>
    <w:rsid w:val="004661AD"/>
    <w:rsid w:val="00467D2D"/>
    <w:rsid w:val="00467E9B"/>
    <w:rsid w:val="00470BEA"/>
    <w:rsid w:val="00471F92"/>
    <w:rsid w:val="00472565"/>
    <w:rsid w:val="00472842"/>
    <w:rsid w:val="00474E52"/>
    <w:rsid w:val="00475AEF"/>
    <w:rsid w:val="00475C2A"/>
    <w:rsid w:val="00476A75"/>
    <w:rsid w:val="00485E36"/>
    <w:rsid w:val="004901CB"/>
    <w:rsid w:val="004919C7"/>
    <w:rsid w:val="00491AC1"/>
    <w:rsid w:val="00491DD1"/>
    <w:rsid w:val="004923AE"/>
    <w:rsid w:val="004925DE"/>
    <w:rsid w:val="00493D6C"/>
    <w:rsid w:val="00494A94"/>
    <w:rsid w:val="0049583B"/>
    <w:rsid w:val="004A00B2"/>
    <w:rsid w:val="004A0832"/>
    <w:rsid w:val="004A13E4"/>
    <w:rsid w:val="004A244A"/>
    <w:rsid w:val="004A2AE1"/>
    <w:rsid w:val="004A2CFD"/>
    <w:rsid w:val="004A3E35"/>
    <w:rsid w:val="004A4908"/>
    <w:rsid w:val="004A57E5"/>
    <w:rsid w:val="004A5E52"/>
    <w:rsid w:val="004A6182"/>
    <w:rsid w:val="004B005E"/>
    <w:rsid w:val="004B05CE"/>
    <w:rsid w:val="004B158A"/>
    <w:rsid w:val="004B1DE7"/>
    <w:rsid w:val="004B46E0"/>
    <w:rsid w:val="004B4D8F"/>
    <w:rsid w:val="004B4FD7"/>
    <w:rsid w:val="004B573C"/>
    <w:rsid w:val="004B6DC8"/>
    <w:rsid w:val="004B7AD1"/>
    <w:rsid w:val="004B7BA5"/>
    <w:rsid w:val="004C0333"/>
    <w:rsid w:val="004C0662"/>
    <w:rsid w:val="004C0945"/>
    <w:rsid w:val="004C0BB3"/>
    <w:rsid w:val="004C21DC"/>
    <w:rsid w:val="004C4887"/>
    <w:rsid w:val="004C5422"/>
    <w:rsid w:val="004C64B9"/>
    <w:rsid w:val="004C76D4"/>
    <w:rsid w:val="004D0A9D"/>
    <w:rsid w:val="004D20DC"/>
    <w:rsid w:val="004D213A"/>
    <w:rsid w:val="004D24E4"/>
    <w:rsid w:val="004D5B75"/>
    <w:rsid w:val="004D64AF"/>
    <w:rsid w:val="004D6E2E"/>
    <w:rsid w:val="004D7BB7"/>
    <w:rsid w:val="004E0C5B"/>
    <w:rsid w:val="004E2113"/>
    <w:rsid w:val="004E2A69"/>
    <w:rsid w:val="004E4407"/>
    <w:rsid w:val="004E5D65"/>
    <w:rsid w:val="004E6328"/>
    <w:rsid w:val="004E6C6E"/>
    <w:rsid w:val="004F0C58"/>
    <w:rsid w:val="004F1B76"/>
    <w:rsid w:val="004F236D"/>
    <w:rsid w:val="004F45A2"/>
    <w:rsid w:val="004F498E"/>
    <w:rsid w:val="004F59A1"/>
    <w:rsid w:val="004F61E6"/>
    <w:rsid w:val="004F68A8"/>
    <w:rsid w:val="004F6A4A"/>
    <w:rsid w:val="00500713"/>
    <w:rsid w:val="00500BAA"/>
    <w:rsid w:val="00501207"/>
    <w:rsid w:val="005015AD"/>
    <w:rsid w:val="00501667"/>
    <w:rsid w:val="00501BA1"/>
    <w:rsid w:val="00502161"/>
    <w:rsid w:val="0050224D"/>
    <w:rsid w:val="00502753"/>
    <w:rsid w:val="00502976"/>
    <w:rsid w:val="00502B13"/>
    <w:rsid w:val="00502E53"/>
    <w:rsid w:val="005030DC"/>
    <w:rsid w:val="00504088"/>
    <w:rsid w:val="0050708D"/>
    <w:rsid w:val="00507324"/>
    <w:rsid w:val="00507BAB"/>
    <w:rsid w:val="0051027E"/>
    <w:rsid w:val="005128BE"/>
    <w:rsid w:val="00512BA1"/>
    <w:rsid w:val="00513A67"/>
    <w:rsid w:val="00513E56"/>
    <w:rsid w:val="00514448"/>
    <w:rsid w:val="00514BA6"/>
    <w:rsid w:val="00514BE9"/>
    <w:rsid w:val="00515521"/>
    <w:rsid w:val="00515F20"/>
    <w:rsid w:val="005169B6"/>
    <w:rsid w:val="00516B77"/>
    <w:rsid w:val="005208DE"/>
    <w:rsid w:val="00520B10"/>
    <w:rsid w:val="00520E75"/>
    <w:rsid w:val="00521756"/>
    <w:rsid w:val="005224E0"/>
    <w:rsid w:val="00522724"/>
    <w:rsid w:val="00522D3F"/>
    <w:rsid w:val="005230C0"/>
    <w:rsid w:val="0052398C"/>
    <w:rsid w:val="00523A45"/>
    <w:rsid w:val="005241A3"/>
    <w:rsid w:val="005251E7"/>
    <w:rsid w:val="005263EE"/>
    <w:rsid w:val="0052667B"/>
    <w:rsid w:val="005271C5"/>
    <w:rsid w:val="00527A6F"/>
    <w:rsid w:val="005302EA"/>
    <w:rsid w:val="00530403"/>
    <w:rsid w:val="005309B6"/>
    <w:rsid w:val="005311A4"/>
    <w:rsid w:val="00531673"/>
    <w:rsid w:val="005351B8"/>
    <w:rsid w:val="005354CA"/>
    <w:rsid w:val="00535D3F"/>
    <w:rsid w:val="00537070"/>
    <w:rsid w:val="005371AF"/>
    <w:rsid w:val="00541702"/>
    <w:rsid w:val="005420E9"/>
    <w:rsid w:val="00542FF5"/>
    <w:rsid w:val="00543598"/>
    <w:rsid w:val="0054440C"/>
    <w:rsid w:val="00544D06"/>
    <w:rsid w:val="00546399"/>
    <w:rsid w:val="00547031"/>
    <w:rsid w:val="005500FE"/>
    <w:rsid w:val="005503EA"/>
    <w:rsid w:val="00550BC2"/>
    <w:rsid w:val="00552EA7"/>
    <w:rsid w:val="00553ECB"/>
    <w:rsid w:val="0055602F"/>
    <w:rsid w:val="00556F5A"/>
    <w:rsid w:val="00557157"/>
    <w:rsid w:val="00560542"/>
    <w:rsid w:val="00560634"/>
    <w:rsid w:val="00562497"/>
    <w:rsid w:val="00563841"/>
    <w:rsid w:val="00564DF5"/>
    <w:rsid w:val="005658F4"/>
    <w:rsid w:val="00566413"/>
    <w:rsid w:val="005677F2"/>
    <w:rsid w:val="005701E7"/>
    <w:rsid w:val="00570351"/>
    <w:rsid w:val="0057207C"/>
    <w:rsid w:val="00572319"/>
    <w:rsid w:val="00573475"/>
    <w:rsid w:val="005734EA"/>
    <w:rsid w:val="00574122"/>
    <w:rsid w:val="005756D5"/>
    <w:rsid w:val="0057637A"/>
    <w:rsid w:val="005805AA"/>
    <w:rsid w:val="0058092B"/>
    <w:rsid w:val="00582D1C"/>
    <w:rsid w:val="005841E6"/>
    <w:rsid w:val="00584242"/>
    <w:rsid w:val="00584DCF"/>
    <w:rsid w:val="00584DD9"/>
    <w:rsid w:val="005906B8"/>
    <w:rsid w:val="00591018"/>
    <w:rsid w:val="0059245F"/>
    <w:rsid w:val="005927FC"/>
    <w:rsid w:val="005928C6"/>
    <w:rsid w:val="00592D28"/>
    <w:rsid w:val="00593981"/>
    <w:rsid w:val="00594AB8"/>
    <w:rsid w:val="00594D79"/>
    <w:rsid w:val="00595892"/>
    <w:rsid w:val="005977C7"/>
    <w:rsid w:val="005A0B24"/>
    <w:rsid w:val="005A236B"/>
    <w:rsid w:val="005A2432"/>
    <w:rsid w:val="005A2818"/>
    <w:rsid w:val="005A33F4"/>
    <w:rsid w:val="005A5BEE"/>
    <w:rsid w:val="005A7203"/>
    <w:rsid w:val="005A73D1"/>
    <w:rsid w:val="005A779E"/>
    <w:rsid w:val="005B1DF7"/>
    <w:rsid w:val="005B28F3"/>
    <w:rsid w:val="005B3A76"/>
    <w:rsid w:val="005B3FBC"/>
    <w:rsid w:val="005B4125"/>
    <w:rsid w:val="005B61A3"/>
    <w:rsid w:val="005B6201"/>
    <w:rsid w:val="005B7826"/>
    <w:rsid w:val="005C041C"/>
    <w:rsid w:val="005C0BF9"/>
    <w:rsid w:val="005C41E9"/>
    <w:rsid w:val="005C6960"/>
    <w:rsid w:val="005C6C0A"/>
    <w:rsid w:val="005C70F6"/>
    <w:rsid w:val="005D29FD"/>
    <w:rsid w:val="005D31DE"/>
    <w:rsid w:val="005D3D3B"/>
    <w:rsid w:val="005D4860"/>
    <w:rsid w:val="005D5046"/>
    <w:rsid w:val="005E02FA"/>
    <w:rsid w:val="005E0EF5"/>
    <w:rsid w:val="005E2A8F"/>
    <w:rsid w:val="005E4EC3"/>
    <w:rsid w:val="005E59F8"/>
    <w:rsid w:val="005E72FD"/>
    <w:rsid w:val="005E78CA"/>
    <w:rsid w:val="005F1076"/>
    <w:rsid w:val="005F22C8"/>
    <w:rsid w:val="005F2AA9"/>
    <w:rsid w:val="005F3841"/>
    <w:rsid w:val="005F3962"/>
    <w:rsid w:val="005F3B2F"/>
    <w:rsid w:val="005F474B"/>
    <w:rsid w:val="005F59EB"/>
    <w:rsid w:val="005F613F"/>
    <w:rsid w:val="005F647C"/>
    <w:rsid w:val="005F6552"/>
    <w:rsid w:val="005F698B"/>
    <w:rsid w:val="005F6ED4"/>
    <w:rsid w:val="005F7676"/>
    <w:rsid w:val="005F7C57"/>
    <w:rsid w:val="005F7FE3"/>
    <w:rsid w:val="006015D0"/>
    <w:rsid w:val="0060224A"/>
    <w:rsid w:val="00602825"/>
    <w:rsid w:val="00602BBF"/>
    <w:rsid w:val="006043E1"/>
    <w:rsid w:val="0060588A"/>
    <w:rsid w:val="00605A23"/>
    <w:rsid w:val="006101B6"/>
    <w:rsid w:val="006111DF"/>
    <w:rsid w:val="006113B1"/>
    <w:rsid w:val="0061269F"/>
    <w:rsid w:val="006131D3"/>
    <w:rsid w:val="00613C7A"/>
    <w:rsid w:val="00616C02"/>
    <w:rsid w:val="006176CE"/>
    <w:rsid w:val="00617C52"/>
    <w:rsid w:val="006200A6"/>
    <w:rsid w:val="0062058B"/>
    <w:rsid w:val="00620796"/>
    <w:rsid w:val="00620ACF"/>
    <w:rsid w:val="00622F8B"/>
    <w:rsid w:val="006242BA"/>
    <w:rsid w:val="0062553B"/>
    <w:rsid w:val="006257CC"/>
    <w:rsid w:val="0062590C"/>
    <w:rsid w:val="00626716"/>
    <w:rsid w:val="00627C17"/>
    <w:rsid w:val="00630489"/>
    <w:rsid w:val="006311C9"/>
    <w:rsid w:val="0063230C"/>
    <w:rsid w:val="00632784"/>
    <w:rsid w:val="00632BA5"/>
    <w:rsid w:val="00633253"/>
    <w:rsid w:val="00633863"/>
    <w:rsid w:val="00637692"/>
    <w:rsid w:val="006404CB"/>
    <w:rsid w:val="006412F5"/>
    <w:rsid w:val="00641414"/>
    <w:rsid w:val="006415BF"/>
    <w:rsid w:val="006417A8"/>
    <w:rsid w:val="00642A9F"/>
    <w:rsid w:val="0064426B"/>
    <w:rsid w:val="006464EA"/>
    <w:rsid w:val="0065047D"/>
    <w:rsid w:val="0065222B"/>
    <w:rsid w:val="00652BFB"/>
    <w:rsid w:val="00654083"/>
    <w:rsid w:val="006548D1"/>
    <w:rsid w:val="00655BCC"/>
    <w:rsid w:val="00656BF3"/>
    <w:rsid w:val="006572C4"/>
    <w:rsid w:val="0066055F"/>
    <w:rsid w:val="00663070"/>
    <w:rsid w:val="00663459"/>
    <w:rsid w:val="00663D50"/>
    <w:rsid w:val="006645EE"/>
    <w:rsid w:val="0066624D"/>
    <w:rsid w:val="00666FDC"/>
    <w:rsid w:val="0067068B"/>
    <w:rsid w:val="00670BB2"/>
    <w:rsid w:val="00670F3E"/>
    <w:rsid w:val="00671E07"/>
    <w:rsid w:val="00671F0B"/>
    <w:rsid w:val="00673752"/>
    <w:rsid w:val="006739A4"/>
    <w:rsid w:val="00674F15"/>
    <w:rsid w:val="006758CE"/>
    <w:rsid w:val="00675E8D"/>
    <w:rsid w:val="006765D9"/>
    <w:rsid w:val="00677E1C"/>
    <w:rsid w:val="006801E2"/>
    <w:rsid w:val="006803CD"/>
    <w:rsid w:val="00681001"/>
    <w:rsid w:val="00681E03"/>
    <w:rsid w:val="00683D6B"/>
    <w:rsid w:val="00683FA3"/>
    <w:rsid w:val="0068497D"/>
    <w:rsid w:val="00684E28"/>
    <w:rsid w:val="006856A7"/>
    <w:rsid w:val="00685C78"/>
    <w:rsid w:val="00685C97"/>
    <w:rsid w:val="00685FD9"/>
    <w:rsid w:val="0068661D"/>
    <w:rsid w:val="00686AAD"/>
    <w:rsid w:val="00687915"/>
    <w:rsid w:val="00692B52"/>
    <w:rsid w:val="00697C7D"/>
    <w:rsid w:val="00697E84"/>
    <w:rsid w:val="006A00AA"/>
    <w:rsid w:val="006A0210"/>
    <w:rsid w:val="006A0AE2"/>
    <w:rsid w:val="006A1E30"/>
    <w:rsid w:val="006A4843"/>
    <w:rsid w:val="006A49C0"/>
    <w:rsid w:val="006A541F"/>
    <w:rsid w:val="006A5611"/>
    <w:rsid w:val="006A690A"/>
    <w:rsid w:val="006A7E6C"/>
    <w:rsid w:val="006B0AC3"/>
    <w:rsid w:val="006B1140"/>
    <w:rsid w:val="006B2BEB"/>
    <w:rsid w:val="006B3E64"/>
    <w:rsid w:val="006B604A"/>
    <w:rsid w:val="006C2A05"/>
    <w:rsid w:val="006C3504"/>
    <w:rsid w:val="006C38CF"/>
    <w:rsid w:val="006C594A"/>
    <w:rsid w:val="006C5DC1"/>
    <w:rsid w:val="006C79B4"/>
    <w:rsid w:val="006D01CD"/>
    <w:rsid w:val="006D2025"/>
    <w:rsid w:val="006D30F3"/>
    <w:rsid w:val="006D33B7"/>
    <w:rsid w:val="006D6048"/>
    <w:rsid w:val="006D67DF"/>
    <w:rsid w:val="006E03F1"/>
    <w:rsid w:val="006E1599"/>
    <w:rsid w:val="006E2078"/>
    <w:rsid w:val="006E2741"/>
    <w:rsid w:val="006E3440"/>
    <w:rsid w:val="006E4125"/>
    <w:rsid w:val="006E48D8"/>
    <w:rsid w:val="006E5DE6"/>
    <w:rsid w:val="006E5E30"/>
    <w:rsid w:val="006E6CBE"/>
    <w:rsid w:val="006E70DA"/>
    <w:rsid w:val="006E714C"/>
    <w:rsid w:val="006E7796"/>
    <w:rsid w:val="006F16B9"/>
    <w:rsid w:val="006F1BE0"/>
    <w:rsid w:val="006F39AC"/>
    <w:rsid w:val="006F626E"/>
    <w:rsid w:val="006F634E"/>
    <w:rsid w:val="006F64B0"/>
    <w:rsid w:val="00700740"/>
    <w:rsid w:val="00702056"/>
    <w:rsid w:val="0070247B"/>
    <w:rsid w:val="0070264D"/>
    <w:rsid w:val="007041A1"/>
    <w:rsid w:val="00704CB3"/>
    <w:rsid w:val="00710172"/>
    <w:rsid w:val="00710333"/>
    <w:rsid w:val="00712742"/>
    <w:rsid w:val="00716AC7"/>
    <w:rsid w:val="00717950"/>
    <w:rsid w:val="00717AC3"/>
    <w:rsid w:val="007207AF"/>
    <w:rsid w:val="0072085B"/>
    <w:rsid w:val="00720F18"/>
    <w:rsid w:val="0072298D"/>
    <w:rsid w:val="0072451C"/>
    <w:rsid w:val="00724908"/>
    <w:rsid w:val="00726C9D"/>
    <w:rsid w:val="0073033B"/>
    <w:rsid w:val="00732A9F"/>
    <w:rsid w:val="00733BA6"/>
    <w:rsid w:val="0073534B"/>
    <w:rsid w:val="00736AE4"/>
    <w:rsid w:val="00737A8F"/>
    <w:rsid w:val="0074039C"/>
    <w:rsid w:val="00740FA7"/>
    <w:rsid w:val="00741A21"/>
    <w:rsid w:val="00743307"/>
    <w:rsid w:val="00743E7F"/>
    <w:rsid w:val="0074496A"/>
    <w:rsid w:val="00746391"/>
    <w:rsid w:val="0075054D"/>
    <w:rsid w:val="00752550"/>
    <w:rsid w:val="00752B65"/>
    <w:rsid w:val="00753850"/>
    <w:rsid w:val="00753A2C"/>
    <w:rsid w:val="00754344"/>
    <w:rsid w:val="0075524B"/>
    <w:rsid w:val="007561B7"/>
    <w:rsid w:val="0075622B"/>
    <w:rsid w:val="007569BF"/>
    <w:rsid w:val="0076108F"/>
    <w:rsid w:val="007612C1"/>
    <w:rsid w:val="00762381"/>
    <w:rsid w:val="00765424"/>
    <w:rsid w:val="00765B40"/>
    <w:rsid w:val="00765E5F"/>
    <w:rsid w:val="0076625D"/>
    <w:rsid w:val="00767995"/>
    <w:rsid w:val="00767AD0"/>
    <w:rsid w:val="00767D0B"/>
    <w:rsid w:val="0077027A"/>
    <w:rsid w:val="00770800"/>
    <w:rsid w:val="00770945"/>
    <w:rsid w:val="007721D7"/>
    <w:rsid w:val="007727E6"/>
    <w:rsid w:val="00772C32"/>
    <w:rsid w:val="00773152"/>
    <w:rsid w:val="007732B1"/>
    <w:rsid w:val="00774481"/>
    <w:rsid w:val="00775E9C"/>
    <w:rsid w:val="00776F1F"/>
    <w:rsid w:val="00777212"/>
    <w:rsid w:val="007779CF"/>
    <w:rsid w:val="0078065F"/>
    <w:rsid w:val="00782B97"/>
    <w:rsid w:val="00783137"/>
    <w:rsid w:val="00784D57"/>
    <w:rsid w:val="00784EEC"/>
    <w:rsid w:val="007856D6"/>
    <w:rsid w:val="00785BEB"/>
    <w:rsid w:val="00785CA4"/>
    <w:rsid w:val="00785D90"/>
    <w:rsid w:val="00786CBC"/>
    <w:rsid w:val="00791B65"/>
    <w:rsid w:val="00792EE5"/>
    <w:rsid w:val="0079348B"/>
    <w:rsid w:val="00793D72"/>
    <w:rsid w:val="00796783"/>
    <w:rsid w:val="00796C78"/>
    <w:rsid w:val="00796E82"/>
    <w:rsid w:val="007974C8"/>
    <w:rsid w:val="00797581"/>
    <w:rsid w:val="00797717"/>
    <w:rsid w:val="007A0B7E"/>
    <w:rsid w:val="007A316B"/>
    <w:rsid w:val="007A3A97"/>
    <w:rsid w:val="007A46FA"/>
    <w:rsid w:val="007A64C4"/>
    <w:rsid w:val="007A6D37"/>
    <w:rsid w:val="007A768E"/>
    <w:rsid w:val="007B0D4D"/>
    <w:rsid w:val="007B1714"/>
    <w:rsid w:val="007B5028"/>
    <w:rsid w:val="007B5A29"/>
    <w:rsid w:val="007B6230"/>
    <w:rsid w:val="007B6783"/>
    <w:rsid w:val="007C1C1E"/>
    <w:rsid w:val="007C29C4"/>
    <w:rsid w:val="007C2B43"/>
    <w:rsid w:val="007C2C43"/>
    <w:rsid w:val="007C33F3"/>
    <w:rsid w:val="007C3C2B"/>
    <w:rsid w:val="007C4FF1"/>
    <w:rsid w:val="007C5205"/>
    <w:rsid w:val="007C5DA0"/>
    <w:rsid w:val="007C7854"/>
    <w:rsid w:val="007C7E50"/>
    <w:rsid w:val="007D0353"/>
    <w:rsid w:val="007D0EF0"/>
    <w:rsid w:val="007D159D"/>
    <w:rsid w:val="007D2AF9"/>
    <w:rsid w:val="007D3516"/>
    <w:rsid w:val="007D432C"/>
    <w:rsid w:val="007D5016"/>
    <w:rsid w:val="007D5E21"/>
    <w:rsid w:val="007D6B5F"/>
    <w:rsid w:val="007D6CCA"/>
    <w:rsid w:val="007D7378"/>
    <w:rsid w:val="007D777F"/>
    <w:rsid w:val="007E0559"/>
    <w:rsid w:val="007E06B1"/>
    <w:rsid w:val="007E0E7E"/>
    <w:rsid w:val="007E2DC2"/>
    <w:rsid w:val="007E4C75"/>
    <w:rsid w:val="007E4D03"/>
    <w:rsid w:val="007E7E30"/>
    <w:rsid w:val="007F0583"/>
    <w:rsid w:val="007F0736"/>
    <w:rsid w:val="007F1D18"/>
    <w:rsid w:val="007F27DA"/>
    <w:rsid w:val="007F28AC"/>
    <w:rsid w:val="007F2E4E"/>
    <w:rsid w:val="007F3763"/>
    <w:rsid w:val="007F5879"/>
    <w:rsid w:val="007F6016"/>
    <w:rsid w:val="007F68FE"/>
    <w:rsid w:val="007F6A60"/>
    <w:rsid w:val="007F74F3"/>
    <w:rsid w:val="007F78A3"/>
    <w:rsid w:val="007F7E30"/>
    <w:rsid w:val="007F7FB0"/>
    <w:rsid w:val="00803399"/>
    <w:rsid w:val="0080581C"/>
    <w:rsid w:val="00807253"/>
    <w:rsid w:val="008105BF"/>
    <w:rsid w:val="00814524"/>
    <w:rsid w:val="00815A60"/>
    <w:rsid w:val="00821C81"/>
    <w:rsid w:val="00824585"/>
    <w:rsid w:val="00824750"/>
    <w:rsid w:val="00826615"/>
    <w:rsid w:val="0082683A"/>
    <w:rsid w:val="00827B0A"/>
    <w:rsid w:val="00830748"/>
    <w:rsid w:val="008340DC"/>
    <w:rsid w:val="00834B30"/>
    <w:rsid w:val="00835E04"/>
    <w:rsid w:val="0083770E"/>
    <w:rsid w:val="00837C25"/>
    <w:rsid w:val="00842EB6"/>
    <w:rsid w:val="00846775"/>
    <w:rsid w:val="00846F4F"/>
    <w:rsid w:val="008500F9"/>
    <w:rsid w:val="0085111A"/>
    <w:rsid w:val="0085174C"/>
    <w:rsid w:val="008603EB"/>
    <w:rsid w:val="00860DA2"/>
    <w:rsid w:val="00861023"/>
    <w:rsid w:val="008610A4"/>
    <w:rsid w:val="00861F7B"/>
    <w:rsid w:val="00864E07"/>
    <w:rsid w:val="008668CA"/>
    <w:rsid w:val="00866C93"/>
    <w:rsid w:val="00867F1D"/>
    <w:rsid w:val="008714A7"/>
    <w:rsid w:val="00871B17"/>
    <w:rsid w:val="00872FE9"/>
    <w:rsid w:val="00873494"/>
    <w:rsid w:val="00873613"/>
    <w:rsid w:val="008755F8"/>
    <w:rsid w:val="00880235"/>
    <w:rsid w:val="00880753"/>
    <w:rsid w:val="0088194C"/>
    <w:rsid w:val="00882332"/>
    <w:rsid w:val="008839DF"/>
    <w:rsid w:val="00884F44"/>
    <w:rsid w:val="00887662"/>
    <w:rsid w:val="00887899"/>
    <w:rsid w:val="00890899"/>
    <w:rsid w:val="0089094C"/>
    <w:rsid w:val="00890BBA"/>
    <w:rsid w:val="00890CD2"/>
    <w:rsid w:val="00891A0A"/>
    <w:rsid w:val="00891CAD"/>
    <w:rsid w:val="00892AA6"/>
    <w:rsid w:val="00892FCF"/>
    <w:rsid w:val="00893D8A"/>
    <w:rsid w:val="008944BD"/>
    <w:rsid w:val="00894958"/>
    <w:rsid w:val="00896002"/>
    <w:rsid w:val="008A0060"/>
    <w:rsid w:val="008A0753"/>
    <w:rsid w:val="008A2B05"/>
    <w:rsid w:val="008A4583"/>
    <w:rsid w:val="008A5966"/>
    <w:rsid w:val="008A60B6"/>
    <w:rsid w:val="008A6D10"/>
    <w:rsid w:val="008A7224"/>
    <w:rsid w:val="008A78F9"/>
    <w:rsid w:val="008B03C0"/>
    <w:rsid w:val="008B07B9"/>
    <w:rsid w:val="008B26C6"/>
    <w:rsid w:val="008B290F"/>
    <w:rsid w:val="008B43AA"/>
    <w:rsid w:val="008B6AE3"/>
    <w:rsid w:val="008C013A"/>
    <w:rsid w:val="008C01AC"/>
    <w:rsid w:val="008C1E73"/>
    <w:rsid w:val="008C1F01"/>
    <w:rsid w:val="008C1FC5"/>
    <w:rsid w:val="008C21C2"/>
    <w:rsid w:val="008C2AAE"/>
    <w:rsid w:val="008C6EC0"/>
    <w:rsid w:val="008D0781"/>
    <w:rsid w:val="008D1509"/>
    <w:rsid w:val="008D21B1"/>
    <w:rsid w:val="008D2527"/>
    <w:rsid w:val="008D3CEB"/>
    <w:rsid w:val="008D473B"/>
    <w:rsid w:val="008D5ACD"/>
    <w:rsid w:val="008D7673"/>
    <w:rsid w:val="008E02DA"/>
    <w:rsid w:val="008E306E"/>
    <w:rsid w:val="008F134F"/>
    <w:rsid w:val="008F2CA9"/>
    <w:rsid w:val="008F2DF9"/>
    <w:rsid w:val="008F45B7"/>
    <w:rsid w:val="008F57A2"/>
    <w:rsid w:val="008F73FE"/>
    <w:rsid w:val="00900EA1"/>
    <w:rsid w:val="00903F15"/>
    <w:rsid w:val="00905AF2"/>
    <w:rsid w:val="00906779"/>
    <w:rsid w:val="009068DC"/>
    <w:rsid w:val="009104FA"/>
    <w:rsid w:val="00914B51"/>
    <w:rsid w:val="009155C2"/>
    <w:rsid w:val="00916494"/>
    <w:rsid w:val="00916805"/>
    <w:rsid w:val="00917DA6"/>
    <w:rsid w:val="00920FE1"/>
    <w:rsid w:val="0092113A"/>
    <w:rsid w:val="0092118B"/>
    <w:rsid w:val="009219B0"/>
    <w:rsid w:val="009221AB"/>
    <w:rsid w:val="009231DF"/>
    <w:rsid w:val="00924C77"/>
    <w:rsid w:val="009269D4"/>
    <w:rsid w:val="00935F5B"/>
    <w:rsid w:val="00936246"/>
    <w:rsid w:val="00937792"/>
    <w:rsid w:val="00941ABD"/>
    <w:rsid w:val="00943608"/>
    <w:rsid w:val="0094574A"/>
    <w:rsid w:val="009477EE"/>
    <w:rsid w:val="00950715"/>
    <w:rsid w:val="00950A8E"/>
    <w:rsid w:val="00952237"/>
    <w:rsid w:val="00953353"/>
    <w:rsid w:val="00953D28"/>
    <w:rsid w:val="00954960"/>
    <w:rsid w:val="009554DB"/>
    <w:rsid w:val="009563B5"/>
    <w:rsid w:val="009577C6"/>
    <w:rsid w:val="00960187"/>
    <w:rsid w:val="009612DE"/>
    <w:rsid w:val="009633F6"/>
    <w:rsid w:val="00963803"/>
    <w:rsid w:val="00963E70"/>
    <w:rsid w:val="00965B56"/>
    <w:rsid w:val="009672A0"/>
    <w:rsid w:val="0097110D"/>
    <w:rsid w:val="00973858"/>
    <w:rsid w:val="0097616F"/>
    <w:rsid w:val="00976D0D"/>
    <w:rsid w:val="009833E4"/>
    <w:rsid w:val="00983B01"/>
    <w:rsid w:val="00983DA8"/>
    <w:rsid w:val="009849A9"/>
    <w:rsid w:val="00985054"/>
    <w:rsid w:val="00990A99"/>
    <w:rsid w:val="00990D82"/>
    <w:rsid w:val="009929E7"/>
    <w:rsid w:val="00993D82"/>
    <w:rsid w:val="0099423A"/>
    <w:rsid w:val="00995561"/>
    <w:rsid w:val="00995955"/>
    <w:rsid w:val="00997B5F"/>
    <w:rsid w:val="00997E40"/>
    <w:rsid w:val="009A08B7"/>
    <w:rsid w:val="009A0E56"/>
    <w:rsid w:val="009A475C"/>
    <w:rsid w:val="009A4D82"/>
    <w:rsid w:val="009A5DE2"/>
    <w:rsid w:val="009A7A46"/>
    <w:rsid w:val="009B149C"/>
    <w:rsid w:val="009B599D"/>
    <w:rsid w:val="009B60D4"/>
    <w:rsid w:val="009B60F2"/>
    <w:rsid w:val="009B6E7C"/>
    <w:rsid w:val="009B6FE6"/>
    <w:rsid w:val="009C0BAA"/>
    <w:rsid w:val="009C100A"/>
    <w:rsid w:val="009C165B"/>
    <w:rsid w:val="009C1FED"/>
    <w:rsid w:val="009C25C7"/>
    <w:rsid w:val="009C2C9B"/>
    <w:rsid w:val="009C2FFC"/>
    <w:rsid w:val="009C36F6"/>
    <w:rsid w:val="009C3BDF"/>
    <w:rsid w:val="009C4204"/>
    <w:rsid w:val="009C52FA"/>
    <w:rsid w:val="009C57CD"/>
    <w:rsid w:val="009C6089"/>
    <w:rsid w:val="009C7C85"/>
    <w:rsid w:val="009C7FEF"/>
    <w:rsid w:val="009D04F0"/>
    <w:rsid w:val="009D11A8"/>
    <w:rsid w:val="009D454C"/>
    <w:rsid w:val="009D474E"/>
    <w:rsid w:val="009D56E3"/>
    <w:rsid w:val="009D5DD6"/>
    <w:rsid w:val="009D6727"/>
    <w:rsid w:val="009D7607"/>
    <w:rsid w:val="009D7A8A"/>
    <w:rsid w:val="009E00FE"/>
    <w:rsid w:val="009E023A"/>
    <w:rsid w:val="009E1FAE"/>
    <w:rsid w:val="009E452F"/>
    <w:rsid w:val="009E5368"/>
    <w:rsid w:val="009E680A"/>
    <w:rsid w:val="009E70D5"/>
    <w:rsid w:val="009E72E6"/>
    <w:rsid w:val="009E7A61"/>
    <w:rsid w:val="009F165D"/>
    <w:rsid w:val="009F58DE"/>
    <w:rsid w:val="009F5A18"/>
    <w:rsid w:val="009F7A8B"/>
    <w:rsid w:val="009F7C05"/>
    <w:rsid w:val="00A008A5"/>
    <w:rsid w:val="00A0149C"/>
    <w:rsid w:val="00A014D3"/>
    <w:rsid w:val="00A01C19"/>
    <w:rsid w:val="00A01D8D"/>
    <w:rsid w:val="00A028FF"/>
    <w:rsid w:val="00A045C2"/>
    <w:rsid w:val="00A04649"/>
    <w:rsid w:val="00A04AF6"/>
    <w:rsid w:val="00A05AA1"/>
    <w:rsid w:val="00A06405"/>
    <w:rsid w:val="00A067E6"/>
    <w:rsid w:val="00A07133"/>
    <w:rsid w:val="00A07483"/>
    <w:rsid w:val="00A12524"/>
    <w:rsid w:val="00A13EE0"/>
    <w:rsid w:val="00A1419F"/>
    <w:rsid w:val="00A143E4"/>
    <w:rsid w:val="00A14BED"/>
    <w:rsid w:val="00A16E59"/>
    <w:rsid w:val="00A20549"/>
    <w:rsid w:val="00A22469"/>
    <w:rsid w:val="00A22D73"/>
    <w:rsid w:val="00A269FD"/>
    <w:rsid w:val="00A30DA9"/>
    <w:rsid w:val="00A33E18"/>
    <w:rsid w:val="00A3453F"/>
    <w:rsid w:val="00A35036"/>
    <w:rsid w:val="00A3614F"/>
    <w:rsid w:val="00A40D43"/>
    <w:rsid w:val="00A40F6D"/>
    <w:rsid w:val="00A412BF"/>
    <w:rsid w:val="00A44274"/>
    <w:rsid w:val="00A464B1"/>
    <w:rsid w:val="00A47398"/>
    <w:rsid w:val="00A50F27"/>
    <w:rsid w:val="00A527DE"/>
    <w:rsid w:val="00A52E8D"/>
    <w:rsid w:val="00A557EC"/>
    <w:rsid w:val="00A55BF1"/>
    <w:rsid w:val="00A55D82"/>
    <w:rsid w:val="00A57689"/>
    <w:rsid w:val="00A57CB6"/>
    <w:rsid w:val="00A63982"/>
    <w:rsid w:val="00A662A3"/>
    <w:rsid w:val="00A668C1"/>
    <w:rsid w:val="00A706D4"/>
    <w:rsid w:val="00A7152D"/>
    <w:rsid w:val="00A72A88"/>
    <w:rsid w:val="00A72B95"/>
    <w:rsid w:val="00A7431B"/>
    <w:rsid w:val="00A77270"/>
    <w:rsid w:val="00A777D4"/>
    <w:rsid w:val="00A77DD6"/>
    <w:rsid w:val="00A80915"/>
    <w:rsid w:val="00A81B39"/>
    <w:rsid w:val="00A81DF0"/>
    <w:rsid w:val="00A82289"/>
    <w:rsid w:val="00A82922"/>
    <w:rsid w:val="00A862DE"/>
    <w:rsid w:val="00A86C3A"/>
    <w:rsid w:val="00A86FCB"/>
    <w:rsid w:val="00A90243"/>
    <w:rsid w:val="00A903F8"/>
    <w:rsid w:val="00A921F0"/>
    <w:rsid w:val="00A93493"/>
    <w:rsid w:val="00A951DB"/>
    <w:rsid w:val="00A97ADF"/>
    <w:rsid w:val="00AA66CE"/>
    <w:rsid w:val="00AA6935"/>
    <w:rsid w:val="00AB0AB7"/>
    <w:rsid w:val="00AB17C5"/>
    <w:rsid w:val="00AB229C"/>
    <w:rsid w:val="00AB585C"/>
    <w:rsid w:val="00AB6B2F"/>
    <w:rsid w:val="00AB7512"/>
    <w:rsid w:val="00AB7C82"/>
    <w:rsid w:val="00AC0C32"/>
    <w:rsid w:val="00AC13FF"/>
    <w:rsid w:val="00AC2DC4"/>
    <w:rsid w:val="00AC37D7"/>
    <w:rsid w:val="00AC3D5E"/>
    <w:rsid w:val="00AC474A"/>
    <w:rsid w:val="00AC5E46"/>
    <w:rsid w:val="00AD0140"/>
    <w:rsid w:val="00AD3303"/>
    <w:rsid w:val="00AD3549"/>
    <w:rsid w:val="00AD374D"/>
    <w:rsid w:val="00AD4A9F"/>
    <w:rsid w:val="00AD6DFB"/>
    <w:rsid w:val="00AD6EDA"/>
    <w:rsid w:val="00AD7534"/>
    <w:rsid w:val="00AD78AB"/>
    <w:rsid w:val="00AD79B8"/>
    <w:rsid w:val="00AD7B1A"/>
    <w:rsid w:val="00AE06FD"/>
    <w:rsid w:val="00AE1A21"/>
    <w:rsid w:val="00AE3CEA"/>
    <w:rsid w:val="00AE41A0"/>
    <w:rsid w:val="00AE5F63"/>
    <w:rsid w:val="00AE6528"/>
    <w:rsid w:val="00AE6843"/>
    <w:rsid w:val="00AE7B9D"/>
    <w:rsid w:val="00AF0449"/>
    <w:rsid w:val="00AF1E4A"/>
    <w:rsid w:val="00AF20AC"/>
    <w:rsid w:val="00AF25B3"/>
    <w:rsid w:val="00AF2C93"/>
    <w:rsid w:val="00AF2DF6"/>
    <w:rsid w:val="00AF2FE0"/>
    <w:rsid w:val="00AF302B"/>
    <w:rsid w:val="00AF4403"/>
    <w:rsid w:val="00AF4BEA"/>
    <w:rsid w:val="00AF4C75"/>
    <w:rsid w:val="00AF4F93"/>
    <w:rsid w:val="00AF6C13"/>
    <w:rsid w:val="00B0272F"/>
    <w:rsid w:val="00B03327"/>
    <w:rsid w:val="00B033EE"/>
    <w:rsid w:val="00B03B90"/>
    <w:rsid w:val="00B05E51"/>
    <w:rsid w:val="00B06619"/>
    <w:rsid w:val="00B0789C"/>
    <w:rsid w:val="00B07C0F"/>
    <w:rsid w:val="00B113D5"/>
    <w:rsid w:val="00B114B2"/>
    <w:rsid w:val="00B11582"/>
    <w:rsid w:val="00B1162D"/>
    <w:rsid w:val="00B12B54"/>
    <w:rsid w:val="00B12F4D"/>
    <w:rsid w:val="00B206A0"/>
    <w:rsid w:val="00B229D6"/>
    <w:rsid w:val="00B230E7"/>
    <w:rsid w:val="00B23DDE"/>
    <w:rsid w:val="00B25F81"/>
    <w:rsid w:val="00B262BD"/>
    <w:rsid w:val="00B26575"/>
    <w:rsid w:val="00B269C0"/>
    <w:rsid w:val="00B26A2C"/>
    <w:rsid w:val="00B30115"/>
    <w:rsid w:val="00B33D7C"/>
    <w:rsid w:val="00B342F8"/>
    <w:rsid w:val="00B34382"/>
    <w:rsid w:val="00B365E3"/>
    <w:rsid w:val="00B36A20"/>
    <w:rsid w:val="00B403DF"/>
    <w:rsid w:val="00B41114"/>
    <w:rsid w:val="00B4145D"/>
    <w:rsid w:val="00B429C5"/>
    <w:rsid w:val="00B43301"/>
    <w:rsid w:val="00B458E8"/>
    <w:rsid w:val="00B4715E"/>
    <w:rsid w:val="00B503E4"/>
    <w:rsid w:val="00B51275"/>
    <w:rsid w:val="00B53481"/>
    <w:rsid w:val="00B53AC9"/>
    <w:rsid w:val="00B53C68"/>
    <w:rsid w:val="00B54609"/>
    <w:rsid w:val="00B546D1"/>
    <w:rsid w:val="00B553C2"/>
    <w:rsid w:val="00B57D7A"/>
    <w:rsid w:val="00B61613"/>
    <w:rsid w:val="00B639F9"/>
    <w:rsid w:val="00B64B03"/>
    <w:rsid w:val="00B65A0A"/>
    <w:rsid w:val="00B65D99"/>
    <w:rsid w:val="00B660DF"/>
    <w:rsid w:val="00B665BC"/>
    <w:rsid w:val="00B67E16"/>
    <w:rsid w:val="00B67F5A"/>
    <w:rsid w:val="00B71FCE"/>
    <w:rsid w:val="00B810AB"/>
    <w:rsid w:val="00B82679"/>
    <w:rsid w:val="00B82BDF"/>
    <w:rsid w:val="00B84FDC"/>
    <w:rsid w:val="00B86C0C"/>
    <w:rsid w:val="00B87026"/>
    <w:rsid w:val="00B87444"/>
    <w:rsid w:val="00B87579"/>
    <w:rsid w:val="00B87614"/>
    <w:rsid w:val="00B879D1"/>
    <w:rsid w:val="00B87E4C"/>
    <w:rsid w:val="00B90725"/>
    <w:rsid w:val="00B90919"/>
    <w:rsid w:val="00B90E18"/>
    <w:rsid w:val="00B91649"/>
    <w:rsid w:val="00B91787"/>
    <w:rsid w:val="00B925E7"/>
    <w:rsid w:val="00B94F08"/>
    <w:rsid w:val="00B966F0"/>
    <w:rsid w:val="00B96F3E"/>
    <w:rsid w:val="00BA0AD8"/>
    <w:rsid w:val="00BA0CFA"/>
    <w:rsid w:val="00BA196C"/>
    <w:rsid w:val="00BA1D94"/>
    <w:rsid w:val="00BA1E06"/>
    <w:rsid w:val="00BA23A2"/>
    <w:rsid w:val="00BA2511"/>
    <w:rsid w:val="00BA4916"/>
    <w:rsid w:val="00BA4BC6"/>
    <w:rsid w:val="00BA66C5"/>
    <w:rsid w:val="00BA7357"/>
    <w:rsid w:val="00BA7815"/>
    <w:rsid w:val="00BB0DBC"/>
    <w:rsid w:val="00BB2966"/>
    <w:rsid w:val="00BB2BD6"/>
    <w:rsid w:val="00BB3939"/>
    <w:rsid w:val="00BC25A1"/>
    <w:rsid w:val="00BC2DB6"/>
    <w:rsid w:val="00BC4806"/>
    <w:rsid w:val="00BC4859"/>
    <w:rsid w:val="00BC4E8E"/>
    <w:rsid w:val="00BC7F24"/>
    <w:rsid w:val="00BD08D7"/>
    <w:rsid w:val="00BD1F69"/>
    <w:rsid w:val="00BD4985"/>
    <w:rsid w:val="00BD678E"/>
    <w:rsid w:val="00BD7E69"/>
    <w:rsid w:val="00BE2117"/>
    <w:rsid w:val="00BE3A29"/>
    <w:rsid w:val="00BE6F94"/>
    <w:rsid w:val="00BF0667"/>
    <w:rsid w:val="00BF106C"/>
    <w:rsid w:val="00BF3A89"/>
    <w:rsid w:val="00BF3D0E"/>
    <w:rsid w:val="00BF3D12"/>
    <w:rsid w:val="00BF5B2B"/>
    <w:rsid w:val="00BF5D8D"/>
    <w:rsid w:val="00BF65BE"/>
    <w:rsid w:val="00BF6CBB"/>
    <w:rsid w:val="00C011DE"/>
    <w:rsid w:val="00C03DA5"/>
    <w:rsid w:val="00C04C28"/>
    <w:rsid w:val="00C0647E"/>
    <w:rsid w:val="00C07E1A"/>
    <w:rsid w:val="00C15C4A"/>
    <w:rsid w:val="00C168CB"/>
    <w:rsid w:val="00C1705A"/>
    <w:rsid w:val="00C20920"/>
    <w:rsid w:val="00C20FB2"/>
    <w:rsid w:val="00C213A0"/>
    <w:rsid w:val="00C218A3"/>
    <w:rsid w:val="00C22180"/>
    <w:rsid w:val="00C226E3"/>
    <w:rsid w:val="00C2406C"/>
    <w:rsid w:val="00C268F4"/>
    <w:rsid w:val="00C271FA"/>
    <w:rsid w:val="00C27F24"/>
    <w:rsid w:val="00C3037A"/>
    <w:rsid w:val="00C3124A"/>
    <w:rsid w:val="00C32F6F"/>
    <w:rsid w:val="00C33A25"/>
    <w:rsid w:val="00C33AD0"/>
    <w:rsid w:val="00C34109"/>
    <w:rsid w:val="00C35003"/>
    <w:rsid w:val="00C36068"/>
    <w:rsid w:val="00C37A18"/>
    <w:rsid w:val="00C41ACC"/>
    <w:rsid w:val="00C41CCF"/>
    <w:rsid w:val="00C41E9F"/>
    <w:rsid w:val="00C4239F"/>
    <w:rsid w:val="00C4242D"/>
    <w:rsid w:val="00C425A6"/>
    <w:rsid w:val="00C43726"/>
    <w:rsid w:val="00C43FEC"/>
    <w:rsid w:val="00C4461F"/>
    <w:rsid w:val="00C44D44"/>
    <w:rsid w:val="00C46311"/>
    <w:rsid w:val="00C50D40"/>
    <w:rsid w:val="00C50E4C"/>
    <w:rsid w:val="00C50EA2"/>
    <w:rsid w:val="00C53465"/>
    <w:rsid w:val="00C559D1"/>
    <w:rsid w:val="00C55BCF"/>
    <w:rsid w:val="00C56C5C"/>
    <w:rsid w:val="00C57005"/>
    <w:rsid w:val="00C573AC"/>
    <w:rsid w:val="00C6339F"/>
    <w:rsid w:val="00C635B9"/>
    <w:rsid w:val="00C63BC1"/>
    <w:rsid w:val="00C63F94"/>
    <w:rsid w:val="00C65C81"/>
    <w:rsid w:val="00C71434"/>
    <w:rsid w:val="00C71B5A"/>
    <w:rsid w:val="00C74044"/>
    <w:rsid w:val="00C7637B"/>
    <w:rsid w:val="00C77ACA"/>
    <w:rsid w:val="00C82361"/>
    <w:rsid w:val="00C826C4"/>
    <w:rsid w:val="00C82797"/>
    <w:rsid w:val="00C85AF1"/>
    <w:rsid w:val="00C85DB6"/>
    <w:rsid w:val="00C872A8"/>
    <w:rsid w:val="00C90F85"/>
    <w:rsid w:val="00C9586D"/>
    <w:rsid w:val="00C9591E"/>
    <w:rsid w:val="00C96B64"/>
    <w:rsid w:val="00CA0335"/>
    <w:rsid w:val="00CA2C6A"/>
    <w:rsid w:val="00CA45DE"/>
    <w:rsid w:val="00CA57D2"/>
    <w:rsid w:val="00CB0F60"/>
    <w:rsid w:val="00CB1D40"/>
    <w:rsid w:val="00CB2F4D"/>
    <w:rsid w:val="00CB4459"/>
    <w:rsid w:val="00CB44C1"/>
    <w:rsid w:val="00CB4506"/>
    <w:rsid w:val="00CB5E27"/>
    <w:rsid w:val="00CB7997"/>
    <w:rsid w:val="00CC15AD"/>
    <w:rsid w:val="00CC4F1C"/>
    <w:rsid w:val="00CC52A1"/>
    <w:rsid w:val="00CC5508"/>
    <w:rsid w:val="00CC7DA8"/>
    <w:rsid w:val="00CD0F0F"/>
    <w:rsid w:val="00CD138C"/>
    <w:rsid w:val="00CD13C1"/>
    <w:rsid w:val="00CD2544"/>
    <w:rsid w:val="00CD64DF"/>
    <w:rsid w:val="00CD6A8B"/>
    <w:rsid w:val="00CD7ED3"/>
    <w:rsid w:val="00CE0D84"/>
    <w:rsid w:val="00CE1959"/>
    <w:rsid w:val="00CE1E23"/>
    <w:rsid w:val="00CE2043"/>
    <w:rsid w:val="00CE50BD"/>
    <w:rsid w:val="00CE6DF2"/>
    <w:rsid w:val="00CE7911"/>
    <w:rsid w:val="00CF09B5"/>
    <w:rsid w:val="00CF2182"/>
    <w:rsid w:val="00CF34EE"/>
    <w:rsid w:val="00CF3DB5"/>
    <w:rsid w:val="00CF431A"/>
    <w:rsid w:val="00CF76FB"/>
    <w:rsid w:val="00D02100"/>
    <w:rsid w:val="00D02182"/>
    <w:rsid w:val="00D024B9"/>
    <w:rsid w:val="00D0344F"/>
    <w:rsid w:val="00D04F8B"/>
    <w:rsid w:val="00D10683"/>
    <w:rsid w:val="00D12CDB"/>
    <w:rsid w:val="00D13E07"/>
    <w:rsid w:val="00D16827"/>
    <w:rsid w:val="00D17A89"/>
    <w:rsid w:val="00D17CB7"/>
    <w:rsid w:val="00D2050F"/>
    <w:rsid w:val="00D213A5"/>
    <w:rsid w:val="00D21BDB"/>
    <w:rsid w:val="00D21D9C"/>
    <w:rsid w:val="00D25760"/>
    <w:rsid w:val="00D25C45"/>
    <w:rsid w:val="00D27D81"/>
    <w:rsid w:val="00D3012D"/>
    <w:rsid w:val="00D31BBC"/>
    <w:rsid w:val="00D32BEA"/>
    <w:rsid w:val="00D34BB9"/>
    <w:rsid w:val="00D35819"/>
    <w:rsid w:val="00D3697A"/>
    <w:rsid w:val="00D37A9A"/>
    <w:rsid w:val="00D40985"/>
    <w:rsid w:val="00D419DB"/>
    <w:rsid w:val="00D43532"/>
    <w:rsid w:val="00D43C0B"/>
    <w:rsid w:val="00D43DA4"/>
    <w:rsid w:val="00D44C69"/>
    <w:rsid w:val="00D464F4"/>
    <w:rsid w:val="00D47148"/>
    <w:rsid w:val="00D50729"/>
    <w:rsid w:val="00D51DBA"/>
    <w:rsid w:val="00D522E9"/>
    <w:rsid w:val="00D543B4"/>
    <w:rsid w:val="00D55707"/>
    <w:rsid w:val="00D55BE0"/>
    <w:rsid w:val="00D55C18"/>
    <w:rsid w:val="00D56C89"/>
    <w:rsid w:val="00D570F5"/>
    <w:rsid w:val="00D60932"/>
    <w:rsid w:val="00D6152D"/>
    <w:rsid w:val="00D62480"/>
    <w:rsid w:val="00D62AC5"/>
    <w:rsid w:val="00D6424B"/>
    <w:rsid w:val="00D648A4"/>
    <w:rsid w:val="00D64C43"/>
    <w:rsid w:val="00D655EE"/>
    <w:rsid w:val="00D667C5"/>
    <w:rsid w:val="00D66802"/>
    <w:rsid w:val="00D66C73"/>
    <w:rsid w:val="00D67BC9"/>
    <w:rsid w:val="00D707A2"/>
    <w:rsid w:val="00D70AB5"/>
    <w:rsid w:val="00D72AB7"/>
    <w:rsid w:val="00D732D5"/>
    <w:rsid w:val="00D7331F"/>
    <w:rsid w:val="00D74C2E"/>
    <w:rsid w:val="00D74E62"/>
    <w:rsid w:val="00D75856"/>
    <w:rsid w:val="00D770ED"/>
    <w:rsid w:val="00D807C9"/>
    <w:rsid w:val="00D80947"/>
    <w:rsid w:val="00D80F54"/>
    <w:rsid w:val="00D80F6F"/>
    <w:rsid w:val="00D81300"/>
    <w:rsid w:val="00D81955"/>
    <w:rsid w:val="00D83267"/>
    <w:rsid w:val="00D83C44"/>
    <w:rsid w:val="00D878A9"/>
    <w:rsid w:val="00D90A96"/>
    <w:rsid w:val="00D9112F"/>
    <w:rsid w:val="00D9169F"/>
    <w:rsid w:val="00D91AA6"/>
    <w:rsid w:val="00D91E94"/>
    <w:rsid w:val="00D924FD"/>
    <w:rsid w:val="00D925EF"/>
    <w:rsid w:val="00D94C6B"/>
    <w:rsid w:val="00D95AAB"/>
    <w:rsid w:val="00D96058"/>
    <w:rsid w:val="00D966B2"/>
    <w:rsid w:val="00D96AD3"/>
    <w:rsid w:val="00D97164"/>
    <w:rsid w:val="00DA054F"/>
    <w:rsid w:val="00DA1AF5"/>
    <w:rsid w:val="00DA26D8"/>
    <w:rsid w:val="00DA2DAB"/>
    <w:rsid w:val="00DA2F74"/>
    <w:rsid w:val="00DA52DD"/>
    <w:rsid w:val="00DA5355"/>
    <w:rsid w:val="00DA5599"/>
    <w:rsid w:val="00DA5CA4"/>
    <w:rsid w:val="00DA67C6"/>
    <w:rsid w:val="00DB0175"/>
    <w:rsid w:val="00DB17D1"/>
    <w:rsid w:val="00DB1F7A"/>
    <w:rsid w:val="00DB2393"/>
    <w:rsid w:val="00DB3739"/>
    <w:rsid w:val="00DB58C4"/>
    <w:rsid w:val="00DB5E93"/>
    <w:rsid w:val="00DB5EBD"/>
    <w:rsid w:val="00DB6238"/>
    <w:rsid w:val="00DB6536"/>
    <w:rsid w:val="00DB7B28"/>
    <w:rsid w:val="00DC03C9"/>
    <w:rsid w:val="00DC13DE"/>
    <w:rsid w:val="00DC18CE"/>
    <w:rsid w:val="00DC3503"/>
    <w:rsid w:val="00DC69DF"/>
    <w:rsid w:val="00DC6AE6"/>
    <w:rsid w:val="00DC6C0F"/>
    <w:rsid w:val="00DD0014"/>
    <w:rsid w:val="00DD00FA"/>
    <w:rsid w:val="00DD0B81"/>
    <w:rsid w:val="00DD14AE"/>
    <w:rsid w:val="00DD2486"/>
    <w:rsid w:val="00DD33E2"/>
    <w:rsid w:val="00DD4DCA"/>
    <w:rsid w:val="00DD52E3"/>
    <w:rsid w:val="00DD5BA7"/>
    <w:rsid w:val="00DE08BB"/>
    <w:rsid w:val="00DE0C3F"/>
    <w:rsid w:val="00DE26D5"/>
    <w:rsid w:val="00DE5193"/>
    <w:rsid w:val="00DE5816"/>
    <w:rsid w:val="00DE6612"/>
    <w:rsid w:val="00DE671C"/>
    <w:rsid w:val="00DE7194"/>
    <w:rsid w:val="00DE721F"/>
    <w:rsid w:val="00DE732D"/>
    <w:rsid w:val="00DF054A"/>
    <w:rsid w:val="00DF0794"/>
    <w:rsid w:val="00DF2F15"/>
    <w:rsid w:val="00DF4D9A"/>
    <w:rsid w:val="00DF50FC"/>
    <w:rsid w:val="00DF66EF"/>
    <w:rsid w:val="00DF6885"/>
    <w:rsid w:val="00E00F58"/>
    <w:rsid w:val="00E01167"/>
    <w:rsid w:val="00E01D73"/>
    <w:rsid w:val="00E01DDD"/>
    <w:rsid w:val="00E02FC6"/>
    <w:rsid w:val="00E03BC9"/>
    <w:rsid w:val="00E03D3A"/>
    <w:rsid w:val="00E05979"/>
    <w:rsid w:val="00E05CC6"/>
    <w:rsid w:val="00E06C50"/>
    <w:rsid w:val="00E070FA"/>
    <w:rsid w:val="00E12986"/>
    <w:rsid w:val="00E131DF"/>
    <w:rsid w:val="00E147E4"/>
    <w:rsid w:val="00E16416"/>
    <w:rsid w:val="00E20807"/>
    <w:rsid w:val="00E20908"/>
    <w:rsid w:val="00E21A63"/>
    <w:rsid w:val="00E22182"/>
    <w:rsid w:val="00E235CD"/>
    <w:rsid w:val="00E23683"/>
    <w:rsid w:val="00E25C1C"/>
    <w:rsid w:val="00E25EA2"/>
    <w:rsid w:val="00E2769A"/>
    <w:rsid w:val="00E327CB"/>
    <w:rsid w:val="00E33056"/>
    <w:rsid w:val="00E340A3"/>
    <w:rsid w:val="00E344F0"/>
    <w:rsid w:val="00E34FB2"/>
    <w:rsid w:val="00E376F6"/>
    <w:rsid w:val="00E4012E"/>
    <w:rsid w:val="00E42EED"/>
    <w:rsid w:val="00E43054"/>
    <w:rsid w:val="00E43210"/>
    <w:rsid w:val="00E433E4"/>
    <w:rsid w:val="00E43AC9"/>
    <w:rsid w:val="00E43AF9"/>
    <w:rsid w:val="00E43D55"/>
    <w:rsid w:val="00E4439C"/>
    <w:rsid w:val="00E45D5A"/>
    <w:rsid w:val="00E46827"/>
    <w:rsid w:val="00E46F63"/>
    <w:rsid w:val="00E4789A"/>
    <w:rsid w:val="00E47D46"/>
    <w:rsid w:val="00E502D3"/>
    <w:rsid w:val="00E50BE2"/>
    <w:rsid w:val="00E51F3C"/>
    <w:rsid w:val="00E520C2"/>
    <w:rsid w:val="00E524CC"/>
    <w:rsid w:val="00E527A4"/>
    <w:rsid w:val="00E52CF9"/>
    <w:rsid w:val="00E53157"/>
    <w:rsid w:val="00E540E0"/>
    <w:rsid w:val="00E55EEE"/>
    <w:rsid w:val="00E55F25"/>
    <w:rsid w:val="00E562E5"/>
    <w:rsid w:val="00E56E8B"/>
    <w:rsid w:val="00E574FD"/>
    <w:rsid w:val="00E601B0"/>
    <w:rsid w:val="00E60521"/>
    <w:rsid w:val="00E61920"/>
    <w:rsid w:val="00E61B90"/>
    <w:rsid w:val="00E62C7E"/>
    <w:rsid w:val="00E637A6"/>
    <w:rsid w:val="00E637C2"/>
    <w:rsid w:val="00E63A0A"/>
    <w:rsid w:val="00E64CA3"/>
    <w:rsid w:val="00E66D3F"/>
    <w:rsid w:val="00E674C8"/>
    <w:rsid w:val="00E6795F"/>
    <w:rsid w:val="00E67FBF"/>
    <w:rsid w:val="00E70A45"/>
    <w:rsid w:val="00E71DBA"/>
    <w:rsid w:val="00E7303A"/>
    <w:rsid w:val="00E74DD7"/>
    <w:rsid w:val="00E75279"/>
    <w:rsid w:val="00E7753A"/>
    <w:rsid w:val="00E77A3C"/>
    <w:rsid w:val="00E81DAE"/>
    <w:rsid w:val="00E824E2"/>
    <w:rsid w:val="00E84C43"/>
    <w:rsid w:val="00E857D9"/>
    <w:rsid w:val="00E864F1"/>
    <w:rsid w:val="00E87EFC"/>
    <w:rsid w:val="00E87F42"/>
    <w:rsid w:val="00E907A2"/>
    <w:rsid w:val="00E90CF8"/>
    <w:rsid w:val="00E91D88"/>
    <w:rsid w:val="00E921E2"/>
    <w:rsid w:val="00E92DAD"/>
    <w:rsid w:val="00E9314E"/>
    <w:rsid w:val="00E94123"/>
    <w:rsid w:val="00E94A70"/>
    <w:rsid w:val="00E96379"/>
    <w:rsid w:val="00E964A3"/>
    <w:rsid w:val="00E972A0"/>
    <w:rsid w:val="00EA094E"/>
    <w:rsid w:val="00EA1298"/>
    <w:rsid w:val="00EA1C29"/>
    <w:rsid w:val="00EA1E5F"/>
    <w:rsid w:val="00EA2264"/>
    <w:rsid w:val="00EA2E20"/>
    <w:rsid w:val="00EA3885"/>
    <w:rsid w:val="00EA5FDA"/>
    <w:rsid w:val="00EA6694"/>
    <w:rsid w:val="00EA7153"/>
    <w:rsid w:val="00EB0737"/>
    <w:rsid w:val="00EB0DA8"/>
    <w:rsid w:val="00EB2CD9"/>
    <w:rsid w:val="00EB349D"/>
    <w:rsid w:val="00EB3EDC"/>
    <w:rsid w:val="00EB49BE"/>
    <w:rsid w:val="00EB4FC3"/>
    <w:rsid w:val="00EC0125"/>
    <w:rsid w:val="00EC02E4"/>
    <w:rsid w:val="00EC1B49"/>
    <w:rsid w:val="00EC225E"/>
    <w:rsid w:val="00EC23CC"/>
    <w:rsid w:val="00EC31F0"/>
    <w:rsid w:val="00EC4604"/>
    <w:rsid w:val="00EC4DCC"/>
    <w:rsid w:val="00EC4FA0"/>
    <w:rsid w:val="00EC5391"/>
    <w:rsid w:val="00EC5425"/>
    <w:rsid w:val="00EC6904"/>
    <w:rsid w:val="00ED06F0"/>
    <w:rsid w:val="00ED1C7C"/>
    <w:rsid w:val="00ED31DF"/>
    <w:rsid w:val="00ED3678"/>
    <w:rsid w:val="00ED4290"/>
    <w:rsid w:val="00ED6285"/>
    <w:rsid w:val="00ED6C46"/>
    <w:rsid w:val="00ED7589"/>
    <w:rsid w:val="00ED7C05"/>
    <w:rsid w:val="00EE093E"/>
    <w:rsid w:val="00EE1E7E"/>
    <w:rsid w:val="00EE4489"/>
    <w:rsid w:val="00EE5E9E"/>
    <w:rsid w:val="00EE6881"/>
    <w:rsid w:val="00EE6EAB"/>
    <w:rsid w:val="00EE75DE"/>
    <w:rsid w:val="00EF2266"/>
    <w:rsid w:val="00EF2850"/>
    <w:rsid w:val="00EF2D2B"/>
    <w:rsid w:val="00EF4E5F"/>
    <w:rsid w:val="00EF4FAF"/>
    <w:rsid w:val="00F0131F"/>
    <w:rsid w:val="00F01689"/>
    <w:rsid w:val="00F01D68"/>
    <w:rsid w:val="00F03939"/>
    <w:rsid w:val="00F058A2"/>
    <w:rsid w:val="00F066A0"/>
    <w:rsid w:val="00F129D8"/>
    <w:rsid w:val="00F13EE7"/>
    <w:rsid w:val="00F15DC2"/>
    <w:rsid w:val="00F206B1"/>
    <w:rsid w:val="00F21212"/>
    <w:rsid w:val="00F214BC"/>
    <w:rsid w:val="00F21857"/>
    <w:rsid w:val="00F2280C"/>
    <w:rsid w:val="00F25632"/>
    <w:rsid w:val="00F25FAB"/>
    <w:rsid w:val="00F2629A"/>
    <w:rsid w:val="00F27C99"/>
    <w:rsid w:val="00F30D46"/>
    <w:rsid w:val="00F32E0A"/>
    <w:rsid w:val="00F339EC"/>
    <w:rsid w:val="00F34CB1"/>
    <w:rsid w:val="00F34F07"/>
    <w:rsid w:val="00F367DC"/>
    <w:rsid w:val="00F36DF0"/>
    <w:rsid w:val="00F36F9C"/>
    <w:rsid w:val="00F40771"/>
    <w:rsid w:val="00F41968"/>
    <w:rsid w:val="00F43514"/>
    <w:rsid w:val="00F43A3F"/>
    <w:rsid w:val="00F4608E"/>
    <w:rsid w:val="00F46A5C"/>
    <w:rsid w:val="00F46CD7"/>
    <w:rsid w:val="00F47289"/>
    <w:rsid w:val="00F47296"/>
    <w:rsid w:val="00F54BF1"/>
    <w:rsid w:val="00F55EBB"/>
    <w:rsid w:val="00F5649F"/>
    <w:rsid w:val="00F574A6"/>
    <w:rsid w:val="00F57CA0"/>
    <w:rsid w:val="00F61DE4"/>
    <w:rsid w:val="00F643F4"/>
    <w:rsid w:val="00F64B01"/>
    <w:rsid w:val="00F65C02"/>
    <w:rsid w:val="00F65E55"/>
    <w:rsid w:val="00F67E5A"/>
    <w:rsid w:val="00F706F0"/>
    <w:rsid w:val="00F712BE"/>
    <w:rsid w:val="00F7500D"/>
    <w:rsid w:val="00F757AD"/>
    <w:rsid w:val="00F768A3"/>
    <w:rsid w:val="00F77537"/>
    <w:rsid w:val="00F82820"/>
    <w:rsid w:val="00F82B81"/>
    <w:rsid w:val="00F82D67"/>
    <w:rsid w:val="00F83F3C"/>
    <w:rsid w:val="00F8474A"/>
    <w:rsid w:val="00F847CC"/>
    <w:rsid w:val="00F84B1A"/>
    <w:rsid w:val="00F87787"/>
    <w:rsid w:val="00F91BCE"/>
    <w:rsid w:val="00F91C7B"/>
    <w:rsid w:val="00F94709"/>
    <w:rsid w:val="00F9592D"/>
    <w:rsid w:val="00F97D8E"/>
    <w:rsid w:val="00FA1F98"/>
    <w:rsid w:val="00FA3438"/>
    <w:rsid w:val="00FA35F9"/>
    <w:rsid w:val="00FA3B0A"/>
    <w:rsid w:val="00FA4C91"/>
    <w:rsid w:val="00FA55C2"/>
    <w:rsid w:val="00FA5C0E"/>
    <w:rsid w:val="00FA6B47"/>
    <w:rsid w:val="00FA6E39"/>
    <w:rsid w:val="00FA6F4F"/>
    <w:rsid w:val="00FA778A"/>
    <w:rsid w:val="00FB0899"/>
    <w:rsid w:val="00FB1311"/>
    <w:rsid w:val="00FB19A5"/>
    <w:rsid w:val="00FB3C7F"/>
    <w:rsid w:val="00FB49F3"/>
    <w:rsid w:val="00FB5811"/>
    <w:rsid w:val="00FC03AE"/>
    <w:rsid w:val="00FC09EE"/>
    <w:rsid w:val="00FC1984"/>
    <w:rsid w:val="00FC1DB4"/>
    <w:rsid w:val="00FC1F97"/>
    <w:rsid w:val="00FC2496"/>
    <w:rsid w:val="00FC3077"/>
    <w:rsid w:val="00FC334D"/>
    <w:rsid w:val="00FC4E69"/>
    <w:rsid w:val="00FC560F"/>
    <w:rsid w:val="00FC6553"/>
    <w:rsid w:val="00FC7DE8"/>
    <w:rsid w:val="00FD09A5"/>
    <w:rsid w:val="00FD1898"/>
    <w:rsid w:val="00FD3E17"/>
    <w:rsid w:val="00FD4EDC"/>
    <w:rsid w:val="00FD53AC"/>
    <w:rsid w:val="00FD6D95"/>
    <w:rsid w:val="00FD6E7F"/>
    <w:rsid w:val="00FD7400"/>
    <w:rsid w:val="00FD760A"/>
    <w:rsid w:val="00FD7755"/>
    <w:rsid w:val="00FE009B"/>
    <w:rsid w:val="00FE0186"/>
    <w:rsid w:val="00FE0E44"/>
    <w:rsid w:val="00FE0EE7"/>
    <w:rsid w:val="00FE1AAF"/>
    <w:rsid w:val="00FE3315"/>
    <w:rsid w:val="00FE452E"/>
    <w:rsid w:val="00FE5D21"/>
    <w:rsid w:val="00FE76A1"/>
    <w:rsid w:val="00FF2142"/>
    <w:rsid w:val="00FF4224"/>
    <w:rsid w:val="00FF4724"/>
    <w:rsid w:val="00FF64B1"/>
    <w:rsid w:val="00FF7765"/>
    <w:rsid w:val="014C0D26"/>
    <w:rsid w:val="017707C1"/>
    <w:rsid w:val="02253D19"/>
    <w:rsid w:val="040953CF"/>
    <w:rsid w:val="04FF49BC"/>
    <w:rsid w:val="06403160"/>
    <w:rsid w:val="06A61A5C"/>
    <w:rsid w:val="09C65F6B"/>
    <w:rsid w:val="0BD45552"/>
    <w:rsid w:val="0BD5345B"/>
    <w:rsid w:val="0DF60C1B"/>
    <w:rsid w:val="105E1DCA"/>
    <w:rsid w:val="11916802"/>
    <w:rsid w:val="11BD6376"/>
    <w:rsid w:val="11EA3C69"/>
    <w:rsid w:val="11EE7F5C"/>
    <w:rsid w:val="12FD7023"/>
    <w:rsid w:val="13765CAF"/>
    <w:rsid w:val="13E860FD"/>
    <w:rsid w:val="152109DD"/>
    <w:rsid w:val="15235E62"/>
    <w:rsid w:val="15B40F10"/>
    <w:rsid w:val="16610FE9"/>
    <w:rsid w:val="17FB0961"/>
    <w:rsid w:val="1810596D"/>
    <w:rsid w:val="18757870"/>
    <w:rsid w:val="19332075"/>
    <w:rsid w:val="1AE27C19"/>
    <w:rsid w:val="1B5737FE"/>
    <w:rsid w:val="1CA5486C"/>
    <w:rsid w:val="1D0A1BBF"/>
    <w:rsid w:val="1D360ABE"/>
    <w:rsid w:val="1D4D24F3"/>
    <w:rsid w:val="1D977017"/>
    <w:rsid w:val="1E315139"/>
    <w:rsid w:val="1E344206"/>
    <w:rsid w:val="1E5B441F"/>
    <w:rsid w:val="1EE6381A"/>
    <w:rsid w:val="1EF60EAE"/>
    <w:rsid w:val="20332B82"/>
    <w:rsid w:val="20675C0C"/>
    <w:rsid w:val="208E00C6"/>
    <w:rsid w:val="20D90F82"/>
    <w:rsid w:val="20E93F65"/>
    <w:rsid w:val="21DC778C"/>
    <w:rsid w:val="229E0D7F"/>
    <w:rsid w:val="22C97354"/>
    <w:rsid w:val="24553483"/>
    <w:rsid w:val="246845D8"/>
    <w:rsid w:val="24E32A79"/>
    <w:rsid w:val="250A0E7E"/>
    <w:rsid w:val="253F4667"/>
    <w:rsid w:val="25C5013E"/>
    <w:rsid w:val="28C330DB"/>
    <w:rsid w:val="2A375C92"/>
    <w:rsid w:val="2C21558E"/>
    <w:rsid w:val="2C2B0325"/>
    <w:rsid w:val="2C716E57"/>
    <w:rsid w:val="2D437644"/>
    <w:rsid w:val="2E6469D8"/>
    <w:rsid w:val="2EF36989"/>
    <w:rsid w:val="2FFE110D"/>
    <w:rsid w:val="313F5DD4"/>
    <w:rsid w:val="315522B2"/>
    <w:rsid w:val="31BB1407"/>
    <w:rsid w:val="32EF070B"/>
    <w:rsid w:val="32F6688C"/>
    <w:rsid w:val="330E785B"/>
    <w:rsid w:val="33BE266F"/>
    <w:rsid w:val="344920B0"/>
    <w:rsid w:val="363C33EB"/>
    <w:rsid w:val="369E0ABB"/>
    <w:rsid w:val="36A77C9A"/>
    <w:rsid w:val="384D2ABA"/>
    <w:rsid w:val="3FD11958"/>
    <w:rsid w:val="41E20F2A"/>
    <w:rsid w:val="439D04A4"/>
    <w:rsid w:val="4509781F"/>
    <w:rsid w:val="4587482D"/>
    <w:rsid w:val="458A3EF4"/>
    <w:rsid w:val="45B86513"/>
    <w:rsid w:val="462C207A"/>
    <w:rsid w:val="465224A8"/>
    <w:rsid w:val="478E4E7B"/>
    <w:rsid w:val="47C21CEE"/>
    <w:rsid w:val="48092B6E"/>
    <w:rsid w:val="488C32A4"/>
    <w:rsid w:val="48B848E1"/>
    <w:rsid w:val="48F177F8"/>
    <w:rsid w:val="4D420E97"/>
    <w:rsid w:val="4F042C61"/>
    <w:rsid w:val="4F2D3EE8"/>
    <w:rsid w:val="4F3E537F"/>
    <w:rsid w:val="503669C9"/>
    <w:rsid w:val="506F6A76"/>
    <w:rsid w:val="5416738C"/>
    <w:rsid w:val="54217009"/>
    <w:rsid w:val="54391638"/>
    <w:rsid w:val="549D1655"/>
    <w:rsid w:val="549D6702"/>
    <w:rsid w:val="54A656ED"/>
    <w:rsid w:val="554E4A4B"/>
    <w:rsid w:val="55FD0EF2"/>
    <w:rsid w:val="56201D44"/>
    <w:rsid w:val="569E64AA"/>
    <w:rsid w:val="57470700"/>
    <w:rsid w:val="5922534C"/>
    <w:rsid w:val="5A036AA5"/>
    <w:rsid w:val="5C6B4FB0"/>
    <w:rsid w:val="5CA63145"/>
    <w:rsid w:val="5DBE1C7D"/>
    <w:rsid w:val="5E567C2E"/>
    <w:rsid w:val="5ED660A9"/>
    <w:rsid w:val="5F1E5F5C"/>
    <w:rsid w:val="60A52CFD"/>
    <w:rsid w:val="61A70B20"/>
    <w:rsid w:val="63C37BF4"/>
    <w:rsid w:val="64A458D4"/>
    <w:rsid w:val="667D5045"/>
    <w:rsid w:val="66F174BB"/>
    <w:rsid w:val="68EA1E54"/>
    <w:rsid w:val="69055945"/>
    <w:rsid w:val="691F4FA3"/>
    <w:rsid w:val="6A7B1567"/>
    <w:rsid w:val="6AFE17D2"/>
    <w:rsid w:val="6B186F90"/>
    <w:rsid w:val="6B834E0F"/>
    <w:rsid w:val="6BD31CC2"/>
    <w:rsid w:val="6BDB1969"/>
    <w:rsid w:val="6C831B48"/>
    <w:rsid w:val="6CF11B8B"/>
    <w:rsid w:val="6D3A0911"/>
    <w:rsid w:val="6D45609D"/>
    <w:rsid w:val="6DE210EC"/>
    <w:rsid w:val="6E9D7522"/>
    <w:rsid w:val="6EAE7507"/>
    <w:rsid w:val="6F662416"/>
    <w:rsid w:val="70844422"/>
    <w:rsid w:val="711315BD"/>
    <w:rsid w:val="720A6E64"/>
    <w:rsid w:val="72314284"/>
    <w:rsid w:val="73793574"/>
    <w:rsid w:val="755E4D6D"/>
    <w:rsid w:val="75B16735"/>
    <w:rsid w:val="75F66428"/>
    <w:rsid w:val="76FF7F5A"/>
    <w:rsid w:val="77AD699C"/>
    <w:rsid w:val="77FE4FA1"/>
    <w:rsid w:val="78CC2BEE"/>
    <w:rsid w:val="7A442B19"/>
    <w:rsid w:val="7B0973B2"/>
    <w:rsid w:val="7CFB3706"/>
    <w:rsid w:val="7DF85392"/>
    <w:rsid w:val="7F445F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99" w:semiHidden="0" w:name="Normal Indent"/>
    <w:lsdException w:qFormat="1" w:uiPriority="99" w:semiHidden="0" w:name="footnote text"/>
    <w:lsdException w:qFormat="1" w:uiPriority="99"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styleId="2">
    <w:name w:val="heading 1"/>
    <w:basedOn w:val="1"/>
    <w:next w:val="1"/>
    <w:link w:val="51"/>
    <w:qFormat/>
    <w:uiPriority w:val="0"/>
    <w:pPr>
      <w:keepNext/>
      <w:keepLines/>
      <w:spacing w:before="340" w:after="330"/>
      <w:jc w:val="center"/>
      <w:outlineLvl w:val="0"/>
    </w:pPr>
    <w:rPr>
      <w:rFonts w:eastAsia="华文中宋"/>
      <w:b/>
      <w:bCs/>
      <w:kern w:val="44"/>
      <w:sz w:val="44"/>
      <w:szCs w:val="44"/>
    </w:rPr>
  </w:style>
  <w:style w:type="paragraph" w:styleId="3">
    <w:name w:val="heading 2"/>
    <w:basedOn w:val="1"/>
    <w:next w:val="4"/>
    <w:link w:val="52"/>
    <w:qFormat/>
    <w:uiPriority w:val="0"/>
    <w:pPr>
      <w:keepNext/>
      <w:keepLines/>
      <w:spacing w:before="260" w:after="260" w:line="240" w:lineRule="auto"/>
      <w:jc w:val="left"/>
      <w:outlineLvl w:val="1"/>
    </w:pPr>
    <w:rPr>
      <w:rFonts w:ascii="华文中宋" w:hAnsi="华文中宋" w:eastAsia="华文中宋"/>
      <w:b/>
      <w:bCs/>
      <w:kern w:val="0"/>
      <w:sz w:val="32"/>
      <w:szCs w:val="32"/>
    </w:rPr>
  </w:style>
  <w:style w:type="paragraph" w:styleId="5">
    <w:name w:val="heading 3"/>
    <w:basedOn w:val="1"/>
    <w:next w:val="1"/>
    <w:link w:val="54"/>
    <w:qFormat/>
    <w:uiPriority w:val="0"/>
    <w:pPr>
      <w:keepNext/>
      <w:keepLines/>
      <w:spacing w:before="240" w:after="240" w:line="240" w:lineRule="auto"/>
      <w:jc w:val="left"/>
      <w:outlineLvl w:val="2"/>
    </w:pPr>
    <w:rPr>
      <w:rFonts w:ascii="华文中宋" w:hAnsi="华文中宋" w:eastAsia="华文中宋"/>
      <w:b/>
      <w:bCs/>
      <w:w w:val="90"/>
      <w:kern w:val="0"/>
      <w:sz w:val="28"/>
    </w:rPr>
  </w:style>
  <w:style w:type="paragraph" w:styleId="6">
    <w:name w:val="heading 4"/>
    <w:basedOn w:val="1"/>
    <w:next w:val="1"/>
    <w:link w:val="55"/>
    <w:qFormat/>
    <w:uiPriority w:val="9"/>
    <w:pPr>
      <w:keepNext/>
      <w:keepLines/>
      <w:spacing w:before="160" w:after="170" w:line="240" w:lineRule="auto"/>
      <w:jc w:val="left"/>
      <w:outlineLvl w:val="3"/>
    </w:pPr>
    <w:rPr>
      <w:rFonts w:ascii="华文中宋" w:hAnsi="华文中宋" w:eastAsia="华文中宋"/>
      <w:b/>
      <w:bCs/>
      <w:color w:val="000000"/>
      <w:sz w:val="24"/>
      <w:szCs w:val="28"/>
    </w:rPr>
  </w:style>
  <w:style w:type="paragraph" w:styleId="7">
    <w:name w:val="heading 5"/>
    <w:basedOn w:val="1"/>
    <w:next w:val="1"/>
    <w:link w:val="56"/>
    <w:qFormat/>
    <w:uiPriority w:val="9"/>
    <w:pPr>
      <w:keepNext/>
      <w:keepLines/>
      <w:spacing w:before="120" w:after="120"/>
      <w:jc w:val="left"/>
      <w:outlineLvl w:val="4"/>
    </w:pPr>
    <w:rPr>
      <w:rFonts w:ascii="华文中宋" w:hAnsi="华文中宋" w:eastAsia="华文中宋"/>
      <w:b/>
      <w:bCs/>
      <w:kern w:val="0"/>
      <w:sz w:val="28"/>
      <w:szCs w:val="28"/>
    </w:rPr>
  </w:style>
  <w:style w:type="paragraph" w:styleId="8">
    <w:name w:val="heading 8"/>
    <w:basedOn w:val="1"/>
    <w:next w:val="1"/>
    <w:link w:val="57"/>
    <w:qFormat/>
    <w:uiPriority w:val="0"/>
    <w:pPr>
      <w:keepNext/>
      <w:jc w:val="center"/>
      <w:outlineLvl w:val="7"/>
    </w:pPr>
    <w:rPr>
      <w:rFonts w:eastAsia="宋体"/>
      <w:b/>
      <w:bCs/>
      <w:color w:val="FFFFFF"/>
      <w:szCs w:val="18"/>
    </w:rPr>
  </w:style>
  <w:style w:type="paragraph" w:styleId="9">
    <w:name w:val="heading 9"/>
    <w:basedOn w:val="1"/>
    <w:next w:val="1"/>
    <w:link w:val="58"/>
    <w:qFormat/>
    <w:uiPriority w:val="0"/>
    <w:pPr>
      <w:keepNext/>
      <w:outlineLvl w:val="8"/>
    </w:pPr>
    <w:rPr>
      <w:rFonts w:ascii="Arial" w:hAnsi="Arial" w:eastAsia="宋体"/>
      <w:b/>
      <w:bCs/>
      <w:color w:val="000000"/>
      <w:sz w:val="15"/>
      <w:szCs w:val="26"/>
    </w:rPr>
  </w:style>
  <w:style w:type="character" w:default="1" w:styleId="42">
    <w:name w:val="Default Paragraph Font"/>
    <w:unhideWhenUsed/>
    <w:qFormat/>
    <w:uiPriority w:val="1"/>
  </w:style>
  <w:style w:type="table" w:default="1" w:styleId="39">
    <w:name w:val="Normal Table"/>
    <w:unhideWhenUsed/>
    <w:qFormat/>
    <w:uiPriority w:val="99"/>
    <w:tblPr>
      <w:tblCellMar>
        <w:top w:w="0" w:type="dxa"/>
        <w:left w:w="108" w:type="dxa"/>
        <w:bottom w:w="0" w:type="dxa"/>
        <w:right w:w="108" w:type="dxa"/>
      </w:tblCellMar>
    </w:tblPr>
  </w:style>
  <w:style w:type="paragraph" w:styleId="4">
    <w:name w:val="Normal Indent"/>
    <w:basedOn w:val="1"/>
    <w:link w:val="53"/>
    <w:qFormat/>
    <w:uiPriority w:val="99"/>
    <w:pPr>
      <w:ind w:firstLine="420" w:firstLineChars="200"/>
    </w:pPr>
    <w:rPr>
      <w:rFonts w:eastAsia="宋体"/>
      <w:szCs w:val="20"/>
    </w:rPr>
  </w:style>
  <w:style w:type="paragraph" w:styleId="10">
    <w:name w:val="toc 7"/>
    <w:basedOn w:val="1"/>
    <w:next w:val="1"/>
    <w:unhideWhenUsed/>
    <w:qFormat/>
    <w:uiPriority w:val="0"/>
    <w:pPr>
      <w:ind w:left="1260"/>
      <w:jc w:val="left"/>
    </w:pPr>
    <w:rPr>
      <w:rFonts w:ascii="Calibri" w:hAnsi="Calibri" w:cs="Calibri"/>
      <w:sz w:val="18"/>
      <w:szCs w:val="18"/>
    </w:rPr>
  </w:style>
  <w:style w:type="paragraph" w:styleId="11">
    <w:name w:val="List Number"/>
    <w:basedOn w:val="1"/>
    <w:unhideWhenUsed/>
    <w:qFormat/>
    <w:uiPriority w:val="99"/>
    <w:pPr>
      <w:numPr>
        <w:ilvl w:val="0"/>
        <w:numId w:val="1"/>
      </w:numPr>
    </w:pPr>
  </w:style>
  <w:style w:type="paragraph" w:styleId="12">
    <w:name w:val="Document Map"/>
    <w:basedOn w:val="1"/>
    <w:link w:val="59"/>
    <w:unhideWhenUsed/>
    <w:qFormat/>
    <w:uiPriority w:val="0"/>
    <w:rPr>
      <w:rFonts w:ascii="宋体" w:eastAsia="宋体"/>
      <w:sz w:val="18"/>
      <w:szCs w:val="18"/>
    </w:rPr>
  </w:style>
  <w:style w:type="paragraph" w:styleId="13">
    <w:name w:val="annotation text"/>
    <w:basedOn w:val="1"/>
    <w:link w:val="60"/>
    <w:unhideWhenUsed/>
    <w:qFormat/>
    <w:uiPriority w:val="99"/>
    <w:pPr>
      <w:jc w:val="left"/>
    </w:pPr>
    <w:rPr>
      <w:rFonts w:eastAsia="宋体"/>
    </w:rPr>
  </w:style>
  <w:style w:type="paragraph" w:styleId="14">
    <w:name w:val="Body Text"/>
    <w:basedOn w:val="1"/>
    <w:next w:val="15"/>
    <w:link w:val="50"/>
    <w:qFormat/>
    <w:uiPriority w:val="0"/>
    <w:pPr>
      <w:adjustRightInd w:val="0"/>
      <w:spacing w:line="315" w:lineRule="atLeast"/>
      <w:jc w:val="left"/>
    </w:pPr>
    <w:rPr>
      <w:rFonts w:ascii="仿宋_GB2312" w:eastAsia="仿宋_GB2312"/>
      <w:kern w:val="0"/>
      <w:sz w:val="28"/>
      <w:szCs w:val="20"/>
    </w:rPr>
  </w:style>
  <w:style w:type="paragraph" w:styleId="15">
    <w:name w:val="Body Text First Indent"/>
    <w:basedOn w:val="14"/>
    <w:next w:val="16"/>
    <w:qFormat/>
    <w:uiPriority w:val="0"/>
    <w:pPr>
      <w:ind w:firstLine="420" w:firstLineChars="100"/>
    </w:pPr>
    <w:rPr>
      <w:rFonts w:ascii="Calibri" w:hAnsi="Calibri"/>
      <w:szCs w:val="24"/>
    </w:rPr>
  </w:style>
  <w:style w:type="paragraph" w:styleId="16">
    <w:name w:val="toc 6"/>
    <w:basedOn w:val="1"/>
    <w:next w:val="1"/>
    <w:unhideWhenUsed/>
    <w:qFormat/>
    <w:uiPriority w:val="0"/>
    <w:pPr>
      <w:ind w:left="1050"/>
      <w:jc w:val="left"/>
    </w:pPr>
    <w:rPr>
      <w:rFonts w:ascii="Calibri" w:hAnsi="Calibri" w:cs="Calibri"/>
      <w:sz w:val="18"/>
      <w:szCs w:val="18"/>
    </w:rPr>
  </w:style>
  <w:style w:type="paragraph" w:styleId="17">
    <w:name w:val="Body Text Indent"/>
    <w:basedOn w:val="1"/>
    <w:next w:val="18"/>
    <w:link w:val="61"/>
    <w:qFormat/>
    <w:uiPriority w:val="0"/>
    <w:pPr>
      <w:spacing w:before="120" w:after="120" w:line="360" w:lineRule="auto"/>
      <w:ind w:left="420" w:leftChars="200"/>
    </w:pPr>
    <w:rPr>
      <w:rFonts w:eastAsia="宋体"/>
      <w:sz w:val="24"/>
      <w:szCs w:val="20"/>
    </w:rPr>
  </w:style>
  <w:style w:type="paragraph" w:styleId="18">
    <w:name w:val="Body Text First Indent 2"/>
    <w:basedOn w:val="17"/>
    <w:unhideWhenUsed/>
    <w:qFormat/>
    <w:uiPriority w:val="99"/>
    <w:pPr>
      <w:ind w:firstLine="420" w:firstLineChars="200"/>
    </w:pPr>
  </w:style>
  <w:style w:type="paragraph" w:styleId="19">
    <w:name w:val="List 2"/>
    <w:basedOn w:val="1"/>
    <w:unhideWhenUsed/>
    <w:qFormat/>
    <w:uiPriority w:val="99"/>
    <w:pPr>
      <w:ind w:left="100" w:leftChars="200" w:hanging="200" w:hangingChars="200"/>
      <w:contextualSpacing/>
    </w:pPr>
  </w:style>
  <w:style w:type="paragraph" w:styleId="20">
    <w:name w:val="toc 5"/>
    <w:basedOn w:val="1"/>
    <w:next w:val="1"/>
    <w:unhideWhenUsed/>
    <w:qFormat/>
    <w:uiPriority w:val="0"/>
    <w:pPr>
      <w:ind w:left="840"/>
      <w:jc w:val="left"/>
    </w:pPr>
    <w:rPr>
      <w:rFonts w:ascii="Calibri" w:hAnsi="Calibri" w:cs="Calibri"/>
      <w:sz w:val="18"/>
      <w:szCs w:val="18"/>
    </w:rPr>
  </w:style>
  <w:style w:type="paragraph" w:styleId="21">
    <w:name w:val="toc 3"/>
    <w:basedOn w:val="1"/>
    <w:next w:val="1"/>
    <w:unhideWhenUsed/>
    <w:qFormat/>
    <w:uiPriority w:val="39"/>
    <w:pPr>
      <w:ind w:left="420"/>
      <w:jc w:val="left"/>
    </w:pPr>
    <w:rPr>
      <w:rFonts w:ascii="Calibri" w:hAnsi="Calibri" w:cs="Calibri"/>
      <w:i/>
      <w:iCs/>
      <w:sz w:val="20"/>
      <w:szCs w:val="20"/>
    </w:rPr>
  </w:style>
  <w:style w:type="paragraph" w:styleId="22">
    <w:name w:val="Plain Text"/>
    <w:basedOn w:val="1"/>
    <w:link w:val="62"/>
    <w:unhideWhenUsed/>
    <w:qFormat/>
    <w:uiPriority w:val="0"/>
    <w:rPr>
      <w:rFonts w:ascii="宋体" w:hAnsi="Courier New" w:eastAsia="宋体"/>
      <w:szCs w:val="20"/>
    </w:rPr>
  </w:style>
  <w:style w:type="paragraph" w:styleId="23">
    <w:name w:val="List Number 4"/>
    <w:basedOn w:val="1"/>
    <w:qFormat/>
    <w:uiPriority w:val="0"/>
    <w:pPr>
      <w:numPr>
        <w:ilvl w:val="0"/>
        <w:numId w:val="2"/>
      </w:numPr>
      <w:tabs>
        <w:tab w:val="left" w:pos="840"/>
        <w:tab w:val="clear" w:pos="1620"/>
      </w:tabs>
      <w:autoSpaceDE w:val="0"/>
      <w:autoSpaceDN w:val="0"/>
      <w:adjustRightInd w:val="0"/>
      <w:spacing w:line="360" w:lineRule="atLeast"/>
      <w:ind w:left="840" w:leftChars="0" w:hanging="420" w:firstLineChars="0"/>
    </w:pPr>
    <w:rPr>
      <w:kern w:val="0"/>
      <w:sz w:val="24"/>
    </w:rPr>
  </w:style>
  <w:style w:type="paragraph" w:styleId="24">
    <w:name w:val="toc 8"/>
    <w:basedOn w:val="1"/>
    <w:next w:val="1"/>
    <w:unhideWhenUsed/>
    <w:qFormat/>
    <w:uiPriority w:val="0"/>
    <w:pPr>
      <w:ind w:left="1470"/>
      <w:jc w:val="left"/>
    </w:pPr>
    <w:rPr>
      <w:rFonts w:ascii="Calibri" w:hAnsi="Calibri" w:cs="Calibri"/>
      <w:sz w:val="18"/>
      <w:szCs w:val="18"/>
    </w:rPr>
  </w:style>
  <w:style w:type="paragraph" w:styleId="25">
    <w:name w:val="Date"/>
    <w:basedOn w:val="1"/>
    <w:next w:val="1"/>
    <w:link w:val="63"/>
    <w:qFormat/>
    <w:uiPriority w:val="0"/>
    <w:pPr>
      <w:ind w:left="100" w:leftChars="2500"/>
    </w:pPr>
    <w:rPr>
      <w:rFonts w:eastAsia="宋体"/>
      <w:kern w:val="0"/>
      <w:sz w:val="20"/>
    </w:rPr>
  </w:style>
  <w:style w:type="paragraph" w:styleId="26">
    <w:name w:val="Body Text Indent 2"/>
    <w:basedOn w:val="1"/>
    <w:link w:val="64"/>
    <w:unhideWhenUsed/>
    <w:qFormat/>
    <w:uiPriority w:val="99"/>
    <w:pPr>
      <w:spacing w:after="120" w:line="480" w:lineRule="auto"/>
      <w:ind w:left="420" w:leftChars="200"/>
    </w:pPr>
    <w:rPr>
      <w:rFonts w:eastAsia="宋体"/>
    </w:rPr>
  </w:style>
  <w:style w:type="paragraph" w:styleId="27">
    <w:name w:val="Balloon Text"/>
    <w:basedOn w:val="1"/>
    <w:link w:val="65"/>
    <w:unhideWhenUsed/>
    <w:qFormat/>
    <w:uiPriority w:val="99"/>
    <w:rPr>
      <w:rFonts w:eastAsia="宋体"/>
      <w:kern w:val="0"/>
      <w:sz w:val="18"/>
      <w:szCs w:val="18"/>
    </w:rPr>
  </w:style>
  <w:style w:type="paragraph" w:styleId="28">
    <w:name w:val="footer"/>
    <w:basedOn w:val="1"/>
    <w:link w:val="66"/>
    <w:qFormat/>
    <w:uiPriority w:val="0"/>
    <w:pPr>
      <w:tabs>
        <w:tab w:val="center" w:pos="4153"/>
        <w:tab w:val="right" w:pos="8306"/>
      </w:tabs>
      <w:snapToGrid w:val="0"/>
      <w:jc w:val="left"/>
    </w:pPr>
    <w:rPr>
      <w:rFonts w:eastAsia="宋体"/>
      <w:kern w:val="0"/>
      <w:sz w:val="18"/>
      <w:szCs w:val="18"/>
    </w:rPr>
  </w:style>
  <w:style w:type="paragraph" w:styleId="29">
    <w:name w:val="header"/>
    <w:basedOn w:val="1"/>
    <w:link w:val="67"/>
    <w:qFormat/>
    <w:uiPriority w:val="99"/>
    <w:pPr>
      <w:pBdr>
        <w:bottom w:val="single" w:color="auto" w:sz="6" w:space="1"/>
      </w:pBdr>
      <w:tabs>
        <w:tab w:val="center" w:pos="4153"/>
        <w:tab w:val="right" w:pos="8306"/>
      </w:tabs>
      <w:snapToGrid w:val="0"/>
      <w:jc w:val="center"/>
    </w:pPr>
    <w:rPr>
      <w:rFonts w:eastAsia="宋体"/>
      <w:kern w:val="0"/>
      <w:sz w:val="18"/>
      <w:szCs w:val="18"/>
    </w:rPr>
  </w:style>
  <w:style w:type="paragraph" w:styleId="30">
    <w:name w:val="toc 1"/>
    <w:basedOn w:val="1"/>
    <w:next w:val="1"/>
    <w:qFormat/>
    <w:uiPriority w:val="39"/>
    <w:pPr>
      <w:spacing w:before="120" w:after="120"/>
      <w:jc w:val="left"/>
    </w:pPr>
    <w:rPr>
      <w:rFonts w:ascii="Calibri" w:hAnsi="Calibri" w:cs="Calibri"/>
      <w:b/>
      <w:bCs/>
      <w:caps/>
      <w:sz w:val="20"/>
      <w:szCs w:val="20"/>
    </w:rPr>
  </w:style>
  <w:style w:type="paragraph" w:styleId="31">
    <w:name w:val="toc 4"/>
    <w:basedOn w:val="1"/>
    <w:next w:val="1"/>
    <w:unhideWhenUsed/>
    <w:qFormat/>
    <w:uiPriority w:val="0"/>
    <w:pPr>
      <w:ind w:left="630"/>
      <w:jc w:val="left"/>
    </w:pPr>
    <w:rPr>
      <w:rFonts w:ascii="Calibri" w:hAnsi="Calibri" w:cs="Calibri"/>
      <w:sz w:val="18"/>
      <w:szCs w:val="18"/>
    </w:rPr>
  </w:style>
  <w:style w:type="paragraph" w:styleId="32">
    <w:name w:val="footnote text"/>
    <w:basedOn w:val="1"/>
    <w:link w:val="68"/>
    <w:unhideWhenUsed/>
    <w:qFormat/>
    <w:uiPriority w:val="99"/>
    <w:pPr>
      <w:snapToGrid w:val="0"/>
      <w:spacing w:line="240" w:lineRule="auto"/>
      <w:jc w:val="left"/>
    </w:pPr>
    <w:rPr>
      <w:rFonts w:eastAsia="宋体"/>
      <w:sz w:val="18"/>
      <w:szCs w:val="18"/>
    </w:rPr>
  </w:style>
  <w:style w:type="paragraph" w:styleId="33">
    <w:name w:val="Body Text Indent 3"/>
    <w:basedOn w:val="1"/>
    <w:link w:val="69"/>
    <w:qFormat/>
    <w:uiPriority w:val="0"/>
    <w:pPr>
      <w:autoSpaceDE w:val="0"/>
      <w:autoSpaceDN w:val="0"/>
      <w:adjustRightInd w:val="0"/>
      <w:spacing w:line="480" w:lineRule="exact"/>
      <w:ind w:left="539" w:firstLine="538" w:firstLineChars="224"/>
      <w:outlineLvl w:val="0"/>
    </w:pPr>
    <w:rPr>
      <w:rFonts w:ascii="方正细圆简体" w:eastAsia="方正细圆简体"/>
      <w:sz w:val="24"/>
    </w:rPr>
  </w:style>
  <w:style w:type="paragraph" w:styleId="34">
    <w:name w:val="toc 2"/>
    <w:basedOn w:val="1"/>
    <w:next w:val="1"/>
    <w:unhideWhenUsed/>
    <w:qFormat/>
    <w:uiPriority w:val="39"/>
    <w:pPr>
      <w:tabs>
        <w:tab w:val="right" w:leader="dot" w:pos="8931"/>
      </w:tabs>
      <w:spacing w:line="276" w:lineRule="auto"/>
      <w:ind w:left="851"/>
      <w:jc w:val="left"/>
    </w:pPr>
    <w:rPr>
      <w:rFonts w:ascii="Calibri" w:hAnsi="Calibri" w:cs="Calibri"/>
      <w:smallCaps/>
      <w:sz w:val="20"/>
      <w:szCs w:val="20"/>
    </w:rPr>
  </w:style>
  <w:style w:type="paragraph" w:styleId="35">
    <w:name w:val="toc 9"/>
    <w:basedOn w:val="1"/>
    <w:next w:val="1"/>
    <w:unhideWhenUsed/>
    <w:qFormat/>
    <w:uiPriority w:val="0"/>
    <w:pPr>
      <w:ind w:left="1680"/>
      <w:jc w:val="left"/>
    </w:pPr>
    <w:rPr>
      <w:rFonts w:ascii="Calibri" w:hAnsi="Calibri" w:cs="Calibri"/>
      <w:sz w:val="18"/>
      <w:szCs w:val="18"/>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next w:val="1"/>
    <w:link w:val="70"/>
    <w:qFormat/>
    <w:uiPriority w:val="0"/>
    <w:pPr>
      <w:spacing w:before="480" w:after="300" w:line="360" w:lineRule="auto"/>
      <w:jc w:val="center"/>
      <w:outlineLvl w:val="0"/>
    </w:pPr>
    <w:rPr>
      <w:rFonts w:ascii="Cambria" w:hAnsi="Cambria" w:eastAsia="华文中宋"/>
      <w:b/>
      <w:bCs/>
      <w:sz w:val="44"/>
      <w:szCs w:val="32"/>
    </w:rPr>
  </w:style>
  <w:style w:type="paragraph" w:styleId="38">
    <w:name w:val="annotation subject"/>
    <w:basedOn w:val="13"/>
    <w:next w:val="13"/>
    <w:link w:val="71"/>
    <w:unhideWhenUsed/>
    <w:qFormat/>
    <w:uiPriority w:val="99"/>
    <w:rPr>
      <w:b/>
      <w:bCs/>
    </w:rPr>
  </w:style>
  <w:style w:type="table" w:styleId="40">
    <w:name w:val="Table Grid"/>
    <w:basedOn w:val="39"/>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1">
    <w:name w:val="Table Elegant"/>
    <w:basedOn w:val="3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3">
    <w:name w:val="Strong"/>
    <w:qFormat/>
    <w:uiPriority w:val="22"/>
    <w:rPr>
      <w:b/>
    </w:rPr>
  </w:style>
  <w:style w:type="character" w:styleId="44">
    <w:name w:val="page number"/>
    <w:basedOn w:val="42"/>
    <w:qFormat/>
    <w:uiPriority w:val="0"/>
  </w:style>
  <w:style w:type="character" w:styleId="45">
    <w:name w:val="FollowedHyperlink"/>
    <w:basedOn w:val="42"/>
    <w:qFormat/>
    <w:uiPriority w:val="0"/>
    <w:rPr>
      <w:color w:val="333333"/>
      <w:u w:val="none"/>
    </w:rPr>
  </w:style>
  <w:style w:type="character" w:styleId="46">
    <w:name w:val="Emphasis"/>
    <w:basedOn w:val="42"/>
    <w:qFormat/>
    <w:uiPriority w:val="20"/>
    <w:rPr>
      <w:i/>
      <w:iCs/>
    </w:rPr>
  </w:style>
  <w:style w:type="character" w:styleId="47">
    <w:name w:val="Hyperlink"/>
    <w:basedOn w:val="42"/>
    <w:unhideWhenUsed/>
    <w:qFormat/>
    <w:uiPriority w:val="99"/>
    <w:rPr>
      <w:color w:val="333333"/>
      <w:u w:val="none"/>
    </w:rPr>
  </w:style>
  <w:style w:type="character" w:styleId="48">
    <w:name w:val="annotation reference"/>
    <w:qFormat/>
    <w:uiPriority w:val="99"/>
    <w:rPr>
      <w:sz w:val="21"/>
      <w:szCs w:val="21"/>
    </w:rPr>
  </w:style>
  <w:style w:type="character" w:styleId="49">
    <w:name w:val="footnote reference"/>
    <w:basedOn w:val="42"/>
    <w:unhideWhenUsed/>
    <w:qFormat/>
    <w:uiPriority w:val="99"/>
    <w:rPr>
      <w:vertAlign w:val="superscript"/>
    </w:rPr>
  </w:style>
  <w:style w:type="character" w:customStyle="1" w:styleId="50">
    <w:name w:val="正文文本 Char"/>
    <w:link w:val="14"/>
    <w:qFormat/>
    <w:uiPriority w:val="0"/>
    <w:rPr>
      <w:rFonts w:ascii="仿宋_GB2312" w:hAnsi="Times New Roman" w:eastAsia="仿宋_GB2312" w:cs="Times New Roman"/>
      <w:kern w:val="0"/>
      <w:sz w:val="28"/>
      <w:szCs w:val="20"/>
    </w:rPr>
  </w:style>
  <w:style w:type="character" w:customStyle="1" w:styleId="51">
    <w:name w:val="标题 1 Char"/>
    <w:link w:val="2"/>
    <w:qFormat/>
    <w:uiPriority w:val="0"/>
    <w:rPr>
      <w:rFonts w:ascii="Times New Roman" w:hAnsi="Times New Roman" w:eastAsia="华文中宋"/>
      <w:b/>
      <w:bCs/>
      <w:kern w:val="44"/>
      <w:sz w:val="44"/>
      <w:szCs w:val="44"/>
    </w:rPr>
  </w:style>
  <w:style w:type="character" w:customStyle="1" w:styleId="52">
    <w:name w:val="标题 2 Char"/>
    <w:link w:val="3"/>
    <w:qFormat/>
    <w:uiPriority w:val="0"/>
    <w:rPr>
      <w:rFonts w:ascii="华文中宋" w:hAnsi="华文中宋" w:eastAsia="华文中宋"/>
      <w:b/>
      <w:bCs/>
      <w:sz w:val="32"/>
      <w:szCs w:val="32"/>
    </w:rPr>
  </w:style>
  <w:style w:type="character" w:customStyle="1" w:styleId="53">
    <w:name w:val="正文缩进 Char"/>
    <w:link w:val="4"/>
    <w:qFormat/>
    <w:uiPriority w:val="99"/>
    <w:rPr>
      <w:rFonts w:ascii="Times New Roman" w:hAnsi="Times New Roman"/>
      <w:kern w:val="2"/>
      <w:sz w:val="21"/>
    </w:rPr>
  </w:style>
  <w:style w:type="character" w:customStyle="1" w:styleId="54">
    <w:name w:val="标题 3 Char"/>
    <w:link w:val="5"/>
    <w:qFormat/>
    <w:uiPriority w:val="0"/>
    <w:rPr>
      <w:rFonts w:ascii="华文中宋" w:hAnsi="华文中宋" w:eastAsia="华文中宋"/>
      <w:b/>
      <w:bCs/>
      <w:w w:val="90"/>
      <w:sz w:val="28"/>
      <w:szCs w:val="24"/>
    </w:rPr>
  </w:style>
  <w:style w:type="character" w:customStyle="1" w:styleId="55">
    <w:name w:val="标题 4 Char"/>
    <w:link w:val="6"/>
    <w:qFormat/>
    <w:uiPriority w:val="9"/>
    <w:rPr>
      <w:rFonts w:ascii="华文中宋" w:hAnsi="华文中宋" w:eastAsia="华文中宋"/>
      <w:b/>
      <w:bCs/>
      <w:color w:val="000000"/>
      <w:kern w:val="2"/>
      <w:sz w:val="24"/>
      <w:szCs w:val="28"/>
    </w:rPr>
  </w:style>
  <w:style w:type="character" w:customStyle="1" w:styleId="56">
    <w:name w:val="标题 5 Char"/>
    <w:link w:val="7"/>
    <w:qFormat/>
    <w:uiPriority w:val="9"/>
    <w:rPr>
      <w:rFonts w:ascii="华文中宋" w:hAnsi="华文中宋" w:eastAsia="华文中宋"/>
      <w:b/>
      <w:bCs/>
      <w:sz w:val="28"/>
      <w:szCs w:val="28"/>
    </w:rPr>
  </w:style>
  <w:style w:type="character" w:customStyle="1" w:styleId="57">
    <w:name w:val="标题 8 Char"/>
    <w:link w:val="8"/>
    <w:qFormat/>
    <w:uiPriority w:val="0"/>
    <w:rPr>
      <w:rFonts w:ascii="Times New Roman" w:hAnsi="Times New Roman"/>
      <w:b/>
      <w:bCs/>
      <w:color w:val="FFFFFF"/>
      <w:kern w:val="2"/>
      <w:sz w:val="21"/>
      <w:szCs w:val="18"/>
    </w:rPr>
  </w:style>
  <w:style w:type="character" w:customStyle="1" w:styleId="58">
    <w:name w:val="标题 9 Char"/>
    <w:link w:val="9"/>
    <w:qFormat/>
    <w:uiPriority w:val="0"/>
    <w:rPr>
      <w:rFonts w:ascii="Arial" w:hAnsi="Arial" w:cs="Arial"/>
      <w:b/>
      <w:bCs/>
      <w:color w:val="000000"/>
      <w:kern w:val="2"/>
      <w:sz w:val="15"/>
      <w:szCs w:val="26"/>
    </w:rPr>
  </w:style>
  <w:style w:type="character" w:customStyle="1" w:styleId="59">
    <w:name w:val="文档结构图 Char"/>
    <w:link w:val="12"/>
    <w:qFormat/>
    <w:uiPriority w:val="0"/>
    <w:rPr>
      <w:rFonts w:ascii="宋体" w:hAnsi="Times New Roman"/>
      <w:kern w:val="2"/>
      <w:sz w:val="18"/>
      <w:szCs w:val="18"/>
    </w:rPr>
  </w:style>
  <w:style w:type="character" w:customStyle="1" w:styleId="60">
    <w:name w:val="批注文字 Char"/>
    <w:link w:val="13"/>
    <w:qFormat/>
    <w:uiPriority w:val="99"/>
    <w:rPr>
      <w:rFonts w:ascii="Times New Roman" w:hAnsi="Times New Roman"/>
      <w:kern w:val="2"/>
      <w:sz w:val="21"/>
      <w:szCs w:val="24"/>
    </w:rPr>
  </w:style>
  <w:style w:type="character" w:customStyle="1" w:styleId="61">
    <w:name w:val="正文文本缩进 Char"/>
    <w:link w:val="17"/>
    <w:qFormat/>
    <w:uiPriority w:val="0"/>
    <w:rPr>
      <w:rFonts w:ascii="Times New Roman" w:hAnsi="Times New Roman"/>
      <w:kern w:val="2"/>
      <w:sz w:val="24"/>
    </w:rPr>
  </w:style>
  <w:style w:type="character" w:customStyle="1" w:styleId="62">
    <w:name w:val="纯文本 Char1"/>
    <w:link w:val="22"/>
    <w:semiHidden/>
    <w:qFormat/>
    <w:locked/>
    <w:uiPriority w:val="0"/>
    <w:rPr>
      <w:rFonts w:ascii="宋体" w:hAnsi="Courier New"/>
      <w:kern w:val="2"/>
      <w:sz w:val="21"/>
    </w:rPr>
  </w:style>
  <w:style w:type="character" w:customStyle="1" w:styleId="63">
    <w:name w:val="日期 Char"/>
    <w:link w:val="25"/>
    <w:qFormat/>
    <w:uiPriority w:val="0"/>
    <w:rPr>
      <w:rFonts w:ascii="Times New Roman" w:hAnsi="Times New Roman" w:eastAsia="宋体" w:cs="Times New Roman"/>
      <w:szCs w:val="24"/>
    </w:rPr>
  </w:style>
  <w:style w:type="character" w:customStyle="1" w:styleId="64">
    <w:name w:val="正文文本缩进 2 Char"/>
    <w:link w:val="26"/>
    <w:semiHidden/>
    <w:qFormat/>
    <w:uiPriority w:val="99"/>
    <w:rPr>
      <w:rFonts w:ascii="Times New Roman" w:hAnsi="Times New Roman"/>
      <w:kern w:val="2"/>
      <w:sz w:val="21"/>
      <w:szCs w:val="24"/>
    </w:rPr>
  </w:style>
  <w:style w:type="character" w:customStyle="1" w:styleId="65">
    <w:name w:val="批注框文本 Char"/>
    <w:link w:val="27"/>
    <w:qFormat/>
    <w:uiPriority w:val="99"/>
    <w:rPr>
      <w:rFonts w:ascii="Times New Roman" w:hAnsi="Times New Roman" w:eastAsia="宋体" w:cs="Times New Roman"/>
      <w:sz w:val="18"/>
      <w:szCs w:val="18"/>
    </w:rPr>
  </w:style>
  <w:style w:type="character" w:customStyle="1" w:styleId="66">
    <w:name w:val="页脚 Char"/>
    <w:link w:val="28"/>
    <w:qFormat/>
    <w:uiPriority w:val="0"/>
    <w:rPr>
      <w:rFonts w:ascii="Times New Roman" w:hAnsi="Times New Roman" w:eastAsia="宋体" w:cs="Times New Roman"/>
      <w:sz w:val="18"/>
      <w:szCs w:val="18"/>
    </w:rPr>
  </w:style>
  <w:style w:type="character" w:customStyle="1" w:styleId="67">
    <w:name w:val="页眉 Char"/>
    <w:link w:val="29"/>
    <w:qFormat/>
    <w:uiPriority w:val="99"/>
    <w:rPr>
      <w:rFonts w:ascii="Times New Roman" w:hAnsi="Times New Roman" w:eastAsia="宋体" w:cs="Times New Roman"/>
      <w:sz w:val="18"/>
      <w:szCs w:val="18"/>
    </w:rPr>
  </w:style>
  <w:style w:type="character" w:customStyle="1" w:styleId="68">
    <w:name w:val="脚注文本 Char"/>
    <w:basedOn w:val="42"/>
    <w:link w:val="32"/>
    <w:qFormat/>
    <w:uiPriority w:val="99"/>
    <w:rPr>
      <w:rFonts w:ascii="Times New Roman" w:hAnsi="Times New Roman"/>
      <w:kern w:val="2"/>
      <w:sz w:val="18"/>
      <w:szCs w:val="18"/>
    </w:rPr>
  </w:style>
  <w:style w:type="character" w:customStyle="1" w:styleId="69">
    <w:name w:val="正文文本缩进 3 Char"/>
    <w:link w:val="33"/>
    <w:qFormat/>
    <w:uiPriority w:val="0"/>
    <w:rPr>
      <w:rFonts w:ascii="方正细圆简体" w:hAnsi="Times New Roman" w:eastAsia="方正细圆简体"/>
      <w:kern w:val="2"/>
      <w:sz w:val="24"/>
      <w:szCs w:val="24"/>
    </w:rPr>
  </w:style>
  <w:style w:type="character" w:customStyle="1" w:styleId="70">
    <w:name w:val="标题 Char"/>
    <w:link w:val="37"/>
    <w:qFormat/>
    <w:uiPriority w:val="0"/>
    <w:rPr>
      <w:rFonts w:ascii="Cambria" w:hAnsi="Cambria" w:eastAsia="华文中宋"/>
      <w:b/>
      <w:bCs/>
      <w:kern w:val="2"/>
      <w:sz w:val="44"/>
      <w:szCs w:val="32"/>
    </w:rPr>
  </w:style>
  <w:style w:type="character" w:customStyle="1" w:styleId="71">
    <w:name w:val="批注主题 Char"/>
    <w:link w:val="38"/>
    <w:qFormat/>
    <w:uiPriority w:val="99"/>
    <w:rPr>
      <w:rFonts w:ascii="Times New Roman" w:hAnsi="Times New Roman"/>
      <w:b/>
      <w:bCs/>
      <w:kern w:val="2"/>
      <w:sz w:val="21"/>
      <w:szCs w:val="24"/>
    </w:rPr>
  </w:style>
  <w:style w:type="character" w:customStyle="1" w:styleId="72">
    <w:name w:val="标题3 Char"/>
    <w:link w:val="73"/>
    <w:qFormat/>
    <w:uiPriority w:val="0"/>
    <w:rPr>
      <w:rFonts w:ascii="宋体" w:hAnsi="宋体" w:eastAsia="华文中宋" w:cs="Arial"/>
      <w:b/>
      <w:sz w:val="24"/>
      <w:szCs w:val="24"/>
    </w:rPr>
  </w:style>
  <w:style w:type="paragraph" w:customStyle="1" w:styleId="73">
    <w:name w:val="标题3"/>
    <w:basedOn w:val="1"/>
    <w:next w:val="1"/>
    <w:link w:val="72"/>
    <w:qFormat/>
    <w:uiPriority w:val="0"/>
    <w:pPr>
      <w:widowControl/>
      <w:jc w:val="left"/>
    </w:pPr>
    <w:rPr>
      <w:rFonts w:ascii="宋体" w:hAnsi="宋体" w:eastAsia="华文中宋"/>
      <w:b/>
      <w:kern w:val="0"/>
      <w:sz w:val="24"/>
    </w:rPr>
  </w:style>
  <w:style w:type="character" w:customStyle="1" w:styleId="74">
    <w:name w:val="段 Char"/>
    <w:link w:val="75"/>
    <w:qFormat/>
    <w:uiPriority w:val="0"/>
    <w:rPr>
      <w:rFonts w:ascii="宋体" w:hAnsi="Times New Roman"/>
      <w:sz w:val="21"/>
      <w:lang w:bidi="ar-SA"/>
    </w:rPr>
  </w:style>
  <w:style w:type="paragraph" w:customStyle="1" w:styleId="75">
    <w:name w:val="段"/>
    <w:link w:val="74"/>
    <w:qFormat/>
    <w:uiPriority w:val="0"/>
    <w:pPr>
      <w:autoSpaceDE w:val="0"/>
      <w:autoSpaceDN w:val="0"/>
      <w:ind w:firstLine="200" w:firstLineChars="200"/>
      <w:jc w:val="both"/>
    </w:pPr>
    <w:rPr>
      <w:rFonts w:ascii="宋体" w:hAnsi="Times New Roman" w:eastAsia="宋体" w:cs="Times New Roman"/>
      <w:sz w:val="21"/>
      <w:lang w:bidi="ar-SA"/>
    </w:rPr>
  </w:style>
  <w:style w:type="character" w:customStyle="1" w:styleId="76">
    <w:name w:val="一级条标题 Char"/>
    <w:link w:val="77"/>
    <w:qFormat/>
    <w:uiPriority w:val="0"/>
    <w:rPr>
      <w:rFonts w:ascii="黑体" w:hAnsi="Times New Roman" w:eastAsia="黑体"/>
      <w:sz w:val="21"/>
    </w:rPr>
  </w:style>
  <w:style w:type="paragraph" w:customStyle="1" w:styleId="77">
    <w:name w:val="一级条标题"/>
    <w:basedOn w:val="1"/>
    <w:next w:val="75"/>
    <w:link w:val="76"/>
    <w:qFormat/>
    <w:uiPriority w:val="0"/>
    <w:pPr>
      <w:widowControl/>
      <w:tabs>
        <w:tab w:val="left" w:pos="1200"/>
      </w:tabs>
      <w:ind w:left="1200" w:hanging="420"/>
      <w:outlineLvl w:val="2"/>
    </w:pPr>
    <w:rPr>
      <w:rFonts w:ascii="黑体" w:eastAsia="黑体"/>
      <w:kern w:val="0"/>
      <w:szCs w:val="20"/>
    </w:rPr>
  </w:style>
  <w:style w:type="character" w:customStyle="1" w:styleId="78">
    <w:name w:val="批注引用4"/>
    <w:qFormat/>
    <w:uiPriority w:val="0"/>
    <w:rPr>
      <w:sz w:val="21"/>
      <w:szCs w:val="21"/>
    </w:rPr>
  </w:style>
  <w:style w:type="character" w:customStyle="1" w:styleId="79">
    <w:name w:val="lf3"/>
    <w:basedOn w:val="42"/>
    <w:qFormat/>
    <w:uiPriority w:val="0"/>
  </w:style>
  <w:style w:type="character" w:customStyle="1" w:styleId="80">
    <w:name w:val="批注引用6"/>
    <w:basedOn w:val="42"/>
    <w:qFormat/>
    <w:uiPriority w:val="0"/>
    <w:rPr>
      <w:sz w:val="21"/>
      <w:szCs w:val="21"/>
    </w:rPr>
  </w:style>
  <w:style w:type="character" w:customStyle="1" w:styleId="81">
    <w:name w:val="批注引用2"/>
    <w:basedOn w:val="42"/>
    <w:qFormat/>
    <w:uiPriority w:val="0"/>
    <w:rPr>
      <w:sz w:val="21"/>
      <w:szCs w:val="21"/>
    </w:rPr>
  </w:style>
  <w:style w:type="character" w:customStyle="1" w:styleId="82">
    <w:name w:val="批注引用1"/>
    <w:qFormat/>
    <w:uiPriority w:val="0"/>
    <w:rPr>
      <w:sz w:val="21"/>
      <w:szCs w:val="21"/>
    </w:rPr>
  </w:style>
  <w:style w:type="character" w:customStyle="1" w:styleId="83">
    <w:name w:val="正文首缩两字 Char1"/>
    <w:basedOn w:val="42"/>
    <w:link w:val="84"/>
    <w:qFormat/>
    <w:uiPriority w:val="0"/>
    <w:rPr>
      <w:rFonts w:ascii="Verdana" w:hAnsi="Verdana"/>
      <w:sz w:val="24"/>
      <w:szCs w:val="24"/>
    </w:rPr>
  </w:style>
  <w:style w:type="paragraph" w:customStyle="1" w:styleId="84">
    <w:name w:val="正文首缩两字"/>
    <w:basedOn w:val="1"/>
    <w:link w:val="83"/>
    <w:qFormat/>
    <w:uiPriority w:val="0"/>
    <w:pPr>
      <w:ind w:firstLine="200" w:firstLineChars="200"/>
    </w:pPr>
    <w:rPr>
      <w:rFonts w:ascii="Verdana" w:hAnsi="Verdana" w:eastAsia="宋体"/>
      <w:kern w:val="0"/>
      <w:sz w:val="24"/>
    </w:rPr>
  </w:style>
  <w:style w:type="character" w:customStyle="1" w:styleId="85">
    <w:name w:val="批注引用11"/>
    <w:qFormat/>
    <w:uiPriority w:val="0"/>
    <w:rPr>
      <w:rFonts w:cs="Times New Roman"/>
      <w:sz w:val="21"/>
      <w:szCs w:val="21"/>
    </w:rPr>
  </w:style>
  <w:style w:type="character" w:customStyle="1" w:styleId="86">
    <w:name w:val="列出段落 Char"/>
    <w:link w:val="87"/>
    <w:qFormat/>
    <w:uiPriority w:val="0"/>
    <w:rPr>
      <w:kern w:val="2"/>
      <w:sz w:val="21"/>
      <w:szCs w:val="22"/>
    </w:rPr>
  </w:style>
  <w:style w:type="paragraph" w:styleId="87">
    <w:name w:val="List Paragraph"/>
    <w:basedOn w:val="1"/>
    <w:link w:val="86"/>
    <w:qFormat/>
    <w:uiPriority w:val="0"/>
    <w:pPr>
      <w:ind w:firstLine="420" w:firstLineChars="200"/>
    </w:pPr>
    <w:rPr>
      <w:rFonts w:ascii="Calibri" w:hAnsi="Calibri" w:eastAsia="宋体"/>
      <w:szCs w:val="22"/>
    </w:rPr>
  </w:style>
  <w:style w:type="character" w:customStyle="1" w:styleId="88">
    <w:name w:val="批注引用3"/>
    <w:qFormat/>
    <w:uiPriority w:val="0"/>
    <w:rPr>
      <w:rFonts w:cs="Times New Roman"/>
      <w:sz w:val="21"/>
      <w:szCs w:val="21"/>
    </w:rPr>
  </w:style>
  <w:style w:type="character" w:customStyle="1" w:styleId="89">
    <w:name w:val="样式1 Char Char"/>
    <w:link w:val="90"/>
    <w:qFormat/>
    <w:uiPriority w:val="0"/>
    <w:rPr>
      <w:rFonts w:ascii="Arial" w:hAnsi="Arial"/>
      <w:kern w:val="2"/>
      <w:sz w:val="21"/>
      <w:szCs w:val="24"/>
    </w:rPr>
  </w:style>
  <w:style w:type="paragraph" w:customStyle="1" w:styleId="90">
    <w:name w:val="样式1"/>
    <w:basedOn w:val="1"/>
    <w:link w:val="89"/>
    <w:qFormat/>
    <w:uiPriority w:val="0"/>
    <w:pPr>
      <w:spacing w:line="360" w:lineRule="exact"/>
      <w:ind w:firstLine="200" w:firstLineChars="200"/>
    </w:pPr>
    <w:rPr>
      <w:rFonts w:ascii="Arial" w:hAnsi="Arial" w:eastAsia="宋体"/>
    </w:rPr>
  </w:style>
  <w:style w:type="character" w:customStyle="1" w:styleId="91">
    <w:name w:val="自定义正文 Char"/>
    <w:link w:val="92"/>
    <w:qFormat/>
    <w:uiPriority w:val="0"/>
    <w:rPr>
      <w:kern w:val="2"/>
      <w:sz w:val="24"/>
    </w:rPr>
  </w:style>
  <w:style w:type="paragraph" w:customStyle="1" w:styleId="92">
    <w:name w:val="自定义正文"/>
    <w:basedOn w:val="1"/>
    <w:link w:val="91"/>
    <w:qFormat/>
    <w:uiPriority w:val="0"/>
    <w:pPr>
      <w:spacing w:afterLines="50" w:line="360" w:lineRule="auto"/>
      <w:ind w:firstLine="200" w:firstLineChars="200"/>
      <w:jc w:val="left"/>
    </w:pPr>
    <w:rPr>
      <w:rFonts w:ascii="Calibri" w:hAnsi="Calibri" w:eastAsia="宋体"/>
      <w:sz w:val="24"/>
      <w:szCs w:val="20"/>
    </w:rPr>
  </w:style>
  <w:style w:type="character" w:customStyle="1" w:styleId="93">
    <w:name w:val="font21"/>
    <w:qFormat/>
    <w:uiPriority w:val="0"/>
    <w:rPr>
      <w:rFonts w:hint="eastAsia" w:ascii="宋体" w:hAnsi="宋体" w:eastAsia="宋体" w:cs="宋体"/>
      <w:color w:val="000000"/>
      <w:sz w:val="20"/>
      <w:szCs w:val="20"/>
      <w:u w:val="none"/>
    </w:rPr>
  </w:style>
  <w:style w:type="character" w:customStyle="1" w:styleId="94">
    <w:name w:val="style15"/>
    <w:basedOn w:val="42"/>
    <w:qFormat/>
    <w:uiPriority w:val="0"/>
  </w:style>
  <w:style w:type="character" w:customStyle="1" w:styleId="95">
    <w:name w:val="font31"/>
    <w:qFormat/>
    <w:uiPriority w:val="0"/>
    <w:rPr>
      <w:rFonts w:hint="eastAsia" w:ascii="宋体" w:hAnsi="宋体" w:eastAsia="宋体" w:cs="宋体"/>
      <w:color w:val="FF0000"/>
      <w:sz w:val="20"/>
      <w:szCs w:val="20"/>
      <w:u w:val="none"/>
    </w:rPr>
  </w:style>
  <w:style w:type="character" w:customStyle="1" w:styleId="96">
    <w:name w:val="SANGFOR_6_正文 Char"/>
    <w:link w:val="97"/>
    <w:qFormat/>
    <w:locked/>
    <w:uiPriority w:val="0"/>
    <w:rPr>
      <w:rFonts w:ascii="宋体" w:hAnsi="宋体"/>
      <w:sz w:val="28"/>
      <w:szCs w:val="28"/>
    </w:rPr>
  </w:style>
  <w:style w:type="paragraph" w:customStyle="1" w:styleId="97">
    <w:name w:val="SANGFOR_6_正文"/>
    <w:basedOn w:val="1"/>
    <w:link w:val="96"/>
    <w:qFormat/>
    <w:uiPriority w:val="0"/>
    <w:pPr>
      <w:spacing w:line="360" w:lineRule="auto"/>
      <w:ind w:left="420"/>
      <w:jc w:val="left"/>
    </w:pPr>
    <w:rPr>
      <w:rFonts w:ascii="宋体" w:hAnsi="宋体" w:eastAsia="宋体"/>
      <w:kern w:val="0"/>
      <w:sz w:val="28"/>
      <w:szCs w:val="28"/>
    </w:rPr>
  </w:style>
  <w:style w:type="character" w:customStyle="1" w:styleId="98">
    <w:name w:val="纯文本 Char"/>
    <w:qFormat/>
    <w:uiPriority w:val="0"/>
    <w:rPr>
      <w:rFonts w:ascii="宋体" w:hAnsi="Courier New" w:cs="Courier New"/>
      <w:kern w:val="2"/>
      <w:sz w:val="21"/>
      <w:szCs w:val="21"/>
    </w:rPr>
  </w:style>
  <w:style w:type="character" w:customStyle="1" w:styleId="99">
    <w:name w:val="列出段落 字符"/>
    <w:qFormat/>
    <w:uiPriority w:val="0"/>
    <w:rPr>
      <w:rFonts w:ascii="Calibri" w:hAnsi="Calibri" w:eastAsia="宋体" w:cs="Times New Roman"/>
      <w:kern w:val="0"/>
      <w:sz w:val="20"/>
      <w:szCs w:val="20"/>
    </w:rPr>
  </w:style>
  <w:style w:type="character" w:customStyle="1" w:styleId="100">
    <w:name w:val="16"/>
    <w:qFormat/>
    <w:uiPriority w:val="0"/>
    <w:rPr>
      <w:rFonts w:hint="default" w:ascii="Calibri" w:hAnsi="Calibri"/>
      <w:sz w:val="21"/>
      <w:szCs w:val="21"/>
    </w:rPr>
  </w:style>
  <w:style w:type="character" w:customStyle="1" w:styleId="101">
    <w:name w:val="font61"/>
    <w:qFormat/>
    <w:uiPriority w:val="0"/>
    <w:rPr>
      <w:rFonts w:ascii="Arial" w:hAnsi="Arial" w:cs="Arial"/>
      <w:color w:val="000000"/>
      <w:sz w:val="20"/>
      <w:szCs w:val="20"/>
      <w:u w:val="none"/>
    </w:rPr>
  </w:style>
  <w:style w:type="character" w:customStyle="1" w:styleId="102">
    <w:name w:val="正文2 Char"/>
    <w:link w:val="103"/>
    <w:qFormat/>
    <w:uiPriority w:val="0"/>
    <w:rPr>
      <w:kern w:val="2"/>
      <w:sz w:val="24"/>
    </w:rPr>
  </w:style>
  <w:style w:type="paragraph" w:customStyle="1" w:styleId="103">
    <w:name w:val="正文2"/>
    <w:basedOn w:val="1"/>
    <w:link w:val="102"/>
    <w:qFormat/>
    <w:uiPriority w:val="0"/>
    <w:pPr>
      <w:spacing w:before="156"/>
      <w:ind w:firstLine="510" w:firstLineChars="200"/>
    </w:pPr>
    <w:rPr>
      <w:rFonts w:ascii="Calibri" w:hAnsi="Calibri" w:eastAsia="宋体"/>
      <w:sz w:val="24"/>
      <w:szCs w:val="20"/>
    </w:rPr>
  </w:style>
  <w:style w:type="character" w:customStyle="1" w:styleId="104">
    <w:name w:val="annotation reference"/>
    <w:qFormat/>
    <w:uiPriority w:val="0"/>
    <w:rPr>
      <w:sz w:val="21"/>
      <w:szCs w:val="21"/>
    </w:rPr>
  </w:style>
  <w:style w:type="character" w:customStyle="1" w:styleId="105">
    <w:name w:val="样式 样式 正文首行缩进 + 首行缩进:  2 字符 + 首行缩进:  2 字符 Char"/>
    <w:link w:val="106"/>
    <w:qFormat/>
    <w:uiPriority w:val="0"/>
    <w:rPr>
      <w:rFonts w:cs="宋体"/>
      <w:kern w:val="2"/>
      <w:sz w:val="24"/>
    </w:rPr>
  </w:style>
  <w:style w:type="paragraph" w:customStyle="1" w:styleId="106">
    <w:name w:val="样式 样式 正文首行缩进 + 首行缩进:  2 字符 + 首行缩进:  2 字符"/>
    <w:basedOn w:val="1"/>
    <w:link w:val="105"/>
    <w:qFormat/>
    <w:uiPriority w:val="0"/>
    <w:pPr>
      <w:spacing w:line="440" w:lineRule="exact"/>
      <w:ind w:firstLine="200" w:firstLineChars="200"/>
    </w:pPr>
    <w:rPr>
      <w:rFonts w:ascii="Calibri" w:hAnsi="Calibri" w:eastAsia="宋体"/>
      <w:sz w:val="24"/>
      <w:szCs w:val="20"/>
    </w:rPr>
  </w:style>
  <w:style w:type="character" w:customStyle="1" w:styleId="107">
    <w:name w:val="15"/>
    <w:qFormat/>
    <w:uiPriority w:val="0"/>
    <w:rPr>
      <w:rFonts w:hint="default" w:ascii="Calibri" w:hAnsi="Calibri"/>
      <w:sz w:val="18"/>
      <w:szCs w:val="18"/>
    </w:rPr>
  </w:style>
  <w:style w:type="character" w:customStyle="1" w:styleId="108">
    <w:name w:val="font71"/>
    <w:qFormat/>
    <w:uiPriority w:val="0"/>
    <w:rPr>
      <w:rFonts w:hint="default" w:ascii="Times New Roman" w:hAnsi="Times New Roman" w:eastAsia="楷体_GB2312" w:cs="Times New Roman"/>
      <w:sz w:val="28"/>
      <w:szCs w:val="24"/>
    </w:rPr>
  </w:style>
  <w:style w:type="character" w:customStyle="1" w:styleId="109">
    <w:name w:val="g1"/>
    <w:qFormat/>
    <w:uiPriority w:val="0"/>
    <w:rPr>
      <w:color w:val="008000"/>
    </w:rPr>
  </w:style>
  <w:style w:type="character" w:customStyle="1" w:styleId="110">
    <w:name w:val="textnormchn1"/>
    <w:basedOn w:val="42"/>
    <w:qFormat/>
    <w:uiPriority w:val="0"/>
  </w:style>
  <w:style w:type="character" w:customStyle="1" w:styleId="111">
    <w:name w:val="font121"/>
    <w:qFormat/>
    <w:uiPriority w:val="0"/>
    <w:rPr>
      <w:rFonts w:hint="default" w:ascii="???" w:hAnsi="???"/>
      <w:color w:val="333333"/>
      <w:sz w:val="18"/>
      <w:szCs w:val="18"/>
      <w:u w:val="none"/>
    </w:rPr>
  </w:style>
  <w:style w:type="character" w:customStyle="1" w:styleId="112">
    <w:name w:val="17"/>
    <w:qFormat/>
    <w:uiPriority w:val="0"/>
    <w:rPr>
      <w:rFonts w:hint="default" w:ascii="Calibri" w:hAnsi="Calibri"/>
      <w:sz w:val="21"/>
      <w:szCs w:val="21"/>
    </w:rPr>
  </w:style>
  <w:style w:type="character" w:customStyle="1" w:styleId="113">
    <w:name w:val="Char Char7"/>
    <w:qFormat/>
    <w:uiPriority w:val="0"/>
    <w:rPr>
      <w:rFonts w:ascii="Cambria" w:hAnsi="Cambria" w:eastAsia="仿宋_GB2312"/>
      <w:b/>
      <w:bCs/>
      <w:kern w:val="2"/>
      <w:sz w:val="24"/>
      <w:szCs w:val="28"/>
      <w:lang w:bidi="ar-SA"/>
    </w:rPr>
  </w:style>
  <w:style w:type="character" w:customStyle="1" w:styleId="114">
    <w:name w:val="bsharetext"/>
    <w:basedOn w:val="42"/>
    <w:qFormat/>
    <w:uiPriority w:val="0"/>
  </w:style>
  <w:style w:type="character" w:customStyle="1" w:styleId="115">
    <w:name w:val="批注引用5"/>
    <w:basedOn w:val="42"/>
    <w:qFormat/>
    <w:uiPriority w:val="0"/>
    <w:rPr>
      <w:sz w:val="21"/>
      <w:szCs w:val="21"/>
    </w:rPr>
  </w:style>
  <w:style w:type="character" w:customStyle="1" w:styleId="116">
    <w:name w:val="apple-converted-space"/>
    <w:basedOn w:val="42"/>
    <w:qFormat/>
    <w:uiPriority w:val="0"/>
  </w:style>
  <w:style w:type="paragraph" w:customStyle="1" w:styleId="117">
    <w:name w:val="Char3 Char Char Char"/>
    <w:basedOn w:val="1"/>
    <w:qFormat/>
    <w:uiPriority w:val="0"/>
    <w:pPr>
      <w:widowControl/>
      <w:spacing w:after="160" w:line="240" w:lineRule="exact"/>
      <w:jc w:val="left"/>
    </w:pPr>
    <w:rPr>
      <w:rFonts w:ascii="Verdana" w:hAnsi="Verdana" w:eastAsia="宋体"/>
      <w:kern w:val="0"/>
      <w:sz w:val="20"/>
      <w:szCs w:val="20"/>
      <w:lang w:eastAsia="en-US"/>
    </w:rPr>
  </w:style>
  <w:style w:type="paragraph" w:customStyle="1" w:styleId="11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
    <w:name w:val="msolistparagraph"/>
    <w:basedOn w:val="1"/>
    <w:qFormat/>
    <w:uiPriority w:val="0"/>
    <w:pPr>
      <w:ind w:firstLine="420" w:firstLineChars="200"/>
    </w:pPr>
    <w:rPr>
      <w:szCs w:val="20"/>
    </w:rPr>
  </w:style>
  <w:style w:type="paragraph" w:customStyle="1" w:styleId="120">
    <w:name w:val="_Style 2"/>
    <w:basedOn w:val="1"/>
    <w:qFormat/>
    <w:uiPriority w:val="34"/>
    <w:pPr>
      <w:ind w:firstLine="420" w:firstLineChars="200"/>
    </w:pPr>
  </w:style>
  <w:style w:type="paragraph" w:customStyle="1" w:styleId="12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2">
    <w:name w:val="p21"/>
    <w:basedOn w:val="1"/>
    <w:qFormat/>
    <w:uiPriority w:val="0"/>
    <w:pPr>
      <w:widowControl/>
      <w:ind w:firstLine="420"/>
    </w:pPr>
    <w:rPr>
      <w:rFonts w:cs="宋体"/>
      <w:kern w:val="0"/>
      <w:szCs w:val="21"/>
    </w:rPr>
  </w:style>
  <w:style w:type="paragraph" w:customStyle="1" w:styleId="123">
    <w:name w:val="content"/>
    <w:basedOn w:val="1"/>
    <w:qFormat/>
    <w:uiPriority w:val="0"/>
    <w:pPr>
      <w:widowControl/>
      <w:spacing w:before="100" w:beforeAutospacing="1" w:after="100" w:afterAutospacing="1" w:line="360" w:lineRule="atLeast"/>
      <w:jc w:val="left"/>
    </w:pPr>
    <w:rPr>
      <w:rFonts w:ascii="宋体" w:hAnsi="宋体"/>
      <w:color w:val="333333"/>
      <w:kern w:val="0"/>
      <w:szCs w:val="21"/>
    </w:rPr>
  </w:style>
  <w:style w:type="paragraph" w:customStyle="1" w:styleId="124">
    <w:name w:val="说明书3级标题"/>
    <w:basedOn w:val="1"/>
    <w:next w:val="1"/>
    <w:qFormat/>
    <w:uiPriority w:val="0"/>
    <w:pPr>
      <w:tabs>
        <w:tab w:val="left" w:pos="1572"/>
      </w:tabs>
      <w:spacing w:line="360" w:lineRule="auto"/>
      <w:ind w:left="1572" w:hanging="720"/>
    </w:pPr>
    <w:rPr>
      <w:rFonts w:eastAsia="黑体"/>
      <w:sz w:val="24"/>
    </w:rPr>
  </w:style>
  <w:style w:type="paragraph" w:customStyle="1" w:styleId="125">
    <w:name w:val="列出段落1"/>
    <w:basedOn w:val="1"/>
    <w:qFormat/>
    <w:uiPriority w:val="34"/>
    <w:pPr>
      <w:ind w:firstLine="420" w:firstLineChars="200"/>
    </w:pPr>
    <w:rPr>
      <w:szCs w:val="20"/>
    </w:rPr>
  </w:style>
  <w:style w:type="paragraph" w:customStyle="1" w:styleId="126">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27">
    <w:name w:val="Char Char Char Char"/>
    <w:basedOn w:val="12"/>
    <w:qFormat/>
    <w:uiPriority w:val="0"/>
    <w:pPr>
      <w:shd w:val="clear" w:color="auto" w:fill="000080"/>
      <w:adjustRightInd w:val="0"/>
      <w:snapToGrid w:val="0"/>
      <w:spacing w:line="360" w:lineRule="auto"/>
    </w:pPr>
    <w:rPr>
      <w:rFonts w:ascii="Times New Roman"/>
      <w:sz w:val="21"/>
      <w:szCs w:val="24"/>
    </w:rPr>
  </w:style>
  <w:style w:type="paragraph" w:customStyle="1" w:styleId="128">
    <w:name w:val="newp"/>
    <w:basedOn w:val="1"/>
    <w:qFormat/>
    <w:uiPriority w:val="0"/>
    <w:pPr>
      <w:widowControl/>
      <w:spacing w:before="100" w:beforeAutospacing="1" w:after="100" w:afterAutospacing="1" w:line="240" w:lineRule="auto"/>
      <w:jc w:val="left"/>
    </w:pPr>
    <w:rPr>
      <w:rFonts w:ascii="宋体" w:hAnsi="宋体" w:eastAsia="宋体" w:cs="宋体"/>
      <w:kern w:val="0"/>
      <w:sz w:val="24"/>
    </w:rPr>
  </w:style>
  <w:style w:type="paragraph" w:customStyle="1" w:styleId="129">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0">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131">
    <w:name w:val="样式 宋体 小四 黑色 行距: 1.5 倍行距1"/>
    <w:basedOn w:val="1"/>
    <w:qFormat/>
    <w:uiPriority w:val="0"/>
    <w:pPr>
      <w:spacing w:line="360" w:lineRule="auto"/>
      <w:ind w:firstLine="480" w:firstLineChars="200"/>
    </w:pPr>
    <w:rPr>
      <w:rFonts w:ascii="宋体" w:hAnsi="宋体" w:cs="宋体"/>
      <w:color w:val="000000"/>
      <w:kern w:val="0"/>
      <w:szCs w:val="20"/>
    </w:rPr>
  </w:style>
  <w:style w:type="paragraph" w:customStyle="1" w:styleId="132">
    <w:name w:val="a2"/>
    <w:basedOn w:val="1"/>
    <w:qFormat/>
    <w:uiPriority w:val="0"/>
    <w:pPr>
      <w:widowControl/>
      <w:spacing w:before="100" w:beforeAutospacing="1" w:after="100" w:afterAutospacing="1"/>
      <w:jc w:val="left"/>
    </w:pPr>
    <w:rPr>
      <w:rFonts w:ascii="Arial Unicode MS" w:hAnsi="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40</Pages>
  <Words>12082</Words>
  <Characters>12686</Characters>
  <Lines>167</Lines>
  <Paragraphs>47</Paragraphs>
  <TotalTime>7</TotalTime>
  <ScaleCrop>false</ScaleCrop>
  <LinksUpToDate>false</LinksUpToDate>
  <CharactersWithSpaces>12938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2016-07-11T20:15:00Z</dcterms:created>
  <dc:creator>Administrator</dc:creator>
  <cp:lastModifiedBy>WPS_1646785374</cp:lastModifiedBy>
  <cp:lastPrinted>2025-06-19T06:10:05Z</cp:lastPrinted>
  <dcterms:modified xsi:type="dcterms:W3CDTF">2025-06-19T07:25:17Z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74CE62F759A24083A841813D6F22A4BC_13</vt:lpwstr>
  </property>
  <property fmtid="{D5CDD505-2E9C-101B-9397-08002B2CF9AE}" pid="4" name="KSOTemplateDocerSaveRecord">
    <vt:lpwstr>eyJoZGlkIjoiZjVjZmIwMDAwZTg0M2I4Y2Q3NmI1YjU1YTQxOTA1YjUiLCJ1c2VySWQiOiIxMzQyMjUwNzg2In0=</vt:lpwstr>
  </property>
</Properties>
</file>