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B317C">
      <w:pPr>
        <w:spacing w:before="625" w:beforeLines="200" w:after="313" w:afterLines="100"/>
        <w:ind w:left="0" w:right="0" w:hanging="177" w:hangingChars="28"/>
        <w:jc w:val="center"/>
        <w:rPr>
          <w:rFonts w:hint="eastAsia" w:ascii="宋体" w:hAnsi="宋体" w:eastAsia="宋体" w:cs="宋体"/>
          <w:color w:val="000000" w:themeColor="text1"/>
          <w:w w:val="80"/>
          <w:kern w:val="0"/>
          <w:sz w:val="90"/>
          <w:szCs w:val="90"/>
          <w:highlight w:val="none"/>
          <w14:textFill>
            <w14:solidFill>
              <w14:schemeClr w14:val="tx1"/>
            </w14:solidFill>
          </w14:textFill>
        </w:rPr>
      </w:pPr>
      <w:r>
        <w:rPr>
          <w:rFonts w:hint="eastAsia" w:ascii="宋体" w:hAnsi="宋体" w:eastAsia="宋体" w:cs="宋体"/>
          <w:color w:val="000000" w:themeColor="text1"/>
          <w:w w:val="66"/>
          <w:kern w:val="0"/>
          <w:sz w:val="96"/>
          <w:szCs w:val="84"/>
          <w:highlight w:val="none"/>
          <w:lang w:val="en-US" w:eastAsia="zh-CN"/>
          <w14:textFill>
            <w14:solidFill>
              <w14:schemeClr w14:val="tx1"/>
            </w14:solidFill>
          </w14:textFill>
        </w:rPr>
        <w:t>温州市苍南县</w:t>
      </w:r>
      <w:r>
        <w:rPr>
          <w:rFonts w:hint="eastAsia" w:ascii="宋体" w:hAnsi="宋体" w:eastAsia="宋体" w:cs="宋体"/>
          <w:color w:val="000000" w:themeColor="text1"/>
          <w:w w:val="66"/>
          <w:kern w:val="0"/>
          <w:sz w:val="96"/>
          <w:szCs w:val="84"/>
          <w:highlight w:val="none"/>
          <w14:textFill>
            <w14:solidFill>
              <w14:schemeClr w14:val="tx1"/>
            </w14:solidFill>
          </w14:textFill>
        </w:rPr>
        <w:t>公款竞争性存放</w:t>
      </w:r>
    </w:p>
    <w:p w14:paraId="6A8103E5">
      <w:pPr>
        <w:spacing w:after="781" w:afterLines="250"/>
        <w:jc w:val="center"/>
        <w:rPr>
          <w:rFonts w:hint="eastAsia" w:ascii="宋体" w:hAnsi="宋体" w:eastAsia="宋体" w:cs="宋体"/>
          <w:color w:val="000000" w:themeColor="text1"/>
          <w:w w:val="90"/>
          <w:sz w:val="100"/>
          <w:szCs w:val="100"/>
          <w:highlight w:val="none"/>
          <w14:textFill>
            <w14:solidFill>
              <w14:schemeClr w14:val="tx1"/>
            </w14:solidFill>
          </w14:textFill>
        </w:rPr>
      </w:pPr>
      <w:r>
        <w:rPr>
          <w:rFonts w:hint="eastAsia" w:ascii="宋体" w:hAnsi="宋体" w:eastAsia="宋体" w:cs="宋体"/>
          <w:color w:val="000000" w:themeColor="text1"/>
          <w:w w:val="90"/>
          <w:sz w:val="100"/>
          <w:szCs w:val="100"/>
          <w:highlight w:val="none"/>
          <w14:textFill>
            <w14:solidFill>
              <w14:schemeClr w14:val="tx1"/>
            </w14:solidFill>
          </w14:textFill>
        </w:rPr>
        <w:t>招 标 文 件</w:t>
      </w:r>
    </w:p>
    <w:tbl>
      <w:tblPr>
        <w:tblStyle w:val="39"/>
        <w:tblW w:w="8412" w:type="dxa"/>
        <w:tblInd w:w="108" w:type="dxa"/>
        <w:tblLayout w:type="fixed"/>
        <w:tblCellMar>
          <w:top w:w="0" w:type="dxa"/>
          <w:left w:w="108" w:type="dxa"/>
          <w:bottom w:w="0" w:type="dxa"/>
          <w:right w:w="108" w:type="dxa"/>
        </w:tblCellMar>
      </w:tblPr>
      <w:tblGrid>
        <w:gridCol w:w="1843"/>
        <w:gridCol w:w="5812"/>
        <w:gridCol w:w="757"/>
      </w:tblGrid>
      <w:tr w14:paraId="62D54CBB">
        <w:tblPrEx>
          <w:tblCellMar>
            <w:top w:w="0" w:type="dxa"/>
            <w:left w:w="108" w:type="dxa"/>
            <w:bottom w:w="0" w:type="dxa"/>
            <w:right w:w="108" w:type="dxa"/>
          </w:tblCellMar>
        </w:tblPrEx>
        <w:trPr>
          <w:trHeight w:val="567" w:hRule="atLeast"/>
        </w:trPr>
        <w:tc>
          <w:tcPr>
            <w:tcW w:w="1843" w:type="dxa"/>
            <w:noWrap w:val="0"/>
            <w:vAlign w:val="center"/>
          </w:tcPr>
          <w:p w14:paraId="682631B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项目名称:</w:t>
            </w:r>
          </w:p>
        </w:tc>
        <w:tc>
          <w:tcPr>
            <w:tcW w:w="6569" w:type="dxa"/>
            <w:gridSpan w:val="2"/>
            <w:noWrap w:val="0"/>
            <w:vAlign w:val="center"/>
          </w:tcPr>
          <w:p w14:paraId="38A07591">
            <w:pPr>
              <w:keepNext w:val="0"/>
              <w:keepLines w:val="0"/>
              <w:pageBreakBefore w:val="0"/>
              <w:widowControl w:val="0"/>
              <w:kinsoku/>
              <w:wordWrap/>
              <w:overflowPunct/>
              <w:topLinePunct w:val="0"/>
              <w:autoSpaceDE/>
              <w:autoSpaceDN/>
              <w:bidi w:val="0"/>
              <w:adjustRightInd/>
              <w:snapToGrid/>
              <w:spacing w:line="240" w:lineRule="auto"/>
              <w:ind w:left="-9" w:leftChars="-4" w:hanging="1"/>
              <w:textAlignment w:val="auto"/>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eastAsia="zh-CN"/>
                <w14:textFill>
                  <w14:solidFill>
                    <w14:schemeClr w14:val="tx1"/>
                  </w14:solidFill>
                </w14:textFill>
              </w:rPr>
              <w:t>2025年度苍南县测绘院公款竞争性存放项目</w:t>
            </w:r>
          </w:p>
        </w:tc>
      </w:tr>
      <w:tr w14:paraId="79500D8C">
        <w:tblPrEx>
          <w:tblCellMar>
            <w:top w:w="0" w:type="dxa"/>
            <w:left w:w="108" w:type="dxa"/>
            <w:bottom w:w="0" w:type="dxa"/>
            <w:right w:w="108" w:type="dxa"/>
          </w:tblCellMar>
        </w:tblPrEx>
        <w:trPr>
          <w:trHeight w:val="567" w:hRule="atLeast"/>
        </w:trPr>
        <w:tc>
          <w:tcPr>
            <w:tcW w:w="1843" w:type="dxa"/>
            <w:noWrap w:val="0"/>
            <w:vAlign w:val="center"/>
          </w:tcPr>
          <w:p w14:paraId="310D35A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6569" w:type="dxa"/>
            <w:gridSpan w:val="2"/>
            <w:noWrap w:val="0"/>
            <w:vAlign w:val="center"/>
          </w:tcPr>
          <w:p w14:paraId="253C83FF">
            <w:pPr>
              <w:keepNext w:val="0"/>
              <w:keepLines w:val="0"/>
              <w:pageBreakBefore w:val="0"/>
              <w:widowControl w:val="0"/>
              <w:kinsoku/>
              <w:wordWrap/>
              <w:overflowPunct/>
              <w:topLinePunct w:val="0"/>
              <w:autoSpaceDE/>
              <w:autoSpaceDN/>
              <w:bidi w:val="0"/>
              <w:adjustRightInd/>
              <w:snapToGrid/>
              <w:spacing w:line="240" w:lineRule="auto"/>
              <w:ind w:left="-9" w:leftChars="-4" w:hanging="1"/>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tc>
      </w:tr>
      <w:tr w14:paraId="1E02B8B3">
        <w:tblPrEx>
          <w:tblCellMar>
            <w:top w:w="0" w:type="dxa"/>
            <w:left w:w="108" w:type="dxa"/>
            <w:bottom w:w="0" w:type="dxa"/>
            <w:right w:w="108" w:type="dxa"/>
          </w:tblCellMar>
        </w:tblPrEx>
        <w:trPr>
          <w:trHeight w:val="567" w:hRule="atLeast"/>
        </w:trPr>
        <w:tc>
          <w:tcPr>
            <w:tcW w:w="1843" w:type="dxa"/>
            <w:noWrap w:val="0"/>
            <w:vAlign w:val="center"/>
          </w:tcPr>
          <w:p w14:paraId="4493C86D">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6569" w:type="dxa"/>
            <w:gridSpan w:val="2"/>
            <w:noWrap w:val="0"/>
            <w:vAlign w:val="center"/>
          </w:tcPr>
          <w:p w14:paraId="355F0D18">
            <w:pPr>
              <w:keepNext w:val="0"/>
              <w:keepLines w:val="0"/>
              <w:pageBreakBefore w:val="0"/>
              <w:widowControl w:val="0"/>
              <w:kinsoku/>
              <w:wordWrap/>
              <w:overflowPunct/>
              <w:topLinePunct w:val="0"/>
              <w:autoSpaceDE/>
              <w:autoSpaceDN/>
              <w:bidi w:val="0"/>
              <w:adjustRightInd/>
              <w:snapToGrid/>
              <w:spacing w:line="240" w:lineRule="auto"/>
              <w:ind w:left="-9" w:leftChars="-4" w:hanging="1"/>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tc>
      </w:tr>
      <w:tr w14:paraId="54653CE0">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4D362EC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招 标</w:t>
            </w:r>
            <w:r>
              <w:rPr>
                <w:rFonts w:hint="eastAsia" w:ascii="宋体" w:hAnsi="宋体" w:eastAsia="宋体" w:cs="宋体"/>
                <w:color w:val="000000" w:themeColor="text1"/>
                <w:kern w:val="0"/>
                <w:sz w:val="28"/>
                <w:highlight w:val="none"/>
                <w14:textFill>
                  <w14:solidFill>
                    <w14:schemeClr w14:val="tx1"/>
                  </w14:solidFill>
                </w14:textFill>
              </w:rPr>
              <w:t xml:space="preserve"> 人:</w:t>
            </w:r>
          </w:p>
        </w:tc>
        <w:tc>
          <w:tcPr>
            <w:tcW w:w="5812" w:type="dxa"/>
            <w:noWrap w:val="0"/>
            <w:vAlign w:val="center"/>
          </w:tcPr>
          <w:p w14:paraId="76A8C2CE">
            <w:pPr>
              <w:keepNext w:val="0"/>
              <w:keepLines w:val="0"/>
              <w:pageBreakBefore w:val="0"/>
              <w:widowControl w:val="0"/>
              <w:kinsoku/>
              <w:wordWrap/>
              <w:overflowPunct/>
              <w:topLinePunct w:val="0"/>
              <w:autoSpaceDE/>
              <w:autoSpaceDN/>
              <w:bidi w:val="0"/>
              <w:adjustRightInd/>
              <w:snapToGrid/>
              <w:spacing w:line="240" w:lineRule="auto"/>
              <w:ind w:left="140" w:right="192" w:rightChars="80" w:hanging="140" w:hangingChars="50"/>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苍南县</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测绘院</w:t>
            </w:r>
          </w:p>
        </w:tc>
      </w:tr>
      <w:tr w14:paraId="6F75356B">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5183D28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联 系 人:</w:t>
            </w:r>
          </w:p>
        </w:tc>
        <w:tc>
          <w:tcPr>
            <w:tcW w:w="5812" w:type="dxa"/>
            <w:noWrap w:val="0"/>
            <w:vAlign w:val="center"/>
          </w:tcPr>
          <w:p w14:paraId="4741FC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许先生</w:t>
            </w:r>
          </w:p>
        </w:tc>
      </w:tr>
      <w:tr w14:paraId="35E22612">
        <w:tblPrEx>
          <w:tblCellMar>
            <w:top w:w="0" w:type="dxa"/>
            <w:left w:w="108" w:type="dxa"/>
            <w:bottom w:w="0" w:type="dxa"/>
            <w:right w:w="108" w:type="dxa"/>
          </w:tblCellMar>
        </w:tblPrEx>
        <w:trPr>
          <w:gridAfter w:val="1"/>
          <w:wAfter w:w="757" w:type="dxa"/>
          <w:trHeight w:val="455" w:hRule="atLeast"/>
        </w:trPr>
        <w:tc>
          <w:tcPr>
            <w:tcW w:w="1843" w:type="dxa"/>
            <w:noWrap w:val="0"/>
            <w:vAlign w:val="center"/>
          </w:tcPr>
          <w:p w14:paraId="1CD7DE1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5812" w:type="dxa"/>
            <w:noWrap w:val="0"/>
            <w:vAlign w:val="center"/>
          </w:tcPr>
          <w:p w14:paraId="055A7A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r>
      <w:tr w14:paraId="0A7EADD6">
        <w:tblPrEx>
          <w:tblCellMar>
            <w:top w:w="0" w:type="dxa"/>
            <w:left w:w="108" w:type="dxa"/>
            <w:bottom w:w="0" w:type="dxa"/>
            <w:right w:w="108" w:type="dxa"/>
          </w:tblCellMar>
        </w:tblPrEx>
        <w:trPr>
          <w:gridAfter w:val="1"/>
          <w:wAfter w:w="757" w:type="dxa"/>
          <w:trHeight w:val="455" w:hRule="atLeast"/>
        </w:trPr>
        <w:tc>
          <w:tcPr>
            <w:tcW w:w="1843" w:type="dxa"/>
            <w:noWrap w:val="0"/>
            <w:vAlign w:val="center"/>
          </w:tcPr>
          <w:p w14:paraId="0D8DA13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5812" w:type="dxa"/>
            <w:noWrap w:val="0"/>
            <w:vAlign w:val="center"/>
          </w:tcPr>
          <w:p w14:paraId="475D4A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r>
      <w:tr w14:paraId="74397A23">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2CB4712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代理机构:</w:t>
            </w:r>
          </w:p>
        </w:tc>
        <w:tc>
          <w:tcPr>
            <w:tcW w:w="5812" w:type="dxa"/>
            <w:noWrap w:val="0"/>
            <w:vAlign w:val="center"/>
          </w:tcPr>
          <w:p w14:paraId="6C42C0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eastAsia="zh-CN"/>
                <w14:textFill>
                  <w14:solidFill>
                    <w14:schemeClr w14:val="tx1"/>
                  </w14:solidFill>
                </w14:textFill>
              </w:rPr>
              <w:t>浙江之信工程项目管理有限公司</w:t>
            </w:r>
          </w:p>
        </w:tc>
      </w:tr>
      <w:tr w14:paraId="3DF8A46E">
        <w:tblPrEx>
          <w:tblCellMar>
            <w:top w:w="0" w:type="dxa"/>
            <w:left w:w="108" w:type="dxa"/>
            <w:bottom w:w="0" w:type="dxa"/>
            <w:right w:w="108" w:type="dxa"/>
          </w:tblCellMar>
        </w:tblPrEx>
        <w:trPr>
          <w:gridAfter w:val="1"/>
          <w:wAfter w:w="757" w:type="dxa"/>
          <w:trHeight w:val="552" w:hRule="atLeast"/>
        </w:trPr>
        <w:tc>
          <w:tcPr>
            <w:tcW w:w="1843" w:type="dxa"/>
            <w:noWrap w:val="0"/>
            <w:vAlign w:val="center"/>
          </w:tcPr>
          <w:p w14:paraId="2A8D235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联 系 人:</w:t>
            </w:r>
          </w:p>
        </w:tc>
        <w:tc>
          <w:tcPr>
            <w:tcW w:w="5812" w:type="dxa"/>
            <w:noWrap w:val="0"/>
            <w:vAlign w:val="center"/>
          </w:tcPr>
          <w:p w14:paraId="0C9827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朱先生</w:t>
            </w:r>
          </w:p>
        </w:tc>
      </w:tr>
      <w:tr w14:paraId="5F02F8DE">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1D99DB0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联系电话:</w:t>
            </w:r>
          </w:p>
        </w:tc>
        <w:tc>
          <w:tcPr>
            <w:tcW w:w="5812" w:type="dxa"/>
            <w:noWrap w:val="0"/>
            <w:vAlign w:val="center"/>
          </w:tcPr>
          <w:p w14:paraId="3AC245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eastAsia="zh-CN"/>
                <w14:textFill>
                  <w14:solidFill>
                    <w14:schemeClr w14:val="tx1"/>
                  </w14:solidFill>
                </w14:textFill>
              </w:rPr>
              <w:t>0577-68810100</w:t>
            </w:r>
          </w:p>
        </w:tc>
      </w:tr>
      <w:tr w14:paraId="4739C060">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3677EB0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c>
          <w:tcPr>
            <w:tcW w:w="5812" w:type="dxa"/>
            <w:noWrap w:val="0"/>
            <w:vAlign w:val="center"/>
          </w:tcPr>
          <w:p w14:paraId="35410C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14:textFill>
                  <w14:solidFill>
                    <w14:schemeClr w14:val="tx1"/>
                  </w14:solidFill>
                </w14:textFill>
              </w:rPr>
            </w:pPr>
          </w:p>
        </w:tc>
      </w:tr>
      <w:tr w14:paraId="6BDFA642">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04AE18D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c>
          <w:tcPr>
            <w:tcW w:w="5812" w:type="dxa"/>
            <w:noWrap w:val="0"/>
            <w:vAlign w:val="center"/>
          </w:tcPr>
          <w:p w14:paraId="7F6626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14:textFill>
                  <w14:solidFill>
                    <w14:schemeClr w14:val="tx1"/>
                  </w14:solidFill>
                </w14:textFill>
              </w:rPr>
            </w:pPr>
          </w:p>
        </w:tc>
      </w:tr>
      <w:tr w14:paraId="2C288E41">
        <w:tblPrEx>
          <w:tblCellMar>
            <w:top w:w="0" w:type="dxa"/>
            <w:left w:w="108" w:type="dxa"/>
            <w:bottom w:w="0" w:type="dxa"/>
            <w:right w:w="108" w:type="dxa"/>
          </w:tblCellMar>
        </w:tblPrEx>
        <w:tc>
          <w:tcPr>
            <w:tcW w:w="1843" w:type="dxa"/>
            <w:noWrap w:val="0"/>
            <w:vAlign w:val="center"/>
          </w:tcPr>
          <w:p w14:paraId="143738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w w:val="90"/>
                <w:kern w:val="0"/>
                <w:sz w:val="28"/>
                <w:szCs w:val="30"/>
                <w:highlight w:val="none"/>
                <w:lang w:val="en-US" w:eastAsia="zh-CN"/>
                <w14:textFill>
                  <w14:solidFill>
                    <w14:schemeClr w14:val="tx1"/>
                  </w14:solidFill>
                </w14:textFill>
              </w:rPr>
            </w:pPr>
          </w:p>
        </w:tc>
        <w:tc>
          <w:tcPr>
            <w:tcW w:w="6569" w:type="dxa"/>
            <w:gridSpan w:val="2"/>
            <w:noWrap w:val="0"/>
            <w:vAlign w:val="center"/>
          </w:tcPr>
          <w:p w14:paraId="4B15F3C5">
            <w:pPr>
              <w:keepNext w:val="0"/>
              <w:keepLines w:val="0"/>
              <w:pageBreakBefore w:val="0"/>
              <w:widowControl w:val="0"/>
              <w:kinsoku/>
              <w:wordWrap/>
              <w:overflowPunct/>
              <w:topLinePunct w:val="0"/>
              <w:autoSpaceDE/>
              <w:autoSpaceDN/>
              <w:bidi w:val="0"/>
              <w:adjustRightInd/>
              <w:snapToGrid/>
              <w:spacing w:before="313" w:beforeLines="100" w:line="240" w:lineRule="auto"/>
              <w:ind w:firstLine="840" w:firstLineChars="300"/>
              <w:jc w:val="left"/>
              <w:textAlignment w:val="auto"/>
              <w:rPr>
                <w:rFonts w:hint="eastAsia" w:ascii="宋体" w:hAnsi="宋体" w:eastAsia="宋体" w:cs="宋体"/>
                <w:color w:val="000000" w:themeColor="text1"/>
                <w:w w:val="90"/>
                <w:kern w:val="0"/>
                <w:sz w:val="28"/>
                <w:szCs w:val="30"/>
                <w:highlight w:val="none"/>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日 期：</w:t>
            </w:r>
            <w:r>
              <w:rPr>
                <w:rFonts w:hint="eastAsia" w:ascii="宋体" w:hAnsi="宋体" w:eastAsia="宋体" w:cs="宋体"/>
                <w:color w:val="000000" w:themeColor="text1"/>
                <w:kern w:val="0"/>
                <w:sz w:val="28"/>
                <w:highlight w:val="none"/>
                <w14:textFill>
                  <w14:solidFill>
                    <w14:schemeClr w14:val="tx1"/>
                  </w14:solidFill>
                </w14:textFill>
              </w:rPr>
              <w:t>二○</w:t>
            </w:r>
            <w:r>
              <w:rPr>
                <w:rFonts w:hint="eastAsia" w:ascii="宋体" w:hAnsi="宋体" w:eastAsia="宋体" w:cs="宋体"/>
                <w:color w:val="000000" w:themeColor="text1"/>
                <w:kern w:val="0"/>
                <w:sz w:val="28"/>
                <w:highlight w:val="none"/>
                <w:lang w:val="en-US" w:eastAsia="zh-CN"/>
                <w14:textFill>
                  <w14:solidFill>
                    <w14:schemeClr w14:val="tx1"/>
                  </w14:solidFill>
                </w14:textFill>
              </w:rPr>
              <w:t>二五</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eastAsia="宋体" w:cs="宋体"/>
                <w:color w:val="000000" w:themeColor="text1"/>
                <w:kern w:val="0"/>
                <w:sz w:val="28"/>
                <w:highlight w:val="none"/>
                <w:lang w:val="en-US" w:eastAsia="zh-CN"/>
                <w14:textFill>
                  <w14:solidFill>
                    <w14:schemeClr w14:val="tx1"/>
                  </w14:solidFill>
                </w14:textFill>
              </w:rPr>
              <w:t>六</w:t>
            </w:r>
            <w:r>
              <w:rPr>
                <w:rFonts w:hint="eastAsia" w:ascii="宋体" w:hAnsi="宋体" w:eastAsia="宋体" w:cs="宋体"/>
                <w:color w:val="000000" w:themeColor="text1"/>
                <w:kern w:val="0"/>
                <w:sz w:val="28"/>
                <w:highlight w:val="none"/>
                <w14:textFill>
                  <w14:solidFill>
                    <w14:schemeClr w14:val="tx1"/>
                  </w14:solidFill>
                </w14:textFill>
              </w:rPr>
              <w:t>月</w:t>
            </w:r>
          </w:p>
        </w:tc>
      </w:tr>
    </w:tbl>
    <w:p w14:paraId="09233D2E">
      <w:pPr>
        <w:jc w:val="center"/>
        <w:rPr>
          <w:rFonts w:hint="eastAsia" w:ascii="宋体" w:hAnsi="宋体" w:eastAsia="宋体" w:cs="宋体"/>
          <w:b/>
          <w:color w:val="000000" w:themeColor="text1"/>
          <w:sz w:val="44"/>
          <w:szCs w:val="44"/>
          <w:highlight w:val="none"/>
          <w14:textFill>
            <w14:solidFill>
              <w14:schemeClr w14:val="tx1"/>
            </w14:solidFill>
          </w14:textFill>
        </w:rPr>
        <w:sectPr>
          <w:headerReference r:id="rId5" w:type="default"/>
          <w:pgSz w:w="11906" w:h="16838"/>
          <w:pgMar w:top="1440" w:right="1418" w:bottom="1440" w:left="1559" w:header="851" w:footer="992" w:gutter="0"/>
          <w:pgNumType w:fmt="decimal" w:start="1"/>
          <w:cols w:space="720" w:num="1"/>
          <w:docGrid w:linePitch="312" w:charSpace="0"/>
        </w:sectPr>
      </w:pPr>
    </w:p>
    <w:p w14:paraId="1B9A7E0C">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p>
    <w:p w14:paraId="7192845F">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2"/>
          <w:szCs w:val="22"/>
          <w:highlight w:val="none"/>
          <w14:textFill>
            <w14:solidFill>
              <w14:schemeClr w14:val="tx1"/>
            </w14:solidFill>
          </w14:textFill>
        </w:rPr>
        <w:fldChar w:fldCharType="begin"/>
      </w:r>
      <w:r>
        <w:rPr>
          <w:rFonts w:hint="eastAsia" w:ascii="宋体" w:hAnsi="宋体" w:eastAsia="宋体" w:cs="宋体"/>
          <w:bCs w:val="0"/>
          <w:caps w:val="0"/>
          <w:color w:val="000000" w:themeColor="text1"/>
          <w:sz w:val="22"/>
          <w:szCs w:val="22"/>
          <w:highlight w:val="none"/>
          <w14:textFill>
            <w14:solidFill>
              <w14:schemeClr w14:val="tx1"/>
            </w14:solidFill>
          </w14:textFill>
        </w:rPr>
        <w:instrText xml:space="preserve"> TOC \o "1-2" \h \z \u </w:instrText>
      </w:r>
      <w:r>
        <w:rPr>
          <w:rFonts w:hint="eastAsia" w:ascii="宋体" w:hAnsi="宋体" w:eastAsia="宋体" w:cs="宋体"/>
          <w:bCs w:val="0"/>
          <w:caps w:val="0"/>
          <w:color w:val="000000" w:themeColor="text1"/>
          <w:sz w:val="22"/>
          <w:szCs w:val="22"/>
          <w:highlight w:val="none"/>
          <w14:textFill>
            <w14:solidFill>
              <w14:schemeClr w14:val="tx1"/>
            </w14:solidFill>
          </w14:textFill>
        </w:rPr>
        <w:fldChar w:fldCharType="separate"/>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_Toc12262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xml:space="preserve">第一章 </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_Toc12262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58FB7CF8">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_Toc2766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招标</w:t>
      </w:r>
      <w:r>
        <w:rPr>
          <w:rFonts w:hint="eastAsia" w:ascii="宋体" w:hAnsi="宋体" w:eastAsia="宋体" w:cs="宋体"/>
          <w:color w:val="000000" w:themeColor="text1"/>
          <w:sz w:val="24"/>
          <w:szCs w:val="24"/>
          <w:highlight w:val="none"/>
          <w:lang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_Toc2766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2FD77213">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_Toc25328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b/>
          <w:bCs w:val="0"/>
          <w:caps/>
          <w:color w:val="000000" w:themeColor="text1"/>
          <w:sz w:val="24"/>
          <w:szCs w:val="24"/>
          <w:highlight w:val="none"/>
          <w:lang w:val="en-US" w:eastAsia="zh-CN"/>
          <w14:textFill>
            <w14:solidFill>
              <w14:schemeClr w14:val="tx1"/>
            </w14:solidFill>
          </w14:textFill>
        </w:rPr>
        <w:t>3</w:t>
      </w:r>
    </w:p>
    <w:p w14:paraId="16D41E4C">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_Toc31468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定义及解释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b/>
          <w:bCs w:val="0"/>
          <w:caps/>
          <w:color w:val="000000" w:themeColor="text1"/>
          <w:sz w:val="24"/>
          <w:szCs w:val="24"/>
          <w:highlight w:val="none"/>
          <w:lang w:val="en-US" w:eastAsia="zh-CN"/>
          <w14:textFill>
            <w14:solidFill>
              <w14:schemeClr w14:val="tx1"/>
            </w14:solidFill>
          </w14:textFill>
        </w:rPr>
        <w:t>3</w:t>
      </w:r>
    </w:p>
    <w:p w14:paraId="7339059B">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_Toc14104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ap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_Toc14104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382C47B1">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_Toc25735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第三章 投标须知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_Toc25735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47D0C820">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_Toc13057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一、总则</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_Toc13057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499C1129">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_Toc12657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二、《招标文件》组成与说明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_Toc12657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61D2977F">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_Toc28150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三、《投标文件》的编制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_Toc28150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40352C56">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_Toc28826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四、开标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_Toc28826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0FC0E53C">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_Toc24835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五、评标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_Toc24835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34B9429C">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_Toc1015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结果发布</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_Toc1015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58E404EE">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_Toc26366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七、合同授予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_Toc26366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4817EAE4">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_Toc8437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第四章 评审办法及标准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_Toc8437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75711CE6">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_Toc13793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第五章 合同主要条款</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_Toc13793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438AB206">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_Toc10968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第六章 投标文件格式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_Toc10968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25899D02">
      <w:pPr>
        <w:pStyle w:val="34"/>
        <w:tabs>
          <w:tab w:val="right" w:leader="dot" w:pos="8930"/>
          <w:tab w:val="clear" w:pos="8931"/>
        </w:tabs>
        <w:ind w:left="0"/>
        <w:rPr>
          <w:rFonts w:hint="eastAsia" w:ascii="宋体" w:hAnsi="宋体" w:eastAsia="宋体" w:cs="宋体"/>
          <w:color w:val="000000" w:themeColor="text1"/>
          <w:highlight w:val="none"/>
          <w14:textFill>
            <w14:solidFill>
              <w14:schemeClr w14:val="tx1"/>
            </w14:solidFill>
          </w14:textFill>
        </w:rPr>
      </w:pPr>
    </w:p>
    <w:p w14:paraId="33C66CF6">
      <w:pPr>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aps/>
          <w:color w:val="000000" w:themeColor="text1"/>
          <w:sz w:val="22"/>
          <w:szCs w:val="22"/>
          <w:highlight w:val="none"/>
          <w14:textFill>
            <w14:solidFill>
              <w14:schemeClr w14:val="tx1"/>
            </w14:solidFill>
          </w14:textFill>
        </w:rPr>
        <w:fldChar w:fldCharType="end"/>
      </w:r>
    </w:p>
    <w:p w14:paraId="2E049AF6">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重要提醒：《招标文件》中部分加“▲”、加粗及加下划线的条款着重提请各供应商注意，请各供应商认真查看《招标文件》中的每一个条款及要求，因误读、漏读、错读《招标文件》内容而造成的一切后果，由供应商自行承担，</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招标</w:t>
      </w:r>
      <w:r>
        <w:rPr>
          <w:rFonts w:hint="eastAsia" w:ascii="宋体" w:hAnsi="宋体" w:eastAsia="宋体" w:cs="宋体"/>
          <w:b/>
          <w:color w:val="000000" w:themeColor="text1"/>
          <w:sz w:val="22"/>
          <w:szCs w:val="22"/>
          <w:highlight w:val="none"/>
          <w:u w:val="single"/>
          <w14:textFill>
            <w14:solidFill>
              <w14:schemeClr w14:val="tx1"/>
            </w14:solidFill>
          </w14:textFill>
        </w:rPr>
        <w:t>组织机构概不负责。</w:t>
      </w:r>
    </w:p>
    <w:p w14:paraId="0EEEE717">
      <w:pPr>
        <w:rPr>
          <w:rFonts w:hint="eastAsia" w:ascii="宋体" w:hAnsi="宋体" w:eastAsia="宋体" w:cs="宋体"/>
          <w:color w:val="000000" w:themeColor="text1"/>
          <w:kern w:val="0"/>
          <w:sz w:val="24"/>
          <w:highlight w:val="none"/>
          <w14:textFill>
            <w14:solidFill>
              <w14:schemeClr w14:val="tx1"/>
            </w14:solidFill>
          </w14:textFill>
        </w:rPr>
      </w:pPr>
    </w:p>
    <w:p w14:paraId="475A82C4">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74251687">
      <w:pPr>
        <w:rPr>
          <w:rFonts w:hint="eastAsia" w:ascii="宋体" w:hAnsi="宋体" w:eastAsia="宋体" w:cs="宋体"/>
          <w:color w:val="000000" w:themeColor="text1"/>
          <w:highlight w:val="none"/>
          <w:lang w:val="en-US" w:eastAsia="zh-CN"/>
          <w14:textFill>
            <w14:solidFill>
              <w14:schemeClr w14:val="tx1"/>
            </w14:solidFill>
          </w14:textFill>
        </w:rPr>
      </w:pPr>
    </w:p>
    <w:p w14:paraId="4D886491">
      <w:pPr>
        <w:pStyle w:val="37"/>
        <w:rPr>
          <w:rFonts w:hint="eastAsia" w:ascii="宋体" w:hAnsi="宋体" w:eastAsia="宋体" w:cs="宋体"/>
          <w:color w:val="000000" w:themeColor="text1"/>
          <w:highlight w:val="none"/>
          <w14:textFill>
            <w14:solidFill>
              <w14:schemeClr w14:val="tx1"/>
            </w14:solidFill>
          </w14:textFill>
        </w:rPr>
      </w:pPr>
      <w:bookmarkStart w:id="0" w:name="_Toc13522"/>
      <w:bookmarkStart w:id="1" w:name="_Toc26199"/>
      <w:bookmarkStart w:id="2" w:name="_Toc446950593"/>
      <w:bookmarkStart w:id="3" w:name="_Toc440162775"/>
      <w:bookmarkStart w:id="4" w:name="_Toc20496"/>
      <w:bookmarkStart w:id="5" w:name="_Toc452032110"/>
      <w:bookmarkStart w:id="6" w:name="_Toc12262"/>
      <w:bookmarkStart w:id="7" w:name="_Toc27953"/>
      <w:bookmarkStart w:id="8" w:name="_Toc424164130"/>
    </w:p>
    <w:p w14:paraId="4CA1857A">
      <w:pPr>
        <w:pStyle w:val="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第一章 </w:t>
      </w:r>
      <w:bookmarkEnd w:id="0"/>
      <w:bookmarkEnd w:id="1"/>
      <w:bookmarkEnd w:id="2"/>
      <w:bookmarkEnd w:id="3"/>
      <w:bookmarkEnd w:id="4"/>
      <w:bookmarkEnd w:id="5"/>
      <w:bookmarkEnd w:id="6"/>
      <w:bookmarkEnd w:id="7"/>
      <w:bookmarkEnd w:id="8"/>
      <w:bookmarkStart w:id="9" w:name="_Toc446950594"/>
      <w:bookmarkStart w:id="10" w:name="_Toc440162776"/>
      <w:bookmarkStart w:id="11" w:name="_Toc32748"/>
      <w:bookmarkStart w:id="12" w:name="_Toc3926"/>
      <w:bookmarkStart w:id="13" w:name="_Toc424164131"/>
      <w:bookmarkStart w:id="14" w:name="_Toc2766"/>
      <w:bookmarkStart w:id="15" w:name="_Toc452032111"/>
      <w:bookmarkStart w:id="16" w:name="_Toc5429"/>
      <w:bookmarkStart w:id="17" w:name="_Toc32482"/>
      <w:r>
        <w:rPr>
          <w:rFonts w:hint="eastAsia" w:ascii="宋体" w:hAnsi="宋体" w:eastAsia="宋体" w:cs="宋体"/>
          <w:color w:val="000000" w:themeColor="text1"/>
          <w:highlight w:val="none"/>
          <w:lang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公告</w:t>
      </w:r>
    </w:p>
    <w:p w14:paraId="54987F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浙江省财政厅关于印发浙江省省级行政事业单位公款竞争性存放管理办法的通知》（浙财预执〔2021〕7号）、《苍南县县级预算单位公款竞争性存放管理暂行办法》（苍政办〔2019〕7号）等有关规定，浙江之信工程项目管理有限公司</w:t>
      </w:r>
      <w:r>
        <w:rPr>
          <w:rFonts w:hint="eastAsia" w:ascii="宋体" w:hAnsi="宋体" w:eastAsia="宋体" w:cs="宋体"/>
          <w:color w:val="000000" w:themeColor="text1"/>
          <w:sz w:val="24"/>
          <w:szCs w:val="24"/>
          <w:highlight w:val="none"/>
          <w14:textFill>
            <w14:solidFill>
              <w14:schemeClr w14:val="tx1"/>
            </w14:solidFill>
          </w14:textFill>
        </w:rPr>
        <w:t>受</w:t>
      </w:r>
      <w:r>
        <w:rPr>
          <w:rFonts w:hint="eastAsia" w:ascii="宋体" w:hAnsi="宋体" w:eastAsia="宋体" w:cs="宋体"/>
          <w:color w:val="000000" w:themeColor="text1"/>
          <w:sz w:val="24"/>
          <w:szCs w:val="24"/>
          <w:highlight w:val="none"/>
          <w:lang w:eastAsia="zh-CN"/>
          <w14:textFill>
            <w14:solidFill>
              <w14:schemeClr w14:val="tx1"/>
            </w14:solidFill>
          </w14:textFill>
        </w:rPr>
        <w:t>苍南县测绘院</w:t>
      </w:r>
      <w:r>
        <w:rPr>
          <w:rFonts w:hint="eastAsia" w:ascii="宋体" w:hAnsi="宋体" w:eastAsia="宋体" w:cs="宋体"/>
          <w:color w:val="000000" w:themeColor="text1"/>
          <w:sz w:val="24"/>
          <w:szCs w:val="24"/>
          <w:highlight w:val="none"/>
          <w14:textFill>
            <w14:solidFill>
              <w14:schemeClr w14:val="tx1"/>
            </w14:solidFill>
          </w14:textFill>
        </w:rPr>
        <w:t>委托，就</w:t>
      </w:r>
      <w:r>
        <w:rPr>
          <w:rFonts w:hint="eastAsia" w:ascii="宋体" w:hAnsi="宋体" w:eastAsia="宋体" w:cs="宋体"/>
          <w:color w:val="000000" w:themeColor="text1"/>
          <w:sz w:val="24"/>
          <w:szCs w:val="24"/>
          <w:highlight w:val="non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sz w:val="24"/>
          <w:szCs w:val="24"/>
          <w:highlight w:val="none"/>
          <w14:textFill>
            <w14:solidFill>
              <w14:schemeClr w14:val="tx1"/>
            </w14:solidFill>
          </w14:textFill>
        </w:rPr>
        <w:t>进行公开招标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欢迎符合条件的银行机构</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参加</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7011E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b/>
          <w:color w:val="000000" w:themeColor="text1"/>
          <w:sz w:val="24"/>
          <w:szCs w:val="24"/>
          <w:highlight w:val="none"/>
          <w14:textFill>
            <w14:solidFill>
              <w14:schemeClr w14:val="tx1"/>
            </w14:solidFill>
          </w14:textFill>
        </w:rPr>
        <w:t>项目名称</w:t>
      </w:r>
      <w:r>
        <w:rPr>
          <w:rFonts w:hint="eastAsia" w:ascii="宋体" w:hAnsi="宋体" w:eastAsia="宋体" w:cs="宋体"/>
          <w:b/>
          <w:color w:val="000000" w:themeColor="text1"/>
          <w:sz w:val="24"/>
          <w:szCs w:val="24"/>
          <w:highlight w:val="none"/>
          <w:lang w:eastAsia="zh-CN"/>
          <w14:textFill>
            <w14:solidFill>
              <w14:schemeClr w14:val="tx1"/>
            </w14:solidFill>
          </w14:textFill>
        </w:rPr>
        <w:t>：2025年度苍南县测绘院公款竞争性存放项目</w:t>
      </w:r>
    </w:p>
    <w:p w14:paraId="4005D7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项目编号</w:t>
      </w:r>
      <w:r>
        <w:rPr>
          <w:rFonts w:hint="eastAsia" w:ascii="宋体" w:hAnsi="宋体" w:eastAsia="宋体" w:cs="宋体"/>
          <w:b/>
          <w:color w:val="000000" w:themeColor="text1"/>
          <w:sz w:val="24"/>
          <w:szCs w:val="24"/>
          <w:highlight w:val="none"/>
          <w:lang w:eastAsia="zh-CN"/>
          <w14:textFill>
            <w14:solidFill>
              <w14:schemeClr w14:val="tx1"/>
            </w14:solidFill>
          </w14:textFill>
        </w:rPr>
        <w:t>：苍产告字[2025]13-1号</w:t>
      </w:r>
    </w:p>
    <w:p w14:paraId="006FE0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三、招标内容</w:t>
      </w:r>
    </w:p>
    <w:p w14:paraId="2C31F662">
      <w:pPr>
        <w:pStyle w:val="22"/>
        <w:keepNext w:val="0"/>
        <w:keepLines w:val="0"/>
        <w:pageBreakBefore w:val="0"/>
        <w:widowControl w:val="0"/>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本项目招标内容为</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2025年度苍南县测绘院公款竞争性存放项目</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，定期1年，分成2个标段（</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万元），标段一：</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1000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万元、标段二：</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w:t>
      </w:r>
    </w:p>
    <w:p w14:paraId="48277A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投标银行基本条件要求：</w:t>
      </w:r>
    </w:p>
    <w:p w14:paraId="3B6B91A4">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投标银行应符合《苍南县县级预算单位公款竞争性存放管理暂行办法》（苍政办〔2019〕7号）等规定的基本条件，具体包括：</w:t>
      </w:r>
    </w:p>
    <w:p w14:paraId="7BF9B703">
      <w:pPr>
        <w:pStyle w:val="2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温州市苍南县</w:t>
      </w:r>
      <w:r>
        <w:rPr>
          <w:rFonts w:hint="eastAsia" w:ascii="宋体" w:hAnsi="宋体" w:eastAsia="宋体" w:cs="宋体"/>
          <w:color w:val="000000" w:themeColor="text1"/>
          <w:sz w:val="24"/>
          <w:szCs w:val="24"/>
          <w:highlight w:val="none"/>
          <w14:textFill>
            <w14:solidFill>
              <w14:schemeClr w14:val="tx1"/>
            </w14:solidFill>
          </w14:textFill>
        </w:rPr>
        <w:t>设有分支机构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52B9BC">
      <w:pPr>
        <w:pStyle w:val="2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依法开展经营活动，</w:t>
      </w:r>
      <w:r>
        <w:rPr>
          <w:rFonts w:hint="eastAsia" w:ascii="宋体" w:hAnsi="宋体" w:eastAsia="宋体" w:cs="宋体"/>
          <w:color w:val="000000" w:themeColor="text1"/>
          <w:sz w:val="24"/>
          <w:szCs w:val="24"/>
          <w:highlight w:val="none"/>
          <w:lang w:eastAsia="zh-CN"/>
          <w14:textFill>
            <w14:solidFill>
              <w14:schemeClr w14:val="tx1"/>
            </w14:solidFill>
          </w14:textFill>
        </w:rPr>
        <w:t>近3年内在经营活动中无重大违法违规记录；</w:t>
      </w:r>
    </w:p>
    <w:p w14:paraId="0F9FFC81">
      <w:pPr>
        <w:pStyle w:val="2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内部管理机制健全，具有较强的风险控制能力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1FC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招标文件获取</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时间、方式及地址</w:t>
      </w:r>
      <w:r>
        <w:rPr>
          <w:rFonts w:hint="eastAsia" w:ascii="宋体" w:hAnsi="宋体" w:eastAsia="宋体" w:cs="宋体"/>
          <w:color w:val="000000" w:themeColor="text1"/>
          <w:highlight w:val="none"/>
          <w14:textFill>
            <w14:solidFill>
              <w14:schemeClr w14:val="tx1"/>
            </w14:solidFill>
          </w14:textFill>
        </w:rPr>
        <w:t>：</w:t>
      </w:r>
    </w:p>
    <w:p w14:paraId="612188D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1、获取时间：</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2025-6-30至</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（双休日及法定节假日除外）</w:t>
      </w:r>
    </w:p>
    <w:p w14:paraId="508AA41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上午：9:00-11:30，下午：14:00-17:30</w:t>
      </w:r>
    </w:p>
    <w:p w14:paraId="735D5F0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2、获取地址：浙江政府采购网、苍南县人民政府门户网站</w:t>
      </w:r>
    </w:p>
    <w:p w14:paraId="62DADB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3、获取文件方式：自行下载</w:t>
      </w:r>
    </w:p>
    <w:p w14:paraId="34C1F7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六、投标截止时间：</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:30</w:t>
      </w:r>
    </w:p>
    <w:p w14:paraId="102199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投标地址：</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苍南县公共资源交易中心（苍南县灵溪镇春晖路公投大厦）1楼大厅收标区</w:t>
      </w:r>
    </w:p>
    <w:p w14:paraId="5EFD72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开标时间：</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:30</w:t>
      </w:r>
    </w:p>
    <w:p w14:paraId="672D2C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九</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开标地址：</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苍南县公共资源交易中心（苍南县灵溪镇春晖路公投大厦）</w:t>
      </w:r>
    </w:p>
    <w:p w14:paraId="3D19C7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其他事项：</w:t>
      </w:r>
    </w:p>
    <w:p w14:paraId="27C1F0FC">
      <w:pPr>
        <w:keepNext w:val="0"/>
        <w:keepLines w:val="0"/>
        <w:pageBreakBefore w:val="0"/>
        <w:widowControl w:val="0"/>
        <w:kinsoku/>
        <w:wordWrap/>
        <w:overflowPunct/>
        <w:topLinePunct w:val="0"/>
        <w:autoSpaceDE/>
        <w:autoSpaceDN/>
        <w:bidi w:val="0"/>
        <w:adjustRightInd/>
        <w:snapToGrid/>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、本公告发布媒体：</w:t>
      </w:r>
      <w:r>
        <w:rPr>
          <w:rFonts w:hint="eastAsia" w:ascii="宋体" w:hAnsi="宋体" w:eastAsia="宋体" w:cs="宋体"/>
          <w:color w:val="000000" w:themeColor="text1"/>
          <w:sz w:val="24"/>
          <w:szCs w:val="24"/>
          <w:highlight w:val="none"/>
          <w:lang w:eastAsia="zh-CN"/>
          <w14:textFill>
            <w14:solidFill>
              <w14:schemeClr w14:val="tx1"/>
            </w14:solidFill>
          </w14:textFill>
        </w:rPr>
        <w:t>浙江政府采购网、</w:t>
      </w:r>
      <w:r>
        <w:rPr>
          <w:rFonts w:hint="eastAsia" w:ascii="宋体" w:hAnsi="宋体" w:eastAsia="宋体" w:cs="宋体"/>
          <w:color w:val="000000" w:themeColor="text1"/>
          <w:sz w:val="24"/>
          <w:szCs w:val="24"/>
          <w:highlight w:val="none"/>
          <w:lang w:val="en-US" w:eastAsia="zh-CN"/>
          <w14:textFill>
            <w14:solidFill>
              <w14:schemeClr w14:val="tx1"/>
            </w14:solidFill>
          </w14:textFill>
        </w:rPr>
        <w:t>苍南县人民政府门户网站</w:t>
      </w:r>
      <w:r>
        <w:rPr>
          <w:rFonts w:hint="eastAsia" w:ascii="宋体" w:hAnsi="宋体" w:eastAsia="宋体" w:cs="宋体"/>
          <w:color w:val="000000" w:themeColor="text1"/>
          <w:sz w:val="24"/>
          <w:szCs w:val="24"/>
          <w:highlight w:val="none"/>
          <w14:textFill>
            <w14:solidFill>
              <w14:schemeClr w14:val="tx1"/>
            </w14:solidFill>
          </w14:textFill>
        </w:rPr>
        <w:t>。</w:t>
      </w:r>
    </w:p>
    <w:p w14:paraId="1AEFC91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、联系方式：</w:t>
      </w:r>
    </w:p>
    <w:p w14:paraId="379EAEEA">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1、招标人名称：</w:t>
      </w:r>
      <w:r>
        <w:rPr>
          <w:rFonts w:hint="eastAsia" w:ascii="宋体" w:hAnsi="宋体" w:eastAsia="宋体" w:cs="宋体"/>
          <w:color w:val="000000" w:themeColor="text1"/>
          <w:sz w:val="24"/>
          <w:szCs w:val="24"/>
          <w:highlight w:val="none"/>
          <w:lang w:eastAsia="zh-CN"/>
          <w14:textFill>
            <w14:solidFill>
              <w14:schemeClr w14:val="tx1"/>
            </w14:solidFill>
          </w14:textFill>
        </w:rPr>
        <w:t>苍南县测绘院</w:t>
      </w:r>
    </w:p>
    <w:p w14:paraId="60AAD11F">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许先生     </w:t>
      </w:r>
    </w:p>
    <w:p w14:paraId="2CCE4D7E">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：苍南县灵溪镇人民大道</w:t>
      </w:r>
    </w:p>
    <w:p w14:paraId="79E84444">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代理机构名称：</w:t>
      </w:r>
      <w:r>
        <w:rPr>
          <w:rFonts w:hint="eastAsia" w:ascii="宋体" w:hAnsi="宋体" w:eastAsia="宋体" w:cs="宋体"/>
          <w:color w:val="000000" w:themeColor="text1"/>
          <w:sz w:val="24"/>
          <w:szCs w:val="24"/>
          <w:highlight w:val="none"/>
          <w:lang w:eastAsia="zh-CN"/>
          <w14:textFill>
            <w14:solidFill>
              <w14:schemeClr w14:val="tx1"/>
            </w14:solidFill>
          </w14:textFill>
        </w:rPr>
        <w:t>浙江之信工程项目管理有限公司</w:t>
      </w:r>
    </w:p>
    <w:p w14:paraId="2FD1442F">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朱先生     </w:t>
      </w:r>
    </w:p>
    <w:p w14:paraId="0E01F46C">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eastAsia="zh-CN"/>
          <w14:textFill>
            <w14:solidFill>
              <w14:schemeClr w14:val="tx1"/>
            </w14:solidFill>
          </w14:textFill>
        </w:rPr>
        <w:t>0577-68810100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8237C41">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苍南县灵溪镇仕华家园3幢一单元301-302室</w:t>
      </w:r>
    </w:p>
    <w:p w14:paraId="72B5EF19">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56734577">
      <w:pPr>
        <w:pStyle w:val="37"/>
        <w:numPr>
          <w:ilvl w:val="0"/>
          <w:numId w:val="4"/>
        </w:num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End w:id="9"/>
      <w:bookmarkEnd w:id="10"/>
      <w:bookmarkEnd w:id="11"/>
      <w:bookmarkEnd w:id="12"/>
      <w:bookmarkEnd w:id="13"/>
      <w:r>
        <w:rPr>
          <w:rFonts w:hint="eastAsia" w:ascii="宋体" w:hAnsi="宋体" w:eastAsia="宋体" w:cs="宋体"/>
          <w:color w:val="000000" w:themeColor="text1"/>
          <w:highlight w:val="none"/>
          <w14:textFill>
            <w14:solidFill>
              <w14:schemeClr w14:val="tx1"/>
            </w14:solidFill>
          </w14:textFill>
        </w:rPr>
        <w:t>招标</w:t>
      </w:r>
      <w:r>
        <w:rPr>
          <w:rFonts w:hint="eastAsia" w:ascii="宋体" w:hAnsi="宋体" w:eastAsia="宋体" w:cs="宋体"/>
          <w:color w:val="000000" w:themeColor="text1"/>
          <w:highlight w:val="none"/>
          <w:lang w:eastAsia="zh-CN"/>
          <w14:textFill>
            <w14:solidFill>
              <w14:schemeClr w14:val="tx1"/>
            </w14:solidFill>
          </w14:textFill>
        </w:rPr>
        <w:t>要求</w:t>
      </w:r>
      <w:bookmarkEnd w:id="14"/>
      <w:bookmarkEnd w:id="15"/>
      <w:bookmarkEnd w:id="16"/>
      <w:bookmarkEnd w:id="17"/>
    </w:p>
    <w:p w14:paraId="33FDC7AB">
      <w:pPr>
        <w:widowControl/>
        <w:numPr>
          <w:ilvl w:val="0"/>
          <w:numId w:val="0"/>
        </w:numPr>
        <w:tabs>
          <w:tab w:val="left" w:pos="618"/>
        </w:tabs>
        <w:snapToGrid w:val="0"/>
        <w:spacing w:line="360" w:lineRule="auto"/>
        <w:ind w:leftChars="0"/>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bookmarkStart w:id="18" w:name="_Toc14911"/>
      <w:bookmarkStart w:id="19" w:name="_Toc16804"/>
      <w:bookmarkStart w:id="20" w:name="_Toc452032115"/>
      <w:bookmarkStart w:id="21" w:name="_Toc14104"/>
      <w:bookmarkStart w:id="22" w:name="_Toc361840245"/>
      <w:bookmarkStart w:id="23" w:name="_Toc267320054"/>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一、说明</w:t>
      </w:r>
    </w:p>
    <w:p w14:paraId="04F3D889">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color w:val="000000" w:themeColor="text1"/>
          <w:kern w:val="2"/>
          <w:sz w:val="24"/>
          <w:szCs w:val="24"/>
          <w:lang w:bidi="ar"/>
          <w14:textFill>
            <w14:solidFill>
              <w14:schemeClr w14:val="tx1"/>
            </w14:solidFill>
          </w14:textFill>
        </w:rPr>
        <w:t>《关于防止领导干部在公款存放方面发生利益冲突和利益输送的办法》(浙委办发〔2015〕8号)、《浙江省财政厅关于印发浙江省省级行政事业单位公款竞争性存放管理办法的通知》（浙财预执〔2021〕7号）、《苍南县县级预算单位公款竞争性存放管理暂行办法》（苍政办〔2019〕7号）等规定</w:t>
      </w:r>
      <w:r>
        <w:rPr>
          <w:rFonts w:hint="eastAsia"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bidi="ar"/>
          <w14:textFill>
            <w14:solidFill>
              <w14:schemeClr w14:val="tx1"/>
            </w14:solidFill>
          </w14:textFill>
        </w:rPr>
        <w:t>尽量满足资金的安全性并结合本项目的实际组织和实施，具体以本招标文件为准。</w:t>
      </w:r>
    </w:p>
    <w:p w14:paraId="780F581E">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bCs/>
          <w:color w:val="000000" w:themeColor="text1"/>
          <w:kern w:val="28"/>
          <w:sz w:val="24"/>
          <w:szCs w:val="24"/>
          <w14:textFill>
            <w14:solidFill>
              <w14:schemeClr w14:val="tx1"/>
            </w14:solidFill>
          </w14:textFill>
        </w:rPr>
        <w:t>：</w:t>
      </w:r>
      <w:r>
        <w:rPr>
          <w:rFonts w:hint="eastAsia" w:ascii="宋体" w:hAnsi="宋体" w:eastAsia="宋体" w:cs="宋体"/>
          <w:bCs/>
          <w:color w:val="000000" w:themeColor="text1"/>
          <w:kern w:val="28"/>
          <w:sz w:val="24"/>
          <w:szCs w:val="24"/>
          <w:lang w:val="en-US" w:eastAsia="zh-CN"/>
          <w14:textFill>
            <w14:solidFill>
              <w14:schemeClr w14:val="tx1"/>
            </w14:solidFill>
          </w14:textFill>
        </w:rPr>
        <w:t>自由资金</w:t>
      </w:r>
      <w:r>
        <w:rPr>
          <w:rFonts w:hint="eastAsia" w:ascii="宋体" w:hAnsi="宋体" w:eastAsia="宋体" w:cs="宋体"/>
          <w:bCs/>
          <w:color w:val="000000" w:themeColor="text1"/>
          <w:kern w:val="28"/>
          <w:sz w:val="24"/>
          <w:szCs w:val="24"/>
          <w14:textFill>
            <w14:solidFill>
              <w14:schemeClr w14:val="tx1"/>
            </w14:solidFill>
          </w14:textFill>
        </w:rPr>
        <w:t>。</w:t>
      </w:r>
    </w:p>
    <w:p w14:paraId="467BF7B9">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bCs/>
          <w:color w:val="000000" w:themeColor="text1"/>
          <w:kern w:val="28"/>
          <w:sz w:val="24"/>
          <w:szCs w:val="24"/>
          <w14:textFill>
            <w14:solidFill>
              <w14:schemeClr w14:val="tx1"/>
            </w14:solidFill>
          </w14:textFill>
        </w:rPr>
        <w:t>投标人应独立投标，不得联合投标或借用资质。</w:t>
      </w:r>
    </w:p>
    <w:p w14:paraId="4AA6A366">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bCs/>
          <w:color w:val="000000" w:themeColor="text1"/>
          <w:kern w:val="28"/>
          <w:sz w:val="24"/>
          <w:szCs w:val="24"/>
          <w14:textFill>
            <w14:solidFill>
              <w14:schemeClr w14:val="tx1"/>
            </w14:solidFill>
          </w14:textFill>
        </w:rPr>
        <w:t>本次招标标的为</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2025年度苍南县测绘院公款竞争性存放项目</w:t>
      </w:r>
      <w:r>
        <w:rPr>
          <w:rFonts w:hint="eastAsia" w:ascii="宋体" w:hAnsi="宋体" w:eastAsia="宋体" w:cs="宋体"/>
          <w:bCs/>
          <w:color w:val="000000" w:themeColor="text1"/>
          <w:kern w:val="28"/>
          <w:sz w:val="24"/>
          <w:szCs w:val="24"/>
          <w14:textFill>
            <w14:solidFill>
              <w14:schemeClr w14:val="tx1"/>
            </w14:solidFill>
          </w14:textFill>
        </w:rPr>
        <w:t>。</w:t>
      </w:r>
    </w:p>
    <w:p w14:paraId="3DF3C04C">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bCs/>
          <w:color w:val="000000" w:themeColor="text1"/>
          <w:kern w:val="28"/>
          <w:sz w:val="24"/>
          <w:szCs w:val="24"/>
          <w14:textFill>
            <w14:solidFill>
              <w14:schemeClr w14:val="tx1"/>
            </w14:solidFill>
          </w14:textFill>
        </w:rPr>
        <w:t>主要招标范围及内容包括：</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分成2个标段（</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万元），标段一：</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1000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万元、标段二：</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w:t>
      </w:r>
    </w:p>
    <w:p w14:paraId="7D210522">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14:textFill>
            <w14:solidFill>
              <w14:schemeClr w14:val="tx1"/>
            </w14:solidFill>
          </w14:textFill>
        </w:rPr>
      </w:pPr>
      <w:r>
        <w:rPr>
          <w:rFonts w:hint="eastAsia" w:ascii="宋体" w:hAnsi="宋体" w:eastAsia="宋体" w:cs="宋体"/>
          <w:b/>
          <w:bCs w:val="0"/>
          <w:color w:val="000000" w:themeColor="text1"/>
          <w:kern w:val="28"/>
          <w:sz w:val="24"/>
          <w:szCs w:val="24"/>
          <w14:textFill>
            <w14:solidFill>
              <w14:schemeClr w14:val="tx1"/>
            </w14:solidFill>
          </w14:textFill>
        </w:rPr>
        <w:t>注：</w:t>
      </w:r>
    </w:p>
    <w:p w14:paraId="05D17764">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lang w:eastAsia="zh-CN"/>
          <w14:textFill>
            <w14:solidFill>
              <w14:schemeClr w14:val="tx1"/>
            </w14:solidFill>
          </w14:textFill>
        </w:rPr>
      </w:pPr>
      <w:r>
        <w:rPr>
          <w:rFonts w:hint="eastAsia" w:ascii="宋体" w:hAnsi="宋体" w:eastAsia="宋体" w:cs="宋体"/>
          <w:b/>
          <w:bCs w:val="0"/>
          <w:color w:val="000000" w:themeColor="text1"/>
          <w:kern w:val="28"/>
          <w:sz w:val="24"/>
          <w:szCs w:val="24"/>
          <w14:textFill>
            <w14:solidFill>
              <w14:schemeClr w14:val="tx1"/>
            </w14:solidFill>
          </w14:textFill>
        </w:rPr>
        <w:t>①</w:t>
      </w:r>
      <w:r>
        <w:rPr>
          <w:rFonts w:hint="eastAsia" w:ascii="宋体" w:hAnsi="宋体" w:eastAsia="宋体" w:cs="宋体"/>
          <w:b/>
          <w:bCs w:val="0"/>
          <w:color w:val="000000" w:themeColor="text1"/>
          <w:kern w:val="28"/>
          <w:sz w:val="24"/>
          <w:szCs w:val="24"/>
          <w:lang w:eastAsia="zh-CN"/>
          <w14:textFill>
            <w14:solidFill>
              <w14:schemeClr w14:val="tx1"/>
            </w14:solidFill>
          </w14:textFill>
        </w:rPr>
        <w:t>中标后资金具体存入时间以招标人指定的时间为准，中标人不得因存放金额增减、存入时间的变化而要求降低利率及服务内容。</w:t>
      </w:r>
    </w:p>
    <w:p w14:paraId="347C4007">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lang w:eastAsia="zh-CN"/>
          <w14:textFill>
            <w14:solidFill>
              <w14:schemeClr w14:val="tx1"/>
            </w14:solidFill>
          </w14:textFill>
        </w:rPr>
      </w:pPr>
      <w:r>
        <w:rPr>
          <w:rFonts w:hint="eastAsia" w:ascii="宋体" w:hAnsi="宋体" w:eastAsia="宋体" w:cs="宋体"/>
          <w:b/>
          <w:bCs w:val="0"/>
          <w:color w:val="000000" w:themeColor="text1"/>
          <w:kern w:val="28"/>
          <w:sz w:val="24"/>
          <w:szCs w:val="24"/>
          <w:lang w:eastAsia="zh-CN"/>
          <w14:textFill>
            <w14:solidFill>
              <w14:schemeClr w14:val="tx1"/>
            </w14:solidFill>
          </w14:textFill>
        </w:rPr>
        <w:t>②存放时间是以划转入账时间之日起定存</w:t>
      </w:r>
      <w:r>
        <w:rPr>
          <w:rFonts w:hint="eastAsia" w:ascii="宋体" w:hAnsi="宋体" w:eastAsia="宋体" w:cs="宋体"/>
          <w:b/>
          <w:bCs w:val="0"/>
          <w:color w:val="000000" w:themeColor="text1"/>
          <w:kern w:val="28"/>
          <w:sz w:val="24"/>
          <w:szCs w:val="24"/>
          <w:lang w:val="en-US" w:eastAsia="zh-CN"/>
          <w14:textFill>
            <w14:solidFill>
              <w14:schemeClr w14:val="tx1"/>
            </w14:solidFill>
          </w14:textFill>
        </w:rPr>
        <w:t>一</w:t>
      </w:r>
      <w:r>
        <w:rPr>
          <w:rFonts w:hint="eastAsia" w:ascii="宋体" w:hAnsi="宋体" w:eastAsia="宋体" w:cs="宋体"/>
          <w:b/>
          <w:bCs w:val="0"/>
          <w:color w:val="000000" w:themeColor="text1"/>
          <w:kern w:val="28"/>
          <w:sz w:val="24"/>
          <w:szCs w:val="24"/>
          <w:lang w:eastAsia="zh-CN"/>
          <w14:textFill>
            <w14:solidFill>
              <w14:schemeClr w14:val="tx1"/>
            </w14:solidFill>
          </w14:textFill>
        </w:rPr>
        <w:t>年。</w:t>
      </w:r>
    </w:p>
    <w:p w14:paraId="74DFFEF0">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lang w:val="en-US" w:eastAsia="zh-CN"/>
          <w14:textFill>
            <w14:solidFill>
              <w14:schemeClr w14:val="tx1"/>
            </w14:solidFill>
          </w14:textFill>
        </w:rPr>
      </w:pPr>
      <w:r>
        <w:rPr>
          <w:rFonts w:hint="eastAsia" w:ascii="宋体" w:hAnsi="宋体" w:eastAsia="宋体" w:cs="宋体"/>
          <w:b/>
          <w:bCs w:val="0"/>
          <w:color w:val="000000" w:themeColor="text1"/>
          <w:kern w:val="28"/>
          <w:sz w:val="24"/>
          <w:szCs w:val="24"/>
          <w:lang w:val="en-US" w:eastAsia="zh-CN"/>
          <w14:textFill>
            <w14:solidFill>
              <w14:schemeClr w14:val="tx1"/>
            </w14:solidFill>
          </w14:textFill>
        </w:rPr>
        <w:t>③招标人可以根据实际需求将中标金额划分成多个存单存入乙方指定办理定期存款的分支机构。</w:t>
      </w:r>
    </w:p>
    <w:p w14:paraId="132F6330">
      <w:pPr>
        <w:widowControl/>
        <w:numPr>
          <w:ilvl w:val="0"/>
          <w:numId w:val="0"/>
        </w:numPr>
        <w:tabs>
          <w:tab w:val="left" w:pos="618"/>
        </w:tabs>
        <w:snapToGrid w:val="0"/>
        <w:spacing w:line="360" w:lineRule="auto"/>
        <w:ind w:leftChars="0"/>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二、定义及解释</w:t>
      </w:r>
    </w:p>
    <w:p w14:paraId="5EB18033">
      <w:pPr>
        <w:widowControl/>
        <w:numPr>
          <w:ilvl w:val="1"/>
          <w:numId w:val="5"/>
        </w:numPr>
        <w:tabs>
          <w:tab w:val="left" w:pos="210"/>
          <w:tab w:val="left" w:pos="525"/>
        </w:tabs>
        <w:snapToGrid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招标人（招标人）：系指按有关规定，提出招标项目、进行招标的</w:t>
      </w:r>
      <w:r>
        <w:rPr>
          <w:rFonts w:hint="eastAsia" w:ascii="宋体" w:hAnsi="宋体" w:eastAsia="宋体" w:cs="宋体"/>
          <w:color w:val="000000" w:themeColor="text1"/>
          <w:sz w:val="24"/>
          <w:szCs w:val="24"/>
          <w:lang w:val="en-US" w:eastAsia="zh-CN"/>
          <w14:textFill>
            <w14:solidFill>
              <w14:schemeClr w14:val="tx1"/>
            </w14:solidFill>
          </w14:textFill>
        </w:rPr>
        <w:t>苍南县测绘院</w:t>
      </w:r>
      <w:r>
        <w:rPr>
          <w:rFonts w:hint="eastAsia" w:ascii="宋体" w:hAnsi="宋体" w:eastAsia="宋体" w:cs="宋体"/>
          <w:color w:val="000000" w:themeColor="text1"/>
          <w:sz w:val="24"/>
          <w:szCs w:val="24"/>
          <w14:textFill>
            <w14:solidFill>
              <w14:schemeClr w14:val="tx1"/>
            </w14:solidFill>
          </w14:textFill>
        </w:rPr>
        <w:t>。</w:t>
      </w:r>
    </w:p>
    <w:p w14:paraId="1CD05018">
      <w:pPr>
        <w:widowControl/>
        <w:numPr>
          <w:ilvl w:val="1"/>
          <w:numId w:val="5"/>
        </w:numPr>
        <w:tabs>
          <w:tab w:val="left" w:pos="0"/>
          <w:tab w:val="left" w:pos="105"/>
          <w:tab w:val="left" w:pos="525"/>
        </w:tabs>
        <w:snapToGrid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招标代理机构：系指依法受招标人委托，组织本次招标的浙江之信工程项目管理有限公司。</w:t>
      </w:r>
    </w:p>
    <w:p w14:paraId="7EA03D99">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投标人：投标人是指响应本次招标并符合本招标公告投标资格要求的相应机构。</w:t>
      </w:r>
    </w:p>
    <w:p w14:paraId="4A01B4B5">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中标人：系指在本次招标中中标的投标人。</w:t>
      </w:r>
    </w:p>
    <w:p w14:paraId="7F9117AC">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评标委员会：组建的专门负责招标评审工作的临时性机构。</w:t>
      </w:r>
    </w:p>
    <w:p w14:paraId="788340CF">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日期：指公历日；时间：指北京时间。</w:t>
      </w:r>
    </w:p>
    <w:p w14:paraId="39C0AE85">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合同：指由招标所产生的合同或合约文件。</w:t>
      </w:r>
    </w:p>
    <w:p w14:paraId="53CAC9A4">
      <w:pPr>
        <w:widowControl/>
        <w:numPr>
          <w:ilvl w:val="1"/>
          <w:numId w:val="5"/>
        </w:numPr>
        <w:tabs>
          <w:tab w:val="left" w:pos="0"/>
          <w:tab w:val="left" w:pos="105"/>
          <w:tab w:val="left" w:pos="525"/>
        </w:tabs>
        <w:snapToGrid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招标文件中的标题或题名仅起引导作用，而不应视为对招标文件内容的理解和解释。</w:t>
      </w:r>
    </w:p>
    <w:p w14:paraId="62196621">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“书面形式”是指任何手写的、打印的或印刷的文件，包括电报和传真发送。</w:t>
      </w:r>
    </w:p>
    <w:p w14:paraId="28CEF710">
      <w:pPr>
        <w:widowControl/>
        <w:numPr>
          <w:ilvl w:val="0"/>
          <w:numId w:val="0"/>
        </w:numPr>
        <w:tabs>
          <w:tab w:val="left" w:pos="618"/>
        </w:tabs>
        <w:snapToGrid w:val="0"/>
        <w:spacing w:line="360" w:lineRule="auto"/>
        <w:ind w:leftChars="0"/>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三、其他</w:t>
      </w:r>
      <w:bookmarkEnd w:id="18"/>
      <w:bookmarkEnd w:id="19"/>
      <w:bookmarkEnd w:id="20"/>
      <w:bookmarkEnd w:id="21"/>
      <w:bookmarkEnd w:id="22"/>
      <w:bookmarkEnd w:id="23"/>
    </w:p>
    <w:p w14:paraId="315EE38B">
      <w:pPr>
        <w:ind w:firstLine="463" w:firstLineChars="1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1、投标银行必须在投标文件中对服务内容明确承诺，承诺内容必须达到本需求及招标文件其他条款的要求。</w:t>
      </w:r>
    </w:p>
    <w:p w14:paraId="1E7166A7">
      <w:pPr>
        <w:ind w:firstLine="463" w:firstLineChars="1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注：如中标后中标银行不能履行其投标文件中的承诺，招标单位可报请监管部门同意后，取消其中标资格，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重新组织招标</w:t>
      </w:r>
      <w:r>
        <w:rPr>
          <w:rFonts w:hint="eastAsia" w:ascii="宋体" w:hAnsi="宋体" w:eastAsia="宋体" w:cs="宋体"/>
          <w:color w:val="000000" w:themeColor="text1"/>
          <w:sz w:val="24"/>
          <w:szCs w:val="24"/>
          <w:highlight w:val="none"/>
          <w14:textFill>
            <w14:solidFill>
              <w14:schemeClr w14:val="tx1"/>
            </w14:solidFill>
          </w14:textFill>
        </w:rPr>
        <w:t>。</w:t>
      </w:r>
    </w:p>
    <w:p w14:paraId="75B482C8">
      <w:pPr>
        <w:ind w:firstLine="465" w:firstLineChars="1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2、中标银行出现以下情形之一的，招标单位有权提前收回存放公款（即协议终止条件）：</w:t>
      </w:r>
    </w:p>
    <w:p w14:paraId="012C8710">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1</w:t>
      </w:r>
      <w:r>
        <w:rPr>
          <w:rFonts w:hint="eastAsia" w:ascii="宋体" w:hAnsi="宋体" w:eastAsia="宋体" w:cs="宋体"/>
          <w:b w:val="0"/>
          <w:color w:val="000000" w:themeColor="text1"/>
          <w:sz w:val="24"/>
          <w:szCs w:val="24"/>
          <w:highlight w:val="none"/>
          <w:u w:val="none"/>
          <w14:textFill>
            <w14:solidFill>
              <w14:schemeClr w14:val="tx1"/>
            </w14:solidFill>
          </w14:textFill>
        </w:rPr>
        <w:t>）未</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按</w:t>
      </w:r>
      <w:r>
        <w:rPr>
          <w:rFonts w:hint="eastAsia" w:ascii="宋体" w:hAnsi="宋体" w:eastAsia="宋体" w:cs="宋体"/>
          <w:b w:val="0"/>
          <w:color w:val="000000" w:themeColor="text1"/>
          <w:sz w:val="24"/>
          <w:szCs w:val="24"/>
          <w:highlight w:val="none"/>
          <w:u w:val="none"/>
          <w14:textFill>
            <w14:solidFill>
              <w14:schemeClr w14:val="tx1"/>
            </w14:solidFill>
          </w14:textFill>
        </w:rPr>
        <w:t>规定及时汇划</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利息</w:t>
      </w:r>
      <w:r>
        <w:rPr>
          <w:rFonts w:hint="eastAsia" w:ascii="宋体" w:hAnsi="宋体" w:eastAsia="宋体" w:cs="宋体"/>
          <w:b w:val="0"/>
          <w:color w:val="000000" w:themeColor="text1"/>
          <w:sz w:val="24"/>
          <w:szCs w:val="24"/>
          <w:highlight w:val="none"/>
          <w:u w:val="none"/>
          <w14:textFill>
            <w14:solidFill>
              <w14:schemeClr w14:val="tx1"/>
            </w14:solidFill>
          </w14:textFill>
        </w:rPr>
        <w:t>的；</w:t>
      </w:r>
    </w:p>
    <w:p w14:paraId="7AAFA104">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2</w:t>
      </w:r>
      <w:r>
        <w:rPr>
          <w:rFonts w:hint="eastAsia" w:ascii="宋体" w:hAnsi="宋体" w:eastAsia="宋体" w:cs="宋体"/>
          <w:b w:val="0"/>
          <w:color w:val="000000" w:themeColor="text1"/>
          <w:sz w:val="24"/>
          <w:szCs w:val="24"/>
          <w:highlight w:val="none"/>
          <w:u w:val="none"/>
          <w14:textFill>
            <w14:solidFill>
              <w14:schemeClr w14:val="tx1"/>
            </w14:solidFill>
          </w14:textFill>
        </w:rPr>
        <w:t>）出现资金安全事故和重大违法违规，导致财务恶化或引起信用危机的；</w:t>
      </w:r>
    </w:p>
    <w:p w14:paraId="69EF5FD2">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3</w:t>
      </w:r>
      <w:r>
        <w:rPr>
          <w:rFonts w:hint="eastAsia" w:ascii="宋体" w:hAnsi="宋体" w:eastAsia="宋体" w:cs="宋体"/>
          <w:b w:val="0"/>
          <w:color w:val="000000" w:themeColor="text1"/>
          <w:sz w:val="24"/>
          <w:szCs w:val="24"/>
          <w:highlight w:val="none"/>
          <w:u w:val="none"/>
          <w14:textFill>
            <w14:solidFill>
              <w14:schemeClr w14:val="tx1"/>
            </w14:solidFill>
          </w14:textFill>
        </w:rPr>
        <w:t>）监管评级降低,监管部门认为存在较大运营风险的；</w:t>
      </w:r>
    </w:p>
    <w:p w14:paraId="547E0488">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4</w:t>
      </w:r>
      <w:r>
        <w:rPr>
          <w:rFonts w:hint="eastAsia" w:ascii="宋体" w:hAnsi="宋体" w:eastAsia="宋体" w:cs="宋体"/>
          <w:b w:val="0"/>
          <w:color w:val="000000" w:themeColor="text1"/>
          <w:sz w:val="24"/>
          <w:szCs w:val="24"/>
          <w:highlight w:val="none"/>
          <w:u w:val="none"/>
          <w14:textFill>
            <w14:solidFill>
              <w14:schemeClr w14:val="tx1"/>
            </w14:solidFill>
          </w14:textFill>
        </w:rPr>
        <w:t>）未遵守廉政承诺或者在资金存放中存在其他利益输送行为的；</w:t>
      </w:r>
    </w:p>
    <w:p w14:paraId="401D1739">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5</w:t>
      </w:r>
      <w:r>
        <w:rPr>
          <w:rFonts w:hint="eastAsia" w:ascii="宋体" w:hAnsi="宋体" w:eastAsia="宋体" w:cs="宋体"/>
          <w:b w:val="0"/>
          <w:color w:val="000000" w:themeColor="text1"/>
          <w:sz w:val="24"/>
          <w:szCs w:val="24"/>
          <w:highlight w:val="none"/>
          <w:u w:val="none"/>
          <w14:textFill>
            <w14:solidFill>
              <w14:schemeClr w14:val="tx1"/>
            </w14:solidFill>
          </w14:textFill>
        </w:rPr>
        <w:t>）未</w:t>
      </w:r>
      <w:r>
        <w:rPr>
          <w:rFonts w:hint="eastAsia" w:ascii="宋体" w:hAnsi="宋体" w:eastAsia="宋体" w:cs="宋体"/>
          <w:b w:val="0"/>
          <w:color w:val="000000" w:themeColor="text1"/>
          <w:spacing w:val="0"/>
          <w:sz w:val="24"/>
          <w:szCs w:val="24"/>
          <w:highlight w:val="none"/>
          <w:u w:val="none"/>
          <w14:textFill>
            <w14:solidFill>
              <w14:schemeClr w14:val="tx1"/>
            </w14:solidFill>
          </w14:textFill>
        </w:rPr>
        <w:t>按照中标存款协议履行相应的责任和义务的；</w:t>
      </w:r>
    </w:p>
    <w:p w14:paraId="1D5203DB">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u w:val="none"/>
          <w14:textFill>
            <w14:solidFill>
              <w14:schemeClr w14:val="tx1"/>
            </w14:solidFill>
          </w14:textFill>
        </w:rPr>
        <w:t>（</w:t>
      </w:r>
      <w:r>
        <w:rPr>
          <w:rFonts w:hint="eastAsia" w:ascii="宋体" w:hAnsi="宋体" w:eastAsia="宋体" w:cs="宋体"/>
          <w:b w:val="0"/>
          <w:color w:val="000000" w:themeColor="text1"/>
          <w:spacing w:val="0"/>
          <w:sz w:val="24"/>
          <w:szCs w:val="24"/>
          <w:highlight w:val="none"/>
          <w:u w:val="none"/>
          <w:lang w:eastAsia="zh-CN"/>
          <w14:textFill>
            <w14:solidFill>
              <w14:schemeClr w14:val="tx1"/>
            </w14:solidFill>
          </w14:textFill>
        </w:rPr>
        <w:t>6</w:t>
      </w:r>
      <w:r>
        <w:rPr>
          <w:rFonts w:hint="eastAsia" w:ascii="宋体" w:hAnsi="宋体" w:eastAsia="宋体" w:cs="宋体"/>
          <w:b w:val="0"/>
          <w:color w:val="000000" w:themeColor="text1"/>
          <w:spacing w:val="0"/>
          <w:sz w:val="24"/>
          <w:szCs w:val="24"/>
          <w:highlight w:val="none"/>
          <w:u w:val="none"/>
          <w14:textFill>
            <w14:solidFill>
              <w14:schemeClr w14:val="tx1"/>
            </w14:solidFill>
          </w14:textFill>
        </w:rPr>
        <w:t>）存在弄虚作假等严重不正当竞争行为的；</w:t>
      </w:r>
    </w:p>
    <w:p w14:paraId="07F71C1E">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u w:val="none"/>
          <w14:textFill>
            <w14:solidFill>
              <w14:schemeClr w14:val="tx1"/>
            </w14:solidFill>
          </w14:textFill>
        </w:rPr>
        <w:t>（</w:t>
      </w:r>
      <w:r>
        <w:rPr>
          <w:rFonts w:hint="eastAsia" w:ascii="宋体" w:hAnsi="宋体" w:eastAsia="宋体" w:cs="宋体"/>
          <w:b w:val="0"/>
          <w:color w:val="000000" w:themeColor="text1"/>
          <w:spacing w:val="0"/>
          <w:sz w:val="24"/>
          <w:szCs w:val="24"/>
          <w:highlight w:val="none"/>
          <w:u w:val="none"/>
          <w:lang w:eastAsia="zh-CN"/>
          <w14:textFill>
            <w14:solidFill>
              <w14:schemeClr w14:val="tx1"/>
            </w14:solidFill>
          </w14:textFill>
        </w:rPr>
        <w:t>7</w:t>
      </w:r>
      <w:r>
        <w:rPr>
          <w:rFonts w:hint="eastAsia" w:ascii="宋体" w:hAnsi="宋体" w:eastAsia="宋体" w:cs="宋体"/>
          <w:b w:val="0"/>
          <w:color w:val="000000" w:themeColor="text1"/>
          <w:spacing w:val="0"/>
          <w:sz w:val="24"/>
          <w:szCs w:val="24"/>
          <w:highlight w:val="none"/>
          <w:u w:val="none"/>
          <w14:textFill>
            <w14:solidFill>
              <w14:schemeClr w14:val="tx1"/>
            </w14:solidFill>
          </w14:textFill>
        </w:rPr>
        <w:t>）可能危及资金安全的其他情况。</w:t>
      </w:r>
    </w:p>
    <w:p w14:paraId="66317964">
      <w:pPr>
        <w:numPr>
          <w:ilvl w:val="0"/>
          <w:numId w:val="0"/>
        </w:numPr>
        <w:rPr>
          <w:rFonts w:hint="eastAsia" w:ascii="宋体" w:hAnsi="宋体" w:eastAsia="宋体" w:cs="宋体"/>
          <w:color w:val="000000" w:themeColor="text1"/>
          <w:lang w:eastAsia="zh-CN"/>
          <w14:textFill>
            <w14:solidFill>
              <w14:schemeClr w14:val="tx1"/>
            </w14:solidFill>
          </w14:textFill>
        </w:rPr>
      </w:pPr>
    </w:p>
    <w:p w14:paraId="69985096">
      <w:pPr>
        <w:pStyle w:val="37"/>
        <w:rPr>
          <w:rFonts w:hint="eastAsia" w:ascii="宋体" w:hAnsi="宋体" w:eastAsia="宋体" w:cs="宋体"/>
          <w:color w:val="000000" w:themeColor="text1"/>
          <w:highlight w:val="none"/>
          <w14:textFill>
            <w14:solidFill>
              <w14:schemeClr w14:val="tx1"/>
            </w14:solidFill>
          </w14:textFill>
        </w:rPr>
      </w:pPr>
      <w:bookmarkStart w:id="24" w:name="_Toc25735"/>
      <w:bookmarkStart w:id="25" w:name="_Toc6241"/>
      <w:bookmarkStart w:id="26" w:name="_Toc424164153"/>
      <w:bookmarkStart w:id="27" w:name="_Toc452032116"/>
      <w:bookmarkStart w:id="28" w:name="_Toc440162785"/>
      <w:bookmarkStart w:id="29" w:name="_Toc16691"/>
      <w:bookmarkStart w:id="30" w:name="_Toc446950602"/>
      <w:bookmarkStart w:id="31" w:name="_Toc13673"/>
      <w:bookmarkStart w:id="32" w:name="_Toc18468"/>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第三章 投标须知</w:t>
      </w:r>
      <w:bookmarkEnd w:id="24"/>
      <w:bookmarkEnd w:id="25"/>
      <w:bookmarkEnd w:id="26"/>
      <w:bookmarkEnd w:id="27"/>
      <w:bookmarkEnd w:id="28"/>
      <w:bookmarkEnd w:id="29"/>
      <w:bookmarkEnd w:id="30"/>
      <w:bookmarkEnd w:id="31"/>
      <w:bookmarkEnd w:id="32"/>
    </w:p>
    <w:p w14:paraId="0B004D1A">
      <w:pPr>
        <w:spacing w:after="313" w:afterLines="100" w:line="400" w:lineRule="exact"/>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8"/>
          <w:highlight w:val="none"/>
          <w14:textFill>
            <w14:solidFill>
              <w14:schemeClr w14:val="tx1"/>
            </w14:solidFill>
          </w14:textFill>
        </w:rPr>
        <w:t>投标须知前附表</w:t>
      </w:r>
    </w:p>
    <w:tbl>
      <w:tblPr>
        <w:tblStyle w:val="39"/>
        <w:tblW w:w="89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65"/>
        <w:gridCol w:w="6677"/>
      </w:tblGrid>
      <w:tr w14:paraId="27E01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5" w:type="dxa"/>
            <w:noWrap w:val="0"/>
            <w:vAlign w:val="center"/>
          </w:tcPr>
          <w:p w14:paraId="02DAB715">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序号</w:t>
            </w:r>
          </w:p>
        </w:tc>
        <w:tc>
          <w:tcPr>
            <w:tcW w:w="1565" w:type="dxa"/>
            <w:noWrap w:val="0"/>
            <w:vAlign w:val="center"/>
          </w:tcPr>
          <w:p w14:paraId="28CA66A6">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内容</w:t>
            </w:r>
          </w:p>
        </w:tc>
        <w:tc>
          <w:tcPr>
            <w:tcW w:w="6677" w:type="dxa"/>
            <w:noWrap w:val="0"/>
            <w:vAlign w:val="center"/>
          </w:tcPr>
          <w:p w14:paraId="4D1B797C">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说明或要求</w:t>
            </w:r>
          </w:p>
        </w:tc>
      </w:tr>
      <w:tr w14:paraId="7BC3E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0AF2CE47">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p>
        </w:tc>
        <w:tc>
          <w:tcPr>
            <w:tcW w:w="1565" w:type="dxa"/>
            <w:noWrap w:val="0"/>
            <w:vAlign w:val="center"/>
          </w:tcPr>
          <w:p w14:paraId="7384F6BF">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项目名称</w:t>
            </w:r>
          </w:p>
        </w:tc>
        <w:tc>
          <w:tcPr>
            <w:tcW w:w="6677" w:type="dxa"/>
            <w:noWrap w:val="0"/>
            <w:vAlign w:val="center"/>
          </w:tcPr>
          <w:p w14:paraId="3CDD29DF">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2025年度苍南县测绘院公款竞争性存放项目</w:t>
            </w:r>
          </w:p>
        </w:tc>
      </w:tr>
      <w:tr w14:paraId="71FE8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2A62FBDD">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p>
        </w:tc>
        <w:tc>
          <w:tcPr>
            <w:tcW w:w="1565" w:type="dxa"/>
            <w:noWrap w:val="0"/>
            <w:vAlign w:val="center"/>
          </w:tcPr>
          <w:p w14:paraId="357202F6">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项目编号</w:t>
            </w:r>
          </w:p>
        </w:tc>
        <w:tc>
          <w:tcPr>
            <w:tcW w:w="6677" w:type="dxa"/>
            <w:noWrap w:val="0"/>
            <w:vAlign w:val="center"/>
          </w:tcPr>
          <w:p w14:paraId="56E772F0">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苍产告字[2025]13-1号</w:t>
            </w:r>
          </w:p>
        </w:tc>
      </w:tr>
      <w:tr w14:paraId="5B16E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1CA7D63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3</w:t>
            </w:r>
          </w:p>
        </w:tc>
        <w:tc>
          <w:tcPr>
            <w:tcW w:w="1565" w:type="dxa"/>
            <w:noWrap w:val="0"/>
            <w:vAlign w:val="center"/>
          </w:tcPr>
          <w:p w14:paraId="0F65938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内容</w:t>
            </w:r>
          </w:p>
        </w:tc>
        <w:tc>
          <w:tcPr>
            <w:tcW w:w="6677" w:type="dxa"/>
            <w:noWrap w:val="0"/>
            <w:vAlign w:val="center"/>
          </w:tcPr>
          <w:p w14:paraId="692AFFA0">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详见《第一章 招标公告》</w:t>
            </w:r>
          </w:p>
        </w:tc>
      </w:tr>
      <w:tr w14:paraId="5BF0E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28A8F0CC">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p>
        </w:tc>
        <w:tc>
          <w:tcPr>
            <w:tcW w:w="1565" w:type="dxa"/>
            <w:noWrap w:val="0"/>
            <w:vAlign w:val="center"/>
          </w:tcPr>
          <w:p w14:paraId="19BC13B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合格投标银行资格要求</w:t>
            </w:r>
          </w:p>
        </w:tc>
        <w:tc>
          <w:tcPr>
            <w:tcW w:w="6677" w:type="dxa"/>
            <w:noWrap w:val="0"/>
            <w:vAlign w:val="center"/>
          </w:tcPr>
          <w:p w14:paraId="75526005">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详见《第一章 招标公告》</w:t>
            </w:r>
          </w:p>
        </w:tc>
      </w:tr>
      <w:tr w14:paraId="3CBBF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13A4961C">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p>
        </w:tc>
        <w:tc>
          <w:tcPr>
            <w:tcW w:w="1565" w:type="dxa"/>
            <w:noWrap w:val="0"/>
            <w:vAlign w:val="center"/>
          </w:tcPr>
          <w:p w14:paraId="0BDAF129">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招标人</w:t>
            </w:r>
          </w:p>
        </w:tc>
        <w:tc>
          <w:tcPr>
            <w:tcW w:w="6677" w:type="dxa"/>
            <w:noWrap w:val="0"/>
            <w:vAlign w:val="center"/>
          </w:tcPr>
          <w:p w14:paraId="7C934598">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名称：</w:t>
            </w:r>
            <w:r>
              <w:rPr>
                <w:rFonts w:hint="eastAsia" w:ascii="宋体" w:hAnsi="宋体" w:eastAsia="宋体" w:cs="宋体"/>
                <w:color w:val="000000" w:themeColor="text1"/>
                <w:w w:val="90"/>
                <w:sz w:val="24"/>
                <w:szCs w:val="24"/>
                <w:highlight w:val="none"/>
                <w:lang w:eastAsia="zh-CN"/>
                <w14:textFill>
                  <w14:solidFill>
                    <w14:schemeClr w14:val="tx1"/>
                  </w14:solidFill>
                </w14:textFill>
              </w:rPr>
              <w:t>苍南县测绘院</w:t>
            </w:r>
          </w:p>
          <w:p w14:paraId="5A0047D6">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联系人：</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 xml:space="preserve">许先生   </w:t>
            </w:r>
          </w:p>
          <w:p w14:paraId="795D4F3B">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地址：苍南县灵溪镇人民大道</w:t>
            </w:r>
          </w:p>
        </w:tc>
      </w:tr>
      <w:tr w14:paraId="0CB0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09A1736A">
            <w:pPr>
              <w:spacing w:line="276" w:lineRule="auto"/>
              <w:jc w:val="center"/>
              <w:rPr>
                <w:rFonts w:hint="eastAsia" w:ascii="宋体" w:hAnsi="宋体" w:eastAsia="宋体" w:cs="宋体"/>
                <w:b/>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6</w:t>
            </w:r>
          </w:p>
        </w:tc>
        <w:tc>
          <w:tcPr>
            <w:tcW w:w="1565" w:type="dxa"/>
            <w:noWrap w:val="0"/>
            <w:vAlign w:val="center"/>
          </w:tcPr>
          <w:p w14:paraId="05DF740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代理机构</w:t>
            </w:r>
          </w:p>
        </w:tc>
        <w:tc>
          <w:tcPr>
            <w:tcW w:w="6677" w:type="dxa"/>
            <w:noWrap w:val="0"/>
            <w:vAlign w:val="center"/>
          </w:tcPr>
          <w:p w14:paraId="7DC5B70F">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名称：</w:t>
            </w:r>
            <w:r>
              <w:rPr>
                <w:rFonts w:hint="eastAsia" w:ascii="宋体" w:hAnsi="宋体" w:eastAsia="宋体" w:cs="宋体"/>
                <w:color w:val="000000" w:themeColor="text1"/>
                <w:w w:val="90"/>
                <w:sz w:val="24"/>
                <w:szCs w:val="24"/>
                <w:highlight w:val="none"/>
                <w:lang w:eastAsia="zh-CN"/>
                <w14:textFill>
                  <w14:solidFill>
                    <w14:schemeClr w14:val="tx1"/>
                  </w14:solidFill>
                </w14:textFill>
              </w:rPr>
              <w:t>浙江之信工程项目管理有限公司</w:t>
            </w:r>
          </w:p>
          <w:p w14:paraId="0154B81F">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联系人：</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朱先生</w:t>
            </w:r>
          </w:p>
          <w:p w14:paraId="2DD7EB60">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联系电话：</w:t>
            </w:r>
            <w:r>
              <w:rPr>
                <w:rFonts w:hint="eastAsia" w:ascii="宋体" w:hAnsi="宋体" w:eastAsia="宋体" w:cs="宋体"/>
                <w:color w:val="000000" w:themeColor="text1"/>
                <w:w w:val="90"/>
                <w:sz w:val="24"/>
                <w:szCs w:val="24"/>
                <w:highlight w:val="none"/>
                <w:lang w:eastAsia="zh-CN"/>
                <w14:textFill>
                  <w14:solidFill>
                    <w14:schemeClr w14:val="tx1"/>
                  </w14:solidFill>
                </w14:textFill>
              </w:rPr>
              <w:t>0577-68810100</w:t>
            </w:r>
          </w:p>
          <w:p w14:paraId="7DC6360B">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地址：</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苍南县灵溪镇仕华家园3幢一单元301-302室</w:t>
            </w:r>
          </w:p>
        </w:tc>
      </w:tr>
      <w:tr w14:paraId="3ACA2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6F51030E">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p>
        </w:tc>
        <w:tc>
          <w:tcPr>
            <w:tcW w:w="1565" w:type="dxa"/>
            <w:noWrap w:val="0"/>
            <w:vAlign w:val="center"/>
          </w:tcPr>
          <w:p w14:paraId="2DA6532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联合体投标</w:t>
            </w:r>
          </w:p>
        </w:tc>
        <w:tc>
          <w:tcPr>
            <w:tcW w:w="6677" w:type="dxa"/>
            <w:noWrap w:val="0"/>
            <w:vAlign w:val="center"/>
          </w:tcPr>
          <w:p w14:paraId="3EB2742B">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不接受</w:t>
            </w:r>
          </w:p>
        </w:tc>
      </w:tr>
      <w:tr w14:paraId="5BB22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7C04041">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8</w:t>
            </w:r>
          </w:p>
        </w:tc>
        <w:tc>
          <w:tcPr>
            <w:tcW w:w="1565" w:type="dxa"/>
            <w:noWrap w:val="0"/>
            <w:vAlign w:val="center"/>
          </w:tcPr>
          <w:p w14:paraId="36B84444">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分包转包</w:t>
            </w:r>
          </w:p>
        </w:tc>
        <w:tc>
          <w:tcPr>
            <w:tcW w:w="6677" w:type="dxa"/>
            <w:noWrap w:val="0"/>
            <w:vAlign w:val="center"/>
          </w:tcPr>
          <w:p w14:paraId="784B3182">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不允许</w:t>
            </w:r>
          </w:p>
        </w:tc>
      </w:tr>
      <w:tr w14:paraId="298B68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47473118">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9</w:t>
            </w:r>
          </w:p>
        </w:tc>
        <w:tc>
          <w:tcPr>
            <w:tcW w:w="1565" w:type="dxa"/>
            <w:noWrap w:val="0"/>
            <w:vAlign w:val="center"/>
          </w:tcPr>
          <w:p w14:paraId="7044223B">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标前答疑会</w:t>
            </w:r>
          </w:p>
        </w:tc>
        <w:tc>
          <w:tcPr>
            <w:tcW w:w="6677" w:type="dxa"/>
            <w:noWrap w:val="0"/>
            <w:vAlign w:val="center"/>
          </w:tcPr>
          <w:p w14:paraId="5199EF39">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不召开</w:t>
            </w:r>
          </w:p>
        </w:tc>
      </w:tr>
      <w:tr w14:paraId="479F7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BE9804A">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0</w:t>
            </w:r>
          </w:p>
        </w:tc>
        <w:tc>
          <w:tcPr>
            <w:tcW w:w="1565" w:type="dxa"/>
            <w:noWrap w:val="0"/>
            <w:vAlign w:val="center"/>
          </w:tcPr>
          <w:p w14:paraId="46AB125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现场勘查</w:t>
            </w:r>
          </w:p>
        </w:tc>
        <w:tc>
          <w:tcPr>
            <w:tcW w:w="6677" w:type="dxa"/>
            <w:noWrap w:val="0"/>
            <w:vAlign w:val="center"/>
          </w:tcPr>
          <w:p w14:paraId="11D6112B">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不组织</w:t>
            </w:r>
          </w:p>
        </w:tc>
      </w:tr>
      <w:tr w14:paraId="06A92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02AF785">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w:t>
            </w:r>
          </w:p>
        </w:tc>
        <w:tc>
          <w:tcPr>
            <w:tcW w:w="1565" w:type="dxa"/>
            <w:noWrap w:val="0"/>
            <w:vAlign w:val="center"/>
          </w:tcPr>
          <w:p w14:paraId="78DB3260">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报价</w:t>
            </w:r>
          </w:p>
        </w:tc>
        <w:tc>
          <w:tcPr>
            <w:tcW w:w="6677" w:type="dxa"/>
            <w:noWrap w:val="0"/>
            <w:vAlign w:val="center"/>
          </w:tcPr>
          <w:p w14:paraId="3D04B220">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在央行</w:t>
            </w:r>
            <w:r>
              <w:rPr>
                <w:rFonts w:hint="eastAsia" w:ascii="宋体" w:hAnsi="宋体" w:eastAsia="宋体" w:cs="宋体"/>
                <w:b/>
                <w:color w:val="000000" w:themeColor="text1"/>
                <w:w w:val="90"/>
                <w:sz w:val="24"/>
                <w:szCs w:val="24"/>
                <w:highlight w:val="none"/>
                <w:lang w:val="en-US" w:eastAsia="zh-CN"/>
                <w14:textFill>
                  <w14:solidFill>
                    <w14:schemeClr w14:val="tx1"/>
                  </w14:solidFill>
                </w14:textFill>
              </w:rPr>
              <w:t>定期存款基准利率基础上加上一定基点，</w:t>
            </w:r>
            <w:r>
              <w:rPr>
                <w:rFonts w:hint="eastAsia" w:ascii="宋体" w:hAnsi="宋体" w:eastAsia="宋体" w:cs="宋体"/>
                <w:b/>
                <w:color w:val="000000" w:themeColor="text1"/>
                <w:w w:val="90"/>
                <w:sz w:val="24"/>
                <w:szCs w:val="24"/>
                <w:highlight w:val="none"/>
                <w14:textFill>
                  <w14:solidFill>
                    <w14:schemeClr w14:val="tx1"/>
                  </w14:solidFill>
                </w14:textFill>
              </w:rPr>
              <w:t>四舍五入保留三位小数。</w:t>
            </w:r>
          </w:p>
        </w:tc>
      </w:tr>
      <w:tr w14:paraId="7DAF9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79ED829B">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3</w:t>
            </w:r>
          </w:p>
        </w:tc>
        <w:tc>
          <w:tcPr>
            <w:tcW w:w="1565" w:type="dxa"/>
            <w:noWrap w:val="0"/>
            <w:vAlign w:val="center"/>
          </w:tcPr>
          <w:p w14:paraId="5EFCFCDD">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《招标文件》询疑截止时间</w:t>
            </w:r>
          </w:p>
        </w:tc>
        <w:tc>
          <w:tcPr>
            <w:tcW w:w="6677" w:type="dxa"/>
            <w:noWrap w:val="0"/>
            <w:vAlign w:val="center"/>
          </w:tcPr>
          <w:p w14:paraId="3FCFEBEB">
            <w:pPr>
              <w:keepNext w:val="0"/>
              <w:keepLines w:val="0"/>
              <w:pageBreakBefore w:val="0"/>
              <w:widowControl w:val="0"/>
              <w:kinsoku/>
              <w:wordWrap w:val="0"/>
              <w:overflowPunct/>
              <w:topLinePunct w:val="0"/>
              <w:autoSpaceDE/>
              <w:autoSpaceDN/>
              <w:bidi w:val="0"/>
              <w:adjustRightInd/>
              <w:snapToGrid/>
              <w:spacing w:line="276" w:lineRule="auto"/>
              <w:textAlignment w:val="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供应商如对招标文件有疑问，应以书面形式向</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组织机构提出询问函（包括信函、传真、扫描件，下同），询问函接收</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邮箱</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50881236@qq.com</w:t>
            </w:r>
            <w:r>
              <w:rPr>
                <w:rFonts w:hint="eastAsia" w:ascii="宋体" w:hAnsi="宋体" w:eastAsia="宋体" w:cs="宋体"/>
                <w:color w:val="000000" w:themeColor="text1"/>
                <w:w w:val="90"/>
                <w:sz w:val="24"/>
                <w:szCs w:val="24"/>
                <w:highlight w:val="none"/>
                <w:lang w:eastAsia="zh-CN"/>
                <w14:textFill>
                  <w14:solidFill>
                    <w14:schemeClr w14:val="tx1"/>
                  </w14:solidFill>
                </w14:textFill>
              </w:rPr>
              <w:t>。</w:t>
            </w:r>
          </w:p>
        </w:tc>
      </w:tr>
      <w:tr w14:paraId="3E9DB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95B3F38">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p>
        </w:tc>
        <w:tc>
          <w:tcPr>
            <w:tcW w:w="1565" w:type="dxa"/>
            <w:noWrap w:val="0"/>
            <w:vAlign w:val="center"/>
          </w:tcPr>
          <w:p w14:paraId="14DB865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投标截止时间</w:t>
            </w:r>
          </w:p>
        </w:tc>
        <w:tc>
          <w:tcPr>
            <w:tcW w:w="6677" w:type="dxa"/>
            <w:noWrap w:val="0"/>
            <w:vAlign w:val="center"/>
          </w:tcPr>
          <w:p w14:paraId="05996BB8">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按“招标公告”规定</w:t>
            </w:r>
            <w:bookmarkStart w:id="194" w:name="_GoBack"/>
            <w:bookmarkEnd w:id="194"/>
          </w:p>
        </w:tc>
      </w:tr>
      <w:tr w14:paraId="01E264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17DD25CB">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p>
        </w:tc>
        <w:tc>
          <w:tcPr>
            <w:tcW w:w="1565" w:type="dxa"/>
            <w:noWrap w:val="0"/>
            <w:vAlign w:val="center"/>
          </w:tcPr>
          <w:p w14:paraId="1B5BC920">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投标文件递交地址</w:t>
            </w:r>
          </w:p>
        </w:tc>
        <w:tc>
          <w:tcPr>
            <w:tcW w:w="6677" w:type="dxa"/>
            <w:noWrap w:val="0"/>
            <w:vAlign w:val="center"/>
          </w:tcPr>
          <w:p w14:paraId="7D3E2B48">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按“招标公告”规定</w:t>
            </w:r>
          </w:p>
        </w:tc>
      </w:tr>
      <w:tr w14:paraId="6BDD5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C63906E">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p>
        </w:tc>
        <w:tc>
          <w:tcPr>
            <w:tcW w:w="1565" w:type="dxa"/>
            <w:noWrap w:val="0"/>
            <w:vAlign w:val="center"/>
          </w:tcPr>
          <w:p w14:paraId="34DEE36E">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开标时间及地址</w:t>
            </w:r>
          </w:p>
        </w:tc>
        <w:tc>
          <w:tcPr>
            <w:tcW w:w="6677" w:type="dxa"/>
            <w:noWrap w:val="0"/>
            <w:vAlign w:val="center"/>
          </w:tcPr>
          <w:p w14:paraId="5930B2F4">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按“招标公告”规定</w:t>
            </w:r>
          </w:p>
        </w:tc>
      </w:tr>
      <w:tr w14:paraId="3EE68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05C05F7E">
            <w:pPr>
              <w:spacing w:line="276" w:lineRule="auto"/>
              <w:jc w:val="center"/>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18</w:t>
            </w:r>
          </w:p>
        </w:tc>
        <w:tc>
          <w:tcPr>
            <w:tcW w:w="1565" w:type="dxa"/>
            <w:noWrap w:val="0"/>
            <w:vAlign w:val="center"/>
          </w:tcPr>
          <w:p w14:paraId="6A5D66C3">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评审办法</w:t>
            </w:r>
          </w:p>
        </w:tc>
        <w:tc>
          <w:tcPr>
            <w:tcW w:w="6677" w:type="dxa"/>
            <w:noWrap w:val="0"/>
            <w:vAlign w:val="center"/>
          </w:tcPr>
          <w:p w14:paraId="095B95FC">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详见《第四章 评审办法及评分标准》。</w:t>
            </w:r>
          </w:p>
        </w:tc>
      </w:tr>
      <w:tr w14:paraId="5C8A2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EE59FE4">
            <w:pPr>
              <w:spacing w:line="276" w:lineRule="auto"/>
              <w:jc w:val="center"/>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19</w:t>
            </w:r>
          </w:p>
        </w:tc>
        <w:tc>
          <w:tcPr>
            <w:tcW w:w="1565" w:type="dxa"/>
            <w:noWrap w:val="0"/>
            <w:vAlign w:val="center"/>
          </w:tcPr>
          <w:p w14:paraId="65B4775B">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中标公告</w:t>
            </w:r>
          </w:p>
        </w:tc>
        <w:tc>
          <w:tcPr>
            <w:tcW w:w="6677" w:type="dxa"/>
            <w:noWrap w:val="0"/>
            <w:vAlign w:val="center"/>
          </w:tcPr>
          <w:p w14:paraId="63C0005E">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招标人将在评审结束之日起</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个工作日内确定中标（成交）单位，自中标（成交）单位确定之日起2个工作日内发出中标（成交）通知书，并发布中标公告。</w:t>
            </w:r>
          </w:p>
        </w:tc>
      </w:tr>
      <w:tr w14:paraId="45D7F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6AB0BBFD">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0</w:t>
            </w:r>
          </w:p>
        </w:tc>
        <w:tc>
          <w:tcPr>
            <w:tcW w:w="1565" w:type="dxa"/>
            <w:noWrap w:val="0"/>
            <w:vAlign w:val="center"/>
          </w:tcPr>
          <w:p w14:paraId="53770654">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合同签订</w:t>
            </w:r>
          </w:p>
        </w:tc>
        <w:tc>
          <w:tcPr>
            <w:tcW w:w="6677" w:type="dxa"/>
            <w:noWrap w:val="0"/>
            <w:vAlign w:val="center"/>
          </w:tcPr>
          <w:p w14:paraId="4C314BFA">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中标（成交）通知书发出后30天内，中标（成交）单位应持中标（成交）通知书完成与招标人的合同签订。</w:t>
            </w:r>
          </w:p>
        </w:tc>
      </w:tr>
      <w:tr w14:paraId="7982F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2E31371B">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w:t>
            </w:r>
          </w:p>
        </w:tc>
        <w:tc>
          <w:tcPr>
            <w:tcW w:w="1565" w:type="dxa"/>
            <w:noWrap w:val="0"/>
            <w:vAlign w:val="center"/>
          </w:tcPr>
          <w:p w14:paraId="6C3E41E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投标文件有效期</w:t>
            </w:r>
          </w:p>
        </w:tc>
        <w:tc>
          <w:tcPr>
            <w:tcW w:w="6677" w:type="dxa"/>
            <w:noWrap w:val="0"/>
            <w:vAlign w:val="center"/>
          </w:tcPr>
          <w:p w14:paraId="565A05DB">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u w:val="single"/>
                <w14:textFill>
                  <w14:solidFill>
                    <w14:schemeClr w14:val="tx1"/>
                  </w14:solidFill>
                </w14:textFill>
              </w:rPr>
              <w:t>自投标文件提交截止之日起</w:t>
            </w:r>
            <w:r>
              <w:rPr>
                <w:rFonts w:hint="eastAsia" w:ascii="宋体" w:hAnsi="宋体" w:eastAsia="宋体" w:cs="宋体"/>
                <w:color w:val="000000" w:themeColor="text1"/>
                <w:w w:val="90"/>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w w:val="90"/>
                <w:sz w:val="24"/>
                <w:szCs w:val="24"/>
                <w:highlight w:val="none"/>
                <w:u w:val="single"/>
                <w14:textFill>
                  <w14:solidFill>
                    <w14:schemeClr w14:val="tx1"/>
                  </w14:solidFill>
                </w14:textFill>
              </w:rPr>
              <w:t>0天</w:t>
            </w:r>
          </w:p>
        </w:tc>
      </w:tr>
      <w:tr w14:paraId="0C645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4A6250E1">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22</w:t>
            </w:r>
          </w:p>
        </w:tc>
        <w:tc>
          <w:tcPr>
            <w:tcW w:w="1565" w:type="dxa"/>
            <w:noWrap w:val="0"/>
            <w:vAlign w:val="center"/>
          </w:tcPr>
          <w:p w14:paraId="433A3DA0">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代理服务费</w:t>
            </w:r>
          </w:p>
        </w:tc>
        <w:tc>
          <w:tcPr>
            <w:tcW w:w="6677" w:type="dxa"/>
            <w:noWrap w:val="0"/>
            <w:vAlign w:val="center"/>
          </w:tcPr>
          <w:p w14:paraId="26D10519">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中标人在领取中标通知书同时向招标代理机构支付招标代理服务费，根据原国家计委《招标代理服务收费管理暂行办法》（[2002]1980号）的服务类收费标准按</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w w:val="90"/>
                <w:sz w:val="24"/>
                <w:szCs w:val="24"/>
                <w:highlight w:val="none"/>
                <w:lang w:eastAsia="zh-CN"/>
                <w14:textFill>
                  <w14:solidFill>
                    <w14:schemeClr w14:val="tx1"/>
                  </w14:solidFill>
                </w14:textFill>
              </w:rPr>
              <w:t>000元计取</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(各标段按照比例分摊支付）</w:t>
            </w:r>
            <w:r>
              <w:rPr>
                <w:rFonts w:hint="eastAsia" w:ascii="宋体" w:hAnsi="宋体" w:eastAsia="宋体" w:cs="宋体"/>
                <w:color w:val="000000" w:themeColor="text1"/>
                <w:w w:val="90"/>
                <w:sz w:val="24"/>
                <w:szCs w:val="24"/>
                <w:highlight w:val="none"/>
                <w:lang w:eastAsia="zh-CN"/>
                <w14:textFill>
                  <w14:solidFill>
                    <w14:schemeClr w14:val="tx1"/>
                  </w14:solidFill>
                </w14:textFill>
              </w:rPr>
              <w:t>。此部分费用自行考虑。</w:t>
            </w:r>
          </w:p>
          <w:p w14:paraId="7BAE1A1D">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户  名</w:t>
            </w:r>
            <w:r>
              <w:rPr>
                <w:rFonts w:hint="eastAsia" w:ascii="宋体" w:hAnsi="宋体" w:eastAsia="宋体" w:cs="宋体"/>
                <w:color w:val="000000" w:themeColor="text1"/>
                <w:w w:val="90"/>
                <w:sz w:val="24"/>
                <w:szCs w:val="24"/>
                <w:highlight w:val="none"/>
                <w:lang w:eastAsia="zh-CN"/>
                <w14:textFill>
                  <w14:solidFill>
                    <w14:schemeClr w14:val="tx1"/>
                  </w14:solidFill>
                </w14:textFill>
              </w:rPr>
              <w:t>：浙江之信工程项目管理有限公司</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苍南分公司</w:t>
            </w:r>
          </w:p>
          <w:p w14:paraId="1D1C0DF1">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 xml:space="preserve">帐  号：1203284609200032382        </w:t>
            </w:r>
          </w:p>
          <w:p w14:paraId="0BA4FC0D">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开户行：工行苍南县支行江湾分理处</w:t>
            </w:r>
          </w:p>
        </w:tc>
      </w:tr>
      <w:tr w14:paraId="01ECA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75CACAC7">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3</w:t>
            </w:r>
          </w:p>
        </w:tc>
        <w:tc>
          <w:tcPr>
            <w:tcW w:w="1565" w:type="dxa"/>
            <w:noWrap w:val="0"/>
            <w:vAlign w:val="center"/>
          </w:tcPr>
          <w:p w14:paraId="6CFEEDE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供应商代表出席开标大会注意事项</w:t>
            </w:r>
          </w:p>
        </w:tc>
        <w:tc>
          <w:tcPr>
            <w:tcW w:w="6677" w:type="dxa"/>
            <w:noWrap w:val="0"/>
            <w:vAlign w:val="center"/>
          </w:tcPr>
          <w:p w14:paraId="185D449F">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投标银行应派其</w:t>
            </w:r>
            <w:r>
              <w:rPr>
                <w:rFonts w:hint="eastAsia" w:ascii="宋体" w:hAnsi="宋体" w:eastAsia="宋体" w:cs="宋体"/>
                <w:color w:val="000000" w:themeColor="text1"/>
                <w:w w:val="9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w w:val="90"/>
                <w:sz w:val="24"/>
                <w:szCs w:val="24"/>
                <w:highlight w:val="none"/>
                <w14:textFill>
                  <w14:solidFill>
                    <w14:schemeClr w14:val="tx1"/>
                  </w14:solidFill>
                </w14:textFill>
              </w:rPr>
              <w:t>或</w:t>
            </w:r>
            <w:r>
              <w:rPr>
                <w:rFonts w:hint="eastAsia" w:ascii="宋体" w:hAnsi="宋体" w:eastAsia="宋体" w:cs="宋体"/>
                <w:color w:val="000000" w:themeColor="text1"/>
                <w:w w:val="9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w w:val="90"/>
                <w:sz w:val="24"/>
                <w:szCs w:val="24"/>
                <w:highlight w:val="none"/>
                <w14:textFill>
                  <w14:solidFill>
                    <w14:schemeClr w14:val="tx1"/>
                  </w14:solidFill>
                </w14:textFill>
              </w:rPr>
              <w:t>授权代表参加开标大会，否则事后不得对</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相关人员、开标过程和开标结果提出异议。</w:t>
            </w:r>
          </w:p>
        </w:tc>
      </w:tr>
      <w:tr w14:paraId="00754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C6D0513">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p>
        </w:tc>
        <w:tc>
          <w:tcPr>
            <w:tcW w:w="1565" w:type="dxa"/>
            <w:noWrap w:val="0"/>
            <w:vAlign w:val="center"/>
          </w:tcPr>
          <w:p w14:paraId="27BFDA88">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重要提醒</w:t>
            </w:r>
          </w:p>
        </w:tc>
        <w:tc>
          <w:tcPr>
            <w:tcW w:w="6677" w:type="dxa"/>
            <w:noWrap w:val="0"/>
            <w:vAlign w:val="center"/>
          </w:tcPr>
          <w:p w14:paraId="13E42EB0">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（1）投标银行在编制投标文件时应作出符合客观事实的真实响应，任何的“虚假响应”或者“虚假应标”均将被视为“提供虚假材料”行为，并按照“提供虚假材料”进行处理。</w:t>
            </w:r>
          </w:p>
          <w:p w14:paraId="71D57C87">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（2）招标文件中标注“▲”的技术或商务条款均为实质性要求条款，不满足实质性要求条款的投标无效。</w:t>
            </w:r>
          </w:p>
        </w:tc>
      </w:tr>
      <w:tr w14:paraId="099E2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AB5680D">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p>
        </w:tc>
        <w:tc>
          <w:tcPr>
            <w:tcW w:w="1565" w:type="dxa"/>
            <w:noWrap w:val="0"/>
            <w:vAlign w:val="center"/>
          </w:tcPr>
          <w:p w14:paraId="77A27776">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解释</w:t>
            </w:r>
          </w:p>
        </w:tc>
        <w:tc>
          <w:tcPr>
            <w:tcW w:w="6677" w:type="dxa"/>
            <w:noWrap w:val="0"/>
            <w:vAlign w:val="center"/>
          </w:tcPr>
          <w:p w14:paraId="3FB4C70D">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本《招标文件》电子稿与纸质版本具有同等效力，如发现不一致，请投标银行在规定的提疑时间前向</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组织机构提出，招标文件的解释权属于招标人及</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组织机构所有。</w:t>
            </w:r>
          </w:p>
        </w:tc>
      </w:tr>
    </w:tbl>
    <w:p w14:paraId="33AEC7B3">
      <w:pPr>
        <w:rPr>
          <w:rFonts w:hint="eastAsia" w:ascii="宋体" w:hAnsi="宋体" w:eastAsia="宋体" w:cs="宋体"/>
          <w:color w:val="000000" w:themeColor="text1"/>
          <w:highlight w:val="none"/>
          <w14:textFill>
            <w14:solidFill>
              <w14:schemeClr w14:val="tx1"/>
            </w14:solidFill>
          </w14:textFill>
        </w:rPr>
      </w:pPr>
      <w:bookmarkStart w:id="33" w:name="_Toc424164154"/>
    </w:p>
    <w:p w14:paraId="3575FB46">
      <w:pPr>
        <w:rPr>
          <w:rFonts w:hint="eastAsia" w:ascii="宋体" w:hAnsi="宋体" w:eastAsia="宋体" w:cs="宋体"/>
          <w:color w:val="000000" w:themeColor="text1"/>
          <w:highlight w:val="none"/>
          <w14:textFill>
            <w14:solidFill>
              <w14:schemeClr w14:val="tx1"/>
            </w14:solidFill>
          </w14:textFill>
        </w:rPr>
      </w:pPr>
    </w:p>
    <w:p w14:paraId="594CA803">
      <w:pPr>
        <w:rPr>
          <w:rFonts w:hint="eastAsia" w:ascii="宋体" w:hAnsi="宋体" w:eastAsia="宋体" w:cs="宋体"/>
          <w:color w:val="000000" w:themeColor="text1"/>
          <w:highlight w:val="none"/>
          <w14:textFill>
            <w14:solidFill>
              <w14:schemeClr w14:val="tx1"/>
            </w14:solidFill>
          </w14:textFill>
        </w:rPr>
      </w:pPr>
    </w:p>
    <w:p w14:paraId="799802D3">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4" w:name="_Toc115"/>
      <w:bookmarkStart w:id="35" w:name="_Toc13057"/>
      <w:bookmarkStart w:id="36" w:name="_Toc23788"/>
      <w:bookmarkStart w:id="37" w:name="_Toc446950603"/>
      <w:bookmarkStart w:id="38" w:name="_Toc452032117"/>
      <w:bookmarkStart w:id="39" w:name="_Toc32637"/>
      <w:bookmarkStart w:id="40" w:name="_Toc29702"/>
      <w:bookmarkStart w:id="41" w:name="_Toc440162786"/>
      <w:r>
        <w:rPr>
          <w:rFonts w:hint="eastAsia" w:ascii="宋体" w:hAnsi="宋体" w:eastAsia="宋体" w:cs="宋体"/>
          <w:color w:val="000000" w:themeColor="text1"/>
          <w:highlight w:val="none"/>
          <w14:textFill>
            <w14:solidFill>
              <w14:schemeClr w14:val="tx1"/>
            </w14:solidFill>
          </w14:textFill>
        </w:rPr>
        <w:t>一、总则</w:t>
      </w:r>
      <w:bookmarkEnd w:id="33"/>
      <w:bookmarkEnd w:id="34"/>
      <w:bookmarkEnd w:id="35"/>
      <w:bookmarkEnd w:id="36"/>
      <w:bookmarkEnd w:id="37"/>
      <w:bookmarkEnd w:id="38"/>
      <w:bookmarkEnd w:id="39"/>
      <w:bookmarkEnd w:id="40"/>
      <w:bookmarkEnd w:id="41"/>
    </w:p>
    <w:p w14:paraId="16A8C090">
      <w:pPr>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1、实施依据及适用范围</w:t>
      </w:r>
    </w:p>
    <w:p w14:paraId="02BB52A1">
      <w:pPr>
        <w:ind w:firstLine="460" w:firstLineChars="1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1.1实施依据：本次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工作是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根据《浙江省财政厅关于印发浙江省省级行政事业单位公款竞争性存放管理办法的通知》（浙财预执〔2021〕7号）、《苍南县县级预算单位公款竞争性存放管理暂行办法》（苍政办〔2019〕7号）</w:t>
      </w:r>
      <w:r>
        <w:rPr>
          <w:rFonts w:hint="eastAsia" w:ascii="宋体" w:hAnsi="宋体" w:eastAsia="宋体" w:cs="宋体"/>
          <w:color w:val="000000" w:themeColor="text1"/>
          <w:kern w:val="0"/>
          <w:sz w:val="24"/>
          <w:szCs w:val="24"/>
          <w:highlight w:val="none"/>
          <w14:textFill>
            <w14:solidFill>
              <w14:schemeClr w14:val="tx1"/>
            </w14:solidFill>
          </w14:textFill>
        </w:rPr>
        <w:t>有关规定组织和实施。</w:t>
      </w:r>
    </w:p>
    <w:p w14:paraId="1EF5870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1.2本《招标文件》适用于</w:t>
      </w:r>
      <w:r>
        <w:rPr>
          <w:rFonts w:hint="eastAsia" w:ascii="宋体" w:hAnsi="宋体" w:eastAsia="宋体" w:cs="宋体"/>
          <w:b/>
          <w:color w:val="000000" w:themeColor="text1"/>
          <w:kern w:val="0"/>
          <w:sz w:val="24"/>
          <w:szCs w:val="24"/>
          <w:highlight w:val="none"/>
          <w:u w:val="singl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kern w:val="0"/>
          <w:sz w:val="24"/>
          <w:szCs w:val="24"/>
          <w:highlight w:val="none"/>
          <w14:textFill>
            <w14:solidFill>
              <w14:schemeClr w14:val="tx1"/>
            </w14:solidFill>
          </w14:textFill>
        </w:rPr>
        <w:t>的招标、评标、定标、验收、合同履约等（法律、法规另有规定的，从其规定）。</w:t>
      </w:r>
    </w:p>
    <w:p w14:paraId="6D750B4F">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2、定义</w:t>
      </w:r>
    </w:p>
    <w:p w14:paraId="4AE36112">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2.1“招标人”系指提出本次招标的“</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苍南县测绘院</w:t>
      </w:r>
      <w:r>
        <w:rPr>
          <w:rFonts w:hint="eastAsia" w:ascii="宋体" w:hAnsi="宋体" w:eastAsia="宋体" w:cs="宋体"/>
          <w:b/>
          <w:color w:val="000000" w:themeColor="text1"/>
          <w:kern w:val="0"/>
          <w:sz w:val="24"/>
          <w:szCs w:val="24"/>
          <w:highlight w:val="none"/>
          <w14:textFill>
            <w14:solidFill>
              <w14:schemeClr w14:val="tx1"/>
            </w14:solidFill>
          </w14:textFill>
        </w:rPr>
        <w:t>”，即合同中的“甲方”</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FD5E841">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代理机构）”均系指受招标人委托组织本次招标活动的</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浙江之信工程项目管理有限公司</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71F1A4EC">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2.3“投标银行”系指在规定的时间和地点向招标人提交投标响应文件的供应商。</w:t>
      </w:r>
    </w:p>
    <w:p w14:paraId="62BA70E0">
      <w:pPr>
        <w:ind w:firstLine="456" w:firstLineChars="1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2.4“投标银行代表”</w:t>
      </w:r>
      <w:r>
        <w:rPr>
          <w:rFonts w:hint="eastAsia" w:ascii="宋体" w:hAnsi="宋体" w:eastAsia="宋体" w:cs="宋体"/>
          <w:color w:val="000000" w:themeColor="text1"/>
          <w:sz w:val="24"/>
          <w:szCs w:val="24"/>
          <w:highlight w:val="none"/>
          <w14:textFill>
            <w14:solidFill>
              <w14:schemeClr w14:val="tx1"/>
            </w14:solidFill>
          </w14:textFill>
        </w:rPr>
        <w:t>是指参加本项目投标活动的投标银行的</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授权代表。</w:t>
      </w:r>
    </w:p>
    <w:p w14:paraId="7A63C5DD">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2.5“中标（成交）供应商”系指经评审小组推荐并经招标人确认的中标成交单位，</w:t>
      </w:r>
      <w:r>
        <w:rPr>
          <w:rFonts w:hint="eastAsia" w:ascii="宋体" w:hAnsi="宋体" w:eastAsia="宋体" w:cs="宋体"/>
          <w:b/>
          <w:color w:val="000000" w:themeColor="text1"/>
          <w:kern w:val="0"/>
          <w:sz w:val="24"/>
          <w:szCs w:val="24"/>
          <w:highlight w:val="none"/>
          <w14:textFill>
            <w14:solidFill>
              <w14:schemeClr w14:val="tx1"/>
            </w14:solidFill>
          </w14:textFill>
        </w:rPr>
        <w:t>即合同中的“乙方”</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9876045">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2.6“产品”系指投标银行按《招标文件》规定向招标人提供的存款存放服务。</w:t>
      </w:r>
    </w:p>
    <w:p w14:paraId="2EBA337C">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2.7“书面形式”系指加盖有单位公章的信函、传真、电子扫描件等。</w:t>
      </w:r>
    </w:p>
    <w:p w14:paraId="35BAA0CB">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2.8“个人有效身份证明”系指公安部门出具的“有效居民身份证”或“护照”或“驾驶证”。</w:t>
      </w:r>
    </w:p>
    <w:p w14:paraId="7919AB45">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方式和</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组织类型</w:t>
      </w:r>
    </w:p>
    <w:p w14:paraId="2B9941F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组织类型：</w:t>
      </w:r>
      <w:r>
        <w:rPr>
          <w:rFonts w:hint="eastAsia" w:ascii="宋体" w:hAnsi="宋体" w:eastAsia="宋体" w:cs="宋体"/>
          <w:b/>
          <w:color w:val="000000" w:themeColor="text1"/>
          <w:kern w:val="0"/>
          <w:sz w:val="24"/>
          <w:szCs w:val="24"/>
          <w:highlight w:val="none"/>
          <w14:textFill>
            <w14:solidFill>
              <w14:schemeClr w14:val="tx1"/>
            </w14:solidFill>
          </w14:textFill>
        </w:rPr>
        <w:t>委托代理。</w:t>
      </w:r>
    </w:p>
    <w:p w14:paraId="393B0943">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4、投标委托</w:t>
      </w:r>
    </w:p>
    <w:p w14:paraId="0CC22611">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投标银行的法定代表人可以授权其单位的其他在职员工全权处理本次投标事项，但其授权代表必须持有法定代表人出具的授权委托书，</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b/>
          <w:color w:val="000000" w:themeColor="text1"/>
          <w:sz w:val="24"/>
          <w:szCs w:val="24"/>
          <w:highlight w:val="none"/>
          <w14:textFill>
            <w14:solidFill>
              <w14:schemeClr w14:val="tx1"/>
            </w14:solidFill>
          </w14:textFill>
        </w:rPr>
        <w:t>授权委托书必须经法定代表人签字（或盖章），否则视为无效授权（等同未提供）。</w:t>
      </w:r>
    </w:p>
    <w:p w14:paraId="563FEE0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5、投标费用</w:t>
      </w:r>
    </w:p>
    <w:p w14:paraId="201BF007">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不论投标结果如何，投标银行均应自行承担所有与投标有关的全部费用，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组织机构概不负责。</w:t>
      </w:r>
    </w:p>
    <w:p w14:paraId="7C1B9D16">
      <w:pPr>
        <w:ind w:firstLine="426"/>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6、联合体投标：不接受。</w:t>
      </w:r>
    </w:p>
    <w:p w14:paraId="2708B8F7">
      <w:pPr>
        <w:ind w:firstLine="446"/>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7、关联供应商投标限制：隶属于同一</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b/>
          <w:color w:val="000000" w:themeColor="text1"/>
          <w:kern w:val="0"/>
          <w:sz w:val="24"/>
          <w:szCs w:val="24"/>
          <w:highlight w:val="none"/>
          <w14:textFill>
            <w14:solidFill>
              <w14:schemeClr w14:val="tx1"/>
            </w14:solidFill>
          </w14:textFill>
        </w:rPr>
        <w:t>的银行机构不得同时参加本次项目同一合同项下的投标。</w:t>
      </w:r>
    </w:p>
    <w:p w14:paraId="0D05FED9">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8、转包、分包：不允许。</w:t>
      </w:r>
    </w:p>
    <w:p w14:paraId="39F828A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9、特别说明：</w:t>
      </w:r>
    </w:p>
    <w:p w14:paraId="54BA43AD">
      <w:pPr>
        <w:ind w:left="-36" w:leftChars="-15" w:firstLine="496" w:firstLineChars="20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9.1除采用最低评标价法的项目外，直接或者间接受招标人控制的当事人，或者与招标人受共同上级控制的当事人，为本次招标进行设计或编制规范和其他文件的当事人，或者直接或间接地与为本次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进行设计或编制规范、其他文件的个人、企业、</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代理机构或其附属机构有关联关系的当事人，不得参加本项目投标。</w:t>
      </w:r>
    </w:p>
    <w:p w14:paraId="77E9B4C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9.2投标银行投标所使用的资格、信誉、荣誉、投标银行业绩与企业认证必须为本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szCs w:val="24"/>
          <w:highlight w:val="none"/>
          <w14:textFill>
            <w14:solidFill>
              <w14:schemeClr w14:val="tx1"/>
            </w14:solidFill>
          </w14:textFill>
        </w:rPr>
        <w:t>所拥有。</w:t>
      </w:r>
    </w:p>
    <w:p w14:paraId="768AEF3D">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9.3投标银行在投标活动中提供任何虚假材料或从事其他违法活动的，其投标无效，并报监管部门查处；中标后发现的，须依照相关规定双倍赔偿给招标人。且民事赔偿并不免除违法投标银行的行政与刑事责任。</w:t>
      </w:r>
    </w:p>
    <w:p w14:paraId="68F467D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9.4投标银行应仔细阅读《招标文件》的所有内容，按照《招标文件》的要求提交《投标文件》。《投标文件》应对《招标文件》的要求作出实质性响应，并对所提供的全部资料的真实性承担法律责任。</w:t>
      </w:r>
    </w:p>
    <w:p w14:paraId="2339BCD0">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10、质疑和投诉</w:t>
      </w:r>
    </w:p>
    <w:p w14:paraId="506D050F">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w:t>
      </w:r>
      <w:r>
        <w:rPr>
          <w:rFonts w:hint="eastAsia" w:ascii="宋体" w:hAnsi="宋体" w:eastAsia="宋体" w:cs="宋体"/>
          <w:color w:val="000000" w:themeColor="text1"/>
          <w:sz w:val="24"/>
          <w:szCs w:val="24"/>
          <w:highlight w:val="none"/>
          <w14:textFill>
            <w14:solidFill>
              <w14:schemeClr w14:val="tx1"/>
            </w14:solidFill>
          </w14:textFill>
        </w:rPr>
        <w:t>如发现招标文件存在含糊不清、相互矛盾、多种含义以及歧视性不公正条款或违法违规等内容时，请在规定的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hint="eastAsia" w:ascii="宋体" w:hAnsi="宋体" w:eastAsia="宋体" w:cs="宋体"/>
          <w:color w:val="000000" w:themeColor="text1"/>
          <w:sz w:val="24"/>
          <w:szCs w:val="24"/>
          <w:highlight w:val="none"/>
          <w14:textFill>
            <w14:solidFill>
              <w14:schemeClr w14:val="tx1"/>
            </w14:solidFill>
          </w14:textFill>
        </w:rPr>
        <w:t>疑截止时间前提出，逾期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不接收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投标银行对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2"/>
          <w:sz w:val="24"/>
          <w:szCs w:val="24"/>
          <w:highlight w:val="none"/>
          <w14:textFill>
            <w14:solidFill>
              <w14:schemeClr w14:val="tx1"/>
            </w14:solidFill>
          </w14:textFill>
        </w:rPr>
        <w:t>组织机构的质疑答复不满意或者</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2"/>
          <w:sz w:val="24"/>
          <w:szCs w:val="24"/>
          <w:highlight w:val="none"/>
          <w14:textFill>
            <w14:solidFill>
              <w14:schemeClr w14:val="tx1"/>
            </w14:solidFill>
          </w14:textFill>
        </w:rPr>
        <w:t>组织机构未在规定时间内作出答复的，可以在答复期满后十五个工作日内向监管部门投诉。</w:t>
      </w:r>
    </w:p>
    <w:p w14:paraId="5D6C4135">
      <w:pPr>
        <w:pStyle w:val="90"/>
        <w:spacing w:line="360" w:lineRule="auto"/>
        <w:ind w:firstLine="44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质疑书须包括以下内容：</w:t>
      </w:r>
    </w:p>
    <w:p w14:paraId="69A7FA15">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（一）质疑人的名称、地址、邮政编码、联系人、联系电话、</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3D813D4E">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（二）被质疑</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项目名称、编号及</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内容；</w:t>
      </w:r>
    </w:p>
    <w:p w14:paraId="1BE82484">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（三）具体的质疑事项及事实依据；</w:t>
      </w:r>
    </w:p>
    <w:p w14:paraId="3017CAFF">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（四）认为自己合法权益受到损害或可能受到损害的相关证据材料；</w:t>
      </w:r>
    </w:p>
    <w:p w14:paraId="41C7D50D">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（五）提出质疑的日期。</w:t>
      </w:r>
    </w:p>
    <w:p w14:paraId="58DE62F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10.2投标银行认可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组织机构在质疑答复程序中启用的调查和重新评审等程序，在该程序操作过程未明显违反法律禁止性规定时，不得再提出异议。</w:t>
      </w:r>
    </w:p>
    <w:p w14:paraId="1C8DDB6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10.3质疑、投诉应当采用书面形式，经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szCs w:val="24"/>
          <w:highlight w:val="none"/>
          <w14:textFill>
            <w14:solidFill>
              <w14:schemeClr w14:val="tx1"/>
            </w14:solidFill>
          </w14:textFill>
        </w:rPr>
        <w:t>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5845D158">
      <w:pPr>
        <w:pStyle w:val="3"/>
        <w:rPr>
          <w:rFonts w:hint="eastAsia" w:ascii="宋体" w:hAnsi="宋体" w:eastAsia="宋体" w:cs="宋体"/>
          <w:color w:val="000000" w:themeColor="text1"/>
          <w:highlight w:val="none"/>
          <w14:textFill>
            <w14:solidFill>
              <w14:schemeClr w14:val="tx1"/>
            </w14:solidFill>
          </w14:textFill>
        </w:rPr>
      </w:pPr>
      <w:bookmarkStart w:id="42" w:name="_Toc424164155"/>
      <w:bookmarkStart w:id="43" w:name="_Toc446950604"/>
      <w:bookmarkStart w:id="44" w:name="_Toc6997"/>
      <w:bookmarkStart w:id="45" w:name="_Toc12657"/>
      <w:bookmarkStart w:id="46" w:name="_Toc28380"/>
      <w:bookmarkStart w:id="47" w:name="_Toc29347"/>
      <w:bookmarkStart w:id="48" w:name="_Toc440162787"/>
      <w:bookmarkStart w:id="49" w:name="_Toc452032118"/>
      <w:bookmarkStart w:id="50" w:name="_Toc18923"/>
      <w:r>
        <w:rPr>
          <w:rFonts w:hint="eastAsia" w:ascii="宋体" w:hAnsi="宋体" w:eastAsia="宋体" w:cs="宋体"/>
          <w:color w:val="000000" w:themeColor="text1"/>
          <w:highlight w:val="none"/>
          <w14:textFill>
            <w14:solidFill>
              <w14:schemeClr w14:val="tx1"/>
            </w14:solidFill>
          </w14:textFill>
        </w:rPr>
        <w:t>二、《招标文件》</w:t>
      </w:r>
      <w:bookmarkEnd w:id="42"/>
      <w:r>
        <w:rPr>
          <w:rFonts w:hint="eastAsia" w:ascii="宋体" w:hAnsi="宋体" w:eastAsia="宋体" w:cs="宋体"/>
          <w:color w:val="000000" w:themeColor="text1"/>
          <w:highlight w:val="none"/>
          <w14:textFill>
            <w14:solidFill>
              <w14:schemeClr w14:val="tx1"/>
            </w14:solidFill>
          </w14:textFill>
        </w:rPr>
        <w:t>组成与说明</w:t>
      </w:r>
      <w:bookmarkEnd w:id="43"/>
      <w:bookmarkEnd w:id="44"/>
      <w:bookmarkEnd w:id="45"/>
      <w:bookmarkEnd w:id="46"/>
      <w:bookmarkEnd w:id="47"/>
      <w:bookmarkEnd w:id="48"/>
      <w:bookmarkEnd w:id="49"/>
      <w:bookmarkEnd w:id="50"/>
    </w:p>
    <w:p w14:paraId="3EB0F3ED">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11、《招标文件》的组成</w:t>
      </w:r>
    </w:p>
    <w:p w14:paraId="1A0952B9">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第一章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公告</w:t>
      </w:r>
    </w:p>
    <w:p w14:paraId="2A391CEB">
      <w:pPr>
        <w:ind w:firstLine="463" w:firstLineChars="193"/>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第二章 招标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0AA152E9">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第三章 投标须知</w:t>
      </w:r>
    </w:p>
    <w:p w14:paraId="5AE6C368">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第四章 评审办法及标准</w:t>
      </w:r>
    </w:p>
    <w:p w14:paraId="4588B751">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第五章 合同主要条款</w:t>
      </w:r>
    </w:p>
    <w:p w14:paraId="6C211C7E">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第六章 投标文件格式</w:t>
      </w:r>
    </w:p>
    <w:p w14:paraId="3401EE35">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12、投标银行的风险</w:t>
      </w:r>
    </w:p>
    <w:p w14:paraId="4B224952">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银行没有按照《招标文件》要求提供全部资料，或者没有仔细阅读《招标文件》，或者投标银行没有对《招标文件》在各方面的要求作出实质性响应是投标银行的风险，由此造成的一切后果由投标银行自行承担。</w:t>
      </w:r>
    </w:p>
    <w:p w14:paraId="09E3E0C0">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13、《招标文件》的澄清与修改</w:t>
      </w:r>
    </w:p>
    <w:p w14:paraId="2512BD8C">
      <w:pPr>
        <w:ind w:left="1"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13.1投标银行应认真阅读《招标文件》，发现其中有误或前后矛盾或有要求不合理要求的，投标银行应按投标银行须知前附表中规定的“招标文件提疑截止时间”前以书面形式向</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组织机构发出“询问”，否则造成的一切后果由投标银行自行承担，</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组织机构概不负责。</w:t>
      </w:r>
    </w:p>
    <w:p w14:paraId="77946E3A">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组织机构将以书面形式答复投标银行询问的问题，并将不包含问题来源的答复书面通知所有登记购买《招标文件》的供应商；除书面答复以外的其他澄清方式及澄清内容均无效。</w:t>
      </w:r>
    </w:p>
    <w:p w14:paraId="0D05C8CB">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对已发出的《招标文件》进行必要澄清、答复、修改或补充的，将在《招标文件》要求提交《投标文件》截止时间三日前，在指定媒体上发布更正公告，并以书面形式通知所有登记购买《招标文件》的供应商。</w:t>
      </w:r>
    </w:p>
    <w:p w14:paraId="5028A3BC">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13.4补充（或更正）文件发出后，投标银行如认为补充（或更正）事项影响到投标文件的编制，需要延长投标截止时间和开标时间的，必须在收到补充（或更正）文件后24小时内将意见及理由以书面形式向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代理机构提出。</w:t>
      </w:r>
    </w:p>
    <w:p w14:paraId="4F5A7CED">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13.5《招标文件》澄清、答复、修改、补充的内容为《招标文件》的组成部分。当《招标文件》与《招标文件》的答复、澄清、修改、补充通知就同一内容的表述不一致时，以最后发出的书面文件为准。</w:t>
      </w:r>
    </w:p>
    <w:p w14:paraId="2434613E">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13.6《招标文件》的澄清、答复、修改或补充均通过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组织机构以法定形式发布。</w:t>
      </w:r>
    </w:p>
    <w:p w14:paraId="7D04FCEF">
      <w:pPr>
        <w:pStyle w:val="3"/>
        <w:rPr>
          <w:rFonts w:hint="eastAsia" w:ascii="宋体" w:hAnsi="宋体" w:eastAsia="宋体" w:cs="宋体"/>
          <w:b/>
          <w:color w:val="000000" w:themeColor="text1"/>
          <w:kern w:val="0"/>
          <w:sz w:val="24"/>
          <w:szCs w:val="24"/>
          <w:highlight w:val="none"/>
          <w14:textFill>
            <w14:solidFill>
              <w14:schemeClr w14:val="tx1"/>
            </w14:solidFill>
          </w14:textFill>
        </w:rPr>
      </w:pPr>
      <w:bookmarkStart w:id="51" w:name="_Toc424164156"/>
      <w:bookmarkStart w:id="52" w:name="_Toc21526"/>
      <w:bookmarkStart w:id="53" w:name="_Toc371"/>
      <w:bookmarkStart w:id="54" w:name="_Toc446950605"/>
      <w:bookmarkStart w:id="55" w:name="_Toc452032119"/>
      <w:bookmarkStart w:id="56" w:name="_Toc28150"/>
      <w:bookmarkStart w:id="57" w:name="_Toc440162788"/>
      <w:bookmarkStart w:id="58" w:name="_Toc13455"/>
      <w:bookmarkStart w:id="59" w:name="_Toc6703"/>
      <w:r>
        <w:rPr>
          <w:rFonts w:hint="eastAsia" w:ascii="宋体" w:hAnsi="宋体" w:eastAsia="宋体" w:cs="宋体"/>
          <w:color w:val="000000" w:themeColor="text1"/>
          <w:highlight w:val="none"/>
          <w14:textFill>
            <w14:solidFill>
              <w14:schemeClr w14:val="tx1"/>
            </w14:solidFill>
          </w14:textFill>
        </w:rPr>
        <w:t>三、《投标文件》的编制</w:t>
      </w:r>
      <w:bookmarkEnd w:id="51"/>
      <w:bookmarkEnd w:id="52"/>
      <w:bookmarkEnd w:id="53"/>
      <w:bookmarkEnd w:id="54"/>
      <w:bookmarkEnd w:id="55"/>
      <w:bookmarkEnd w:id="56"/>
      <w:bookmarkEnd w:id="57"/>
      <w:bookmarkEnd w:id="58"/>
      <w:bookmarkEnd w:id="59"/>
    </w:p>
    <w:p w14:paraId="589511A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14、《投标文件》的组成</w:t>
      </w:r>
    </w:p>
    <w:p w14:paraId="6FA55E06">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投标文件由以下内容组成（投标银行应按以下清单提供相关资料，否则一切风险和责任由投标银行自行承担，正副本不一致时以正本为准）：</w:t>
      </w:r>
    </w:p>
    <w:p w14:paraId="7D59DD92">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（1）“投标文件”封面</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3876E11C">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（2）“投标文件”目录</w:t>
      </w:r>
      <w:r>
        <w:rPr>
          <w:rFonts w:hint="eastAsia" w:ascii="宋体" w:hAnsi="宋体" w:eastAsia="宋体" w:cs="宋体"/>
          <w:color w:val="000000" w:themeColor="text1"/>
          <w:kern w:val="0"/>
          <w:sz w:val="24"/>
          <w:szCs w:val="24"/>
          <w:highlight w:val="none"/>
          <w14:textFill>
            <w14:solidFill>
              <w14:schemeClr w14:val="tx1"/>
            </w14:solidFill>
          </w14:textFill>
        </w:rPr>
        <w:t>（带页码，格式自拟）；</w:t>
      </w:r>
    </w:p>
    <w:p w14:paraId="4E33AC86">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（3）投标银行关于《投标文件》所有内容真实、可靠的承诺书</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79B5819F">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（4）《投标函》</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6094F9CD">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szCs w:val="24"/>
          <w:highlight w:val="none"/>
          <w14:textFill>
            <w14:solidFill>
              <w14:schemeClr w14:val="tx1"/>
            </w14:solidFill>
          </w14:textFill>
        </w:rPr>
        <w:t>）《法定代表人（或分支机构负责人）授权委托书》</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55427AFB">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szCs w:val="24"/>
          <w:highlight w:val="none"/>
          <w14:textFill>
            <w14:solidFill>
              <w14:schemeClr w14:val="tx1"/>
            </w14:solidFill>
          </w14:textFill>
        </w:rPr>
        <w:t>）《开标一览表》</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62B40B3F">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kern w:val="0"/>
          <w:sz w:val="24"/>
          <w:szCs w:val="24"/>
          <w:highlight w:val="none"/>
          <w14:textFill>
            <w14:solidFill>
              <w14:schemeClr w14:val="tx1"/>
            </w14:solidFill>
          </w14:textFill>
        </w:rPr>
        <w:t>）投标银行资格证明文件（资格证明文件不全的投标无效）：</w:t>
      </w:r>
    </w:p>
    <w:p w14:paraId="0C293864">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-1、投标银行企业营业执照（复印件，加盖投标银行公章）。</w:t>
      </w:r>
    </w:p>
    <w:p w14:paraId="168B1048">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-2、《中华人民共和国金融许可证》（复印件，加盖投标银行公章）。</w:t>
      </w:r>
    </w:p>
    <w:p w14:paraId="7488380D">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w w:val="90"/>
          <w:sz w:val="24"/>
          <w:szCs w:val="24"/>
          <w:highlight w:val="none"/>
          <w14:textFill>
            <w14:solidFill>
              <w14:schemeClr w14:val="tx1"/>
            </w14:solidFill>
          </w14:textFill>
        </w:rPr>
        <w:t>、近三年内未发生金融风险及重大违约违法违纪时间的书面声明。</w:t>
      </w:r>
    </w:p>
    <w:p w14:paraId="162BB2FA">
      <w:pPr>
        <w:ind w:firstLine="1082" w:firstLineChars="501"/>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w w:val="90"/>
          <w:sz w:val="24"/>
          <w:szCs w:val="24"/>
          <w:highlight w:val="none"/>
          <w14:textFill>
            <w14:solidFill>
              <w14:schemeClr w14:val="tx1"/>
            </w14:solidFill>
          </w14:textFill>
        </w:rPr>
        <w:t>、关于财务稳健的书面声明</w:t>
      </w:r>
      <w:r>
        <w:rPr>
          <w:rFonts w:hint="eastAsia" w:ascii="宋体" w:hAnsi="宋体" w:eastAsia="宋体" w:cs="宋体"/>
          <w:color w:val="000000" w:themeColor="text1"/>
          <w:w w:val="90"/>
          <w:sz w:val="24"/>
          <w:szCs w:val="24"/>
          <w:highlight w:val="none"/>
          <w:lang w:eastAsia="zh-CN"/>
          <w14:textFill>
            <w14:solidFill>
              <w14:schemeClr w14:val="tx1"/>
            </w14:solidFill>
          </w14:textFill>
        </w:rPr>
        <w:t>。</w:t>
      </w:r>
    </w:p>
    <w:p w14:paraId="69C528CD">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w w:val="90"/>
          <w:sz w:val="24"/>
          <w:szCs w:val="24"/>
          <w:highlight w:val="none"/>
          <w14:textFill>
            <w14:solidFill>
              <w14:schemeClr w14:val="tx1"/>
            </w14:solidFill>
          </w14:textFill>
        </w:rPr>
        <w:t>、合格投标银行资格要求中要求提供的其他材料（复印件，加盖投标银行公章）。</w:t>
      </w:r>
    </w:p>
    <w:p w14:paraId="2C766682">
      <w:pPr>
        <w:ind w:firstLine="463" w:firstLineChars="192"/>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）投标银行情况介绍</w:t>
      </w:r>
      <w:r>
        <w:rPr>
          <w:rFonts w:hint="eastAsia" w:ascii="宋体" w:hAnsi="宋体" w:eastAsia="宋体" w:cs="宋体"/>
          <w:color w:val="000000" w:themeColor="text1"/>
          <w:kern w:val="0"/>
          <w:sz w:val="24"/>
          <w:szCs w:val="24"/>
          <w:highlight w:val="none"/>
          <w14:textFill>
            <w14:solidFill>
              <w14:schemeClr w14:val="tx1"/>
            </w14:solidFill>
          </w14:textFill>
        </w:rPr>
        <w:t>【格式自拟】</w:t>
      </w:r>
      <w:r>
        <w:rPr>
          <w:rFonts w:hint="eastAsia" w:ascii="宋体" w:hAnsi="宋体" w:eastAsia="宋体" w:cs="宋体"/>
          <w:color w:val="000000" w:themeColor="text1"/>
          <w:w w:val="90"/>
          <w:sz w:val="24"/>
          <w:szCs w:val="24"/>
          <w:highlight w:val="none"/>
          <w14:textFill>
            <w14:solidFill>
              <w14:schemeClr w14:val="tx1"/>
            </w14:solidFill>
          </w14:textFill>
        </w:rPr>
        <w:t>；</w:t>
      </w:r>
    </w:p>
    <w:p w14:paraId="61BFD20B">
      <w:pPr>
        <w:ind w:firstLine="463" w:firstLineChars="192"/>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w w:val="90"/>
          <w:sz w:val="24"/>
          <w:szCs w:val="24"/>
          <w:highlight w:val="none"/>
          <w14:textFill>
            <w14:solidFill>
              <w14:schemeClr w14:val="tx1"/>
            </w14:solidFill>
          </w14:textFill>
        </w:rPr>
        <w:t>针对本项目的</w:t>
      </w:r>
      <w:r>
        <w:rPr>
          <w:rFonts w:hint="eastAsia" w:ascii="宋体" w:hAnsi="宋体" w:eastAsia="宋体" w:cs="宋体"/>
          <w:b/>
          <w:color w:val="000000" w:themeColor="text1"/>
          <w:kern w:val="0"/>
          <w:sz w:val="24"/>
          <w:szCs w:val="24"/>
          <w:highlight w:val="none"/>
          <w14:textFill>
            <w14:solidFill>
              <w14:schemeClr w14:val="tx1"/>
            </w14:solidFill>
          </w14:textFill>
        </w:rPr>
        <w:t>服务方案承诺</w:t>
      </w:r>
      <w:r>
        <w:rPr>
          <w:rFonts w:hint="eastAsia" w:ascii="宋体" w:hAnsi="宋体" w:eastAsia="宋体" w:cs="宋体"/>
          <w:b/>
          <w:color w:val="000000" w:themeColor="text1"/>
          <w:w w:val="90"/>
          <w:sz w:val="24"/>
          <w:szCs w:val="24"/>
          <w:highlight w:val="none"/>
          <w14:textFill>
            <w14:solidFill>
              <w14:schemeClr w14:val="tx1"/>
            </w14:solidFill>
          </w14:textFill>
        </w:rPr>
        <w:t>；</w:t>
      </w:r>
    </w:p>
    <w:p w14:paraId="51086698">
      <w:pPr>
        <w:ind w:firstLine="462" w:firstLineChars="213"/>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lang w:eastAsia="zh-CN"/>
          <w14:textFill>
            <w14:solidFill>
              <w14:schemeClr w14:val="tx1"/>
            </w14:solidFill>
          </w14:textFill>
        </w:rPr>
        <w:t>（</w:t>
      </w:r>
      <w:r>
        <w:rPr>
          <w:rFonts w:hint="eastAsia" w:ascii="宋体" w:hAnsi="宋体" w:eastAsia="宋体" w:cs="宋体"/>
          <w:b/>
          <w:color w:val="000000" w:themeColor="text1"/>
          <w:w w:val="90"/>
          <w:sz w:val="24"/>
          <w:szCs w:val="24"/>
          <w:highlight w:val="none"/>
          <w:lang w:val="en-US" w:eastAsia="zh-CN"/>
          <w14:textFill>
            <w14:solidFill>
              <w14:schemeClr w14:val="tx1"/>
            </w14:solidFill>
          </w14:textFill>
        </w:rPr>
        <w:t>12</w:t>
      </w:r>
      <w:r>
        <w:rPr>
          <w:rFonts w:hint="eastAsia" w:ascii="宋体" w:hAnsi="宋体" w:eastAsia="宋体" w:cs="宋体"/>
          <w:b/>
          <w:color w:val="000000" w:themeColor="text1"/>
          <w:w w:val="90"/>
          <w:sz w:val="24"/>
          <w:szCs w:val="24"/>
          <w:highlight w:val="none"/>
          <w:lang w:eastAsia="zh-CN"/>
          <w14:textFill>
            <w14:solidFill>
              <w14:schemeClr w14:val="tx1"/>
            </w14:solidFill>
          </w14:textFill>
        </w:rPr>
        <w:t>）</w:t>
      </w:r>
      <w:r>
        <w:rPr>
          <w:rFonts w:hint="eastAsia" w:ascii="宋体" w:hAnsi="宋体" w:eastAsia="宋体" w:cs="宋体"/>
          <w:b/>
          <w:color w:val="000000" w:themeColor="text1"/>
          <w:w w:val="90"/>
          <w:sz w:val="24"/>
          <w:szCs w:val="24"/>
          <w:highlight w:val="none"/>
          <w14:textFill>
            <w14:solidFill>
              <w14:schemeClr w14:val="tx1"/>
            </w14:solidFill>
          </w14:textFill>
        </w:rPr>
        <w:t>针对本项目各项指标的说明材料</w:t>
      </w:r>
      <w:r>
        <w:rPr>
          <w:rFonts w:hint="eastAsia" w:ascii="宋体" w:hAnsi="宋体" w:eastAsia="宋体" w:cs="宋体"/>
          <w:color w:val="000000" w:themeColor="text1"/>
          <w:w w:val="90"/>
          <w:sz w:val="24"/>
          <w:szCs w:val="24"/>
          <w:highlight w:val="none"/>
          <w14:textFill>
            <w14:solidFill>
              <w14:schemeClr w14:val="tx1"/>
            </w14:solidFill>
          </w14:textFill>
        </w:rPr>
        <w:t>（包括经营状况指标、服务水平指标、经济发展贡献指标、收益水平指标）【格式见第六章】</w:t>
      </w:r>
      <w:r>
        <w:rPr>
          <w:rFonts w:hint="eastAsia" w:ascii="宋体" w:hAnsi="宋体" w:eastAsia="宋体" w:cs="宋体"/>
          <w:b/>
          <w:color w:val="000000" w:themeColor="text1"/>
          <w:w w:val="90"/>
          <w:sz w:val="24"/>
          <w:szCs w:val="24"/>
          <w:highlight w:val="none"/>
          <w14:textFill>
            <w14:solidFill>
              <w14:schemeClr w14:val="tx1"/>
            </w14:solidFill>
          </w14:textFill>
        </w:rPr>
        <w:t>；</w:t>
      </w:r>
    </w:p>
    <w:p w14:paraId="63FDAC07">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）优惠承诺</w:t>
      </w:r>
      <w:r>
        <w:rPr>
          <w:rFonts w:hint="eastAsia" w:ascii="宋体" w:hAnsi="宋体" w:eastAsia="宋体" w:cs="宋体"/>
          <w:color w:val="000000" w:themeColor="text1"/>
          <w:kern w:val="0"/>
          <w:sz w:val="24"/>
          <w:szCs w:val="24"/>
          <w:highlight w:val="none"/>
          <w14:textFill>
            <w14:solidFill>
              <w14:schemeClr w14:val="tx1"/>
            </w14:solidFill>
          </w14:textFill>
        </w:rPr>
        <w:t>【含偏离说明，格式见第六章】；</w:t>
      </w:r>
    </w:p>
    <w:p w14:paraId="46A92ECA">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kern w:val="0"/>
          <w:sz w:val="24"/>
          <w:szCs w:val="24"/>
          <w:highlight w:val="none"/>
          <w14:textFill>
            <w14:solidFill>
              <w14:schemeClr w14:val="tx1"/>
            </w14:solidFill>
          </w14:textFill>
        </w:rPr>
        <w:t>）拟派服务团队成员组成情况</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1DD74DD0">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）《招标文件》中要求的或投标银行认为有必要提供的其他材料或说明。</w:t>
      </w:r>
    </w:p>
    <w:p w14:paraId="257D8F1F">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1）上述材料本《招标文件》有提供格式的，参照格式内容要求进行编制，内容或签章不齐的视同未提供。（2）《法定代表人授权委托书》必须由投标银行的法定代表人签字（或盖章）并加盖投标银行公章（其他需要签字的部分可由授权代表签字（或盖章）并加盖公章）；资格、许可证书、业绩证明材料复印件须加盖投标银行单位公章；签章不齐的视同未提供。</w:t>
      </w:r>
    </w:p>
    <w:p w14:paraId="1970974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15、《投标文件》的语言及计量</w:t>
      </w:r>
    </w:p>
    <w:p w14:paraId="75894725">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15.1《投标文件》以及投标银行与招标人就有关投标事宜的所有来往函电，均应以中文汉语书写。除签名、盖章、专用名称等特殊情形外，</w:t>
      </w:r>
      <w:r>
        <w:rPr>
          <w:rFonts w:hint="eastAsia" w:ascii="宋体" w:hAnsi="宋体" w:eastAsia="宋体" w:cs="宋体"/>
          <w:b/>
          <w:color w:val="000000" w:themeColor="text1"/>
          <w:kern w:val="0"/>
          <w:sz w:val="24"/>
          <w:szCs w:val="24"/>
          <w:highlight w:val="none"/>
          <w14:textFill>
            <w14:solidFill>
              <w14:schemeClr w14:val="tx1"/>
            </w14:solidFill>
          </w14:textFill>
        </w:rPr>
        <w:t>以中文汉语以外的文字表述的投标文件视同未提供。</w:t>
      </w:r>
    </w:p>
    <w:p w14:paraId="21E639D5">
      <w:pPr>
        <w:ind w:firstLine="460"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15.2投标计量单位，《招标文件》已有明确规定的，使用《招标文件》规定的计量单位；</w:t>
      </w:r>
      <w:r>
        <w:rPr>
          <w:rFonts w:hint="eastAsia" w:ascii="宋体" w:hAnsi="宋体" w:eastAsia="宋体" w:cs="宋体"/>
          <w:b/>
          <w:color w:val="000000" w:themeColor="text1"/>
          <w:kern w:val="0"/>
          <w:sz w:val="24"/>
          <w:szCs w:val="24"/>
          <w:highlight w:val="none"/>
          <w14:textFill>
            <w14:solidFill>
              <w14:schemeClr w14:val="tx1"/>
            </w14:solidFill>
          </w14:textFill>
        </w:rPr>
        <w:t>《招标文件》没有规定的，应采用中华人民共和国法定计量单位，否则视同未响应。</w:t>
      </w:r>
    </w:p>
    <w:p w14:paraId="18903CA6">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16、投标报价</w:t>
      </w:r>
    </w:p>
    <w:p w14:paraId="3844CCC4">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16.1投标报价应按《招标文件》中相关附表格式填写。</w:t>
      </w:r>
    </w:p>
    <w:p w14:paraId="72CC2B52">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16.2本次项目以</w:t>
      </w:r>
      <w:r>
        <w:rPr>
          <w:rFonts w:hint="eastAsia" w:ascii="宋体" w:hAnsi="宋体" w:eastAsia="宋体" w:cs="宋体"/>
          <w:b/>
          <w:color w:val="000000" w:themeColor="text1"/>
          <w:w w:val="100"/>
          <w:kern w:val="0"/>
          <w:sz w:val="24"/>
          <w:szCs w:val="24"/>
          <w:highlight w:val="none"/>
          <w14:textFill>
            <w14:solidFill>
              <w14:schemeClr w14:val="tx1"/>
            </w14:solidFill>
          </w14:textFill>
        </w:rPr>
        <w:t>符合国家利率政策的</w:t>
      </w:r>
      <w:r>
        <w:rPr>
          <w:rFonts w:hint="eastAsia" w:ascii="宋体" w:hAnsi="宋体" w:eastAsia="宋体" w:cs="宋体"/>
          <w:b/>
          <w:color w:val="000000" w:themeColor="text1"/>
          <w:w w:val="10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w w:val="100"/>
          <w:kern w:val="0"/>
          <w:sz w:val="24"/>
          <w:szCs w:val="24"/>
          <w:highlight w:val="none"/>
          <w:lang w:val="en-US" w:eastAsia="zh-CN"/>
          <w14:textFill>
            <w14:solidFill>
              <w14:schemeClr w14:val="tx1"/>
            </w14:solidFill>
          </w14:textFill>
        </w:rPr>
        <w:t>定期存款利率</w:t>
      </w:r>
      <w:r>
        <w:rPr>
          <w:rFonts w:hint="eastAsia" w:ascii="宋体" w:hAnsi="宋体" w:eastAsia="宋体" w:cs="宋体"/>
          <w:b/>
          <w:color w:val="000000" w:themeColor="text1"/>
          <w:w w:val="10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报价。</w:t>
      </w:r>
    </w:p>
    <w:p w14:paraId="1BF3803B">
      <w:pPr>
        <w:ind w:firstLine="465" w:firstLineChars="193"/>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16.3《投标文件》只允许有一个报价，有选择的报价将不予接受。</w:t>
      </w:r>
    </w:p>
    <w:p w14:paraId="3F4B5E9F">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17、《投标文件》的有效期</w:t>
      </w:r>
    </w:p>
    <w:p w14:paraId="28EC4C8F">
      <w:pPr>
        <w:ind w:firstLine="465" w:firstLineChars="193"/>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17.1</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自投标截止日起</w:t>
      </w:r>
      <w:r>
        <w:rPr>
          <w:rFonts w:hint="eastAsia" w:ascii="宋体" w:hAnsi="宋体" w:eastAsia="宋体" w:cs="宋体"/>
          <w:b/>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b/>
          <w:color w:val="000000" w:themeColor="text1"/>
          <w:kern w:val="0"/>
          <w:sz w:val="24"/>
          <w:szCs w:val="24"/>
          <w:highlight w:val="none"/>
          <w:u w:val="single"/>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天内《投标文件》应保持有效。投标文件有效期短于这个规定期限的投标将作无效标处理。</w:t>
      </w:r>
    </w:p>
    <w:p w14:paraId="3F426F5B">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17.2在特殊情况下，招标人可与投标银行协商延长《投标文件》的有效期，这种要求和答复均以书面形式进行。</w:t>
      </w:r>
    </w:p>
    <w:p w14:paraId="0C62AFBF">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17.3投标银行可拒绝接受延期要求。同意延长有效期的，但不能修改《投标文件》。</w:t>
      </w:r>
    </w:p>
    <w:p w14:paraId="06F67ACE">
      <w:pPr>
        <w:ind w:firstLine="460"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17.4中标（成交）供应商的《投标文件》自开标之日起至合同履行完毕止均应保持有效。</w:t>
      </w:r>
    </w:p>
    <w:p w14:paraId="4E747548">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、《投标文件》的签署和份数</w:t>
      </w:r>
    </w:p>
    <w:p w14:paraId="7BBC1970">
      <w:pPr>
        <w:ind w:firstLine="460" w:firstLineChars="192"/>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.1投标银行应按照本《招标文件》规定的格式和顺序编制、装订《投标文件》，《投标文件》内容不完整、编排混乱导致《投标文件》被误读、漏读或者查找不到相关内容的，是投标银行的责任。▲</w:t>
      </w:r>
      <w:r>
        <w:rPr>
          <w:rFonts w:hint="eastAsia" w:ascii="宋体" w:hAnsi="宋体" w:eastAsia="宋体" w:cs="宋体"/>
          <w:b/>
          <w:color w:val="000000" w:themeColor="text1"/>
          <w:kern w:val="0"/>
          <w:sz w:val="24"/>
          <w:szCs w:val="24"/>
          <w:highlight w:val="none"/>
          <w14:textFill>
            <w14:solidFill>
              <w14:schemeClr w14:val="tx1"/>
            </w14:solidFill>
          </w14:textFill>
        </w:rPr>
        <w:t>《投标文件》</w:t>
      </w:r>
      <w:r>
        <w:rPr>
          <w:rFonts w:hint="eastAsia" w:ascii="宋体" w:hAnsi="宋体" w:eastAsia="宋体" w:cs="宋体"/>
          <w:b/>
          <w:color w:val="000000" w:themeColor="text1"/>
          <w:kern w:val="0"/>
          <w:sz w:val="24"/>
          <w:szCs w:val="24"/>
          <w:highlight w:val="none"/>
          <w:u w:val="single"/>
          <w14:textFill>
            <w14:solidFill>
              <w14:schemeClr w14:val="tx1"/>
            </w14:solidFill>
          </w14:textFill>
        </w:rPr>
        <w:t>纸质版本不得采用任何形式的活页装订，任何形式活页装订的投标文件将作无效标处理（活页装订是指不借助工具的情况下就随时可以拆卸替换复原的装订方式，投标文件建议采用胶装）。</w:t>
      </w:r>
    </w:p>
    <w:p w14:paraId="27E771D6">
      <w:pPr>
        <w:ind w:firstLine="463" w:firstLineChars="192"/>
        <w:rPr>
          <w:rFonts w:hint="eastAsia" w:ascii="宋体" w:hAnsi="宋体" w:eastAsia="宋体" w:cs="宋体"/>
          <w:b/>
          <w:color w:val="000000" w:themeColor="text1"/>
          <w:kern w:val="0"/>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.2为方便评委独立评审，《投标文件》提供正本一册、副本四册，单独装订成册，并在封面注明“正本”或“副本”字样。</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投标文件数量不符合本条款规定的（不影响评审的情况除外）做无效标处理。</w:t>
      </w:r>
    </w:p>
    <w:p w14:paraId="6D951836">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.3《投标文件》的正本应打印或用不褪色的墨水填写，正本除招标文件规定的可提供复印件外均须提供原件（复印件须加盖投标银行公章），否则视为未提供。《投标文件》副本可以是正本的复印件。</w:t>
      </w:r>
    </w:p>
    <w:p w14:paraId="6E99324B">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.4投标银行应按招标文件的要求在其《投标文件》相应处盖章并签署（或盖章），否则视为未提供。</w:t>
      </w:r>
    </w:p>
    <w:p w14:paraId="12A37E61">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.5《投标文件》不得涂改，若有修改，须加盖投标银行单位公章或者法定代表人或授权委托人签字（或盖章）。</w:t>
      </w:r>
      <w:r>
        <w:rPr>
          <w:rFonts w:hint="eastAsia" w:ascii="宋体" w:hAnsi="宋体" w:eastAsia="宋体" w:cs="宋体"/>
          <w:b/>
          <w:color w:val="000000" w:themeColor="text1"/>
          <w:kern w:val="0"/>
          <w:sz w:val="24"/>
          <w:szCs w:val="24"/>
          <w:highlight w:val="none"/>
          <w14:textFill>
            <w14:solidFill>
              <w14:schemeClr w14:val="tx1"/>
            </w14:solidFill>
          </w14:textFill>
        </w:rPr>
        <w:t>《投标文件》因字迹潦草或表达不清所引起的后果由投标银行负责</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8968659">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b/>
          <w:color w:val="000000" w:themeColor="text1"/>
          <w:kern w:val="0"/>
          <w:sz w:val="24"/>
          <w:szCs w:val="24"/>
          <w:highlight w:val="none"/>
          <w14:textFill>
            <w14:solidFill>
              <w14:schemeClr w14:val="tx1"/>
            </w14:solidFill>
          </w14:textFill>
        </w:rPr>
        <w:t>、《投标文件》的包装、递交、修改和撤回</w:t>
      </w:r>
    </w:p>
    <w:p w14:paraId="3C96E716">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19.1</w:t>
      </w:r>
      <w:r>
        <w:rPr>
          <w:rFonts w:hint="eastAsia" w:ascii="宋体" w:hAnsi="宋体" w:eastAsia="宋体" w:cs="宋体"/>
          <w:color w:val="000000" w:themeColor="text1"/>
          <w:kern w:val="0"/>
          <w:sz w:val="24"/>
          <w:szCs w:val="24"/>
          <w:highlight w:val="none"/>
          <w14:textFill>
            <w14:solidFill>
              <w14:schemeClr w14:val="tx1"/>
            </w14:solidFill>
          </w14:textFill>
        </w:rPr>
        <w:t>供应商在投标截止时间前可以补充、修改或者撤回投标文件。</w:t>
      </w:r>
    </w:p>
    <w:p w14:paraId="7D40B995">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19.2</w:t>
      </w:r>
      <w:r>
        <w:rPr>
          <w:rFonts w:hint="eastAsia" w:ascii="宋体" w:hAnsi="宋体" w:eastAsia="宋体" w:cs="宋体"/>
          <w:color w:val="000000" w:themeColor="text1"/>
          <w:kern w:val="0"/>
          <w:sz w:val="24"/>
          <w:szCs w:val="24"/>
          <w:highlight w:val="none"/>
          <w14:textFill>
            <w14:solidFill>
              <w14:schemeClr w14:val="tx1"/>
            </w14:solidFill>
          </w14:textFill>
        </w:rPr>
        <w:t>补充或者修改投标文件的，应当先行撤回原投标文件，补充、修改后重新上传递交。</w:t>
      </w:r>
    </w:p>
    <w:p w14:paraId="324A4C88">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19.3</w:t>
      </w:r>
      <w:r>
        <w:rPr>
          <w:rFonts w:hint="eastAsia" w:ascii="宋体" w:hAnsi="宋体" w:eastAsia="宋体" w:cs="宋体"/>
          <w:color w:val="000000" w:themeColor="text1"/>
          <w:kern w:val="0"/>
          <w:sz w:val="24"/>
          <w:szCs w:val="24"/>
          <w:highlight w:val="none"/>
          <w14:textFill>
            <w14:solidFill>
              <w14:schemeClr w14:val="tx1"/>
            </w14:solidFill>
          </w14:textFill>
        </w:rPr>
        <w:t>投标截止时间前未完成上传的，视为撤回投标文件。</w:t>
      </w:r>
    </w:p>
    <w:p w14:paraId="77B55E5E">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kern w:val="0"/>
          <w:sz w:val="24"/>
          <w:szCs w:val="24"/>
          <w:highlight w:val="none"/>
          <w14:textFill>
            <w14:solidFill>
              <w14:schemeClr w14:val="tx1"/>
            </w14:solidFill>
          </w14:textFill>
        </w:rPr>
        <w:t>.4投标银行存在下列情形之一的投标文件将被拒收：</w:t>
      </w:r>
    </w:p>
    <w:p w14:paraId="2A457872">
      <w:pPr>
        <w:numPr>
          <w:ilvl w:val="0"/>
          <w:numId w:val="6"/>
        </w:num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《投标文件》未在招标文件标明的投标截止时间前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上传</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6F86D38">
      <w:pPr>
        <w:ind w:firstLine="460" w:firstLineChars="1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（2）《投标文件》未按本《招标文件》规定密封的。</w:t>
      </w:r>
    </w:p>
    <w:p w14:paraId="54C81FEA">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、投标无效的情形</w:t>
      </w:r>
    </w:p>
    <w:p w14:paraId="41DA6777">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实质上没有响应《招标文件》要求的投标将被视为无效投标。</w:t>
      </w:r>
      <w:r>
        <w:rPr>
          <w:rFonts w:hint="eastAsia" w:ascii="宋体" w:hAnsi="宋体" w:eastAsia="宋体" w:cs="宋体"/>
          <w:color w:val="000000" w:themeColor="text1"/>
          <w:kern w:val="0"/>
          <w:sz w:val="24"/>
          <w:szCs w:val="24"/>
          <w:highlight w:val="none"/>
          <w14:textFill>
            <w14:solidFill>
              <w14:schemeClr w14:val="tx1"/>
            </w14:solidFill>
          </w14:textFill>
        </w:rPr>
        <w:t>投标银行不得通过修正或撤消不符合要求的偏离或保留从而使其投标成为实质上响应的投标，但经评审小组认定属于投标银行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银行修改、补正投标文件后，不影响评审小组对其《投标文件》所作的评价和评分结果。</w:t>
      </w:r>
    </w:p>
    <w:p w14:paraId="3FFF6B9F">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.1▲在资格性审查时，发现下列情形的，做无效标处理：</w:t>
      </w:r>
    </w:p>
    <w:p w14:paraId="45039906">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（1）投标银行不满足“合格投标银行资格要求”的，或者资格证明文件不全的；</w:t>
      </w:r>
    </w:p>
    <w:p w14:paraId="1BA2CC4F">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.2▲投标文件符合性审查时，如发现下列情形之一的，做无效标处理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228C0F9">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（1）投标文件未按招标文件（投标银行须知）规定签署或盖章的；</w:t>
      </w:r>
    </w:p>
    <w:p w14:paraId="11E070EE">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）未提供有效的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szCs w:val="24"/>
          <w:highlight w:val="none"/>
          <w14:textFill>
            <w14:solidFill>
              <w14:schemeClr w14:val="tx1"/>
            </w14:solidFill>
          </w14:textFill>
        </w:rPr>
        <w:t>授权委托书原件的，或有效的投标函的，或投标函填写项目不齐全的，或联合体投标未提供联合体协议的；</w:t>
      </w:r>
    </w:p>
    <w:p w14:paraId="28E6AEA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）未按照《招标文件》规定格式报价的；</w:t>
      </w:r>
    </w:p>
    <w:p w14:paraId="07B1827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）报价具有选择性的；</w:t>
      </w:r>
    </w:p>
    <w:p w14:paraId="153071D4">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）投标文件标注的响应或偏离情况与事实不符或虚假应标的；</w:t>
      </w:r>
    </w:p>
    <w:p w14:paraId="6E9F5BD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）提供虚假材料或者投标文件内容虚假的；</w:t>
      </w:r>
    </w:p>
    <w:p w14:paraId="1BD12289">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）投标文件没有对招标文件作出实质性响应的；</w:t>
      </w:r>
    </w:p>
    <w:p w14:paraId="6B18BE4E">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）投标文件有效期不符合《招标文件》要求的；</w:t>
      </w:r>
    </w:p>
    <w:p w14:paraId="72ABC0F7">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）不响应或擅自改变《招标文件》要求或《投标文件》有招标人不能接受的附加条件的；</w:t>
      </w:r>
    </w:p>
    <w:p w14:paraId="0569A7E3">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）不符合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《苍南县县级预算单位公款竞争性存放管理暂行办法》（苍政办〔2019〕7号）</w:t>
      </w:r>
      <w:r>
        <w:rPr>
          <w:rFonts w:hint="eastAsia" w:ascii="宋体" w:hAnsi="宋体" w:eastAsia="宋体" w:cs="宋体"/>
          <w:color w:val="000000" w:themeColor="text1"/>
          <w:kern w:val="0"/>
          <w:sz w:val="24"/>
          <w:szCs w:val="24"/>
          <w:highlight w:val="none"/>
          <w14:textFill>
            <w14:solidFill>
              <w14:schemeClr w14:val="tx1"/>
            </w14:solidFill>
          </w14:textFill>
        </w:rPr>
        <w:t>等公款存放相关规定和招标文件中规定的其他实质性要求的。</w:t>
      </w:r>
    </w:p>
    <w:p w14:paraId="7DFFEF4A">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.3符合《招标文件》明确规定的其他无效投标条款的。</w:t>
      </w:r>
    </w:p>
    <w:p w14:paraId="6E657E5D">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.4有下列情形之一的，投标无效且将《投标文件》、《询标记录》等报监管部门查处：</w:t>
      </w:r>
    </w:p>
    <w:p w14:paraId="29AD4AA7">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（1）未如实违法违纪记录等信息，影响或者可能影响中标结果的；</w:t>
      </w:r>
    </w:p>
    <w:p w14:paraId="23EA35B3">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（2）存在其他违法行为或其他严重干扰招投标秩序的行为的。</w:t>
      </w:r>
    </w:p>
    <w:p w14:paraId="30BF84A6">
      <w:pPr>
        <w:pStyle w:val="3"/>
        <w:rPr>
          <w:rFonts w:hint="eastAsia" w:ascii="宋体" w:hAnsi="宋体" w:eastAsia="宋体" w:cs="宋体"/>
          <w:color w:val="000000" w:themeColor="text1"/>
          <w:highlight w:val="none"/>
          <w14:textFill>
            <w14:solidFill>
              <w14:schemeClr w14:val="tx1"/>
            </w14:solidFill>
          </w14:textFill>
        </w:rPr>
      </w:pPr>
      <w:bookmarkStart w:id="60" w:name="_Toc424164157"/>
      <w:bookmarkStart w:id="61" w:name="_Toc1239"/>
      <w:bookmarkStart w:id="62" w:name="_Toc28826"/>
      <w:bookmarkStart w:id="63" w:name="_Toc452032120"/>
      <w:bookmarkStart w:id="64" w:name="_Toc28997"/>
      <w:bookmarkStart w:id="65" w:name="_Toc440162789"/>
      <w:bookmarkStart w:id="66" w:name="_Toc13366"/>
      <w:bookmarkStart w:id="67" w:name="_Toc446950606"/>
      <w:bookmarkStart w:id="68" w:name="_Toc27261"/>
      <w:r>
        <w:rPr>
          <w:rFonts w:hint="eastAsia" w:ascii="宋体" w:hAnsi="宋体" w:eastAsia="宋体" w:cs="宋体"/>
          <w:color w:val="000000" w:themeColor="text1"/>
          <w:highlight w:val="none"/>
          <w14:textFill>
            <w14:solidFill>
              <w14:schemeClr w14:val="tx1"/>
            </w14:solidFill>
          </w14:textFill>
        </w:rPr>
        <w:t>四、开标</w:t>
      </w:r>
      <w:bookmarkEnd w:id="60"/>
      <w:bookmarkEnd w:id="61"/>
      <w:bookmarkEnd w:id="62"/>
      <w:bookmarkEnd w:id="63"/>
      <w:bookmarkEnd w:id="64"/>
      <w:bookmarkEnd w:id="65"/>
      <w:bookmarkEnd w:id="66"/>
      <w:bookmarkEnd w:id="67"/>
      <w:bookmarkEnd w:id="68"/>
    </w:p>
    <w:p w14:paraId="4A94563E">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、开标准备</w:t>
      </w:r>
    </w:p>
    <w:p w14:paraId="048046E5">
      <w:pPr>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1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97D02EE">
      <w:pPr>
        <w:ind w:firstLine="482"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14:textFill>
            <w14:solidFill>
              <w14:schemeClr w14:val="tx1"/>
            </w14:solidFill>
          </w14:textFill>
        </w:rPr>
        <w:t>、开标程序</w:t>
      </w:r>
    </w:p>
    <w:p w14:paraId="4D5B126F">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.1开标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会议</w:t>
      </w:r>
      <w:r>
        <w:rPr>
          <w:rFonts w:hint="eastAsia" w:ascii="宋体" w:hAnsi="宋体" w:eastAsia="宋体" w:cs="宋体"/>
          <w:color w:val="000000" w:themeColor="text1"/>
          <w:kern w:val="0"/>
          <w:sz w:val="24"/>
          <w:szCs w:val="24"/>
          <w:highlight w:val="none"/>
          <w14:textFill>
            <w14:solidFill>
              <w14:schemeClr w14:val="tx1"/>
            </w14:solidFill>
          </w14:textFill>
        </w:rPr>
        <w:t>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组织机构主持；</w:t>
      </w:r>
    </w:p>
    <w:p w14:paraId="60A91B28">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.2将投标文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开启并</w:t>
      </w:r>
      <w:r>
        <w:rPr>
          <w:rFonts w:hint="eastAsia" w:ascii="宋体" w:hAnsi="宋体" w:eastAsia="宋体" w:cs="宋体"/>
          <w:color w:val="000000" w:themeColor="text1"/>
          <w:kern w:val="0"/>
          <w:sz w:val="24"/>
          <w:szCs w:val="24"/>
          <w:highlight w:val="none"/>
          <w14:textFill>
            <w14:solidFill>
              <w14:schemeClr w14:val="tx1"/>
            </w14:solidFill>
          </w14:textFill>
        </w:rPr>
        <w:t>进行评审。</w:t>
      </w:r>
    </w:p>
    <w:p w14:paraId="0830293F">
      <w:pPr>
        <w:ind w:firstLine="463" w:firstLineChars="193"/>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.7评审结束后，公布中标（成交）候选供应商名单。</w:t>
      </w:r>
    </w:p>
    <w:p w14:paraId="6F6D0047">
      <w:pPr>
        <w:pStyle w:val="3"/>
        <w:rPr>
          <w:rFonts w:hint="eastAsia" w:ascii="宋体" w:hAnsi="宋体" w:eastAsia="宋体" w:cs="宋体"/>
          <w:color w:val="000000" w:themeColor="text1"/>
          <w:highlight w:val="none"/>
          <w14:textFill>
            <w14:solidFill>
              <w14:schemeClr w14:val="tx1"/>
            </w14:solidFill>
          </w14:textFill>
        </w:rPr>
      </w:pPr>
      <w:bookmarkStart w:id="69" w:name="_Toc20675"/>
      <w:bookmarkStart w:id="70" w:name="_Toc440162790"/>
      <w:bookmarkStart w:id="71" w:name="_Toc446950607"/>
      <w:bookmarkStart w:id="72" w:name="_Toc16609"/>
      <w:bookmarkStart w:id="73" w:name="_Toc424164158"/>
      <w:bookmarkStart w:id="74" w:name="_Toc452032121"/>
      <w:bookmarkStart w:id="75" w:name="_Toc24835"/>
      <w:bookmarkStart w:id="76" w:name="_Toc7906"/>
      <w:bookmarkStart w:id="77" w:name="_Toc9167"/>
      <w:r>
        <w:rPr>
          <w:rFonts w:hint="eastAsia" w:ascii="宋体" w:hAnsi="宋体" w:eastAsia="宋体" w:cs="宋体"/>
          <w:color w:val="000000" w:themeColor="text1"/>
          <w:highlight w:val="none"/>
          <w14:textFill>
            <w14:solidFill>
              <w14:schemeClr w14:val="tx1"/>
            </w14:solidFill>
          </w14:textFill>
        </w:rPr>
        <w:t>五、评标</w:t>
      </w:r>
      <w:bookmarkEnd w:id="69"/>
      <w:bookmarkEnd w:id="70"/>
      <w:bookmarkEnd w:id="71"/>
      <w:bookmarkEnd w:id="72"/>
      <w:bookmarkEnd w:id="73"/>
      <w:bookmarkEnd w:id="74"/>
      <w:bookmarkEnd w:id="75"/>
      <w:bookmarkEnd w:id="76"/>
      <w:bookmarkEnd w:id="77"/>
    </w:p>
    <w:p w14:paraId="71608582">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、组建评审小组</w:t>
      </w:r>
    </w:p>
    <w:p w14:paraId="5BCF6273">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本项目评审小组由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组织机构依法组建，成员总数为5人或以上单数，包含评审专家及用户代表，其中评审专家不少于总人数的2/3。</w:t>
      </w:r>
    </w:p>
    <w:p w14:paraId="6F6B07BD">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kern w:val="0"/>
          <w:sz w:val="24"/>
          <w:szCs w:val="24"/>
          <w:highlight w:val="none"/>
          <w14:textFill>
            <w14:solidFill>
              <w14:schemeClr w14:val="tx1"/>
            </w14:solidFill>
          </w14:textFill>
        </w:rPr>
        <w:t>、评审方式和依据</w:t>
      </w:r>
    </w:p>
    <w:p w14:paraId="12E13235">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本项目采用不公开方式评审，评审的依据为《招标文件》、《投标文件》及其他招标文件中事先已列明的内容。</w:t>
      </w:r>
    </w:p>
    <w:p w14:paraId="4DAE956F">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b/>
          <w:color w:val="000000" w:themeColor="text1"/>
          <w:kern w:val="0"/>
          <w:sz w:val="24"/>
          <w:szCs w:val="24"/>
          <w:highlight w:val="none"/>
          <w14:textFill>
            <w14:solidFill>
              <w14:schemeClr w14:val="tx1"/>
            </w14:solidFill>
          </w14:textFill>
        </w:rPr>
        <w:t>、评审程序</w:t>
      </w:r>
    </w:p>
    <w:p w14:paraId="10A78E0B">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.1推选评审小组组长，由组长召集成员阅读</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文件及相关补充、质疑、答复文件、项目书面说明等材料，熟悉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项目的质量要求、数量、主要技术标准或服务需求，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合同主要条款，投标文件无效情形，评审办法、评审依据、评审标准等。</w:t>
      </w:r>
    </w:p>
    <w:p w14:paraId="212B0706">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.2依据法律法规和招标文件的规定，对投标文件中的资格证明进行审查，以确定投标银行是否具备投标资格。</w:t>
      </w:r>
    </w:p>
    <w:p w14:paraId="3464911F">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.3对各投标银行的投标文件的有效性、完整性和响应程度进行审查，确定是否对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文件作出实质性响应。</w:t>
      </w:r>
    </w:p>
    <w:p w14:paraId="6CB1704A">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.4按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文件规定的评审办法和评审标准，依法独立对投标银行投标文件进行评估、比较，并给予评价或打分。</w:t>
      </w:r>
    </w:p>
    <w:p w14:paraId="5D00B5F1">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5评审人员如对投标银行投标文件非实质性内容有疑义或异议的，或者审查发现明显的文字或计算错误等情况，经商议认为需要投标银行作出澄清或说明的，以书面形式通知有关投标银行并要求其作出书面澄清或说明。</w:t>
      </w:r>
    </w:p>
    <w:p w14:paraId="65948A65">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.6汇总、统计、核对、确认评审结果，并依据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文件规定确定中标（成交）候选人排序名单。</w:t>
      </w:r>
    </w:p>
    <w:p w14:paraId="317AEB11">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.7评审小组起草和签署评审报告。</w:t>
      </w:r>
    </w:p>
    <w:p w14:paraId="5F09C32D">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szCs w:val="24"/>
          <w:highlight w:val="none"/>
          <w14:textFill>
            <w14:solidFill>
              <w14:schemeClr w14:val="tx1"/>
            </w14:solidFill>
          </w14:textFill>
        </w:rPr>
        <w:t>、投标银行澄清问题的形式</w:t>
      </w:r>
    </w:p>
    <w:p w14:paraId="434B3B4A">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投标文件》含义不明确、同类问题表述不一致或者有明显文字描述和计算错误的内容，评审小组可以书面形式要求投标银行在规定的时间内作出必要的澄清、说明或者纠正。投标银行的澄清、说明或者纠正应采用书面形式，由其授权的代表签字，并不得超出投标文件的范围或者改变《投标文件》的实质性内容。</w:t>
      </w:r>
    </w:p>
    <w:p w14:paraId="3FC4A95E">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kern w:val="0"/>
          <w:sz w:val="24"/>
          <w:szCs w:val="24"/>
          <w:highlight w:val="none"/>
          <w14:textFill>
            <w14:solidFill>
              <w14:schemeClr w14:val="tx1"/>
            </w14:solidFill>
          </w14:textFill>
        </w:rPr>
        <w:t>、错误修正</w:t>
      </w:r>
    </w:p>
    <w:p w14:paraId="14E48875">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《投标文件》如果出现计算或表达上的错误，修正错误的原则如下：</w:t>
      </w:r>
    </w:p>
    <w:p w14:paraId="1C1A22AD">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（1）对不同文字文本《投标文件》的解释发生异议的，以中文文本为准。</w:t>
      </w:r>
    </w:p>
    <w:p w14:paraId="4940DEA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、评审原则和评审办法</w:t>
      </w:r>
    </w:p>
    <w:p w14:paraId="55A4CC59">
      <w:pPr>
        <w:ind w:left="1"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.1评审原则</w:t>
      </w:r>
      <w:r>
        <w:rPr>
          <w:rFonts w:hint="eastAsia" w:ascii="宋体" w:hAnsi="宋体" w:eastAsia="宋体" w:cs="宋体"/>
          <w:color w:val="000000" w:themeColor="text1"/>
          <w:kern w:val="0"/>
          <w:sz w:val="24"/>
          <w:szCs w:val="24"/>
          <w:highlight w:val="none"/>
          <w14:textFill>
            <w14:solidFill>
              <w14:schemeClr w14:val="tx1"/>
            </w14:solidFill>
          </w14:textFill>
        </w:rPr>
        <w:t xml:space="preserve">：公平、公正、客观，不带任何倾向性和启发性； </w:t>
      </w:r>
    </w:p>
    <w:p w14:paraId="6419506A">
      <w:pPr>
        <w:ind w:left="1"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.2评审办法</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本项目采用综合评分办法。投标银行的综合得分为评分细则各部分评分内容得分的总和，投标银行的最终评审得分为评标委员会各成员评分的算术平均值。具体评审内容及评分标准等详见《第四章：评审办法及评分标准》。</w:t>
      </w:r>
    </w:p>
    <w:p w14:paraId="417E9290">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29</w:t>
      </w:r>
      <w:r>
        <w:rPr>
          <w:rFonts w:hint="eastAsia" w:ascii="宋体" w:hAnsi="宋体" w:eastAsia="宋体" w:cs="宋体"/>
          <w:b/>
          <w:color w:val="000000" w:themeColor="text1"/>
          <w:kern w:val="0"/>
          <w:sz w:val="24"/>
          <w:szCs w:val="24"/>
          <w:highlight w:val="none"/>
          <w14:textFill>
            <w14:solidFill>
              <w14:schemeClr w14:val="tx1"/>
            </w14:solidFill>
          </w14:textFill>
        </w:rPr>
        <w:t>、评审过程的纪律</w:t>
      </w:r>
    </w:p>
    <w:p w14:paraId="559E4816">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本项目评审过程由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组织机构负责组织，由监督员进行现场监督。评审小组不得向外界透露任何与评标有关的内容；任何单位和个人不得干扰、影响评标的正常进行；评审小组及有关工作人员不得私下与投标银行接触；浙江省政府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活动现场组织管理办法中规定的其他禁止行为。▲</w:t>
      </w:r>
      <w:r>
        <w:rPr>
          <w:rFonts w:hint="eastAsia" w:ascii="宋体" w:hAnsi="宋体" w:eastAsia="宋体" w:cs="宋体"/>
          <w:b/>
          <w:color w:val="000000" w:themeColor="text1"/>
          <w:kern w:val="0"/>
          <w:sz w:val="24"/>
          <w:szCs w:val="24"/>
          <w:highlight w:val="none"/>
          <w14:textFill>
            <w14:solidFill>
              <w14:schemeClr w14:val="tx1"/>
            </w14:solidFill>
          </w14:textFill>
        </w:rPr>
        <w:t>投标银行在评标过程中所进行的企图影响评标结果的不公正活动，将导致其投标作无效标处理。</w:t>
      </w:r>
    </w:p>
    <w:p w14:paraId="32EFC103">
      <w:pPr>
        <w:pStyle w:val="3"/>
        <w:rPr>
          <w:rFonts w:hint="eastAsia" w:ascii="宋体" w:hAnsi="宋体" w:eastAsia="宋体" w:cs="宋体"/>
          <w:color w:val="000000" w:themeColor="text1"/>
          <w:highlight w:val="none"/>
          <w14:textFill>
            <w14:solidFill>
              <w14:schemeClr w14:val="tx1"/>
            </w14:solidFill>
          </w14:textFill>
        </w:rPr>
      </w:pPr>
      <w:bookmarkStart w:id="78" w:name="_Toc424164159"/>
      <w:bookmarkStart w:id="79" w:name="_Toc1015"/>
      <w:bookmarkStart w:id="80" w:name="_Toc15984"/>
      <w:bookmarkStart w:id="81" w:name="_Toc5672"/>
      <w:bookmarkStart w:id="82" w:name="_Toc11804"/>
      <w:bookmarkStart w:id="83" w:name="_Toc23096"/>
      <w:bookmarkStart w:id="84" w:name="_Toc446950608"/>
      <w:bookmarkStart w:id="85" w:name="_Toc452032122"/>
      <w:bookmarkStart w:id="86" w:name="_Toc440162791"/>
      <w:r>
        <w:rPr>
          <w:rFonts w:hint="eastAsia" w:ascii="宋体" w:hAnsi="宋体" w:eastAsia="宋体" w:cs="宋体"/>
          <w:color w:val="000000" w:themeColor="text1"/>
          <w:highlight w:val="none"/>
          <w14:textFill>
            <w14:solidFill>
              <w14:schemeClr w14:val="tx1"/>
            </w14:solidFill>
          </w14:textFill>
        </w:rPr>
        <w:t>六、</w:t>
      </w:r>
      <w:bookmarkEnd w:id="78"/>
      <w:r>
        <w:rPr>
          <w:rFonts w:hint="eastAsia" w:ascii="宋体" w:hAnsi="宋体" w:eastAsia="宋体" w:cs="宋体"/>
          <w:color w:val="000000" w:themeColor="text1"/>
          <w:highlight w:val="none"/>
          <w:lang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结果发布</w:t>
      </w:r>
      <w:bookmarkEnd w:id="79"/>
      <w:bookmarkEnd w:id="80"/>
      <w:bookmarkEnd w:id="81"/>
      <w:bookmarkEnd w:id="82"/>
      <w:bookmarkEnd w:id="83"/>
      <w:bookmarkEnd w:id="84"/>
      <w:bookmarkEnd w:id="85"/>
      <w:bookmarkEnd w:id="86"/>
    </w:p>
    <w:p w14:paraId="0A3A0F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、中标结果确定</w:t>
      </w:r>
    </w:p>
    <w:p w14:paraId="3A72E000">
      <w:pPr>
        <w:keepNext w:val="0"/>
        <w:keepLines w:val="0"/>
        <w:pageBreakBefore w:val="0"/>
        <w:widowControl w:val="0"/>
        <w:kinsoku/>
        <w:wordWrap/>
        <w:overflowPunct/>
        <w:topLinePunct w:val="0"/>
        <w:autoSpaceDE/>
        <w:autoSpaceDN/>
        <w:bidi w:val="0"/>
        <w:adjustRightInd/>
        <w:snapToGrid/>
        <w:spacing w:line="360" w:lineRule="auto"/>
        <w:ind w:firstLine="465" w:firstLineChars="193"/>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本项目由招标人根据评审小组提交的《评审报告》依法确定中标（成交）单位。</w:t>
      </w:r>
    </w:p>
    <w:p w14:paraId="337D5724">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招标人将在评审结束之日起7个工作日内确定中标（成交）单位。自中标（成交）单位确定之日起2个工作日内发出中标（成交）通知书，并发布中标公告。</w:t>
      </w:r>
    </w:p>
    <w:p w14:paraId="5697A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、中标通知书签发</w:t>
      </w:r>
    </w:p>
    <w:p w14:paraId="6820BDDC">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自中标（成交）单位确定之日起2个工作日内发出中标（成交）通知书，并发布中标公告。</w:t>
      </w:r>
    </w:p>
    <w:p w14:paraId="7D51EA55">
      <w:pPr>
        <w:pStyle w:val="3"/>
        <w:spacing w:line="240" w:lineRule="auto"/>
        <w:rPr>
          <w:rFonts w:hint="eastAsia" w:ascii="宋体" w:hAnsi="宋体" w:eastAsia="宋体" w:cs="宋体"/>
          <w:color w:val="000000" w:themeColor="text1"/>
          <w:highlight w:val="none"/>
          <w14:textFill>
            <w14:solidFill>
              <w14:schemeClr w14:val="tx1"/>
            </w14:solidFill>
          </w14:textFill>
        </w:rPr>
      </w:pPr>
      <w:bookmarkStart w:id="87" w:name="_Toc452032123"/>
      <w:bookmarkStart w:id="88" w:name="_Toc446950609"/>
      <w:bookmarkStart w:id="89" w:name="_Toc424164160"/>
      <w:bookmarkStart w:id="90" w:name="_Toc19038"/>
      <w:bookmarkStart w:id="91" w:name="_Toc888"/>
      <w:bookmarkStart w:id="92" w:name="_Toc6917"/>
      <w:bookmarkStart w:id="93" w:name="_Toc440162792"/>
      <w:bookmarkStart w:id="94" w:name="_Toc5454"/>
      <w:bookmarkStart w:id="95" w:name="_Toc26366"/>
      <w:r>
        <w:rPr>
          <w:rFonts w:hint="eastAsia" w:ascii="宋体" w:hAnsi="宋体" w:eastAsia="宋体" w:cs="宋体"/>
          <w:color w:val="000000" w:themeColor="text1"/>
          <w:highlight w:val="none"/>
          <w14:textFill>
            <w14:solidFill>
              <w14:schemeClr w14:val="tx1"/>
            </w14:solidFill>
          </w14:textFill>
        </w:rPr>
        <w:t>七、合同授予</w:t>
      </w:r>
      <w:bookmarkEnd w:id="87"/>
      <w:bookmarkEnd w:id="88"/>
      <w:bookmarkEnd w:id="89"/>
      <w:bookmarkEnd w:id="90"/>
      <w:bookmarkEnd w:id="91"/>
      <w:bookmarkEnd w:id="92"/>
      <w:bookmarkEnd w:id="93"/>
      <w:bookmarkEnd w:id="94"/>
      <w:bookmarkEnd w:id="95"/>
    </w:p>
    <w:p w14:paraId="4F883895">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14:textFill>
            <w14:solidFill>
              <w14:schemeClr w14:val="tx1"/>
            </w14:solidFill>
          </w14:textFill>
        </w:rPr>
        <w:t>、签订合同</w:t>
      </w:r>
    </w:p>
    <w:p w14:paraId="31BD80FE">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.1中标（成交）供应商应按投标须知前附表中规定的时间内与招标人签订政府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合同。同时，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组织机构根据委托代理事项对合同内容进行审查，如发现与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结果和投标承诺内容不一致的，应予以纠正。</w:t>
      </w:r>
    </w:p>
    <w:p w14:paraId="09D1FDE6">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.2中标（成交）供应商拖延、拒签合同的，将被取消中标资格；给招标人及使用单位造成损失的应按照相关规定进行赔偿。</w:t>
      </w:r>
      <w:r>
        <w:rPr>
          <w:rFonts w:hint="eastAsia" w:ascii="宋体" w:hAnsi="宋体" w:eastAsia="宋体" w:cs="宋体"/>
          <w:b/>
          <w:bCs/>
          <w:color w:val="000000" w:themeColor="text1"/>
          <w:kern w:val="0"/>
          <w:sz w:val="24"/>
          <w:szCs w:val="24"/>
          <w:highlight w:val="none"/>
          <w14:textFill>
            <w14:solidFill>
              <w14:schemeClr w14:val="tx1"/>
            </w14:solidFill>
          </w14:textFill>
        </w:rPr>
        <w:t>招标人重新组织</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bCs/>
          <w:color w:val="000000" w:themeColor="text1"/>
          <w:kern w:val="0"/>
          <w:sz w:val="24"/>
          <w:szCs w:val="24"/>
          <w:highlight w:val="none"/>
          <w14:textFill>
            <w14:solidFill>
              <w14:schemeClr w14:val="tx1"/>
            </w14:solidFill>
          </w14:textFill>
        </w:rPr>
        <w:t>的，所需费用由原中标供应商承担。</w:t>
      </w:r>
    </w:p>
    <w:p w14:paraId="2D3516E4">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代理服务费</w:t>
      </w:r>
    </w:p>
    <w:p w14:paraId="638CE50D">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.1中标（成交）供应商在领取《中标通知书》前，须按《投标须知前附表》的规定一次性向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组织机构支付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代理服务费。</w:t>
      </w:r>
    </w:p>
    <w:p w14:paraId="40ACEF53">
      <w:pPr>
        <w:pStyle w:val="37"/>
        <w:spacing w:line="240" w:lineRule="auto"/>
        <w:rPr>
          <w:rFonts w:hint="eastAsia" w:ascii="宋体" w:hAnsi="宋体" w:eastAsia="宋体" w:cs="宋体"/>
          <w:color w:val="000000" w:themeColor="text1"/>
          <w:sz w:val="22"/>
          <w:szCs w:val="22"/>
          <w:highlight w:val="none"/>
          <w14:textFill>
            <w14:solidFill>
              <w14:schemeClr w14:val="tx1"/>
            </w14:solidFill>
          </w14:textFill>
        </w:rPr>
      </w:pPr>
      <w:bookmarkStart w:id="96" w:name="_Toc424164161"/>
      <w:bookmarkStart w:id="97" w:name="_Toc27187"/>
      <w:bookmarkStart w:id="98" w:name="_Toc440162793"/>
      <w:bookmarkStart w:id="99" w:name="_Toc446950610"/>
      <w:bookmarkStart w:id="100" w:name="_Toc16013"/>
      <w:bookmarkStart w:id="101" w:name="_Toc1454"/>
      <w:bookmarkStart w:id="102" w:name="_Toc452032124"/>
      <w:bookmarkStart w:id="103" w:name="_Toc8437"/>
      <w:bookmarkStart w:id="104" w:name="_Toc2429"/>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 xml:space="preserve">第四章 </w:t>
      </w:r>
      <w:bookmarkEnd w:id="96"/>
      <w:r>
        <w:rPr>
          <w:rFonts w:hint="eastAsia" w:ascii="宋体" w:hAnsi="宋体" w:eastAsia="宋体" w:cs="宋体"/>
          <w:color w:val="000000" w:themeColor="text1"/>
          <w:highlight w:val="none"/>
          <w14:textFill>
            <w14:solidFill>
              <w14:schemeClr w14:val="tx1"/>
            </w14:solidFill>
          </w14:textFill>
        </w:rPr>
        <w:t>评审办法及标准</w:t>
      </w:r>
      <w:bookmarkEnd w:id="97"/>
      <w:bookmarkEnd w:id="98"/>
      <w:bookmarkEnd w:id="99"/>
      <w:bookmarkEnd w:id="100"/>
      <w:bookmarkEnd w:id="101"/>
      <w:bookmarkEnd w:id="102"/>
      <w:bookmarkEnd w:id="103"/>
      <w:bookmarkEnd w:id="104"/>
    </w:p>
    <w:p w14:paraId="71D115EC">
      <w:pPr>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为公正、公平、科学地选择中标（成交）供应商，</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《浙江省财政厅关于印发浙江省省级行政事业单位公款竞争性存放管理办法的通知》（浙财预执〔2021〕7号）、《苍南县县级预算单位公款竞争性存放管理暂行办法》（苍政办〔2019〕7号）</w:t>
      </w:r>
      <w:r>
        <w:rPr>
          <w:rFonts w:hint="eastAsia" w:ascii="宋体" w:hAnsi="宋体" w:eastAsia="宋体" w:cs="宋体"/>
          <w:b/>
          <w:color w:val="000000" w:themeColor="text1"/>
          <w:kern w:val="0"/>
          <w:sz w:val="24"/>
          <w:szCs w:val="24"/>
          <w:highlight w:val="none"/>
          <w14:textFill>
            <w14:solidFill>
              <w14:schemeClr w14:val="tx1"/>
            </w14:solidFill>
          </w14:textFill>
        </w:rPr>
        <w:t>公款存放相关规定，并结合本项目的实际，制定本办法。</w:t>
      </w:r>
    </w:p>
    <w:p w14:paraId="3C74EF8D">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本办法适用于</w:t>
      </w:r>
      <w:r>
        <w:rPr>
          <w:rFonts w:hint="eastAsia" w:ascii="宋体" w:hAnsi="宋体" w:eastAsia="宋体" w:cs="宋体"/>
          <w:b/>
          <w:color w:val="000000" w:themeColor="text1"/>
          <w:kern w:val="0"/>
          <w:sz w:val="24"/>
          <w:szCs w:val="24"/>
          <w:highlight w:val="none"/>
          <w:u w:val="singl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kern w:val="0"/>
          <w:sz w:val="24"/>
          <w:szCs w:val="24"/>
          <w:highlight w:val="none"/>
          <w14:textFill>
            <w14:solidFill>
              <w14:schemeClr w14:val="tx1"/>
            </w14:solidFill>
          </w14:textFill>
        </w:rPr>
        <w:t>的评审。</w:t>
      </w:r>
    </w:p>
    <w:p w14:paraId="2028DE47">
      <w:pPr>
        <w:autoSpaceDE w:val="0"/>
        <w:autoSpaceDN w:val="0"/>
        <w:adjustRightInd w:val="0"/>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本项目采用综合评分办法。综合打分的内容为经营状态、服务水平、经济发展贡献、综合收益水平等方面进行综合评审。投标银行的最终评审得分为评标委员会各成员评分的算术平均值。具体评分细则如下：</w:t>
      </w:r>
    </w:p>
    <w:tbl>
      <w:tblPr>
        <w:tblStyle w:val="3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94"/>
        <w:gridCol w:w="5949"/>
        <w:gridCol w:w="856"/>
      </w:tblGrid>
      <w:tr w14:paraId="4AA9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1159" w:type="dxa"/>
            <w:noWrap w:val="0"/>
            <w:vAlign w:val="center"/>
          </w:tcPr>
          <w:p w14:paraId="30371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w w:val="90"/>
                <w:sz w:val="32"/>
                <w:szCs w:val="32"/>
                <w:highlight w:val="none"/>
                <w14:textFill>
                  <w14:solidFill>
                    <w14:schemeClr w14:val="tx1"/>
                  </w14:solidFill>
                </w14:textFill>
              </w:rPr>
            </w:pPr>
            <w:r>
              <w:rPr>
                <w:rFonts w:hint="eastAsia" w:ascii="宋体" w:hAnsi="宋体" w:eastAsia="宋体" w:cs="宋体"/>
                <w:b/>
                <w:color w:val="000000" w:themeColor="text1"/>
                <w:w w:val="90"/>
                <w:sz w:val="32"/>
                <w:szCs w:val="32"/>
                <w:highlight w:val="none"/>
                <w14:textFill>
                  <w14:solidFill>
                    <w14:schemeClr w14:val="tx1"/>
                  </w14:solidFill>
                </w14:textFill>
              </w:rPr>
              <w:t>项目</w:t>
            </w:r>
          </w:p>
        </w:tc>
        <w:tc>
          <w:tcPr>
            <w:tcW w:w="6843" w:type="dxa"/>
            <w:gridSpan w:val="2"/>
            <w:noWrap w:val="0"/>
            <w:vAlign w:val="center"/>
          </w:tcPr>
          <w:p w14:paraId="07204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w w:val="90"/>
                <w:sz w:val="32"/>
                <w:szCs w:val="32"/>
                <w:highlight w:val="none"/>
                <w14:textFill>
                  <w14:solidFill>
                    <w14:schemeClr w14:val="tx1"/>
                  </w14:solidFill>
                </w14:textFill>
              </w:rPr>
            </w:pPr>
            <w:r>
              <w:rPr>
                <w:rFonts w:hint="eastAsia" w:ascii="宋体" w:hAnsi="宋体" w:eastAsia="宋体" w:cs="宋体"/>
                <w:b/>
                <w:color w:val="000000" w:themeColor="text1"/>
                <w:w w:val="90"/>
                <w:sz w:val="32"/>
                <w:szCs w:val="32"/>
                <w:highlight w:val="none"/>
                <w14:textFill>
                  <w14:solidFill>
                    <w14:schemeClr w14:val="tx1"/>
                  </w14:solidFill>
                </w14:textFill>
              </w:rPr>
              <w:t>评审内容及评分细则</w:t>
            </w:r>
          </w:p>
        </w:tc>
        <w:tc>
          <w:tcPr>
            <w:tcW w:w="856" w:type="dxa"/>
            <w:noWrap w:val="0"/>
            <w:vAlign w:val="center"/>
          </w:tcPr>
          <w:p w14:paraId="4AE22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w w:val="90"/>
                <w:sz w:val="32"/>
                <w:szCs w:val="32"/>
                <w:highlight w:val="none"/>
                <w14:textFill>
                  <w14:solidFill>
                    <w14:schemeClr w14:val="tx1"/>
                  </w14:solidFill>
                </w14:textFill>
              </w:rPr>
            </w:pPr>
            <w:r>
              <w:rPr>
                <w:rFonts w:hint="eastAsia" w:ascii="宋体" w:hAnsi="宋体" w:eastAsia="宋体" w:cs="宋体"/>
                <w:b/>
                <w:color w:val="000000" w:themeColor="text1"/>
                <w:w w:val="90"/>
                <w:sz w:val="32"/>
                <w:szCs w:val="32"/>
                <w:highlight w:val="none"/>
                <w14:textFill>
                  <w14:solidFill>
                    <w14:schemeClr w14:val="tx1"/>
                  </w14:solidFill>
                </w14:textFill>
              </w:rPr>
              <w:t>分值</w:t>
            </w:r>
          </w:p>
        </w:tc>
      </w:tr>
      <w:tr w14:paraId="21A6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9" w:type="dxa"/>
            <w:vMerge w:val="restart"/>
            <w:noWrap w:val="0"/>
            <w:vAlign w:val="center"/>
          </w:tcPr>
          <w:p w14:paraId="2BB4F28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经营状况指标</w:t>
            </w:r>
          </w:p>
          <w:p w14:paraId="42F8AB3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14:textFill>
                  <w14:solidFill>
                    <w14:schemeClr w14:val="tx1"/>
                  </w14:solidFill>
                </w14:textFill>
              </w:rPr>
              <w:t>分)</w:t>
            </w:r>
          </w:p>
        </w:tc>
        <w:tc>
          <w:tcPr>
            <w:tcW w:w="894" w:type="dxa"/>
            <w:noWrap w:val="0"/>
            <w:vAlign w:val="center"/>
          </w:tcPr>
          <w:p w14:paraId="4102BB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资产质量</w:t>
            </w:r>
          </w:p>
        </w:tc>
        <w:tc>
          <w:tcPr>
            <w:tcW w:w="5949" w:type="dxa"/>
            <w:noWrap w:val="0"/>
            <w:vAlign w:val="center"/>
          </w:tcPr>
          <w:p w14:paraId="36F80288">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根据投标银行不良</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贷款率</w:t>
            </w:r>
            <w:r>
              <w:rPr>
                <w:rFonts w:hint="eastAsia" w:ascii="宋体" w:hAnsi="宋体" w:eastAsia="宋体" w:cs="宋体"/>
                <w:color w:val="000000" w:themeColor="text1"/>
                <w:w w:val="90"/>
                <w:sz w:val="21"/>
                <w:szCs w:val="21"/>
                <w:highlight w:val="none"/>
                <w14:textFill>
                  <w14:solidFill>
                    <w14:schemeClr w14:val="tx1"/>
                  </w14:solidFill>
                </w14:textFill>
              </w:rPr>
              <w:t>(按不良率最低的开始排名)排名评分。排名第一得</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w w:val="90"/>
                <w:sz w:val="21"/>
                <w:szCs w:val="21"/>
                <w:highlight w:val="none"/>
                <w14:textFill>
                  <w14:solidFill>
                    <w14:schemeClr w14:val="tx1"/>
                  </w14:solidFill>
                </w14:textFill>
              </w:rPr>
              <w:t>分，其余投标银行排名每降低一名相应递减0.</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w w:val="90"/>
                <w:sz w:val="21"/>
                <w:szCs w:val="21"/>
                <w:highlight w:val="none"/>
                <w14:textFill>
                  <w14:solidFill>
                    <w14:schemeClr w14:val="tx1"/>
                  </w14:solidFill>
                </w14:textFill>
              </w:rPr>
              <w:t>5分，减完为止。</w:t>
            </w:r>
          </w:p>
          <w:p w14:paraId="3D0DE6A0">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注:以202</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w w:val="90"/>
                <w:sz w:val="21"/>
                <w:szCs w:val="21"/>
                <w:highlight w:val="none"/>
                <w14:textFill>
                  <w14:solidFill>
                    <w14:schemeClr w14:val="tx1"/>
                  </w14:solidFill>
                </w14:textFill>
              </w:rPr>
              <w:t>年度数据为准，由投标银行自行提供证明文件为准，否则不得分。</w:t>
            </w:r>
          </w:p>
        </w:tc>
        <w:tc>
          <w:tcPr>
            <w:tcW w:w="856" w:type="dxa"/>
            <w:noWrap w:val="0"/>
            <w:vAlign w:val="center"/>
          </w:tcPr>
          <w:p w14:paraId="38895A4C">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0-5</w:t>
            </w:r>
          </w:p>
        </w:tc>
      </w:tr>
      <w:tr w14:paraId="6BA4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9" w:type="dxa"/>
            <w:vMerge w:val="continue"/>
            <w:noWrap w:val="0"/>
            <w:vAlign w:val="center"/>
          </w:tcPr>
          <w:p w14:paraId="31F382E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p>
        </w:tc>
        <w:tc>
          <w:tcPr>
            <w:tcW w:w="894" w:type="dxa"/>
            <w:noWrap w:val="0"/>
            <w:vAlign w:val="center"/>
          </w:tcPr>
          <w:p w14:paraId="165490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各项存款</w:t>
            </w:r>
          </w:p>
        </w:tc>
        <w:tc>
          <w:tcPr>
            <w:tcW w:w="5949" w:type="dxa"/>
            <w:noWrap w:val="0"/>
            <w:vAlign w:val="center"/>
          </w:tcPr>
          <w:p w14:paraId="51222C9D">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根据投标银行存款余额排名评分。存款余额最高得排名第一得5分，其余投标银行排名每降低一名相应递减0.25分，减完为止。</w:t>
            </w:r>
          </w:p>
          <w:p w14:paraId="38815D4E">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注：以人民银行提供的2024年12月底存款余额为准，由投标银行自行提供人行苍南支行出具的证明文件为准，否则不得分。</w:t>
            </w:r>
          </w:p>
        </w:tc>
        <w:tc>
          <w:tcPr>
            <w:tcW w:w="856" w:type="dxa"/>
            <w:noWrap w:val="0"/>
            <w:vAlign w:val="center"/>
          </w:tcPr>
          <w:p w14:paraId="2884BE31">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0-5</w:t>
            </w:r>
          </w:p>
        </w:tc>
      </w:tr>
      <w:tr w14:paraId="522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9" w:type="dxa"/>
            <w:vMerge w:val="continue"/>
            <w:noWrap w:val="0"/>
            <w:vAlign w:val="center"/>
          </w:tcPr>
          <w:p w14:paraId="555DE6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p>
        </w:tc>
        <w:tc>
          <w:tcPr>
            <w:tcW w:w="894" w:type="dxa"/>
            <w:noWrap w:val="0"/>
            <w:vAlign w:val="center"/>
          </w:tcPr>
          <w:p w14:paraId="773F6D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各项贷款</w:t>
            </w:r>
          </w:p>
        </w:tc>
        <w:tc>
          <w:tcPr>
            <w:tcW w:w="5949" w:type="dxa"/>
            <w:noWrap w:val="0"/>
            <w:vAlign w:val="center"/>
          </w:tcPr>
          <w:p w14:paraId="75D64EA9">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根据投标银行贷款余额排名评分。贷款余额最高得排名第一得1</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w w:val="90"/>
                <w:sz w:val="21"/>
                <w:szCs w:val="21"/>
                <w:highlight w:val="none"/>
                <w14:textFill>
                  <w14:solidFill>
                    <w14:schemeClr w14:val="tx1"/>
                  </w14:solidFill>
                </w14:textFill>
              </w:rPr>
              <w:t>分，其余投标银行排名每降低一名相应递减0.5分，减完为止。</w:t>
            </w:r>
          </w:p>
          <w:p w14:paraId="20AF86F6">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eastAsia="zh-CN"/>
                <w14:textFill>
                  <w14:solidFill>
                    <w14:schemeClr w14:val="tx1"/>
                  </w14:solidFill>
                </w14:textFill>
              </w:rPr>
              <w:t>注：</w:t>
            </w:r>
            <w:r>
              <w:rPr>
                <w:rFonts w:hint="eastAsia" w:ascii="宋体" w:hAnsi="宋体" w:eastAsia="宋体" w:cs="宋体"/>
                <w:color w:val="000000" w:themeColor="text1"/>
                <w:w w:val="90"/>
                <w:sz w:val="21"/>
                <w:szCs w:val="21"/>
                <w:highlight w:val="none"/>
                <w14:textFill>
                  <w14:solidFill>
                    <w14:schemeClr w14:val="tx1"/>
                  </w14:solidFill>
                </w14:textFill>
              </w:rPr>
              <w:t>以人民银行提供的202</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w w:val="90"/>
                <w:sz w:val="21"/>
                <w:szCs w:val="21"/>
                <w:highlight w:val="none"/>
                <w14:textFill>
                  <w14:solidFill>
                    <w14:schemeClr w14:val="tx1"/>
                  </w14:solidFill>
                </w14:textFill>
              </w:rPr>
              <w:t>年12月底贷款余额为准，由投标银行自行提供人行苍南支行出具的证明文件为准，否则不得分。</w:t>
            </w:r>
          </w:p>
        </w:tc>
        <w:tc>
          <w:tcPr>
            <w:tcW w:w="856" w:type="dxa"/>
            <w:noWrap w:val="0"/>
            <w:vAlign w:val="center"/>
          </w:tcPr>
          <w:p w14:paraId="524486D8">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683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59" w:type="dxa"/>
            <w:vMerge w:val="continue"/>
            <w:noWrap w:val="0"/>
            <w:vAlign w:val="center"/>
          </w:tcPr>
          <w:p w14:paraId="4DE8BCB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p>
        </w:tc>
        <w:tc>
          <w:tcPr>
            <w:tcW w:w="894" w:type="dxa"/>
            <w:noWrap w:val="0"/>
            <w:vAlign w:val="center"/>
          </w:tcPr>
          <w:p w14:paraId="01A9E0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内控水平</w:t>
            </w:r>
          </w:p>
        </w:tc>
        <w:tc>
          <w:tcPr>
            <w:tcW w:w="5949" w:type="dxa"/>
            <w:noWrap w:val="0"/>
            <w:vAlign w:val="top"/>
          </w:tcPr>
          <w:p w14:paraId="3C5E61AB">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以各竞标银行的偿付能力、运营能力、内部控制水平为计分依据，满分</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w w:val="90"/>
                <w:sz w:val="21"/>
                <w:szCs w:val="21"/>
                <w:highlight w:val="none"/>
                <w14:textFill>
                  <w14:solidFill>
                    <w14:schemeClr w14:val="tx1"/>
                  </w14:solidFill>
                </w14:textFill>
              </w:rPr>
              <w:t>分。该指标以各家银行提供的该行总行经审计公布的最近一期年报数据为测评依据，具体包括：资本充足率、拨备覆盖率、流动性比例、加权平均净资产收益率（简称资产收益率）等</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w w:val="90"/>
                <w:sz w:val="21"/>
                <w:szCs w:val="21"/>
                <w:highlight w:val="none"/>
                <w14:textFill>
                  <w14:solidFill>
                    <w14:schemeClr w14:val="tx1"/>
                  </w14:solidFill>
                </w14:textFill>
              </w:rPr>
              <w:t>项指标。</w:t>
            </w:r>
          </w:p>
          <w:p w14:paraId="04DDC21A">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eastAsia="zh-CN"/>
                <w14:textFill>
                  <w14:solidFill>
                    <w14:schemeClr w14:val="tx1"/>
                  </w14:solidFill>
                </w14:textFill>
              </w:rPr>
              <w:t>①</w:t>
            </w:r>
            <w:r>
              <w:rPr>
                <w:rFonts w:hint="eastAsia" w:ascii="宋体" w:hAnsi="宋体" w:eastAsia="宋体" w:cs="宋体"/>
                <w:color w:val="000000" w:themeColor="text1"/>
                <w:w w:val="90"/>
                <w:sz w:val="21"/>
                <w:szCs w:val="21"/>
                <w:highlight w:val="none"/>
                <w14:textFill>
                  <w14:solidFill>
                    <w14:schemeClr w14:val="tx1"/>
                  </w14:solidFill>
                </w14:textFill>
              </w:rPr>
              <w:t>资本充足率、拨备覆盖率、流动性比例三项指标数值符合银行监管标准的，每项得</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w w:val="90"/>
                <w:sz w:val="21"/>
                <w:szCs w:val="21"/>
                <w:highlight w:val="none"/>
                <w14:textFill>
                  <w14:solidFill>
                    <w14:schemeClr w14:val="tx1"/>
                  </w14:solidFill>
                </w14:textFill>
              </w:rPr>
              <w:t>分，否则每项得0分；</w:t>
            </w:r>
          </w:p>
          <w:p w14:paraId="50DEC841">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eastAsia="zh-CN"/>
                <w14:textFill>
                  <w14:solidFill>
                    <w14:schemeClr w14:val="tx1"/>
                  </w14:solidFill>
                </w14:textFill>
              </w:rPr>
              <w:t>②</w:t>
            </w:r>
            <w:r>
              <w:rPr>
                <w:rFonts w:hint="eastAsia" w:ascii="宋体" w:hAnsi="宋体" w:eastAsia="宋体" w:cs="宋体"/>
                <w:color w:val="000000" w:themeColor="text1"/>
                <w:w w:val="90"/>
                <w:sz w:val="21"/>
                <w:szCs w:val="21"/>
                <w:highlight w:val="none"/>
                <w14:textFill>
                  <w14:solidFill>
                    <w14:schemeClr w14:val="tx1"/>
                  </w14:solidFill>
                </w14:textFill>
              </w:rPr>
              <w:t>资产收益率指标大于等于0的，得</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w w:val="90"/>
                <w:sz w:val="21"/>
                <w:szCs w:val="21"/>
                <w:highlight w:val="none"/>
                <w14:textFill>
                  <w14:solidFill>
                    <w14:schemeClr w14:val="tx1"/>
                  </w14:solidFill>
                </w14:textFill>
              </w:rPr>
              <w:t>分，每减少一个百分点扣0.</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w w:val="90"/>
                <w:sz w:val="21"/>
                <w:szCs w:val="21"/>
                <w:highlight w:val="none"/>
                <w14:textFill>
                  <w14:solidFill>
                    <w14:schemeClr w14:val="tx1"/>
                  </w14:solidFill>
                </w14:textFill>
              </w:rPr>
              <w:t>分，扣完为止，不足一个百分点的，按比例折算。</w:t>
            </w:r>
          </w:p>
          <w:p w14:paraId="3488BD2D">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eastAsia="zh-CN"/>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按银保监下限：资本充足率≥10.5%，拨备覆盖率≥120%，流动性比例≥25%</w:t>
            </w:r>
            <w:r>
              <w:rPr>
                <w:rFonts w:hint="eastAsia" w:ascii="宋体" w:hAnsi="宋体" w:eastAsia="宋体" w:cs="宋体"/>
                <w:color w:val="000000" w:themeColor="text1"/>
                <w:w w:val="90"/>
                <w:sz w:val="21"/>
                <w:szCs w:val="21"/>
                <w:highlight w:val="none"/>
                <w:lang w:eastAsia="zh-CN"/>
                <w14:textFill>
                  <w14:solidFill>
                    <w14:schemeClr w14:val="tx1"/>
                  </w14:solidFill>
                </w14:textFill>
              </w:rPr>
              <w:t>。）</w:t>
            </w:r>
          </w:p>
        </w:tc>
        <w:tc>
          <w:tcPr>
            <w:tcW w:w="856" w:type="dxa"/>
            <w:noWrap w:val="0"/>
            <w:vAlign w:val="center"/>
          </w:tcPr>
          <w:p w14:paraId="1C111E62">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4939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59" w:type="dxa"/>
            <w:vMerge w:val="restart"/>
            <w:noWrap w:val="0"/>
            <w:vAlign w:val="center"/>
          </w:tcPr>
          <w:p w14:paraId="57DD2CD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经济贡献度指标</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b/>
                <w:bCs/>
                <w:color w:val="000000" w:themeColor="text1"/>
                <w:sz w:val="21"/>
                <w:szCs w:val="21"/>
                <w:highlight w:val="none"/>
                <w14:textFill>
                  <w14:solidFill>
                    <w14:schemeClr w14:val="tx1"/>
                  </w14:solidFill>
                </w14:textFill>
              </w:rPr>
              <w:t>分)</w:t>
            </w:r>
          </w:p>
        </w:tc>
        <w:tc>
          <w:tcPr>
            <w:tcW w:w="894" w:type="dxa"/>
            <w:noWrap w:val="0"/>
            <w:vAlign w:val="center"/>
          </w:tcPr>
          <w:p w14:paraId="362A0A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纳税情况</w:t>
            </w:r>
          </w:p>
        </w:tc>
        <w:tc>
          <w:tcPr>
            <w:tcW w:w="5949" w:type="dxa"/>
            <w:noWrap w:val="0"/>
            <w:vAlign w:val="center"/>
          </w:tcPr>
          <w:p w14:paraId="5A43AF29">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以各投标银行在苍南地区各分支机构2024年年度纳税情况作为计分依据，纳税总额最高得排名第一得15分，其余投标银行排名每降低一名相应递减1分，减完为止。</w:t>
            </w:r>
          </w:p>
          <w:p w14:paraId="0EAEBEE4">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注:以各投标银行2024年度完税证明(不含个税)为准，由投标银行自行提供证明资料。</w:t>
            </w:r>
          </w:p>
        </w:tc>
        <w:tc>
          <w:tcPr>
            <w:tcW w:w="856" w:type="dxa"/>
            <w:noWrap w:val="0"/>
            <w:vAlign w:val="center"/>
          </w:tcPr>
          <w:p w14:paraId="7CC946ED">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0-15</w:t>
            </w:r>
          </w:p>
        </w:tc>
      </w:tr>
      <w:tr w14:paraId="4698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59" w:type="dxa"/>
            <w:vMerge w:val="continue"/>
            <w:noWrap w:val="0"/>
            <w:vAlign w:val="center"/>
          </w:tcPr>
          <w:p w14:paraId="435B1D2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tc>
        <w:tc>
          <w:tcPr>
            <w:tcW w:w="894" w:type="dxa"/>
            <w:noWrap w:val="0"/>
            <w:vAlign w:val="center"/>
          </w:tcPr>
          <w:p w14:paraId="4A4CE0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制造业贷款</w:t>
            </w:r>
          </w:p>
        </w:tc>
        <w:tc>
          <w:tcPr>
            <w:tcW w:w="5949" w:type="dxa"/>
            <w:noWrap w:val="0"/>
            <w:vAlign w:val="center"/>
          </w:tcPr>
          <w:p w14:paraId="79484C9F">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以根据投标银行对苍南县制造业支持力度情况作为计分依据，2024年12月底制造业贷款余额最高得排名第一得10分，其余投标银行排名每降低一名相应递减0.5分，减完为止。</w:t>
            </w:r>
          </w:p>
          <w:p w14:paraId="62119520">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注:投标人须出具相关证明文件，否则不得分。</w:t>
            </w:r>
          </w:p>
        </w:tc>
        <w:tc>
          <w:tcPr>
            <w:tcW w:w="856" w:type="dxa"/>
            <w:noWrap w:val="0"/>
            <w:vAlign w:val="center"/>
          </w:tcPr>
          <w:p w14:paraId="73E3275B">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3300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59" w:type="dxa"/>
            <w:vMerge w:val="continue"/>
            <w:noWrap w:val="0"/>
            <w:vAlign w:val="center"/>
          </w:tcPr>
          <w:p w14:paraId="6F57AB6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tc>
        <w:tc>
          <w:tcPr>
            <w:tcW w:w="894" w:type="dxa"/>
            <w:noWrap w:val="0"/>
            <w:vAlign w:val="center"/>
          </w:tcPr>
          <w:p w14:paraId="42BD07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国有融资</w:t>
            </w:r>
          </w:p>
        </w:tc>
        <w:tc>
          <w:tcPr>
            <w:tcW w:w="5949" w:type="dxa"/>
            <w:noWrap w:val="0"/>
            <w:vAlign w:val="center"/>
          </w:tcPr>
          <w:p w14:paraId="00D99955">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以根据投标银行对苍南县国有企业融资支持力度情况作为计分依据，2024年12月底融资余额</w:t>
            </w:r>
            <w:r>
              <w:rPr>
                <w:rFonts w:hint="eastAsia" w:ascii="宋体" w:hAnsi="宋体" w:eastAsia="宋体" w:cs="宋体"/>
                <w:color w:val="000000" w:themeColor="text1"/>
                <w:w w:val="90"/>
                <w:sz w:val="21"/>
                <w:szCs w:val="21"/>
                <w:highlight w:val="none"/>
                <w14:textFill>
                  <w14:solidFill>
                    <w14:schemeClr w14:val="tx1"/>
                  </w14:solidFill>
                </w14:textFill>
              </w:rPr>
              <w:t>最高得排名第一得1</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w w:val="90"/>
                <w:sz w:val="21"/>
                <w:szCs w:val="21"/>
                <w:highlight w:val="none"/>
                <w14:textFill>
                  <w14:solidFill>
                    <w14:schemeClr w14:val="tx1"/>
                  </w14:solidFill>
                </w14:textFill>
              </w:rPr>
              <w:t>分，其余投标银行排名每降低一名相应递减0.5分，减完为止。</w:t>
            </w:r>
          </w:p>
          <w:p w14:paraId="6915525B">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注:投标人须出具相关证明文件，否则不得分。</w:t>
            </w:r>
          </w:p>
        </w:tc>
        <w:tc>
          <w:tcPr>
            <w:tcW w:w="856" w:type="dxa"/>
            <w:noWrap w:val="0"/>
            <w:vAlign w:val="center"/>
          </w:tcPr>
          <w:p w14:paraId="3EC199BE">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792F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159" w:type="dxa"/>
            <w:vMerge w:val="continue"/>
            <w:noWrap w:val="0"/>
            <w:vAlign w:val="center"/>
          </w:tcPr>
          <w:p w14:paraId="0F56E11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tc>
        <w:tc>
          <w:tcPr>
            <w:tcW w:w="894" w:type="dxa"/>
            <w:noWrap w:val="0"/>
            <w:vAlign w:val="center"/>
          </w:tcPr>
          <w:p w14:paraId="23748B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支持地方经济发展</w:t>
            </w:r>
          </w:p>
        </w:tc>
        <w:tc>
          <w:tcPr>
            <w:tcW w:w="5949" w:type="dxa"/>
            <w:noWrap w:val="0"/>
            <w:vAlign w:val="center"/>
          </w:tcPr>
          <w:p w14:paraId="33965E69">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根据“2024年苍南县鼓励和支持金融业发展改革与创新业绩考核评分表”，得分从高到低排名。排名第一得15分，其余投标银行排名每降低一名相应递减1分，减完为止。</w:t>
            </w:r>
          </w:p>
          <w:p w14:paraId="1BE9FFFC">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注：由投标银行自行提供苍南县金融办出具的证明文件为准，否则不得分。</w:t>
            </w:r>
          </w:p>
        </w:tc>
        <w:tc>
          <w:tcPr>
            <w:tcW w:w="856" w:type="dxa"/>
            <w:noWrap w:val="0"/>
            <w:vAlign w:val="center"/>
          </w:tcPr>
          <w:p w14:paraId="62B71F26">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0-15</w:t>
            </w:r>
          </w:p>
        </w:tc>
      </w:tr>
      <w:tr w14:paraId="51AE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9" w:type="dxa"/>
            <w:vMerge w:val="restart"/>
            <w:noWrap w:val="0"/>
            <w:vAlign w:val="center"/>
          </w:tcPr>
          <w:p w14:paraId="077BA49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bidi="ar"/>
                <w14:textFill>
                  <w14:solidFill>
                    <w14:schemeClr w14:val="tx1"/>
                  </w14:solidFill>
                </w14:textFill>
              </w:rPr>
              <w:t>银行服务水平</w:t>
            </w:r>
            <w:r>
              <w:rPr>
                <w:rFonts w:hint="eastAsia" w:ascii="宋体" w:hAnsi="宋体" w:eastAsia="宋体" w:cs="宋体"/>
                <w:b/>
                <w:color w:val="000000" w:themeColor="text1"/>
                <w:kern w:val="0"/>
                <w:sz w:val="21"/>
                <w:szCs w:val="21"/>
                <w:highlight w:val="none"/>
                <w:lang w:val="en-US" w:eastAsia="zh-CN" w:bidi="ar"/>
                <w14:textFill>
                  <w14:solidFill>
                    <w14:schemeClr w14:val="tx1"/>
                  </w14:solidFill>
                </w14:textFill>
              </w:rPr>
              <w:t>指标（10分）</w:t>
            </w:r>
          </w:p>
        </w:tc>
        <w:tc>
          <w:tcPr>
            <w:tcW w:w="894" w:type="dxa"/>
            <w:noWrap w:val="0"/>
            <w:vAlign w:val="center"/>
          </w:tcPr>
          <w:p w14:paraId="1105E3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年度</w:t>
            </w:r>
          </w:p>
          <w:p w14:paraId="3F5929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考核</w:t>
            </w:r>
          </w:p>
        </w:tc>
        <w:tc>
          <w:tcPr>
            <w:tcW w:w="5949" w:type="dxa"/>
            <w:noWrap w:val="0"/>
            <w:vAlign w:val="center"/>
          </w:tcPr>
          <w:p w14:paraId="62297C12">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根据中共苍南县人民政府关于2024年度 综合考核结果的通报，先进单位得5分，良好单位得2分，未评分得0分。(以中共苍南县委发文为准（文号:苍委发〔2025〕10 号）（注：投标人须出具相关证明文件。）</w:t>
            </w:r>
          </w:p>
        </w:tc>
        <w:tc>
          <w:tcPr>
            <w:tcW w:w="856" w:type="dxa"/>
            <w:noWrap w:val="0"/>
            <w:vAlign w:val="center"/>
          </w:tcPr>
          <w:p w14:paraId="00954C49">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0-5</w:t>
            </w:r>
          </w:p>
        </w:tc>
      </w:tr>
      <w:tr w14:paraId="40D6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9" w:type="dxa"/>
            <w:vMerge w:val="continue"/>
            <w:noWrap w:val="0"/>
            <w:vAlign w:val="center"/>
          </w:tcPr>
          <w:p w14:paraId="7E60615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p>
        </w:tc>
        <w:tc>
          <w:tcPr>
            <w:tcW w:w="894" w:type="dxa"/>
            <w:noWrap w:val="0"/>
            <w:vAlign w:val="center"/>
          </w:tcPr>
          <w:p w14:paraId="435913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对账服务承诺</w:t>
            </w:r>
          </w:p>
        </w:tc>
        <w:tc>
          <w:tcPr>
            <w:tcW w:w="5949" w:type="dxa"/>
            <w:noWrap w:val="0"/>
            <w:vAlign w:val="center"/>
          </w:tcPr>
          <w:p w14:paraId="526B61BF">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承诺每月5日前及时送达对账单(或提供网上对账服务)的得2.5分，未承诺的不分。</w:t>
            </w:r>
          </w:p>
        </w:tc>
        <w:tc>
          <w:tcPr>
            <w:tcW w:w="856" w:type="dxa"/>
            <w:noWrap w:val="0"/>
            <w:vAlign w:val="center"/>
          </w:tcPr>
          <w:p w14:paraId="03332980">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0-2.5</w:t>
            </w:r>
          </w:p>
        </w:tc>
      </w:tr>
      <w:tr w14:paraId="4185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9" w:type="dxa"/>
            <w:vMerge w:val="continue"/>
            <w:noWrap w:val="0"/>
            <w:vAlign w:val="center"/>
          </w:tcPr>
          <w:p w14:paraId="55C5109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p>
        </w:tc>
        <w:tc>
          <w:tcPr>
            <w:tcW w:w="894" w:type="dxa"/>
            <w:noWrap w:val="0"/>
            <w:vAlign w:val="center"/>
          </w:tcPr>
          <w:p w14:paraId="684328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承诺对账率</w:t>
            </w:r>
          </w:p>
        </w:tc>
        <w:tc>
          <w:tcPr>
            <w:tcW w:w="5949" w:type="dxa"/>
            <w:noWrap w:val="0"/>
            <w:vAlign w:val="center"/>
          </w:tcPr>
          <w:p w14:paraId="654EDD6C">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承诺对账率为100%的得2.5分，低于100%或未承诺的不得分。</w:t>
            </w:r>
          </w:p>
        </w:tc>
        <w:tc>
          <w:tcPr>
            <w:tcW w:w="856" w:type="dxa"/>
            <w:noWrap w:val="0"/>
            <w:vAlign w:val="center"/>
          </w:tcPr>
          <w:p w14:paraId="5F77E31A">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0-2.5</w:t>
            </w:r>
          </w:p>
        </w:tc>
      </w:tr>
      <w:tr w14:paraId="440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9" w:type="dxa"/>
            <w:noWrap w:val="0"/>
            <w:vAlign w:val="center"/>
          </w:tcPr>
          <w:p w14:paraId="098103F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r>
              <w:rPr>
                <w:rFonts w:hint="eastAsia" w:ascii="宋体" w:hAnsi="宋体" w:eastAsia="宋体" w:cs="宋体"/>
                <w:b/>
                <w:color w:val="000000" w:themeColor="text1"/>
                <w:kern w:val="0"/>
                <w:sz w:val="21"/>
                <w:szCs w:val="21"/>
                <w:highlight w:val="none"/>
                <w:lang w:bidi="ar"/>
                <w14:textFill>
                  <w14:solidFill>
                    <w14:schemeClr w14:val="tx1"/>
                  </w14:solidFill>
                </w14:textFill>
              </w:rPr>
              <w:t>利率水平</w:t>
            </w:r>
          </w:p>
          <w:p w14:paraId="0EA4B33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r>
              <w:rPr>
                <w:rFonts w:hint="eastAsia" w:ascii="宋体" w:hAnsi="宋体" w:eastAsia="宋体" w:cs="宋体"/>
                <w:b/>
                <w:color w:val="000000" w:themeColor="text1"/>
                <w:kern w:val="0"/>
                <w:sz w:val="21"/>
                <w:szCs w:val="21"/>
                <w:highlight w:val="none"/>
                <w:lang w:bidi="ar"/>
                <w14:textFill>
                  <w14:solidFill>
                    <w14:schemeClr w14:val="tx1"/>
                  </w14:solidFill>
                </w14:textFill>
              </w:rPr>
              <w:t>(</w:t>
            </w:r>
            <w:r>
              <w:rPr>
                <w:rFonts w:hint="eastAsia" w:ascii="宋体" w:hAnsi="宋体" w:eastAsia="宋体" w:cs="宋体"/>
                <w:b/>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b/>
                <w:color w:val="000000" w:themeColor="text1"/>
                <w:kern w:val="0"/>
                <w:sz w:val="21"/>
                <w:szCs w:val="21"/>
                <w:highlight w:val="none"/>
                <w:lang w:bidi="ar"/>
                <w14:textFill>
                  <w14:solidFill>
                    <w14:schemeClr w14:val="tx1"/>
                  </w14:solidFill>
                </w14:textFill>
              </w:rPr>
              <w:t>分)</w:t>
            </w:r>
          </w:p>
        </w:tc>
        <w:tc>
          <w:tcPr>
            <w:tcW w:w="894" w:type="dxa"/>
            <w:noWrap w:val="0"/>
            <w:vAlign w:val="center"/>
          </w:tcPr>
          <w:p w14:paraId="2009F46C">
            <w:pPr>
              <w:keepNext w:val="0"/>
              <w:keepLines w:val="0"/>
              <w:pageBreakBefore w:val="0"/>
              <w:widowControl w:val="0"/>
              <w:kinsoku/>
              <w:wordWrap/>
              <w:overflowPunct/>
              <w:topLinePunct w:val="0"/>
              <w:bidi w:val="0"/>
              <w:adjustRightInd/>
              <w:spacing w:line="240" w:lineRule="auto"/>
              <w:jc w:val="center"/>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定期存款利率</w:t>
            </w:r>
          </w:p>
        </w:tc>
        <w:tc>
          <w:tcPr>
            <w:tcW w:w="5949" w:type="dxa"/>
            <w:noWrap w:val="0"/>
            <w:vAlign w:val="center"/>
          </w:tcPr>
          <w:p w14:paraId="22099222">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投标银行承诺一年定期存款利率情况评分，承诺的一年期定期存款年利率最高的为基准利率，投标人的分数按下列计算公式:得分=投标人承诺的定期利率/基准利率*10，满分10分。</w:t>
            </w:r>
          </w:p>
        </w:tc>
        <w:tc>
          <w:tcPr>
            <w:tcW w:w="856" w:type="dxa"/>
            <w:noWrap w:val="0"/>
            <w:vAlign w:val="center"/>
          </w:tcPr>
          <w:p w14:paraId="1B2327D2">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4596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2" w:type="dxa"/>
            <w:gridSpan w:val="3"/>
            <w:noWrap w:val="0"/>
            <w:vAlign w:val="center"/>
          </w:tcPr>
          <w:p w14:paraId="7DE47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合计</w:t>
            </w:r>
          </w:p>
        </w:tc>
        <w:tc>
          <w:tcPr>
            <w:tcW w:w="856" w:type="dxa"/>
            <w:noWrap w:val="0"/>
            <w:vAlign w:val="center"/>
          </w:tcPr>
          <w:p w14:paraId="7D1ACE5C">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100分</w:t>
            </w:r>
          </w:p>
        </w:tc>
      </w:tr>
    </w:tbl>
    <w:p w14:paraId="6AACCFDC">
      <w:pPr>
        <w:pStyle w:val="37"/>
        <w:keepNext w:val="0"/>
        <w:keepLines w:val="0"/>
        <w:pageBreakBefore w:val="0"/>
        <w:widowControl w:val="0"/>
        <w:numPr>
          <w:ilvl w:val="0"/>
          <w:numId w:val="0"/>
        </w:numPr>
        <w:kinsoku/>
        <w:wordWrap/>
        <w:overflowPunct/>
        <w:topLinePunct w:val="0"/>
        <w:autoSpaceDE/>
        <w:autoSpaceDN/>
        <w:bidi w:val="0"/>
        <w:adjustRightInd/>
        <w:snapToGrid/>
        <w:spacing w:before="0" w:after="0"/>
        <w:ind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bookmarkStart w:id="105" w:name="_Toc440162798"/>
      <w:bookmarkStart w:id="106" w:name="_Toc16381"/>
      <w:bookmarkStart w:id="107" w:name="_Toc30100"/>
      <w:bookmarkStart w:id="108" w:name="_Toc424164165"/>
      <w:bookmarkStart w:id="109" w:name="_Toc446950615"/>
      <w:bookmarkStart w:id="110" w:name="_Toc452032125"/>
      <w:bookmarkStart w:id="111" w:name="_Toc15226"/>
      <w:bookmarkStart w:id="112" w:name="_Toc4261"/>
      <w:bookmarkStart w:id="113" w:name="_Toc13793"/>
      <w:r>
        <w:rPr>
          <w:rFonts w:hint="eastAsia" w:ascii="宋体" w:hAnsi="宋体" w:eastAsia="宋体" w:cs="宋体"/>
          <w:b w:val="0"/>
          <w:bCs w:val="0"/>
          <w:color w:val="000000" w:themeColor="text1"/>
          <w:sz w:val="24"/>
          <w:szCs w:val="24"/>
          <w:lang w:val="en-US" w:eastAsia="zh-CN"/>
          <w14:textFill>
            <w14:solidFill>
              <w14:schemeClr w14:val="tx1"/>
            </w14:solidFill>
          </w14:textFill>
        </w:rPr>
        <w:t>备注：</w:t>
      </w:r>
      <w:r>
        <w:rPr>
          <w:rFonts w:hint="eastAsia" w:ascii="宋体" w:hAnsi="宋体" w:eastAsia="宋体" w:cs="宋体"/>
          <w:b w:val="0"/>
          <w:bCs w:val="0"/>
          <w:color w:val="000000" w:themeColor="text1"/>
          <w:sz w:val="24"/>
          <w:szCs w:val="24"/>
          <w14:textFill>
            <w14:solidFill>
              <w14:schemeClr w14:val="tx1"/>
            </w14:solidFill>
          </w14:textFill>
        </w:rPr>
        <w:t>评标委员会按有效标中按各投标人的最终得分（即商务标得分及资信标得分之和）由高到低进行排名，最终得分最高的为第一名</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以此类推</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综合得分</w:t>
      </w:r>
      <w:r>
        <w:rPr>
          <w:rFonts w:hint="eastAsia" w:ascii="宋体" w:hAnsi="宋体" w:eastAsia="宋体" w:cs="宋体"/>
          <w:b w:val="0"/>
          <w:bCs w:val="0"/>
          <w:color w:val="000000" w:themeColor="text1"/>
          <w:sz w:val="24"/>
          <w:szCs w:val="24"/>
          <w14:textFill>
            <w14:solidFill>
              <w14:schemeClr w14:val="tx1"/>
            </w14:solidFill>
          </w14:textFill>
        </w:rPr>
        <w:t>第一名投标人确定为标</w:t>
      </w:r>
      <w:r>
        <w:rPr>
          <w:rFonts w:hint="eastAsia" w:ascii="宋体" w:hAnsi="宋体" w:eastAsia="宋体" w:cs="宋体"/>
          <w:b w:val="0"/>
          <w:bCs w:val="0"/>
          <w:color w:val="000000" w:themeColor="text1"/>
          <w:sz w:val="24"/>
          <w:szCs w:val="24"/>
          <w:lang w:eastAsia="zh-CN"/>
          <w14:textFill>
            <w14:solidFill>
              <w14:schemeClr w14:val="tx1"/>
            </w14:solidFill>
          </w14:textFill>
        </w:rPr>
        <w:t>项</w:t>
      </w:r>
      <w:r>
        <w:rPr>
          <w:rFonts w:hint="eastAsia" w:ascii="宋体" w:hAnsi="宋体" w:eastAsia="宋体" w:cs="宋体"/>
          <w:b w:val="0"/>
          <w:bCs w:val="0"/>
          <w:color w:val="000000" w:themeColor="text1"/>
          <w:sz w:val="24"/>
          <w:szCs w:val="24"/>
          <w14:textFill>
            <w14:solidFill>
              <w14:schemeClr w14:val="tx1"/>
            </w14:solidFill>
          </w14:textFill>
        </w:rPr>
        <w:t>一中标候选人、</w:t>
      </w:r>
      <w:r>
        <w:rPr>
          <w:rFonts w:hint="eastAsia" w:ascii="宋体" w:hAnsi="宋体" w:eastAsia="宋体" w:cs="宋体"/>
          <w:b w:val="0"/>
          <w:bCs w:val="0"/>
          <w:color w:val="000000" w:themeColor="text1"/>
          <w:sz w:val="24"/>
          <w:szCs w:val="24"/>
          <w:lang w:val="en-US" w:eastAsia="zh-CN"/>
          <w14:textFill>
            <w14:solidFill>
              <w14:schemeClr w14:val="tx1"/>
            </w14:solidFill>
          </w14:textFill>
        </w:rPr>
        <w:t>综合得分</w:t>
      </w:r>
      <w:r>
        <w:rPr>
          <w:rFonts w:hint="eastAsia" w:ascii="宋体" w:hAnsi="宋体" w:eastAsia="宋体" w:cs="宋体"/>
          <w:b w:val="0"/>
          <w:bCs w:val="0"/>
          <w:color w:val="000000" w:themeColor="text1"/>
          <w:sz w:val="24"/>
          <w:szCs w:val="24"/>
          <w14:textFill>
            <w14:solidFill>
              <w14:schemeClr w14:val="tx1"/>
            </w14:solidFill>
          </w14:textFill>
        </w:rPr>
        <w:t>第二名投标人确定为标</w:t>
      </w:r>
      <w:r>
        <w:rPr>
          <w:rFonts w:hint="eastAsia" w:ascii="宋体" w:hAnsi="宋体" w:eastAsia="宋体" w:cs="宋体"/>
          <w:b w:val="0"/>
          <w:bCs w:val="0"/>
          <w:color w:val="000000" w:themeColor="text1"/>
          <w:sz w:val="24"/>
          <w:szCs w:val="24"/>
          <w:lang w:eastAsia="zh-CN"/>
          <w14:textFill>
            <w14:solidFill>
              <w14:schemeClr w14:val="tx1"/>
            </w14:solidFill>
          </w14:textFill>
        </w:rPr>
        <w:t>项</w:t>
      </w:r>
      <w:r>
        <w:rPr>
          <w:rFonts w:hint="eastAsia" w:ascii="宋体" w:hAnsi="宋体" w:eastAsia="宋体" w:cs="宋体"/>
          <w:b w:val="0"/>
          <w:bCs w:val="0"/>
          <w:color w:val="000000" w:themeColor="text1"/>
          <w:sz w:val="24"/>
          <w:szCs w:val="24"/>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中标候选人；（最终得分相同的，商务标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利率水平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得分高者优先；商务标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利率水平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得分，资信标得分也相同的，以随机方式确定优先者）。如发现中标人资格无效或其放弃中标资格，则按本次评标的得分排序结果依次替补或重新组织。</w:t>
      </w:r>
    </w:p>
    <w:p w14:paraId="6C3AFF1F">
      <w:pPr>
        <w:pStyle w:val="37"/>
        <w:numPr>
          <w:ilvl w:val="0"/>
          <w:numId w:val="7"/>
        </w:numPr>
        <w:spacing w:after="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合同主要条款</w:t>
      </w:r>
      <w:bookmarkEnd w:id="105"/>
      <w:bookmarkEnd w:id="106"/>
      <w:bookmarkEnd w:id="107"/>
      <w:bookmarkEnd w:id="108"/>
      <w:bookmarkEnd w:id="109"/>
      <w:bookmarkEnd w:id="110"/>
      <w:bookmarkEnd w:id="111"/>
      <w:bookmarkEnd w:id="112"/>
      <w:bookmarkEnd w:id="113"/>
    </w:p>
    <w:p w14:paraId="1CD71744">
      <w:pPr>
        <w:jc w:val="center"/>
        <w:rPr>
          <w:rFonts w:hint="eastAsia" w:ascii="宋体" w:hAnsi="宋体" w:eastAsia="宋体" w:cs="宋体"/>
          <w:b/>
          <w:color w:val="000000" w:themeColor="text1"/>
          <w:kern w:val="0"/>
          <w:sz w:val="32"/>
          <w:szCs w:val="28"/>
          <w:highlight w:val="none"/>
          <w14:textFill>
            <w14:solidFill>
              <w14:schemeClr w14:val="tx1"/>
            </w14:solidFill>
          </w14:textFill>
        </w:rPr>
      </w:pPr>
      <w:r>
        <w:rPr>
          <w:rFonts w:hint="eastAsia" w:ascii="宋体" w:hAnsi="宋体" w:eastAsia="宋体" w:cs="宋体"/>
          <w:b/>
          <w:color w:val="000000" w:themeColor="text1"/>
          <w:kern w:val="0"/>
          <w:sz w:val="32"/>
          <w:szCs w:val="28"/>
          <w:highlight w:val="none"/>
          <w14:textFill>
            <w14:solidFill>
              <w14:schemeClr w14:val="tx1"/>
            </w14:solidFill>
          </w14:textFill>
        </w:rPr>
        <w:t>（本合同样式供参考）</w:t>
      </w:r>
    </w:p>
    <w:p w14:paraId="20DF4F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合同编号：</w:t>
      </w:r>
      <w:r>
        <w:rPr>
          <w:rFonts w:hint="eastAsia" w:ascii="宋体" w:hAnsi="宋体" w:eastAsia="宋体" w:cs="宋体"/>
          <w:b/>
          <w:color w:val="000000" w:themeColor="text1"/>
          <w:kern w:val="0"/>
          <w:sz w:val="24"/>
          <w:szCs w:val="24"/>
          <w:highlight w:val="none"/>
          <w:u w:val="single"/>
          <w14:textFill>
            <w14:solidFill>
              <w14:schemeClr w14:val="tx1"/>
            </w14:solidFill>
          </w14:textFill>
        </w:rPr>
        <w:t xml:space="preserve">                 </w:t>
      </w:r>
    </w:p>
    <w:p w14:paraId="7908B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p>
    <w:p w14:paraId="15531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甲方：</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苍南县测绘院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26B055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乙方：</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061D07A2">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bookmarkStart w:id="114" w:name="_Toc6274"/>
      <w:bookmarkStart w:id="115" w:name="_Toc424164166"/>
      <w:bookmarkStart w:id="116" w:name="_Toc3990"/>
      <w:bookmarkStart w:id="117" w:name="_Toc1450"/>
      <w:bookmarkStart w:id="118" w:name="_Toc446950616"/>
      <w:bookmarkStart w:id="119" w:name="_Toc452032126"/>
      <w:bookmarkStart w:id="120" w:name="_Toc440162799"/>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（甲方名称）的</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在国内以公开招标方式进行采购，经评标委员会评定</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（乙方名称）为中标人。甲、乙双方本着诚信及互利互惠的原则，同意按照下面条款和条件，签署本合同。</w:t>
      </w:r>
    </w:p>
    <w:p w14:paraId="5926115F">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1" w:name="_Toc25918879"/>
      <w:r>
        <w:rPr>
          <w:rFonts w:hint="eastAsia" w:ascii="宋体" w:hAnsi="宋体" w:eastAsia="宋体" w:cs="宋体"/>
          <w:b/>
          <w:color w:val="000000" w:themeColor="text1"/>
          <w:sz w:val="22"/>
          <w14:textFill>
            <w14:solidFill>
              <w14:schemeClr w14:val="tx1"/>
            </w14:solidFill>
          </w14:textFill>
        </w:rPr>
        <w:t>一、本合同文件的优先次序</w:t>
      </w:r>
      <w:bookmarkEnd w:id="121"/>
    </w:p>
    <w:p w14:paraId="2A73F81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合同文件由以下文件组成，如存在歧义或不一致则根据以下优先次序来判断：</w:t>
      </w:r>
    </w:p>
    <w:p w14:paraId="430F91B3">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 xml:space="preserve">合同书及合同补充条款或说明 </w:t>
      </w:r>
    </w:p>
    <w:p w14:paraId="16CA64D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中标通知书</w:t>
      </w:r>
    </w:p>
    <w:p w14:paraId="1A3B99A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承诺书（含询标记录和优惠条款）</w:t>
      </w:r>
    </w:p>
    <w:p w14:paraId="7C0C3AE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投标文件</w:t>
      </w:r>
    </w:p>
    <w:p w14:paraId="0767B60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招标文件</w:t>
      </w:r>
    </w:p>
    <w:p w14:paraId="61990633">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color w:val="000000" w:themeColor="text1"/>
          <w:kern w:val="0"/>
          <w:sz w:val="22"/>
          <w:szCs w:val="22"/>
          <w14:textFill>
            <w14:solidFill>
              <w14:schemeClr w14:val="tx1"/>
            </w14:solidFill>
          </w14:textFill>
        </w:rPr>
      </w:pPr>
      <w:bookmarkStart w:id="122" w:name="_Toc25918880"/>
      <w:r>
        <w:rPr>
          <w:rFonts w:hint="eastAsia" w:ascii="宋体" w:hAnsi="宋体" w:eastAsia="宋体" w:cs="宋体"/>
          <w:b/>
          <w:color w:val="000000" w:themeColor="text1"/>
          <w:sz w:val="22"/>
          <w14:textFill>
            <w14:solidFill>
              <w14:schemeClr w14:val="tx1"/>
            </w14:solidFill>
          </w14:textFill>
        </w:rPr>
        <w:t>二、总则</w:t>
      </w:r>
      <w:bookmarkEnd w:id="122"/>
    </w:p>
    <w:p w14:paraId="18072943">
      <w:pPr>
        <w:pStyle w:val="3"/>
        <w:keepNext w:val="0"/>
        <w:keepLines w:val="0"/>
        <w:pageBreakBefore w:val="0"/>
        <w:widowControl w:val="0"/>
        <w:shd w:val="clear" w:color="auto" w:fill="FFFFFF"/>
        <w:tabs>
          <w:tab w:val="left" w:pos="576"/>
        </w:tabs>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1、依据招投标相关法律法规和根据《关于防止领导干部在公款存放方面发生利益冲突和利益输送的办法》(浙委办发〔2015〕8号)、《浙江省财政厅关于印发浙江省省级行政事业单位公款竞争性存放管理办法的通知》（浙财预执〔2021〕7号）、《苍南县县级预算单位公款竞争性存放管理暂行办法》（苍政办〔2019〕7号）等规定，经甲乙双方平等协商，签订本合同。</w:t>
      </w:r>
    </w:p>
    <w:p w14:paraId="1359CA8E">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甲方通过公开招标方式择优确定单位资金存放的定期存款银行，其定期存款有关的资金管理、本息收回等活动适用本合同。</w:t>
      </w:r>
    </w:p>
    <w:p w14:paraId="359C53A8">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rPr>
          <w:rFonts w:hint="eastAsia" w:ascii="宋体" w:hAnsi="宋体" w:eastAsia="宋体" w:cs="宋体"/>
          <w:b/>
          <w:bCs/>
          <w:color w:val="000000" w:themeColor="text1"/>
          <w:sz w:val="22"/>
          <w:szCs w:val="22"/>
          <w:u w:val="none"/>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
          <w:bCs/>
          <w:color w:val="000000" w:themeColor="text1"/>
          <w:sz w:val="22"/>
          <w:szCs w:val="22"/>
          <w14:textFill>
            <w14:solidFill>
              <w14:schemeClr w14:val="tx1"/>
            </w14:solidFill>
          </w14:textFill>
        </w:rPr>
        <w:t>经招标确定，甲方在乙方开立存款账户，人民币定期存款</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万元，定期存款年利率基础上加</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u w:val="none"/>
          <w14:textFill>
            <w14:solidFill>
              <w14:schemeClr w14:val="tx1"/>
            </w14:solidFill>
          </w14:textFill>
        </w:rPr>
        <w:t>BP</w:t>
      </w:r>
      <w:r>
        <w:rPr>
          <w:rFonts w:hint="eastAsia" w:ascii="宋体" w:hAnsi="宋体" w:eastAsia="宋体" w:cs="宋体"/>
          <w:b/>
          <w:bCs/>
          <w:color w:val="000000" w:themeColor="text1"/>
          <w:sz w:val="22"/>
          <w:szCs w:val="22"/>
          <w14:textFill>
            <w14:solidFill>
              <w14:schemeClr w14:val="tx1"/>
            </w14:solidFill>
          </w14:textFill>
        </w:rPr>
        <w:t xml:space="preserve"> (中国人民银行公布的人民币单位定期</w:t>
      </w:r>
      <w:r>
        <w:rPr>
          <w:rFonts w:hint="eastAsia" w:ascii="宋体" w:hAnsi="宋体" w:eastAsia="宋体" w:cs="宋体"/>
          <w:b/>
          <w:bCs/>
          <w:color w:val="000000" w:themeColor="text1"/>
          <w:sz w:val="22"/>
          <w:szCs w:val="22"/>
          <w:lang w:val="en-US" w:eastAsia="zh-CN"/>
          <w14:textFill>
            <w14:solidFill>
              <w14:schemeClr w14:val="tx1"/>
            </w14:solidFill>
          </w14:textFill>
        </w:rPr>
        <w:t>一</w:t>
      </w:r>
      <w:r>
        <w:rPr>
          <w:rFonts w:hint="eastAsia" w:ascii="宋体" w:hAnsi="宋体" w:eastAsia="宋体" w:cs="宋体"/>
          <w:b/>
          <w:bCs/>
          <w:color w:val="000000" w:themeColor="text1"/>
          <w:sz w:val="22"/>
          <w:szCs w:val="22"/>
          <w14:textFill>
            <w14:solidFill>
              <w14:schemeClr w14:val="tx1"/>
            </w14:solidFill>
          </w14:textFill>
        </w:rPr>
        <w:t>年存款基准利率基础上加点）。（乙方指定办理定期存款的分支机构为：</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u w:val="none"/>
          <w14:textFill>
            <w14:solidFill>
              <w14:schemeClr w14:val="tx1"/>
            </w14:solidFill>
          </w14:textFill>
        </w:rPr>
        <w:t>。</w:t>
      </w:r>
    </w:p>
    <w:p w14:paraId="6E7C128B">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rPr>
          <w:rFonts w:hint="eastAsia" w:ascii="宋体" w:hAnsi="宋体" w:eastAsia="宋体" w:cs="宋体"/>
          <w:b/>
          <w:bCs/>
          <w:color w:val="000000" w:themeColor="text1"/>
          <w:sz w:val="22"/>
          <w:szCs w:val="22"/>
          <w:u w:val="none"/>
          <w:lang w:val="en-US" w:eastAsia="zh-CN"/>
          <w14:textFill>
            <w14:solidFill>
              <w14:schemeClr w14:val="tx1"/>
            </w14:solidFill>
          </w14:textFill>
        </w:rPr>
      </w:pPr>
      <w:r>
        <w:rPr>
          <w:rFonts w:hint="eastAsia" w:ascii="宋体" w:hAnsi="宋体" w:eastAsia="宋体" w:cs="宋体"/>
          <w:b/>
          <w:bCs/>
          <w:color w:val="000000" w:themeColor="text1"/>
          <w:sz w:val="22"/>
          <w:szCs w:val="22"/>
          <w:u w:val="none"/>
          <w:lang w:val="en-US" w:eastAsia="zh-CN"/>
          <w14:textFill>
            <w14:solidFill>
              <w14:schemeClr w14:val="tx1"/>
            </w14:solidFill>
          </w14:textFill>
        </w:rPr>
        <w:t>注：招标人可以根据实际需求将中标金额划分成多个存单存入乙方指定办理定期存款的分支机构。</w:t>
      </w:r>
    </w:p>
    <w:p w14:paraId="4119DB0F">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3" w:name="_Toc25918881"/>
      <w:r>
        <w:rPr>
          <w:rFonts w:hint="eastAsia" w:ascii="宋体" w:hAnsi="宋体" w:eastAsia="宋体" w:cs="宋体"/>
          <w:b/>
          <w:color w:val="000000" w:themeColor="text1"/>
          <w:sz w:val="22"/>
          <w14:textFill>
            <w14:solidFill>
              <w14:schemeClr w14:val="tx1"/>
            </w14:solidFill>
          </w14:textFill>
        </w:rPr>
        <w:t>三、甲方权利与义务</w:t>
      </w:r>
      <w:bookmarkEnd w:id="123"/>
    </w:p>
    <w:p w14:paraId="35C5F7FD">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（一）甲方权利：</w:t>
      </w:r>
    </w:p>
    <w:p w14:paraId="6364E80A">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组织开展甲方单位资金存放工作；</w:t>
      </w:r>
    </w:p>
    <w:p w14:paraId="282C6C37">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要求乙方提供存款证明；</w:t>
      </w:r>
    </w:p>
    <w:p w14:paraId="2E881C12">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3、对在乙方的资金定期存款业务实施监督管理；</w:t>
      </w:r>
    </w:p>
    <w:p w14:paraId="2DF5AE31">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4、甲方对存放的资金有绝对支配权，乙方不得以任何理由，阻挠和限制甲方对存放资金的调度和使用；</w:t>
      </w:r>
    </w:p>
    <w:p w14:paraId="4AD607AE">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5、其它</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 xml:space="preserve">。  </w:t>
      </w:r>
    </w:p>
    <w:p w14:paraId="122AF53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（二）甲方义务：</w:t>
      </w:r>
    </w:p>
    <w:p w14:paraId="5119B75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1、按合同约定存放定期存款资金；</w:t>
      </w:r>
    </w:p>
    <w:p w14:paraId="3F506BD7">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2、其它</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w:t>
      </w:r>
    </w:p>
    <w:p w14:paraId="1715DD02">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4" w:name="_Toc25918882"/>
      <w:r>
        <w:rPr>
          <w:rFonts w:hint="eastAsia" w:ascii="宋体" w:hAnsi="宋体" w:eastAsia="宋体" w:cs="宋体"/>
          <w:b/>
          <w:color w:val="000000" w:themeColor="text1"/>
          <w:sz w:val="22"/>
          <w14:textFill>
            <w14:solidFill>
              <w14:schemeClr w14:val="tx1"/>
            </w14:solidFill>
          </w14:textFill>
        </w:rPr>
        <w:t>四、乙方权利与义务：</w:t>
      </w:r>
      <w:bookmarkEnd w:id="124"/>
    </w:p>
    <w:p w14:paraId="238AC3A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（一）乙方权利：</w:t>
      </w:r>
    </w:p>
    <w:p w14:paraId="314A42AD">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参与甲方组织的资金存放工作；</w:t>
      </w:r>
    </w:p>
    <w:p w14:paraId="76E6C96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乙方有权要求甲方按规定进行资金存放；</w:t>
      </w:r>
    </w:p>
    <w:p w14:paraId="25A6FDD6">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3、其它</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w:t>
      </w:r>
    </w:p>
    <w:p w14:paraId="48B1754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（二）乙方义务：</w:t>
      </w:r>
    </w:p>
    <w:p w14:paraId="0B23B9C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按规定向甲方预留印鉴、办理账户信息备案手续；</w:t>
      </w:r>
    </w:p>
    <w:p w14:paraId="6315DAA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向甲方提供存款证明；</w:t>
      </w:r>
    </w:p>
    <w:p w14:paraId="1DEA0D21">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存款到期及时足额缴清甲方存款本息；</w:t>
      </w:r>
    </w:p>
    <w:p w14:paraId="747192C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5</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确保甲方资金在存款期间的资金安全；</w:t>
      </w:r>
    </w:p>
    <w:p w14:paraId="3211830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6</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接受甲方对资金定期存款业务的监督管理；</w:t>
      </w:r>
    </w:p>
    <w:p w14:paraId="035758E1">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7</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提供甲方单位资金存放期存款相关单据及报表；</w:t>
      </w:r>
    </w:p>
    <w:p w14:paraId="363492E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8</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监测存款有关情况，并及时通报甲方；</w:t>
      </w:r>
    </w:p>
    <w:p w14:paraId="5DAE3BB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9</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配合甲方对在乙方资金定期存款业务实施监督管理；</w:t>
      </w:r>
    </w:p>
    <w:p w14:paraId="7F5146EE">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10</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其它</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w:t>
      </w:r>
    </w:p>
    <w:p w14:paraId="1C931E33">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5" w:name="_Toc25918883"/>
      <w:r>
        <w:rPr>
          <w:rFonts w:hint="eastAsia" w:ascii="宋体" w:hAnsi="宋体" w:eastAsia="宋体" w:cs="宋体"/>
          <w:b/>
          <w:color w:val="000000" w:themeColor="text1"/>
          <w:sz w:val="22"/>
          <w14:textFill>
            <w14:solidFill>
              <w14:schemeClr w14:val="tx1"/>
            </w14:solidFill>
          </w14:textFill>
        </w:rPr>
        <w:t>五、违约责任</w:t>
      </w:r>
      <w:bookmarkEnd w:id="125"/>
    </w:p>
    <w:p w14:paraId="0C088BC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除发生不可抗力外，违约责任按以下条款执行：</w:t>
      </w:r>
    </w:p>
    <w:p w14:paraId="4B73025A">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乙方正常履约，甲方未按合同约定存款，甲乙双方协商不成的，未划款部分甲方以当期存款合同中定期存款利率的两倍折成日利率，按日向乙方支付违约金；</w:t>
      </w:r>
    </w:p>
    <w:p w14:paraId="5C78C23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开户银行或资金存放银行出现以下情形，各单位应及时变更开户银行或提前收回定期存款，并取消其在以后各期竞争性存放的投标资格：</w:t>
      </w:r>
    </w:p>
    <w:p w14:paraId="4BAF851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（1）出现资金安全事故、重大违法违规行为或财务状况恶化的；</w:t>
      </w:r>
    </w:p>
    <w:p w14:paraId="184A1805">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（2）监管评级降低，监管部门认为存在较大运营风险的；</w:t>
      </w:r>
    </w:p>
    <w:p w14:paraId="60014B96">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（3）进行不正当投标的；</w:t>
      </w:r>
    </w:p>
    <w:p w14:paraId="532488B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（4）中标后弃标的；</w:t>
      </w:r>
    </w:p>
    <w:p w14:paraId="4E0A0770">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（5）没有按照中标协议承诺履行相应的责任和义务的；</w:t>
      </w:r>
    </w:p>
    <w:p w14:paraId="0DB43475">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（6）未按规定将到期存款本息足额缴入单位账户的；</w:t>
      </w:r>
    </w:p>
    <w:p w14:paraId="69F41855">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（7）存在其他可能影响公款竞存公平性或资金安全性的问题的</w:t>
      </w:r>
    </w:p>
    <w:p w14:paraId="52310C8B">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6" w:name="_Toc25918884"/>
      <w:r>
        <w:rPr>
          <w:rFonts w:hint="eastAsia" w:ascii="宋体" w:hAnsi="宋体" w:eastAsia="宋体" w:cs="宋体"/>
          <w:b/>
          <w:color w:val="000000" w:themeColor="text1"/>
          <w:sz w:val="22"/>
          <w14:textFill>
            <w14:solidFill>
              <w14:schemeClr w14:val="tx1"/>
            </w14:solidFill>
          </w14:textFill>
        </w:rPr>
        <w:t>六、提前支取</w:t>
      </w:r>
      <w:bookmarkEnd w:id="126"/>
    </w:p>
    <w:p w14:paraId="7B604F18">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1、</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w:t>
      </w:r>
    </w:p>
    <w:p w14:paraId="2BDBD9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七、增值服务</w:t>
      </w:r>
    </w:p>
    <w:p w14:paraId="4114B605">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1、</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w:t>
      </w:r>
    </w:p>
    <w:p w14:paraId="1FFB19D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八、争议及未尽事宜：</w:t>
      </w:r>
    </w:p>
    <w:p w14:paraId="366B6BD0">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1、有关本合同和签署本合同的争议应通过友好协商解决。如果协商不成，该争议应按照以下</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方式解决：</w:t>
      </w:r>
    </w:p>
    <w:p w14:paraId="30E19BB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（一）提交温州仲裁委员会仲裁，仲裁结果具有终结效力，双方应严格遵守；</w:t>
      </w:r>
    </w:p>
    <w:p w14:paraId="0237409D">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（二）提交甲方注册地人民法院通过诉讼解决。</w:t>
      </w:r>
    </w:p>
    <w:p w14:paraId="192ED240">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本协议未尽事宜或与国家有关法律、法规相悖的，均按国家有关法律、规定执行。</w:t>
      </w:r>
    </w:p>
    <w:p w14:paraId="762040F3">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任何一方就对方针对本合同项下任何条款的违约行为的自动弃权或重复性弃权不应被视为是对下一次针对同一条款的违约行为、或针对其他条款的违约行为的弃权。</w:t>
      </w:r>
    </w:p>
    <w:p w14:paraId="0D0977F6">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7" w:name="_Toc25918885"/>
      <w:r>
        <w:rPr>
          <w:rFonts w:hint="eastAsia" w:ascii="宋体" w:hAnsi="宋体" w:eastAsia="宋体" w:cs="宋体"/>
          <w:b/>
          <w:color w:val="000000" w:themeColor="text1"/>
          <w:sz w:val="22"/>
          <w14:textFill>
            <w14:solidFill>
              <w14:schemeClr w14:val="tx1"/>
            </w14:solidFill>
          </w14:textFill>
        </w:rPr>
        <w:t>九、合同期限</w:t>
      </w:r>
      <w:bookmarkEnd w:id="127"/>
    </w:p>
    <w:p w14:paraId="45DEC14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本合同期限为</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，自</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年</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月</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日起至</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年</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月</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日止</w:t>
      </w:r>
    </w:p>
    <w:p w14:paraId="2B26DAE5">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十、本合同一式五份，双方各执二份，一份送招标公司备案，具有同等法律效力。</w:t>
      </w:r>
    </w:p>
    <w:p w14:paraId="6B0B8FD2">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甲方：                                   乙方：</w:t>
      </w:r>
    </w:p>
    <w:p w14:paraId="5D2286E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法定（委托）代表人（签字）：              法定（委托）代表人（签字）：</w:t>
      </w:r>
    </w:p>
    <w:p w14:paraId="66074D89">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项目联系人：                              项目联系人：</w:t>
      </w:r>
    </w:p>
    <w:p w14:paraId="2D642FBA">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通信地址：                                通信地址：</w:t>
      </w:r>
    </w:p>
    <w:p w14:paraId="1B352D2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电话：                                    电话：</w:t>
      </w:r>
    </w:p>
    <w:p w14:paraId="3FDDECC9">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传真：                                    传真：</w:t>
      </w:r>
    </w:p>
    <w:p w14:paraId="7DEDA203">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签字日期：     年   月   日               签字日期：   年   月   日</w:t>
      </w:r>
    </w:p>
    <w:p w14:paraId="5F63112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40"/>
          <w:szCs w:val="48"/>
          <w14:textFill>
            <w14:solidFill>
              <w14:schemeClr w14:val="tx1"/>
            </w14:solidFill>
          </w14:textFill>
        </w:rPr>
        <w:t>廉政承诺书</w:t>
      </w:r>
    </w:p>
    <w:p w14:paraId="1B3E0F28">
      <w:pPr>
        <w:rPr>
          <w:rFonts w:hint="eastAsia" w:ascii="宋体" w:hAnsi="宋体" w:eastAsia="宋体" w:cs="宋体"/>
          <w:color w:val="000000" w:themeColor="text1"/>
          <w:sz w:val="28"/>
          <w:szCs w:val="36"/>
          <w:u w:val="single"/>
          <w14:textFill>
            <w14:solidFill>
              <w14:schemeClr w14:val="tx1"/>
            </w14:solidFill>
          </w14:textFill>
        </w:rPr>
      </w:pPr>
    </w:p>
    <w:p w14:paraId="2541993C">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部门(单位):</w:t>
      </w:r>
    </w:p>
    <w:p w14:paraId="5133FBA2">
      <w:pPr>
        <w:ind w:firstLine="560" w:firstLineChars="20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根据《财政部关于进一步加强财政部门和预算单位资金存放管理的指导意见》(财库[2017]76号)、《浙江省财政厅关于印发浙江省省级行政事业单位公款竞争性存放管理办法的通知》（浙财预执〔2021〕7号）</w:t>
      </w:r>
      <w:r>
        <w:rPr>
          <w:rFonts w:hint="eastAsia" w:ascii="宋体" w:hAnsi="宋体" w:eastAsia="宋体" w:cs="宋体"/>
          <w:color w:val="000000" w:themeColor="text1"/>
          <w:sz w:val="28"/>
          <w:szCs w:val="36"/>
          <w:lang w:eastAsia="zh-CN"/>
          <w14:textFill>
            <w14:solidFill>
              <w14:schemeClr w14:val="tx1"/>
            </w14:solidFill>
          </w14:textFill>
        </w:rPr>
        <w:t>、</w:t>
      </w:r>
      <w:r>
        <w:rPr>
          <w:rFonts w:hint="eastAsia" w:ascii="宋体" w:hAnsi="宋体" w:eastAsia="宋体" w:cs="宋体"/>
          <w:color w:val="000000" w:themeColor="text1"/>
          <w:sz w:val="28"/>
          <w:szCs w:val="36"/>
          <w14:textFill>
            <w14:solidFill>
              <w14:schemeClr w14:val="tx1"/>
            </w14:solidFill>
          </w14:textFill>
        </w:rPr>
        <w:t>《苍南县县级预算单位公款竞争性存放管理暂行办法》（苍政办〔2019〕7号）相关规定，现就本行参加贵单位</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年第</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期公款竞争性存放作出如下承诺：</w:t>
      </w:r>
    </w:p>
    <w:p w14:paraId="3925A3DA">
      <w:pPr>
        <w:numPr>
          <w:ilvl w:val="0"/>
          <w:numId w:val="8"/>
        </w:num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不向贵单位负责公款存放管理的领导及相关人员进行利益输送；</w:t>
      </w:r>
    </w:p>
    <w:p w14:paraId="04B2177F">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2、不将公款存放与贵单位负责公款存放管理的领导及相关人员在本行的配偶、子女及其配偶和其他直接利益相关人员的业绩、收入、晋升等利益挂钩；</w:t>
      </w:r>
    </w:p>
    <w:p w14:paraId="465EAC76">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3、严格执行利益回避制度，贵单位负责公款竞争性存放相关人员的配偶、子女及其配偶和其他直接利益相关人员为本行工作人员的，不参与公款竞争性存放工作；</w:t>
      </w:r>
    </w:p>
    <w:p w14:paraId="73EB1694">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4、不发生除，上述行为之外的其他任何利益输送行为。</w:t>
      </w:r>
    </w:p>
    <w:p w14:paraId="7C7FB916">
      <w:pPr>
        <w:ind w:firstLine="560" w:firstLineChars="20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未遵守以上承诺的，本行自愿接受财政部门通报和处理，承担相应的一切后果。</w:t>
      </w:r>
    </w:p>
    <w:p w14:paraId="50E202CA">
      <w:pPr>
        <w:rPr>
          <w:rFonts w:hint="eastAsia" w:ascii="宋体" w:hAnsi="宋体" w:eastAsia="宋体" w:cs="宋体"/>
          <w:color w:val="000000" w:themeColor="text1"/>
          <w:sz w:val="28"/>
          <w:szCs w:val="36"/>
          <w14:textFill>
            <w14:solidFill>
              <w14:schemeClr w14:val="tx1"/>
            </w14:solidFill>
          </w14:textFill>
        </w:rPr>
      </w:pPr>
    </w:p>
    <w:p w14:paraId="4C1B7865">
      <w:pPr>
        <w:ind w:firstLine="5600" w:firstLineChars="200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 xml:space="preserve">银行（公章）  </w:t>
      </w:r>
    </w:p>
    <w:p w14:paraId="3C9C35B2">
      <w:pPr>
        <w:pStyle w:val="37"/>
        <w:keepNext w:val="0"/>
        <w:keepLines w:val="0"/>
        <w:pageBreakBefore w:val="0"/>
        <w:widowControl w:val="0"/>
        <w:kinsoku/>
        <w:wordWrap/>
        <w:overflowPunct/>
        <w:topLinePunct w:val="0"/>
        <w:autoSpaceDE/>
        <w:autoSpaceDN/>
        <w:bidi w:val="0"/>
        <w:adjustRightInd/>
        <w:snapToGrid/>
        <w:spacing w:before="0" w:after="0" w:line="360" w:lineRule="auto"/>
        <w:ind w:firstLine="5622" w:firstLineChars="2000"/>
        <w:jc w:val="both"/>
        <w:textAlignment w:val="auto"/>
        <w:rPr>
          <w:rFonts w:hint="eastAsia" w:ascii="宋体" w:hAnsi="宋体" w:eastAsia="宋体" w:cs="宋体"/>
          <w:color w:val="000000" w:themeColor="text1"/>
          <w:highlight w:val="none"/>
          <w14:textFill>
            <w14:solidFill>
              <w14:schemeClr w14:val="tx1"/>
            </w14:solidFill>
          </w14:textFill>
        </w:rPr>
        <w:sectPr>
          <w:footerReference r:id="rId6" w:type="default"/>
          <w:pgSz w:w="11906" w:h="16838"/>
          <w:pgMar w:top="1440" w:right="1418" w:bottom="1440" w:left="1559" w:header="851" w:footer="992" w:gutter="0"/>
          <w:pgNumType w:fmt="decimal" w:start="1"/>
          <w:cols w:space="720" w:num="1"/>
          <w:docGrid w:linePitch="312" w:charSpace="0"/>
        </w:sectPr>
      </w:pP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年</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月</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日</w:t>
      </w:r>
    </w:p>
    <w:p w14:paraId="7A652F6E">
      <w:pPr>
        <w:pStyle w:val="37"/>
        <w:spacing w:before="625" w:beforeLines="200" w:after="0" w:line="360" w:lineRule="auto"/>
        <w:jc w:val="center"/>
        <w:rPr>
          <w:rFonts w:hint="eastAsia" w:ascii="宋体" w:hAnsi="宋体" w:eastAsia="宋体" w:cs="宋体"/>
          <w:color w:val="000000" w:themeColor="text1"/>
          <w:highlight w:val="none"/>
          <w14:textFill>
            <w14:solidFill>
              <w14:schemeClr w14:val="tx1"/>
            </w14:solidFill>
          </w14:textFill>
        </w:rPr>
      </w:pPr>
      <w:bookmarkStart w:id="128" w:name="_Toc30912"/>
      <w:bookmarkStart w:id="129" w:name="_Toc10968"/>
      <w:r>
        <w:rPr>
          <w:rFonts w:hint="eastAsia" w:ascii="宋体" w:hAnsi="宋体" w:eastAsia="宋体" w:cs="宋体"/>
          <w:color w:val="000000" w:themeColor="text1"/>
          <w:highlight w:val="none"/>
          <w14:textFill>
            <w14:solidFill>
              <w14:schemeClr w14:val="tx1"/>
            </w14:solidFill>
          </w14:textFill>
        </w:rPr>
        <w:t>第六章 投标文件格式</w:t>
      </w:r>
      <w:bookmarkEnd w:id="114"/>
      <w:bookmarkEnd w:id="115"/>
      <w:bookmarkEnd w:id="116"/>
      <w:bookmarkEnd w:id="117"/>
      <w:bookmarkEnd w:id="118"/>
      <w:bookmarkEnd w:id="119"/>
      <w:bookmarkEnd w:id="120"/>
      <w:bookmarkEnd w:id="128"/>
      <w:bookmarkEnd w:id="129"/>
    </w:p>
    <w:p w14:paraId="2CBD0C6E">
      <w:pPr>
        <w:rPr>
          <w:rFonts w:hint="eastAsia" w:ascii="宋体" w:hAnsi="宋体" w:eastAsia="宋体" w:cs="宋体"/>
          <w:b/>
          <w:color w:val="000000" w:themeColor="text1"/>
          <w:sz w:val="22"/>
          <w:szCs w:val="22"/>
          <w:highlight w:val="none"/>
          <w:u w:val="single"/>
          <w14:textFill>
            <w14:solidFill>
              <w14:schemeClr w14:val="tx1"/>
            </w14:solidFill>
          </w14:textFill>
        </w:rPr>
      </w:pPr>
    </w:p>
    <w:p w14:paraId="02AC3287">
      <w:pPr>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重要提示：</w:t>
      </w:r>
    </w:p>
    <w:p w14:paraId="69394A60">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①</w:t>
      </w:r>
      <w:r>
        <w:rPr>
          <w:rFonts w:hint="eastAsia" w:ascii="宋体" w:hAnsi="宋体" w:eastAsia="宋体" w:cs="宋体"/>
          <w:b/>
          <w:color w:val="000000" w:themeColor="text1"/>
          <w:sz w:val="22"/>
          <w:szCs w:val="22"/>
          <w:highlight w:val="none"/>
          <w:u w:val="single"/>
          <w14:textFill>
            <w14:solidFill>
              <w14:schemeClr w14:val="tx1"/>
            </w14:solidFill>
          </w14:textFill>
        </w:rPr>
        <w:t>《招标文件》提供格式的，投标银行应参照格式制作，在指定位置加盖投标银行公章并由</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法定代表人</w:t>
      </w:r>
      <w:r>
        <w:rPr>
          <w:rFonts w:hint="eastAsia" w:ascii="宋体" w:hAnsi="宋体" w:eastAsia="宋体" w:cs="宋体"/>
          <w:b/>
          <w:color w:val="000000" w:themeColor="text1"/>
          <w:sz w:val="22"/>
          <w:szCs w:val="22"/>
          <w:highlight w:val="none"/>
          <w:u w:val="single"/>
          <w14:textFill>
            <w14:solidFill>
              <w14:schemeClr w14:val="tx1"/>
            </w14:solidFill>
          </w14:textFill>
        </w:rPr>
        <w:t>或其授权代表签署（签字或盖章）</w:t>
      </w:r>
      <w:r>
        <w:rPr>
          <w:rFonts w:hint="eastAsia" w:ascii="宋体" w:hAnsi="宋体" w:eastAsia="宋体" w:cs="宋体"/>
          <w:b/>
          <w:color w:val="000000" w:themeColor="text1"/>
          <w:sz w:val="22"/>
          <w:szCs w:val="22"/>
          <w:highlight w:val="none"/>
          <w14:textFill>
            <w14:solidFill>
              <w14:schemeClr w14:val="tx1"/>
            </w14:solidFill>
          </w14:textFill>
        </w:rPr>
        <w:t>；</w:t>
      </w:r>
    </w:p>
    <w:p w14:paraId="5C24F8E3">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②</w:t>
      </w:r>
      <w:r>
        <w:rPr>
          <w:rFonts w:hint="eastAsia" w:ascii="宋体" w:hAnsi="宋体" w:eastAsia="宋体" w:cs="宋体"/>
          <w:b/>
          <w:color w:val="000000" w:themeColor="text1"/>
          <w:sz w:val="22"/>
          <w:szCs w:val="22"/>
          <w:highlight w:val="none"/>
          <w:u w:val="single"/>
          <w14:textFill>
            <w14:solidFill>
              <w14:schemeClr w14:val="tx1"/>
            </w14:solidFill>
          </w14:textFill>
        </w:rPr>
        <w:t>《招标文件》未提供格式的，请各投标单位自行拟定格式，加盖公章并由</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法定代表人</w:t>
      </w:r>
      <w:r>
        <w:rPr>
          <w:rFonts w:hint="eastAsia" w:ascii="宋体" w:hAnsi="宋体" w:eastAsia="宋体" w:cs="宋体"/>
          <w:b/>
          <w:color w:val="000000" w:themeColor="text1"/>
          <w:sz w:val="22"/>
          <w:szCs w:val="22"/>
          <w:highlight w:val="none"/>
          <w:u w:val="single"/>
          <w14:textFill>
            <w14:solidFill>
              <w14:schemeClr w14:val="tx1"/>
            </w14:solidFill>
          </w14:textFill>
        </w:rPr>
        <w:t>或其授权代表签署（签字或盖章）</w:t>
      </w:r>
      <w:r>
        <w:rPr>
          <w:rFonts w:hint="eastAsia" w:ascii="宋体" w:hAnsi="宋体" w:eastAsia="宋体" w:cs="宋体"/>
          <w:b/>
          <w:color w:val="000000" w:themeColor="text1"/>
          <w:sz w:val="22"/>
          <w:szCs w:val="22"/>
          <w:highlight w:val="none"/>
          <w14:textFill>
            <w14:solidFill>
              <w14:schemeClr w14:val="tx1"/>
            </w14:solidFill>
          </w14:textFill>
        </w:rPr>
        <w:t>；</w:t>
      </w:r>
    </w:p>
    <w:p w14:paraId="4F0465B8">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③</w:t>
      </w:r>
      <w:r>
        <w:rPr>
          <w:rFonts w:hint="eastAsia" w:ascii="宋体" w:hAnsi="宋体" w:eastAsia="宋体" w:cs="宋体"/>
          <w:b/>
          <w:color w:val="000000" w:themeColor="text1"/>
          <w:sz w:val="22"/>
          <w:szCs w:val="22"/>
          <w:highlight w:val="none"/>
          <w:u w:val="single"/>
          <w14:textFill>
            <w14:solidFill>
              <w14:schemeClr w14:val="tx1"/>
            </w14:solidFill>
          </w14:textFill>
        </w:rPr>
        <w:t>投标银行资格、业绩、许可证书等其他要求提供复印件的证明材料应加盖投标银行公章，否则视为未提供</w:t>
      </w:r>
      <w:r>
        <w:rPr>
          <w:rFonts w:hint="eastAsia" w:ascii="宋体" w:hAnsi="宋体" w:eastAsia="宋体" w:cs="宋体"/>
          <w:b/>
          <w:color w:val="000000" w:themeColor="text1"/>
          <w:sz w:val="22"/>
          <w:szCs w:val="22"/>
          <w:highlight w:val="none"/>
          <w14:textFill>
            <w14:solidFill>
              <w14:schemeClr w14:val="tx1"/>
            </w14:solidFill>
          </w14:textFill>
        </w:rPr>
        <w:t>。</w:t>
      </w:r>
    </w:p>
    <w:p w14:paraId="60E434DE">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p>
    <w:p w14:paraId="6AB045BC">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p>
    <w:p w14:paraId="24447449">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bookmarkStart w:id="130" w:name="_Toc21498"/>
      <w:bookmarkStart w:id="131" w:name="_Toc3458"/>
      <w:bookmarkStart w:id="132" w:name="_Toc31789"/>
      <w:bookmarkStart w:id="133" w:name="_Toc452032127"/>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文件”封面</w:t>
      </w:r>
      <w:bookmarkEnd w:id="130"/>
      <w:bookmarkEnd w:id="131"/>
      <w:bookmarkEnd w:id="132"/>
      <w:bookmarkEnd w:id="133"/>
    </w:p>
    <w:p w14:paraId="57DF5857">
      <w:pPr>
        <w:jc w:val="right"/>
        <w:rPr>
          <w:rFonts w:hint="eastAsia" w:ascii="宋体" w:hAnsi="宋体" w:eastAsia="宋体" w:cs="宋体"/>
          <w:b/>
          <w:color w:val="000000" w:themeColor="text1"/>
          <w:sz w:val="32"/>
          <w:szCs w:val="22"/>
          <w:highlight w:val="none"/>
          <w14:textFill>
            <w14:solidFill>
              <w14:schemeClr w14:val="tx1"/>
            </w14:solidFill>
          </w14:textFill>
        </w:rPr>
      </w:pPr>
    </w:p>
    <w:p w14:paraId="03BDB59F">
      <w:pPr>
        <w:spacing w:line="276" w:lineRule="auto"/>
        <w:jc w:val="center"/>
        <w:rPr>
          <w:rFonts w:hint="eastAsia" w:ascii="宋体" w:hAnsi="宋体" w:eastAsia="宋体" w:cs="宋体"/>
          <w:b/>
          <w:color w:val="000000" w:themeColor="text1"/>
          <w:w w:val="90"/>
          <w:sz w:val="160"/>
          <w:szCs w:val="22"/>
          <w:highlight w:val="none"/>
          <w14:textFill>
            <w14:solidFill>
              <w14:schemeClr w14:val="tx1"/>
            </w14:solidFill>
          </w14:textFill>
        </w:rPr>
      </w:pPr>
      <w:r>
        <w:rPr>
          <w:rFonts w:hint="eastAsia" w:ascii="宋体" w:hAnsi="宋体" w:eastAsia="宋体" w:cs="宋体"/>
          <w:b/>
          <w:color w:val="000000" w:themeColor="text1"/>
          <w:w w:val="90"/>
          <w:sz w:val="56"/>
          <w:szCs w:val="22"/>
          <w:highlight w:val="none"/>
          <w:lang w:eastAsia="zh-CN"/>
          <w14:textFill>
            <w14:solidFill>
              <w14:schemeClr w14:val="tx1"/>
            </w14:solidFill>
          </w14:textFill>
        </w:rPr>
        <w:t>2025年度苍南县测绘院公款竞争性存放项目</w:t>
      </w:r>
    </w:p>
    <w:p w14:paraId="2754757B">
      <w:pPr>
        <w:jc w:val="center"/>
        <w:rPr>
          <w:rFonts w:hint="eastAsia" w:ascii="宋体" w:hAnsi="宋体" w:eastAsia="宋体" w:cs="宋体"/>
          <w:b/>
          <w:color w:val="000000" w:themeColor="text1"/>
          <w:sz w:val="52"/>
          <w:szCs w:val="22"/>
          <w:highlight w:val="none"/>
          <w14:textFill>
            <w14:solidFill>
              <w14:schemeClr w14:val="tx1"/>
            </w14:solidFill>
          </w14:textFill>
        </w:rPr>
      </w:pPr>
    </w:p>
    <w:p w14:paraId="1968EBE6">
      <w:pPr>
        <w:spacing w:line="276" w:lineRule="auto"/>
        <w:jc w:val="center"/>
        <w:rPr>
          <w:rFonts w:hint="eastAsia" w:ascii="宋体" w:hAnsi="宋体" w:eastAsia="宋体" w:cs="宋体"/>
          <w:color w:val="000000" w:themeColor="text1"/>
          <w:sz w:val="96"/>
          <w:szCs w:val="22"/>
          <w:highlight w:val="none"/>
          <w14:textFill>
            <w14:solidFill>
              <w14:schemeClr w14:val="tx1"/>
            </w14:solidFill>
          </w14:textFill>
        </w:rPr>
      </w:pPr>
      <w:r>
        <w:rPr>
          <w:rFonts w:hint="eastAsia" w:ascii="宋体" w:hAnsi="宋体" w:eastAsia="宋体" w:cs="宋体"/>
          <w:color w:val="000000" w:themeColor="text1"/>
          <w:sz w:val="96"/>
          <w:szCs w:val="22"/>
          <w:highlight w:val="none"/>
          <w14:textFill>
            <w14:solidFill>
              <w14:schemeClr w14:val="tx1"/>
            </w14:solidFill>
          </w14:textFill>
        </w:rPr>
        <w:t>投 标 文 件</w:t>
      </w:r>
    </w:p>
    <w:tbl>
      <w:tblPr>
        <w:tblStyle w:val="39"/>
        <w:tblpPr w:leftFromText="180" w:rightFromText="180" w:vertAnchor="text" w:horzAnchor="margin" w:tblpXSpec="center" w:tblpY="643"/>
        <w:tblW w:w="0" w:type="auto"/>
        <w:tblInd w:w="0" w:type="dxa"/>
        <w:tblLayout w:type="fixed"/>
        <w:tblCellMar>
          <w:top w:w="0" w:type="dxa"/>
          <w:left w:w="108" w:type="dxa"/>
          <w:bottom w:w="0" w:type="dxa"/>
          <w:right w:w="108" w:type="dxa"/>
        </w:tblCellMar>
      </w:tblPr>
      <w:tblGrid>
        <w:gridCol w:w="7797"/>
      </w:tblGrid>
      <w:tr w14:paraId="6896EEC1">
        <w:tblPrEx>
          <w:tblCellMar>
            <w:top w:w="0" w:type="dxa"/>
            <w:left w:w="108" w:type="dxa"/>
            <w:bottom w:w="0" w:type="dxa"/>
            <w:right w:w="108" w:type="dxa"/>
          </w:tblCellMar>
        </w:tblPrEx>
        <w:trPr>
          <w:trHeight w:val="680" w:hRule="atLeast"/>
        </w:trPr>
        <w:tc>
          <w:tcPr>
            <w:tcW w:w="7797" w:type="dxa"/>
            <w:noWrap w:val="0"/>
            <w:vAlign w:val="center"/>
          </w:tcPr>
          <w:p w14:paraId="54CC9137">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苍产告字[2025]13-1号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412E5DA1">
        <w:tblPrEx>
          <w:tblCellMar>
            <w:top w:w="0" w:type="dxa"/>
            <w:left w:w="108" w:type="dxa"/>
            <w:bottom w:w="0" w:type="dxa"/>
            <w:right w:w="108" w:type="dxa"/>
          </w:tblCellMar>
        </w:tblPrEx>
        <w:trPr>
          <w:trHeight w:val="680" w:hRule="atLeast"/>
        </w:trPr>
        <w:tc>
          <w:tcPr>
            <w:tcW w:w="7797" w:type="dxa"/>
            <w:noWrap w:val="0"/>
            <w:vAlign w:val="center"/>
          </w:tcPr>
          <w:p w14:paraId="62269EC1">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投标银行名称（盖章）：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05BF1667">
        <w:tblPrEx>
          <w:tblCellMar>
            <w:top w:w="0" w:type="dxa"/>
            <w:left w:w="108" w:type="dxa"/>
            <w:bottom w:w="0" w:type="dxa"/>
            <w:right w:w="108" w:type="dxa"/>
          </w:tblCellMar>
        </w:tblPrEx>
        <w:trPr>
          <w:trHeight w:val="680" w:hRule="atLeast"/>
        </w:trPr>
        <w:tc>
          <w:tcPr>
            <w:tcW w:w="7797" w:type="dxa"/>
            <w:noWrap w:val="0"/>
            <w:vAlign w:val="center"/>
          </w:tcPr>
          <w:p w14:paraId="6483C9CA">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5A7A1E34">
        <w:tblPrEx>
          <w:tblCellMar>
            <w:top w:w="0" w:type="dxa"/>
            <w:left w:w="108" w:type="dxa"/>
            <w:bottom w:w="0" w:type="dxa"/>
            <w:right w:w="108" w:type="dxa"/>
          </w:tblCellMar>
        </w:tblPrEx>
        <w:trPr>
          <w:trHeight w:val="680" w:hRule="atLeast"/>
        </w:trPr>
        <w:tc>
          <w:tcPr>
            <w:tcW w:w="7797" w:type="dxa"/>
            <w:noWrap w:val="0"/>
            <w:vAlign w:val="center"/>
          </w:tcPr>
          <w:p w14:paraId="206402D0">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27623EF0">
        <w:tblPrEx>
          <w:tblCellMar>
            <w:top w:w="0" w:type="dxa"/>
            <w:left w:w="108" w:type="dxa"/>
            <w:bottom w:w="0" w:type="dxa"/>
            <w:right w:w="108" w:type="dxa"/>
          </w:tblCellMar>
        </w:tblPrEx>
        <w:trPr>
          <w:trHeight w:val="680" w:hRule="atLeast"/>
        </w:trPr>
        <w:tc>
          <w:tcPr>
            <w:tcW w:w="7797" w:type="dxa"/>
            <w:noWrap w:val="0"/>
            <w:vAlign w:val="center"/>
          </w:tcPr>
          <w:p w14:paraId="35D52D43">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76CDB527">
        <w:tblPrEx>
          <w:tblCellMar>
            <w:top w:w="0" w:type="dxa"/>
            <w:left w:w="108" w:type="dxa"/>
            <w:bottom w:w="0" w:type="dxa"/>
            <w:right w:w="108" w:type="dxa"/>
          </w:tblCellMar>
        </w:tblPrEx>
        <w:trPr>
          <w:trHeight w:val="335" w:hRule="atLeast"/>
        </w:trPr>
        <w:tc>
          <w:tcPr>
            <w:tcW w:w="7797" w:type="dxa"/>
            <w:noWrap w:val="0"/>
            <w:vAlign w:val="center"/>
          </w:tcPr>
          <w:p w14:paraId="72001CE1">
            <w:pPr>
              <w:rPr>
                <w:rFonts w:hint="eastAsia" w:ascii="宋体" w:hAnsi="宋体" w:eastAsia="宋体" w:cs="宋体"/>
                <w:color w:val="000000" w:themeColor="text1"/>
                <w:sz w:val="28"/>
                <w:szCs w:val="28"/>
                <w:highlight w:val="none"/>
                <w14:textFill>
                  <w14:solidFill>
                    <w14:schemeClr w14:val="tx1"/>
                  </w14:solidFill>
                </w14:textFill>
              </w:rPr>
            </w:pPr>
          </w:p>
        </w:tc>
      </w:tr>
      <w:tr w14:paraId="4408866E">
        <w:tblPrEx>
          <w:tblCellMar>
            <w:top w:w="0" w:type="dxa"/>
            <w:left w:w="108" w:type="dxa"/>
            <w:bottom w:w="0" w:type="dxa"/>
            <w:right w:w="108" w:type="dxa"/>
          </w:tblCellMar>
        </w:tblPrEx>
        <w:trPr>
          <w:trHeight w:val="680" w:hRule="atLeast"/>
        </w:trPr>
        <w:tc>
          <w:tcPr>
            <w:tcW w:w="7797" w:type="dxa"/>
            <w:noWrap w:val="0"/>
            <w:vAlign w:val="center"/>
          </w:tcPr>
          <w:p w14:paraId="1A5F8535">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开标前不得启封</w:t>
            </w:r>
          </w:p>
        </w:tc>
      </w:tr>
    </w:tbl>
    <w:p w14:paraId="47137435">
      <w:pPr>
        <w:jc w:val="center"/>
        <w:rPr>
          <w:rFonts w:hint="eastAsia" w:ascii="宋体" w:hAnsi="宋体" w:eastAsia="宋体" w:cs="宋体"/>
          <w:b/>
          <w:color w:val="000000" w:themeColor="text1"/>
          <w:sz w:val="52"/>
          <w:szCs w:val="22"/>
          <w:highlight w:val="none"/>
          <w14:textFill>
            <w14:solidFill>
              <w14:schemeClr w14:val="tx1"/>
            </w14:solidFill>
          </w14:textFill>
        </w:rPr>
      </w:pPr>
    </w:p>
    <w:p w14:paraId="50AD21A6">
      <w:pPr>
        <w:rPr>
          <w:rFonts w:hint="eastAsia" w:ascii="宋体" w:hAnsi="宋体" w:eastAsia="宋体" w:cs="宋体"/>
          <w:color w:val="000000" w:themeColor="text1"/>
          <w:highlight w:val="none"/>
          <w14:textFill>
            <w14:solidFill>
              <w14:schemeClr w14:val="tx1"/>
            </w14:solidFill>
          </w14:textFill>
        </w:rPr>
      </w:pPr>
    </w:p>
    <w:p w14:paraId="7FA20713">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34" w:name="_Toc2521"/>
      <w:bookmarkStart w:id="135" w:name="_Toc452032128"/>
      <w:bookmarkStart w:id="136" w:name="_Toc21804"/>
      <w:bookmarkStart w:id="137" w:name="_Toc2009"/>
      <w:r>
        <w:rPr>
          <w:rFonts w:hint="eastAsia" w:ascii="宋体" w:hAnsi="宋体" w:eastAsia="宋体" w:cs="宋体"/>
          <w:color w:val="000000" w:themeColor="text1"/>
          <w:highlight w:val="none"/>
          <w14:textFill>
            <w14:solidFill>
              <w14:schemeClr w14:val="tx1"/>
            </w14:solidFill>
          </w14:textFill>
        </w:rPr>
        <w:t>格式2、关于投标文件所有内容真实可靠的声明书</w:t>
      </w:r>
      <w:bookmarkEnd w:id="134"/>
      <w:bookmarkEnd w:id="135"/>
      <w:bookmarkEnd w:id="136"/>
      <w:bookmarkEnd w:id="137"/>
    </w:p>
    <w:p w14:paraId="4C8B96AE">
      <w:pPr>
        <w:rPr>
          <w:rFonts w:hint="eastAsia" w:ascii="宋体" w:hAnsi="宋体" w:eastAsia="宋体" w:cs="宋体"/>
          <w:color w:val="000000" w:themeColor="text1"/>
          <w:highlight w:val="none"/>
          <w14:textFill>
            <w14:solidFill>
              <w14:schemeClr w14:val="tx1"/>
            </w14:solidFill>
          </w14:textFill>
        </w:rPr>
      </w:pPr>
    </w:p>
    <w:p w14:paraId="135AE678">
      <w:pPr>
        <w:jc w:val="center"/>
        <w:rPr>
          <w:rFonts w:hint="eastAsia" w:ascii="宋体" w:hAnsi="宋体" w:eastAsia="宋体" w:cs="宋体"/>
          <w:b/>
          <w:color w:val="000000" w:themeColor="text1"/>
          <w:kern w:val="0"/>
          <w:sz w:val="36"/>
          <w:szCs w:val="32"/>
          <w:highlight w:val="none"/>
          <w14:textFill>
            <w14:solidFill>
              <w14:schemeClr w14:val="tx1"/>
            </w14:solidFill>
          </w14:textFill>
        </w:rPr>
      </w:pPr>
    </w:p>
    <w:p w14:paraId="30055DC2">
      <w:pPr>
        <w:jc w:val="center"/>
        <w:rPr>
          <w:rFonts w:hint="eastAsia" w:ascii="宋体" w:hAnsi="宋体" w:eastAsia="宋体" w:cs="宋体"/>
          <w:b/>
          <w:color w:val="000000" w:themeColor="text1"/>
          <w:kern w:val="0"/>
          <w:sz w:val="36"/>
          <w:szCs w:val="32"/>
          <w:highlight w:val="none"/>
          <w14:textFill>
            <w14:solidFill>
              <w14:schemeClr w14:val="tx1"/>
            </w14:solidFill>
          </w14:textFill>
        </w:rPr>
      </w:pPr>
      <w:r>
        <w:rPr>
          <w:rFonts w:hint="eastAsia" w:ascii="宋体" w:hAnsi="宋体" w:eastAsia="宋体" w:cs="宋体"/>
          <w:b/>
          <w:color w:val="000000" w:themeColor="text1"/>
          <w:kern w:val="0"/>
          <w:sz w:val="36"/>
          <w:szCs w:val="32"/>
          <w:highlight w:val="none"/>
          <w14:textFill>
            <w14:solidFill>
              <w14:schemeClr w14:val="tx1"/>
            </w14:solidFill>
          </w14:textFill>
        </w:rPr>
        <w:t>关于投标文件所有内容真实可靠的书面声明</w:t>
      </w:r>
    </w:p>
    <w:p w14:paraId="25E067B4">
      <w:pPr>
        <w:rPr>
          <w:rFonts w:hint="eastAsia" w:ascii="宋体" w:hAnsi="宋体" w:eastAsia="宋体" w:cs="宋体"/>
          <w:b/>
          <w:color w:val="000000" w:themeColor="text1"/>
          <w:kern w:val="0"/>
          <w:sz w:val="24"/>
          <w:szCs w:val="28"/>
          <w:highlight w:val="none"/>
          <w:u w:val="single"/>
          <w14:textFill>
            <w14:solidFill>
              <w14:schemeClr w14:val="tx1"/>
            </w14:solidFill>
          </w14:textFill>
        </w:rPr>
      </w:pPr>
    </w:p>
    <w:p w14:paraId="34975CBF">
      <w:pPr>
        <w:rPr>
          <w:rFonts w:hint="eastAsia" w:ascii="宋体" w:hAnsi="宋体" w:eastAsia="宋体" w:cs="宋体"/>
          <w:b/>
          <w:color w:val="000000" w:themeColor="text1"/>
          <w:kern w:val="0"/>
          <w:sz w:val="28"/>
          <w:szCs w:val="28"/>
          <w:highlight w:val="none"/>
          <w:u w:val="single"/>
          <w:lang w:eastAsia="zh-CN"/>
          <w14:textFill>
            <w14:solidFill>
              <w14:schemeClr w14:val="tx1"/>
            </w14:solidFill>
          </w14:textFill>
        </w:rPr>
      </w:pPr>
      <w:r>
        <w:rPr>
          <w:rFonts w:hint="eastAsia" w:ascii="宋体" w:hAnsi="宋体" w:eastAsia="宋体" w:cs="宋体"/>
          <w:b/>
          <w:color w:val="000000" w:themeColor="text1"/>
          <w:w w:val="90"/>
          <w:kern w:val="0"/>
          <w:sz w:val="24"/>
          <w:szCs w:val="22"/>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4"/>
          <w:szCs w:val="22"/>
          <w:highlight w:val="none"/>
          <w:u w:val="single"/>
          <w14:textFill>
            <w14:solidFill>
              <w14:schemeClr w14:val="tx1"/>
            </w14:solidFill>
          </w14:textFill>
        </w:rPr>
        <w:t>、</w:t>
      </w:r>
      <w:r>
        <w:rPr>
          <w:rFonts w:hint="eastAsia" w:ascii="宋体" w:hAnsi="宋体" w:eastAsia="宋体" w:cs="宋体"/>
          <w:b/>
          <w:color w:val="000000" w:themeColor="text1"/>
          <w:w w:val="90"/>
          <w:kern w:val="0"/>
          <w:sz w:val="24"/>
          <w:szCs w:val="22"/>
          <w:highlight w:val="none"/>
          <w:u w:val="single"/>
          <w:lang w:eastAsia="zh-CN"/>
          <w14:textFill>
            <w14:solidFill>
              <w14:schemeClr w14:val="tx1"/>
            </w14:solidFill>
          </w14:textFill>
        </w:rPr>
        <w:t>浙江之信工程项目管理有限公司</w:t>
      </w:r>
    </w:p>
    <w:p w14:paraId="131A4804">
      <w:pPr>
        <w:rPr>
          <w:rFonts w:hint="eastAsia" w:ascii="宋体" w:hAnsi="宋体" w:eastAsia="宋体" w:cs="宋体"/>
          <w:color w:val="000000" w:themeColor="text1"/>
          <w:kern w:val="0"/>
          <w:sz w:val="28"/>
          <w:szCs w:val="28"/>
          <w:highlight w:val="none"/>
          <w14:textFill>
            <w14:solidFill>
              <w14:schemeClr w14:val="tx1"/>
            </w14:solidFill>
          </w14:textFill>
        </w:rPr>
      </w:pPr>
    </w:p>
    <w:p w14:paraId="5F8FF3A8">
      <w:pPr>
        <w:ind w:firstLine="480" w:firstLineChars="200"/>
        <w:rPr>
          <w:rFonts w:hint="eastAsia" w:ascii="宋体" w:hAnsi="宋体" w:eastAsia="宋体" w:cs="宋体"/>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kern w:val="0"/>
          <w:sz w:val="24"/>
          <w:szCs w:val="22"/>
          <w:highlight w:val="none"/>
          <w14:textFill>
            <w14:solidFill>
              <w14:schemeClr w14:val="tx1"/>
            </w14:solidFill>
          </w14:textFill>
        </w:rPr>
        <w:t>我单位郑重声明，我公司参加</w:t>
      </w:r>
      <w:r>
        <w:rPr>
          <w:rFonts w:hint="eastAsia" w:ascii="宋体" w:hAnsi="宋体" w:eastAsia="宋体" w:cs="宋体"/>
          <w:b/>
          <w:color w:val="000000" w:themeColor="text1"/>
          <w:kern w:val="0"/>
          <w:sz w:val="24"/>
          <w:szCs w:val="22"/>
          <w:highlight w:val="none"/>
          <w:u w:val="single"/>
          <w:lang w:eastAsia="zh-CN"/>
          <w14:textFill>
            <w14:solidFill>
              <w14:schemeClr w14:val="tx1"/>
            </w14:solidFill>
          </w14:textFill>
        </w:rPr>
        <w:t>2025年度苍南县测绘院公款竞争性存放项目</w:t>
      </w:r>
      <w:r>
        <w:rPr>
          <w:rFonts w:hint="eastAsia" w:ascii="宋体" w:hAnsi="宋体" w:eastAsia="宋体" w:cs="宋体"/>
          <w:b/>
          <w:color w:val="000000" w:themeColor="text1"/>
          <w:kern w:val="0"/>
          <w:sz w:val="24"/>
          <w:szCs w:val="22"/>
          <w:highlight w:val="none"/>
          <w:u w:val="single"/>
          <w14:textFill>
            <w14:solidFill>
              <w14:schemeClr w14:val="tx1"/>
            </w14:solidFill>
          </w14:textFill>
        </w:rPr>
        <w:t>（招标编号：</w:t>
      </w:r>
      <w:r>
        <w:rPr>
          <w:rFonts w:hint="eastAsia" w:ascii="宋体" w:hAnsi="宋体" w:eastAsia="宋体" w:cs="宋体"/>
          <w:b/>
          <w:color w:val="000000" w:themeColor="text1"/>
          <w:kern w:val="0"/>
          <w:sz w:val="24"/>
          <w:szCs w:val="22"/>
          <w:highlight w:val="none"/>
          <w:u w:val="single"/>
          <w:lang w:eastAsia="zh-CN"/>
          <w14:textFill>
            <w14:solidFill>
              <w14:schemeClr w14:val="tx1"/>
            </w14:solidFill>
          </w14:textFill>
        </w:rPr>
        <w:t>苍产告字[2025]13-1号</w:t>
      </w:r>
      <w:r>
        <w:rPr>
          <w:rFonts w:hint="eastAsia" w:ascii="宋体" w:hAnsi="宋体" w:eastAsia="宋体" w:cs="宋体"/>
          <w:b/>
          <w:color w:val="000000" w:themeColor="text1"/>
          <w:kern w:val="0"/>
          <w:sz w:val="24"/>
          <w:szCs w:val="22"/>
          <w:highlight w:val="none"/>
          <w:u w:val="single"/>
          <w14:textFill>
            <w14:solidFill>
              <w14:schemeClr w14:val="tx1"/>
            </w14:solidFill>
          </w14:textFill>
        </w:rPr>
        <w:t>）</w:t>
      </w:r>
      <w:r>
        <w:rPr>
          <w:rFonts w:hint="eastAsia" w:ascii="宋体" w:hAnsi="宋体" w:eastAsia="宋体" w:cs="宋体"/>
          <w:color w:val="000000" w:themeColor="text1"/>
          <w:kern w:val="0"/>
          <w:sz w:val="24"/>
          <w:szCs w:val="22"/>
          <w:highlight w:val="none"/>
          <w14:textFill>
            <w14:solidFill>
              <w14:schemeClr w14:val="tx1"/>
            </w14:solidFill>
          </w14:textFill>
        </w:rPr>
        <w:t>活动中所提交的投标文件所有内容真实、可靠，不存在虚假、造假行为。如有违反，愿承担一切责任。</w:t>
      </w:r>
    </w:p>
    <w:p w14:paraId="6B3118E2">
      <w:pPr>
        <w:ind w:firstLine="480" w:firstLineChars="200"/>
        <w:rPr>
          <w:rFonts w:hint="eastAsia" w:ascii="宋体" w:hAnsi="宋体" w:eastAsia="宋体" w:cs="宋体"/>
          <w:color w:val="000000" w:themeColor="text1"/>
          <w:kern w:val="0"/>
          <w:sz w:val="24"/>
          <w:szCs w:val="22"/>
          <w:highlight w:val="none"/>
          <w14:textFill>
            <w14:solidFill>
              <w14:schemeClr w14:val="tx1"/>
            </w14:solidFill>
          </w14:textFill>
        </w:rPr>
      </w:pPr>
    </w:p>
    <w:p w14:paraId="469B4A49">
      <w:pPr>
        <w:ind w:firstLine="48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4"/>
          <w:szCs w:val="22"/>
          <w:highlight w:val="none"/>
          <w14:textFill>
            <w14:solidFill>
              <w14:schemeClr w14:val="tx1"/>
            </w14:solidFill>
          </w14:textFill>
        </w:rPr>
        <w:t>特此声明</w:t>
      </w:r>
    </w:p>
    <w:p w14:paraId="2D5857D5">
      <w:pPr>
        <w:ind w:firstLine="480" w:firstLineChars="200"/>
        <w:rPr>
          <w:rFonts w:hint="eastAsia" w:ascii="宋体" w:hAnsi="宋体" w:eastAsia="宋体" w:cs="宋体"/>
          <w:color w:val="000000" w:themeColor="text1"/>
          <w:kern w:val="0"/>
          <w:szCs w:val="22"/>
          <w:highlight w:val="none"/>
          <w14:textFill>
            <w14:solidFill>
              <w14:schemeClr w14:val="tx1"/>
            </w14:solidFill>
          </w14:textFill>
        </w:rPr>
      </w:pPr>
    </w:p>
    <w:p w14:paraId="0EEDD6EC">
      <w:pPr>
        <w:ind w:firstLine="480" w:firstLineChars="200"/>
        <w:rPr>
          <w:rFonts w:hint="eastAsia" w:ascii="宋体" w:hAnsi="宋体" w:eastAsia="宋体" w:cs="宋体"/>
          <w:color w:val="000000" w:themeColor="text1"/>
          <w:kern w:val="0"/>
          <w:szCs w:val="22"/>
          <w:highlight w:val="none"/>
          <w14:textFill>
            <w14:solidFill>
              <w14:schemeClr w14:val="tx1"/>
            </w14:solidFill>
          </w14:textFill>
        </w:rPr>
      </w:pPr>
    </w:p>
    <w:p w14:paraId="2DC55A4D">
      <w:pPr>
        <w:ind w:firstLine="480" w:firstLineChars="200"/>
        <w:rPr>
          <w:rFonts w:hint="eastAsia" w:ascii="宋体" w:hAnsi="宋体" w:eastAsia="宋体" w:cs="宋体"/>
          <w:color w:val="000000" w:themeColor="text1"/>
          <w:kern w:val="0"/>
          <w:szCs w:val="22"/>
          <w:highlight w:val="none"/>
          <w14:textFill>
            <w14:solidFill>
              <w14:schemeClr w14:val="tx1"/>
            </w14:solidFill>
          </w14:textFill>
        </w:rPr>
      </w:pPr>
    </w:p>
    <w:p w14:paraId="3ED14DDA">
      <w:pPr>
        <w:snapToGrid w:val="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投标银行名称（盖章）：</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14:paraId="06FAEF3C">
      <w:pPr>
        <w:snapToGrid w:val="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2"/>
          <w:highlight w:val="none"/>
          <w14:textFill>
            <w14:solidFill>
              <w14:schemeClr w14:val="tx1"/>
            </w14:solidFill>
          </w14:textFill>
        </w:rPr>
        <w:t>或其授权代表（签字或盖章）：</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14:paraId="5FC8A2E2">
      <w:pPr>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日期：</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14:paraId="30B12560">
      <w:pPr>
        <w:rPr>
          <w:rFonts w:hint="eastAsia" w:ascii="宋体" w:hAnsi="宋体" w:eastAsia="宋体" w:cs="宋体"/>
          <w:color w:val="000000" w:themeColor="text1"/>
          <w:sz w:val="22"/>
          <w:szCs w:val="22"/>
          <w:highlight w:val="none"/>
          <w:u w:val="single"/>
          <w14:textFill>
            <w14:solidFill>
              <w14:schemeClr w14:val="tx1"/>
            </w14:solidFill>
          </w14:textFill>
        </w:rPr>
      </w:pPr>
    </w:p>
    <w:p w14:paraId="036139F0">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38" w:name="_Toc25776"/>
      <w:bookmarkStart w:id="139" w:name="_Toc452032129"/>
      <w:bookmarkStart w:id="140" w:name="_Toc2601"/>
      <w:bookmarkStart w:id="141" w:name="_Toc24457"/>
      <w:r>
        <w:rPr>
          <w:rFonts w:hint="eastAsia" w:ascii="宋体" w:hAnsi="宋体" w:eastAsia="宋体" w:cs="宋体"/>
          <w:color w:val="000000" w:themeColor="text1"/>
          <w:highlight w:val="none"/>
          <w14:textFill>
            <w14:solidFill>
              <w14:schemeClr w14:val="tx1"/>
            </w14:solidFill>
          </w14:textFill>
        </w:rPr>
        <w:t>格式3、投标函</w:t>
      </w:r>
      <w:bookmarkEnd w:id="138"/>
      <w:bookmarkEnd w:id="139"/>
      <w:bookmarkEnd w:id="140"/>
      <w:bookmarkEnd w:id="141"/>
    </w:p>
    <w:p w14:paraId="1CF94705">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投标函</w:t>
      </w:r>
    </w:p>
    <w:p w14:paraId="39A59675">
      <w:pPr>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2"/>
          <w:szCs w:val="22"/>
          <w:highlight w:val="none"/>
          <w:u w:val="single"/>
          <w14:textFill>
            <w14:solidFill>
              <w14:schemeClr w14:val="tx1"/>
            </w14:solidFill>
          </w14:textFill>
        </w:rPr>
        <w:t>、</w:t>
      </w: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w w:val="90"/>
          <w:kern w:val="0"/>
          <w:sz w:val="22"/>
          <w:szCs w:val="22"/>
          <w:highlight w:val="none"/>
          <w14:textFill>
            <w14:solidFill>
              <w14:schemeClr w14:val="tx1"/>
            </w14:solidFill>
          </w14:textFill>
        </w:rPr>
        <w:t>：</w:t>
      </w:r>
    </w:p>
    <w:p w14:paraId="7419AD16">
      <w:pPr>
        <w:ind w:firstLine="380" w:firstLineChars="192"/>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根据贵方为</w:t>
      </w: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w w:val="90"/>
          <w:kern w:val="0"/>
          <w:sz w:val="22"/>
          <w:szCs w:val="22"/>
          <w:highlight w:val="none"/>
          <w14:textFill>
            <w14:solidFill>
              <w14:schemeClr w14:val="tx1"/>
            </w14:solidFill>
          </w14:textFill>
        </w:rPr>
        <w:t>的招标公告（项目编号：</w:t>
      </w: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苍产告字[2025]13-1号</w:t>
      </w:r>
      <w:r>
        <w:rPr>
          <w:rFonts w:hint="eastAsia" w:ascii="宋体" w:hAnsi="宋体" w:eastAsia="宋体" w:cs="宋体"/>
          <w:color w:val="000000" w:themeColor="text1"/>
          <w:w w:val="90"/>
          <w:kern w:val="0"/>
          <w:sz w:val="22"/>
          <w:szCs w:val="22"/>
          <w:highlight w:val="none"/>
          <w14:textFill>
            <w14:solidFill>
              <w14:schemeClr w14:val="tx1"/>
            </w14:solidFill>
          </w14:textFill>
        </w:rPr>
        <w:t>），我方签字代表____________（全名）经正式授权并代表投标银行________________（投标银行名称）参与本次项目的投标，同时按《招标文件》要求提交投标文件</w:t>
      </w:r>
      <w:r>
        <w:rPr>
          <w:rFonts w:hint="eastAsia" w:ascii="宋体" w:hAnsi="宋体" w:eastAsia="宋体" w:cs="宋体"/>
          <w:b/>
          <w:color w:val="000000" w:themeColor="text1"/>
          <w:w w:val="90"/>
          <w:kern w:val="0"/>
          <w:sz w:val="22"/>
          <w:szCs w:val="22"/>
          <w:highlight w:val="none"/>
          <w14:textFill>
            <w14:solidFill>
              <w14:schemeClr w14:val="tx1"/>
            </w14:solidFill>
          </w14:textFill>
        </w:rPr>
        <w:t>（正本一册、副本四册</w:t>
      </w:r>
      <w:r>
        <w:rPr>
          <w:rFonts w:hint="eastAsia" w:ascii="宋体" w:hAnsi="宋体" w:eastAsia="宋体" w:cs="宋体"/>
          <w:color w:val="000000" w:themeColor="text1"/>
          <w:w w:val="90"/>
          <w:kern w:val="0"/>
          <w:sz w:val="22"/>
          <w:szCs w:val="22"/>
          <w:highlight w:val="none"/>
          <w14:textFill>
            <w14:solidFill>
              <w14:schemeClr w14:val="tx1"/>
            </w14:solidFill>
          </w14:textFill>
        </w:rPr>
        <w:t>）。</w:t>
      </w:r>
      <w:r>
        <w:rPr>
          <w:rFonts w:hint="eastAsia" w:ascii="宋体" w:hAnsi="宋体" w:eastAsia="宋体" w:cs="宋体"/>
          <w:b/>
          <w:color w:val="000000" w:themeColor="text1"/>
          <w:w w:val="90"/>
          <w:kern w:val="0"/>
          <w:sz w:val="22"/>
          <w:szCs w:val="22"/>
          <w:highlight w:val="none"/>
          <w14:textFill>
            <w14:solidFill>
              <w14:schemeClr w14:val="tx1"/>
            </w14:solidFill>
          </w14:textFill>
        </w:rPr>
        <w:t>据此函，签字代表宣布同意如下：</w:t>
      </w:r>
    </w:p>
    <w:p w14:paraId="0AD254A2">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1、我方已详细阅读全部《招标文件》，包括补充（更正）文件（如有）以及全部参考资料和有关附件，我方已经了解对于《招标文件》、</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招标</w:t>
      </w:r>
      <w:r>
        <w:rPr>
          <w:rFonts w:hint="eastAsia" w:ascii="宋体" w:hAnsi="宋体" w:eastAsia="宋体" w:cs="宋体"/>
          <w:color w:val="000000" w:themeColor="text1"/>
          <w:w w:val="90"/>
          <w:kern w:val="0"/>
          <w:sz w:val="22"/>
          <w:szCs w:val="22"/>
          <w:highlight w:val="none"/>
          <w14:textFill>
            <w14:solidFill>
              <w14:schemeClr w14:val="tx1"/>
            </w14:solidFill>
          </w14:textFill>
        </w:rPr>
        <w:t>过程、</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招标</w:t>
      </w:r>
      <w:r>
        <w:rPr>
          <w:rFonts w:hint="eastAsia" w:ascii="宋体" w:hAnsi="宋体" w:eastAsia="宋体" w:cs="宋体"/>
          <w:color w:val="000000" w:themeColor="text1"/>
          <w:w w:val="90"/>
          <w:kern w:val="0"/>
          <w:sz w:val="22"/>
          <w:szCs w:val="22"/>
          <w:highlight w:val="none"/>
          <w14:textFill>
            <w14:solidFill>
              <w14:schemeClr w14:val="tx1"/>
            </w14:solidFill>
          </w14:textFill>
        </w:rPr>
        <w:t>结果有依法进行询问、质疑、投诉的权利及相关渠道和要求。</w:t>
      </w:r>
    </w:p>
    <w:p w14:paraId="07622B2E">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2、我方向贵方提交的所有《投标文件》、资料都是准确和真实的；</w:t>
      </w:r>
    </w:p>
    <w:p w14:paraId="115DBF61">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3、我方不是招标人的附属机构；在获知本项目</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招标</w:t>
      </w:r>
      <w:r>
        <w:rPr>
          <w:rFonts w:hint="eastAsia" w:ascii="宋体" w:hAnsi="宋体" w:eastAsia="宋体" w:cs="宋体"/>
          <w:color w:val="000000" w:themeColor="text1"/>
          <w:w w:val="90"/>
          <w:kern w:val="0"/>
          <w:sz w:val="22"/>
          <w:szCs w:val="22"/>
          <w:highlight w:val="none"/>
          <w14:textFill>
            <w14:solidFill>
              <w14:schemeClr w14:val="tx1"/>
            </w14:solidFill>
          </w14:textFill>
        </w:rPr>
        <w:t>信息后，与招标人聘请的为此项目提供咨询服务的公司及其附属机构没有任何关系；</w:t>
      </w:r>
    </w:p>
    <w:p w14:paraId="6CA8969F">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4、我方在投标之前已经与贵方进行了充分的沟通，完全理解并接受《招标文件》的各项规定和要求，对《招标文件》的合理性、合法性不再有异议；</w:t>
      </w:r>
    </w:p>
    <w:p w14:paraId="37800908">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5、我方将按《招标文件》的规定履行合同责任和义务；</w:t>
      </w:r>
    </w:p>
    <w:p w14:paraId="3A0CBCA6">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6、我方此次报价以我方《投标一览表》所列为准；</w:t>
      </w:r>
    </w:p>
    <w:p w14:paraId="3AA9E862">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7、本投标文件有效期为自投标截止之日起</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lang w:val="en-US" w:eastAsia="zh-CN"/>
          <w14:textFill>
            <w14:solidFill>
              <w14:schemeClr w14:val="tx1"/>
            </w14:solidFill>
          </w14:textFill>
        </w:rPr>
        <w:t>9</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0</w:t>
      </w:r>
      <w:r>
        <w:rPr>
          <w:rFonts w:hint="eastAsia" w:ascii="宋体" w:hAnsi="宋体" w:eastAsia="宋体" w:cs="宋体"/>
          <w:color w:val="000000" w:themeColor="text1"/>
          <w:w w:val="90"/>
          <w:kern w:val="0"/>
          <w:sz w:val="22"/>
          <w:szCs w:val="22"/>
          <w:highlight w:val="none"/>
          <w14:textFill>
            <w14:solidFill>
              <w14:schemeClr w14:val="tx1"/>
            </w14:solidFill>
          </w14:textFill>
        </w:rPr>
        <w:t>个日历日。</w:t>
      </w:r>
    </w:p>
    <w:p w14:paraId="6E88EAE7">
      <w:pPr>
        <w:ind w:firstLine="396" w:firstLineChars="200"/>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8、如中标（成交），本《投标文件》至本项目合同履行完毕止均保持有效，我方将按《招标文件》、投标文件承诺以及根据《浙江省财政厅关于印发浙江省省级行政事业单位公款竞争性存放管理办法的通知》（浙财预执〔2021〕7号）、《苍南县县级预算单位公款竞争性存放管理暂行办法》（苍政办〔2019〕7号）公款存放相关规定履行合同责任和义务。</w:t>
      </w:r>
    </w:p>
    <w:p w14:paraId="6A1B066A">
      <w:pPr>
        <w:ind w:firstLine="396" w:firstLineChars="200"/>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9、我方同意按照贵方要求提供与投标有关的一切数据或资料。</w:t>
      </w:r>
    </w:p>
    <w:p w14:paraId="1D2C6975">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投标银行名称（公章）：</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65DEB6AD">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w w:val="90"/>
          <w:kern w:val="0"/>
          <w:sz w:val="22"/>
          <w:szCs w:val="22"/>
          <w:highlight w:val="none"/>
          <w14:textFill>
            <w14:solidFill>
              <w14:schemeClr w14:val="tx1"/>
            </w14:solidFill>
          </w14:textFill>
        </w:rPr>
        <w:t>或授权代表姓名：</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职务：</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3BC205E4">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w w:val="90"/>
          <w:kern w:val="0"/>
          <w:sz w:val="22"/>
          <w:szCs w:val="22"/>
          <w:highlight w:val="none"/>
          <w14:textFill>
            <w14:solidFill>
              <w14:schemeClr w14:val="tx1"/>
            </w14:solidFill>
          </w14:textFill>
        </w:rPr>
        <w:t>或授权代表签字（或盖章）：</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w w:val="90"/>
          <w:kern w:val="0"/>
          <w:sz w:val="22"/>
          <w:szCs w:val="22"/>
          <w:highlight w:val="none"/>
          <w14:textFill>
            <w14:solidFill>
              <w14:schemeClr w14:val="tx1"/>
            </w14:solidFill>
          </w14:textFill>
        </w:rPr>
        <w:t>或授权代表手机号码：</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494F7583">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单位地址：</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邮编：</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4E8DF211">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单位电话：</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单位传真：</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3770FF29">
      <w:pPr>
        <w:ind w:firstLine="380" w:firstLineChars="192"/>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日    期：      年    月    日</w:t>
      </w:r>
    </w:p>
    <w:p w14:paraId="2340D881">
      <w:pPr>
        <w:pStyle w:val="3"/>
        <w:rPr>
          <w:rFonts w:hint="eastAsia" w:ascii="宋体" w:hAnsi="宋体" w:eastAsia="宋体" w:cs="宋体"/>
          <w:color w:val="000000" w:themeColor="text1"/>
          <w:highlight w:val="none"/>
          <w14:textFill>
            <w14:solidFill>
              <w14:schemeClr w14:val="tx1"/>
            </w14:solidFill>
          </w14:textFill>
        </w:rPr>
      </w:pPr>
      <w:bookmarkStart w:id="142" w:name="_Toc28206"/>
      <w:bookmarkStart w:id="143" w:name="_Toc27668"/>
      <w:bookmarkStart w:id="144" w:name="_Toc452032131"/>
      <w:bookmarkStart w:id="145" w:name="_Toc2512"/>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法定代表人（或负责人）</w:t>
      </w:r>
      <w:r>
        <w:rPr>
          <w:rFonts w:hint="eastAsia" w:ascii="宋体" w:hAnsi="宋体" w:eastAsia="宋体" w:cs="宋体"/>
          <w:color w:val="000000" w:themeColor="text1"/>
          <w:highlight w:val="none"/>
          <w14:textFill>
            <w14:solidFill>
              <w14:schemeClr w14:val="tx1"/>
            </w14:solidFill>
          </w14:textFill>
        </w:rPr>
        <w:t>授权委托书</w:t>
      </w:r>
      <w:bookmarkEnd w:id="142"/>
      <w:bookmarkEnd w:id="143"/>
      <w:bookmarkEnd w:id="144"/>
      <w:bookmarkEnd w:id="145"/>
    </w:p>
    <w:p w14:paraId="21244121">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法定代表人（或负责人）授权委托书</w:t>
      </w:r>
    </w:p>
    <w:p w14:paraId="4FD2A9F9">
      <w:pPr>
        <w:rPr>
          <w:rFonts w:hint="eastAsia" w:ascii="宋体" w:hAnsi="宋体" w:eastAsia="宋体" w:cs="宋体"/>
          <w:b/>
          <w:color w:val="000000" w:themeColor="text1"/>
          <w:kern w:val="0"/>
          <w:sz w:val="22"/>
          <w:szCs w:val="22"/>
          <w:highlight w:val="none"/>
          <w:u w:val="single"/>
          <w14:textFill>
            <w14:solidFill>
              <w14:schemeClr w14:val="tx1"/>
            </w14:solidFill>
          </w14:textFill>
        </w:rPr>
      </w:pP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2"/>
          <w:szCs w:val="22"/>
          <w:highlight w:val="none"/>
          <w:u w:val="single"/>
          <w14:textFill>
            <w14:solidFill>
              <w14:schemeClr w14:val="tx1"/>
            </w14:solidFill>
          </w14:textFill>
        </w:rPr>
        <w:t>、</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kern w:val="0"/>
          <w:sz w:val="22"/>
          <w:szCs w:val="22"/>
          <w:highlight w:val="none"/>
          <w14:textFill>
            <w14:solidFill>
              <w14:schemeClr w14:val="tx1"/>
            </w14:solidFill>
          </w14:textFill>
        </w:rPr>
        <w:t>：</w:t>
      </w:r>
    </w:p>
    <w:p w14:paraId="6A7929B4">
      <w:pPr>
        <w:rPr>
          <w:rFonts w:hint="eastAsia" w:ascii="宋体" w:hAnsi="宋体" w:eastAsia="宋体" w:cs="宋体"/>
          <w:color w:val="000000" w:themeColor="text1"/>
          <w:kern w:val="0"/>
          <w:sz w:val="22"/>
          <w:szCs w:val="22"/>
          <w:highlight w:val="none"/>
          <w14:textFill>
            <w14:solidFill>
              <w14:schemeClr w14:val="tx1"/>
            </w14:solidFill>
          </w14:textFill>
        </w:rPr>
      </w:pPr>
    </w:p>
    <w:p w14:paraId="1FFBEEB9">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2"/>
          <w:szCs w:val="22"/>
          <w:highlight w:val="none"/>
          <w14:textFill>
            <w14:solidFill>
              <w14:schemeClr w14:val="tx1"/>
            </w14:solidFill>
          </w14:textFill>
        </w:rPr>
        <w:t>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（投标银行名称）       </w:t>
      </w:r>
      <w:r>
        <w:rPr>
          <w:rFonts w:hint="eastAsia" w:ascii="宋体" w:hAnsi="宋体" w:eastAsia="宋体" w:cs="宋体"/>
          <w:color w:val="000000" w:themeColor="text1"/>
          <w:kern w:val="0"/>
          <w:sz w:val="22"/>
          <w:szCs w:val="22"/>
          <w:highlight w:val="none"/>
          <w14:textFill>
            <w14:solidFill>
              <w14:schemeClr w14:val="tx1"/>
            </w14:solidFill>
          </w14:textFill>
        </w:rPr>
        <w:t>的法定代表人，现授权委托本单位在职职工</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2"/>
          <w:szCs w:val="22"/>
          <w:highlight w:val="none"/>
          <w14:textFill>
            <w14:solidFill>
              <w14:schemeClr w14:val="tx1"/>
            </w14:solidFill>
          </w14:textFill>
        </w:rPr>
        <w:t xml:space="preserve">以我方的名义参加 </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2025年度苍南县测绘院公款竞争性存放项目</w:t>
      </w:r>
      <w:r>
        <w:rPr>
          <w:rFonts w:hint="eastAsia" w:ascii="宋体" w:hAnsi="宋体" w:eastAsia="宋体" w:cs="宋体"/>
          <w:b/>
          <w:color w:val="000000" w:themeColor="text1"/>
          <w:kern w:val="0"/>
          <w:sz w:val="22"/>
          <w:szCs w:val="22"/>
          <w:highlight w:val="none"/>
          <w:u w:val="single"/>
          <w14:textFill>
            <w14:solidFill>
              <w14:schemeClr w14:val="tx1"/>
            </w14:solidFill>
          </w14:textFill>
        </w:rPr>
        <w:t>（项目编号：</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苍产告字[2025]13-1号</w:t>
      </w:r>
      <w:r>
        <w:rPr>
          <w:rFonts w:hint="eastAsia" w:ascii="宋体" w:hAnsi="宋体" w:eastAsia="宋体" w:cs="宋体"/>
          <w:b/>
          <w:color w:val="000000" w:themeColor="text1"/>
          <w:kern w:val="0"/>
          <w:sz w:val="22"/>
          <w:szCs w:val="22"/>
          <w:highlight w:val="none"/>
          <w:u w:val="singl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的投标活动，并代表我方全权办理针对上述项目的投标、开标、评标、签约等具体事务和签署相关文件。</w:t>
      </w:r>
    </w:p>
    <w:p w14:paraId="06AEDC34">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我方对被授权人的签名负全部责任。</w:t>
      </w:r>
    </w:p>
    <w:p w14:paraId="19541656">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在撤销授权的书面通知以前，本授权书一直有效。被授权人在授权书有效期内签署的所有文件不因授权的撤销而失效。</w:t>
      </w:r>
    </w:p>
    <w:p w14:paraId="21FDDACF">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被授权人无转委托权，特此委托。</w:t>
      </w:r>
    </w:p>
    <w:tbl>
      <w:tblPr>
        <w:tblStyle w:val="39"/>
        <w:tblW w:w="0" w:type="auto"/>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14:paraId="15F887D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14:paraId="4D3EDF4B">
            <w:pPr>
              <w:jc w:val="center"/>
              <w:rPr>
                <w:rFonts w:hint="eastAsia" w:ascii="宋体" w:hAnsi="宋体" w:eastAsia="宋体" w:cs="宋体"/>
                <w:i/>
                <w:color w:val="000000" w:themeColor="text1"/>
                <w:kern w:val="0"/>
                <w:sz w:val="28"/>
                <w:szCs w:val="22"/>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法定代表人身份证扫描件或复印件（正反面均须提供）</w:t>
            </w:r>
          </w:p>
        </w:tc>
      </w:tr>
      <w:tr w14:paraId="3102D91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14:paraId="3DD8565A">
            <w:pPr>
              <w:jc w:val="center"/>
              <w:rPr>
                <w:rFonts w:hint="eastAsia" w:ascii="宋体" w:hAnsi="宋体" w:eastAsia="宋体" w:cs="宋体"/>
                <w:i/>
                <w:color w:val="000000" w:themeColor="text1"/>
                <w:kern w:val="0"/>
                <w:sz w:val="28"/>
                <w:szCs w:val="22"/>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被授权人（授权代表）身份证扫描件或复印件（正反面均须提供）</w:t>
            </w:r>
          </w:p>
        </w:tc>
      </w:tr>
    </w:tbl>
    <w:p w14:paraId="4CD5F825">
      <w:pPr>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法定代表人签名（或盖章）：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0181DD40">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职务：</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4AA2013C">
      <w:pPr>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被授权人身份证号码：</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46AFC000">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投标银行（公章）：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50A28836">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时      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月</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日</w:t>
      </w:r>
    </w:p>
    <w:p w14:paraId="10C3610A">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bookmarkStart w:id="146" w:name="_Toc30164"/>
      <w:bookmarkStart w:id="147" w:name="_Toc18640"/>
      <w:bookmarkStart w:id="148" w:name="_Toc452032133"/>
      <w:bookmarkStart w:id="149" w:name="_Toc17820"/>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、投标一览表</w:t>
      </w:r>
      <w:bookmarkEnd w:id="146"/>
      <w:bookmarkEnd w:id="147"/>
      <w:bookmarkEnd w:id="148"/>
      <w:bookmarkEnd w:id="149"/>
    </w:p>
    <w:p w14:paraId="0818ED06">
      <w:pPr>
        <w:jc w:val="center"/>
        <w:rPr>
          <w:rFonts w:hint="eastAsia" w:ascii="宋体" w:hAnsi="宋体" w:eastAsia="宋体" w:cs="宋体"/>
          <w:b/>
          <w:color w:val="000000" w:themeColor="text1"/>
          <w:kern w:val="0"/>
          <w:sz w:val="44"/>
          <w:szCs w:val="22"/>
          <w:highlight w:val="none"/>
          <w14:textFill>
            <w14:solidFill>
              <w14:schemeClr w14:val="tx1"/>
            </w14:solidFill>
          </w14:textFill>
        </w:rPr>
      </w:pPr>
      <w:r>
        <w:rPr>
          <w:rFonts w:hint="eastAsia" w:ascii="宋体" w:hAnsi="宋体" w:eastAsia="宋体" w:cs="宋体"/>
          <w:b/>
          <w:color w:val="000000" w:themeColor="text1"/>
          <w:kern w:val="0"/>
          <w:sz w:val="44"/>
          <w:szCs w:val="22"/>
          <w:highlight w:val="none"/>
          <w14:textFill>
            <w14:solidFill>
              <w14:schemeClr w14:val="tx1"/>
            </w14:solidFill>
          </w14:textFill>
        </w:rPr>
        <w:t>投标一览表</w:t>
      </w:r>
    </w:p>
    <w:p w14:paraId="1C05632C">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12BA88E9">
      <w:pPr>
        <w:rPr>
          <w:rFonts w:hint="eastAsia" w:ascii="宋体" w:hAnsi="宋体" w:eastAsia="宋体" w:cs="宋体"/>
          <w:b/>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苍产告字[2025]13-1号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7230"/>
      </w:tblGrid>
      <w:tr w14:paraId="421A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44" w:type="dxa"/>
            <w:noWrap w:val="0"/>
            <w:vAlign w:val="center"/>
          </w:tcPr>
          <w:p w14:paraId="252BF4BF">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p>
        </w:tc>
        <w:tc>
          <w:tcPr>
            <w:tcW w:w="7230" w:type="dxa"/>
            <w:noWrap w:val="0"/>
            <w:vAlign w:val="center"/>
          </w:tcPr>
          <w:p w14:paraId="7CDDBC19">
            <w:pPr>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2025年度苍南县测绘院公款竞争性存放项目</w:t>
            </w:r>
          </w:p>
        </w:tc>
      </w:tr>
      <w:tr w14:paraId="49AC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644" w:type="dxa"/>
            <w:noWrap w:val="0"/>
            <w:vAlign w:val="center"/>
          </w:tcPr>
          <w:p w14:paraId="61501AF3">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投标报价</w:t>
            </w:r>
          </w:p>
        </w:tc>
        <w:tc>
          <w:tcPr>
            <w:tcW w:w="7230" w:type="dxa"/>
            <w:noWrap w:val="0"/>
            <w:vAlign w:val="center"/>
          </w:tcPr>
          <w:p w14:paraId="10227062">
            <w:pPr>
              <w:jc w:val="left"/>
              <w:rPr>
                <w:rFonts w:hint="eastAsia" w:ascii="宋体" w:hAnsi="宋体" w:eastAsia="宋体" w:cs="宋体"/>
                <w:i/>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定期存款</w:t>
            </w:r>
            <w:r>
              <w:rPr>
                <w:rFonts w:hint="eastAsia" w:ascii="宋体" w:hAnsi="宋体" w:eastAsia="宋体" w:cs="宋体"/>
                <w:color w:val="000000" w:themeColor="text1"/>
                <w:sz w:val="24"/>
                <w:highlight w:val="none"/>
                <w14:textFill>
                  <w14:solidFill>
                    <w14:schemeClr w14:val="tx1"/>
                  </w14:solidFill>
                </w14:textFill>
              </w:rPr>
              <w:t>利率为央行存款基准利率基础上</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BP。</w:t>
            </w:r>
          </w:p>
        </w:tc>
      </w:tr>
    </w:tbl>
    <w:p w14:paraId="2FE2EEB5">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u w:val="single"/>
          <w14:textFill>
            <w14:solidFill>
              <w14:schemeClr w14:val="tx1"/>
            </w14:solidFill>
          </w14:textFill>
        </w:rPr>
        <w:t>注：报价一经涂改，应在涂改处加盖单位公章或者由法定代表人或授权委托人签字或盖章，否则其投标作无效标处理。</w:t>
      </w:r>
    </w:p>
    <w:p w14:paraId="056D5CBD">
      <w:pPr>
        <w:rPr>
          <w:rFonts w:hint="eastAsia" w:ascii="宋体" w:hAnsi="宋体" w:eastAsia="宋体" w:cs="宋体"/>
          <w:color w:val="000000" w:themeColor="text1"/>
          <w:kern w:val="0"/>
          <w:sz w:val="22"/>
          <w:szCs w:val="22"/>
          <w:highlight w:val="none"/>
          <w14:textFill>
            <w14:solidFill>
              <w14:schemeClr w14:val="tx1"/>
            </w14:solidFill>
          </w14:textFill>
        </w:rPr>
      </w:pPr>
    </w:p>
    <w:p w14:paraId="2F9E6C67">
      <w:pPr>
        <w:rPr>
          <w:rFonts w:hint="eastAsia" w:ascii="宋体" w:hAnsi="宋体" w:eastAsia="宋体" w:cs="宋体"/>
          <w:color w:val="000000" w:themeColor="text1"/>
          <w:kern w:val="0"/>
          <w:sz w:val="22"/>
          <w:szCs w:val="22"/>
          <w:highlight w:val="none"/>
          <w14:textFill>
            <w14:solidFill>
              <w14:schemeClr w14:val="tx1"/>
            </w14:solidFill>
          </w14:textFill>
        </w:rPr>
      </w:pPr>
    </w:p>
    <w:p w14:paraId="52016D24">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BED6EA2">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AC2D23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日期： </w:t>
      </w:r>
      <w:r>
        <w:rPr>
          <w:rFonts w:hint="eastAsia" w:ascii="宋体" w:hAnsi="宋体" w:eastAsia="宋体" w:cs="宋体"/>
          <w:color w:val="000000" w:themeColor="text1"/>
          <w:highlight w:val="none"/>
          <w14:textFill>
            <w14:solidFill>
              <w14:schemeClr w14:val="tx1"/>
            </w14:solidFill>
          </w14:textFill>
        </w:rPr>
        <w:t xml:space="preserve">                                        </w:t>
      </w:r>
    </w:p>
    <w:p w14:paraId="4480A251">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50" w:name="_Toc452032134"/>
      <w:bookmarkStart w:id="151" w:name="_Toc25712"/>
      <w:bookmarkStart w:id="152" w:name="_Toc11824"/>
      <w:bookmarkStart w:id="153" w:name="_Toc6200"/>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、营业执照</w:t>
      </w:r>
      <w:bookmarkEnd w:id="150"/>
      <w:bookmarkEnd w:id="151"/>
      <w:bookmarkEnd w:id="152"/>
      <w:bookmarkEnd w:id="153"/>
    </w:p>
    <w:p w14:paraId="52130F74">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营业执照</w:t>
      </w:r>
    </w:p>
    <w:tbl>
      <w:tblPr>
        <w:tblStyle w:val="39"/>
        <w:tblW w:w="0" w:type="auto"/>
        <w:jc w:val="center"/>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50"/>
      </w:tblGrid>
      <w:tr w14:paraId="3E08B45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jc w:val="center"/>
        </w:trPr>
        <w:tc>
          <w:tcPr>
            <w:tcW w:w="9050" w:type="dxa"/>
            <w:noWrap w:val="0"/>
            <w:vAlign w:val="center"/>
          </w:tcPr>
          <w:p w14:paraId="1F46BD5D">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投标银行营业执照复印件</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r>
              <w:rPr>
                <w:rFonts w:hint="eastAsia" w:ascii="宋体" w:hAnsi="宋体" w:eastAsia="宋体" w:cs="宋体"/>
                <w:i/>
                <w:color w:val="000000" w:themeColor="text1"/>
                <w:w w:val="100"/>
                <w:kern w:val="0"/>
                <w:sz w:val="28"/>
                <w:szCs w:val="22"/>
                <w:highlight w:val="none"/>
                <w14:textFill>
                  <w14:solidFill>
                    <w14:schemeClr w14:val="tx1"/>
                  </w14:solidFill>
                </w14:textFill>
              </w:rPr>
              <w:t>加盖投标银行公章</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p>
        </w:tc>
      </w:tr>
    </w:tbl>
    <w:p w14:paraId="73DEE679">
      <w:pPr>
        <w:rPr>
          <w:rFonts w:hint="eastAsia" w:ascii="宋体" w:hAnsi="宋体" w:eastAsia="宋体" w:cs="宋体"/>
          <w:i/>
          <w:color w:val="000000" w:themeColor="text1"/>
          <w:sz w:val="22"/>
          <w:szCs w:val="22"/>
          <w:highlight w:val="none"/>
          <w14:textFill>
            <w14:solidFill>
              <w14:schemeClr w14:val="tx1"/>
            </w14:solidFill>
          </w14:textFill>
        </w:rPr>
      </w:pPr>
    </w:p>
    <w:p w14:paraId="5CC050FD">
      <w:pPr>
        <w:rPr>
          <w:rFonts w:hint="eastAsia" w:ascii="宋体" w:hAnsi="宋体" w:eastAsia="宋体" w:cs="宋体"/>
          <w:i/>
          <w:color w:val="000000" w:themeColor="text1"/>
          <w:sz w:val="22"/>
          <w:szCs w:val="22"/>
          <w:highlight w:val="none"/>
          <w14:textFill>
            <w14:solidFill>
              <w14:schemeClr w14:val="tx1"/>
            </w14:solidFill>
          </w14:textFill>
        </w:rPr>
      </w:pPr>
    </w:p>
    <w:p w14:paraId="76D92286">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54" w:name="_Toc452032136"/>
      <w:bookmarkStart w:id="155" w:name="_Toc31827"/>
      <w:bookmarkStart w:id="156" w:name="_Toc22957"/>
      <w:bookmarkStart w:id="157" w:name="_Toc15833"/>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中华人民共和国金融许可证</w:t>
      </w:r>
      <w:bookmarkEnd w:id="154"/>
      <w:bookmarkEnd w:id="155"/>
      <w:bookmarkEnd w:id="156"/>
      <w:bookmarkEnd w:id="157"/>
    </w:p>
    <w:p w14:paraId="761E3E66">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中华人民共和国金融许可证</w:t>
      </w:r>
    </w:p>
    <w:tbl>
      <w:tblPr>
        <w:tblStyle w:val="39"/>
        <w:tblW w:w="0" w:type="auto"/>
        <w:jc w:val="center"/>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8941"/>
      </w:tblGrid>
      <w:tr w14:paraId="325F672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jc w:val="center"/>
        </w:trPr>
        <w:tc>
          <w:tcPr>
            <w:tcW w:w="8941" w:type="dxa"/>
            <w:noWrap w:val="0"/>
            <w:vAlign w:val="center"/>
          </w:tcPr>
          <w:p w14:paraId="64027407">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提供总机构中华人民共和国金融许可证</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r>
              <w:rPr>
                <w:rFonts w:hint="eastAsia" w:ascii="宋体" w:hAnsi="宋体" w:eastAsia="宋体" w:cs="宋体"/>
                <w:i/>
                <w:color w:val="000000" w:themeColor="text1"/>
                <w:w w:val="100"/>
                <w:kern w:val="0"/>
                <w:sz w:val="28"/>
                <w:szCs w:val="22"/>
                <w:highlight w:val="none"/>
                <w14:textFill>
                  <w14:solidFill>
                    <w14:schemeClr w14:val="tx1"/>
                  </w14:solidFill>
                </w14:textFill>
              </w:rPr>
              <w:t>加盖投标银行公章</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p>
        </w:tc>
      </w:tr>
    </w:tbl>
    <w:p w14:paraId="0861611A">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color w:val="000000" w:themeColor="text1"/>
          <w:sz w:val="22"/>
          <w:szCs w:val="22"/>
          <w:highlight w:val="none"/>
          <w14:textFill>
            <w14:solidFill>
              <w14:schemeClr w14:val="tx1"/>
            </w14:solidFill>
          </w14:textFill>
        </w:rPr>
        <w:br w:type="page"/>
      </w:r>
      <w:bookmarkStart w:id="158" w:name="_Toc11154"/>
      <w:bookmarkStart w:id="159" w:name="_Toc8499"/>
      <w:bookmarkStart w:id="160" w:name="_Toc452032137"/>
      <w:bookmarkStart w:id="161" w:name="_Toc30706"/>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bookmarkEnd w:id="158"/>
      <w:bookmarkEnd w:id="159"/>
      <w:bookmarkEnd w:id="160"/>
      <w:bookmarkEnd w:id="161"/>
      <w:bookmarkStart w:id="162" w:name="_Toc8642"/>
      <w:bookmarkStart w:id="163" w:name="_Toc825"/>
      <w:bookmarkStart w:id="164" w:name="_Toc11980"/>
      <w:bookmarkStart w:id="165" w:name="_Toc452032139"/>
      <w:r>
        <w:rPr>
          <w:rFonts w:hint="eastAsia" w:ascii="宋体" w:hAnsi="宋体" w:eastAsia="宋体" w:cs="宋体"/>
          <w:color w:val="000000" w:themeColor="text1"/>
          <w:szCs w:val="22"/>
          <w:highlight w:val="none"/>
          <w14:textFill>
            <w14:solidFill>
              <w14:schemeClr w14:val="tx1"/>
            </w14:solidFill>
          </w14:textFill>
        </w:rPr>
        <w:t>近三年内未发生金融风险及重大违约违法违纪声明</w:t>
      </w:r>
      <w:bookmarkEnd w:id="162"/>
      <w:bookmarkEnd w:id="163"/>
      <w:bookmarkEnd w:id="164"/>
      <w:bookmarkEnd w:id="165"/>
    </w:p>
    <w:p w14:paraId="1C1C3B4E">
      <w:pPr>
        <w:ind w:firstLine="389"/>
        <w:rPr>
          <w:rFonts w:hint="eastAsia" w:ascii="宋体" w:hAnsi="宋体" w:eastAsia="宋体" w:cs="宋体"/>
          <w:color w:val="000000" w:themeColor="text1"/>
          <w:highlight w:val="none"/>
          <w14:textFill>
            <w14:solidFill>
              <w14:schemeClr w14:val="tx1"/>
            </w14:solidFill>
          </w14:textFill>
        </w:rPr>
      </w:pPr>
    </w:p>
    <w:p w14:paraId="2B31576E">
      <w:pPr>
        <w:widowControl/>
        <w:jc w:val="center"/>
        <w:rPr>
          <w:rFonts w:hint="eastAsia" w:ascii="宋体" w:hAnsi="宋体" w:eastAsia="宋体" w:cs="宋体"/>
          <w:b/>
          <w:color w:val="000000" w:themeColor="text1"/>
          <w:w w:val="80"/>
          <w:kern w:val="0"/>
          <w:sz w:val="44"/>
          <w:szCs w:val="44"/>
          <w:highlight w:val="none"/>
          <w14:textFill>
            <w14:solidFill>
              <w14:schemeClr w14:val="tx1"/>
            </w14:solidFill>
          </w14:textFill>
        </w:rPr>
      </w:pPr>
      <w:r>
        <w:rPr>
          <w:rFonts w:hint="eastAsia" w:ascii="宋体" w:hAnsi="宋体" w:eastAsia="宋体" w:cs="宋体"/>
          <w:b/>
          <w:color w:val="000000" w:themeColor="text1"/>
          <w:w w:val="80"/>
          <w:kern w:val="0"/>
          <w:sz w:val="44"/>
          <w:szCs w:val="44"/>
          <w:highlight w:val="none"/>
          <w14:textFill>
            <w14:solidFill>
              <w14:schemeClr w14:val="tx1"/>
            </w14:solidFill>
          </w14:textFill>
        </w:rPr>
        <w:t>近三年内未发生金融风险及重大违约违法违纪事件声明</w:t>
      </w:r>
    </w:p>
    <w:p w14:paraId="1E19C679">
      <w:pPr>
        <w:widowControl/>
        <w:jc w:val="center"/>
        <w:rPr>
          <w:rFonts w:hint="eastAsia" w:ascii="宋体" w:hAnsi="宋体" w:eastAsia="宋体" w:cs="宋体"/>
          <w:b/>
          <w:color w:val="000000" w:themeColor="text1"/>
          <w:w w:val="80"/>
          <w:kern w:val="0"/>
          <w:sz w:val="28"/>
          <w:szCs w:val="44"/>
          <w:highlight w:val="none"/>
          <w14:textFill>
            <w14:solidFill>
              <w14:schemeClr w14:val="tx1"/>
            </w14:solidFill>
          </w14:textFill>
        </w:rPr>
      </w:pPr>
    </w:p>
    <w:p w14:paraId="26EB66A5">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p>
    <w:p w14:paraId="22E3E3C2">
      <w:pPr>
        <w:rPr>
          <w:rFonts w:hint="eastAsia" w:ascii="宋体" w:hAnsi="宋体" w:eastAsia="宋体" w:cs="宋体"/>
          <w:color w:val="000000" w:themeColor="text1"/>
          <w:sz w:val="24"/>
          <w:highlight w:val="none"/>
          <w:u w:val="single"/>
          <w14:textFill>
            <w14:solidFill>
              <w14:schemeClr w14:val="tx1"/>
            </w14:solidFill>
          </w14:textFill>
        </w:rPr>
      </w:pPr>
    </w:p>
    <w:p w14:paraId="334FA3B8">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w:t>
      </w:r>
      <w:r>
        <w:rPr>
          <w:rFonts w:hint="eastAsia" w:ascii="宋体" w:hAnsi="宋体" w:eastAsia="宋体" w:cs="宋体"/>
          <w:color w:val="000000" w:themeColor="text1"/>
          <w:sz w:val="24"/>
          <w:highlight w:val="none"/>
          <w:u w:val="single"/>
          <w14:textFill>
            <w14:solidFill>
              <w14:schemeClr w14:val="tx1"/>
            </w14:solidFill>
          </w14:textFill>
        </w:rPr>
        <w:t xml:space="preserve">        （投标银行名称）             </w:t>
      </w:r>
      <w:r>
        <w:rPr>
          <w:rFonts w:hint="eastAsia" w:ascii="宋体" w:hAnsi="宋体" w:eastAsia="宋体" w:cs="宋体"/>
          <w:color w:val="000000" w:themeColor="text1"/>
          <w:sz w:val="24"/>
          <w:highlight w:val="none"/>
          <w14:textFill>
            <w14:solidFill>
              <w14:schemeClr w14:val="tx1"/>
            </w14:solidFill>
          </w14:textFill>
        </w:rPr>
        <w:t>在参加本项目投标活动前三年内，未发生金融风险、重大违约、违法违纪行为</w:t>
      </w:r>
      <w:r>
        <w:rPr>
          <w:rFonts w:hint="eastAsia" w:ascii="宋体" w:hAnsi="宋体" w:eastAsia="宋体" w:cs="宋体"/>
          <w:color w:val="000000" w:themeColor="text1"/>
          <w:kern w:val="0"/>
          <w:sz w:val="24"/>
          <w:highlight w:val="none"/>
          <w14:textFill>
            <w14:solidFill>
              <w14:schemeClr w14:val="tx1"/>
            </w14:solidFill>
          </w14:textFill>
        </w:rPr>
        <w:t>。如有虚假，招标人可取消我方任何资格（投标/谈判/中标（成交）/签订合同），我方对此无任何异议。</w:t>
      </w:r>
    </w:p>
    <w:p w14:paraId="01D617D2">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p>
    <w:p w14:paraId="583E5183">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28621C59">
      <w:pPr>
        <w:rPr>
          <w:rFonts w:hint="eastAsia" w:ascii="宋体" w:hAnsi="宋体" w:eastAsia="宋体" w:cs="宋体"/>
          <w:color w:val="000000" w:themeColor="text1"/>
          <w:sz w:val="24"/>
          <w:highlight w:val="none"/>
          <w14:textFill>
            <w14:solidFill>
              <w14:schemeClr w14:val="tx1"/>
            </w14:solidFill>
          </w14:textFill>
        </w:rPr>
      </w:pPr>
    </w:p>
    <w:p w14:paraId="540193F2">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投标银行名称（盖章）：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1C033C6">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或其授权代表（签字或盖章）：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DB48E67">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0043803">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br w:type="page"/>
      </w:r>
      <w:bookmarkStart w:id="166" w:name="_Toc12313"/>
      <w:bookmarkStart w:id="167" w:name="_Toc452032140"/>
      <w:bookmarkStart w:id="168" w:name="_Toc16123"/>
      <w:bookmarkStart w:id="169" w:name="_Toc15117"/>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2"/>
          <w:highlight w:val="none"/>
          <w:lang w:eastAsia="zh-CN"/>
          <w14:textFill>
            <w14:solidFill>
              <w14:schemeClr w14:val="tx1"/>
            </w14:solidFill>
          </w14:textFill>
        </w:rPr>
        <w:t>关于财务稳健的书面</w:t>
      </w:r>
      <w:r>
        <w:rPr>
          <w:rFonts w:hint="eastAsia" w:ascii="宋体" w:hAnsi="宋体" w:eastAsia="宋体" w:cs="宋体"/>
          <w:color w:val="000000" w:themeColor="text1"/>
          <w:szCs w:val="22"/>
          <w:highlight w:val="none"/>
          <w14:textFill>
            <w14:solidFill>
              <w14:schemeClr w14:val="tx1"/>
            </w14:solidFill>
          </w14:textFill>
        </w:rPr>
        <w:t>声明</w:t>
      </w:r>
      <w:bookmarkEnd w:id="166"/>
      <w:bookmarkEnd w:id="167"/>
      <w:bookmarkEnd w:id="168"/>
      <w:bookmarkEnd w:id="169"/>
    </w:p>
    <w:p w14:paraId="6A08BF49">
      <w:pPr>
        <w:ind w:firstLine="389"/>
        <w:rPr>
          <w:rFonts w:hint="eastAsia" w:ascii="宋体" w:hAnsi="宋体" w:eastAsia="宋体" w:cs="宋体"/>
          <w:color w:val="000000" w:themeColor="text1"/>
          <w:highlight w:val="none"/>
          <w14:textFill>
            <w14:solidFill>
              <w14:schemeClr w14:val="tx1"/>
            </w14:solidFill>
          </w14:textFill>
        </w:rPr>
      </w:pPr>
    </w:p>
    <w:p w14:paraId="67AE68AD">
      <w:pPr>
        <w:widowControl/>
        <w:jc w:val="center"/>
        <w:rPr>
          <w:rFonts w:hint="eastAsia" w:ascii="宋体" w:hAnsi="宋体" w:eastAsia="宋体" w:cs="宋体"/>
          <w:b/>
          <w:color w:val="000000" w:themeColor="text1"/>
          <w:w w:val="80"/>
          <w:kern w:val="0"/>
          <w:sz w:val="44"/>
          <w:szCs w:val="44"/>
          <w:highlight w:val="none"/>
          <w14:textFill>
            <w14:solidFill>
              <w14:schemeClr w14:val="tx1"/>
            </w14:solidFill>
          </w14:textFill>
        </w:rPr>
      </w:pPr>
      <w:r>
        <w:rPr>
          <w:rFonts w:hint="eastAsia" w:ascii="宋体" w:hAnsi="宋体" w:eastAsia="宋体" w:cs="宋体"/>
          <w:b/>
          <w:color w:val="000000" w:themeColor="text1"/>
          <w:w w:val="80"/>
          <w:kern w:val="0"/>
          <w:sz w:val="44"/>
          <w:szCs w:val="44"/>
          <w:highlight w:val="none"/>
          <w14:textFill>
            <w14:solidFill>
              <w14:schemeClr w14:val="tx1"/>
            </w14:solidFill>
          </w14:textFill>
        </w:rPr>
        <w:t>关于财务稳健的书面声明</w:t>
      </w:r>
    </w:p>
    <w:p w14:paraId="3144AEE6">
      <w:pPr>
        <w:widowControl/>
        <w:jc w:val="center"/>
        <w:rPr>
          <w:rFonts w:hint="eastAsia" w:ascii="宋体" w:hAnsi="宋体" w:eastAsia="宋体" w:cs="宋体"/>
          <w:b/>
          <w:color w:val="000000" w:themeColor="text1"/>
          <w:w w:val="80"/>
          <w:kern w:val="0"/>
          <w:sz w:val="28"/>
          <w:szCs w:val="44"/>
          <w:highlight w:val="none"/>
          <w14:textFill>
            <w14:solidFill>
              <w14:schemeClr w14:val="tx1"/>
            </w14:solidFill>
          </w14:textFill>
        </w:rPr>
      </w:pPr>
    </w:p>
    <w:p w14:paraId="471A0D8B">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p>
    <w:p w14:paraId="18775A50">
      <w:pPr>
        <w:rPr>
          <w:rFonts w:hint="eastAsia" w:ascii="宋体" w:hAnsi="宋体" w:eastAsia="宋体" w:cs="宋体"/>
          <w:color w:val="000000" w:themeColor="text1"/>
          <w:sz w:val="24"/>
          <w:highlight w:val="none"/>
          <w:u w:val="single"/>
          <w14:textFill>
            <w14:solidFill>
              <w14:schemeClr w14:val="tx1"/>
            </w14:solidFill>
          </w14:textFill>
        </w:rPr>
      </w:pPr>
    </w:p>
    <w:p w14:paraId="2E798886">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w:t>
      </w:r>
      <w:r>
        <w:rPr>
          <w:rFonts w:hint="eastAsia" w:ascii="宋体" w:hAnsi="宋体" w:eastAsia="宋体" w:cs="宋体"/>
          <w:color w:val="000000" w:themeColor="text1"/>
          <w:sz w:val="24"/>
          <w:highlight w:val="none"/>
          <w:u w:val="single"/>
          <w14:textFill>
            <w14:solidFill>
              <w14:schemeClr w14:val="tx1"/>
            </w14:solidFill>
          </w14:textFill>
        </w:rPr>
        <w:t xml:space="preserve">        （投标银行名称）             </w:t>
      </w:r>
      <w:r>
        <w:rPr>
          <w:rFonts w:hint="eastAsia" w:ascii="宋体" w:hAnsi="宋体" w:eastAsia="宋体" w:cs="宋体"/>
          <w:color w:val="000000" w:themeColor="text1"/>
          <w:sz w:val="24"/>
          <w:highlight w:val="none"/>
          <w14:textFill>
            <w14:solidFill>
              <w14:schemeClr w14:val="tx1"/>
            </w14:solidFill>
          </w14:textFill>
        </w:rPr>
        <w:t>目前各项财务指标正常，财务稳健，资金充足率、不良贷款率、拨备覆盖率、流动性覆盖率、流动性比例等指标均达到监管标准。</w:t>
      </w:r>
      <w:r>
        <w:rPr>
          <w:rFonts w:hint="eastAsia" w:ascii="宋体" w:hAnsi="宋体" w:eastAsia="宋体" w:cs="宋体"/>
          <w:color w:val="000000" w:themeColor="text1"/>
          <w:kern w:val="0"/>
          <w:sz w:val="24"/>
          <w:highlight w:val="none"/>
          <w14:textFill>
            <w14:solidFill>
              <w14:schemeClr w14:val="tx1"/>
            </w14:solidFill>
          </w14:textFill>
        </w:rPr>
        <w:t>如有虚假，招标人可取消我方任何资格（投标/谈判/中标（成交）/签订合同），我方对此无任何异议。</w:t>
      </w:r>
    </w:p>
    <w:p w14:paraId="6F9FA637">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p>
    <w:p w14:paraId="7EC5CDA1">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02FCC62B">
      <w:pPr>
        <w:rPr>
          <w:rFonts w:hint="eastAsia" w:ascii="宋体" w:hAnsi="宋体" w:eastAsia="宋体" w:cs="宋体"/>
          <w:color w:val="000000" w:themeColor="text1"/>
          <w:sz w:val="24"/>
          <w:highlight w:val="none"/>
          <w14:textFill>
            <w14:solidFill>
              <w14:schemeClr w14:val="tx1"/>
            </w14:solidFill>
          </w14:textFill>
        </w:rPr>
      </w:pPr>
    </w:p>
    <w:p w14:paraId="46BA5151">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投标银行名称（盖章）：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73F2CDF">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或其授权代表（签字或盖章）：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63DDD12">
      <w:pPr>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29CFF81">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70" w:name="_Toc452032141"/>
      <w:bookmarkStart w:id="171" w:name="_Toc7601"/>
      <w:bookmarkStart w:id="172" w:name="_Toc13492"/>
      <w:bookmarkStart w:id="173" w:name="_Toc30718"/>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、其他证书等材料</w:t>
      </w:r>
      <w:bookmarkEnd w:id="170"/>
      <w:bookmarkEnd w:id="171"/>
      <w:bookmarkEnd w:id="172"/>
      <w:bookmarkEnd w:id="173"/>
    </w:p>
    <w:p w14:paraId="711800C7">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其他证书等材料</w:t>
      </w:r>
    </w:p>
    <w:tbl>
      <w:tblPr>
        <w:tblStyle w:val="39"/>
        <w:tblW w:w="0" w:type="auto"/>
        <w:tblInd w:w="77"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8960"/>
      </w:tblGrid>
      <w:tr w14:paraId="717FEF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8960" w:type="dxa"/>
            <w:noWrap w:val="0"/>
            <w:vAlign w:val="center"/>
          </w:tcPr>
          <w:p w14:paraId="2F2B8EC2">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投标银行其他资质、资格、许可证书以及技术资信评审中要求提供的其他材料</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r>
              <w:rPr>
                <w:rFonts w:hint="eastAsia" w:ascii="宋体" w:hAnsi="宋体" w:eastAsia="宋体" w:cs="宋体"/>
                <w:i/>
                <w:color w:val="000000" w:themeColor="text1"/>
                <w:w w:val="100"/>
                <w:kern w:val="0"/>
                <w:sz w:val="28"/>
                <w:szCs w:val="22"/>
                <w:highlight w:val="none"/>
                <w14:textFill>
                  <w14:solidFill>
                    <w14:schemeClr w14:val="tx1"/>
                  </w14:solidFill>
                </w14:textFill>
              </w:rPr>
              <w:t>加盖投标银行公章</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p>
        </w:tc>
      </w:tr>
    </w:tbl>
    <w:p w14:paraId="4B607A14">
      <w:pPr>
        <w:rPr>
          <w:rFonts w:hint="eastAsia" w:ascii="宋体" w:hAnsi="宋体" w:eastAsia="宋体" w:cs="宋体"/>
          <w:color w:val="000000" w:themeColor="text1"/>
          <w:sz w:val="22"/>
          <w:szCs w:val="22"/>
          <w:highlight w:val="none"/>
          <w:u w:val="single"/>
          <w14:textFill>
            <w14:solidFill>
              <w14:schemeClr w14:val="tx1"/>
            </w14:solidFill>
          </w14:textFill>
        </w:rPr>
      </w:pPr>
    </w:p>
    <w:p w14:paraId="607248F0">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74" w:name="_Toc3140"/>
      <w:bookmarkStart w:id="175" w:name="_Toc20608"/>
      <w:bookmarkStart w:id="176" w:name="_Toc12603"/>
      <w:bookmarkStart w:id="177" w:name="_Toc452032142"/>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投标银行情况介绍</w:t>
      </w:r>
      <w:bookmarkEnd w:id="174"/>
      <w:bookmarkEnd w:id="175"/>
      <w:bookmarkEnd w:id="176"/>
      <w:bookmarkEnd w:id="177"/>
    </w:p>
    <w:p w14:paraId="29AF35E3">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投标银行情况介绍</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23"/>
      </w:tblGrid>
      <w:tr w14:paraId="18C763D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9023" w:type="dxa"/>
            <w:noWrap w:val="0"/>
            <w:vAlign w:val="center"/>
          </w:tcPr>
          <w:p w14:paraId="26CC6212">
            <w:pPr>
              <w:jc w:val="center"/>
              <w:rPr>
                <w:rFonts w:hint="eastAsia" w:ascii="宋体" w:hAnsi="宋体" w:eastAsia="宋体" w:cs="宋体"/>
                <w:i/>
                <w:color w:val="000000" w:themeColor="text1"/>
                <w:szCs w:val="21"/>
                <w:highlight w:val="none"/>
                <w14:textFill>
                  <w14:solidFill>
                    <w14:schemeClr w14:val="tx1"/>
                  </w14:solidFill>
                </w14:textFill>
              </w:rPr>
            </w:pPr>
          </w:p>
        </w:tc>
      </w:tr>
    </w:tbl>
    <w:p w14:paraId="2B23C53E">
      <w:pPr>
        <w:rPr>
          <w:rFonts w:hint="eastAsia" w:ascii="宋体" w:hAnsi="宋体" w:eastAsia="宋体" w:cs="宋体"/>
          <w:color w:val="000000" w:themeColor="text1"/>
          <w:sz w:val="22"/>
          <w:szCs w:val="22"/>
          <w:highlight w:val="none"/>
          <w:u w:val="single"/>
          <w14:textFill>
            <w14:solidFill>
              <w14:schemeClr w14:val="tx1"/>
            </w14:solidFill>
          </w14:textFill>
        </w:rPr>
      </w:pPr>
    </w:p>
    <w:p w14:paraId="71F1459B">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78" w:name="_Toc24163"/>
      <w:bookmarkStart w:id="179" w:name="_Toc3884"/>
      <w:bookmarkStart w:id="180" w:name="_Toc32134"/>
      <w:bookmarkStart w:id="181" w:name="_Toc452032143"/>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针对本项目的服务方案与承诺</w:t>
      </w:r>
      <w:bookmarkEnd w:id="178"/>
      <w:bookmarkEnd w:id="179"/>
      <w:bookmarkEnd w:id="180"/>
      <w:bookmarkEnd w:id="181"/>
    </w:p>
    <w:p w14:paraId="1FBC85CB">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服务方案与承诺</w:t>
      </w:r>
    </w:p>
    <w:p w14:paraId="08AEB829">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29D9CD16">
      <w:pP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苍产告字[2025]13-1号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868"/>
      </w:tblGrid>
      <w:tr w14:paraId="28E8E25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868" w:type="dxa"/>
            <w:noWrap w:val="0"/>
            <w:vAlign w:val="center"/>
          </w:tcPr>
          <w:p w14:paraId="6007E133">
            <w:pPr>
              <w:jc w:val="center"/>
              <w:rPr>
                <w:rFonts w:hint="eastAsia" w:ascii="宋体" w:hAnsi="宋体" w:eastAsia="宋体" w:cs="宋体"/>
                <w:i/>
                <w:color w:val="000000" w:themeColor="text1"/>
                <w:szCs w:val="21"/>
                <w:highlight w:val="none"/>
                <w14:textFill>
                  <w14:solidFill>
                    <w14:schemeClr w14:val="tx1"/>
                  </w14:solidFill>
                </w14:textFill>
              </w:rPr>
            </w:pPr>
          </w:p>
        </w:tc>
      </w:tr>
    </w:tbl>
    <w:p w14:paraId="2F578BF4">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1BD76D1">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72F0891">
      <w:pP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p>
    <w:p w14:paraId="2131145B">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82" w:name="_Toc2480"/>
      <w:bookmarkStart w:id="183" w:name="_Toc2784"/>
      <w:bookmarkStart w:id="184" w:name="_Toc18517"/>
      <w:bookmarkStart w:id="185" w:name="_Toc452032144"/>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指标说明</w:t>
      </w:r>
      <w:bookmarkEnd w:id="182"/>
      <w:bookmarkEnd w:id="183"/>
      <w:bookmarkEnd w:id="184"/>
      <w:bookmarkEnd w:id="185"/>
    </w:p>
    <w:p w14:paraId="2EAC9ED9">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指标说明</w:t>
      </w:r>
    </w:p>
    <w:p w14:paraId="32AE7E88">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1B8E660E">
      <w:pP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苍产告字[2025]13-1号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851"/>
      </w:tblGrid>
      <w:tr w14:paraId="090A2D3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851" w:type="dxa"/>
            <w:noWrap w:val="0"/>
            <w:vAlign w:val="center"/>
          </w:tcPr>
          <w:p w14:paraId="4C4711C3">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w w:val="90"/>
                <w:sz w:val="22"/>
                <w:szCs w:val="22"/>
                <w:highlight w:val="none"/>
                <w14:textFill>
                  <w14:solidFill>
                    <w14:schemeClr w14:val="tx1"/>
                  </w14:solidFill>
                </w14:textFill>
              </w:rPr>
              <w:t>包括经营状况指标、服务水平指标、经济发展贡献指标、综合收益水平指标</w:t>
            </w:r>
          </w:p>
        </w:tc>
      </w:tr>
    </w:tbl>
    <w:p w14:paraId="230BD999">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95C1CE7">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00BC4B1">
      <w:pP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5D67869">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86" w:name="_Toc452032145"/>
      <w:bookmarkStart w:id="187" w:name="_Toc18127"/>
      <w:bookmarkStart w:id="188" w:name="_Toc31138"/>
      <w:bookmarkStart w:id="189" w:name="_Toc26975"/>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优惠承诺</w:t>
      </w:r>
      <w:bookmarkEnd w:id="186"/>
      <w:bookmarkEnd w:id="187"/>
      <w:bookmarkEnd w:id="188"/>
      <w:bookmarkEnd w:id="189"/>
    </w:p>
    <w:p w14:paraId="7EA69DEB">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优惠承诺</w:t>
      </w:r>
    </w:p>
    <w:p w14:paraId="0BBF31EC">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222D6D45">
      <w:pP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苍产告字[2025]13-1号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900"/>
      </w:tblGrid>
      <w:tr w14:paraId="00BAA3B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900" w:type="dxa"/>
            <w:noWrap w:val="0"/>
            <w:vAlign w:val="center"/>
          </w:tcPr>
          <w:p w14:paraId="1FEDE18D">
            <w:pPr>
              <w:jc w:val="center"/>
              <w:rPr>
                <w:rFonts w:hint="eastAsia" w:ascii="宋体" w:hAnsi="宋体" w:eastAsia="宋体" w:cs="宋体"/>
                <w:i/>
                <w:color w:val="000000" w:themeColor="text1"/>
                <w:szCs w:val="21"/>
                <w:highlight w:val="none"/>
                <w14:textFill>
                  <w14:solidFill>
                    <w14:schemeClr w14:val="tx1"/>
                  </w14:solidFill>
                </w14:textFill>
              </w:rPr>
            </w:pPr>
          </w:p>
        </w:tc>
      </w:tr>
    </w:tbl>
    <w:p w14:paraId="1936119A">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44F448E">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13CAA506">
      <w:pP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p>
    <w:p w14:paraId="3A9576FF">
      <w:pPr>
        <w:pStyle w:val="3"/>
        <w:rPr>
          <w:rFonts w:hint="eastAsia" w:ascii="宋体" w:hAnsi="宋体" w:eastAsia="宋体" w:cs="宋体"/>
          <w:color w:val="000000" w:themeColor="text1"/>
          <w:highlight w:val="none"/>
          <w14:textFill>
            <w14:solidFill>
              <w14:schemeClr w14:val="tx1"/>
            </w14:solidFill>
          </w14:textFill>
        </w:rPr>
      </w:pPr>
      <w:bookmarkStart w:id="190" w:name="_Toc23696"/>
      <w:bookmarkStart w:id="191" w:name="_Toc24689"/>
      <w:bookmarkStart w:id="192" w:name="_Toc452032146"/>
      <w:bookmarkStart w:id="193" w:name="_Toc9809"/>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拟派项目</w:t>
      </w:r>
      <w:r>
        <w:rPr>
          <w:rFonts w:hint="eastAsia" w:ascii="宋体" w:hAnsi="宋体" w:eastAsia="宋体" w:cs="宋体"/>
          <w:color w:val="000000" w:themeColor="text1"/>
          <w:highlight w:val="none"/>
          <w14:textFill>
            <w14:solidFill>
              <w14:schemeClr w14:val="tx1"/>
            </w14:solidFill>
          </w14:textFill>
        </w:rPr>
        <w:t>团队组成情况</w:t>
      </w:r>
      <w:bookmarkEnd w:id="190"/>
      <w:bookmarkEnd w:id="191"/>
      <w:bookmarkEnd w:id="192"/>
      <w:bookmarkEnd w:id="193"/>
    </w:p>
    <w:p w14:paraId="61CBEFC0">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拟派</w:t>
      </w:r>
      <w:r>
        <w:rPr>
          <w:rFonts w:hint="eastAsia" w:ascii="宋体" w:hAnsi="宋体" w:eastAsia="宋体" w:cs="宋体"/>
          <w:b/>
          <w:color w:val="000000" w:themeColor="text1"/>
          <w:sz w:val="40"/>
          <w:highlight w:val="none"/>
          <w:lang w:val="en-US" w:eastAsia="zh-CN"/>
          <w14:textFill>
            <w14:solidFill>
              <w14:schemeClr w14:val="tx1"/>
            </w14:solidFill>
          </w14:textFill>
        </w:rPr>
        <w:t>项目</w:t>
      </w:r>
      <w:r>
        <w:rPr>
          <w:rFonts w:hint="eastAsia" w:ascii="宋体" w:hAnsi="宋体" w:eastAsia="宋体" w:cs="宋体"/>
          <w:b/>
          <w:color w:val="000000" w:themeColor="text1"/>
          <w:sz w:val="40"/>
          <w:highlight w:val="none"/>
          <w14:textFill>
            <w14:solidFill>
              <w14:schemeClr w14:val="tx1"/>
            </w14:solidFill>
          </w14:textFill>
        </w:rPr>
        <w:t>团队组成情况</w:t>
      </w:r>
    </w:p>
    <w:p w14:paraId="52B52B32">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5D7BCDD6">
      <w:pPr>
        <w:rPr>
          <w:rFonts w:hint="eastAsia" w:ascii="宋体" w:hAnsi="宋体" w:eastAsia="宋体" w:cs="宋体"/>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苍产告字[2025]13-1号</w:t>
      </w:r>
    </w:p>
    <w:tbl>
      <w:tblPr>
        <w:tblStyle w:val="3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8"/>
        <w:gridCol w:w="1380"/>
        <w:gridCol w:w="1701"/>
        <w:gridCol w:w="1769"/>
        <w:gridCol w:w="1435"/>
      </w:tblGrid>
      <w:tr w14:paraId="4C0D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A0D3804">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序号</w:t>
            </w:r>
          </w:p>
        </w:tc>
        <w:tc>
          <w:tcPr>
            <w:tcW w:w="1538" w:type="dxa"/>
            <w:noWrap w:val="0"/>
            <w:vAlign w:val="center"/>
          </w:tcPr>
          <w:p w14:paraId="02BA3FDE">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姓名</w:t>
            </w:r>
          </w:p>
        </w:tc>
        <w:tc>
          <w:tcPr>
            <w:tcW w:w="1380" w:type="dxa"/>
            <w:noWrap w:val="0"/>
            <w:vAlign w:val="center"/>
          </w:tcPr>
          <w:p w14:paraId="786BCB9D">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职务职称</w:t>
            </w:r>
          </w:p>
        </w:tc>
        <w:tc>
          <w:tcPr>
            <w:tcW w:w="1701" w:type="dxa"/>
            <w:noWrap w:val="0"/>
            <w:vAlign w:val="center"/>
          </w:tcPr>
          <w:p w14:paraId="1B9EBA05">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出生年月</w:t>
            </w:r>
          </w:p>
        </w:tc>
        <w:tc>
          <w:tcPr>
            <w:tcW w:w="1769" w:type="dxa"/>
            <w:noWrap w:val="0"/>
            <w:vAlign w:val="center"/>
          </w:tcPr>
          <w:p w14:paraId="6DFD29D7">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拟任岗位</w:t>
            </w:r>
          </w:p>
        </w:tc>
        <w:tc>
          <w:tcPr>
            <w:tcW w:w="1435" w:type="dxa"/>
            <w:noWrap w:val="0"/>
            <w:vAlign w:val="center"/>
          </w:tcPr>
          <w:p w14:paraId="648BA126">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工作年限</w:t>
            </w:r>
          </w:p>
        </w:tc>
      </w:tr>
      <w:tr w14:paraId="4DB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34D1DFE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60F5553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2F02D62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017A17D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3E05632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362AA274">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D9E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442CA38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39E682D9">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7CC085F9">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10CEA4A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D983A7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57F74059">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AB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562E8725">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754AA21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676368C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2200DE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276B31E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268A7397">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067D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A9926F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2B1FABD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C83008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754C6A7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B2BF5A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3A5CDF5">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5B8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2133E27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0CD9437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4B7AD1B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40EA5EB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BC096A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35C3E1D9">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2BF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FF00F49">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7663636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6922804B">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2EC2DB6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4A19D8CE">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08D94B15">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7D2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16946D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2D22CBE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3B0D28D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18C45C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2B92A27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D26998E">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1B3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6DF5C06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BEFCCD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1EBDF24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09C6CDD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14E1AD5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08E724D2">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BBE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1C49D2A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094A876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45197B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5EBC7BB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51C60E4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5DA98AF6">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629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2F05F9C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12F916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1761DF2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0944ABE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4EE95CE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4FA033FA">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BAC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6350C82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83C8B4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265C16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951575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163F6F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34F0984">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6786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340FB01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09BAC66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99684B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488A3AD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328B8F0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1036CA61">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645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599A182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C082E5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47802C6B">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26E0342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6A8FF2F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42B60988">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0F04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BD3416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3E4F767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335A385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4648ACC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6F5E55F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4E2103DC">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7B28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575D82F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50E0855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3737A2F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797B998B">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782F476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16086B20">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757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461D3B3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3DF0A885">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20E8CCB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7D49369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2CE96C1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13360F02">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14C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15B4FD0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4DC6E6C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63BF02B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F1241E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3721D86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C84BC7C">
            <w:pPr>
              <w:rPr>
                <w:rFonts w:hint="eastAsia" w:ascii="宋体" w:hAnsi="宋体" w:eastAsia="宋体" w:cs="宋体"/>
                <w:color w:val="000000" w:themeColor="text1"/>
                <w:w w:val="90"/>
                <w:sz w:val="22"/>
                <w:szCs w:val="22"/>
                <w:highlight w:val="none"/>
                <w14:textFill>
                  <w14:solidFill>
                    <w14:schemeClr w14:val="tx1"/>
                  </w14:solidFill>
                </w14:textFill>
              </w:rPr>
            </w:pPr>
          </w:p>
        </w:tc>
      </w:tr>
    </w:tbl>
    <w:p w14:paraId="5E8D13D0">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14:paraId="41A5CDB2">
      <w:pPr>
        <w:snapToGrid w:val="0"/>
        <w:rPr>
          <w:rFonts w:hint="eastAsia" w:ascii="宋体" w:hAnsi="宋体" w:eastAsia="宋体" w:cs="宋体"/>
          <w:color w:val="000000" w:themeColor="text1"/>
          <w:sz w:val="22"/>
          <w:szCs w:val="22"/>
          <w:highlight w:val="none"/>
          <w14:textFill>
            <w14:solidFill>
              <w14:schemeClr w14:val="tx1"/>
            </w14:solidFill>
          </w14:textFill>
        </w:rPr>
      </w:pPr>
    </w:p>
    <w:p w14:paraId="39C35428">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860FA9A">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B861FC2">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sectPr>
      <w:headerReference r:id="rId7" w:type="default"/>
      <w:pgSz w:w="11906" w:h="16838"/>
      <w:pgMar w:top="1440" w:right="1418" w:bottom="1440" w:left="1559"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289A">
    <w:pPr>
      <w:pStyle w:val="28"/>
      <w:jc w:val="center"/>
    </w:pPr>
    <w:r>
      <w:rPr>
        <w:b/>
        <w:sz w:val="24"/>
        <w:szCs w:val="24"/>
      </w:rPr>
      <w:fldChar w:fldCharType="begin"/>
    </w:r>
    <w:r>
      <w:rPr>
        <w:rStyle w:val="44"/>
        <w:b/>
        <w:sz w:val="24"/>
        <w:szCs w:val="24"/>
      </w:rPr>
      <w:instrText xml:space="preserve"> PAGE </w:instrText>
    </w:r>
    <w:r>
      <w:rPr>
        <w:b/>
        <w:sz w:val="24"/>
        <w:szCs w:val="24"/>
      </w:rPr>
      <w:fldChar w:fldCharType="separate"/>
    </w:r>
    <w:r>
      <w:rPr>
        <w:rStyle w:val="44"/>
        <w:b/>
        <w:sz w:val="24"/>
        <w:szCs w:val="24"/>
      </w:rPr>
      <w:t>- 42 -</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634A">
    <w:pPr>
      <w:pStyle w:val="29"/>
      <w:pBdr>
        <w:bottom w:val="none" w:color="auto" w:sz="0" w:space="1"/>
      </w:pBdr>
      <w:tabs>
        <w:tab w:val="center" w:pos="4614"/>
        <w:tab w:val="left" w:pos="6787"/>
        <w:tab w:val="left" w:pos="9000"/>
        <w:tab w:val="clear" w:pos="8306"/>
      </w:tabs>
      <w:jc w:val="left"/>
      <w:rPr>
        <w:rFonts w:hint="default" w:eastAsia="宋体"/>
        <w:lang w:val="en-US" w:eastAsia="zh-CN"/>
      </w:rPr>
    </w:pPr>
    <w:r>
      <w:rPr>
        <w:rFonts w:hint="eastAsia"/>
        <w:lang w:val="en-US" w:eastAsia="zh-CN"/>
      </w:rPr>
      <w:tab/>
    </w:r>
    <w:r>
      <w:rPr>
        <w:rFonts w:hint="eastAsia"/>
        <w:lang w:val="en-US" w:eastAsia="zh-CN"/>
      </w:rPr>
      <w:tab/>
    </w:r>
    <w:r>
      <w:rPr>
        <w:rFonts w:hint="eastAsia"/>
        <w:lang w:val="en-US" w:eastAsia="zh-CN"/>
      </w:rPr>
      <w:t xml:space="preserve">  </w:t>
    </w: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EAC2">
    <w:pPr>
      <w:pStyle w:val="29"/>
      <w:tabs>
        <w:tab w:val="left" w:pos="9000"/>
        <w:tab w:val="clear" w:pos="8306"/>
      </w:tabs>
      <w:jc w:val="right"/>
      <w:rPr>
        <w:rFonts w:hint="default" w:eastAsia="宋体"/>
        <w:lang w:val="en-US" w:eastAsia="zh-CN"/>
      </w:rPr>
    </w:pP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D247F"/>
    <w:multiLevelType w:val="singleLevel"/>
    <w:tmpl w:val="ED8D247F"/>
    <w:lvl w:ilvl="0" w:tentative="0">
      <w:start w:val="1"/>
      <w:numFmt w:val="decimal"/>
      <w:pStyle w:val="11"/>
      <w:lvlText w:val="%1."/>
      <w:lvlJc w:val="left"/>
      <w:pPr>
        <w:tabs>
          <w:tab w:val="left" w:pos="360"/>
        </w:tabs>
        <w:ind w:left="360" w:hanging="360"/>
      </w:pPr>
    </w:lvl>
  </w:abstractNum>
  <w:abstractNum w:abstractNumId="1">
    <w:nsid w:val="FFFFFF7D"/>
    <w:multiLevelType w:val="singleLevel"/>
    <w:tmpl w:val="FFFFFF7D"/>
    <w:lvl w:ilvl="0" w:tentative="0">
      <w:start w:val="1"/>
      <w:numFmt w:val="decimal"/>
      <w:pStyle w:val="23"/>
      <w:lvlText w:val="%1."/>
      <w:lvlJc w:val="left"/>
      <w:pPr>
        <w:tabs>
          <w:tab w:val="left" w:pos="1620"/>
        </w:tabs>
        <w:ind w:left="1620" w:hanging="360"/>
      </w:pPr>
    </w:lvl>
  </w:abstractNum>
  <w:abstractNum w:abstractNumId="2">
    <w:nsid w:val="00000016"/>
    <w:multiLevelType w:val="multilevel"/>
    <w:tmpl w:val="00000016"/>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882"/>
        </w:tabs>
        <w:ind w:left="882" w:hanging="567"/>
      </w:pPr>
      <w:rPr>
        <w:rFonts w:hint="default"/>
        <w:b w:val="0"/>
        <w:i w:val="0"/>
        <w:color w:val="000000"/>
        <w:sz w:val="21"/>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EADB63C"/>
    <w:multiLevelType w:val="singleLevel"/>
    <w:tmpl w:val="0EADB63C"/>
    <w:lvl w:ilvl="0" w:tentative="0">
      <w:start w:val="1"/>
      <w:numFmt w:val="decimal"/>
      <w:suff w:val="nothing"/>
      <w:lvlText w:val="（%1）"/>
      <w:lvlJc w:val="left"/>
    </w:lvl>
  </w:abstractNum>
  <w:abstractNum w:abstractNumId="4">
    <w:nsid w:val="21347244"/>
    <w:multiLevelType w:val="singleLevel"/>
    <w:tmpl w:val="21347244"/>
    <w:lvl w:ilvl="0" w:tentative="0">
      <w:start w:val="5"/>
      <w:numFmt w:val="chineseCounting"/>
      <w:suff w:val="space"/>
      <w:lvlText w:val="第%1章"/>
      <w:lvlJc w:val="left"/>
      <w:rPr>
        <w:rFonts w:hint="eastAsia"/>
      </w:rPr>
    </w:lvl>
  </w:abstractNum>
  <w:abstractNum w:abstractNumId="5">
    <w:nsid w:val="5383AE80"/>
    <w:multiLevelType w:val="singleLevel"/>
    <w:tmpl w:val="5383AE80"/>
    <w:lvl w:ilvl="0" w:tentative="0">
      <w:start w:val="1"/>
      <w:numFmt w:val="decimal"/>
      <w:suff w:val="nothing"/>
      <w:lvlText w:val="（%1）"/>
      <w:lvlJc w:val="left"/>
    </w:lvl>
  </w:abstractNum>
  <w:abstractNum w:abstractNumId="6">
    <w:nsid w:val="638BF215"/>
    <w:multiLevelType w:val="singleLevel"/>
    <w:tmpl w:val="638BF215"/>
    <w:lvl w:ilvl="0" w:tentative="0">
      <w:start w:val="2"/>
      <w:numFmt w:val="chineseCounting"/>
      <w:suff w:val="space"/>
      <w:lvlText w:val="第%1章"/>
      <w:lvlJc w:val="left"/>
      <w:rPr>
        <w:rFonts w:hint="eastAsia"/>
      </w:rPr>
    </w:lvl>
  </w:abstractNum>
  <w:abstractNum w:abstractNumId="7">
    <w:nsid w:val="7519315D"/>
    <w:multiLevelType w:val="singleLevel"/>
    <w:tmpl w:val="7519315D"/>
    <w:lvl w:ilvl="0" w:tentative="0">
      <w:start w:val="1"/>
      <w:numFmt w:val="decimal"/>
      <w:suff w:val="nothing"/>
      <w:lvlText w:val="%1、"/>
      <w:lvlJc w:val="left"/>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ZGIwMGRmN2YyYmRjNTdlYTY0NmRkNGY1YjEzZjIifQ=="/>
  </w:docVars>
  <w:rsids>
    <w:rsidRoot w:val="00174C54"/>
    <w:rsid w:val="0000200E"/>
    <w:rsid w:val="00004470"/>
    <w:rsid w:val="00005E97"/>
    <w:rsid w:val="000063F9"/>
    <w:rsid w:val="00006C80"/>
    <w:rsid w:val="0001085C"/>
    <w:rsid w:val="00010A21"/>
    <w:rsid w:val="00015565"/>
    <w:rsid w:val="00016322"/>
    <w:rsid w:val="00016828"/>
    <w:rsid w:val="00017DBC"/>
    <w:rsid w:val="000202F7"/>
    <w:rsid w:val="000207F1"/>
    <w:rsid w:val="0002257A"/>
    <w:rsid w:val="00022D78"/>
    <w:rsid w:val="000246CD"/>
    <w:rsid w:val="00025EF2"/>
    <w:rsid w:val="0003015C"/>
    <w:rsid w:val="00031888"/>
    <w:rsid w:val="000345C2"/>
    <w:rsid w:val="0003583A"/>
    <w:rsid w:val="00035FCF"/>
    <w:rsid w:val="000361CF"/>
    <w:rsid w:val="000367F1"/>
    <w:rsid w:val="00037D29"/>
    <w:rsid w:val="00040A4D"/>
    <w:rsid w:val="00041693"/>
    <w:rsid w:val="000420A3"/>
    <w:rsid w:val="00042F8B"/>
    <w:rsid w:val="0004434B"/>
    <w:rsid w:val="00044F04"/>
    <w:rsid w:val="0004662E"/>
    <w:rsid w:val="0004687E"/>
    <w:rsid w:val="00047119"/>
    <w:rsid w:val="000509FE"/>
    <w:rsid w:val="00050DDE"/>
    <w:rsid w:val="00052B1E"/>
    <w:rsid w:val="000538DF"/>
    <w:rsid w:val="0005797E"/>
    <w:rsid w:val="00060487"/>
    <w:rsid w:val="00060F29"/>
    <w:rsid w:val="00062119"/>
    <w:rsid w:val="00065304"/>
    <w:rsid w:val="000656F4"/>
    <w:rsid w:val="00070EDF"/>
    <w:rsid w:val="000714D5"/>
    <w:rsid w:val="00073BE5"/>
    <w:rsid w:val="000744FD"/>
    <w:rsid w:val="0007484F"/>
    <w:rsid w:val="00074AD1"/>
    <w:rsid w:val="00074DDF"/>
    <w:rsid w:val="00075D64"/>
    <w:rsid w:val="00076E50"/>
    <w:rsid w:val="00077C5B"/>
    <w:rsid w:val="00077EA4"/>
    <w:rsid w:val="00077F9B"/>
    <w:rsid w:val="000803CD"/>
    <w:rsid w:val="00080603"/>
    <w:rsid w:val="00081B8F"/>
    <w:rsid w:val="00083FD2"/>
    <w:rsid w:val="0008742B"/>
    <w:rsid w:val="000909F9"/>
    <w:rsid w:val="00091AF6"/>
    <w:rsid w:val="000943E3"/>
    <w:rsid w:val="0009482F"/>
    <w:rsid w:val="00094973"/>
    <w:rsid w:val="0009499A"/>
    <w:rsid w:val="00094C88"/>
    <w:rsid w:val="00094C9B"/>
    <w:rsid w:val="00094E50"/>
    <w:rsid w:val="00094F14"/>
    <w:rsid w:val="00095EE0"/>
    <w:rsid w:val="0009602E"/>
    <w:rsid w:val="000A05A7"/>
    <w:rsid w:val="000A0642"/>
    <w:rsid w:val="000A097F"/>
    <w:rsid w:val="000A37BB"/>
    <w:rsid w:val="000A3EF5"/>
    <w:rsid w:val="000A559A"/>
    <w:rsid w:val="000A5E45"/>
    <w:rsid w:val="000A6373"/>
    <w:rsid w:val="000A65AB"/>
    <w:rsid w:val="000A717D"/>
    <w:rsid w:val="000B02A6"/>
    <w:rsid w:val="000B257A"/>
    <w:rsid w:val="000B27F0"/>
    <w:rsid w:val="000B42F6"/>
    <w:rsid w:val="000B4B2A"/>
    <w:rsid w:val="000B62B3"/>
    <w:rsid w:val="000C0197"/>
    <w:rsid w:val="000C0390"/>
    <w:rsid w:val="000C1640"/>
    <w:rsid w:val="000C229A"/>
    <w:rsid w:val="000C287C"/>
    <w:rsid w:val="000C3995"/>
    <w:rsid w:val="000C4001"/>
    <w:rsid w:val="000C4F6F"/>
    <w:rsid w:val="000C5267"/>
    <w:rsid w:val="000C5309"/>
    <w:rsid w:val="000C5395"/>
    <w:rsid w:val="000C54FC"/>
    <w:rsid w:val="000C767D"/>
    <w:rsid w:val="000D021C"/>
    <w:rsid w:val="000D0CF9"/>
    <w:rsid w:val="000D30CB"/>
    <w:rsid w:val="000D378E"/>
    <w:rsid w:val="000D3B38"/>
    <w:rsid w:val="000D432A"/>
    <w:rsid w:val="000D5FC2"/>
    <w:rsid w:val="000D64C3"/>
    <w:rsid w:val="000D665D"/>
    <w:rsid w:val="000D6C48"/>
    <w:rsid w:val="000E063A"/>
    <w:rsid w:val="000E075A"/>
    <w:rsid w:val="000E12DD"/>
    <w:rsid w:val="000E1336"/>
    <w:rsid w:val="000E186E"/>
    <w:rsid w:val="000E337E"/>
    <w:rsid w:val="000E363A"/>
    <w:rsid w:val="000E378F"/>
    <w:rsid w:val="000E3B77"/>
    <w:rsid w:val="000E44B6"/>
    <w:rsid w:val="000E4F04"/>
    <w:rsid w:val="000E7D20"/>
    <w:rsid w:val="000E7F35"/>
    <w:rsid w:val="000F378B"/>
    <w:rsid w:val="000F4178"/>
    <w:rsid w:val="000F48D9"/>
    <w:rsid w:val="000F558C"/>
    <w:rsid w:val="000F59FD"/>
    <w:rsid w:val="000F5BE7"/>
    <w:rsid w:val="001000F4"/>
    <w:rsid w:val="00100194"/>
    <w:rsid w:val="00101CE8"/>
    <w:rsid w:val="001052A4"/>
    <w:rsid w:val="001063F4"/>
    <w:rsid w:val="0010657B"/>
    <w:rsid w:val="00106E1D"/>
    <w:rsid w:val="001108C4"/>
    <w:rsid w:val="001110C6"/>
    <w:rsid w:val="0011157F"/>
    <w:rsid w:val="00111AC8"/>
    <w:rsid w:val="00111E01"/>
    <w:rsid w:val="001128DB"/>
    <w:rsid w:val="00112E98"/>
    <w:rsid w:val="00114F69"/>
    <w:rsid w:val="00115220"/>
    <w:rsid w:val="001165DE"/>
    <w:rsid w:val="00116D68"/>
    <w:rsid w:val="00116E4A"/>
    <w:rsid w:val="00120144"/>
    <w:rsid w:val="00120147"/>
    <w:rsid w:val="0012041A"/>
    <w:rsid w:val="0012074C"/>
    <w:rsid w:val="0012153E"/>
    <w:rsid w:val="00121753"/>
    <w:rsid w:val="00121EDE"/>
    <w:rsid w:val="0012233A"/>
    <w:rsid w:val="00125FA2"/>
    <w:rsid w:val="001266E2"/>
    <w:rsid w:val="00126FDE"/>
    <w:rsid w:val="001300D6"/>
    <w:rsid w:val="00131199"/>
    <w:rsid w:val="00132C8F"/>
    <w:rsid w:val="001335BF"/>
    <w:rsid w:val="001346C1"/>
    <w:rsid w:val="00135A5E"/>
    <w:rsid w:val="00136522"/>
    <w:rsid w:val="00136D1F"/>
    <w:rsid w:val="0014108D"/>
    <w:rsid w:val="00141AE9"/>
    <w:rsid w:val="00142DC4"/>
    <w:rsid w:val="00146E56"/>
    <w:rsid w:val="00150997"/>
    <w:rsid w:val="00152414"/>
    <w:rsid w:val="00152ED2"/>
    <w:rsid w:val="0015340B"/>
    <w:rsid w:val="00153BF2"/>
    <w:rsid w:val="00154005"/>
    <w:rsid w:val="00154B19"/>
    <w:rsid w:val="00154D2E"/>
    <w:rsid w:val="0015774B"/>
    <w:rsid w:val="00160415"/>
    <w:rsid w:val="00160F77"/>
    <w:rsid w:val="0016122E"/>
    <w:rsid w:val="0016140C"/>
    <w:rsid w:val="001655AB"/>
    <w:rsid w:val="00167774"/>
    <w:rsid w:val="001711E8"/>
    <w:rsid w:val="0017132F"/>
    <w:rsid w:val="001713E6"/>
    <w:rsid w:val="00172134"/>
    <w:rsid w:val="001731AA"/>
    <w:rsid w:val="00174C54"/>
    <w:rsid w:val="00174DA3"/>
    <w:rsid w:val="00174EF6"/>
    <w:rsid w:val="00176B96"/>
    <w:rsid w:val="00177064"/>
    <w:rsid w:val="001811F8"/>
    <w:rsid w:val="00181A02"/>
    <w:rsid w:val="00181AFD"/>
    <w:rsid w:val="00181D04"/>
    <w:rsid w:val="00185475"/>
    <w:rsid w:val="001925C8"/>
    <w:rsid w:val="001932A8"/>
    <w:rsid w:val="00193A80"/>
    <w:rsid w:val="00197E2A"/>
    <w:rsid w:val="001A107E"/>
    <w:rsid w:val="001A12EF"/>
    <w:rsid w:val="001A198E"/>
    <w:rsid w:val="001A2237"/>
    <w:rsid w:val="001A22AD"/>
    <w:rsid w:val="001A4584"/>
    <w:rsid w:val="001A48B6"/>
    <w:rsid w:val="001A571F"/>
    <w:rsid w:val="001A5C51"/>
    <w:rsid w:val="001A673C"/>
    <w:rsid w:val="001B120C"/>
    <w:rsid w:val="001B13AA"/>
    <w:rsid w:val="001B5B78"/>
    <w:rsid w:val="001B6242"/>
    <w:rsid w:val="001B6813"/>
    <w:rsid w:val="001B7707"/>
    <w:rsid w:val="001C0785"/>
    <w:rsid w:val="001C0A92"/>
    <w:rsid w:val="001C0AC1"/>
    <w:rsid w:val="001C0B64"/>
    <w:rsid w:val="001C33EF"/>
    <w:rsid w:val="001C3F79"/>
    <w:rsid w:val="001C4E86"/>
    <w:rsid w:val="001C562A"/>
    <w:rsid w:val="001C57B7"/>
    <w:rsid w:val="001C77D1"/>
    <w:rsid w:val="001D05DC"/>
    <w:rsid w:val="001D0AE8"/>
    <w:rsid w:val="001D25AA"/>
    <w:rsid w:val="001D3A4C"/>
    <w:rsid w:val="001D6175"/>
    <w:rsid w:val="001D72C8"/>
    <w:rsid w:val="001E105A"/>
    <w:rsid w:val="001E23FE"/>
    <w:rsid w:val="001E312C"/>
    <w:rsid w:val="001E33FF"/>
    <w:rsid w:val="001E3DDE"/>
    <w:rsid w:val="001E4961"/>
    <w:rsid w:val="001E7478"/>
    <w:rsid w:val="001E7D3E"/>
    <w:rsid w:val="001F07FF"/>
    <w:rsid w:val="001F53EE"/>
    <w:rsid w:val="001F5B71"/>
    <w:rsid w:val="001F613B"/>
    <w:rsid w:val="001F7E36"/>
    <w:rsid w:val="002002A5"/>
    <w:rsid w:val="00200C8D"/>
    <w:rsid w:val="00200D14"/>
    <w:rsid w:val="00203D29"/>
    <w:rsid w:val="00205F57"/>
    <w:rsid w:val="002070C6"/>
    <w:rsid w:val="002076B4"/>
    <w:rsid w:val="0021068D"/>
    <w:rsid w:val="00210760"/>
    <w:rsid w:val="00210F74"/>
    <w:rsid w:val="00211B7E"/>
    <w:rsid w:val="002138D6"/>
    <w:rsid w:val="002154C4"/>
    <w:rsid w:val="00216DDD"/>
    <w:rsid w:val="00217CFD"/>
    <w:rsid w:val="00220488"/>
    <w:rsid w:val="00221A94"/>
    <w:rsid w:val="00222814"/>
    <w:rsid w:val="00224906"/>
    <w:rsid w:val="00225306"/>
    <w:rsid w:val="00225780"/>
    <w:rsid w:val="0022618D"/>
    <w:rsid w:val="00226773"/>
    <w:rsid w:val="00226BD1"/>
    <w:rsid w:val="0023031E"/>
    <w:rsid w:val="00230FC8"/>
    <w:rsid w:val="0023124B"/>
    <w:rsid w:val="00231A33"/>
    <w:rsid w:val="00232009"/>
    <w:rsid w:val="00234FAF"/>
    <w:rsid w:val="002362DE"/>
    <w:rsid w:val="00236925"/>
    <w:rsid w:val="0023739D"/>
    <w:rsid w:val="00240CD5"/>
    <w:rsid w:val="00242B2A"/>
    <w:rsid w:val="002430B2"/>
    <w:rsid w:val="0024377B"/>
    <w:rsid w:val="00244663"/>
    <w:rsid w:val="00244714"/>
    <w:rsid w:val="00244D54"/>
    <w:rsid w:val="00244D84"/>
    <w:rsid w:val="00245EF9"/>
    <w:rsid w:val="00246D7C"/>
    <w:rsid w:val="00247DAD"/>
    <w:rsid w:val="0025070C"/>
    <w:rsid w:val="00250FB6"/>
    <w:rsid w:val="00251848"/>
    <w:rsid w:val="00251B1B"/>
    <w:rsid w:val="00251E75"/>
    <w:rsid w:val="00252C02"/>
    <w:rsid w:val="00253596"/>
    <w:rsid w:val="00255348"/>
    <w:rsid w:val="00256BA8"/>
    <w:rsid w:val="0025718D"/>
    <w:rsid w:val="00257C0F"/>
    <w:rsid w:val="00263146"/>
    <w:rsid w:val="00263C18"/>
    <w:rsid w:val="00264192"/>
    <w:rsid w:val="002663A3"/>
    <w:rsid w:val="002666F0"/>
    <w:rsid w:val="00267C84"/>
    <w:rsid w:val="00270385"/>
    <w:rsid w:val="002706F7"/>
    <w:rsid w:val="00270A26"/>
    <w:rsid w:val="00272A48"/>
    <w:rsid w:val="0027371B"/>
    <w:rsid w:val="00274DB2"/>
    <w:rsid w:val="00274EEA"/>
    <w:rsid w:val="002758A2"/>
    <w:rsid w:val="0027633E"/>
    <w:rsid w:val="00276FA2"/>
    <w:rsid w:val="0028048A"/>
    <w:rsid w:val="002810D5"/>
    <w:rsid w:val="0028287D"/>
    <w:rsid w:val="00283393"/>
    <w:rsid w:val="00284542"/>
    <w:rsid w:val="00285473"/>
    <w:rsid w:val="002876CD"/>
    <w:rsid w:val="00290151"/>
    <w:rsid w:val="00290314"/>
    <w:rsid w:val="002908CF"/>
    <w:rsid w:val="002909D7"/>
    <w:rsid w:val="00293D66"/>
    <w:rsid w:val="00295523"/>
    <w:rsid w:val="00296AFB"/>
    <w:rsid w:val="00297FC2"/>
    <w:rsid w:val="002A0B0F"/>
    <w:rsid w:val="002A0DF2"/>
    <w:rsid w:val="002A1E88"/>
    <w:rsid w:val="002A234B"/>
    <w:rsid w:val="002A4791"/>
    <w:rsid w:val="002A620F"/>
    <w:rsid w:val="002A6A92"/>
    <w:rsid w:val="002B0482"/>
    <w:rsid w:val="002B1D4A"/>
    <w:rsid w:val="002B1EE5"/>
    <w:rsid w:val="002B23ED"/>
    <w:rsid w:val="002B296E"/>
    <w:rsid w:val="002B359C"/>
    <w:rsid w:val="002B3A28"/>
    <w:rsid w:val="002B3C9B"/>
    <w:rsid w:val="002B55F9"/>
    <w:rsid w:val="002B563D"/>
    <w:rsid w:val="002B6314"/>
    <w:rsid w:val="002C0CF4"/>
    <w:rsid w:val="002C1775"/>
    <w:rsid w:val="002C1C1C"/>
    <w:rsid w:val="002C53EB"/>
    <w:rsid w:val="002C5435"/>
    <w:rsid w:val="002C5811"/>
    <w:rsid w:val="002C58DF"/>
    <w:rsid w:val="002C5FDA"/>
    <w:rsid w:val="002D14A9"/>
    <w:rsid w:val="002D15F0"/>
    <w:rsid w:val="002D29E9"/>
    <w:rsid w:val="002D2B9D"/>
    <w:rsid w:val="002D2BB1"/>
    <w:rsid w:val="002D34FB"/>
    <w:rsid w:val="002D37D2"/>
    <w:rsid w:val="002D4BBE"/>
    <w:rsid w:val="002D5795"/>
    <w:rsid w:val="002D6915"/>
    <w:rsid w:val="002D736A"/>
    <w:rsid w:val="002D763B"/>
    <w:rsid w:val="002D7822"/>
    <w:rsid w:val="002D78BA"/>
    <w:rsid w:val="002D792E"/>
    <w:rsid w:val="002E0FA7"/>
    <w:rsid w:val="002E27FF"/>
    <w:rsid w:val="002E4A2D"/>
    <w:rsid w:val="002E5174"/>
    <w:rsid w:val="002E5BCD"/>
    <w:rsid w:val="002E5D03"/>
    <w:rsid w:val="002F16E6"/>
    <w:rsid w:val="002F72BF"/>
    <w:rsid w:val="00300197"/>
    <w:rsid w:val="0030099F"/>
    <w:rsid w:val="00301985"/>
    <w:rsid w:val="00301B96"/>
    <w:rsid w:val="00304D2E"/>
    <w:rsid w:val="00306868"/>
    <w:rsid w:val="00310F9F"/>
    <w:rsid w:val="00311A79"/>
    <w:rsid w:val="0031341C"/>
    <w:rsid w:val="00314F75"/>
    <w:rsid w:val="003164E3"/>
    <w:rsid w:val="003165EB"/>
    <w:rsid w:val="003172F5"/>
    <w:rsid w:val="003178C6"/>
    <w:rsid w:val="00320FB6"/>
    <w:rsid w:val="0032217A"/>
    <w:rsid w:val="003240D6"/>
    <w:rsid w:val="0032680D"/>
    <w:rsid w:val="00326CB9"/>
    <w:rsid w:val="003304A8"/>
    <w:rsid w:val="00330F89"/>
    <w:rsid w:val="00331D69"/>
    <w:rsid w:val="00334F16"/>
    <w:rsid w:val="00335655"/>
    <w:rsid w:val="00336687"/>
    <w:rsid w:val="003366CF"/>
    <w:rsid w:val="0033783F"/>
    <w:rsid w:val="00337930"/>
    <w:rsid w:val="00337B19"/>
    <w:rsid w:val="00341FF8"/>
    <w:rsid w:val="0034417D"/>
    <w:rsid w:val="00345189"/>
    <w:rsid w:val="0034545B"/>
    <w:rsid w:val="0034578E"/>
    <w:rsid w:val="00346F64"/>
    <w:rsid w:val="00347E20"/>
    <w:rsid w:val="00350750"/>
    <w:rsid w:val="00353E62"/>
    <w:rsid w:val="00354FF2"/>
    <w:rsid w:val="00360AEB"/>
    <w:rsid w:val="00361163"/>
    <w:rsid w:val="00361255"/>
    <w:rsid w:val="00361EAA"/>
    <w:rsid w:val="00363D1D"/>
    <w:rsid w:val="003642C2"/>
    <w:rsid w:val="00364486"/>
    <w:rsid w:val="003651C6"/>
    <w:rsid w:val="00365827"/>
    <w:rsid w:val="0036607B"/>
    <w:rsid w:val="00366BD2"/>
    <w:rsid w:val="00366E9A"/>
    <w:rsid w:val="003705ED"/>
    <w:rsid w:val="003720B1"/>
    <w:rsid w:val="0037222F"/>
    <w:rsid w:val="0037374E"/>
    <w:rsid w:val="00373E38"/>
    <w:rsid w:val="003765AC"/>
    <w:rsid w:val="00376685"/>
    <w:rsid w:val="00376895"/>
    <w:rsid w:val="00380776"/>
    <w:rsid w:val="003808FA"/>
    <w:rsid w:val="0038121F"/>
    <w:rsid w:val="003825D4"/>
    <w:rsid w:val="003832E8"/>
    <w:rsid w:val="00385F29"/>
    <w:rsid w:val="00386495"/>
    <w:rsid w:val="00386DCF"/>
    <w:rsid w:val="00386E7E"/>
    <w:rsid w:val="00392017"/>
    <w:rsid w:val="00393458"/>
    <w:rsid w:val="00393E21"/>
    <w:rsid w:val="003943B8"/>
    <w:rsid w:val="00397A8F"/>
    <w:rsid w:val="003A34F0"/>
    <w:rsid w:val="003A4D16"/>
    <w:rsid w:val="003A70FB"/>
    <w:rsid w:val="003B0105"/>
    <w:rsid w:val="003B07FC"/>
    <w:rsid w:val="003B1852"/>
    <w:rsid w:val="003B3287"/>
    <w:rsid w:val="003B3868"/>
    <w:rsid w:val="003B44F7"/>
    <w:rsid w:val="003B57DB"/>
    <w:rsid w:val="003B59C5"/>
    <w:rsid w:val="003B5CB5"/>
    <w:rsid w:val="003B65ED"/>
    <w:rsid w:val="003C0BF9"/>
    <w:rsid w:val="003C0E83"/>
    <w:rsid w:val="003C1C3B"/>
    <w:rsid w:val="003C213D"/>
    <w:rsid w:val="003C3A44"/>
    <w:rsid w:val="003C40BE"/>
    <w:rsid w:val="003C6BBC"/>
    <w:rsid w:val="003C6D23"/>
    <w:rsid w:val="003C7284"/>
    <w:rsid w:val="003C7F4C"/>
    <w:rsid w:val="003D019E"/>
    <w:rsid w:val="003D0CBF"/>
    <w:rsid w:val="003D15DF"/>
    <w:rsid w:val="003D167C"/>
    <w:rsid w:val="003D2099"/>
    <w:rsid w:val="003D2C72"/>
    <w:rsid w:val="003D365E"/>
    <w:rsid w:val="003D5DC6"/>
    <w:rsid w:val="003D647B"/>
    <w:rsid w:val="003D6B79"/>
    <w:rsid w:val="003D7D95"/>
    <w:rsid w:val="003D7E0F"/>
    <w:rsid w:val="003E0827"/>
    <w:rsid w:val="003E0C5B"/>
    <w:rsid w:val="003E1B7E"/>
    <w:rsid w:val="003E2EF5"/>
    <w:rsid w:val="003E30E5"/>
    <w:rsid w:val="003E32B2"/>
    <w:rsid w:val="003E5C0B"/>
    <w:rsid w:val="003E70A0"/>
    <w:rsid w:val="003E78AC"/>
    <w:rsid w:val="003F2B05"/>
    <w:rsid w:val="003F3B2E"/>
    <w:rsid w:val="003F3D23"/>
    <w:rsid w:val="003F47A5"/>
    <w:rsid w:val="003F4FB7"/>
    <w:rsid w:val="003F59A1"/>
    <w:rsid w:val="003F59BC"/>
    <w:rsid w:val="003F7A3E"/>
    <w:rsid w:val="003F7AB7"/>
    <w:rsid w:val="0040200D"/>
    <w:rsid w:val="00403556"/>
    <w:rsid w:val="0040702F"/>
    <w:rsid w:val="00407CCF"/>
    <w:rsid w:val="004110D2"/>
    <w:rsid w:val="00411DA1"/>
    <w:rsid w:val="00411F31"/>
    <w:rsid w:val="004122D1"/>
    <w:rsid w:val="00414530"/>
    <w:rsid w:val="004148FA"/>
    <w:rsid w:val="00414F04"/>
    <w:rsid w:val="00420793"/>
    <w:rsid w:val="00423CEA"/>
    <w:rsid w:val="004248C8"/>
    <w:rsid w:val="00424BE1"/>
    <w:rsid w:val="00424E84"/>
    <w:rsid w:val="004254F6"/>
    <w:rsid w:val="00425A9D"/>
    <w:rsid w:val="00425DEB"/>
    <w:rsid w:val="004310D6"/>
    <w:rsid w:val="004313B7"/>
    <w:rsid w:val="004315A4"/>
    <w:rsid w:val="00432385"/>
    <w:rsid w:val="004325CE"/>
    <w:rsid w:val="00433723"/>
    <w:rsid w:val="00434078"/>
    <w:rsid w:val="0043486E"/>
    <w:rsid w:val="004349C5"/>
    <w:rsid w:val="00435159"/>
    <w:rsid w:val="00436FAA"/>
    <w:rsid w:val="00437F43"/>
    <w:rsid w:val="00440894"/>
    <w:rsid w:val="00440D1C"/>
    <w:rsid w:val="0044106C"/>
    <w:rsid w:val="004410F4"/>
    <w:rsid w:val="0044187D"/>
    <w:rsid w:val="0044342D"/>
    <w:rsid w:val="004439B5"/>
    <w:rsid w:val="00443FB7"/>
    <w:rsid w:val="004442C6"/>
    <w:rsid w:val="00444626"/>
    <w:rsid w:val="004468AB"/>
    <w:rsid w:val="00446A82"/>
    <w:rsid w:val="004476D8"/>
    <w:rsid w:val="00450F44"/>
    <w:rsid w:val="004513F2"/>
    <w:rsid w:val="0045140E"/>
    <w:rsid w:val="00452377"/>
    <w:rsid w:val="00454549"/>
    <w:rsid w:val="00455398"/>
    <w:rsid w:val="00455A98"/>
    <w:rsid w:val="00456BF3"/>
    <w:rsid w:val="00456E0C"/>
    <w:rsid w:val="00457FBD"/>
    <w:rsid w:val="00460BFD"/>
    <w:rsid w:val="00461706"/>
    <w:rsid w:val="00461FF6"/>
    <w:rsid w:val="00462291"/>
    <w:rsid w:val="00464115"/>
    <w:rsid w:val="00464249"/>
    <w:rsid w:val="00464E01"/>
    <w:rsid w:val="00464F72"/>
    <w:rsid w:val="00465082"/>
    <w:rsid w:val="004654C6"/>
    <w:rsid w:val="004661AD"/>
    <w:rsid w:val="00467D2D"/>
    <w:rsid w:val="00467E9B"/>
    <w:rsid w:val="00470BEA"/>
    <w:rsid w:val="00471F92"/>
    <w:rsid w:val="00472565"/>
    <w:rsid w:val="00472842"/>
    <w:rsid w:val="00474E52"/>
    <w:rsid w:val="00475AEF"/>
    <w:rsid w:val="00475C2A"/>
    <w:rsid w:val="00476A75"/>
    <w:rsid w:val="00485E36"/>
    <w:rsid w:val="004901CB"/>
    <w:rsid w:val="004919C7"/>
    <w:rsid w:val="00491AC1"/>
    <w:rsid w:val="00491DD1"/>
    <w:rsid w:val="004923AE"/>
    <w:rsid w:val="004925DE"/>
    <w:rsid w:val="00493D6C"/>
    <w:rsid w:val="00494A94"/>
    <w:rsid w:val="0049583B"/>
    <w:rsid w:val="004A00B2"/>
    <w:rsid w:val="004A0832"/>
    <w:rsid w:val="004A13E4"/>
    <w:rsid w:val="004A244A"/>
    <w:rsid w:val="004A2AE1"/>
    <w:rsid w:val="004A2CFD"/>
    <w:rsid w:val="004A3E35"/>
    <w:rsid w:val="004A4908"/>
    <w:rsid w:val="004A57E5"/>
    <w:rsid w:val="004A5E52"/>
    <w:rsid w:val="004A6182"/>
    <w:rsid w:val="004B005E"/>
    <w:rsid w:val="004B05CE"/>
    <w:rsid w:val="004B158A"/>
    <w:rsid w:val="004B1DE7"/>
    <w:rsid w:val="004B46E0"/>
    <w:rsid w:val="004B4D8F"/>
    <w:rsid w:val="004B4FD7"/>
    <w:rsid w:val="004B573C"/>
    <w:rsid w:val="004B6DC8"/>
    <w:rsid w:val="004B7AD1"/>
    <w:rsid w:val="004B7BA5"/>
    <w:rsid w:val="004C0333"/>
    <w:rsid w:val="004C0662"/>
    <w:rsid w:val="004C0945"/>
    <w:rsid w:val="004C0BB3"/>
    <w:rsid w:val="004C21DC"/>
    <w:rsid w:val="004C4887"/>
    <w:rsid w:val="004C5422"/>
    <w:rsid w:val="004C64B9"/>
    <w:rsid w:val="004C76D4"/>
    <w:rsid w:val="004D0A9D"/>
    <w:rsid w:val="004D20DC"/>
    <w:rsid w:val="004D213A"/>
    <w:rsid w:val="004D24E4"/>
    <w:rsid w:val="004D5B75"/>
    <w:rsid w:val="004D64AF"/>
    <w:rsid w:val="004D6E2E"/>
    <w:rsid w:val="004D7BB7"/>
    <w:rsid w:val="004E0C5B"/>
    <w:rsid w:val="004E2113"/>
    <w:rsid w:val="004E2A69"/>
    <w:rsid w:val="004E4407"/>
    <w:rsid w:val="004E5D65"/>
    <w:rsid w:val="004E6328"/>
    <w:rsid w:val="004E6C6E"/>
    <w:rsid w:val="004F0C58"/>
    <w:rsid w:val="004F1B76"/>
    <w:rsid w:val="004F236D"/>
    <w:rsid w:val="004F45A2"/>
    <w:rsid w:val="004F498E"/>
    <w:rsid w:val="004F59A1"/>
    <w:rsid w:val="004F61E6"/>
    <w:rsid w:val="004F68A8"/>
    <w:rsid w:val="004F6A4A"/>
    <w:rsid w:val="00500713"/>
    <w:rsid w:val="00500BAA"/>
    <w:rsid w:val="00501207"/>
    <w:rsid w:val="005015AD"/>
    <w:rsid w:val="00501667"/>
    <w:rsid w:val="00501BA1"/>
    <w:rsid w:val="00502161"/>
    <w:rsid w:val="0050224D"/>
    <w:rsid w:val="00502753"/>
    <w:rsid w:val="00502976"/>
    <w:rsid w:val="00502B13"/>
    <w:rsid w:val="00502E53"/>
    <w:rsid w:val="005030DC"/>
    <w:rsid w:val="00504088"/>
    <w:rsid w:val="0050708D"/>
    <w:rsid w:val="00507324"/>
    <w:rsid w:val="00507BAB"/>
    <w:rsid w:val="0051027E"/>
    <w:rsid w:val="005128BE"/>
    <w:rsid w:val="00512BA1"/>
    <w:rsid w:val="00513A67"/>
    <w:rsid w:val="00513E56"/>
    <w:rsid w:val="00514448"/>
    <w:rsid w:val="00514BA6"/>
    <w:rsid w:val="00514BE9"/>
    <w:rsid w:val="00515521"/>
    <w:rsid w:val="00515F20"/>
    <w:rsid w:val="005169B6"/>
    <w:rsid w:val="00516B77"/>
    <w:rsid w:val="005208DE"/>
    <w:rsid w:val="00520B10"/>
    <w:rsid w:val="00520E75"/>
    <w:rsid w:val="00521756"/>
    <w:rsid w:val="005224E0"/>
    <w:rsid w:val="00522724"/>
    <w:rsid w:val="00522D3F"/>
    <w:rsid w:val="005230C0"/>
    <w:rsid w:val="0052398C"/>
    <w:rsid w:val="00523A45"/>
    <w:rsid w:val="005241A3"/>
    <w:rsid w:val="005251E7"/>
    <w:rsid w:val="005263EE"/>
    <w:rsid w:val="0052667B"/>
    <w:rsid w:val="005271C5"/>
    <w:rsid w:val="00527A6F"/>
    <w:rsid w:val="005302EA"/>
    <w:rsid w:val="00530403"/>
    <w:rsid w:val="005309B6"/>
    <w:rsid w:val="005311A4"/>
    <w:rsid w:val="00531673"/>
    <w:rsid w:val="005351B8"/>
    <w:rsid w:val="005354CA"/>
    <w:rsid w:val="00535D3F"/>
    <w:rsid w:val="00537070"/>
    <w:rsid w:val="005371AF"/>
    <w:rsid w:val="00541702"/>
    <w:rsid w:val="005420E9"/>
    <w:rsid w:val="00542FF5"/>
    <w:rsid w:val="00543598"/>
    <w:rsid w:val="0054440C"/>
    <w:rsid w:val="00544D06"/>
    <w:rsid w:val="00546399"/>
    <w:rsid w:val="00547031"/>
    <w:rsid w:val="005500FE"/>
    <w:rsid w:val="005503EA"/>
    <w:rsid w:val="00550BC2"/>
    <w:rsid w:val="00552EA7"/>
    <w:rsid w:val="00553ECB"/>
    <w:rsid w:val="0055602F"/>
    <w:rsid w:val="00556F5A"/>
    <w:rsid w:val="00557157"/>
    <w:rsid w:val="00560542"/>
    <w:rsid w:val="00560634"/>
    <w:rsid w:val="00562497"/>
    <w:rsid w:val="00563841"/>
    <w:rsid w:val="00564DF5"/>
    <w:rsid w:val="005658F4"/>
    <w:rsid w:val="00566413"/>
    <w:rsid w:val="005677F2"/>
    <w:rsid w:val="005701E7"/>
    <w:rsid w:val="00570351"/>
    <w:rsid w:val="0057207C"/>
    <w:rsid w:val="00572319"/>
    <w:rsid w:val="00573475"/>
    <w:rsid w:val="005734EA"/>
    <w:rsid w:val="00574122"/>
    <w:rsid w:val="005756D5"/>
    <w:rsid w:val="0057637A"/>
    <w:rsid w:val="005805AA"/>
    <w:rsid w:val="0058092B"/>
    <w:rsid w:val="00582D1C"/>
    <w:rsid w:val="005841E6"/>
    <w:rsid w:val="00584242"/>
    <w:rsid w:val="00584DCF"/>
    <w:rsid w:val="00584DD9"/>
    <w:rsid w:val="005906B8"/>
    <w:rsid w:val="00591018"/>
    <w:rsid w:val="0059245F"/>
    <w:rsid w:val="005927FC"/>
    <w:rsid w:val="005928C6"/>
    <w:rsid w:val="00592D28"/>
    <w:rsid w:val="00593981"/>
    <w:rsid w:val="00594AB8"/>
    <w:rsid w:val="00594D79"/>
    <w:rsid w:val="00595892"/>
    <w:rsid w:val="005977C7"/>
    <w:rsid w:val="005A0B24"/>
    <w:rsid w:val="005A236B"/>
    <w:rsid w:val="005A2432"/>
    <w:rsid w:val="005A2818"/>
    <w:rsid w:val="005A33F4"/>
    <w:rsid w:val="005A5BEE"/>
    <w:rsid w:val="005A7203"/>
    <w:rsid w:val="005A73D1"/>
    <w:rsid w:val="005A779E"/>
    <w:rsid w:val="005B1DF7"/>
    <w:rsid w:val="005B28F3"/>
    <w:rsid w:val="005B3A76"/>
    <w:rsid w:val="005B3FBC"/>
    <w:rsid w:val="005B4125"/>
    <w:rsid w:val="005B61A3"/>
    <w:rsid w:val="005B6201"/>
    <w:rsid w:val="005B7826"/>
    <w:rsid w:val="005C041C"/>
    <w:rsid w:val="005C0BF9"/>
    <w:rsid w:val="005C41E9"/>
    <w:rsid w:val="005C6960"/>
    <w:rsid w:val="005C6C0A"/>
    <w:rsid w:val="005C70F6"/>
    <w:rsid w:val="005D29FD"/>
    <w:rsid w:val="005D31DE"/>
    <w:rsid w:val="005D3D3B"/>
    <w:rsid w:val="005D4860"/>
    <w:rsid w:val="005D5046"/>
    <w:rsid w:val="005E02FA"/>
    <w:rsid w:val="005E0EF5"/>
    <w:rsid w:val="005E2A8F"/>
    <w:rsid w:val="005E4EC3"/>
    <w:rsid w:val="005E59F8"/>
    <w:rsid w:val="005E72FD"/>
    <w:rsid w:val="005E78CA"/>
    <w:rsid w:val="005F1076"/>
    <w:rsid w:val="005F22C8"/>
    <w:rsid w:val="005F2AA9"/>
    <w:rsid w:val="005F3841"/>
    <w:rsid w:val="005F3962"/>
    <w:rsid w:val="005F3B2F"/>
    <w:rsid w:val="005F474B"/>
    <w:rsid w:val="005F59EB"/>
    <w:rsid w:val="005F613F"/>
    <w:rsid w:val="005F647C"/>
    <w:rsid w:val="005F6552"/>
    <w:rsid w:val="005F698B"/>
    <w:rsid w:val="005F6ED4"/>
    <w:rsid w:val="005F7676"/>
    <w:rsid w:val="005F7C57"/>
    <w:rsid w:val="005F7FE3"/>
    <w:rsid w:val="006015D0"/>
    <w:rsid w:val="0060224A"/>
    <w:rsid w:val="00602825"/>
    <w:rsid w:val="00602BBF"/>
    <w:rsid w:val="006043E1"/>
    <w:rsid w:val="0060588A"/>
    <w:rsid w:val="00605A23"/>
    <w:rsid w:val="006101B6"/>
    <w:rsid w:val="006111DF"/>
    <w:rsid w:val="006113B1"/>
    <w:rsid w:val="0061269F"/>
    <w:rsid w:val="006131D3"/>
    <w:rsid w:val="00613C7A"/>
    <w:rsid w:val="00616C02"/>
    <w:rsid w:val="006176CE"/>
    <w:rsid w:val="00617C52"/>
    <w:rsid w:val="006200A6"/>
    <w:rsid w:val="0062058B"/>
    <w:rsid w:val="00620796"/>
    <w:rsid w:val="00620ACF"/>
    <w:rsid w:val="00622F8B"/>
    <w:rsid w:val="006242BA"/>
    <w:rsid w:val="0062553B"/>
    <w:rsid w:val="006257CC"/>
    <w:rsid w:val="0062590C"/>
    <w:rsid w:val="00626716"/>
    <w:rsid w:val="00627C17"/>
    <w:rsid w:val="00630489"/>
    <w:rsid w:val="006311C9"/>
    <w:rsid w:val="0063230C"/>
    <w:rsid w:val="00632784"/>
    <w:rsid w:val="00632BA5"/>
    <w:rsid w:val="00633253"/>
    <w:rsid w:val="00633863"/>
    <w:rsid w:val="00637692"/>
    <w:rsid w:val="006404CB"/>
    <w:rsid w:val="006412F5"/>
    <w:rsid w:val="00641414"/>
    <w:rsid w:val="006415BF"/>
    <w:rsid w:val="006417A8"/>
    <w:rsid w:val="00642A9F"/>
    <w:rsid w:val="0064426B"/>
    <w:rsid w:val="006464EA"/>
    <w:rsid w:val="0065047D"/>
    <w:rsid w:val="0065222B"/>
    <w:rsid w:val="00652BFB"/>
    <w:rsid w:val="00654083"/>
    <w:rsid w:val="006548D1"/>
    <w:rsid w:val="00655BCC"/>
    <w:rsid w:val="00656BF3"/>
    <w:rsid w:val="006572C4"/>
    <w:rsid w:val="0066055F"/>
    <w:rsid w:val="00663070"/>
    <w:rsid w:val="00663459"/>
    <w:rsid w:val="00663D50"/>
    <w:rsid w:val="006645EE"/>
    <w:rsid w:val="0066624D"/>
    <w:rsid w:val="00666FDC"/>
    <w:rsid w:val="0067068B"/>
    <w:rsid w:val="00670BB2"/>
    <w:rsid w:val="00670F3E"/>
    <w:rsid w:val="00671E07"/>
    <w:rsid w:val="00671F0B"/>
    <w:rsid w:val="00673752"/>
    <w:rsid w:val="006739A4"/>
    <w:rsid w:val="00674F15"/>
    <w:rsid w:val="006758CE"/>
    <w:rsid w:val="00675E8D"/>
    <w:rsid w:val="006765D9"/>
    <w:rsid w:val="00677E1C"/>
    <w:rsid w:val="006801E2"/>
    <w:rsid w:val="006803CD"/>
    <w:rsid w:val="00681001"/>
    <w:rsid w:val="00681E03"/>
    <w:rsid w:val="00683D6B"/>
    <w:rsid w:val="00683FA3"/>
    <w:rsid w:val="0068497D"/>
    <w:rsid w:val="00684E28"/>
    <w:rsid w:val="006856A7"/>
    <w:rsid w:val="00685C78"/>
    <w:rsid w:val="00685C97"/>
    <w:rsid w:val="00685FD9"/>
    <w:rsid w:val="0068661D"/>
    <w:rsid w:val="00686AAD"/>
    <w:rsid w:val="00687915"/>
    <w:rsid w:val="00692B52"/>
    <w:rsid w:val="00697C7D"/>
    <w:rsid w:val="00697E84"/>
    <w:rsid w:val="006A00AA"/>
    <w:rsid w:val="006A0210"/>
    <w:rsid w:val="006A0AE2"/>
    <w:rsid w:val="006A1E30"/>
    <w:rsid w:val="006A4843"/>
    <w:rsid w:val="006A49C0"/>
    <w:rsid w:val="006A541F"/>
    <w:rsid w:val="006A5611"/>
    <w:rsid w:val="006A690A"/>
    <w:rsid w:val="006A7E6C"/>
    <w:rsid w:val="006B0AC3"/>
    <w:rsid w:val="006B1140"/>
    <w:rsid w:val="006B2BEB"/>
    <w:rsid w:val="006B3E64"/>
    <w:rsid w:val="006B604A"/>
    <w:rsid w:val="006C2A05"/>
    <w:rsid w:val="006C3504"/>
    <w:rsid w:val="006C38CF"/>
    <w:rsid w:val="006C594A"/>
    <w:rsid w:val="006C5DC1"/>
    <w:rsid w:val="006C79B4"/>
    <w:rsid w:val="006D01CD"/>
    <w:rsid w:val="006D2025"/>
    <w:rsid w:val="006D30F3"/>
    <w:rsid w:val="006D33B7"/>
    <w:rsid w:val="006D6048"/>
    <w:rsid w:val="006D67DF"/>
    <w:rsid w:val="006E03F1"/>
    <w:rsid w:val="006E1599"/>
    <w:rsid w:val="006E2078"/>
    <w:rsid w:val="006E2741"/>
    <w:rsid w:val="006E3440"/>
    <w:rsid w:val="006E4125"/>
    <w:rsid w:val="006E48D8"/>
    <w:rsid w:val="006E5DE6"/>
    <w:rsid w:val="006E5E30"/>
    <w:rsid w:val="006E6CBE"/>
    <w:rsid w:val="006E70DA"/>
    <w:rsid w:val="006E714C"/>
    <w:rsid w:val="006E7796"/>
    <w:rsid w:val="006F16B9"/>
    <w:rsid w:val="006F1BE0"/>
    <w:rsid w:val="006F39AC"/>
    <w:rsid w:val="006F626E"/>
    <w:rsid w:val="006F634E"/>
    <w:rsid w:val="006F64B0"/>
    <w:rsid w:val="00700740"/>
    <w:rsid w:val="00702056"/>
    <w:rsid w:val="0070247B"/>
    <w:rsid w:val="0070264D"/>
    <w:rsid w:val="007041A1"/>
    <w:rsid w:val="00704CB3"/>
    <w:rsid w:val="00710172"/>
    <w:rsid w:val="00710333"/>
    <w:rsid w:val="00712742"/>
    <w:rsid w:val="00716AC7"/>
    <w:rsid w:val="00717950"/>
    <w:rsid w:val="00717AC3"/>
    <w:rsid w:val="007207AF"/>
    <w:rsid w:val="0072085B"/>
    <w:rsid w:val="00720F18"/>
    <w:rsid w:val="0072298D"/>
    <w:rsid w:val="0072451C"/>
    <w:rsid w:val="00724908"/>
    <w:rsid w:val="00726C9D"/>
    <w:rsid w:val="0073033B"/>
    <w:rsid w:val="00732A9F"/>
    <w:rsid w:val="00733BA6"/>
    <w:rsid w:val="0073534B"/>
    <w:rsid w:val="00736AE4"/>
    <w:rsid w:val="00737A8F"/>
    <w:rsid w:val="0074039C"/>
    <w:rsid w:val="00740FA7"/>
    <w:rsid w:val="00741A21"/>
    <w:rsid w:val="00743307"/>
    <w:rsid w:val="00743E7F"/>
    <w:rsid w:val="0074496A"/>
    <w:rsid w:val="00746391"/>
    <w:rsid w:val="0075054D"/>
    <w:rsid w:val="00752550"/>
    <w:rsid w:val="00752B65"/>
    <w:rsid w:val="00753850"/>
    <w:rsid w:val="00753A2C"/>
    <w:rsid w:val="00754344"/>
    <w:rsid w:val="0075524B"/>
    <w:rsid w:val="007561B7"/>
    <w:rsid w:val="0075622B"/>
    <w:rsid w:val="007569BF"/>
    <w:rsid w:val="0076108F"/>
    <w:rsid w:val="007612C1"/>
    <w:rsid w:val="00762381"/>
    <w:rsid w:val="00765424"/>
    <w:rsid w:val="00765B40"/>
    <w:rsid w:val="00765E5F"/>
    <w:rsid w:val="0076625D"/>
    <w:rsid w:val="00767995"/>
    <w:rsid w:val="00767AD0"/>
    <w:rsid w:val="00767D0B"/>
    <w:rsid w:val="0077027A"/>
    <w:rsid w:val="00770800"/>
    <w:rsid w:val="00770945"/>
    <w:rsid w:val="007721D7"/>
    <w:rsid w:val="007727E6"/>
    <w:rsid w:val="00772C32"/>
    <w:rsid w:val="00773152"/>
    <w:rsid w:val="007732B1"/>
    <w:rsid w:val="00774481"/>
    <w:rsid w:val="00775E9C"/>
    <w:rsid w:val="00776F1F"/>
    <w:rsid w:val="00777212"/>
    <w:rsid w:val="007779CF"/>
    <w:rsid w:val="0078065F"/>
    <w:rsid w:val="00782B97"/>
    <w:rsid w:val="00783137"/>
    <w:rsid w:val="00784D57"/>
    <w:rsid w:val="00784EEC"/>
    <w:rsid w:val="007856D6"/>
    <w:rsid w:val="00785BEB"/>
    <w:rsid w:val="00785CA4"/>
    <w:rsid w:val="00785D90"/>
    <w:rsid w:val="00786CBC"/>
    <w:rsid w:val="00791B65"/>
    <w:rsid w:val="00792EE5"/>
    <w:rsid w:val="0079348B"/>
    <w:rsid w:val="00793D72"/>
    <w:rsid w:val="00796783"/>
    <w:rsid w:val="00796C78"/>
    <w:rsid w:val="00796E82"/>
    <w:rsid w:val="007974C8"/>
    <w:rsid w:val="00797581"/>
    <w:rsid w:val="00797717"/>
    <w:rsid w:val="007A0B7E"/>
    <w:rsid w:val="007A316B"/>
    <w:rsid w:val="007A3A97"/>
    <w:rsid w:val="007A46FA"/>
    <w:rsid w:val="007A64C4"/>
    <w:rsid w:val="007A6D37"/>
    <w:rsid w:val="007A768E"/>
    <w:rsid w:val="007B0D4D"/>
    <w:rsid w:val="007B1714"/>
    <w:rsid w:val="007B5028"/>
    <w:rsid w:val="007B5A29"/>
    <w:rsid w:val="007B6230"/>
    <w:rsid w:val="007B6783"/>
    <w:rsid w:val="007C1C1E"/>
    <w:rsid w:val="007C29C4"/>
    <w:rsid w:val="007C2B43"/>
    <w:rsid w:val="007C2C43"/>
    <w:rsid w:val="007C33F3"/>
    <w:rsid w:val="007C3C2B"/>
    <w:rsid w:val="007C4FF1"/>
    <w:rsid w:val="007C5205"/>
    <w:rsid w:val="007C5DA0"/>
    <w:rsid w:val="007C7854"/>
    <w:rsid w:val="007C7E50"/>
    <w:rsid w:val="007D0353"/>
    <w:rsid w:val="007D0EF0"/>
    <w:rsid w:val="007D159D"/>
    <w:rsid w:val="007D2AF9"/>
    <w:rsid w:val="007D3516"/>
    <w:rsid w:val="007D432C"/>
    <w:rsid w:val="007D5016"/>
    <w:rsid w:val="007D5E21"/>
    <w:rsid w:val="007D6B5F"/>
    <w:rsid w:val="007D6CCA"/>
    <w:rsid w:val="007D7378"/>
    <w:rsid w:val="007D777F"/>
    <w:rsid w:val="007E0559"/>
    <w:rsid w:val="007E06B1"/>
    <w:rsid w:val="007E0E7E"/>
    <w:rsid w:val="007E2DC2"/>
    <w:rsid w:val="007E4C75"/>
    <w:rsid w:val="007E4D03"/>
    <w:rsid w:val="007E7E30"/>
    <w:rsid w:val="007F0583"/>
    <w:rsid w:val="007F0736"/>
    <w:rsid w:val="007F1D18"/>
    <w:rsid w:val="007F27DA"/>
    <w:rsid w:val="007F28AC"/>
    <w:rsid w:val="007F2E4E"/>
    <w:rsid w:val="007F3763"/>
    <w:rsid w:val="007F5879"/>
    <w:rsid w:val="007F6016"/>
    <w:rsid w:val="007F68FE"/>
    <w:rsid w:val="007F6A60"/>
    <w:rsid w:val="007F74F3"/>
    <w:rsid w:val="007F78A3"/>
    <w:rsid w:val="007F7E30"/>
    <w:rsid w:val="007F7FB0"/>
    <w:rsid w:val="00803399"/>
    <w:rsid w:val="0080581C"/>
    <w:rsid w:val="00807253"/>
    <w:rsid w:val="008105BF"/>
    <w:rsid w:val="00814524"/>
    <w:rsid w:val="00815A60"/>
    <w:rsid w:val="00821C81"/>
    <w:rsid w:val="00824585"/>
    <w:rsid w:val="00824750"/>
    <w:rsid w:val="00826615"/>
    <w:rsid w:val="0082683A"/>
    <w:rsid w:val="00827B0A"/>
    <w:rsid w:val="00830748"/>
    <w:rsid w:val="008340DC"/>
    <w:rsid w:val="00834B30"/>
    <w:rsid w:val="00835E04"/>
    <w:rsid w:val="0083770E"/>
    <w:rsid w:val="00837C25"/>
    <w:rsid w:val="00842EB6"/>
    <w:rsid w:val="00846775"/>
    <w:rsid w:val="00846F4F"/>
    <w:rsid w:val="008500F9"/>
    <w:rsid w:val="0085111A"/>
    <w:rsid w:val="0085174C"/>
    <w:rsid w:val="008603EB"/>
    <w:rsid w:val="00860DA2"/>
    <w:rsid w:val="00861023"/>
    <w:rsid w:val="008610A4"/>
    <w:rsid w:val="00861F7B"/>
    <w:rsid w:val="00864E07"/>
    <w:rsid w:val="008668CA"/>
    <w:rsid w:val="00866C93"/>
    <w:rsid w:val="00867F1D"/>
    <w:rsid w:val="008714A7"/>
    <w:rsid w:val="00871B17"/>
    <w:rsid w:val="00872FE9"/>
    <w:rsid w:val="00873494"/>
    <w:rsid w:val="00873613"/>
    <w:rsid w:val="008755F8"/>
    <w:rsid w:val="00880235"/>
    <w:rsid w:val="00880753"/>
    <w:rsid w:val="0088194C"/>
    <w:rsid w:val="00882332"/>
    <w:rsid w:val="008839DF"/>
    <w:rsid w:val="00884F44"/>
    <w:rsid w:val="00887662"/>
    <w:rsid w:val="00887899"/>
    <w:rsid w:val="00890899"/>
    <w:rsid w:val="0089094C"/>
    <w:rsid w:val="00890BBA"/>
    <w:rsid w:val="00890CD2"/>
    <w:rsid w:val="00891A0A"/>
    <w:rsid w:val="00891CAD"/>
    <w:rsid w:val="00892AA6"/>
    <w:rsid w:val="00892FCF"/>
    <w:rsid w:val="00893D8A"/>
    <w:rsid w:val="008944BD"/>
    <w:rsid w:val="00894958"/>
    <w:rsid w:val="00896002"/>
    <w:rsid w:val="008A0060"/>
    <w:rsid w:val="008A0753"/>
    <w:rsid w:val="008A2B05"/>
    <w:rsid w:val="008A4583"/>
    <w:rsid w:val="008A5966"/>
    <w:rsid w:val="008A60B6"/>
    <w:rsid w:val="008A6D10"/>
    <w:rsid w:val="008A7224"/>
    <w:rsid w:val="008A78F9"/>
    <w:rsid w:val="008B03C0"/>
    <w:rsid w:val="008B07B9"/>
    <w:rsid w:val="008B26C6"/>
    <w:rsid w:val="008B290F"/>
    <w:rsid w:val="008B43AA"/>
    <w:rsid w:val="008B6AE3"/>
    <w:rsid w:val="008C013A"/>
    <w:rsid w:val="008C01AC"/>
    <w:rsid w:val="008C1E73"/>
    <w:rsid w:val="008C1F01"/>
    <w:rsid w:val="008C1FC5"/>
    <w:rsid w:val="008C21C2"/>
    <w:rsid w:val="008C2AAE"/>
    <w:rsid w:val="008C6EC0"/>
    <w:rsid w:val="008D0781"/>
    <w:rsid w:val="008D1509"/>
    <w:rsid w:val="008D21B1"/>
    <w:rsid w:val="008D2527"/>
    <w:rsid w:val="008D3CEB"/>
    <w:rsid w:val="008D473B"/>
    <w:rsid w:val="008D5ACD"/>
    <w:rsid w:val="008D7673"/>
    <w:rsid w:val="008E02DA"/>
    <w:rsid w:val="008E306E"/>
    <w:rsid w:val="008F134F"/>
    <w:rsid w:val="008F2CA9"/>
    <w:rsid w:val="008F2DF9"/>
    <w:rsid w:val="008F45B7"/>
    <w:rsid w:val="008F57A2"/>
    <w:rsid w:val="008F73FE"/>
    <w:rsid w:val="00900EA1"/>
    <w:rsid w:val="00903F15"/>
    <w:rsid w:val="00905AF2"/>
    <w:rsid w:val="00906779"/>
    <w:rsid w:val="009068DC"/>
    <w:rsid w:val="009104FA"/>
    <w:rsid w:val="00914B51"/>
    <w:rsid w:val="009155C2"/>
    <w:rsid w:val="00916494"/>
    <w:rsid w:val="00916805"/>
    <w:rsid w:val="00917DA6"/>
    <w:rsid w:val="00920FE1"/>
    <w:rsid w:val="0092113A"/>
    <w:rsid w:val="0092118B"/>
    <w:rsid w:val="009219B0"/>
    <w:rsid w:val="009221AB"/>
    <w:rsid w:val="009231DF"/>
    <w:rsid w:val="00924C77"/>
    <w:rsid w:val="009269D4"/>
    <w:rsid w:val="00935F5B"/>
    <w:rsid w:val="00936246"/>
    <w:rsid w:val="00937792"/>
    <w:rsid w:val="00941ABD"/>
    <w:rsid w:val="00943608"/>
    <w:rsid w:val="0094574A"/>
    <w:rsid w:val="009477EE"/>
    <w:rsid w:val="00950715"/>
    <w:rsid w:val="00950A8E"/>
    <w:rsid w:val="00952237"/>
    <w:rsid w:val="00953353"/>
    <w:rsid w:val="00953D28"/>
    <w:rsid w:val="00954960"/>
    <w:rsid w:val="009554DB"/>
    <w:rsid w:val="009563B5"/>
    <w:rsid w:val="009577C6"/>
    <w:rsid w:val="00960187"/>
    <w:rsid w:val="009612DE"/>
    <w:rsid w:val="009633F6"/>
    <w:rsid w:val="00963803"/>
    <w:rsid w:val="00963E70"/>
    <w:rsid w:val="00965B56"/>
    <w:rsid w:val="009672A0"/>
    <w:rsid w:val="0097110D"/>
    <w:rsid w:val="00973858"/>
    <w:rsid w:val="0097616F"/>
    <w:rsid w:val="00976D0D"/>
    <w:rsid w:val="009833E4"/>
    <w:rsid w:val="00983B01"/>
    <w:rsid w:val="00983DA8"/>
    <w:rsid w:val="009849A9"/>
    <w:rsid w:val="00985054"/>
    <w:rsid w:val="00990A99"/>
    <w:rsid w:val="00990D82"/>
    <w:rsid w:val="009929E7"/>
    <w:rsid w:val="00993D82"/>
    <w:rsid w:val="0099423A"/>
    <w:rsid w:val="00995561"/>
    <w:rsid w:val="00995955"/>
    <w:rsid w:val="00997B5F"/>
    <w:rsid w:val="00997E40"/>
    <w:rsid w:val="009A08B7"/>
    <w:rsid w:val="009A0E56"/>
    <w:rsid w:val="009A475C"/>
    <w:rsid w:val="009A4D82"/>
    <w:rsid w:val="009A5DE2"/>
    <w:rsid w:val="009A7A46"/>
    <w:rsid w:val="009B149C"/>
    <w:rsid w:val="009B599D"/>
    <w:rsid w:val="009B60D4"/>
    <w:rsid w:val="009B60F2"/>
    <w:rsid w:val="009B6E7C"/>
    <w:rsid w:val="009B6FE6"/>
    <w:rsid w:val="009C0BAA"/>
    <w:rsid w:val="009C100A"/>
    <w:rsid w:val="009C165B"/>
    <w:rsid w:val="009C1FED"/>
    <w:rsid w:val="009C25C7"/>
    <w:rsid w:val="009C2C9B"/>
    <w:rsid w:val="009C2FFC"/>
    <w:rsid w:val="009C36F6"/>
    <w:rsid w:val="009C3BDF"/>
    <w:rsid w:val="009C4204"/>
    <w:rsid w:val="009C52FA"/>
    <w:rsid w:val="009C57CD"/>
    <w:rsid w:val="009C6089"/>
    <w:rsid w:val="009C7C85"/>
    <w:rsid w:val="009C7FEF"/>
    <w:rsid w:val="009D04F0"/>
    <w:rsid w:val="009D11A8"/>
    <w:rsid w:val="009D454C"/>
    <w:rsid w:val="009D474E"/>
    <w:rsid w:val="009D56E3"/>
    <w:rsid w:val="009D5DD6"/>
    <w:rsid w:val="009D6727"/>
    <w:rsid w:val="009D7607"/>
    <w:rsid w:val="009D7A8A"/>
    <w:rsid w:val="009E00FE"/>
    <w:rsid w:val="009E023A"/>
    <w:rsid w:val="009E1FAE"/>
    <w:rsid w:val="009E452F"/>
    <w:rsid w:val="009E5368"/>
    <w:rsid w:val="009E680A"/>
    <w:rsid w:val="009E70D5"/>
    <w:rsid w:val="009E72E6"/>
    <w:rsid w:val="009E7A61"/>
    <w:rsid w:val="009F165D"/>
    <w:rsid w:val="009F58DE"/>
    <w:rsid w:val="009F5A18"/>
    <w:rsid w:val="009F7A8B"/>
    <w:rsid w:val="009F7C05"/>
    <w:rsid w:val="00A008A5"/>
    <w:rsid w:val="00A0149C"/>
    <w:rsid w:val="00A014D3"/>
    <w:rsid w:val="00A01C19"/>
    <w:rsid w:val="00A01D8D"/>
    <w:rsid w:val="00A028FF"/>
    <w:rsid w:val="00A045C2"/>
    <w:rsid w:val="00A04649"/>
    <w:rsid w:val="00A04AF6"/>
    <w:rsid w:val="00A05AA1"/>
    <w:rsid w:val="00A06405"/>
    <w:rsid w:val="00A067E6"/>
    <w:rsid w:val="00A07133"/>
    <w:rsid w:val="00A07483"/>
    <w:rsid w:val="00A12524"/>
    <w:rsid w:val="00A13EE0"/>
    <w:rsid w:val="00A1419F"/>
    <w:rsid w:val="00A143E4"/>
    <w:rsid w:val="00A14BED"/>
    <w:rsid w:val="00A16E59"/>
    <w:rsid w:val="00A20549"/>
    <w:rsid w:val="00A22469"/>
    <w:rsid w:val="00A22D73"/>
    <w:rsid w:val="00A269FD"/>
    <w:rsid w:val="00A30DA9"/>
    <w:rsid w:val="00A33E18"/>
    <w:rsid w:val="00A3453F"/>
    <w:rsid w:val="00A35036"/>
    <w:rsid w:val="00A3614F"/>
    <w:rsid w:val="00A40D43"/>
    <w:rsid w:val="00A40F6D"/>
    <w:rsid w:val="00A412BF"/>
    <w:rsid w:val="00A44274"/>
    <w:rsid w:val="00A464B1"/>
    <w:rsid w:val="00A47398"/>
    <w:rsid w:val="00A50F27"/>
    <w:rsid w:val="00A527DE"/>
    <w:rsid w:val="00A52E8D"/>
    <w:rsid w:val="00A557EC"/>
    <w:rsid w:val="00A55BF1"/>
    <w:rsid w:val="00A55D82"/>
    <w:rsid w:val="00A57689"/>
    <w:rsid w:val="00A57CB6"/>
    <w:rsid w:val="00A63982"/>
    <w:rsid w:val="00A662A3"/>
    <w:rsid w:val="00A668C1"/>
    <w:rsid w:val="00A706D4"/>
    <w:rsid w:val="00A7152D"/>
    <w:rsid w:val="00A72A88"/>
    <w:rsid w:val="00A72B95"/>
    <w:rsid w:val="00A7431B"/>
    <w:rsid w:val="00A77270"/>
    <w:rsid w:val="00A777D4"/>
    <w:rsid w:val="00A77DD6"/>
    <w:rsid w:val="00A80915"/>
    <w:rsid w:val="00A81B39"/>
    <w:rsid w:val="00A81DF0"/>
    <w:rsid w:val="00A82289"/>
    <w:rsid w:val="00A82922"/>
    <w:rsid w:val="00A862DE"/>
    <w:rsid w:val="00A86C3A"/>
    <w:rsid w:val="00A86FCB"/>
    <w:rsid w:val="00A90243"/>
    <w:rsid w:val="00A903F8"/>
    <w:rsid w:val="00A921F0"/>
    <w:rsid w:val="00A93493"/>
    <w:rsid w:val="00A951DB"/>
    <w:rsid w:val="00A97ADF"/>
    <w:rsid w:val="00AA66CE"/>
    <w:rsid w:val="00AA6935"/>
    <w:rsid w:val="00AB0AB7"/>
    <w:rsid w:val="00AB17C5"/>
    <w:rsid w:val="00AB229C"/>
    <w:rsid w:val="00AB585C"/>
    <w:rsid w:val="00AB6B2F"/>
    <w:rsid w:val="00AB7512"/>
    <w:rsid w:val="00AB7C82"/>
    <w:rsid w:val="00AC0C32"/>
    <w:rsid w:val="00AC13FF"/>
    <w:rsid w:val="00AC2DC4"/>
    <w:rsid w:val="00AC37D7"/>
    <w:rsid w:val="00AC3D5E"/>
    <w:rsid w:val="00AC474A"/>
    <w:rsid w:val="00AC5E46"/>
    <w:rsid w:val="00AD0140"/>
    <w:rsid w:val="00AD3303"/>
    <w:rsid w:val="00AD3549"/>
    <w:rsid w:val="00AD374D"/>
    <w:rsid w:val="00AD4A9F"/>
    <w:rsid w:val="00AD6DFB"/>
    <w:rsid w:val="00AD6EDA"/>
    <w:rsid w:val="00AD7534"/>
    <w:rsid w:val="00AD78AB"/>
    <w:rsid w:val="00AD79B8"/>
    <w:rsid w:val="00AD7B1A"/>
    <w:rsid w:val="00AE06FD"/>
    <w:rsid w:val="00AE1A21"/>
    <w:rsid w:val="00AE3CEA"/>
    <w:rsid w:val="00AE41A0"/>
    <w:rsid w:val="00AE5F63"/>
    <w:rsid w:val="00AE6528"/>
    <w:rsid w:val="00AE6843"/>
    <w:rsid w:val="00AE7B9D"/>
    <w:rsid w:val="00AF0449"/>
    <w:rsid w:val="00AF1E4A"/>
    <w:rsid w:val="00AF20AC"/>
    <w:rsid w:val="00AF25B3"/>
    <w:rsid w:val="00AF2C93"/>
    <w:rsid w:val="00AF2DF6"/>
    <w:rsid w:val="00AF2FE0"/>
    <w:rsid w:val="00AF302B"/>
    <w:rsid w:val="00AF4403"/>
    <w:rsid w:val="00AF4BEA"/>
    <w:rsid w:val="00AF4C75"/>
    <w:rsid w:val="00AF4F93"/>
    <w:rsid w:val="00AF6C13"/>
    <w:rsid w:val="00B0272F"/>
    <w:rsid w:val="00B03327"/>
    <w:rsid w:val="00B033EE"/>
    <w:rsid w:val="00B03B90"/>
    <w:rsid w:val="00B05E51"/>
    <w:rsid w:val="00B06619"/>
    <w:rsid w:val="00B0789C"/>
    <w:rsid w:val="00B07C0F"/>
    <w:rsid w:val="00B113D5"/>
    <w:rsid w:val="00B114B2"/>
    <w:rsid w:val="00B11582"/>
    <w:rsid w:val="00B1162D"/>
    <w:rsid w:val="00B12B54"/>
    <w:rsid w:val="00B12F4D"/>
    <w:rsid w:val="00B206A0"/>
    <w:rsid w:val="00B229D6"/>
    <w:rsid w:val="00B230E7"/>
    <w:rsid w:val="00B23DDE"/>
    <w:rsid w:val="00B25F81"/>
    <w:rsid w:val="00B262BD"/>
    <w:rsid w:val="00B26575"/>
    <w:rsid w:val="00B269C0"/>
    <w:rsid w:val="00B26A2C"/>
    <w:rsid w:val="00B30115"/>
    <w:rsid w:val="00B33D7C"/>
    <w:rsid w:val="00B342F8"/>
    <w:rsid w:val="00B34382"/>
    <w:rsid w:val="00B365E3"/>
    <w:rsid w:val="00B36A20"/>
    <w:rsid w:val="00B403DF"/>
    <w:rsid w:val="00B41114"/>
    <w:rsid w:val="00B4145D"/>
    <w:rsid w:val="00B429C5"/>
    <w:rsid w:val="00B43301"/>
    <w:rsid w:val="00B458E8"/>
    <w:rsid w:val="00B4715E"/>
    <w:rsid w:val="00B503E4"/>
    <w:rsid w:val="00B51275"/>
    <w:rsid w:val="00B53481"/>
    <w:rsid w:val="00B53AC9"/>
    <w:rsid w:val="00B53C68"/>
    <w:rsid w:val="00B54609"/>
    <w:rsid w:val="00B546D1"/>
    <w:rsid w:val="00B553C2"/>
    <w:rsid w:val="00B57D7A"/>
    <w:rsid w:val="00B61613"/>
    <w:rsid w:val="00B639F9"/>
    <w:rsid w:val="00B64B03"/>
    <w:rsid w:val="00B65A0A"/>
    <w:rsid w:val="00B65D99"/>
    <w:rsid w:val="00B660DF"/>
    <w:rsid w:val="00B665BC"/>
    <w:rsid w:val="00B67E16"/>
    <w:rsid w:val="00B67F5A"/>
    <w:rsid w:val="00B71FCE"/>
    <w:rsid w:val="00B810AB"/>
    <w:rsid w:val="00B82679"/>
    <w:rsid w:val="00B82BDF"/>
    <w:rsid w:val="00B84FDC"/>
    <w:rsid w:val="00B86C0C"/>
    <w:rsid w:val="00B87026"/>
    <w:rsid w:val="00B87444"/>
    <w:rsid w:val="00B87579"/>
    <w:rsid w:val="00B87614"/>
    <w:rsid w:val="00B879D1"/>
    <w:rsid w:val="00B87E4C"/>
    <w:rsid w:val="00B90725"/>
    <w:rsid w:val="00B90919"/>
    <w:rsid w:val="00B90E18"/>
    <w:rsid w:val="00B91649"/>
    <w:rsid w:val="00B91787"/>
    <w:rsid w:val="00B925E7"/>
    <w:rsid w:val="00B94F08"/>
    <w:rsid w:val="00B966F0"/>
    <w:rsid w:val="00B96F3E"/>
    <w:rsid w:val="00BA0AD8"/>
    <w:rsid w:val="00BA0CFA"/>
    <w:rsid w:val="00BA196C"/>
    <w:rsid w:val="00BA1D94"/>
    <w:rsid w:val="00BA1E06"/>
    <w:rsid w:val="00BA23A2"/>
    <w:rsid w:val="00BA2511"/>
    <w:rsid w:val="00BA4916"/>
    <w:rsid w:val="00BA4BC6"/>
    <w:rsid w:val="00BA66C5"/>
    <w:rsid w:val="00BA7357"/>
    <w:rsid w:val="00BA7815"/>
    <w:rsid w:val="00BB0DBC"/>
    <w:rsid w:val="00BB2966"/>
    <w:rsid w:val="00BB2BD6"/>
    <w:rsid w:val="00BB3939"/>
    <w:rsid w:val="00BC25A1"/>
    <w:rsid w:val="00BC2DB6"/>
    <w:rsid w:val="00BC4806"/>
    <w:rsid w:val="00BC4859"/>
    <w:rsid w:val="00BC4E8E"/>
    <w:rsid w:val="00BC7F24"/>
    <w:rsid w:val="00BD08D7"/>
    <w:rsid w:val="00BD1F69"/>
    <w:rsid w:val="00BD4985"/>
    <w:rsid w:val="00BD678E"/>
    <w:rsid w:val="00BD7E69"/>
    <w:rsid w:val="00BE2117"/>
    <w:rsid w:val="00BE3A29"/>
    <w:rsid w:val="00BE6F94"/>
    <w:rsid w:val="00BF0667"/>
    <w:rsid w:val="00BF106C"/>
    <w:rsid w:val="00BF3A89"/>
    <w:rsid w:val="00BF3D0E"/>
    <w:rsid w:val="00BF3D12"/>
    <w:rsid w:val="00BF5B2B"/>
    <w:rsid w:val="00BF5D8D"/>
    <w:rsid w:val="00BF65BE"/>
    <w:rsid w:val="00BF6CBB"/>
    <w:rsid w:val="00C011DE"/>
    <w:rsid w:val="00C03DA5"/>
    <w:rsid w:val="00C04C28"/>
    <w:rsid w:val="00C0647E"/>
    <w:rsid w:val="00C07E1A"/>
    <w:rsid w:val="00C15C4A"/>
    <w:rsid w:val="00C168CB"/>
    <w:rsid w:val="00C1705A"/>
    <w:rsid w:val="00C20920"/>
    <w:rsid w:val="00C20FB2"/>
    <w:rsid w:val="00C213A0"/>
    <w:rsid w:val="00C218A3"/>
    <w:rsid w:val="00C22180"/>
    <w:rsid w:val="00C226E3"/>
    <w:rsid w:val="00C2406C"/>
    <w:rsid w:val="00C268F4"/>
    <w:rsid w:val="00C271FA"/>
    <w:rsid w:val="00C27F24"/>
    <w:rsid w:val="00C3037A"/>
    <w:rsid w:val="00C3124A"/>
    <w:rsid w:val="00C32F6F"/>
    <w:rsid w:val="00C33A25"/>
    <w:rsid w:val="00C33AD0"/>
    <w:rsid w:val="00C34109"/>
    <w:rsid w:val="00C35003"/>
    <w:rsid w:val="00C36068"/>
    <w:rsid w:val="00C37A18"/>
    <w:rsid w:val="00C41ACC"/>
    <w:rsid w:val="00C41CCF"/>
    <w:rsid w:val="00C41E9F"/>
    <w:rsid w:val="00C4239F"/>
    <w:rsid w:val="00C4242D"/>
    <w:rsid w:val="00C425A6"/>
    <w:rsid w:val="00C43726"/>
    <w:rsid w:val="00C43FEC"/>
    <w:rsid w:val="00C4461F"/>
    <w:rsid w:val="00C44D44"/>
    <w:rsid w:val="00C46311"/>
    <w:rsid w:val="00C50D40"/>
    <w:rsid w:val="00C50E4C"/>
    <w:rsid w:val="00C50EA2"/>
    <w:rsid w:val="00C53465"/>
    <w:rsid w:val="00C559D1"/>
    <w:rsid w:val="00C55BCF"/>
    <w:rsid w:val="00C56C5C"/>
    <w:rsid w:val="00C57005"/>
    <w:rsid w:val="00C573AC"/>
    <w:rsid w:val="00C6339F"/>
    <w:rsid w:val="00C635B9"/>
    <w:rsid w:val="00C63BC1"/>
    <w:rsid w:val="00C63F94"/>
    <w:rsid w:val="00C65C81"/>
    <w:rsid w:val="00C71434"/>
    <w:rsid w:val="00C71B5A"/>
    <w:rsid w:val="00C74044"/>
    <w:rsid w:val="00C7637B"/>
    <w:rsid w:val="00C77ACA"/>
    <w:rsid w:val="00C82361"/>
    <w:rsid w:val="00C826C4"/>
    <w:rsid w:val="00C82797"/>
    <w:rsid w:val="00C85AF1"/>
    <w:rsid w:val="00C85DB6"/>
    <w:rsid w:val="00C872A8"/>
    <w:rsid w:val="00C90F85"/>
    <w:rsid w:val="00C9586D"/>
    <w:rsid w:val="00C9591E"/>
    <w:rsid w:val="00C96B64"/>
    <w:rsid w:val="00CA0335"/>
    <w:rsid w:val="00CA2C6A"/>
    <w:rsid w:val="00CA45DE"/>
    <w:rsid w:val="00CA57D2"/>
    <w:rsid w:val="00CB0F60"/>
    <w:rsid w:val="00CB1D40"/>
    <w:rsid w:val="00CB2F4D"/>
    <w:rsid w:val="00CB4459"/>
    <w:rsid w:val="00CB44C1"/>
    <w:rsid w:val="00CB4506"/>
    <w:rsid w:val="00CB5E27"/>
    <w:rsid w:val="00CB7997"/>
    <w:rsid w:val="00CC15AD"/>
    <w:rsid w:val="00CC4F1C"/>
    <w:rsid w:val="00CC52A1"/>
    <w:rsid w:val="00CC5508"/>
    <w:rsid w:val="00CC7DA8"/>
    <w:rsid w:val="00CD0F0F"/>
    <w:rsid w:val="00CD138C"/>
    <w:rsid w:val="00CD13C1"/>
    <w:rsid w:val="00CD2544"/>
    <w:rsid w:val="00CD64DF"/>
    <w:rsid w:val="00CD6A8B"/>
    <w:rsid w:val="00CD7ED3"/>
    <w:rsid w:val="00CE0D84"/>
    <w:rsid w:val="00CE1959"/>
    <w:rsid w:val="00CE1E23"/>
    <w:rsid w:val="00CE2043"/>
    <w:rsid w:val="00CE50BD"/>
    <w:rsid w:val="00CE6DF2"/>
    <w:rsid w:val="00CE7911"/>
    <w:rsid w:val="00CF09B5"/>
    <w:rsid w:val="00CF2182"/>
    <w:rsid w:val="00CF34EE"/>
    <w:rsid w:val="00CF3DB5"/>
    <w:rsid w:val="00CF431A"/>
    <w:rsid w:val="00CF76FB"/>
    <w:rsid w:val="00D02100"/>
    <w:rsid w:val="00D02182"/>
    <w:rsid w:val="00D024B9"/>
    <w:rsid w:val="00D0344F"/>
    <w:rsid w:val="00D04F8B"/>
    <w:rsid w:val="00D10683"/>
    <w:rsid w:val="00D12CDB"/>
    <w:rsid w:val="00D13E07"/>
    <w:rsid w:val="00D16827"/>
    <w:rsid w:val="00D17A89"/>
    <w:rsid w:val="00D17CB7"/>
    <w:rsid w:val="00D2050F"/>
    <w:rsid w:val="00D213A5"/>
    <w:rsid w:val="00D21BDB"/>
    <w:rsid w:val="00D21D9C"/>
    <w:rsid w:val="00D25760"/>
    <w:rsid w:val="00D25C45"/>
    <w:rsid w:val="00D27D81"/>
    <w:rsid w:val="00D3012D"/>
    <w:rsid w:val="00D31BBC"/>
    <w:rsid w:val="00D32BEA"/>
    <w:rsid w:val="00D34BB9"/>
    <w:rsid w:val="00D35819"/>
    <w:rsid w:val="00D3697A"/>
    <w:rsid w:val="00D37A9A"/>
    <w:rsid w:val="00D40985"/>
    <w:rsid w:val="00D419DB"/>
    <w:rsid w:val="00D43532"/>
    <w:rsid w:val="00D43C0B"/>
    <w:rsid w:val="00D43DA4"/>
    <w:rsid w:val="00D44C69"/>
    <w:rsid w:val="00D464F4"/>
    <w:rsid w:val="00D47148"/>
    <w:rsid w:val="00D50729"/>
    <w:rsid w:val="00D51DBA"/>
    <w:rsid w:val="00D522E9"/>
    <w:rsid w:val="00D543B4"/>
    <w:rsid w:val="00D55707"/>
    <w:rsid w:val="00D55BE0"/>
    <w:rsid w:val="00D55C18"/>
    <w:rsid w:val="00D56C89"/>
    <w:rsid w:val="00D570F5"/>
    <w:rsid w:val="00D60932"/>
    <w:rsid w:val="00D6152D"/>
    <w:rsid w:val="00D62480"/>
    <w:rsid w:val="00D62AC5"/>
    <w:rsid w:val="00D6424B"/>
    <w:rsid w:val="00D648A4"/>
    <w:rsid w:val="00D64C43"/>
    <w:rsid w:val="00D655EE"/>
    <w:rsid w:val="00D667C5"/>
    <w:rsid w:val="00D66802"/>
    <w:rsid w:val="00D66C73"/>
    <w:rsid w:val="00D67BC9"/>
    <w:rsid w:val="00D707A2"/>
    <w:rsid w:val="00D70AB5"/>
    <w:rsid w:val="00D72AB7"/>
    <w:rsid w:val="00D732D5"/>
    <w:rsid w:val="00D7331F"/>
    <w:rsid w:val="00D74C2E"/>
    <w:rsid w:val="00D74E62"/>
    <w:rsid w:val="00D75856"/>
    <w:rsid w:val="00D770ED"/>
    <w:rsid w:val="00D807C9"/>
    <w:rsid w:val="00D80947"/>
    <w:rsid w:val="00D80F54"/>
    <w:rsid w:val="00D80F6F"/>
    <w:rsid w:val="00D81300"/>
    <w:rsid w:val="00D81955"/>
    <w:rsid w:val="00D83267"/>
    <w:rsid w:val="00D83C44"/>
    <w:rsid w:val="00D878A9"/>
    <w:rsid w:val="00D90A96"/>
    <w:rsid w:val="00D9112F"/>
    <w:rsid w:val="00D9169F"/>
    <w:rsid w:val="00D91AA6"/>
    <w:rsid w:val="00D91E94"/>
    <w:rsid w:val="00D924FD"/>
    <w:rsid w:val="00D925EF"/>
    <w:rsid w:val="00D94C6B"/>
    <w:rsid w:val="00D95AAB"/>
    <w:rsid w:val="00D96058"/>
    <w:rsid w:val="00D966B2"/>
    <w:rsid w:val="00D96AD3"/>
    <w:rsid w:val="00D97164"/>
    <w:rsid w:val="00DA054F"/>
    <w:rsid w:val="00DA1AF5"/>
    <w:rsid w:val="00DA26D8"/>
    <w:rsid w:val="00DA2DAB"/>
    <w:rsid w:val="00DA2F74"/>
    <w:rsid w:val="00DA52DD"/>
    <w:rsid w:val="00DA5355"/>
    <w:rsid w:val="00DA5599"/>
    <w:rsid w:val="00DA5CA4"/>
    <w:rsid w:val="00DA67C6"/>
    <w:rsid w:val="00DB0175"/>
    <w:rsid w:val="00DB17D1"/>
    <w:rsid w:val="00DB1F7A"/>
    <w:rsid w:val="00DB2393"/>
    <w:rsid w:val="00DB3739"/>
    <w:rsid w:val="00DB58C4"/>
    <w:rsid w:val="00DB5E93"/>
    <w:rsid w:val="00DB5EBD"/>
    <w:rsid w:val="00DB6238"/>
    <w:rsid w:val="00DB6536"/>
    <w:rsid w:val="00DB7B28"/>
    <w:rsid w:val="00DC03C9"/>
    <w:rsid w:val="00DC13DE"/>
    <w:rsid w:val="00DC18CE"/>
    <w:rsid w:val="00DC3503"/>
    <w:rsid w:val="00DC69DF"/>
    <w:rsid w:val="00DC6AE6"/>
    <w:rsid w:val="00DC6C0F"/>
    <w:rsid w:val="00DD0014"/>
    <w:rsid w:val="00DD00FA"/>
    <w:rsid w:val="00DD0B81"/>
    <w:rsid w:val="00DD14AE"/>
    <w:rsid w:val="00DD2486"/>
    <w:rsid w:val="00DD33E2"/>
    <w:rsid w:val="00DD4DCA"/>
    <w:rsid w:val="00DD52E3"/>
    <w:rsid w:val="00DD5BA7"/>
    <w:rsid w:val="00DE08BB"/>
    <w:rsid w:val="00DE0C3F"/>
    <w:rsid w:val="00DE26D5"/>
    <w:rsid w:val="00DE5193"/>
    <w:rsid w:val="00DE5816"/>
    <w:rsid w:val="00DE6612"/>
    <w:rsid w:val="00DE671C"/>
    <w:rsid w:val="00DE7194"/>
    <w:rsid w:val="00DE721F"/>
    <w:rsid w:val="00DE732D"/>
    <w:rsid w:val="00DF054A"/>
    <w:rsid w:val="00DF0794"/>
    <w:rsid w:val="00DF2F15"/>
    <w:rsid w:val="00DF4D9A"/>
    <w:rsid w:val="00DF50FC"/>
    <w:rsid w:val="00DF66EF"/>
    <w:rsid w:val="00DF6885"/>
    <w:rsid w:val="00E00F58"/>
    <w:rsid w:val="00E01167"/>
    <w:rsid w:val="00E01D73"/>
    <w:rsid w:val="00E01DDD"/>
    <w:rsid w:val="00E02FC6"/>
    <w:rsid w:val="00E03BC9"/>
    <w:rsid w:val="00E03D3A"/>
    <w:rsid w:val="00E05979"/>
    <w:rsid w:val="00E05CC6"/>
    <w:rsid w:val="00E06C50"/>
    <w:rsid w:val="00E070FA"/>
    <w:rsid w:val="00E12986"/>
    <w:rsid w:val="00E131DF"/>
    <w:rsid w:val="00E147E4"/>
    <w:rsid w:val="00E16416"/>
    <w:rsid w:val="00E20807"/>
    <w:rsid w:val="00E20908"/>
    <w:rsid w:val="00E21A63"/>
    <w:rsid w:val="00E22182"/>
    <w:rsid w:val="00E235CD"/>
    <w:rsid w:val="00E23683"/>
    <w:rsid w:val="00E25C1C"/>
    <w:rsid w:val="00E25EA2"/>
    <w:rsid w:val="00E2769A"/>
    <w:rsid w:val="00E327CB"/>
    <w:rsid w:val="00E33056"/>
    <w:rsid w:val="00E340A3"/>
    <w:rsid w:val="00E344F0"/>
    <w:rsid w:val="00E34FB2"/>
    <w:rsid w:val="00E376F6"/>
    <w:rsid w:val="00E4012E"/>
    <w:rsid w:val="00E42EED"/>
    <w:rsid w:val="00E43054"/>
    <w:rsid w:val="00E43210"/>
    <w:rsid w:val="00E433E4"/>
    <w:rsid w:val="00E43AC9"/>
    <w:rsid w:val="00E43AF9"/>
    <w:rsid w:val="00E43D55"/>
    <w:rsid w:val="00E4439C"/>
    <w:rsid w:val="00E45D5A"/>
    <w:rsid w:val="00E46827"/>
    <w:rsid w:val="00E46F63"/>
    <w:rsid w:val="00E4789A"/>
    <w:rsid w:val="00E47D46"/>
    <w:rsid w:val="00E502D3"/>
    <w:rsid w:val="00E50BE2"/>
    <w:rsid w:val="00E51F3C"/>
    <w:rsid w:val="00E520C2"/>
    <w:rsid w:val="00E524CC"/>
    <w:rsid w:val="00E527A4"/>
    <w:rsid w:val="00E52CF9"/>
    <w:rsid w:val="00E53157"/>
    <w:rsid w:val="00E540E0"/>
    <w:rsid w:val="00E55EEE"/>
    <w:rsid w:val="00E55F25"/>
    <w:rsid w:val="00E562E5"/>
    <w:rsid w:val="00E56E8B"/>
    <w:rsid w:val="00E574FD"/>
    <w:rsid w:val="00E601B0"/>
    <w:rsid w:val="00E60521"/>
    <w:rsid w:val="00E61920"/>
    <w:rsid w:val="00E61B90"/>
    <w:rsid w:val="00E62C7E"/>
    <w:rsid w:val="00E637A6"/>
    <w:rsid w:val="00E637C2"/>
    <w:rsid w:val="00E63A0A"/>
    <w:rsid w:val="00E64CA3"/>
    <w:rsid w:val="00E66D3F"/>
    <w:rsid w:val="00E674C8"/>
    <w:rsid w:val="00E6795F"/>
    <w:rsid w:val="00E67FBF"/>
    <w:rsid w:val="00E70A45"/>
    <w:rsid w:val="00E71DBA"/>
    <w:rsid w:val="00E7303A"/>
    <w:rsid w:val="00E74DD7"/>
    <w:rsid w:val="00E75279"/>
    <w:rsid w:val="00E7753A"/>
    <w:rsid w:val="00E77A3C"/>
    <w:rsid w:val="00E81DAE"/>
    <w:rsid w:val="00E824E2"/>
    <w:rsid w:val="00E84C43"/>
    <w:rsid w:val="00E857D9"/>
    <w:rsid w:val="00E864F1"/>
    <w:rsid w:val="00E87EFC"/>
    <w:rsid w:val="00E87F42"/>
    <w:rsid w:val="00E907A2"/>
    <w:rsid w:val="00E90CF8"/>
    <w:rsid w:val="00E91D88"/>
    <w:rsid w:val="00E921E2"/>
    <w:rsid w:val="00E92DAD"/>
    <w:rsid w:val="00E9314E"/>
    <w:rsid w:val="00E94123"/>
    <w:rsid w:val="00E94A70"/>
    <w:rsid w:val="00E96379"/>
    <w:rsid w:val="00E964A3"/>
    <w:rsid w:val="00E972A0"/>
    <w:rsid w:val="00EA094E"/>
    <w:rsid w:val="00EA1298"/>
    <w:rsid w:val="00EA1C29"/>
    <w:rsid w:val="00EA1E5F"/>
    <w:rsid w:val="00EA2264"/>
    <w:rsid w:val="00EA2E20"/>
    <w:rsid w:val="00EA3885"/>
    <w:rsid w:val="00EA5FDA"/>
    <w:rsid w:val="00EA6694"/>
    <w:rsid w:val="00EA7153"/>
    <w:rsid w:val="00EB0737"/>
    <w:rsid w:val="00EB0DA8"/>
    <w:rsid w:val="00EB2CD9"/>
    <w:rsid w:val="00EB349D"/>
    <w:rsid w:val="00EB3EDC"/>
    <w:rsid w:val="00EB49BE"/>
    <w:rsid w:val="00EB4FC3"/>
    <w:rsid w:val="00EC0125"/>
    <w:rsid w:val="00EC02E4"/>
    <w:rsid w:val="00EC1B49"/>
    <w:rsid w:val="00EC225E"/>
    <w:rsid w:val="00EC23CC"/>
    <w:rsid w:val="00EC31F0"/>
    <w:rsid w:val="00EC4604"/>
    <w:rsid w:val="00EC4DCC"/>
    <w:rsid w:val="00EC4FA0"/>
    <w:rsid w:val="00EC5391"/>
    <w:rsid w:val="00EC5425"/>
    <w:rsid w:val="00EC6904"/>
    <w:rsid w:val="00ED06F0"/>
    <w:rsid w:val="00ED1C7C"/>
    <w:rsid w:val="00ED31DF"/>
    <w:rsid w:val="00ED3678"/>
    <w:rsid w:val="00ED4290"/>
    <w:rsid w:val="00ED6285"/>
    <w:rsid w:val="00ED6C46"/>
    <w:rsid w:val="00ED7589"/>
    <w:rsid w:val="00ED7C05"/>
    <w:rsid w:val="00EE093E"/>
    <w:rsid w:val="00EE1E7E"/>
    <w:rsid w:val="00EE4489"/>
    <w:rsid w:val="00EE5E9E"/>
    <w:rsid w:val="00EE6881"/>
    <w:rsid w:val="00EE6EAB"/>
    <w:rsid w:val="00EE75DE"/>
    <w:rsid w:val="00EF2266"/>
    <w:rsid w:val="00EF2850"/>
    <w:rsid w:val="00EF2D2B"/>
    <w:rsid w:val="00EF4E5F"/>
    <w:rsid w:val="00EF4FAF"/>
    <w:rsid w:val="00F0131F"/>
    <w:rsid w:val="00F01689"/>
    <w:rsid w:val="00F01D68"/>
    <w:rsid w:val="00F03939"/>
    <w:rsid w:val="00F058A2"/>
    <w:rsid w:val="00F066A0"/>
    <w:rsid w:val="00F129D8"/>
    <w:rsid w:val="00F13EE7"/>
    <w:rsid w:val="00F15DC2"/>
    <w:rsid w:val="00F206B1"/>
    <w:rsid w:val="00F21212"/>
    <w:rsid w:val="00F214BC"/>
    <w:rsid w:val="00F21857"/>
    <w:rsid w:val="00F2280C"/>
    <w:rsid w:val="00F25632"/>
    <w:rsid w:val="00F25FAB"/>
    <w:rsid w:val="00F2629A"/>
    <w:rsid w:val="00F27C99"/>
    <w:rsid w:val="00F30D46"/>
    <w:rsid w:val="00F32E0A"/>
    <w:rsid w:val="00F339EC"/>
    <w:rsid w:val="00F34CB1"/>
    <w:rsid w:val="00F34F07"/>
    <w:rsid w:val="00F367DC"/>
    <w:rsid w:val="00F36DF0"/>
    <w:rsid w:val="00F36F9C"/>
    <w:rsid w:val="00F40771"/>
    <w:rsid w:val="00F41968"/>
    <w:rsid w:val="00F43514"/>
    <w:rsid w:val="00F43A3F"/>
    <w:rsid w:val="00F4608E"/>
    <w:rsid w:val="00F46A5C"/>
    <w:rsid w:val="00F46CD7"/>
    <w:rsid w:val="00F47289"/>
    <w:rsid w:val="00F47296"/>
    <w:rsid w:val="00F54BF1"/>
    <w:rsid w:val="00F55EBB"/>
    <w:rsid w:val="00F5649F"/>
    <w:rsid w:val="00F574A6"/>
    <w:rsid w:val="00F57CA0"/>
    <w:rsid w:val="00F61DE4"/>
    <w:rsid w:val="00F643F4"/>
    <w:rsid w:val="00F64B01"/>
    <w:rsid w:val="00F65C02"/>
    <w:rsid w:val="00F65E55"/>
    <w:rsid w:val="00F67E5A"/>
    <w:rsid w:val="00F706F0"/>
    <w:rsid w:val="00F712BE"/>
    <w:rsid w:val="00F7500D"/>
    <w:rsid w:val="00F757AD"/>
    <w:rsid w:val="00F768A3"/>
    <w:rsid w:val="00F77537"/>
    <w:rsid w:val="00F82820"/>
    <w:rsid w:val="00F82B81"/>
    <w:rsid w:val="00F82D67"/>
    <w:rsid w:val="00F83F3C"/>
    <w:rsid w:val="00F8474A"/>
    <w:rsid w:val="00F847CC"/>
    <w:rsid w:val="00F84B1A"/>
    <w:rsid w:val="00F87787"/>
    <w:rsid w:val="00F91BCE"/>
    <w:rsid w:val="00F91C7B"/>
    <w:rsid w:val="00F94709"/>
    <w:rsid w:val="00F9592D"/>
    <w:rsid w:val="00F97D8E"/>
    <w:rsid w:val="00FA1F98"/>
    <w:rsid w:val="00FA3438"/>
    <w:rsid w:val="00FA35F9"/>
    <w:rsid w:val="00FA3B0A"/>
    <w:rsid w:val="00FA4C91"/>
    <w:rsid w:val="00FA55C2"/>
    <w:rsid w:val="00FA5C0E"/>
    <w:rsid w:val="00FA6B47"/>
    <w:rsid w:val="00FA6E39"/>
    <w:rsid w:val="00FA6F4F"/>
    <w:rsid w:val="00FA778A"/>
    <w:rsid w:val="00FB0899"/>
    <w:rsid w:val="00FB1311"/>
    <w:rsid w:val="00FB19A5"/>
    <w:rsid w:val="00FB3C7F"/>
    <w:rsid w:val="00FB49F3"/>
    <w:rsid w:val="00FB5811"/>
    <w:rsid w:val="00FC03AE"/>
    <w:rsid w:val="00FC09EE"/>
    <w:rsid w:val="00FC1984"/>
    <w:rsid w:val="00FC1DB4"/>
    <w:rsid w:val="00FC1F97"/>
    <w:rsid w:val="00FC2496"/>
    <w:rsid w:val="00FC3077"/>
    <w:rsid w:val="00FC334D"/>
    <w:rsid w:val="00FC4E69"/>
    <w:rsid w:val="00FC560F"/>
    <w:rsid w:val="00FC6553"/>
    <w:rsid w:val="00FC7DE8"/>
    <w:rsid w:val="00FD09A5"/>
    <w:rsid w:val="00FD1898"/>
    <w:rsid w:val="00FD3E17"/>
    <w:rsid w:val="00FD4EDC"/>
    <w:rsid w:val="00FD53AC"/>
    <w:rsid w:val="00FD6D95"/>
    <w:rsid w:val="00FD6E7F"/>
    <w:rsid w:val="00FD7400"/>
    <w:rsid w:val="00FD760A"/>
    <w:rsid w:val="00FD7755"/>
    <w:rsid w:val="00FE009B"/>
    <w:rsid w:val="00FE0186"/>
    <w:rsid w:val="00FE0E44"/>
    <w:rsid w:val="00FE0EE7"/>
    <w:rsid w:val="00FE1AAF"/>
    <w:rsid w:val="00FE3315"/>
    <w:rsid w:val="00FE452E"/>
    <w:rsid w:val="00FE5D21"/>
    <w:rsid w:val="00FE76A1"/>
    <w:rsid w:val="00FF2142"/>
    <w:rsid w:val="00FF4224"/>
    <w:rsid w:val="00FF4724"/>
    <w:rsid w:val="00FF64B1"/>
    <w:rsid w:val="00FF7765"/>
    <w:rsid w:val="014C0D26"/>
    <w:rsid w:val="017707C1"/>
    <w:rsid w:val="02253D19"/>
    <w:rsid w:val="040953CF"/>
    <w:rsid w:val="04FF49BC"/>
    <w:rsid w:val="06403160"/>
    <w:rsid w:val="06A61A5C"/>
    <w:rsid w:val="09C65F6B"/>
    <w:rsid w:val="0BD45552"/>
    <w:rsid w:val="0BD5345B"/>
    <w:rsid w:val="0DF60C1B"/>
    <w:rsid w:val="105E1DCA"/>
    <w:rsid w:val="11916802"/>
    <w:rsid w:val="11BD6376"/>
    <w:rsid w:val="11EA3C69"/>
    <w:rsid w:val="11EE7F5C"/>
    <w:rsid w:val="12FD7023"/>
    <w:rsid w:val="13765CAF"/>
    <w:rsid w:val="13E860FD"/>
    <w:rsid w:val="152109DD"/>
    <w:rsid w:val="15235E62"/>
    <w:rsid w:val="15B40F10"/>
    <w:rsid w:val="16610FE9"/>
    <w:rsid w:val="17FB0961"/>
    <w:rsid w:val="1810596D"/>
    <w:rsid w:val="18757870"/>
    <w:rsid w:val="19332075"/>
    <w:rsid w:val="1AE27C19"/>
    <w:rsid w:val="1B5737FE"/>
    <w:rsid w:val="1CA5486C"/>
    <w:rsid w:val="1D0A1BBF"/>
    <w:rsid w:val="1D360ABE"/>
    <w:rsid w:val="1D4D24F3"/>
    <w:rsid w:val="1D977017"/>
    <w:rsid w:val="1E315139"/>
    <w:rsid w:val="1E344206"/>
    <w:rsid w:val="1E5B441F"/>
    <w:rsid w:val="1EE6381A"/>
    <w:rsid w:val="1EF60EAE"/>
    <w:rsid w:val="20332B82"/>
    <w:rsid w:val="20675C0C"/>
    <w:rsid w:val="208E00C6"/>
    <w:rsid w:val="20D90F82"/>
    <w:rsid w:val="20E93F65"/>
    <w:rsid w:val="21DC778C"/>
    <w:rsid w:val="229E0D7F"/>
    <w:rsid w:val="22C97354"/>
    <w:rsid w:val="24553483"/>
    <w:rsid w:val="246845D8"/>
    <w:rsid w:val="24E32A79"/>
    <w:rsid w:val="250A0E7E"/>
    <w:rsid w:val="253F4667"/>
    <w:rsid w:val="25C5013E"/>
    <w:rsid w:val="28C330DB"/>
    <w:rsid w:val="2A375C92"/>
    <w:rsid w:val="2C21558E"/>
    <w:rsid w:val="2C2B0325"/>
    <w:rsid w:val="2C716E57"/>
    <w:rsid w:val="2D437644"/>
    <w:rsid w:val="2E6469D8"/>
    <w:rsid w:val="2EF36989"/>
    <w:rsid w:val="2FFE110D"/>
    <w:rsid w:val="313F5DD4"/>
    <w:rsid w:val="315522B2"/>
    <w:rsid w:val="31BB1407"/>
    <w:rsid w:val="32EF070B"/>
    <w:rsid w:val="32F6688C"/>
    <w:rsid w:val="330E785B"/>
    <w:rsid w:val="33BE266F"/>
    <w:rsid w:val="344920B0"/>
    <w:rsid w:val="363C33EB"/>
    <w:rsid w:val="369E0ABB"/>
    <w:rsid w:val="36A77C9A"/>
    <w:rsid w:val="384D2ABA"/>
    <w:rsid w:val="3FD11958"/>
    <w:rsid w:val="41E20F2A"/>
    <w:rsid w:val="439D04A4"/>
    <w:rsid w:val="4509781F"/>
    <w:rsid w:val="4587482D"/>
    <w:rsid w:val="458A3EF4"/>
    <w:rsid w:val="45B86513"/>
    <w:rsid w:val="462C207A"/>
    <w:rsid w:val="465224A8"/>
    <w:rsid w:val="478E4E7B"/>
    <w:rsid w:val="47C21CEE"/>
    <w:rsid w:val="48092B6E"/>
    <w:rsid w:val="488C32A4"/>
    <w:rsid w:val="48B848E1"/>
    <w:rsid w:val="48F177F8"/>
    <w:rsid w:val="4D420E97"/>
    <w:rsid w:val="4F042C61"/>
    <w:rsid w:val="4F2D3EE8"/>
    <w:rsid w:val="4F3E537F"/>
    <w:rsid w:val="4FF36B2E"/>
    <w:rsid w:val="503669C9"/>
    <w:rsid w:val="506F6A76"/>
    <w:rsid w:val="5416738C"/>
    <w:rsid w:val="54217009"/>
    <w:rsid w:val="54391638"/>
    <w:rsid w:val="549D1655"/>
    <w:rsid w:val="549D6702"/>
    <w:rsid w:val="54A656ED"/>
    <w:rsid w:val="554E4A4B"/>
    <w:rsid w:val="55FD0EF2"/>
    <w:rsid w:val="56201D44"/>
    <w:rsid w:val="569E64AA"/>
    <w:rsid w:val="57470700"/>
    <w:rsid w:val="5922534C"/>
    <w:rsid w:val="5A036AA5"/>
    <w:rsid w:val="5C6B4FB0"/>
    <w:rsid w:val="5CA63145"/>
    <w:rsid w:val="5DBE1C7D"/>
    <w:rsid w:val="5E567C2E"/>
    <w:rsid w:val="5ED660A9"/>
    <w:rsid w:val="5F1E5F5C"/>
    <w:rsid w:val="60A52CFD"/>
    <w:rsid w:val="61A70B20"/>
    <w:rsid w:val="63C37BF4"/>
    <w:rsid w:val="64A458D4"/>
    <w:rsid w:val="667D5045"/>
    <w:rsid w:val="66F174BB"/>
    <w:rsid w:val="68EA1E54"/>
    <w:rsid w:val="69055945"/>
    <w:rsid w:val="691F4FA3"/>
    <w:rsid w:val="6A7B1567"/>
    <w:rsid w:val="6AFE17D2"/>
    <w:rsid w:val="6B186F90"/>
    <w:rsid w:val="6B834E0F"/>
    <w:rsid w:val="6BD31CC2"/>
    <w:rsid w:val="6BDB1969"/>
    <w:rsid w:val="6C831B48"/>
    <w:rsid w:val="6CF11B8B"/>
    <w:rsid w:val="6D3A0911"/>
    <w:rsid w:val="6D45609D"/>
    <w:rsid w:val="6DE210EC"/>
    <w:rsid w:val="6E9D7522"/>
    <w:rsid w:val="6EAE7507"/>
    <w:rsid w:val="6F662416"/>
    <w:rsid w:val="70844422"/>
    <w:rsid w:val="711315BD"/>
    <w:rsid w:val="720A6E64"/>
    <w:rsid w:val="72314284"/>
    <w:rsid w:val="73793574"/>
    <w:rsid w:val="755E4D6D"/>
    <w:rsid w:val="75B16735"/>
    <w:rsid w:val="75F66428"/>
    <w:rsid w:val="76FF7F5A"/>
    <w:rsid w:val="77AD699C"/>
    <w:rsid w:val="77FE4FA1"/>
    <w:rsid w:val="78CC2BEE"/>
    <w:rsid w:val="7A442B19"/>
    <w:rsid w:val="7B0973B2"/>
    <w:rsid w:val="7CFB3706"/>
    <w:rsid w:val="7DF85392"/>
    <w:rsid w:val="7F445F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1"/>
    <w:qFormat/>
    <w:uiPriority w:val="0"/>
    <w:pPr>
      <w:keepNext/>
      <w:keepLines/>
      <w:spacing w:before="340" w:after="330"/>
      <w:jc w:val="center"/>
      <w:outlineLvl w:val="0"/>
    </w:pPr>
    <w:rPr>
      <w:rFonts w:eastAsia="华文中宋"/>
      <w:b/>
      <w:bCs/>
      <w:kern w:val="44"/>
      <w:sz w:val="44"/>
      <w:szCs w:val="44"/>
    </w:rPr>
  </w:style>
  <w:style w:type="paragraph" w:styleId="3">
    <w:name w:val="heading 2"/>
    <w:basedOn w:val="1"/>
    <w:next w:val="4"/>
    <w:link w:val="52"/>
    <w:qFormat/>
    <w:uiPriority w:val="0"/>
    <w:pPr>
      <w:keepNext/>
      <w:keepLines/>
      <w:spacing w:before="260" w:after="260" w:line="240" w:lineRule="auto"/>
      <w:jc w:val="left"/>
      <w:outlineLvl w:val="1"/>
    </w:pPr>
    <w:rPr>
      <w:rFonts w:ascii="华文中宋" w:hAnsi="华文中宋" w:eastAsia="华文中宋"/>
      <w:b/>
      <w:bCs/>
      <w:kern w:val="0"/>
      <w:sz w:val="32"/>
      <w:szCs w:val="32"/>
    </w:rPr>
  </w:style>
  <w:style w:type="paragraph" w:styleId="5">
    <w:name w:val="heading 3"/>
    <w:basedOn w:val="1"/>
    <w:next w:val="1"/>
    <w:link w:val="54"/>
    <w:qFormat/>
    <w:uiPriority w:val="0"/>
    <w:pPr>
      <w:keepNext/>
      <w:keepLines/>
      <w:spacing w:before="240" w:after="240" w:line="240" w:lineRule="auto"/>
      <w:jc w:val="left"/>
      <w:outlineLvl w:val="2"/>
    </w:pPr>
    <w:rPr>
      <w:rFonts w:ascii="华文中宋" w:hAnsi="华文中宋" w:eastAsia="华文中宋"/>
      <w:b/>
      <w:bCs/>
      <w:w w:val="90"/>
      <w:kern w:val="0"/>
      <w:sz w:val="28"/>
    </w:rPr>
  </w:style>
  <w:style w:type="paragraph" w:styleId="6">
    <w:name w:val="heading 4"/>
    <w:basedOn w:val="1"/>
    <w:next w:val="1"/>
    <w:link w:val="55"/>
    <w:qFormat/>
    <w:uiPriority w:val="9"/>
    <w:pPr>
      <w:keepNext/>
      <w:keepLines/>
      <w:spacing w:before="160" w:after="170" w:line="240" w:lineRule="auto"/>
      <w:jc w:val="left"/>
      <w:outlineLvl w:val="3"/>
    </w:pPr>
    <w:rPr>
      <w:rFonts w:ascii="华文中宋" w:hAnsi="华文中宋" w:eastAsia="华文中宋"/>
      <w:b/>
      <w:bCs/>
      <w:color w:val="000000"/>
      <w:sz w:val="24"/>
      <w:szCs w:val="28"/>
    </w:rPr>
  </w:style>
  <w:style w:type="paragraph" w:styleId="7">
    <w:name w:val="heading 5"/>
    <w:basedOn w:val="1"/>
    <w:next w:val="1"/>
    <w:link w:val="56"/>
    <w:qFormat/>
    <w:uiPriority w:val="9"/>
    <w:pPr>
      <w:keepNext/>
      <w:keepLines/>
      <w:spacing w:before="120" w:after="120"/>
      <w:jc w:val="left"/>
      <w:outlineLvl w:val="4"/>
    </w:pPr>
    <w:rPr>
      <w:rFonts w:ascii="华文中宋" w:hAnsi="华文中宋" w:eastAsia="华文中宋"/>
      <w:b/>
      <w:bCs/>
      <w:kern w:val="0"/>
      <w:sz w:val="28"/>
      <w:szCs w:val="28"/>
    </w:rPr>
  </w:style>
  <w:style w:type="paragraph" w:styleId="8">
    <w:name w:val="heading 8"/>
    <w:basedOn w:val="1"/>
    <w:next w:val="1"/>
    <w:link w:val="57"/>
    <w:qFormat/>
    <w:uiPriority w:val="0"/>
    <w:pPr>
      <w:keepNext/>
      <w:jc w:val="center"/>
      <w:outlineLvl w:val="7"/>
    </w:pPr>
    <w:rPr>
      <w:rFonts w:eastAsia="宋体"/>
      <w:b/>
      <w:bCs/>
      <w:color w:val="FFFFFF"/>
      <w:szCs w:val="18"/>
    </w:rPr>
  </w:style>
  <w:style w:type="paragraph" w:styleId="9">
    <w:name w:val="heading 9"/>
    <w:basedOn w:val="1"/>
    <w:next w:val="1"/>
    <w:link w:val="58"/>
    <w:qFormat/>
    <w:uiPriority w:val="0"/>
    <w:pPr>
      <w:keepNext/>
      <w:outlineLvl w:val="8"/>
    </w:pPr>
    <w:rPr>
      <w:rFonts w:ascii="Arial" w:hAnsi="Arial" w:eastAsia="宋体"/>
      <w:b/>
      <w:bCs/>
      <w:color w:val="000000"/>
      <w:sz w:val="15"/>
      <w:szCs w:val="26"/>
    </w:rPr>
  </w:style>
  <w:style w:type="character" w:default="1" w:styleId="42">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4">
    <w:name w:val="Normal Indent"/>
    <w:basedOn w:val="1"/>
    <w:link w:val="53"/>
    <w:qFormat/>
    <w:uiPriority w:val="99"/>
    <w:pPr>
      <w:ind w:firstLine="420" w:firstLineChars="200"/>
    </w:pPr>
    <w:rPr>
      <w:rFonts w:eastAsia="宋体"/>
      <w:szCs w:val="20"/>
    </w:rPr>
  </w:style>
  <w:style w:type="paragraph" w:styleId="10">
    <w:name w:val="toc 7"/>
    <w:basedOn w:val="1"/>
    <w:next w:val="1"/>
    <w:unhideWhenUsed/>
    <w:qFormat/>
    <w:uiPriority w:val="0"/>
    <w:pPr>
      <w:ind w:left="1260"/>
      <w:jc w:val="left"/>
    </w:pPr>
    <w:rPr>
      <w:rFonts w:ascii="Calibri" w:hAnsi="Calibri" w:cs="Calibri"/>
      <w:sz w:val="18"/>
      <w:szCs w:val="18"/>
    </w:rPr>
  </w:style>
  <w:style w:type="paragraph" w:styleId="11">
    <w:name w:val="List Number"/>
    <w:basedOn w:val="1"/>
    <w:unhideWhenUsed/>
    <w:qFormat/>
    <w:uiPriority w:val="99"/>
    <w:pPr>
      <w:numPr>
        <w:ilvl w:val="0"/>
        <w:numId w:val="1"/>
      </w:numPr>
    </w:pPr>
  </w:style>
  <w:style w:type="paragraph" w:styleId="12">
    <w:name w:val="Document Map"/>
    <w:basedOn w:val="1"/>
    <w:link w:val="59"/>
    <w:unhideWhenUsed/>
    <w:qFormat/>
    <w:uiPriority w:val="0"/>
    <w:rPr>
      <w:rFonts w:ascii="宋体" w:eastAsia="宋体"/>
      <w:sz w:val="18"/>
      <w:szCs w:val="18"/>
    </w:rPr>
  </w:style>
  <w:style w:type="paragraph" w:styleId="13">
    <w:name w:val="annotation text"/>
    <w:basedOn w:val="1"/>
    <w:link w:val="60"/>
    <w:unhideWhenUsed/>
    <w:qFormat/>
    <w:uiPriority w:val="99"/>
    <w:pPr>
      <w:jc w:val="left"/>
    </w:pPr>
    <w:rPr>
      <w:rFonts w:eastAsia="宋体"/>
    </w:rPr>
  </w:style>
  <w:style w:type="paragraph" w:styleId="14">
    <w:name w:val="Body Text"/>
    <w:basedOn w:val="1"/>
    <w:next w:val="15"/>
    <w:link w:val="50"/>
    <w:qFormat/>
    <w:uiPriority w:val="0"/>
    <w:pPr>
      <w:adjustRightInd w:val="0"/>
      <w:spacing w:line="315" w:lineRule="atLeast"/>
      <w:jc w:val="left"/>
    </w:pPr>
    <w:rPr>
      <w:rFonts w:ascii="仿宋_GB2312" w:eastAsia="仿宋_GB2312"/>
      <w:kern w:val="0"/>
      <w:sz w:val="28"/>
      <w:szCs w:val="20"/>
    </w:rPr>
  </w:style>
  <w:style w:type="paragraph" w:styleId="15">
    <w:name w:val="Body Text First Indent"/>
    <w:basedOn w:val="14"/>
    <w:next w:val="16"/>
    <w:qFormat/>
    <w:uiPriority w:val="0"/>
    <w:pPr>
      <w:ind w:firstLine="420" w:firstLineChars="100"/>
    </w:pPr>
    <w:rPr>
      <w:rFonts w:ascii="Calibri" w:hAnsi="Calibri"/>
      <w:szCs w:val="24"/>
    </w:rPr>
  </w:style>
  <w:style w:type="paragraph" w:styleId="16">
    <w:name w:val="toc 6"/>
    <w:basedOn w:val="1"/>
    <w:next w:val="1"/>
    <w:unhideWhenUsed/>
    <w:qFormat/>
    <w:uiPriority w:val="0"/>
    <w:pPr>
      <w:ind w:left="1050"/>
      <w:jc w:val="left"/>
    </w:pPr>
    <w:rPr>
      <w:rFonts w:ascii="Calibri" w:hAnsi="Calibri" w:cs="Calibri"/>
      <w:sz w:val="18"/>
      <w:szCs w:val="18"/>
    </w:rPr>
  </w:style>
  <w:style w:type="paragraph" w:styleId="17">
    <w:name w:val="Body Text Indent"/>
    <w:basedOn w:val="1"/>
    <w:next w:val="18"/>
    <w:link w:val="61"/>
    <w:qFormat/>
    <w:uiPriority w:val="0"/>
    <w:pPr>
      <w:spacing w:before="120" w:after="120" w:line="360" w:lineRule="auto"/>
      <w:ind w:left="420" w:leftChars="200"/>
    </w:pPr>
    <w:rPr>
      <w:rFonts w:eastAsia="宋体"/>
      <w:sz w:val="24"/>
      <w:szCs w:val="20"/>
    </w:rPr>
  </w:style>
  <w:style w:type="paragraph" w:styleId="18">
    <w:name w:val="Body Text First Indent 2"/>
    <w:basedOn w:val="17"/>
    <w:unhideWhenUsed/>
    <w:qFormat/>
    <w:uiPriority w:val="99"/>
    <w:pPr>
      <w:ind w:firstLine="420" w:firstLineChars="200"/>
    </w:pPr>
  </w:style>
  <w:style w:type="paragraph" w:styleId="19">
    <w:name w:val="List 2"/>
    <w:basedOn w:val="1"/>
    <w:unhideWhenUsed/>
    <w:qFormat/>
    <w:uiPriority w:val="99"/>
    <w:pPr>
      <w:ind w:left="100" w:leftChars="200" w:hanging="200" w:hangingChars="200"/>
      <w:contextualSpacing/>
    </w:pPr>
  </w:style>
  <w:style w:type="paragraph" w:styleId="20">
    <w:name w:val="toc 5"/>
    <w:basedOn w:val="1"/>
    <w:next w:val="1"/>
    <w:unhideWhenUsed/>
    <w:qFormat/>
    <w:uiPriority w:val="0"/>
    <w:pPr>
      <w:ind w:left="840"/>
      <w:jc w:val="left"/>
    </w:pPr>
    <w:rPr>
      <w:rFonts w:ascii="Calibri" w:hAnsi="Calibri" w:cs="Calibri"/>
      <w:sz w:val="18"/>
      <w:szCs w:val="18"/>
    </w:rPr>
  </w:style>
  <w:style w:type="paragraph" w:styleId="21">
    <w:name w:val="toc 3"/>
    <w:basedOn w:val="1"/>
    <w:next w:val="1"/>
    <w:unhideWhenUsed/>
    <w:qFormat/>
    <w:uiPriority w:val="39"/>
    <w:pPr>
      <w:ind w:left="420"/>
      <w:jc w:val="left"/>
    </w:pPr>
    <w:rPr>
      <w:rFonts w:ascii="Calibri" w:hAnsi="Calibri" w:cs="Calibri"/>
      <w:i/>
      <w:iCs/>
      <w:sz w:val="20"/>
      <w:szCs w:val="20"/>
    </w:rPr>
  </w:style>
  <w:style w:type="paragraph" w:styleId="22">
    <w:name w:val="Plain Text"/>
    <w:basedOn w:val="1"/>
    <w:link w:val="62"/>
    <w:unhideWhenUsed/>
    <w:qFormat/>
    <w:uiPriority w:val="0"/>
    <w:rPr>
      <w:rFonts w:ascii="宋体" w:hAnsi="Courier New" w:eastAsia="宋体"/>
      <w:szCs w:val="20"/>
    </w:rPr>
  </w:style>
  <w:style w:type="paragraph" w:styleId="23">
    <w:name w:val="List Number 4"/>
    <w:basedOn w:val="1"/>
    <w:qFormat/>
    <w:uiPriority w:val="0"/>
    <w:pPr>
      <w:numPr>
        <w:ilvl w:val="0"/>
        <w:numId w:val="2"/>
      </w:numPr>
      <w:tabs>
        <w:tab w:val="left" w:pos="840"/>
        <w:tab w:val="clear" w:pos="1620"/>
      </w:tabs>
      <w:autoSpaceDE w:val="0"/>
      <w:autoSpaceDN w:val="0"/>
      <w:adjustRightInd w:val="0"/>
      <w:spacing w:line="360" w:lineRule="atLeast"/>
      <w:ind w:left="840" w:leftChars="0" w:hanging="420" w:firstLineChars="0"/>
    </w:pPr>
    <w:rPr>
      <w:kern w:val="0"/>
      <w:sz w:val="24"/>
    </w:rPr>
  </w:style>
  <w:style w:type="paragraph" w:styleId="24">
    <w:name w:val="toc 8"/>
    <w:basedOn w:val="1"/>
    <w:next w:val="1"/>
    <w:unhideWhenUsed/>
    <w:qFormat/>
    <w:uiPriority w:val="0"/>
    <w:pPr>
      <w:ind w:left="1470"/>
      <w:jc w:val="left"/>
    </w:pPr>
    <w:rPr>
      <w:rFonts w:ascii="Calibri" w:hAnsi="Calibri" w:cs="Calibri"/>
      <w:sz w:val="18"/>
      <w:szCs w:val="18"/>
    </w:rPr>
  </w:style>
  <w:style w:type="paragraph" w:styleId="25">
    <w:name w:val="Date"/>
    <w:basedOn w:val="1"/>
    <w:next w:val="1"/>
    <w:link w:val="63"/>
    <w:qFormat/>
    <w:uiPriority w:val="0"/>
    <w:pPr>
      <w:ind w:left="100" w:leftChars="2500"/>
    </w:pPr>
    <w:rPr>
      <w:rFonts w:eastAsia="宋体"/>
      <w:kern w:val="0"/>
      <w:sz w:val="20"/>
    </w:rPr>
  </w:style>
  <w:style w:type="paragraph" w:styleId="26">
    <w:name w:val="Body Text Indent 2"/>
    <w:basedOn w:val="1"/>
    <w:link w:val="64"/>
    <w:unhideWhenUsed/>
    <w:qFormat/>
    <w:uiPriority w:val="99"/>
    <w:pPr>
      <w:spacing w:after="120" w:line="480" w:lineRule="auto"/>
      <w:ind w:left="420" w:leftChars="200"/>
    </w:pPr>
    <w:rPr>
      <w:rFonts w:eastAsia="宋体"/>
    </w:rPr>
  </w:style>
  <w:style w:type="paragraph" w:styleId="27">
    <w:name w:val="Balloon Text"/>
    <w:basedOn w:val="1"/>
    <w:link w:val="65"/>
    <w:unhideWhenUsed/>
    <w:qFormat/>
    <w:uiPriority w:val="99"/>
    <w:rPr>
      <w:rFonts w:eastAsia="宋体"/>
      <w:kern w:val="0"/>
      <w:sz w:val="18"/>
      <w:szCs w:val="18"/>
    </w:rPr>
  </w:style>
  <w:style w:type="paragraph" w:styleId="28">
    <w:name w:val="footer"/>
    <w:basedOn w:val="1"/>
    <w:link w:val="66"/>
    <w:qFormat/>
    <w:uiPriority w:val="0"/>
    <w:pPr>
      <w:tabs>
        <w:tab w:val="center" w:pos="4153"/>
        <w:tab w:val="right" w:pos="8306"/>
      </w:tabs>
      <w:snapToGrid w:val="0"/>
      <w:jc w:val="left"/>
    </w:pPr>
    <w:rPr>
      <w:rFonts w:eastAsia="宋体"/>
      <w:kern w:val="0"/>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0">
    <w:name w:val="toc 1"/>
    <w:basedOn w:val="1"/>
    <w:next w:val="1"/>
    <w:qFormat/>
    <w:uiPriority w:val="39"/>
    <w:pPr>
      <w:spacing w:before="120" w:after="120"/>
      <w:jc w:val="left"/>
    </w:pPr>
    <w:rPr>
      <w:rFonts w:ascii="Calibri" w:hAnsi="Calibri" w:cs="Calibri"/>
      <w:b/>
      <w:bCs/>
      <w:caps/>
      <w:sz w:val="20"/>
      <w:szCs w:val="20"/>
    </w:rPr>
  </w:style>
  <w:style w:type="paragraph" w:styleId="31">
    <w:name w:val="toc 4"/>
    <w:basedOn w:val="1"/>
    <w:next w:val="1"/>
    <w:unhideWhenUsed/>
    <w:qFormat/>
    <w:uiPriority w:val="0"/>
    <w:pPr>
      <w:ind w:left="630"/>
      <w:jc w:val="left"/>
    </w:pPr>
    <w:rPr>
      <w:rFonts w:ascii="Calibri" w:hAnsi="Calibri" w:cs="Calibri"/>
      <w:sz w:val="18"/>
      <w:szCs w:val="18"/>
    </w:rPr>
  </w:style>
  <w:style w:type="paragraph" w:styleId="32">
    <w:name w:val="footnote text"/>
    <w:basedOn w:val="1"/>
    <w:link w:val="68"/>
    <w:unhideWhenUsed/>
    <w:qFormat/>
    <w:uiPriority w:val="99"/>
    <w:pPr>
      <w:snapToGrid w:val="0"/>
      <w:spacing w:line="240" w:lineRule="auto"/>
      <w:jc w:val="left"/>
    </w:pPr>
    <w:rPr>
      <w:rFonts w:eastAsia="宋体"/>
      <w:sz w:val="18"/>
      <w:szCs w:val="18"/>
    </w:rPr>
  </w:style>
  <w:style w:type="paragraph" w:styleId="33">
    <w:name w:val="Body Text Indent 3"/>
    <w:basedOn w:val="1"/>
    <w:link w:val="69"/>
    <w:qFormat/>
    <w:uiPriority w:val="0"/>
    <w:pPr>
      <w:autoSpaceDE w:val="0"/>
      <w:autoSpaceDN w:val="0"/>
      <w:adjustRightInd w:val="0"/>
      <w:spacing w:line="480" w:lineRule="exact"/>
      <w:ind w:left="539" w:firstLine="538" w:firstLineChars="224"/>
      <w:outlineLvl w:val="0"/>
    </w:pPr>
    <w:rPr>
      <w:rFonts w:ascii="方正细圆简体" w:eastAsia="方正细圆简体"/>
      <w:sz w:val="24"/>
    </w:rPr>
  </w:style>
  <w:style w:type="paragraph" w:styleId="34">
    <w:name w:val="toc 2"/>
    <w:basedOn w:val="1"/>
    <w:next w:val="1"/>
    <w:unhideWhenUsed/>
    <w:qFormat/>
    <w:uiPriority w:val="39"/>
    <w:pPr>
      <w:tabs>
        <w:tab w:val="right" w:leader="dot" w:pos="8931"/>
      </w:tabs>
      <w:spacing w:line="276" w:lineRule="auto"/>
      <w:ind w:left="851"/>
      <w:jc w:val="left"/>
    </w:pPr>
    <w:rPr>
      <w:rFonts w:ascii="Calibri" w:hAnsi="Calibri" w:cs="Calibri"/>
      <w:smallCaps/>
      <w:sz w:val="20"/>
      <w:szCs w:val="20"/>
    </w:rPr>
  </w:style>
  <w:style w:type="paragraph" w:styleId="35">
    <w:name w:val="toc 9"/>
    <w:basedOn w:val="1"/>
    <w:next w:val="1"/>
    <w:unhideWhenUsed/>
    <w:qFormat/>
    <w:uiPriority w:val="0"/>
    <w:pPr>
      <w:ind w:left="1680"/>
      <w:jc w:val="left"/>
    </w:pPr>
    <w:rPr>
      <w:rFonts w:ascii="Calibri" w:hAnsi="Calibri" w:cs="Calibri"/>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0"/>
    <w:qFormat/>
    <w:uiPriority w:val="0"/>
    <w:pPr>
      <w:spacing w:before="480" w:after="300" w:line="360" w:lineRule="auto"/>
      <w:jc w:val="center"/>
      <w:outlineLvl w:val="0"/>
    </w:pPr>
    <w:rPr>
      <w:rFonts w:ascii="Cambria" w:hAnsi="Cambria" w:eastAsia="华文中宋"/>
      <w:b/>
      <w:bCs/>
      <w:sz w:val="44"/>
      <w:szCs w:val="32"/>
    </w:rPr>
  </w:style>
  <w:style w:type="paragraph" w:styleId="38">
    <w:name w:val="annotation subject"/>
    <w:basedOn w:val="13"/>
    <w:next w:val="13"/>
    <w:link w:val="71"/>
    <w:unhideWhenUsed/>
    <w:qFormat/>
    <w:uiPriority w:val="99"/>
    <w:rPr>
      <w:b/>
      <w:bCs/>
    </w:rPr>
  </w:style>
  <w:style w:type="table" w:styleId="40">
    <w:name w:val="Table Grid"/>
    <w:basedOn w:val="3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22"/>
    <w:rPr>
      <w:b/>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basedOn w:val="42"/>
    <w:qFormat/>
    <w:uiPriority w:val="20"/>
    <w:rPr>
      <w:i/>
      <w:iCs/>
    </w:rPr>
  </w:style>
  <w:style w:type="character" w:styleId="47">
    <w:name w:val="Hyperlink"/>
    <w:basedOn w:val="42"/>
    <w:unhideWhenUsed/>
    <w:qFormat/>
    <w:uiPriority w:val="99"/>
    <w:rPr>
      <w:color w:val="333333"/>
      <w:u w:val="none"/>
    </w:rPr>
  </w:style>
  <w:style w:type="character" w:styleId="48">
    <w:name w:val="annotation reference"/>
    <w:qFormat/>
    <w:uiPriority w:val="99"/>
    <w:rPr>
      <w:sz w:val="21"/>
      <w:szCs w:val="21"/>
    </w:rPr>
  </w:style>
  <w:style w:type="character" w:styleId="49">
    <w:name w:val="footnote reference"/>
    <w:basedOn w:val="42"/>
    <w:unhideWhenUsed/>
    <w:qFormat/>
    <w:uiPriority w:val="99"/>
    <w:rPr>
      <w:vertAlign w:val="superscript"/>
    </w:rPr>
  </w:style>
  <w:style w:type="character" w:customStyle="1" w:styleId="50">
    <w:name w:val="正文文本 Char"/>
    <w:link w:val="14"/>
    <w:qFormat/>
    <w:uiPriority w:val="0"/>
    <w:rPr>
      <w:rFonts w:ascii="仿宋_GB2312" w:hAnsi="Times New Roman" w:eastAsia="仿宋_GB2312" w:cs="Times New Roman"/>
      <w:kern w:val="0"/>
      <w:sz w:val="28"/>
      <w:szCs w:val="20"/>
    </w:rPr>
  </w:style>
  <w:style w:type="character" w:customStyle="1" w:styleId="51">
    <w:name w:val="标题 1 Char"/>
    <w:link w:val="2"/>
    <w:qFormat/>
    <w:uiPriority w:val="0"/>
    <w:rPr>
      <w:rFonts w:ascii="Times New Roman" w:hAnsi="Times New Roman" w:eastAsia="华文中宋"/>
      <w:b/>
      <w:bCs/>
      <w:kern w:val="44"/>
      <w:sz w:val="44"/>
      <w:szCs w:val="44"/>
    </w:rPr>
  </w:style>
  <w:style w:type="character" w:customStyle="1" w:styleId="52">
    <w:name w:val="标题 2 Char"/>
    <w:link w:val="3"/>
    <w:qFormat/>
    <w:uiPriority w:val="0"/>
    <w:rPr>
      <w:rFonts w:ascii="华文中宋" w:hAnsi="华文中宋" w:eastAsia="华文中宋"/>
      <w:b/>
      <w:bCs/>
      <w:sz w:val="32"/>
      <w:szCs w:val="32"/>
    </w:rPr>
  </w:style>
  <w:style w:type="character" w:customStyle="1" w:styleId="53">
    <w:name w:val="正文缩进 Char"/>
    <w:link w:val="4"/>
    <w:qFormat/>
    <w:uiPriority w:val="99"/>
    <w:rPr>
      <w:rFonts w:ascii="Times New Roman" w:hAnsi="Times New Roman"/>
      <w:kern w:val="2"/>
      <w:sz w:val="21"/>
    </w:rPr>
  </w:style>
  <w:style w:type="character" w:customStyle="1" w:styleId="54">
    <w:name w:val="标题 3 Char"/>
    <w:link w:val="5"/>
    <w:qFormat/>
    <w:uiPriority w:val="0"/>
    <w:rPr>
      <w:rFonts w:ascii="华文中宋" w:hAnsi="华文中宋" w:eastAsia="华文中宋"/>
      <w:b/>
      <w:bCs/>
      <w:w w:val="90"/>
      <w:sz w:val="28"/>
      <w:szCs w:val="24"/>
    </w:rPr>
  </w:style>
  <w:style w:type="character" w:customStyle="1" w:styleId="55">
    <w:name w:val="标题 4 Char"/>
    <w:link w:val="6"/>
    <w:qFormat/>
    <w:uiPriority w:val="9"/>
    <w:rPr>
      <w:rFonts w:ascii="华文中宋" w:hAnsi="华文中宋" w:eastAsia="华文中宋"/>
      <w:b/>
      <w:bCs/>
      <w:color w:val="000000"/>
      <w:kern w:val="2"/>
      <w:sz w:val="24"/>
      <w:szCs w:val="28"/>
    </w:rPr>
  </w:style>
  <w:style w:type="character" w:customStyle="1" w:styleId="56">
    <w:name w:val="标题 5 Char"/>
    <w:link w:val="7"/>
    <w:qFormat/>
    <w:uiPriority w:val="9"/>
    <w:rPr>
      <w:rFonts w:ascii="华文中宋" w:hAnsi="华文中宋" w:eastAsia="华文中宋"/>
      <w:b/>
      <w:bCs/>
      <w:sz w:val="28"/>
      <w:szCs w:val="28"/>
    </w:rPr>
  </w:style>
  <w:style w:type="character" w:customStyle="1" w:styleId="57">
    <w:name w:val="标题 8 Char"/>
    <w:link w:val="8"/>
    <w:qFormat/>
    <w:uiPriority w:val="0"/>
    <w:rPr>
      <w:rFonts w:ascii="Times New Roman" w:hAnsi="Times New Roman"/>
      <w:b/>
      <w:bCs/>
      <w:color w:val="FFFFFF"/>
      <w:kern w:val="2"/>
      <w:sz w:val="21"/>
      <w:szCs w:val="18"/>
    </w:rPr>
  </w:style>
  <w:style w:type="character" w:customStyle="1" w:styleId="58">
    <w:name w:val="标题 9 Char"/>
    <w:link w:val="9"/>
    <w:qFormat/>
    <w:uiPriority w:val="0"/>
    <w:rPr>
      <w:rFonts w:ascii="Arial" w:hAnsi="Arial" w:cs="Arial"/>
      <w:b/>
      <w:bCs/>
      <w:color w:val="000000"/>
      <w:kern w:val="2"/>
      <w:sz w:val="15"/>
      <w:szCs w:val="26"/>
    </w:rPr>
  </w:style>
  <w:style w:type="character" w:customStyle="1" w:styleId="59">
    <w:name w:val="文档结构图 Char"/>
    <w:link w:val="12"/>
    <w:qFormat/>
    <w:uiPriority w:val="0"/>
    <w:rPr>
      <w:rFonts w:ascii="宋体" w:hAnsi="Times New Roman"/>
      <w:kern w:val="2"/>
      <w:sz w:val="18"/>
      <w:szCs w:val="18"/>
    </w:rPr>
  </w:style>
  <w:style w:type="character" w:customStyle="1" w:styleId="60">
    <w:name w:val="批注文字 Char"/>
    <w:link w:val="13"/>
    <w:qFormat/>
    <w:uiPriority w:val="99"/>
    <w:rPr>
      <w:rFonts w:ascii="Times New Roman" w:hAnsi="Times New Roman"/>
      <w:kern w:val="2"/>
      <w:sz w:val="21"/>
      <w:szCs w:val="24"/>
    </w:rPr>
  </w:style>
  <w:style w:type="character" w:customStyle="1" w:styleId="61">
    <w:name w:val="正文文本缩进 Char"/>
    <w:link w:val="17"/>
    <w:qFormat/>
    <w:uiPriority w:val="0"/>
    <w:rPr>
      <w:rFonts w:ascii="Times New Roman" w:hAnsi="Times New Roman"/>
      <w:kern w:val="2"/>
      <w:sz w:val="24"/>
    </w:rPr>
  </w:style>
  <w:style w:type="character" w:customStyle="1" w:styleId="62">
    <w:name w:val="纯文本 Char1"/>
    <w:link w:val="22"/>
    <w:semiHidden/>
    <w:qFormat/>
    <w:locked/>
    <w:uiPriority w:val="0"/>
    <w:rPr>
      <w:rFonts w:ascii="宋体" w:hAnsi="Courier New"/>
      <w:kern w:val="2"/>
      <w:sz w:val="21"/>
    </w:rPr>
  </w:style>
  <w:style w:type="character" w:customStyle="1" w:styleId="63">
    <w:name w:val="日期 Char"/>
    <w:link w:val="25"/>
    <w:qFormat/>
    <w:uiPriority w:val="0"/>
    <w:rPr>
      <w:rFonts w:ascii="Times New Roman" w:hAnsi="Times New Roman" w:eastAsia="宋体" w:cs="Times New Roman"/>
      <w:szCs w:val="24"/>
    </w:rPr>
  </w:style>
  <w:style w:type="character" w:customStyle="1" w:styleId="64">
    <w:name w:val="正文文本缩进 2 Char"/>
    <w:link w:val="26"/>
    <w:semiHidden/>
    <w:qFormat/>
    <w:uiPriority w:val="99"/>
    <w:rPr>
      <w:rFonts w:ascii="Times New Roman" w:hAnsi="Times New Roman"/>
      <w:kern w:val="2"/>
      <w:sz w:val="21"/>
      <w:szCs w:val="24"/>
    </w:rPr>
  </w:style>
  <w:style w:type="character" w:customStyle="1" w:styleId="65">
    <w:name w:val="批注框文本 Char"/>
    <w:link w:val="27"/>
    <w:qFormat/>
    <w:uiPriority w:val="99"/>
    <w:rPr>
      <w:rFonts w:ascii="Times New Roman" w:hAnsi="Times New Roman" w:eastAsia="宋体" w:cs="Times New Roman"/>
      <w:sz w:val="18"/>
      <w:szCs w:val="18"/>
    </w:rPr>
  </w:style>
  <w:style w:type="character" w:customStyle="1" w:styleId="66">
    <w:name w:val="页脚 Char"/>
    <w:link w:val="28"/>
    <w:qFormat/>
    <w:uiPriority w:val="0"/>
    <w:rPr>
      <w:rFonts w:ascii="Times New Roman" w:hAnsi="Times New Roman" w:eastAsia="宋体" w:cs="Times New Roman"/>
      <w:sz w:val="18"/>
      <w:szCs w:val="18"/>
    </w:rPr>
  </w:style>
  <w:style w:type="character" w:customStyle="1" w:styleId="67">
    <w:name w:val="页眉 Char"/>
    <w:link w:val="29"/>
    <w:qFormat/>
    <w:uiPriority w:val="99"/>
    <w:rPr>
      <w:rFonts w:ascii="Times New Roman" w:hAnsi="Times New Roman" w:eastAsia="宋体" w:cs="Times New Roman"/>
      <w:sz w:val="18"/>
      <w:szCs w:val="18"/>
    </w:rPr>
  </w:style>
  <w:style w:type="character" w:customStyle="1" w:styleId="68">
    <w:name w:val="脚注文本 Char"/>
    <w:basedOn w:val="42"/>
    <w:link w:val="32"/>
    <w:qFormat/>
    <w:uiPriority w:val="99"/>
    <w:rPr>
      <w:rFonts w:ascii="Times New Roman" w:hAnsi="Times New Roman"/>
      <w:kern w:val="2"/>
      <w:sz w:val="18"/>
      <w:szCs w:val="18"/>
    </w:rPr>
  </w:style>
  <w:style w:type="character" w:customStyle="1" w:styleId="69">
    <w:name w:val="正文文本缩进 3 Char"/>
    <w:link w:val="33"/>
    <w:qFormat/>
    <w:uiPriority w:val="0"/>
    <w:rPr>
      <w:rFonts w:ascii="方正细圆简体" w:hAnsi="Times New Roman" w:eastAsia="方正细圆简体"/>
      <w:kern w:val="2"/>
      <w:sz w:val="24"/>
      <w:szCs w:val="24"/>
    </w:rPr>
  </w:style>
  <w:style w:type="character" w:customStyle="1" w:styleId="70">
    <w:name w:val="标题 Char"/>
    <w:link w:val="37"/>
    <w:qFormat/>
    <w:uiPriority w:val="0"/>
    <w:rPr>
      <w:rFonts w:ascii="Cambria" w:hAnsi="Cambria" w:eastAsia="华文中宋"/>
      <w:b/>
      <w:bCs/>
      <w:kern w:val="2"/>
      <w:sz w:val="44"/>
      <w:szCs w:val="32"/>
    </w:rPr>
  </w:style>
  <w:style w:type="character" w:customStyle="1" w:styleId="71">
    <w:name w:val="批注主题 Char"/>
    <w:link w:val="38"/>
    <w:qFormat/>
    <w:uiPriority w:val="99"/>
    <w:rPr>
      <w:rFonts w:ascii="Times New Roman" w:hAnsi="Times New Roman"/>
      <w:b/>
      <w:bCs/>
      <w:kern w:val="2"/>
      <w:sz w:val="21"/>
      <w:szCs w:val="24"/>
    </w:rPr>
  </w:style>
  <w:style w:type="character" w:customStyle="1" w:styleId="72">
    <w:name w:val="标题3 Char"/>
    <w:link w:val="73"/>
    <w:qFormat/>
    <w:uiPriority w:val="0"/>
    <w:rPr>
      <w:rFonts w:ascii="宋体" w:hAnsi="宋体" w:eastAsia="华文中宋" w:cs="Arial"/>
      <w:b/>
      <w:sz w:val="24"/>
      <w:szCs w:val="24"/>
    </w:rPr>
  </w:style>
  <w:style w:type="paragraph" w:customStyle="1" w:styleId="73">
    <w:name w:val="标题3"/>
    <w:basedOn w:val="1"/>
    <w:next w:val="1"/>
    <w:link w:val="72"/>
    <w:qFormat/>
    <w:uiPriority w:val="0"/>
    <w:pPr>
      <w:widowControl/>
      <w:jc w:val="left"/>
    </w:pPr>
    <w:rPr>
      <w:rFonts w:ascii="宋体" w:hAnsi="宋体" w:eastAsia="华文中宋"/>
      <w:b/>
      <w:kern w:val="0"/>
      <w:sz w:val="24"/>
    </w:rPr>
  </w:style>
  <w:style w:type="character" w:customStyle="1" w:styleId="74">
    <w:name w:val="段 Char"/>
    <w:link w:val="75"/>
    <w:qFormat/>
    <w:uiPriority w:val="0"/>
    <w:rPr>
      <w:rFonts w:ascii="宋体" w:hAnsi="Times New Roman"/>
      <w:sz w:val="21"/>
      <w:lang w:bidi="ar-SA"/>
    </w:rPr>
  </w:style>
  <w:style w:type="paragraph" w:customStyle="1" w:styleId="75">
    <w:name w:val="段"/>
    <w:link w:val="74"/>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76">
    <w:name w:val="一级条标题 Char"/>
    <w:link w:val="77"/>
    <w:qFormat/>
    <w:uiPriority w:val="0"/>
    <w:rPr>
      <w:rFonts w:ascii="黑体" w:hAnsi="Times New Roman" w:eastAsia="黑体"/>
      <w:sz w:val="21"/>
    </w:rPr>
  </w:style>
  <w:style w:type="paragraph" w:customStyle="1" w:styleId="77">
    <w:name w:val="一级条标题"/>
    <w:basedOn w:val="1"/>
    <w:next w:val="75"/>
    <w:link w:val="76"/>
    <w:qFormat/>
    <w:uiPriority w:val="0"/>
    <w:pPr>
      <w:widowControl/>
      <w:tabs>
        <w:tab w:val="left" w:pos="1200"/>
      </w:tabs>
      <w:ind w:left="1200" w:hanging="420"/>
      <w:outlineLvl w:val="2"/>
    </w:pPr>
    <w:rPr>
      <w:rFonts w:ascii="黑体" w:eastAsia="黑体"/>
      <w:kern w:val="0"/>
      <w:szCs w:val="20"/>
    </w:rPr>
  </w:style>
  <w:style w:type="character" w:customStyle="1" w:styleId="78">
    <w:name w:val="批注引用4"/>
    <w:qFormat/>
    <w:uiPriority w:val="0"/>
    <w:rPr>
      <w:sz w:val="21"/>
      <w:szCs w:val="21"/>
    </w:rPr>
  </w:style>
  <w:style w:type="character" w:customStyle="1" w:styleId="79">
    <w:name w:val="lf3"/>
    <w:basedOn w:val="42"/>
    <w:qFormat/>
    <w:uiPriority w:val="0"/>
  </w:style>
  <w:style w:type="character" w:customStyle="1" w:styleId="80">
    <w:name w:val="批注引用6"/>
    <w:basedOn w:val="42"/>
    <w:qFormat/>
    <w:uiPriority w:val="0"/>
    <w:rPr>
      <w:sz w:val="21"/>
      <w:szCs w:val="21"/>
    </w:rPr>
  </w:style>
  <w:style w:type="character" w:customStyle="1" w:styleId="81">
    <w:name w:val="批注引用2"/>
    <w:basedOn w:val="42"/>
    <w:qFormat/>
    <w:uiPriority w:val="0"/>
    <w:rPr>
      <w:sz w:val="21"/>
      <w:szCs w:val="21"/>
    </w:rPr>
  </w:style>
  <w:style w:type="character" w:customStyle="1" w:styleId="82">
    <w:name w:val="批注引用1"/>
    <w:qFormat/>
    <w:uiPriority w:val="0"/>
    <w:rPr>
      <w:sz w:val="21"/>
      <w:szCs w:val="21"/>
    </w:rPr>
  </w:style>
  <w:style w:type="character" w:customStyle="1" w:styleId="83">
    <w:name w:val="正文首缩两字 Char1"/>
    <w:basedOn w:val="42"/>
    <w:link w:val="84"/>
    <w:qFormat/>
    <w:uiPriority w:val="0"/>
    <w:rPr>
      <w:rFonts w:ascii="Verdana" w:hAnsi="Verdana"/>
      <w:sz w:val="24"/>
      <w:szCs w:val="24"/>
    </w:rPr>
  </w:style>
  <w:style w:type="paragraph" w:customStyle="1" w:styleId="84">
    <w:name w:val="正文首缩两字"/>
    <w:basedOn w:val="1"/>
    <w:link w:val="83"/>
    <w:qFormat/>
    <w:uiPriority w:val="0"/>
    <w:pPr>
      <w:ind w:firstLine="200" w:firstLineChars="200"/>
    </w:pPr>
    <w:rPr>
      <w:rFonts w:ascii="Verdana" w:hAnsi="Verdana" w:eastAsia="宋体"/>
      <w:kern w:val="0"/>
      <w:sz w:val="24"/>
    </w:rPr>
  </w:style>
  <w:style w:type="character" w:customStyle="1" w:styleId="85">
    <w:name w:val="批注引用11"/>
    <w:qFormat/>
    <w:uiPriority w:val="0"/>
    <w:rPr>
      <w:rFonts w:cs="Times New Roman"/>
      <w:sz w:val="21"/>
      <w:szCs w:val="21"/>
    </w:rPr>
  </w:style>
  <w:style w:type="character" w:customStyle="1" w:styleId="86">
    <w:name w:val="列出段落 Char"/>
    <w:link w:val="87"/>
    <w:qFormat/>
    <w:uiPriority w:val="0"/>
    <w:rPr>
      <w:kern w:val="2"/>
      <w:sz w:val="21"/>
      <w:szCs w:val="22"/>
    </w:rPr>
  </w:style>
  <w:style w:type="paragraph" w:styleId="87">
    <w:name w:val="List Paragraph"/>
    <w:basedOn w:val="1"/>
    <w:link w:val="86"/>
    <w:qFormat/>
    <w:uiPriority w:val="0"/>
    <w:pPr>
      <w:ind w:firstLine="420" w:firstLineChars="200"/>
    </w:pPr>
    <w:rPr>
      <w:rFonts w:ascii="Calibri" w:hAnsi="Calibri" w:eastAsia="宋体"/>
      <w:szCs w:val="22"/>
    </w:rPr>
  </w:style>
  <w:style w:type="character" w:customStyle="1" w:styleId="88">
    <w:name w:val="批注引用3"/>
    <w:qFormat/>
    <w:uiPriority w:val="0"/>
    <w:rPr>
      <w:rFonts w:cs="Times New Roman"/>
      <w:sz w:val="21"/>
      <w:szCs w:val="21"/>
    </w:rPr>
  </w:style>
  <w:style w:type="character" w:customStyle="1" w:styleId="89">
    <w:name w:val="样式1 Char Char"/>
    <w:link w:val="90"/>
    <w:qFormat/>
    <w:uiPriority w:val="0"/>
    <w:rPr>
      <w:rFonts w:ascii="Arial" w:hAnsi="Arial"/>
      <w:kern w:val="2"/>
      <w:sz w:val="21"/>
      <w:szCs w:val="24"/>
    </w:rPr>
  </w:style>
  <w:style w:type="paragraph" w:customStyle="1" w:styleId="90">
    <w:name w:val="样式1"/>
    <w:basedOn w:val="1"/>
    <w:link w:val="89"/>
    <w:qFormat/>
    <w:uiPriority w:val="0"/>
    <w:pPr>
      <w:spacing w:line="360" w:lineRule="exact"/>
      <w:ind w:firstLine="200" w:firstLineChars="200"/>
    </w:pPr>
    <w:rPr>
      <w:rFonts w:ascii="Arial" w:hAnsi="Arial" w:eastAsia="宋体"/>
    </w:rPr>
  </w:style>
  <w:style w:type="character" w:customStyle="1" w:styleId="91">
    <w:name w:val="自定义正文 Char"/>
    <w:link w:val="92"/>
    <w:qFormat/>
    <w:uiPriority w:val="0"/>
    <w:rPr>
      <w:kern w:val="2"/>
      <w:sz w:val="24"/>
    </w:rPr>
  </w:style>
  <w:style w:type="paragraph" w:customStyle="1" w:styleId="92">
    <w:name w:val="自定义正文"/>
    <w:basedOn w:val="1"/>
    <w:link w:val="91"/>
    <w:qFormat/>
    <w:uiPriority w:val="0"/>
    <w:pPr>
      <w:spacing w:afterLines="50" w:line="360" w:lineRule="auto"/>
      <w:ind w:firstLine="200" w:firstLineChars="200"/>
      <w:jc w:val="left"/>
    </w:pPr>
    <w:rPr>
      <w:rFonts w:ascii="Calibri" w:hAnsi="Calibri" w:eastAsia="宋体"/>
      <w:sz w:val="24"/>
      <w:szCs w:val="20"/>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style15"/>
    <w:basedOn w:val="42"/>
    <w:qFormat/>
    <w:uiPriority w:val="0"/>
  </w:style>
  <w:style w:type="character" w:customStyle="1" w:styleId="95">
    <w:name w:val="font31"/>
    <w:qFormat/>
    <w:uiPriority w:val="0"/>
    <w:rPr>
      <w:rFonts w:hint="eastAsia" w:ascii="宋体" w:hAnsi="宋体" w:eastAsia="宋体" w:cs="宋体"/>
      <w:color w:val="FF0000"/>
      <w:sz w:val="20"/>
      <w:szCs w:val="20"/>
      <w:u w:val="none"/>
    </w:rPr>
  </w:style>
  <w:style w:type="character" w:customStyle="1" w:styleId="96">
    <w:name w:val="SANGFOR_6_正文 Char"/>
    <w:link w:val="97"/>
    <w:qFormat/>
    <w:locked/>
    <w:uiPriority w:val="0"/>
    <w:rPr>
      <w:rFonts w:ascii="宋体" w:hAnsi="宋体"/>
      <w:sz w:val="28"/>
      <w:szCs w:val="28"/>
    </w:rPr>
  </w:style>
  <w:style w:type="paragraph" w:customStyle="1" w:styleId="97">
    <w:name w:val="SANGFOR_6_正文"/>
    <w:basedOn w:val="1"/>
    <w:link w:val="96"/>
    <w:qFormat/>
    <w:uiPriority w:val="0"/>
    <w:pPr>
      <w:spacing w:line="360" w:lineRule="auto"/>
      <w:ind w:left="420"/>
      <w:jc w:val="left"/>
    </w:pPr>
    <w:rPr>
      <w:rFonts w:ascii="宋体" w:hAnsi="宋体" w:eastAsia="宋体"/>
      <w:kern w:val="0"/>
      <w:sz w:val="28"/>
      <w:szCs w:val="28"/>
    </w:rPr>
  </w:style>
  <w:style w:type="character" w:customStyle="1" w:styleId="98">
    <w:name w:val="纯文本 Char"/>
    <w:qFormat/>
    <w:uiPriority w:val="0"/>
    <w:rPr>
      <w:rFonts w:ascii="宋体" w:hAnsi="Courier New" w:cs="Courier New"/>
      <w:kern w:val="2"/>
      <w:sz w:val="21"/>
      <w:szCs w:val="21"/>
    </w:rPr>
  </w:style>
  <w:style w:type="character" w:customStyle="1" w:styleId="99">
    <w:name w:val="列出段落 字符"/>
    <w:qFormat/>
    <w:uiPriority w:val="0"/>
    <w:rPr>
      <w:rFonts w:ascii="Calibri" w:hAnsi="Calibri" w:eastAsia="宋体" w:cs="Times New Roman"/>
      <w:kern w:val="0"/>
      <w:sz w:val="20"/>
      <w:szCs w:val="20"/>
    </w:rPr>
  </w:style>
  <w:style w:type="character" w:customStyle="1" w:styleId="100">
    <w:name w:val="16"/>
    <w:qFormat/>
    <w:uiPriority w:val="0"/>
    <w:rPr>
      <w:rFonts w:hint="default" w:ascii="Calibri" w:hAnsi="Calibri"/>
      <w:sz w:val="21"/>
      <w:szCs w:val="21"/>
    </w:rPr>
  </w:style>
  <w:style w:type="character" w:customStyle="1" w:styleId="101">
    <w:name w:val="font61"/>
    <w:qFormat/>
    <w:uiPriority w:val="0"/>
    <w:rPr>
      <w:rFonts w:ascii="Arial" w:hAnsi="Arial" w:cs="Arial"/>
      <w:color w:val="000000"/>
      <w:sz w:val="20"/>
      <w:szCs w:val="20"/>
      <w:u w:val="none"/>
    </w:rPr>
  </w:style>
  <w:style w:type="character" w:customStyle="1" w:styleId="102">
    <w:name w:val="正文2 Char"/>
    <w:link w:val="103"/>
    <w:qFormat/>
    <w:uiPriority w:val="0"/>
    <w:rPr>
      <w:kern w:val="2"/>
      <w:sz w:val="24"/>
    </w:rPr>
  </w:style>
  <w:style w:type="paragraph" w:customStyle="1" w:styleId="103">
    <w:name w:val="正文2"/>
    <w:basedOn w:val="1"/>
    <w:link w:val="102"/>
    <w:qFormat/>
    <w:uiPriority w:val="0"/>
    <w:pPr>
      <w:spacing w:before="156"/>
      <w:ind w:firstLine="510" w:firstLineChars="200"/>
    </w:pPr>
    <w:rPr>
      <w:rFonts w:ascii="Calibri" w:hAnsi="Calibri" w:eastAsia="宋体"/>
      <w:sz w:val="24"/>
      <w:szCs w:val="20"/>
    </w:rPr>
  </w:style>
  <w:style w:type="character" w:customStyle="1" w:styleId="104">
    <w:name w:val="annotation reference"/>
    <w:qFormat/>
    <w:uiPriority w:val="0"/>
    <w:rPr>
      <w:sz w:val="21"/>
      <w:szCs w:val="21"/>
    </w:rPr>
  </w:style>
  <w:style w:type="character" w:customStyle="1" w:styleId="105">
    <w:name w:val="样式 样式 正文首行缩进 + 首行缩进:  2 字符 + 首行缩进:  2 字符 Char"/>
    <w:link w:val="106"/>
    <w:qFormat/>
    <w:uiPriority w:val="0"/>
    <w:rPr>
      <w:rFonts w:cs="宋体"/>
      <w:kern w:val="2"/>
      <w:sz w:val="24"/>
    </w:rPr>
  </w:style>
  <w:style w:type="paragraph" w:customStyle="1" w:styleId="106">
    <w:name w:val="样式 样式 正文首行缩进 + 首行缩进:  2 字符 + 首行缩进:  2 字符"/>
    <w:basedOn w:val="1"/>
    <w:link w:val="105"/>
    <w:qFormat/>
    <w:uiPriority w:val="0"/>
    <w:pPr>
      <w:spacing w:line="440" w:lineRule="exact"/>
      <w:ind w:firstLine="200" w:firstLineChars="200"/>
    </w:pPr>
    <w:rPr>
      <w:rFonts w:ascii="Calibri" w:hAnsi="Calibri" w:eastAsia="宋体"/>
      <w:sz w:val="24"/>
      <w:szCs w:val="20"/>
    </w:rPr>
  </w:style>
  <w:style w:type="character" w:customStyle="1" w:styleId="107">
    <w:name w:val="15"/>
    <w:qFormat/>
    <w:uiPriority w:val="0"/>
    <w:rPr>
      <w:rFonts w:hint="default" w:ascii="Calibri" w:hAnsi="Calibri"/>
      <w:sz w:val="18"/>
      <w:szCs w:val="18"/>
    </w:rPr>
  </w:style>
  <w:style w:type="character" w:customStyle="1" w:styleId="108">
    <w:name w:val="font71"/>
    <w:qFormat/>
    <w:uiPriority w:val="0"/>
    <w:rPr>
      <w:rFonts w:hint="default" w:ascii="Times New Roman" w:hAnsi="Times New Roman" w:eastAsia="楷体_GB2312" w:cs="Times New Roman"/>
      <w:sz w:val="28"/>
      <w:szCs w:val="24"/>
    </w:rPr>
  </w:style>
  <w:style w:type="character" w:customStyle="1" w:styleId="109">
    <w:name w:val="g1"/>
    <w:qFormat/>
    <w:uiPriority w:val="0"/>
    <w:rPr>
      <w:color w:val="008000"/>
    </w:rPr>
  </w:style>
  <w:style w:type="character" w:customStyle="1" w:styleId="110">
    <w:name w:val="textnormchn1"/>
    <w:basedOn w:val="42"/>
    <w:qFormat/>
    <w:uiPriority w:val="0"/>
  </w:style>
  <w:style w:type="character" w:customStyle="1" w:styleId="111">
    <w:name w:val="font121"/>
    <w:qFormat/>
    <w:uiPriority w:val="0"/>
    <w:rPr>
      <w:rFonts w:hint="default" w:ascii="???" w:hAnsi="???"/>
      <w:color w:val="333333"/>
      <w:sz w:val="18"/>
      <w:szCs w:val="18"/>
      <w:u w:val="none"/>
    </w:rPr>
  </w:style>
  <w:style w:type="character" w:customStyle="1" w:styleId="112">
    <w:name w:val="17"/>
    <w:qFormat/>
    <w:uiPriority w:val="0"/>
    <w:rPr>
      <w:rFonts w:hint="default" w:ascii="Calibri" w:hAnsi="Calibri"/>
      <w:sz w:val="21"/>
      <w:szCs w:val="21"/>
    </w:rPr>
  </w:style>
  <w:style w:type="character" w:customStyle="1" w:styleId="113">
    <w:name w:val="Char Char7"/>
    <w:qFormat/>
    <w:uiPriority w:val="0"/>
    <w:rPr>
      <w:rFonts w:ascii="Cambria" w:hAnsi="Cambria" w:eastAsia="仿宋_GB2312"/>
      <w:b/>
      <w:bCs/>
      <w:kern w:val="2"/>
      <w:sz w:val="24"/>
      <w:szCs w:val="28"/>
      <w:lang w:bidi="ar-SA"/>
    </w:rPr>
  </w:style>
  <w:style w:type="character" w:customStyle="1" w:styleId="114">
    <w:name w:val="bsharetext"/>
    <w:basedOn w:val="42"/>
    <w:qFormat/>
    <w:uiPriority w:val="0"/>
  </w:style>
  <w:style w:type="character" w:customStyle="1" w:styleId="115">
    <w:name w:val="批注引用5"/>
    <w:basedOn w:val="42"/>
    <w:qFormat/>
    <w:uiPriority w:val="0"/>
    <w:rPr>
      <w:sz w:val="21"/>
      <w:szCs w:val="21"/>
    </w:rPr>
  </w:style>
  <w:style w:type="character" w:customStyle="1" w:styleId="116">
    <w:name w:val="apple-converted-space"/>
    <w:basedOn w:val="42"/>
    <w:qFormat/>
    <w:uiPriority w:val="0"/>
  </w:style>
  <w:style w:type="paragraph" w:customStyle="1" w:styleId="117">
    <w:name w:val="Char3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msolistparagraph"/>
    <w:basedOn w:val="1"/>
    <w:qFormat/>
    <w:uiPriority w:val="0"/>
    <w:pPr>
      <w:ind w:firstLine="420" w:firstLineChars="200"/>
    </w:pPr>
    <w:rPr>
      <w:szCs w:val="20"/>
    </w:rPr>
  </w:style>
  <w:style w:type="paragraph" w:customStyle="1" w:styleId="120">
    <w:name w:val="_Style 2"/>
    <w:basedOn w:val="1"/>
    <w:qFormat/>
    <w:uiPriority w:val="34"/>
    <w:pPr>
      <w:ind w:firstLine="420" w:firstLineChars="200"/>
    </w:pPr>
  </w:style>
  <w:style w:type="paragraph" w:customStyle="1" w:styleId="1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2">
    <w:name w:val="p21"/>
    <w:basedOn w:val="1"/>
    <w:qFormat/>
    <w:uiPriority w:val="0"/>
    <w:pPr>
      <w:widowControl/>
      <w:ind w:firstLine="420"/>
    </w:pPr>
    <w:rPr>
      <w:rFonts w:cs="宋体"/>
      <w:kern w:val="0"/>
      <w:szCs w:val="21"/>
    </w:rPr>
  </w:style>
  <w:style w:type="paragraph" w:customStyle="1" w:styleId="12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124">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125">
    <w:name w:val="列出段落1"/>
    <w:basedOn w:val="1"/>
    <w:qFormat/>
    <w:uiPriority w:val="34"/>
    <w:pPr>
      <w:ind w:firstLine="420" w:firstLineChars="200"/>
    </w:pPr>
    <w:rPr>
      <w:szCs w:val="20"/>
    </w:rPr>
  </w:style>
  <w:style w:type="paragraph" w:customStyle="1" w:styleId="12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7">
    <w:name w:val="Char Char Char Char"/>
    <w:basedOn w:val="12"/>
    <w:qFormat/>
    <w:uiPriority w:val="0"/>
    <w:pPr>
      <w:shd w:val="clear" w:color="auto" w:fill="000080"/>
      <w:adjustRightInd w:val="0"/>
      <w:snapToGrid w:val="0"/>
      <w:spacing w:line="360" w:lineRule="auto"/>
    </w:pPr>
    <w:rPr>
      <w:rFonts w:ascii="Times New Roman"/>
      <w:sz w:val="21"/>
      <w:szCs w:val="24"/>
    </w:rPr>
  </w:style>
  <w:style w:type="paragraph" w:customStyle="1" w:styleId="128">
    <w:name w:val="newp"/>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customStyle="1" w:styleId="12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31">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132">
    <w:name w:val="a2"/>
    <w:basedOn w:val="1"/>
    <w:qFormat/>
    <w:uiPriority w:val="0"/>
    <w:pPr>
      <w:widowControl/>
      <w:spacing w:before="100" w:beforeAutospacing="1" w:after="100" w:afterAutospacing="1"/>
      <w:jc w:val="left"/>
    </w:pPr>
    <w:rPr>
      <w:rFonts w:ascii="Arial Unicode MS" w:hAnsi="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7121</Words>
  <Characters>7514</Characters>
  <Lines>167</Lines>
  <Paragraphs>47</Paragraphs>
  <TotalTime>1</TotalTime>
  <ScaleCrop>false</ScaleCrop>
  <LinksUpToDate>false</LinksUpToDate>
  <CharactersWithSpaces>7591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2016-07-11T20:15:00Z</dcterms:created>
  <dc:creator>Administrator</dc:creator>
  <cp:lastModifiedBy>WPS_1646785374</cp:lastModifiedBy>
  <cp:lastPrinted>2025-06-19T06:10:00Z</cp:lastPrinted>
  <dcterms:modified xsi:type="dcterms:W3CDTF">2025-06-30T01:24:50Z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76719C8F051D4EB8A4F73B04B8ABBCA3_13</vt:lpwstr>
  </property>
  <property fmtid="{D5CDD505-2E9C-101B-9397-08002B2CF9AE}" pid="4" name="KSOTemplateDocerSaveRecord">
    <vt:lpwstr>eyJoZGlkIjoiZjVjZmIwMDAwZTg0M2I4Y2Q3NmI1YjU1YTQxOTA1YjUiLCJ1c2VySWQiOiIxMzQyMjUwNzg2In0=</vt:lpwstr>
  </property>
</Properties>
</file>