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B7E5C">
      <w:pPr>
        <w:adjustRightInd/>
        <w:spacing w:line="360" w:lineRule="auto"/>
        <w:jc w:val="center"/>
        <w:rPr>
          <w:rFonts w:hint="eastAsia" w:ascii="宋体" w:hAnsi="宋体" w:cs="宋体"/>
          <w:color w:val="auto"/>
          <w:sz w:val="48"/>
          <w:szCs w:val="48"/>
          <w:highlight w:val="none"/>
        </w:rPr>
      </w:pPr>
    </w:p>
    <w:p w14:paraId="1CB0B199">
      <w:pPr>
        <w:adjustRightInd/>
        <w:spacing w:line="360" w:lineRule="auto"/>
        <w:jc w:val="center"/>
        <w:rPr>
          <w:rFonts w:hint="eastAsia" w:ascii="宋体" w:hAnsi="宋体" w:cs="宋体"/>
          <w:color w:val="auto"/>
          <w:sz w:val="48"/>
          <w:szCs w:val="48"/>
          <w:highlight w:val="none"/>
        </w:rPr>
      </w:pPr>
    </w:p>
    <w:p w14:paraId="09324BE9">
      <w:pPr>
        <w:adjustRightInd/>
        <w:spacing w:line="360" w:lineRule="auto"/>
        <w:jc w:val="center"/>
        <w:rPr>
          <w:rFonts w:hint="eastAsia" w:ascii="宋体" w:hAnsi="宋体" w:cs="宋体"/>
          <w:color w:val="auto"/>
          <w:sz w:val="48"/>
          <w:szCs w:val="48"/>
          <w:highlight w:val="none"/>
        </w:rPr>
      </w:pPr>
    </w:p>
    <w:p w14:paraId="3E616E1E">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2025年拱墅区部分校园广播系统改造采购</w:t>
      </w:r>
    </w:p>
    <w:p w14:paraId="1959853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采购</w:t>
      </w:r>
      <w:r>
        <w:rPr>
          <w:rFonts w:hint="eastAsia" w:ascii="宋体" w:hAnsi="宋体" w:cs="宋体"/>
          <w:color w:val="auto"/>
          <w:sz w:val="48"/>
          <w:szCs w:val="48"/>
          <w:highlight w:val="none"/>
        </w:rPr>
        <w:t>文件</w:t>
      </w:r>
    </w:p>
    <w:p w14:paraId="527E54C0">
      <w:pPr>
        <w:snapToGrid w:val="0"/>
        <w:spacing w:line="360" w:lineRule="auto"/>
        <w:jc w:val="center"/>
        <w:rPr>
          <w:rFonts w:hint="eastAsia" w:ascii="宋体" w:hAnsi="宋体" w:cs="宋体"/>
          <w:color w:val="auto"/>
          <w:sz w:val="30"/>
          <w:szCs w:val="30"/>
          <w:highlight w:val="none"/>
        </w:rPr>
      </w:pPr>
    </w:p>
    <w:p w14:paraId="59017F4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2"/>
          <w:szCs w:val="32"/>
          <w:highlight w:val="none"/>
          <w:lang w:eastAsia="zh-CN"/>
        </w:rPr>
        <w:t>QSZBB250044FHQT</w:t>
      </w:r>
    </w:p>
    <w:p w14:paraId="07875840">
      <w:pPr>
        <w:adjustRightInd/>
        <w:spacing w:line="360" w:lineRule="auto"/>
        <w:rPr>
          <w:rFonts w:ascii="宋体" w:hAnsi="宋体" w:cs="宋体"/>
          <w:color w:val="auto"/>
          <w:sz w:val="28"/>
          <w:szCs w:val="20"/>
          <w:highlight w:val="none"/>
        </w:rPr>
      </w:pPr>
    </w:p>
    <w:p w14:paraId="1808C7B0">
      <w:pPr>
        <w:spacing w:line="360" w:lineRule="auto"/>
        <w:jc w:val="center"/>
        <w:rPr>
          <w:rFonts w:ascii="宋体" w:hAnsi="宋体" w:cs="宋体"/>
          <w:b/>
          <w:color w:val="auto"/>
          <w:sz w:val="44"/>
          <w:szCs w:val="44"/>
          <w:highlight w:val="none"/>
        </w:rPr>
      </w:pPr>
    </w:p>
    <w:p w14:paraId="7C8347D9">
      <w:pPr>
        <w:spacing w:line="360" w:lineRule="auto"/>
        <w:jc w:val="center"/>
        <w:rPr>
          <w:rFonts w:ascii="宋体" w:hAnsi="宋体" w:cs="宋体"/>
          <w:b/>
          <w:color w:val="auto"/>
          <w:sz w:val="44"/>
          <w:szCs w:val="44"/>
          <w:highlight w:val="none"/>
        </w:rPr>
      </w:pPr>
    </w:p>
    <w:p w14:paraId="15E729AD">
      <w:pPr>
        <w:spacing w:line="360" w:lineRule="auto"/>
        <w:jc w:val="center"/>
        <w:rPr>
          <w:rFonts w:ascii="宋体" w:hAnsi="宋体" w:cs="宋体"/>
          <w:color w:val="auto"/>
          <w:sz w:val="24"/>
          <w:highlight w:val="none"/>
        </w:rPr>
      </w:pPr>
    </w:p>
    <w:p w14:paraId="58474DA2">
      <w:pPr>
        <w:spacing w:line="360" w:lineRule="auto"/>
        <w:jc w:val="center"/>
        <w:rPr>
          <w:rFonts w:ascii="宋体" w:hAnsi="宋体" w:cs="宋体"/>
          <w:color w:val="auto"/>
          <w:sz w:val="24"/>
          <w:highlight w:val="none"/>
        </w:rPr>
      </w:pPr>
    </w:p>
    <w:p w14:paraId="5156F545">
      <w:pPr>
        <w:spacing w:line="360" w:lineRule="auto"/>
        <w:rPr>
          <w:rFonts w:ascii="宋体" w:hAnsi="宋体" w:cs="宋体"/>
          <w:color w:val="auto"/>
          <w:sz w:val="32"/>
          <w:szCs w:val="32"/>
          <w:highlight w:val="none"/>
        </w:rPr>
      </w:pPr>
    </w:p>
    <w:p w14:paraId="3B5D7463">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杭州市拱墅区教育信息技术中心</w:t>
      </w:r>
    </w:p>
    <w:p w14:paraId="5648A80E">
      <w:pPr>
        <w:spacing w:line="360" w:lineRule="auto"/>
        <w:jc w:val="center"/>
        <w:rPr>
          <w:rFonts w:hint="eastAsia" w:ascii="宋体" w:hAnsi="宋体" w:eastAsia="宋体" w:cs="宋体"/>
          <w:bCs w:val="0"/>
          <w:color w:val="auto"/>
          <w:sz w:val="32"/>
          <w:szCs w:val="32"/>
          <w:highlight w:val="none"/>
          <w:lang w:eastAsia="zh-CN"/>
        </w:rPr>
      </w:pPr>
      <w:r>
        <w:rPr>
          <w:rFonts w:hint="eastAsia" w:ascii="宋体" w:hAnsi="宋体" w:cs="宋体"/>
          <w:bCs w:val="0"/>
          <w:color w:val="auto"/>
          <w:sz w:val="32"/>
          <w:szCs w:val="32"/>
          <w:highlight w:val="none"/>
          <w:lang w:eastAsia="zh-CN"/>
        </w:rPr>
        <w:t>浙江求是招标代理有限公司</w:t>
      </w:r>
    </w:p>
    <w:p w14:paraId="2954FB9B">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六</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三十</w:t>
      </w:r>
      <w:r>
        <w:rPr>
          <w:rFonts w:hint="eastAsia" w:ascii="宋体" w:hAnsi="宋体" w:cs="宋体"/>
          <w:color w:val="auto"/>
          <w:sz w:val="32"/>
          <w:szCs w:val="32"/>
          <w:highlight w:val="none"/>
        </w:rPr>
        <w:t>日</w:t>
      </w:r>
    </w:p>
    <w:p w14:paraId="61E9B6D3">
      <w:pPr>
        <w:rPr>
          <w:rFonts w:hint="eastAsia"/>
          <w:color w:val="auto"/>
          <w:highlight w:val="none"/>
        </w:rPr>
      </w:pPr>
      <w:r>
        <w:rPr>
          <w:rFonts w:hint="eastAsia" w:ascii="宋体" w:hAnsi="宋体" w:cs="宋体"/>
          <w:bCs/>
          <w:color w:val="auto"/>
          <w:sz w:val="32"/>
          <w:szCs w:val="32"/>
          <w:highlight w:val="none"/>
        </w:rPr>
        <w:br w:type="page"/>
      </w:r>
    </w:p>
    <w:p w14:paraId="5E0EB97F">
      <w:pPr>
        <w:spacing w:line="360" w:lineRule="auto"/>
        <w:ind w:firstLine="482" w:firstLineChars="100"/>
        <w:jc w:val="both"/>
        <w:rPr>
          <w:rFonts w:hint="eastAsia" w:ascii="宋体" w:hAnsi="宋体" w:cs="宋体"/>
          <w:b/>
          <w:color w:val="auto"/>
          <w:sz w:val="48"/>
          <w:szCs w:val="48"/>
          <w:highlight w:val="none"/>
        </w:rPr>
      </w:pPr>
    </w:p>
    <w:p w14:paraId="516070E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EE15780">
      <w:pPr>
        <w:spacing w:line="360" w:lineRule="auto"/>
        <w:rPr>
          <w:rFonts w:ascii="宋体" w:hAnsi="宋体" w:cs="宋体"/>
          <w:color w:val="auto"/>
          <w:sz w:val="32"/>
          <w:szCs w:val="32"/>
          <w:highlight w:val="none"/>
        </w:rPr>
      </w:pPr>
    </w:p>
    <w:p w14:paraId="50DBB0B5">
      <w:pPr>
        <w:spacing w:line="360" w:lineRule="auto"/>
        <w:rPr>
          <w:rFonts w:ascii="宋体" w:hAnsi="宋体" w:cs="宋体"/>
          <w:color w:val="auto"/>
          <w:sz w:val="32"/>
          <w:szCs w:val="32"/>
          <w:highlight w:val="none"/>
        </w:rPr>
      </w:pPr>
    </w:p>
    <w:p w14:paraId="76E6A12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第一章      </w:t>
      </w:r>
      <w:r>
        <w:rPr>
          <w:rFonts w:hint="eastAsia" w:ascii="宋体" w:hAnsi="宋体" w:cs="宋体"/>
          <w:color w:val="auto"/>
          <w:sz w:val="32"/>
          <w:szCs w:val="32"/>
          <w:highlight w:val="none"/>
          <w:lang w:val="en-US" w:eastAsia="zh-CN"/>
        </w:rPr>
        <w:t>交易</w:t>
      </w:r>
      <w:r>
        <w:rPr>
          <w:rFonts w:hint="eastAsia" w:ascii="宋体" w:hAnsi="宋体" w:cs="宋体"/>
          <w:color w:val="auto"/>
          <w:sz w:val="32"/>
          <w:szCs w:val="32"/>
          <w:highlight w:val="none"/>
        </w:rPr>
        <w:t>公告</w:t>
      </w:r>
    </w:p>
    <w:p w14:paraId="4B8E98B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第二章      </w:t>
      </w:r>
      <w:r>
        <w:rPr>
          <w:rFonts w:hint="eastAsia" w:ascii="宋体" w:hAnsi="宋体" w:cs="宋体"/>
          <w:color w:val="auto"/>
          <w:sz w:val="32"/>
          <w:szCs w:val="32"/>
          <w:highlight w:val="none"/>
          <w:lang w:eastAsia="zh-CN"/>
        </w:rPr>
        <w:t>供应商</w:t>
      </w:r>
      <w:r>
        <w:rPr>
          <w:rFonts w:hint="eastAsia" w:ascii="宋体" w:hAnsi="宋体" w:cs="宋体"/>
          <w:color w:val="auto"/>
          <w:sz w:val="32"/>
          <w:szCs w:val="32"/>
          <w:highlight w:val="none"/>
        </w:rPr>
        <w:t>须知</w:t>
      </w:r>
    </w:p>
    <w:p w14:paraId="1DDFAC5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第三章      采购</w:t>
      </w:r>
      <w:r>
        <w:rPr>
          <w:rFonts w:hint="eastAsia" w:ascii="宋体" w:hAnsi="宋体" w:cs="宋体"/>
          <w:color w:val="auto"/>
          <w:sz w:val="32"/>
          <w:szCs w:val="32"/>
          <w:highlight w:val="none"/>
          <w:lang w:val="en-US" w:eastAsia="zh-CN"/>
        </w:rPr>
        <w:t>需求</w:t>
      </w:r>
    </w:p>
    <w:p w14:paraId="20511390">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第四章      评</w:t>
      </w:r>
      <w:r>
        <w:rPr>
          <w:rFonts w:hint="eastAsia" w:ascii="宋体" w:hAnsi="宋体" w:cs="宋体"/>
          <w:color w:val="auto"/>
          <w:sz w:val="32"/>
          <w:szCs w:val="32"/>
          <w:highlight w:val="none"/>
          <w:lang w:val="en-US" w:eastAsia="zh-CN"/>
        </w:rPr>
        <w:t>审</w:t>
      </w:r>
      <w:r>
        <w:rPr>
          <w:rFonts w:hint="eastAsia" w:ascii="宋体" w:hAnsi="宋体" w:cs="宋体"/>
          <w:color w:val="auto"/>
          <w:sz w:val="32"/>
          <w:szCs w:val="32"/>
          <w:highlight w:val="none"/>
        </w:rPr>
        <w:t>办法</w:t>
      </w:r>
    </w:p>
    <w:p w14:paraId="1D977B94">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第五章      </w:t>
      </w:r>
      <w:r>
        <w:rPr>
          <w:rFonts w:hint="eastAsia" w:ascii="宋体" w:hAnsi="宋体" w:cs="宋体"/>
          <w:color w:val="auto"/>
          <w:sz w:val="32"/>
          <w:szCs w:val="32"/>
          <w:highlight w:val="none"/>
          <w:lang w:val="en-US" w:eastAsia="zh-CN"/>
        </w:rPr>
        <w:t>拟签订的合同文本</w:t>
      </w:r>
    </w:p>
    <w:p w14:paraId="179FD181">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第六章      </w:t>
      </w:r>
      <w:r>
        <w:rPr>
          <w:rFonts w:hint="eastAsia" w:ascii="宋体" w:hAnsi="宋体" w:cs="宋体"/>
          <w:color w:val="auto"/>
          <w:sz w:val="32"/>
          <w:szCs w:val="32"/>
          <w:highlight w:val="none"/>
          <w:lang w:val="en-US" w:eastAsia="zh-CN"/>
        </w:rPr>
        <w:t>应提交的有关格式范例</w:t>
      </w:r>
    </w:p>
    <w:p w14:paraId="20449229">
      <w:pPr>
        <w:rPr>
          <w:color w:val="auto"/>
          <w:highlight w:val="none"/>
        </w:rPr>
      </w:pPr>
      <w:r>
        <w:rPr>
          <w:color w:val="auto"/>
          <w:highlight w:val="none"/>
        </w:rPr>
        <w:br w:type="page"/>
      </w:r>
    </w:p>
    <w:p w14:paraId="284E070B">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w:t>
      </w:r>
      <w:r>
        <w:rPr>
          <w:rFonts w:hint="eastAsia" w:ascii="宋体" w:hAnsi="宋体" w:cs="宋体"/>
          <w:b/>
          <w:color w:val="auto"/>
          <w:sz w:val="36"/>
          <w:szCs w:val="20"/>
          <w:highlight w:val="none"/>
          <w:lang w:val="en-US" w:eastAsia="zh-CN"/>
        </w:rPr>
        <w:t>章</w:t>
      </w:r>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val="en-US" w:eastAsia="zh-CN"/>
        </w:rPr>
        <w:t>交易</w:t>
      </w:r>
      <w:r>
        <w:rPr>
          <w:rFonts w:hint="eastAsia" w:ascii="宋体" w:hAnsi="宋体" w:cs="宋体"/>
          <w:b/>
          <w:color w:val="auto"/>
          <w:sz w:val="36"/>
          <w:szCs w:val="20"/>
          <w:highlight w:val="none"/>
        </w:rPr>
        <w:t>公告</w:t>
      </w:r>
    </w:p>
    <w:p w14:paraId="7B6F9527">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3E7750B0">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2025年拱墅区部分校园广播系统改造采购</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项目的潜在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val="en-US" w:eastAsia="zh-CN"/>
        </w:rPr>
        <w:t>乐采云</w:t>
      </w:r>
      <w:r>
        <w:rPr>
          <w:rFonts w:hint="eastAsia" w:ascii="宋体" w:hAnsi="宋体" w:eastAsia="宋体" w:cs="宋体"/>
          <w:color w:val="auto"/>
          <w:sz w:val="21"/>
          <w:szCs w:val="21"/>
          <w:highlight w:val="none"/>
        </w:rPr>
        <w:t>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color w:val="auto"/>
          <w:sz w:val="21"/>
          <w:szCs w:val="21"/>
          <w:highlight w:val="none"/>
        </w:rPr>
        <w:fldChar w:fldCharType="separate"/>
      </w:r>
      <w:r>
        <w:rPr>
          <w:rStyle w:val="16"/>
          <w:rFonts w:hint="eastAsia" w:ascii="宋体" w:hAnsi="宋体" w:eastAsia="宋体" w:cs="宋体"/>
          <w:snapToGrid/>
          <w:color w:val="auto"/>
          <w:kern w:val="2"/>
          <w:sz w:val="21"/>
          <w:szCs w:val="21"/>
          <w:highlight w:val="none"/>
        </w:rPr>
        <w:t>https://www.lecaiyun.com/）获取（下载）</w:t>
      </w:r>
      <w:r>
        <w:rPr>
          <w:rStyle w:val="16"/>
          <w:rFonts w:hint="eastAsia" w:ascii="宋体" w:hAnsi="宋体" w:eastAsia="宋体" w:cs="宋体"/>
          <w:snapToGrid/>
          <w:color w:val="auto"/>
          <w:kern w:val="2"/>
          <w:sz w:val="21"/>
          <w:szCs w:val="21"/>
          <w:highlight w:val="none"/>
          <w:lang w:eastAsia="zh-CN"/>
        </w:rPr>
        <w:t>采购</w:t>
      </w:r>
      <w:r>
        <w:rPr>
          <w:rStyle w:val="16"/>
          <w:rFonts w:hint="eastAsia" w:ascii="宋体" w:hAnsi="宋体" w:eastAsia="宋体" w:cs="宋体"/>
          <w:snapToGrid/>
          <w:color w:val="auto"/>
          <w:kern w:val="2"/>
          <w:sz w:val="21"/>
          <w:szCs w:val="21"/>
          <w:highlight w:val="none"/>
        </w:rPr>
        <w:t>文件，并于</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7月16日9点00分</w:t>
      </w:r>
      <w:r>
        <w:rPr>
          <w:rFonts w:hint="eastAsia" w:ascii="宋体" w:hAnsi="宋体" w:eastAsia="宋体" w:cs="宋体"/>
          <w:color w:val="auto"/>
          <w:sz w:val="21"/>
          <w:szCs w:val="21"/>
          <w:highlight w:val="none"/>
          <w:u w:val="single"/>
        </w:rPr>
        <w:t>00秒</w:t>
      </w:r>
      <w:r>
        <w:rPr>
          <w:rStyle w:val="16"/>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w:t>
      </w:r>
    </w:p>
    <w:p w14:paraId="01ACBAA6">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一、项目基本情况</w:t>
      </w:r>
      <w:r>
        <w:rPr>
          <w:rFonts w:hint="eastAsia" w:ascii="宋体" w:hAnsi="宋体" w:cs="宋体"/>
          <w:b/>
          <w:color w:val="auto"/>
          <w:sz w:val="21"/>
          <w:szCs w:val="21"/>
          <w:highlight w:val="none"/>
          <w:lang w:eastAsia="zh-CN"/>
        </w:rPr>
        <w:t>：</w:t>
      </w:r>
    </w:p>
    <w:p w14:paraId="47AFFE07">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cs="宋体"/>
          <w:color w:val="auto"/>
          <w:sz w:val="21"/>
          <w:szCs w:val="21"/>
          <w:highlight w:val="none"/>
          <w:lang w:eastAsia="zh-CN"/>
        </w:rPr>
        <w:t>QSZBB250044FHQT</w:t>
      </w:r>
    </w:p>
    <w:p w14:paraId="09751FA2">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项目名称：</w:t>
      </w:r>
      <w:r>
        <w:rPr>
          <w:rFonts w:hint="eastAsia" w:ascii="宋体" w:hAnsi="宋体" w:cs="宋体"/>
          <w:color w:val="auto"/>
          <w:sz w:val="21"/>
          <w:szCs w:val="21"/>
          <w:highlight w:val="none"/>
          <w:lang w:eastAsia="zh-CN"/>
        </w:rPr>
        <w:t>2025年拱墅区部分校园广播系统改造采购</w:t>
      </w:r>
    </w:p>
    <w:p w14:paraId="0F95B851">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预算金额（元）：</w:t>
      </w:r>
      <w:r>
        <w:rPr>
          <w:rFonts w:hint="eastAsia" w:ascii="宋体" w:hAnsi="宋体" w:cs="宋体"/>
          <w:color w:val="auto"/>
          <w:sz w:val="21"/>
          <w:szCs w:val="21"/>
          <w:highlight w:val="none"/>
          <w:lang w:val="en-US" w:eastAsia="zh-CN"/>
        </w:rPr>
        <w:t>48</w:t>
      </w:r>
      <w:r>
        <w:rPr>
          <w:rFonts w:hint="eastAsia" w:ascii="宋体" w:hAnsi="宋体" w:eastAsia="宋体" w:cs="宋体"/>
          <w:color w:val="auto"/>
          <w:sz w:val="21"/>
          <w:szCs w:val="21"/>
          <w:highlight w:val="none"/>
          <w:lang w:val="en-US" w:eastAsia="zh-CN"/>
        </w:rPr>
        <w:t>0000元</w:t>
      </w:r>
    </w:p>
    <w:p w14:paraId="3AD91332">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最高限价（元）：</w:t>
      </w:r>
      <w:r>
        <w:rPr>
          <w:rFonts w:hint="eastAsia" w:ascii="宋体" w:hAnsi="宋体" w:cs="宋体"/>
          <w:color w:val="auto"/>
          <w:sz w:val="21"/>
          <w:szCs w:val="21"/>
          <w:highlight w:val="none"/>
          <w:lang w:val="en-US" w:eastAsia="zh-CN"/>
        </w:rPr>
        <w:t>48</w:t>
      </w:r>
      <w:r>
        <w:rPr>
          <w:rFonts w:hint="eastAsia" w:ascii="宋体" w:hAnsi="宋体" w:eastAsia="宋体" w:cs="宋体"/>
          <w:color w:val="auto"/>
          <w:sz w:val="21"/>
          <w:szCs w:val="21"/>
          <w:highlight w:val="none"/>
        </w:rPr>
        <w:t>0000元</w:t>
      </w:r>
    </w:p>
    <w:p w14:paraId="412E02A3">
      <w:pPr>
        <w:pStyle w:val="6"/>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hint="eastAsia" w:ascii="宋体" w:hAnsi="宋体" w:eastAsia="宋体" w:cs="宋体"/>
          <w:bCs/>
          <w:snapToGrid/>
          <w:color w:val="auto"/>
          <w:kern w:val="2"/>
          <w:sz w:val="21"/>
          <w:szCs w:val="21"/>
          <w:highlight w:val="none"/>
        </w:rPr>
      </w:pPr>
      <w:r>
        <w:rPr>
          <w:rFonts w:hint="eastAsia" w:ascii="宋体" w:hAnsi="宋体" w:eastAsia="宋体" w:cs="宋体"/>
          <w:b/>
          <w:color w:val="auto"/>
          <w:sz w:val="21"/>
          <w:szCs w:val="21"/>
          <w:highlight w:val="none"/>
        </w:rPr>
        <w:t>采购需求：</w:t>
      </w:r>
      <w:r>
        <w:rPr>
          <w:rFonts w:hint="eastAsia" w:hAnsi="宋体" w:cs="宋体"/>
          <w:bCs/>
          <w:snapToGrid/>
          <w:color w:val="auto"/>
          <w:kern w:val="2"/>
          <w:sz w:val="21"/>
          <w:szCs w:val="21"/>
          <w:highlight w:val="none"/>
          <w:lang w:eastAsia="zh-CN"/>
        </w:rPr>
        <w:t>2025年拱墅区部分校园广播系统改造采购</w:t>
      </w:r>
      <w:r>
        <w:rPr>
          <w:rFonts w:hint="eastAsia" w:ascii="宋体" w:hAnsi="宋体" w:eastAsia="宋体" w:cs="宋体"/>
          <w:bCs/>
          <w:snapToGrid/>
          <w:color w:val="auto"/>
          <w:kern w:val="2"/>
          <w:sz w:val="21"/>
          <w:szCs w:val="21"/>
          <w:highlight w:val="none"/>
        </w:rPr>
        <w:t>主要内容：具体包括所需产品的</w:t>
      </w:r>
      <w:r>
        <w:rPr>
          <w:rFonts w:hint="eastAsia" w:hAnsi="宋体" w:cs="宋体"/>
          <w:bCs/>
          <w:snapToGrid/>
          <w:color w:val="auto"/>
          <w:kern w:val="2"/>
          <w:sz w:val="21"/>
          <w:szCs w:val="21"/>
          <w:highlight w:val="none"/>
          <w:lang w:val="en-US" w:eastAsia="zh-CN"/>
        </w:rPr>
        <w:t>采购</w:t>
      </w:r>
      <w:r>
        <w:rPr>
          <w:rFonts w:hint="eastAsia" w:ascii="宋体" w:hAnsi="宋体" w:eastAsia="宋体" w:cs="宋体"/>
          <w:bCs/>
          <w:snapToGrid/>
          <w:color w:val="auto"/>
          <w:kern w:val="2"/>
          <w:sz w:val="21"/>
          <w:szCs w:val="21"/>
          <w:highlight w:val="none"/>
        </w:rPr>
        <w:t>、运输、临时保管、现场安装调试、集成与对接、验收配合、技术培训、售后服务及伴随的其他全部内容。</w:t>
      </w:r>
      <w:r>
        <w:rPr>
          <w:rFonts w:hint="eastAsia" w:ascii="宋体" w:hAnsi="宋体" w:eastAsia="宋体" w:cs="宋体"/>
          <w:snapToGrid/>
          <w:color w:val="auto"/>
          <w:kern w:val="2"/>
          <w:sz w:val="21"/>
          <w:szCs w:val="21"/>
          <w:highlight w:val="none"/>
        </w:rPr>
        <w:t>具体以</w:t>
      </w:r>
      <w:r>
        <w:rPr>
          <w:rFonts w:hint="eastAsia" w:ascii="宋体" w:hAnsi="宋体" w:eastAsia="宋体" w:cs="宋体"/>
          <w:snapToGrid/>
          <w:color w:val="auto"/>
          <w:kern w:val="2"/>
          <w:sz w:val="21"/>
          <w:szCs w:val="21"/>
          <w:highlight w:val="none"/>
          <w:lang w:val="en-US" w:eastAsia="zh-CN"/>
        </w:rPr>
        <w:t>采购</w:t>
      </w:r>
      <w:r>
        <w:rPr>
          <w:rFonts w:hint="eastAsia" w:ascii="宋体" w:hAnsi="宋体" w:eastAsia="宋体" w:cs="宋体"/>
          <w:snapToGrid/>
          <w:color w:val="auto"/>
          <w:kern w:val="2"/>
          <w:sz w:val="21"/>
          <w:szCs w:val="21"/>
          <w:highlight w:val="none"/>
        </w:rPr>
        <w:t>文件第</w:t>
      </w:r>
      <w:r>
        <w:rPr>
          <w:rFonts w:hint="eastAsia" w:ascii="宋体" w:hAnsi="宋体" w:eastAsia="宋体" w:cs="宋体"/>
          <w:snapToGrid/>
          <w:color w:val="auto"/>
          <w:kern w:val="2"/>
          <w:sz w:val="21"/>
          <w:szCs w:val="21"/>
          <w:highlight w:val="none"/>
          <w:lang w:val="en-US" w:eastAsia="zh-CN"/>
        </w:rPr>
        <w:t>三章</w:t>
      </w:r>
      <w:r>
        <w:rPr>
          <w:rFonts w:hint="eastAsia" w:ascii="宋体" w:hAnsi="宋体" w:eastAsia="宋体" w:cs="宋体"/>
          <w:snapToGrid/>
          <w:color w:val="auto"/>
          <w:kern w:val="2"/>
          <w:sz w:val="21"/>
          <w:szCs w:val="21"/>
          <w:highlight w:val="none"/>
        </w:rPr>
        <w:t>采购需求为准，供应商可点击本公告下方“浏览采购文件”查看采购需求。</w:t>
      </w:r>
    </w:p>
    <w:p w14:paraId="06CA4BF0">
      <w:pPr>
        <w:pStyle w:val="17"/>
        <w:keepNext w:val="0"/>
        <w:keepLines w:val="0"/>
        <w:pageBreakBefore w:val="0"/>
        <w:kinsoku/>
        <w:wordWrap/>
        <w:overflowPunct/>
        <w:topLinePunct w:val="0"/>
        <w:autoSpaceDE/>
        <w:autoSpaceDN/>
        <w:bidi w:val="0"/>
        <w:adjustRightInd w:val="0"/>
        <w:spacing w:before="0" w:line="288" w:lineRule="auto"/>
        <w:ind w:left="0" w:firstLine="482"/>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合同履约期限：</w:t>
      </w:r>
      <w:r>
        <w:rPr>
          <w:rFonts w:hint="eastAsia" w:ascii="宋体" w:hAnsi="宋体" w:eastAsia="宋体" w:cs="宋体"/>
          <w:b/>
          <w:color w:val="auto"/>
          <w:sz w:val="21"/>
          <w:szCs w:val="21"/>
          <w:highlight w:val="none"/>
          <w:lang w:val="en-US" w:eastAsia="zh-CN"/>
        </w:rPr>
        <w:t>自合同签订之日起</w:t>
      </w:r>
      <w:r>
        <w:rPr>
          <w:rFonts w:hint="eastAsia" w:ascii="宋体" w:hAnsi="宋体" w:cs="宋体"/>
          <w:b/>
          <w:color w:val="auto"/>
          <w:sz w:val="21"/>
          <w:szCs w:val="21"/>
          <w:highlight w:val="none"/>
          <w:lang w:val="en-US" w:eastAsia="zh-CN"/>
        </w:rPr>
        <w:t>60</w:t>
      </w:r>
      <w:r>
        <w:rPr>
          <w:rFonts w:hint="eastAsia" w:ascii="宋体" w:hAnsi="宋体" w:eastAsia="宋体" w:cs="宋体"/>
          <w:b/>
          <w:color w:val="auto"/>
          <w:sz w:val="21"/>
          <w:szCs w:val="21"/>
          <w:highlight w:val="none"/>
          <w:lang w:val="en-US" w:eastAsia="zh-CN"/>
        </w:rPr>
        <w:t>日内交付。</w:t>
      </w:r>
    </w:p>
    <w:p w14:paraId="78297E07">
      <w:pPr>
        <w:pStyle w:val="6"/>
        <w:keepNext w:val="0"/>
        <w:keepLines w:val="0"/>
        <w:pageBreakBefore w:val="0"/>
        <w:kinsoku/>
        <w:wordWrap/>
        <w:overflowPunct/>
        <w:topLinePunct w:val="0"/>
        <w:autoSpaceDE/>
        <w:autoSpaceDN/>
        <w:bidi w:val="0"/>
        <w:adjustRightInd w:val="0"/>
        <w:spacing w:line="288" w:lineRule="auto"/>
        <w:ind w:left="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本项目接受联合体</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w:t>
      </w:r>
      <w:sdt>
        <w:sdtPr>
          <w:rPr>
            <w:rFonts w:hint="eastAsia" w:ascii="宋体" w:hAnsi="宋体" w:eastAsia="宋体" w:cs="宋体"/>
            <w:color w:val="auto"/>
            <w:kern w:val="0"/>
            <w:sz w:val="21"/>
            <w:szCs w:val="21"/>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snapToGrid w:val="0"/>
              <w:color w:val="auto"/>
              <w:kern w:val="0"/>
              <w:sz w:val="21"/>
              <w:szCs w:val="21"/>
              <w:highlight w:val="none"/>
              <w:lang w:val="en-US" w:eastAsia="zh-CN" w:bidi="ar-SA"/>
            </w:rPr>
            <w:t>☐</w:t>
          </w:r>
        </w:sdtContent>
      </w:sdt>
      <w:r>
        <w:rPr>
          <w:rFonts w:hint="eastAsia" w:ascii="宋体" w:hAnsi="宋体" w:eastAsia="宋体" w:cs="宋体"/>
          <w:b/>
          <w:color w:val="auto"/>
          <w:sz w:val="21"/>
          <w:szCs w:val="21"/>
          <w:highlight w:val="none"/>
        </w:rPr>
        <w:t>是</w:t>
      </w:r>
      <w:r>
        <w:rPr>
          <w:rFonts w:hint="eastAsia" w:ascii="宋体" w:hAnsi="宋体" w:eastAsia="宋体" w:cs="宋体"/>
          <w:b/>
          <w:snapToGrid/>
          <w:color w:val="auto"/>
          <w:kern w:val="2"/>
          <w:sz w:val="21"/>
          <w:szCs w:val="21"/>
          <w:highlight w:val="none"/>
        </w:rPr>
        <w:t>；</w:t>
      </w:r>
      <w:sdt>
        <w:sdtPr>
          <w:rPr>
            <w:rFonts w:hint="eastAsia" w:ascii="宋体" w:hAnsi="宋体" w:eastAsia="宋体" w:cs="宋体"/>
            <w:color w:val="auto"/>
            <w:kern w:val="0"/>
            <w:sz w:val="21"/>
            <w:szCs w:val="21"/>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snapToGrid w:val="0"/>
              <w:color w:val="auto"/>
              <w:kern w:val="0"/>
              <w:sz w:val="21"/>
              <w:szCs w:val="21"/>
              <w:highlight w:val="none"/>
              <w:lang w:val="en-US" w:eastAsia="zh-CN" w:bidi="ar-SA"/>
            </w:rPr>
            <w:t>þ</w:t>
          </w:r>
        </w:sdtContent>
      </w:sdt>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4269687E">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bookmarkStart w:id="0" w:name="_Hlk101132948"/>
      <w:r>
        <w:rPr>
          <w:rFonts w:hint="eastAsia" w:ascii="宋体" w:hAnsi="宋体" w:eastAsia="宋体" w:cs="宋体"/>
          <w:b/>
          <w:color w:val="auto"/>
          <w:sz w:val="21"/>
          <w:szCs w:val="21"/>
          <w:highlight w:val="none"/>
        </w:rPr>
        <w:t>申请人的资格要求</w:t>
      </w:r>
      <w:bookmarkEnd w:id="0"/>
      <w:r>
        <w:rPr>
          <w:rFonts w:hint="eastAsia" w:ascii="宋体" w:hAnsi="宋体" w:eastAsia="宋体" w:cs="宋体"/>
          <w:b/>
          <w:color w:val="auto"/>
          <w:sz w:val="21"/>
          <w:szCs w:val="21"/>
          <w:highlight w:val="none"/>
        </w:rPr>
        <w:t>：</w:t>
      </w:r>
    </w:p>
    <w:p w14:paraId="2E7E8938">
      <w:pPr>
        <w:keepNext w:val="0"/>
        <w:keepLines w:val="0"/>
        <w:pageBreakBefore w:val="0"/>
        <w:kinsoku/>
        <w:wordWrap/>
        <w:overflowPunct/>
        <w:topLinePunct w:val="0"/>
        <w:autoSpaceDE/>
        <w:autoSpaceDN/>
        <w:bidi w:val="0"/>
        <w:adjustRightInd w:val="0"/>
        <w:spacing w:line="288" w:lineRule="auto"/>
        <w:ind w:left="0" w:firstLine="480"/>
        <w:textAlignment w:val="auto"/>
        <w:rPr>
          <w:rFonts w:hint="eastAsia" w:ascii="宋体" w:hAnsi="宋体" w:eastAsia="宋体" w:cs="宋体"/>
          <w:strike/>
          <w:snapToGrid w:val="0"/>
          <w:color w:val="auto"/>
          <w:kern w:val="28"/>
          <w:sz w:val="21"/>
          <w:szCs w:val="21"/>
          <w:highlight w:val="none"/>
          <w:lang w:eastAsia="zh-CN"/>
        </w:rPr>
      </w:pPr>
      <w:r>
        <w:rPr>
          <w:rFonts w:hint="eastAsia" w:ascii="宋体" w:hAnsi="宋体" w:eastAsia="宋体" w:cs="宋体"/>
          <w:snapToGrid w:val="0"/>
          <w:color w:val="auto"/>
          <w:kern w:val="28"/>
          <w:sz w:val="21"/>
          <w:szCs w:val="21"/>
          <w:highlight w:val="none"/>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1819C4BA">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2.以联合体形式</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的，提供联合协议(本项目不接受联合体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或者</w:t>
      </w:r>
      <w:r>
        <w:rPr>
          <w:rFonts w:hint="eastAsia" w:ascii="宋体" w:hAnsi="宋体" w:eastAsia="宋体" w:cs="宋体"/>
          <w:snapToGrid w:val="0"/>
          <w:color w:val="auto"/>
          <w:kern w:val="28"/>
          <w:sz w:val="21"/>
          <w:szCs w:val="21"/>
          <w:highlight w:val="none"/>
          <w:lang w:eastAsia="zh-CN"/>
        </w:rPr>
        <w:t>供应商</w:t>
      </w:r>
      <w:r>
        <w:rPr>
          <w:rFonts w:hint="eastAsia" w:ascii="宋体" w:hAnsi="宋体" w:eastAsia="宋体" w:cs="宋体"/>
          <w:snapToGrid w:val="0"/>
          <w:color w:val="auto"/>
          <w:kern w:val="28"/>
          <w:sz w:val="21"/>
          <w:szCs w:val="21"/>
          <w:highlight w:val="none"/>
        </w:rPr>
        <w:t>不以联合体形式</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的，则不需要提供)；</w:t>
      </w:r>
    </w:p>
    <w:p w14:paraId="111CE488">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r>
        <w:rPr>
          <w:rFonts w:hint="eastAsia" w:ascii="宋体" w:hAnsi="宋体" w:eastAsia="宋体" w:cs="宋体"/>
          <w:bCs/>
          <w:snapToGrid/>
          <w:color w:val="auto"/>
          <w:kern w:val="2"/>
          <w:sz w:val="21"/>
          <w:szCs w:val="21"/>
          <w:highlight w:val="none"/>
          <w:lang w:val="en-US" w:eastAsia="zh-CN"/>
        </w:rPr>
        <w:t>无</w:t>
      </w:r>
      <w:r>
        <w:rPr>
          <w:rFonts w:hint="eastAsia" w:ascii="宋体" w:hAnsi="宋体" w:eastAsia="宋体" w:cs="宋体"/>
          <w:color w:val="auto"/>
          <w:sz w:val="21"/>
          <w:szCs w:val="21"/>
          <w:highlight w:val="none"/>
        </w:rPr>
        <w:t>；</w:t>
      </w:r>
    </w:p>
    <w:p w14:paraId="27126E5F">
      <w:pPr>
        <w:keepNext w:val="0"/>
        <w:keepLines w:val="0"/>
        <w:pageBreakBefore w:val="0"/>
        <w:kinsoku/>
        <w:wordWrap/>
        <w:overflowPunct/>
        <w:topLinePunct w:val="0"/>
        <w:autoSpaceDE/>
        <w:autoSpaceDN/>
        <w:bidi w:val="0"/>
        <w:adjustRightInd w:val="0"/>
        <w:snapToGri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87D11DC">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三、获取</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w:t>
      </w:r>
      <w:r>
        <w:rPr>
          <w:rFonts w:hint="eastAsia" w:ascii="宋体" w:hAnsi="宋体" w:cs="宋体"/>
          <w:b/>
          <w:color w:val="auto"/>
          <w:sz w:val="21"/>
          <w:szCs w:val="21"/>
          <w:highlight w:val="none"/>
          <w:lang w:eastAsia="zh-CN"/>
        </w:rPr>
        <w:t>：</w:t>
      </w:r>
    </w:p>
    <w:p w14:paraId="194A5DB9">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b/>
          <w:color w:val="auto"/>
          <w:sz w:val="21"/>
          <w:szCs w:val="21"/>
          <w:highlight w:val="none"/>
          <w:lang w:val="en-US" w:eastAsia="zh-CN"/>
        </w:rPr>
        <w:t>自2025年</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lang w:val="en-US" w:eastAsia="zh-CN"/>
        </w:rPr>
        <w:t>月</w:t>
      </w:r>
      <w:r>
        <w:rPr>
          <w:rFonts w:hint="eastAsia" w:ascii="宋体" w:hAnsi="宋体" w:cs="宋体"/>
          <w:b/>
          <w:color w:val="auto"/>
          <w:sz w:val="21"/>
          <w:szCs w:val="21"/>
          <w:highlight w:val="none"/>
          <w:lang w:val="en-US" w:eastAsia="zh-CN"/>
        </w:rPr>
        <w:t>30</w:t>
      </w:r>
      <w:r>
        <w:rPr>
          <w:rFonts w:hint="eastAsia" w:ascii="宋体" w:hAnsi="宋体" w:eastAsia="宋体" w:cs="宋体"/>
          <w:b/>
          <w:color w:val="auto"/>
          <w:sz w:val="21"/>
          <w:szCs w:val="21"/>
          <w:highlight w:val="none"/>
          <w:lang w:val="en-US" w:eastAsia="zh-CN"/>
        </w:rPr>
        <w:t>日始</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7月16日</w:t>
      </w:r>
      <w:r>
        <w:rPr>
          <w:rFonts w:hint="eastAsia" w:ascii="宋体" w:hAnsi="宋体" w:eastAsia="宋体" w:cs="宋体"/>
          <w:color w:val="auto"/>
          <w:sz w:val="21"/>
          <w:szCs w:val="21"/>
          <w:highlight w:val="none"/>
          <w:u w:val="single"/>
          <w:lang w:val="en-US" w:eastAsia="zh-CN"/>
        </w:rPr>
        <w:t>止</w:t>
      </w:r>
      <w:r>
        <w:rPr>
          <w:rFonts w:hint="eastAsia" w:ascii="宋体" w:hAnsi="宋体" w:eastAsia="宋体" w:cs="宋体"/>
          <w:color w:val="auto"/>
          <w:sz w:val="21"/>
          <w:szCs w:val="21"/>
          <w:highlight w:val="none"/>
        </w:rPr>
        <w:t>，每天上午00:00至12:00 ，下午12:00至23:59（北京时间，线上获取法定节假日均可）</w:t>
      </w:r>
    </w:p>
    <w:p w14:paraId="10A3EA7F">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地点（网址）：乐采云平台（https://www.lecaiyun.com/）</w:t>
      </w:r>
    </w:p>
    <w:p w14:paraId="69F1DF6E">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供应商登录</w:t>
      </w:r>
      <w:r>
        <w:rPr>
          <w:rFonts w:hint="eastAsia" w:ascii="宋体" w:hAnsi="宋体" w:eastAsia="宋体" w:cs="宋体"/>
          <w:b w:val="0"/>
          <w:bCs w:val="0"/>
          <w:color w:val="auto"/>
          <w:sz w:val="21"/>
          <w:szCs w:val="21"/>
          <w:highlight w:val="none"/>
        </w:rPr>
        <w:t>乐采云平台（https://www.lecaiyun.com/）</w:t>
      </w:r>
      <w:r>
        <w:rPr>
          <w:rFonts w:hint="eastAsia" w:ascii="宋体" w:hAnsi="宋体" w:eastAsia="宋体" w:cs="宋体"/>
          <w:color w:val="auto"/>
          <w:sz w:val="21"/>
          <w:szCs w:val="21"/>
          <w:highlight w:val="none"/>
        </w:rPr>
        <w:t>在线申请获取采购文件（进入“项目采购”应用，在获取采购文件菜单中选择项目，申请获取采购文件）。</w:t>
      </w:r>
    </w:p>
    <w:p w14:paraId="134688DB">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0</w:t>
      </w:r>
    </w:p>
    <w:p w14:paraId="7CC69651">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、提交</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截止时间、开标时间和地点</w:t>
      </w:r>
      <w:r>
        <w:rPr>
          <w:rFonts w:hint="eastAsia" w:ascii="宋体" w:hAnsi="宋体" w:cs="宋体"/>
          <w:b/>
          <w:color w:val="auto"/>
          <w:sz w:val="21"/>
          <w:szCs w:val="21"/>
          <w:highlight w:val="none"/>
          <w:lang w:eastAsia="zh-CN"/>
        </w:rPr>
        <w:t>：</w:t>
      </w:r>
    </w:p>
    <w:p w14:paraId="14C675F3">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截止时间：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7月16日9点00分</w:t>
      </w:r>
      <w:r>
        <w:rPr>
          <w:rFonts w:hint="eastAsia" w:ascii="宋体" w:hAnsi="宋体" w:eastAsia="宋体" w:cs="宋体"/>
          <w:color w:val="auto"/>
          <w:sz w:val="21"/>
          <w:szCs w:val="21"/>
          <w:highlight w:val="none"/>
          <w:u w:val="single"/>
        </w:rPr>
        <w:t>00秒</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78642EC4">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提交响应文件</w:t>
      </w:r>
      <w:r>
        <w:rPr>
          <w:rFonts w:hint="eastAsia" w:ascii="宋体" w:hAnsi="宋体" w:eastAsia="宋体" w:cs="宋体"/>
          <w:b/>
          <w:color w:val="auto"/>
          <w:sz w:val="21"/>
          <w:szCs w:val="21"/>
          <w:highlight w:val="none"/>
        </w:rPr>
        <w:t>地点（网址）：</w:t>
      </w:r>
      <w:r>
        <w:rPr>
          <w:rFonts w:hint="eastAsia" w:ascii="宋体" w:hAnsi="宋体" w:eastAsia="宋体" w:cs="宋体"/>
          <w:b/>
          <w:bCs/>
          <w:color w:val="auto"/>
          <w:sz w:val="21"/>
          <w:szCs w:val="21"/>
          <w:highlight w:val="none"/>
        </w:rPr>
        <w:t>乐采云平台（https://www.lecaiyun.com/）/杭州市西湖区玉古路173号中田大厦21楼（求是招标会议室</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p>
    <w:p w14:paraId="451AB318">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7月16日9点00分</w:t>
      </w:r>
      <w:r>
        <w:rPr>
          <w:rFonts w:hint="eastAsia" w:ascii="宋体" w:hAnsi="宋体" w:eastAsia="宋体" w:cs="宋体"/>
          <w:color w:val="auto"/>
          <w:sz w:val="21"/>
          <w:szCs w:val="21"/>
          <w:highlight w:val="none"/>
          <w:u w:val="single"/>
        </w:rPr>
        <w:t>00秒</w:t>
      </w:r>
      <w:r>
        <w:rPr>
          <w:rFonts w:hint="eastAsia" w:ascii="宋体" w:hAnsi="宋体" w:eastAsia="宋体" w:cs="宋体"/>
          <w:bCs/>
          <w:color w:val="auto"/>
          <w:sz w:val="21"/>
          <w:szCs w:val="21"/>
          <w:highlight w:val="none"/>
          <w:u w:val="single"/>
        </w:rPr>
        <w:t xml:space="preserve">  （北京时间）</w:t>
      </w:r>
    </w:p>
    <w:p w14:paraId="015144E5">
      <w:pPr>
        <w:keepNext w:val="0"/>
        <w:keepLines w:val="0"/>
        <w:pageBreakBefore w:val="0"/>
        <w:widowControl/>
        <w:kinsoku/>
        <w:wordWrap/>
        <w:overflowPunct/>
        <w:topLinePunct w:val="0"/>
        <w:autoSpaceDE/>
        <w:autoSpaceDN/>
        <w:bidi w:val="0"/>
        <w:adjustRightInd w:val="0"/>
        <w:snapToGrid w:val="0"/>
        <w:spacing w:line="288" w:lineRule="auto"/>
        <w:ind w:left="0" w:firstLine="422" w:firstLineChars="20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开标地点（网址）：</w:t>
      </w:r>
      <w:r>
        <w:rPr>
          <w:rFonts w:hint="eastAsia" w:ascii="宋体" w:hAnsi="宋体" w:eastAsia="宋体" w:cs="宋体"/>
          <w:b/>
          <w:bCs/>
          <w:color w:val="auto"/>
          <w:sz w:val="21"/>
          <w:szCs w:val="21"/>
          <w:highlight w:val="none"/>
        </w:rPr>
        <w:t>乐采云平台（https://www.lecaiyun.com/）/杭州市西湖区玉古路173号中田大厦21楼（求是招标会议室</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p>
    <w:p w14:paraId="06D00A4B">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color w:val="auto"/>
          <w:sz w:val="21"/>
          <w:szCs w:val="21"/>
          <w:highlight w:val="none"/>
          <w:lang w:val="en-US" w:eastAsia="zh-CN"/>
        </w:rPr>
        <w:t>五、公告期限：</w:t>
      </w:r>
      <w:r>
        <w:rPr>
          <w:rFonts w:hint="eastAsia" w:ascii="宋体" w:hAnsi="宋体" w:eastAsia="宋体" w:cs="宋体"/>
          <w:bCs/>
          <w:color w:val="auto"/>
          <w:sz w:val="21"/>
          <w:szCs w:val="21"/>
          <w:highlight w:val="none"/>
        </w:rPr>
        <w:t>自本公告发布之日起</w:t>
      </w:r>
      <w:r>
        <w:rPr>
          <w:rFonts w:hint="eastAsia" w:ascii="宋体" w:hAnsi="宋体" w:eastAsia="宋体" w:cs="宋体"/>
          <w:bCs/>
          <w:snapToGrid/>
          <w:color w:val="auto"/>
          <w:kern w:val="2"/>
          <w:sz w:val="21"/>
          <w:szCs w:val="21"/>
          <w:highlight w:val="none"/>
          <w:lang w:val="en-US" w:eastAsia="zh-CN"/>
        </w:rPr>
        <w:t>3</w:t>
      </w:r>
      <w:r>
        <w:rPr>
          <w:rFonts w:hint="eastAsia" w:ascii="宋体" w:hAnsi="宋体" w:eastAsia="宋体" w:cs="宋体"/>
          <w:bCs/>
          <w:color w:val="auto"/>
          <w:sz w:val="21"/>
          <w:szCs w:val="21"/>
          <w:highlight w:val="none"/>
        </w:rPr>
        <w:t>个工作日。</w:t>
      </w:r>
    </w:p>
    <w:p w14:paraId="2A4BC6DC">
      <w:pPr>
        <w:keepNext w:val="0"/>
        <w:keepLines w:val="0"/>
        <w:pageBreakBefore w:val="0"/>
        <w:numPr>
          <w:ilvl w:val="0"/>
          <w:numId w:val="0"/>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六、其他事项：</w:t>
      </w:r>
    </w:p>
    <w:p w14:paraId="7CB7EE41">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供应商认为采购文件使自己的权益受到损害的，可以自</w:t>
      </w:r>
      <w:r>
        <w:rPr>
          <w:rFonts w:hint="eastAsia" w:ascii="宋体" w:hAnsi="宋体" w:eastAsia="宋体" w:cs="宋体"/>
          <w:color w:val="auto"/>
          <w:sz w:val="21"/>
          <w:szCs w:val="21"/>
          <w:highlight w:val="none"/>
          <w:lang w:eastAsia="zh-CN"/>
        </w:rPr>
        <w:t>获取招标</w:t>
      </w:r>
      <w:r>
        <w:rPr>
          <w:rFonts w:hint="eastAsia" w:ascii="宋体" w:hAnsi="宋体" w:eastAsia="宋体" w:cs="宋体"/>
          <w:color w:val="auto"/>
          <w:sz w:val="21"/>
          <w:szCs w:val="21"/>
          <w:highlight w:val="none"/>
        </w:rPr>
        <w:t>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个工作日内向采购人监督管理部门投诉。</w:t>
      </w:r>
    </w:p>
    <w:p w14:paraId="41853451">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其他事项：电子</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的说明：①电子</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：本项目以数据电文形式，依托“乐采云平台（https://www.lecaiyun.com/）”进行</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活动，不接受纸质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通过乐采云平台电子投标工具制作</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，前往“乐采云平台-服务中心-电子交易客户端”进行下载并安装。乐采云电子交易客户端：https://sitecdn.zcycdn.com/zcy-client/bidding-client-new/official/lcy/LeCaiYunSetup.latest.exe；③</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文件的获取：使用账号登录或者使用CA登录乐采云平台；进入“项目采购”应用，在获取采购文件菜单中选择项目，获取</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文件；④</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的制作：在“乐采云电子交易客户端”中完成“填写基本信息”、“导入</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”、“标书关联”、“标书检查”、“电子签名”、“生成电子标书”等操作；⑤采购人、采购代理机构将依托乐采云平台完成本项目的电子交易活动，平台不接受未按上述方式获取</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文件的供应商进行</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活动； ⑥对未按上述方式获取</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文件的供应商对该文件提出的质疑，采购人或采购代理机构将不予处理；⑦不提供</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文件纸质版；⑧</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的传输递交：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截止时间前将加密的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上传至乐采云平台，还可以在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截止时间前直接提交或者以邮政快递方式递交备份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1份。备份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的制作、存储、密封详见</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文件第二部分第15点—“备份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的解密：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按照平台提示和</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文件的规定在半小时内完成在线解密。通过“乐采云平台”上传递交的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无法按时解密，</w:t>
      </w:r>
      <w:r>
        <w:rPr>
          <w:rFonts w:hint="eastAsia" w:ascii="宋体" w:hAnsi="宋体" w:eastAsia="宋体" w:cs="宋体"/>
          <w:color w:val="auto"/>
          <w:sz w:val="21"/>
          <w:szCs w:val="21"/>
          <w:highlight w:val="none"/>
          <w:lang w:val="en-US" w:eastAsia="zh-CN"/>
        </w:rPr>
        <w:t>潜在</w:t>
      </w:r>
      <w:r>
        <w:rPr>
          <w:rFonts w:hint="eastAsia" w:ascii="宋体" w:hAnsi="宋体" w:eastAsia="宋体" w:cs="宋体"/>
          <w:color w:val="auto"/>
          <w:sz w:val="21"/>
          <w:szCs w:val="21"/>
          <w:highlight w:val="none"/>
        </w:rPr>
        <w:t>供应商递交了备份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的，以备份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为依据，否则视为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撤回。通过“乐采云平台”上传递交的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已按时解密的，备份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自动失效。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仅提交备份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，未在电子交易平台传输递交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无效；⑩具体操作指南：详见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乐采云平台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服务中心-帮助文档-项目采购-操作流程-电子招投标。</w:t>
      </w:r>
    </w:p>
    <w:p w14:paraId="088BECA2">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文件公告期限与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公告的公告期限一致。</w:t>
      </w:r>
    </w:p>
    <w:p w14:paraId="32109446">
      <w:pPr>
        <w:keepNext w:val="0"/>
        <w:keepLines w:val="0"/>
        <w:pageBreakBefore w:val="0"/>
        <w:numPr>
          <w:ilvl w:val="0"/>
          <w:numId w:val="0"/>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七、联系方式：</w:t>
      </w:r>
    </w:p>
    <w:p w14:paraId="0C1E8233">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1、采购人：</w:t>
      </w:r>
      <w:r>
        <w:rPr>
          <w:rFonts w:hint="eastAsia" w:ascii="宋体" w:hAnsi="宋体" w:cs="宋体"/>
          <w:color w:val="auto"/>
          <w:kern w:val="2"/>
          <w:sz w:val="21"/>
          <w:szCs w:val="21"/>
          <w:highlight w:val="none"/>
          <w:lang w:val="en-US" w:eastAsia="zh-CN" w:bidi="ar"/>
        </w:rPr>
        <w:t>杭州市拱墅区教育信息技术中心</w:t>
      </w:r>
    </w:p>
    <w:p w14:paraId="44075B4A">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联系地址：拱墅区上塘路201号</w:t>
      </w:r>
    </w:p>
    <w:p w14:paraId="7A313D59">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宋体" w:hAnsi="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联系人</w:t>
      </w:r>
      <w:r>
        <w:rPr>
          <w:rFonts w:hint="eastAsia" w:ascii="宋体" w:hAnsi="宋体" w:cs="宋体"/>
          <w:color w:val="auto"/>
          <w:kern w:val="2"/>
          <w:sz w:val="21"/>
          <w:szCs w:val="21"/>
          <w:highlight w:val="none"/>
          <w:lang w:val="en-US" w:eastAsia="zh-CN" w:bidi="ar"/>
        </w:rPr>
        <w:t>：王老师</w:t>
      </w:r>
    </w:p>
    <w:p w14:paraId="24768C73">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联系电话：0571-85337081</w:t>
      </w:r>
    </w:p>
    <w:p w14:paraId="7D1AFFEE">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2、采购代理机构：浙江求是招标代理有限公司</w:t>
      </w:r>
    </w:p>
    <w:p w14:paraId="1164BECD">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公司地址：杭州市西湖区玉古路173号中田大厦21楼</w:t>
      </w:r>
    </w:p>
    <w:p w14:paraId="4C3CBCB4">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联系人：陈应俭、俞炳、林心怡</w:t>
      </w:r>
    </w:p>
    <w:p w14:paraId="75E54667">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联系电话：0571-87670302</w:t>
      </w:r>
    </w:p>
    <w:p w14:paraId="2ECFC026">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传真：/</w:t>
      </w:r>
    </w:p>
    <w:p w14:paraId="445935A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288"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3、采购人监督管理部门：杭州市拱墅区教育发展服务中心</w:t>
      </w:r>
    </w:p>
    <w:p w14:paraId="29207832">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联系人：韩老师</w:t>
      </w:r>
    </w:p>
    <w:p w14:paraId="0F71844D">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监督投诉电话：0571-85336077</w:t>
      </w:r>
    </w:p>
    <w:p w14:paraId="4C3DF536">
      <w:pPr>
        <w:keepNext w:val="0"/>
        <w:keepLines w:val="0"/>
        <w:pageBreakBefore w:val="0"/>
        <w:widowControl w:val="0"/>
        <w:suppressLineNumbers w:val="0"/>
        <w:kinsoku/>
        <w:wordWrap/>
        <w:overflowPunct/>
        <w:topLinePunct w:val="0"/>
        <w:autoSpaceDE/>
        <w:autoSpaceDN/>
        <w:bidi w:val="0"/>
        <w:adjustRightInd w:val="0"/>
        <w:spacing w:beforeAutospacing="0" w:after="0" w:afterAutospacing="0" w:line="288" w:lineRule="auto"/>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地址：拱墅区上塘路201号</w:t>
      </w:r>
    </w:p>
    <w:p w14:paraId="109D8703">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若对项目采购电子交易系统操作有疑问，可登录乐采云</w:t>
      </w:r>
      <w:r>
        <w:rPr>
          <w:rFonts w:hint="eastAsia" w:ascii="宋体" w:hAnsi="宋体" w:eastAsia="宋体" w:cs="宋体"/>
          <w:color w:val="auto"/>
          <w:sz w:val="21"/>
          <w:szCs w:val="21"/>
          <w:highlight w:val="none"/>
          <w:lang w:val="en-US" w:eastAsia="zh-CN"/>
        </w:rPr>
        <w:t>平台</w:t>
      </w:r>
      <w:r>
        <w:rPr>
          <w:rFonts w:hint="eastAsia" w:ascii="宋体" w:hAnsi="宋体" w:eastAsia="宋体" w:cs="宋体"/>
          <w:color w:val="auto"/>
          <w:sz w:val="21"/>
          <w:szCs w:val="21"/>
          <w:highlight w:val="none"/>
        </w:rPr>
        <w:t>（https://www.lecaiyun.com/），点击右侧咨询小采，获取采小蜜智能服务管家帮助，或拨打</w:t>
      </w:r>
      <w:r>
        <w:rPr>
          <w:rFonts w:hint="eastAsia" w:ascii="宋体" w:hAnsi="宋体" w:eastAsia="宋体" w:cs="宋体"/>
          <w:color w:val="auto"/>
          <w:sz w:val="21"/>
          <w:szCs w:val="21"/>
          <w:highlight w:val="none"/>
          <w:lang w:val="en-US" w:eastAsia="zh-CN"/>
        </w:rPr>
        <w:t>乐</w:t>
      </w:r>
      <w:r>
        <w:rPr>
          <w:rFonts w:hint="eastAsia" w:ascii="宋体" w:hAnsi="宋体" w:eastAsia="宋体" w:cs="宋体"/>
          <w:color w:val="auto"/>
          <w:sz w:val="21"/>
          <w:szCs w:val="21"/>
          <w:highlight w:val="none"/>
        </w:rPr>
        <w:t>采云有限公司服务热线95763获取热线服务帮助。</w:t>
      </w:r>
    </w:p>
    <w:p w14:paraId="3B260656">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18CB847B">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ascii="宋体"/>
          <w:snapToGrid w:val="0"/>
          <w:color w:val="auto"/>
          <w:highlight w:val="none"/>
        </w:rPr>
      </w:pPr>
      <w:r>
        <w:rPr>
          <w:color w:val="auto"/>
          <w:highlight w:val="none"/>
        </w:rPr>
        <w:br w:type="page"/>
      </w:r>
    </w:p>
    <w:p w14:paraId="329DBC41">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宋体" w:hAnsi="宋体" w:cs="宋体"/>
          <w:b/>
          <w:color w:val="auto"/>
          <w:sz w:val="36"/>
          <w:szCs w:val="20"/>
          <w:highlight w:val="none"/>
        </w:rPr>
      </w:pPr>
      <w:bookmarkStart w:id="1" w:name="_Toc273624872"/>
      <w:bookmarkStart w:id="2" w:name="_Toc1460"/>
      <w:bookmarkStart w:id="3" w:name="_Toc20025"/>
      <w:r>
        <w:rPr>
          <w:rFonts w:hint="eastAsia" w:ascii="宋体" w:hAnsi="宋体" w:cs="宋体"/>
          <w:b/>
          <w:color w:val="auto"/>
          <w:sz w:val="36"/>
          <w:szCs w:val="20"/>
          <w:highlight w:val="none"/>
        </w:rPr>
        <w:t xml:space="preserve">第二章  </w:t>
      </w:r>
      <w:bookmarkEnd w:id="1"/>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p>
    <w:p w14:paraId="4FC08B11">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前附表</w:t>
      </w:r>
      <w:bookmarkEnd w:id="2"/>
      <w:bookmarkEnd w:id="3"/>
    </w:p>
    <w:tbl>
      <w:tblPr>
        <w:tblStyle w:val="12"/>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695"/>
        <w:gridCol w:w="1725"/>
        <w:gridCol w:w="7046"/>
      </w:tblGrid>
      <w:tr w14:paraId="5E1E1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16" w:hRule="atLeast"/>
          <w:jc w:val="center"/>
        </w:trPr>
        <w:tc>
          <w:tcPr>
            <w:tcW w:w="367" w:type="pct"/>
            <w:tcBorders>
              <w:tl2br w:val="nil"/>
              <w:tr2bl w:val="nil"/>
            </w:tcBorders>
            <w:vAlign w:val="center"/>
          </w:tcPr>
          <w:p w14:paraId="547618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bookmarkStart w:id="4" w:name="_Toc82338238"/>
            <w:bookmarkStart w:id="5" w:name="_Toc211745567"/>
            <w:bookmarkStart w:id="6" w:name="_Toc82873321"/>
            <w:bookmarkStart w:id="7" w:name="_Toc204"/>
            <w:bookmarkStart w:id="8" w:name="_Toc10541"/>
            <w:r>
              <w:rPr>
                <w:rFonts w:hint="eastAsia" w:ascii="宋体" w:hAnsi="宋体" w:eastAsia="宋体" w:cs="宋体"/>
                <w:b/>
                <w:bCs w:val="0"/>
                <w:color w:val="auto"/>
                <w:sz w:val="21"/>
                <w:szCs w:val="21"/>
                <w:highlight w:val="none"/>
              </w:rPr>
              <w:t>序号</w:t>
            </w:r>
          </w:p>
        </w:tc>
        <w:tc>
          <w:tcPr>
            <w:tcW w:w="911" w:type="pct"/>
            <w:tcBorders>
              <w:tl2br w:val="nil"/>
              <w:tr2bl w:val="nil"/>
            </w:tcBorders>
            <w:vAlign w:val="center"/>
          </w:tcPr>
          <w:p w14:paraId="6C7830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事项</w:t>
            </w:r>
          </w:p>
        </w:tc>
        <w:tc>
          <w:tcPr>
            <w:tcW w:w="3721" w:type="pct"/>
            <w:tcBorders>
              <w:tl2br w:val="nil"/>
              <w:tr2bl w:val="nil"/>
            </w:tcBorders>
            <w:vAlign w:val="center"/>
          </w:tcPr>
          <w:p w14:paraId="0DDD8B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20210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16" w:hRule="atLeast"/>
          <w:jc w:val="center"/>
        </w:trPr>
        <w:tc>
          <w:tcPr>
            <w:tcW w:w="367" w:type="pct"/>
            <w:tcBorders>
              <w:tl2br w:val="nil"/>
              <w:tr2bl w:val="nil"/>
            </w:tcBorders>
            <w:vAlign w:val="center"/>
          </w:tcPr>
          <w:p w14:paraId="1D5FE6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p>
        </w:tc>
        <w:tc>
          <w:tcPr>
            <w:tcW w:w="911" w:type="pct"/>
            <w:tcBorders>
              <w:tl2br w:val="nil"/>
              <w:tr2bl w:val="nil"/>
            </w:tcBorders>
            <w:vAlign w:val="center"/>
          </w:tcPr>
          <w:p w14:paraId="12F7A8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项目属性</w:t>
            </w:r>
          </w:p>
        </w:tc>
        <w:tc>
          <w:tcPr>
            <w:tcW w:w="3721" w:type="pct"/>
            <w:tcBorders>
              <w:tl2br w:val="nil"/>
              <w:tr2bl w:val="nil"/>
            </w:tcBorders>
            <w:vAlign w:val="center"/>
          </w:tcPr>
          <w:p w14:paraId="18B80DD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货物类</w:t>
            </w:r>
            <w:r>
              <w:rPr>
                <w:rFonts w:hint="eastAsia" w:ascii="宋体" w:hAnsi="宋体" w:eastAsia="宋体" w:cs="宋体"/>
                <w:color w:val="auto"/>
                <w:kern w:val="0"/>
                <w:sz w:val="21"/>
                <w:szCs w:val="21"/>
                <w:highlight w:val="none"/>
              </w:rPr>
              <w:t>。</w:t>
            </w:r>
          </w:p>
        </w:tc>
      </w:tr>
      <w:tr w14:paraId="061BE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35" w:hRule="atLeast"/>
          <w:jc w:val="center"/>
        </w:trPr>
        <w:tc>
          <w:tcPr>
            <w:tcW w:w="367" w:type="pct"/>
            <w:tcBorders>
              <w:tl2br w:val="nil"/>
              <w:tr2bl w:val="nil"/>
            </w:tcBorders>
            <w:vAlign w:val="center"/>
          </w:tcPr>
          <w:p w14:paraId="00771F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2</w:t>
            </w:r>
          </w:p>
        </w:tc>
        <w:tc>
          <w:tcPr>
            <w:tcW w:w="911" w:type="pct"/>
            <w:tcBorders>
              <w:tl2br w:val="nil"/>
              <w:tr2bl w:val="nil"/>
            </w:tcBorders>
            <w:vAlign w:val="center"/>
          </w:tcPr>
          <w:p w14:paraId="3DA3F5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是否允许采购进口产品</w:t>
            </w:r>
          </w:p>
        </w:tc>
        <w:tc>
          <w:tcPr>
            <w:tcW w:w="3721" w:type="pct"/>
            <w:tcBorders>
              <w:tl2br w:val="nil"/>
              <w:tr2bl w:val="nil"/>
            </w:tcBorders>
            <w:vAlign w:val="center"/>
          </w:tcPr>
          <w:p w14:paraId="62CE0A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80878"/>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kern w:val="0"/>
                <w:sz w:val="21"/>
                <w:szCs w:val="21"/>
                <w:highlight w:val="none"/>
              </w:rPr>
              <w:t>本项目不允许采购进口产品。</w:t>
            </w:r>
          </w:p>
          <w:p w14:paraId="4F732EF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8235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08525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45" w:hRule="atLeast"/>
          <w:jc w:val="center"/>
        </w:trPr>
        <w:tc>
          <w:tcPr>
            <w:tcW w:w="367" w:type="pct"/>
            <w:tcBorders>
              <w:tl2br w:val="nil"/>
              <w:tr2bl w:val="nil"/>
            </w:tcBorders>
            <w:vAlign w:val="center"/>
          </w:tcPr>
          <w:p w14:paraId="04D7EA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3</w:t>
            </w:r>
          </w:p>
        </w:tc>
        <w:tc>
          <w:tcPr>
            <w:tcW w:w="911" w:type="pct"/>
            <w:tcBorders>
              <w:tl2br w:val="nil"/>
              <w:tr2bl w:val="nil"/>
            </w:tcBorders>
            <w:vAlign w:val="center"/>
          </w:tcPr>
          <w:p w14:paraId="2D0C61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分包</w:t>
            </w:r>
          </w:p>
        </w:tc>
        <w:tc>
          <w:tcPr>
            <w:tcW w:w="3721" w:type="pct"/>
            <w:tcBorders>
              <w:tl2br w:val="nil"/>
              <w:tr2bl w:val="nil"/>
            </w:tcBorders>
            <w:vAlign w:val="center"/>
          </w:tcPr>
          <w:p w14:paraId="72B07AF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7715"/>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 xml:space="preserve"> 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lang w:val="en-US" w:eastAsia="zh-CN"/>
              </w:rPr>
              <w:t>货物运输</w:t>
            </w:r>
            <w:r>
              <w:rPr>
                <w:rFonts w:hint="eastAsia" w:ascii="宋体" w:hAnsi="宋体" w:eastAsia="宋体" w:cs="宋体"/>
                <w:color w:val="auto"/>
                <w:sz w:val="21"/>
                <w:szCs w:val="21"/>
                <w:highlight w:val="none"/>
              </w:rPr>
              <w:t>工作分包。</w:t>
            </w:r>
          </w:p>
          <w:p w14:paraId="4F6FDA8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470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212DD1C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50472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1122" w:hRule="atLeast"/>
          <w:jc w:val="center"/>
        </w:trPr>
        <w:tc>
          <w:tcPr>
            <w:tcW w:w="367" w:type="pct"/>
            <w:tcBorders>
              <w:tl2br w:val="nil"/>
              <w:tr2bl w:val="nil"/>
            </w:tcBorders>
            <w:vAlign w:val="center"/>
          </w:tcPr>
          <w:p w14:paraId="027FD0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4</w:t>
            </w:r>
          </w:p>
        </w:tc>
        <w:tc>
          <w:tcPr>
            <w:tcW w:w="911" w:type="pct"/>
            <w:tcBorders>
              <w:tl2br w:val="nil"/>
              <w:tr2bl w:val="nil"/>
            </w:tcBorders>
            <w:vAlign w:val="center"/>
          </w:tcPr>
          <w:p w14:paraId="6E0406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开标前答疑会或现场考察</w:t>
            </w:r>
          </w:p>
        </w:tc>
        <w:tc>
          <w:tcPr>
            <w:tcW w:w="3721" w:type="pct"/>
            <w:tcBorders>
              <w:tl2br w:val="nil"/>
              <w:tr2bl w:val="nil"/>
            </w:tcBorders>
            <w:vAlign w:val="center"/>
          </w:tcPr>
          <w:p w14:paraId="11B31D8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0350"/>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410A00B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5372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1C7B4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105" w:hRule="atLeast"/>
          <w:jc w:val="center"/>
        </w:trPr>
        <w:tc>
          <w:tcPr>
            <w:tcW w:w="367" w:type="pct"/>
            <w:tcBorders>
              <w:tl2br w:val="nil"/>
              <w:tr2bl w:val="nil"/>
            </w:tcBorders>
            <w:vAlign w:val="center"/>
          </w:tcPr>
          <w:p w14:paraId="52E186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5</w:t>
            </w:r>
          </w:p>
        </w:tc>
        <w:tc>
          <w:tcPr>
            <w:tcW w:w="911" w:type="pct"/>
            <w:tcBorders>
              <w:tl2br w:val="nil"/>
              <w:tr2bl w:val="nil"/>
            </w:tcBorders>
            <w:vAlign w:val="center"/>
          </w:tcPr>
          <w:p w14:paraId="1A3F98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样品提供</w:t>
            </w:r>
          </w:p>
        </w:tc>
        <w:tc>
          <w:tcPr>
            <w:tcW w:w="3721" w:type="pct"/>
            <w:tcBorders>
              <w:tl2br w:val="nil"/>
              <w:tr2bl w:val="nil"/>
            </w:tcBorders>
            <w:vAlign w:val="center"/>
          </w:tcPr>
          <w:p w14:paraId="7E3994B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830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21281A4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6652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B要求提供，</w:t>
            </w:r>
          </w:p>
          <w:p w14:paraId="0A2F074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5701BF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7EA1BF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5898DFD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w:t>
            </w:r>
            <w:sdt>
              <w:sdtPr>
                <w:rPr>
                  <w:rFonts w:hint="eastAsia" w:ascii="宋体" w:hAnsi="宋体" w:eastAsia="宋体" w:cs="宋体"/>
                  <w:color w:val="auto"/>
                  <w:kern w:val="0"/>
                  <w:sz w:val="21"/>
                  <w:szCs w:val="21"/>
                  <w:highlight w:val="none"/>
                </w:rPr>
                <w:id w:val="14745278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否；</w:t>
            </w:r>
            <w:sdt>
              <w:sdtPr>
                <w:rPr>
                  <w:rFonts w:hint="eastAsia" w:ascii="宋体" w:hAnsi="宋体" w:eastAsia="宋体" w:cs="宋体"/>
                  <w:color w:val="auto"/>
                  <w:kern w:val="0"/>
                  <w:sz w:val="21"/>
                  <w:szCs w:val="21"/>
                  <w:highlight w:val="none"/>
                </w:rPr>
                <w:id w:val="14747657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E63A30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在上述时间内提供样品并按规定位置安装完毕。超过截止时间的，采购人或采购代理机构将不予接收，并将清场并封闭样品现场。</w:t>
            </w:r>
          </w:p>
          <w:p w14:paraId="2D9B8A1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采购活动结束后，对于未</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提供的样品，采购人、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将通知未</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在规定的时间内取回，逾期未取回的，采购人、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不负保管义务；对于</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提供的样品，采购人将进行保管、封存，并作为履约验收的参考。</w:t>
            </w:r>
          </w:p>
          <w:p w14:paraId="7B103A2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自理。</w:t>
            </w:r>
          </w:p>
        </w:tc>
      </w:tr>
      <w:tr w14:paraId="30F63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542" w:hRule="atLeast"/>
          <w:jc w:val="center"/>
        </w:trPr>
        <w:tc>
          <w:tcPr>
            <w:tcW w:w="367" w:type="pct"/>
            <w:tcBorders>
              <w:tl2br w:val="nil"/>
              <w:tr2bl w:val="nil"/>
            </w:tcBorders>
            <w:vAlign w:val="center"/>
          </w:tcPr>
          <w:p w14:paraId="16DE16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6</w:t>
            </w:r>
          </w:p>
        </w:tc>
        <w:tc>
          <w:tcPr>
            <w:tcW w:w="911" w:type="pct"/>
            <w:tcBorders>
              <w:tl2br w:val="nil"/>
              <w:tr2bl w:val="nil"/>
            </w:tcBorders>
            <w:vAlign w:val="center"/>
          </w:tcPr>
          <w:p w14:paraId="583527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方案讲解演示</w:t>
            </w:r>
          </w:p>
        </w:tc>
        <w:tc>
          <w:tcPr>
            <w:tcW w:w="3721" w:type="pct"/>
            <w:tcBorders>
              <w:tl2br w:val="nil"/>
              <w:tr2bl w:val="nil"/>
            </w:tcBorders>
            <w:vAlign w:val="center"/>
          </w:tcPr>
          <w:p w14:paraId="624916B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2974"/>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056773A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799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p>
          <w:p w14:paraId="27A009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时安排每个</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进行方案讲解演示。每个</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时间不超过</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分钟，讲解次序以</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解密时间先后次序为准，讲解演示人员不超过</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人。讲解演示结束后按要求解答</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提问。</w:t>
            </w:r>
          </w:p>
          <w:p w14:paraId="79B01A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（2）方案讲解演示方式：</w:t>
            </w:r>
          </w:p>
          <w:p w14:paraId="1FF5117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834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kern w:val="0"/>
                <w:sz w:val="21"/>
                <w:szCs w:val="21"/>
                <w:highlight w:val="none"/>
                <w:lang w:val="en-US" w:eastAsia="zh-CN"/>
              </w:rPr>
              <w:t>现场演示</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现场讲解地点为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自备。现场讲解演示人员进场时提供讲解人员名单（加盖公章或授权代表签名）及身份证明，否则不得讲解演示</w:t>
            </w:r>
          </w:p>
          <w:p w14:paraId="5630D19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lang w:val="en-US" w:eastAsia="zh-CN"/>
              </w:rPr>
            </w:pPr>
            <w:sdt>
              <w:sdtPr>
                <w:rPr>
                  <w:rFonts w:hint="eastAsia" w:ascii="宋体" w:hAnsi="宋体" w:eastAsia="宋体" w:cs="宋体"/>
                  <w:color w:val="auto"/>
                  <w:kern w:val="0"/>
                  <w:sz w:val="21"/>
                  <w:szCs w:val="21"/>
                  <w:highlight w:val="none"/>
                </w:rPr>
                <w:id w:val="147483440"/>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w:t>
            </w:r>
            <w:r>
              <w:rPr>
                <w:rFonts w:hint="eastAsia" w:ascii="宋体" w:hAnsi="宋体" w:eastAsia="宋体" w:cs="宋体"/>
                <w:color w:val="auto"/>
                <w:kern w:val="0"/>
                <w:sz w:val="21"/>
                <w:szCs w:val="21"/>
                <w:highlight w:val="none"/>
                <w:lang w:val="en-US" w:eastAsia="zh-CN"/>
              </w:rPr>
              <w:t>视频演示</w:t>
            </w: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视频演示</w:t>
            </w:r>
            <w:r>
              <w:rPr>
                <w:rFonts w:hint="eastAsia" w:ascii="宋体" w:hAnsi="宋体" w:eastAsia="宋体" w:cs="宋体"/>
                <w:color w:val="auto"/>
                <w:kern w:val="0"/>
                <w:sz w:val="21"/>
                <w:szCs w:val="21"/>
                <w:highlight w:val="none"/>
                <w:lang w:val="en-US" w:eastAsia="zh-CN"/>
              </w:rPr>
              <w:t>邮寄地址为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请各供应商在开标前将相关演示视频通过光盘等形式邮寄至采购代理机构指定地点。视频演示讲解人员名单（加盖公章或授权代表签名）及身份证明应与光盘一同邮寄，否则不得进行视频演示。</w:t>
            </w:r>
          </w:p>
          <w:p w14:paraId="2A5F50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自身原因导致无法演示或者演示效果不理想的，责任自负。</w:t>
            </w:r>
          </w:p>
        </w:tc>
      </w:tr>
      <w:tr w14:paraId="0D124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1" w:hRule="atLeast"/>
          <w:jc w:val="center"/>
        </w:trPr>
        <w:tc>
          <w:tcPr>
            <w:tcW w:w="367" w:type="pct"/>
            <w:vMerge w:val="restart"/>
            <w:tcBorders>
              <w:tl2br w:val="nil"/>
              <w:tr2bl w:val="nil"/>
            </w:tcBorders>
            <w:vAlign w:val="center"/>
          </w:tcPr>
          <w:p w14:paraId="3E5BBE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7</w:t>
            </w:r>
          </w:p>
        </w:tc>
        <w:tc>
          <w:tcPr>
            <w:tcW w:w="911" w:type="pct"/>
            <w:vMerge w:val="restart"/>
            <w:tcBorders>
              <w:tl2br w:val="nil"/>
              <w:tr2bl w:val="nil"/>
            </w:tcBorders>
            <w:vAlign w:val="center"/>
          </w:tcPr>
          <w:p w14:paraId="7D4057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应当提供的资格、资信证明文件</w:t>
            </w:r>
          </w:p>
        </w:tc>
        <w:tc>
          <w:tcPr>
            <w:tcW w:w="3721" w:type="pct"/>
            <w:tcBorders>
              <w:tl2br w:val="nil"/>
              <w:tr2bl w:val="nil"/>
            </w:tcBorders>
            <w:vAlign w:val="center"/>
          </w:tcPr>
          <w:p w14:paraId="2FF950C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文件第二部分11.1。</w:t>
            </w:r>
          </w:p>
          <w:p w14:paraId="3069B1D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供应商未提供有效的资格证明文件的，视为供应商不具备采购文件中规定的资格要求，响应无效。</w:t>
            </w:r>
          </w:p>
        </w:tc>
      </w:tr>
      <w:tr w14:paraId="5AFD4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34" w:hRule="atLeast"/>
          <w:jc w:val="center"/>
        </w:trPr>
        <w:tc>
          <w:tcPr>
            <w:tcW w:w="367" w:type="pct"/>
            <w:vMerge w:val="continue"/>
            <w:tcBorders>
              <w:tl2br w:val="nil"/>
              <w:tr2bl w:val="nil"/>
            </w:tcBorders>
            <w:vAlign w:val="center"/>
          </w:tcPr>
          <w:p w14:paraId="5D2AC6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911" w:type="pct"/>
            <w:vMerge w:val="continue"/>
            <w:tcBorders>
              <w:tl2br w:val="nil"/>
              <w:tr2bl w:val="nil"/>
            </w:tcBorders>
            <w:vAlign w:val="center"/>
          </w:tcPr>
          <w:p w14:paraId="7DB8C4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3721" w:type="pct"/>
            <w:tcBorders>
              <w:tl2br w:val="nil"/>
              <w:tr2bl w:val="nil"/>
            </w:tcBorders>
            <w:vAlign w:val="center"/>
          </w:tcPr>
          <w:p w14:paraId="2F0F24D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val="en-US" w:eastAsia="zh-CN"/>
              </w:rPr>
              <w:t>四章</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val="en-US" w:eastAsia="zh-CN"/>
              </w:rPr>
              <w:t>办法内容</w:t>
            </w:r>
            <w:r>
              <w:rPr>
                <w:rFonts w:hint="eastAsia" w:ascii="宋体" w:hAnsi="宋体" w:eastAsia="宋体" w:cs="宋体"/>
                <w:color w:val="auto"/>
                <w:sz w:val="21"/>
                <w:szCs w:val="21"/>
                <w:highlight w:val="none"/>
              </w:rPr>
              <w:t>提供。</w:t>
            </w:r>
          </w:p>
        </w:tc>
      </w:tr>
      <w:tr w14:paraId="68CD6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86" w:hRule="atLeast"/>
          <w:jc w:val="center"/>
        </w:trPr>
        <w:tc>
          <w:tcPr>
            <w:tcW w:w="367" w:type="pct"/>
            <w:tcBorders>
              <w:tl2br w:val="nil"/>
              <w:tr2bl w:val="nil"/>
            </w:tcBorders>
            <w:vAlign w:val="center"/>
          </w:tcPr>
          <w:p w14:paraId="17F121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8</w:t>
            </w:r>
          </w:p>
        </w:tc>
        <w:tc>
          <w:tcPr>
            <w:tcW w:w="911" w:type="pct"/>
            <w:tcBorders>
              <w:tl2br w:val="nil"/>
              <w:tr2bl w:val="nil"/>
            </w:tcBorders>
            <w:vAlign w:val="center"/>
          </w:tcPr>
          <w:p w14:paraId="523223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报价要求</w:t>
            </w:r>
          </w:p>
        </w:tc>
        <w:tc>
          <w:tcPr>
            <w:tcW w:w="3721" w:type="pct"/>
            <w:tcBorders>
              <w:tl2br w:val="nil"/>
              <w:tr2bl w:val="nil"/>
            </w:tcBorders>
            <w:vAlign w:val="center"/>
          </w:tcPr>
          <w:p w14:paraId="6AF3DB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en-US" w:eastAsia="zh-CN"/>
              </w:rPr>
              <w:t>响应</w:t>
            </w:r>
            <w:r>
              <w:rPr>
                <w:rFonts w:hint="eastAsia" w:ascii="宋体" w:hAnsi="宋体" w:eastAsia="宋体" w:cs="宋体"/>
                <w:b/>
                <w:bCs/>
                <w:color w:val="auto"/>
                <w:kern w:val="0"/>
                <w:sz w:val="21"/>
                <w:szCs w:val="21"/>
                <w:highlight w:val="none"/>
                <w:lang w:val="zh-CN"/>
              </w:rPr>
              <w:t>文件</w:t>
            </w:r>
            <w:r>
              <w:rPr>
                <w:rFonts w:hint="eastAsia" w:ascii="宋体" w:hAnsi="宋体" w:eastAsia="宋体" w:cs="宋体"/>
                <w:b/>
                <w:bCs/>
                <w:color w:val="auto"/>
                <w:sz w:val="21"/>
                <w:szCs w:val="21"/>
                <w:highlight w:val="none"/>
              </w:rPr>
              <w:t>开标一览表（报价表）是报价的唯一载体，如</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在</w:t>
            </w:r>
            <w:r>
              <w:rPr>
                <w:rFonts w:hint="eastAsia" w:ascii="宋体" w:hAnsi="宋体" w:eastAsia="宋体" w:cs="宋体"/>
                <w:b/>
                <w:bCs/>
                <w:color w:val="auto"/>
                <w:sz w:val="21"/>
                <w:szCs w:val="21"/>
                <w:highlight w:val="none"/>
                <w:lang w:val="en-US" w:eastAsia="zh-CN"/>
              </w:rPr>
              <w:t>乐采云</w:t>
            </w:r>
            <w:r>
              <w:rPr>
                <w:rFonts w:hint="eastAsia" w:ascii="宋体" w:hAnsi="宋体" w:eastAsia="宋体" w:cs="宋体"/>
                <w:b/>
                <w:bCs/>
                <w:color w:val="auto"/>
                <w:sz w:val="21"/>
                <w:szCs w:val="21"/>
                <w:highlight w:val="none"/>
              </w:rPr>
              <w:t>平台填写的报价与</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文件报价文件中开标一览表（报价表）不一致的，以</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文件中开标一览表（报价表）为准。</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lang w:val="zh-CN"/>
              </w:rPr>
              <w:t>文件中价格全部采用人民币报价。</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val="zh-CN"/>
              </w:rPr>
              <w:t>文件未列明，而</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zh-CN"/>
              </w:rPr>
              <w:t>认为必需的费用也需列入报价。</w:t>
            </w:r>
            <w:r>
              <w:rPr>
                <w:rFonts w:hint="eastAsia" w:ascii="宋体" w:hAnsi="宋体" w:eastAsia="宋体" w:cs="宋体"/>
                <w:b/>
                <w:color w:val="auto"/>
                <w:kern w:val="0"/>
                <w:sz w:val="21"/>
                <w:szCs w:val="21"/>
                <w:highlight w:val="none"/>
                <w:lang w:val="zh-CN"/>
              </w:rPr>
              <w:t>提醒：验收时检测费用由采购人承担，不包含在响应总价中。</w:t>
            </w:r>
          </w:p>
          <w:p w14:paraId="134ABA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lang w:val="zh-CN"/>
              </w:rPr>
              <w:t>报价出现下列情形的，响应无效：</w:t>
            </w:r>
          </w:p>
          <w:p w14:paraId="59E620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lang w:val="zh-CN"/>
              </w:rPr>
              <w:t>文件出现不是唯一的、有选择性响应报价的；</w:t>
            </w:r>
          </w:p>
          <w:p w14:paraId="2ADA96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lang w:val="zh-CN"/>
              </w:rPr>
              <w:t>报价超过</w:t>
            </w:r>
            <w:r>
              <w:rPr>
                <w:rFonts w:hint="eastAsia" w:ascii="宋体" w:hAnsi="宋体" w:eastAsia="宋体" w:cs="宋体"/>
                <w:b/>
                <w:color w:val="auto"/>
                <w:kern w:val="0"/>
                <w:sz w:val="21"/>
                <w:szCs w:val="21"/>
                <w:highlight w:val="none"/>
                <w:lang w:val="en-US" w:eastAsia="zh-CN"/>
              </w:rPr>
              <w:t>采购</w:t>
            </w:r>
            <w:r>
              <w:rPr>
                <w:rFonts w:hint="eastAsia" w:ascii="宋体" w:hAnsi="宋体" w:eastAsia="宋体" w:cs="宋体"/>
                <w:b/>
                <w:color w:val="auto"/>
                <w:kern w:val="0"/>
                <w:sz w:val="21"/>
                <w:szCs w:val="21"/>
                <w:highlight w:val="none"/>
                <w:lang w:val="zh-CN"/>
              </w:rPr>
              <w:t>文件中规定的预算金额或者最高限价的；</w:t>
            </w:r>
          </w:p>
          <w:p w14:paraId="6D59FDC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kern w:val="0"/>
                <w:sz w:val="21"/>
                <w:szCs w:val="21"/>
                <w:highlight w:val="none"/>
              </w:rPr>
              <w:t>报价明显低于其他通过符合性审查</w:t>
            </w:r>
            <w:r>
              <w:rPr>
                <w:rFonts w:hint="eastAsia" w:ascii="宋体" w:hAnsi="宋体" w:eastAsia="宋体" w:cs="宋体"/>
                <w:b/>
                <w:color w:val="auto"/>
                <w:kern w:val="0"/>
                <w:sz w:val="21"/>
                <w:szCs w:val="21"/>
                <w:highlight w:val="none"/>
                <w:lang w:val="en-US" w:eastAsia="zh-CN"/>
              </w:rPr>
              <w:t>供应商</w:t>
            </w:r>
            <w:r>
              <w:rPr>
                <w:rFonts w:hint="eastAsia" w:ascii="宋体" w:hAnsi="宋体" w:eastAsia="宋体" w:cs="宋体"/>
                <w:b/>
                <w:color w:val="auto"/>
                <w:kern w:val="0"/>
                <w:sz w:val="21"/>
                <w:szCs w:val="21"/>
                <w:highlight w:val="none"/>
              </w:rPr>
              <w:t>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lang w:eastAsia="zh-CN"/>
              </w:rPr>
              <w:t>；</w:t>
            </w:r>
          </w:p>
          <w:p w14:paraId="4624440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en-US" w:eastAsia="zh-CN"/>
              </w:rPr>
              <w:t>供应商</w:t>
            </w:r>
            <w:r>
              <w:rPr>
                <w:rFonts w:hint="eastAsia" w:ascii="宋体" w:hAnsi="宋体" w:eastAsia="宋体" w:cs="宋体"/>
                <w:b/>
                <w:color w:val="auto"/>
                <w:kern w:val="0"/>
                <w:sz w:val="21"/>
                <w:szCs w:val="21"/>
                <w:highlight w:val="none"/>
              </w:rPr>
              <w:t>对根据修正原则修正后的报价不确认的</w:t>
            </w:r>
            <w:r>
              <w:rPr>
                <w:rFonts w:hint="eastAsia" w:ascii="宋体" w:hAnsi="宋体" w:eastAsia="宋体" w:cs="宋体"/>
                <w:b/>
                <w:color w:val="auto"/>
                <w:sz w:val="21"/>
                <w:szCs w:val="21"/>
                <w:highlight w:val="none"/>
              </w:rPr>
              <w:t>。</w:t>
            </w:r>
          </w:p>
        </w:tc>
      </w:tr>
      <w:tr w14:paraId="6A309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61" w:hRule="atLeast"/>
          <w:jc w:val="center"/>
        </w:trPr>
        <w:tc>
          <w:tcPr>
            <w:tcW w:w="367" w:type="pct"/>
            <w:tcBorders>
              <w:tl2br w:val="nil"/>
              <w:tr2bl w:val="nil"/>
            </w:tcBorders>
            <w:vAlign w:val="center"/>
          </w:tcPr>
          <w:p w14:paraId="5B5690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9</w:t>
            </w:r>
          </w:p>
        </w:tc>
        <w:tc>
          <w:tcPr>
            <w:tcW w:w="911" w:type="pct"/>
            <w:tcBorders>
              <w:tl2br w:val="nil"/>
              <w:tr2bl w:val="nil"/>
            </w:tcBorders>
            <w:vAlign w:val="center"/>
          </w:tcPr>
          <w:p w14:paraId="22EFA1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备份</w:t>
            </w:r>
            <w:r>
              <w:rPr>
                <w:rFonts w:hint="eastAsia" w:ascii="宋体" w:hAnsi="宋体" w:eastAsia="宋体" w:cs="宋体"/>
                <w:b/>
                <w:bCs w:val="0"/>
                <w:color w:val="auto"/>
                <w:sz w:val="21"/>
                <w:szCs w:val="21"/>
                <w:highlight w:val="none"/>
                <w:lang w:eastAsia="zh-CN"/>
              </w:rPr>
              <w:t>响应文件</w:t>
            </w:r>
            <w:r>
              <w:rPr>
                <w:rFonts w:hint="eastAsia" w:ascii="宋体" w:hAnsi="宋体" w:eastAsia="宋体" w:cs="宋体"/>
                <w:b/>
                <w:bCs w:val="0"/>
                <w:color w:val="auto"/>
                <w:sz w:val="21"/>
                <w:szCs w:val="21"/>
                <w:highlight w:val="none"/>
              </w:rPr>
              <w:t>送达地点和签收人员</w:t>
            </w:r>
          </w:p>
        </w:tc>
        <w:tc>
          <w:tcPr>
            <w:tcW w:w="3721" w:type="pct"/>
            <w:tcBorders>
              <w:tl2br w:val="nil"/>
              <w:tr2bl w:val="nil"/>
            </w:tcBorders>
            <w:vAlign w:val="center"/>
          </w:tcPr>
          <w:p w14:paraId="56E75A0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eastAsia" w:ascii="宋体" w:hAnsi="宋体" w:eastAsia="宋体" w:cs="宋体"/>
                <w:snapToGrid w:val="0"/>
                <w:color w:val="auto"/>
                <w:kern w:val="28"/>
                <w:sz w:val="21"/>
                <w:szCs w:val="21"/>
                <w:highlight w:val="none"/>
                <w:lang w:val="en-US" w:eastAsia="zh-CN" w:bidi="ar-SA"/>
              </w:rPr>
            </w:pPr>
            <w:r>
              <w:rPr>
                <w:rFonts w:hint="eastAsia" w:ascii="宋体" w:hAnsi="宋体" w:eastAsia="宋体" w:cs="宋体"/>
                <w:snapToGrid w:val="0"/>
                <w:color w:val="auto"/>
                <w:kern w:val="28"/>
                <w:sz w:val="21"/>
                <w:szCs w:val="21"/>
                <w:highlight w:val="none"/>
                <w:lang w:val="en-US" w:eastAsia="zh-CN" w:bidi="ar-SA"/>
              </w:rPr>
              <w:t>备份响应文件送达地点：</w:t>
            </w:r>
            <w:r>
              <w:rPr>
                <w:rFonts w:hint="eastAsia" w:ascii="宋体" w:hAnsi="宋体" w:eastAsia="宋体" w:cs="宋体"/>
                <w:snapToGrid w:val="0"/>
                <w:color w:val="auto"/>
                <w:kern w:val="2"/>
                <w:sz w:val="21"/>
                <w:szCs w:val="21"/>
                <w:highlight w:val="none"/>
                <w:u w:val="single"/>
                <w:lang w:val="en-US" w:eastAsia="zh-CN" w:bidi="ar-SA"/>
              </w:rPr>
              <w:t>杭州市西湖区玉古路173号中田大厦21楼</w:t>
            </w:r>
            <w:r>
              <w:rPr>
                <w:rFonts w:hint="eastAsia" w:ascii="宋体" w:hAnsi="宋体" w:eastAsia="宋体" w:cs="宋体"/>
                <w:snapToGrid w:val="0"/>
                <w:color w:val="auto"/>
                <w:kern w:val="28"/>
                <w:sz w:val="21"/>
                <w:szCs w:val="21"/>
                <w:highlight w:val="none"/>
                <w:lang w:val="en-US" w:eastAsia="zh-CN" w:bidi="ar-SA"/>
              </w:rPr>
              <w:t>；备份响应文件签收人员联系电话：</w:t>
            </w:r>
            <w:r>
              <w:rPr>
                <w:rFonts w:hint="eastAsia" w:ascii="宋体" w:hAnsi="宋体" w:eastAsia="宋体" w:cs="宋体"/>
                <w:snapToGrid w:val="0"/>
                <w:color w:val="auto"/>
                <w:kern w:val="2"/>
                <w:sz w:val="21"/>
                <w:szCs w:val="21"/>
                <w:highlight w:val="none"/>
                <w:u w:val="single"/>
                <w:lang w:val="en-US" w:eastAsia="zh-CN" w:bidi="ar-SA"/>
              </w:rPr>
              <w:t>俞炳，0571-87670302</w:t>
            </w:r>
            <w:r>
              <w:rPr>
                <w:rFonts w:hint="eastAsia" w:ascii="宋体" w:hAnsi="宋体" w:eastAsia="宋体" w:cs="宋体"/>
                <w:snapToGrid w:val="0"/>
                <w:color w:val="auto"/>
                <w:kern w:val="2"/>
                <w:sz w:val="21"/>
                <w:szCs w:val="21"/>
                <w:highlight w:val="none"/>
                <w:lang w:val="en-US" w:eastAsia="zh-CN" w:bidi="ar-SA"/>
              </w:rPr>
              <w:t>。</w:t>
            </w:r>
            <w:r>
              <w:rPr>
                <w:rFonts w:hint="eastAsia" w:ascii="宋体" w:hAnsi="宋体" w:eastAsia="宋体" w:cs="宋体"/>
                <w:b/>
                <w:snapToGrid w:val="0"/>
                <w:color w:val="auto"/>
                <w:kern w:val="2"/>
                <w:sz w:val="21"/>
                <w:szCs w:val="21"/>
                <w:highlight w:val="none"/>
                <w:lang w:val="en-US" w:eastAsia="zh-CN" w:bidi="ar-SA"/>
              </w:rPr>
              <w:t>采购人、采购代理机构不强制或变相强制供应商提交备份响应文件。</w:t>
            </w:r>
          </w:p>
        </w:tc>
      </w:tr>
      <w:tr w14:paraId="3BC58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93" w:hRule="atLeast"/>
          <w:jc w:val="center"/>
        </w:trPr>
        <w:tc>
          <w:tcPr>
            <w:tcW w:w="367" w:type="pct"/>
            <w:vMerge w:val="restart"/>
            <w:tcBorders>
              <w:tl2br w:val="nil"/>
              <w:tr2bl w:val="nil"/>
            </w:tcBorders>
            <w:vAlign w:val="center"/>
          </w:tcPr>
          <w:p w14:paraId="7F4BF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0</w:t>
            </w:r>
          </w:p>
        </w:tc>
        <w:tc>
          <w:tcPr>
            <w:tcW w:w="911" w:type="pct"/>
            <w:vMerge w:val="restart"/>
            <w:tcBorders>
              <w:tl2br w:val="nil"/>
              <w:tr2bl w:val="nil"/>
            </w:tcBorders>
            <w:vAlign w:val="center"/>
          </w:tcPr>
          <w:p w14:paraId="6A1946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特别说明</w:t>
            </w:r>
          </w:p>
        </w:tc>
        <w:tc>
          <w:tcPr>
            <w:tcW w:w="3721" w:type="pct"/>
            <w:tcBorders>
              <w:tl2br w:val="nil"/>
              <w:tr2bl w:val="nil"/>
            </w:tcBorders>
            <w:vAlign w:val="center"/>
          </w:tcPr>
          <w:p w14:paraId="0AF75C7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的，联合体各方分别提供与联合体协议中规定的分工内容相应的业绩证明材料，业绩数量以提供材料较少的一方为准。</w:t>
            </w:r>
          </w:p>
        </w:tc>
      </w:tr>
      <w:tr w14:paraId="72258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35" w:hRule="atLeast"/>
          <w:jc w:val="center"/>
        </w:trPr>
        <w:tc>
          <w:tcPr>
            <w:tcW w:w="367" w:type="pct"/>
            <w:vMerge w:val="continue"/>
            <w:tcBorders>
              <w:tl2br w:val="nil"/>
              <w:tr2bl w:val="nil"/>
            </w:tcBorders>
            <w:vAlign w:val="center"/>
          </w:tcPr>
          <w:p w14:paraId="65C576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911" w:type="pct"/>
            <w:vMerge w:val="continue"/>
            <w:tcBorders>
              <w:tl2br w:val="nil"/>
              <w:tr2bl w:val="nil"/>
            </w:tcBorders>
            <w:vAlign w:val="center"/>
          </w:tcPr>
          <w:p w14:paraId="11F2A0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3721" w:type="pct"/>
            <w:tcBorders>
              <w:tl2br w:val="nil"/>
              <w:tr2bl w:val="nil"/>
            </w:tcBorders>
            <w:vAlign w:val="center"/>
          </w:tcPr>
          <w:p w14:paraId="1C03A9B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7282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snapToGrid w:val="0"/>
                <w:color w:val="auto"/>
                <w:kern w:val="28"/>
                <w:sz w:val="21"/>
                <w:szCs w:val="21"/>
                <w:highlight w:val="none"/>
              </w:rPr>
              <w:t>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的，联合体各方均需按</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文件第四部分评标标准要求提供资信证明文件，否则视为不符合相关要求。</w:t>
            </w:r>
          </w:p>
          <w:p w14:paraId="00AE97E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5790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snapToGrid w:val="0"/>
                <w:color w:val="auto"/>
                <w:kern w:val="28"/>
                <w:sz w:val="21"/>
                <w:szCs w:val="21"/>
                <w:highlight w:val="none"/>
              </w:rPr>
              <w:t>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的，联合体中有一方或者联合体成员根据分工按</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文件第四部分评标标准要求提供资信证明文件的，视为符合了相关要求。</w:t>
            </w:r>
          </w:p>
        </w:tc>
      </w:tr>
      <w:tr w14:paraId="17907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08" w:hRule="atLeast"/>
          <w:jc w:val="center"/>
        </w:trPr>
        <w:tc>
          <w:tcPr>
            <w:tcW w:w="367" w:type="pct"/>
            <w:tcBorders>
              <w:tl2br w:val="nil"/>
              <w:tr2bl w:val="nil"/>
            </w:tcBorders>
            <w:vAlign w:val="center"/>
          </w:tcPr>
          <w:p w14:paraId="665408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11</w:t>
            </w:r>
          </w:p>
        </w:tc>
        <w:tc>
          <w:tcPr>
            <w:tcW w:w="911" w:type="pct"/>
            <w:tcBorders>
              <w:tl2br w:val="nil"/>
              <w:tr2bl w:val="nil"/>
            </w:tcBorders>
            <w:vAlign w:val="center"/>
          </w:tcPr>
          <w:p w14:paraId="5DAFFC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推荐供应商家数</w:t>
            </w:r>
          </w:p>
        </w:tc>
        <w:tc>
          <w:tcPr>
            <w:tcW w:w="3721" w:type="pct"/>
            <w:tcBorders>
              <w:tl2br w:val="nil"/>
              <w:tr2bl w:val="nil"/>
            </w:tcBorders>
            <w:vAlign w:val="center"/>
          </w:tcPr>
          <w:p w14:paraId="6B6A088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推荐成交候选人1家</w:t>
            </w:r>
          </w:p>
        </w:tc>
      </w:tr>
      <w:tr w14:paraId="149B9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35" w:hRule="atLeast"/>
          <w:jc w:val="center"/>
        </w:trPr>
        <w:tc>
          <w:tcPr>
            <w:tcW w:w="367" w:type="pct"/>
            <w:tcBorders>
              <w:tl2br w:val="nil"/>
              <w:tr2bl w:val="nil"/>
            </w:tcBorders>
            <w:vAlign w:val="center"/>
          </w:tcPr>
          <w:p w14:paraId="2C5B1A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12</w:t>
            </w:r>
          </w:p>
        </w:tc>
        <w:tc>
          <w:tcPr>
            <w:tcW w:w="911" w:type="pct"/>
            <w:tcBorders>
              <w:tl2br w:val="nil"/>
              <w:tr2bl w:val="nil"/>
            </w:tcBorders>
            <w:vAlign w:val="center"/>
          </w:tcPr>
          <w:p w14:paraId="381261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firstLine="0" w:firstLineChars="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
              </w:rPr>
              <w:t>代理费用收取方式及标准</w:t>
            </w:r>
          </w:p>
        </w:tc>
        <w:tc>
          <w:tcPr>
            <w:tcW w:w="3721" w:type="pct"/>
            <w:tcBorders>
              <w:tl2br w:val="nil"/>
              <w:tr2bl w:val="nil"/>
            </w:tcBorders>
            <w:vAlign w:val="center"/>
          </w:tcPr>
          <w:p w14:paraId="3DAB73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1.不论投标结果如何，</w:t>
            </w:r>
            <w:r>
              <w:rPr>
                <w:rFonts w:hint="eastAsia" w:ascii="宋体" w:hAnsi="宋体" w:cs="宋体"/>
                <w:color w:val="auto"/>
                <w:kern w:val="2"/>
                <w:sz w:val="21"/>
                <w:szCs w:val="21"/>
                <w:highlight w:val="none"/>
                <w:lang w:val="en-US" w:eastAsia="zh-CN" w:bidi="ar"/>
              </w:rPr>
              <w:t>供应商</w:t>
            </w:r>
            <w:r>
              <w:rPr>
                <w:rFonts w:hint="eastAsia" w:ascii="宋体" w:hAnsi="宋体" w:eastAsia="宋体" w:cs="宋体"/>
                <w:color w:val="auto"/>
                <w:kern w:val="2"/>
                <w:sz w:val="21"/>
                <w:szCs w:val="21"/>
                <w:highlight w:val="none"/>
                <w:lang w:val="en-US" w:eastAsia="zh-CN" w:bidi="ar"/>
              </w:rPr>
              <w:t>均应自行承担所有与投标有关的全部费用；</w:t>
            </w:r>
          </w:p>
          <w:p w14:paraId="3325EA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2.成交供应商在成交通知书发出之日起七个工作日内，向采购代理机构交纳代理服务费；</w:t>
            </w:r>
          </w:p>
          <w:p w14:paraId="57CDB7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5425AD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spacing w:val="-6"/>
                <w:kern w:val="2"/>
                <w:sz w:val="21"/>
                <w:szCs w:val="21"/>
                <w:highlight w:val="none"/>
                <w:lang w:val="en-US" w:eastAsia="zh-CN" w:bidi="ar"/>
              </w:rPr>
              <w:t>收费标准：</w:t>
            </w:r>
          </w:p>
          <w:tbl>
            <w:tblPr>
              <w:tblStyle w:val="12"/>
              <w:tblW w:w="56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0" w:type="dxa"/>
                <w:bottom w:w="0" w:type="dxa"/>
                <w:right w:w="0" w:type="dxa"/>
              </w:tblCellMar>
            </w:tblPr>
            <w:tblGrid>
              <w:gridCol w:w="2631"/>
              <w:gridCol w:w="2992"/>
            </w:tblGrid>
            <w:tr w14:paraId="73E014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631" w:type="dxa"/>
                  <w:tcBorders>
                    <w:tl2br w:val="nil"/>
                    <w:tr2bl w:val="nil"/>
                  </w:tcBorders>
                  <w:shd w:val="clear" w:color="auto" w:fill="auto"/>
                  <w:tcMar>
                    <w:left w:w="108" w:type="dxa"/>
                    <w:right w:w="108" w:type="dxa"/>
                  </w:tcMar>
                  <w:vAlign w:val="center"/>
                </w:tcPr>
                <w:p w14:paraId="271B80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成交金额（万元）</w:t>
                  </w:r>
                </w:p>
              </w:tc>
              <w:tc>
                <w:tcPr>
                  <w:tcW w:w="2992" w:type="dxa"/>
                  <w:tcBorders>
                    <w:tl2br w:val="nil"/>
                    <w:tr2bl w:val="nil"/>
                  </w:tcBorders>
                  <w:shd w:val="clear" w:color="auto" w:fill="auto"/>
                  <w:tcMar>
                    <w:left w:w="108" w:type="dxa"/>
                    <w:right w:w="108" w:type="dxa"/>
                  </w:tcMar>
                  <w:vAlign w:val="center"/>
                </w:tcPr>
                <w:p w14:paraId="7AC441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收费标准（费率，%）</w:t>
                  </w:r>
                </w:p>
              </w:tc>
            </w:tr>
            <w:tr w14:paraId="17C0FB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20" w:hRule="atLeast"/>
                <w:jc w:val="center"/>
              </w:trPr>
              <w:tc>
                <w:tcPr>
                  <w:tcW w:w="2631" w:type="dxa"/>
                  <w:tcBorders>
                    <w:tl2br w:val="nil"/>
                    <w:tr2bl w:val="nil"/>
                  </w:tcBorders>
                  <w:shd w:val="clear" w:color="auto" w:fill="auto"/>
                  <w:tcMar>
                    <w:left w:w="108" w:type="dxa"/>
                    <w:right w:w="108" w:type="dxa"/>
                  </w:tcMar>
                  <w:vAlign w:val="center"/>
                </w:tcPr>
                <w:p w14:paraId="42C817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100以下</w:t>
                  </w:r>
                </w:p>
              </w:tc>
              <w:tc>
                <w:tcPr>
                  <w:tcW w:w="2992" w:type="dxa"/>
                  <w:tcBorders>
                    <w:tl2br w:val="nil"/>
                    <w:tr2bl w:val="nil"/>
                  </w:tcBorders>
                  <w:shd w:val="clear" w:color="auto" w:fill="auto"/>
                  <w:tcMar>
                    <w:left w:w="108" w:type="dxa"/>
                    <w:right w:w="108" w:type="dxa"/>
                  </w:tcMar>
                  <w:vAlign w:val="center"/>
                </w:tcPr>
                <w:p w14:paraId="5CFE7E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1.5（不足3000元按3000元计）</w:t>
                  </w:r>
                </w:p>
              </w:tc>
            </w:tr>
          </w:tbl>
          <w:p w14:paraId="133F832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rightChars="0" w:firstLine="0" w:firstLineChars="0"/>
              <w:jc w:val="both"/>
              <w:textAlignment w:val="auto"/>
              <w:rPr>
                <w:rFonts w:hint="eastAsia" w:ascii="宋体" w:hAnsi="宋体" w:eastAsia="宋体" w:cs="宋体"/>
                <w:snapToGrid w:val="0"/>
                <w:color w:val="auto"/>
                <w:kern w:val="28"/>
                <w:sz w:val="21"/>
                <w:szCs w:val="21"/>
                <w:highlight w:val="none"/>
                <w:lang w:val="en-US" w:eastAsia="zh-CN"/>
              </w:rPr>
            </w:pPr>
          </w:p>
        </w:tc>
      </w:tr>
    </w:tbl>
    <w:p w14:paraId="4A039F05">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366AD821">
      <w:pPr>
        <w:keepNext w:val="0"/>
        <w:keepLines w:val="0"/>
        <w:pageBreakBefore w:val="0"/>
        <w:kinsoku/>
        <w:wordWrap/>
        <w:overflowPunct/>
        <w:topLinePunct w:val="0"/>
        <w:bidi w:val="0"/>
        <w:adjustRightInd/>
        <w:spacing w:line="288" w:lineRule="auto"/>
        <w:ind w:left="0" w:leftChars="0"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17FA3F2">
      <w:pPr>
        <w:keepNext w:val="0"/>
        <w:keepLines w:val="0"/>
        <w:pageBreakBefore w:val="0"/>
        <w:kinsoku/>
        <w:wordWrap/>
        <w:overflowPunct/>
        <w:topLinePunct w:val="0"/>
        <w:bidi w:val="0"/>
        <w:adjustRightInd/>
        <w:spacing w:beforeAutospacing="0" w:afterAutospacing="0" w:line="288"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.定义</w:t>
      </w:r>
    </w:p>
    <w:p w14:paraId="75A4F558">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 “采购人”系指</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公告中载明的本项目的采购人。</w:t>
      </w:r>
    </w:p>
    <w:p w14:paraId="543DC40B">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公告中载明的本项目的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0C45E6A2">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”系指是指响应</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竞争的法人、其他组织</w:t>
      </w:r>
      <w:r>
        <w:rPr>
          <w:rFonts w:hint="eastAsia" w:ascii="宋体" w:hAnsi="宋体" w:eastAsia="宋体" w:cs="宋体"/>
          <w:color w:val="auto"/>
          <w:sz w:val="21"/>
          <w:szCs w:val="21"/>
          <w:highlight w:val="none"/>
          <w:lang w:eastAsia="zh-CN"/>
        </w:rPr>
        <w:t>。</w:t>
      </w:r>
    </w:p>
    <w:p w14:paraId="13E98F11">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 “负责人”系指法人企业的法定负责人，或其他组织为法律、行政法规规定代表单位行使职权的主要负责人。</w:t>
      </w:r>
    </w:p>
    <w:p w14:paraId="174854BF">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时须提供《业务专用章使用说明函》（附件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p w14:paraId="242B3241">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“电子交易平台”</w:t>
      </w:r>
      <w:r>
        <w:rPr>
          <w:rFonts w:hint="eastAsia" w:ascii="宋体" w:hAnsi="宋体" w:eastAsia="宋体" w:cs="宋体"/>
          <w:color w:val="auto"/>
          <w:sz w:val="21"/>
          <w:szCs w:val="21"/>
          <w:highlight w:val="none"/>
          <w:lang w:val="en-US" w:eastAsia="zh-CN"/>
        </w:rPr>
        <w:t>系</w:t>
      </w:r>
      <w:r>
        <w:rPr>
          <w:rFonts w:hint="eastAsia" w:ascii="宋体" w:hAnsi="宋体" w:eastAsia="宋体" w:cs="宋体"/>
          <w:color w:val="auto"/>
          <w:sz w:val="21"/>
          <w:szCs w:val="21"/>
          <w:highlight w:val="none"/>
        </w:rPr>
        <w:t>指本项目采购活动所依托的乐采云平台（https://www.lecaiyun.com/）。</w:t>
      </w:r>
    </w:p>
    <w:p w14:paraId="7F0C2C25">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.7 “▲”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系指适用本项目要求，“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系指不适用本项目的要求。</w:t>
      </w:r>
    </w:p>
    <w:p w14:paraId="1003ED96">
      <w:pPr>
        <w:keepNext w:val="0"/>
        <w:keepLines w:val="0"/>
        <w:pageBreakBefore w:val="0"/>
        <w:kinsoku/>
        <w:wordWrap/>
        <w:overflowPunct/>
        <w:topLinePunct w:val="0"/>
        <w:bidi w:val="0"/>
        <w:spacing w:beforeAutospacing="0" w:afterAutospacing="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strike w:val="0"/>
          <w:dstrike w:val="0"/>
          <w:color w:val="auto"/>
          <w:sz w:val="21"/>
          <w:szCs w:val="21"/>
          <w:highlight w:val="none"/>
          <w:lang w:val="en-US" w:eastAsia="zh-CN"/>
        </w:rPr>
        <w:t>2</w:t>
      </w:r>
      <w:r>
        <w:rPr>
          <w:rFonts w:hint="eastAsia" w:ascii="宋体" w:hAnsi="宋体" w:eastAsia="宋体" w:cs="宋体"/>
          <w:b/>
          <w:strike w:val="0"/>
          <w:color w:val="auto"/>
          <w:sz w:val="21"/>
          <w:szCs w:val="21"/>
          <w:highlight w:val="none"/>
        </w:rPr>
        <w:t>.</w:t>
      </w:r>
      <w:r>
        <w:rPr>
          <w:rFonts w:hint="eastAsia" w:ascii="宋体" w:hAnsi="宋体" w:eastAsia="宋体" w:cs="宋体"/>
          <w:b/>
          <w:color w:val="auto"/>
          <w:sz w:val="21"/>
          <w:szCs w:val="21"/>
          <w:highlight w:val="none"/>
        </w:rPr>
        <w:t>询问、质疑、投诉</w:t>
      </w:r>
    </w:p>
    <w:p w14:paraId="1E4B4866">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306D5264">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供应商询问</w:t>
      </w:r>
    </w:p>
    <w:p w14:paraId="359C216A">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DB71AE">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供应商质疑</w:t>
      </w:r>
    </w:p>
    <w:p w14:paraId="58F48770">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w:t>
      </w:r>
      <w:r>
        <w:rPr>
          <w:rFonts w:hint="eastAsia" w:ascii="宋体" w:hAnsi="宋体" w:eastAsia="宋体" w:cs="宋体"/>
          <w:color w:val="auto"/>
          <w:sz w:val="21"/>
          <w:szCs w:val="18"/>
          <w:highlight w:val="none"/>
        </w:rPr>
        <w:t>.1</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提出质疑的供应商应当是参与所质疑项目采购活动的供应商。潜在供应商已依法获取其可质疑的</w:t>
      </w:r>
      <w:r>
        <w:rPr>
          <w:rFonts w:hint="eastAsia" w:ascii="宋体" w:hAnsi="宋体" w:eastAsia="宋体" w:cs="宋体"/>
          <w:color w:val="auto"/>
          <w:sz w:val="21"/>
          <w:szCs w:val="18"/>
          <w:highlight w:val="none"/>
          <w:lang w:eastAsia="zh-CN"/>
        </w:rPr>
        <w:t>采购</w:t>
      </w:r>
      <w:r>
        <w:rPr>
          <w:rFonts w:hint="eastAsia" w:ascii="宋体" w:hAnsi="宋体" w:eastAsia="宋体" w:cs="宋体"/>
          <w:color w:val="auto"/>
          <w:sz w:val="21"/>
          <w:szCs w:val="18"/>
          <w:highlight w:val="none"/>
        </w:rPr>
        <w:t>文件的，可以对该文件提出质疑。</w:t>
      </w:r>
    </w:p>
    <w:p w14:paraId="2FD3BE47">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w:t>
      </w:r>
      <w:r>
        <w:rPr>
          <w:rFonts w:hint="eastAsia" w:ascii="宋体" w:hAnsi="宋体" w:eastAsia="宋体" w:cs="宋体"/>
          <w:color w:val="auto"/>
          <w:sz w:val="21"/>
          <w:szCs w:val="18"/>
          <w:highlight w:val="none"/>
        </w:rPr>
        <w:t>.2</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供应商认为</w:t>
      </w:r>
      <w:r>
        <w:rPr>
          <w:rFonts w:hint="eastAsia" w:ascii="宋体" w:hAnsi="宋体" w:eastAsia="宋体" w:cs="宋体"/>
          <w:color w:val="auto"/>
          <w:sz w:val="21"/>
          <w:szCs w:val="18"/>
          <w:highlight w:val="none"/>
          <w:lang w:eastAsia="zh-CN"/>
        </w:rPr>
        <w:t>采购</w:t>
      </w:r>
      <w:r>
        <w:rPr>
          <w:rFonts w:hint="eastAsia" w:ascii="宋体" w:hAnsi="宋体" w:eastAsia="宋体" w:cs="宋体"/>
          <w:color w:val="auto"/>
          <w:sz w:val="21"/>
          <w:szCs w:val="18"/>
          <w:highlight w:val="none"/>
        </w:rPr>
        <w:t>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1"/>
          <w:szCs w:val="18"/>
          <w:highlight w:val="none"/>
          <w:lang w:eastAsia="zh-CN"/>
        </w:rPr>
        <w:t>采购代理机构</w:t>
      </w:r>
      <w:r>
        <w:rPr>
          <w:rFonts w:hint="eastAsia" w:ascii="宋体" w:hAnsi="宋体" w:eastAsia="宋体" w:cs="宋体"/>
          <w:color w:val="auto"/>
          <w:sz w:val="21"/>
          <w:szCs w:val="18"/>
          <w:highlight w:val="none"/>
        </w:rPr>
        <w:t>提出质疑，否则，采购人或者</w:t>
      </w:r>
      <w:r>
        <w:rPr>
          <w:rFonts w:hint="eastAsia" w:ascii="宋体" w:hAnsi="宋体" w:eastAsia="宋体" w:cs="宋体"/>
          <w:color w:val="auto"/>
          <w:sz w:val="21"/>
          <w:szCs w:val="18"/>
          <w:highlight w:val="none"/>
          <w:lang w:eastAsia="zh-CN"/>
        </w:rPr>
        <w:t>采购代理机构</w:t>
      </w:r>
      <w:r>
        <w:rPr>
          <w:rFonts w:hint="eastAsia" w:ascii="宋体" w:hAnsi="宋体" w:eastAsia="宋体" w:cs="宋体"/>
          <w:color w:val="auto"/>
          <w:sz w:val="21"/>
          <w:szCs w:val="18"/>
          <w:highlight w:val="none"/>
        </w:rPr>
        <w:t>不予受理：</w:t>
      </w:r>
    </w:p>
    <w:p w14:paraId="232A0E00">
      <w:pPr>
        <w:pStyle w:val="6"/>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snapToGrid/>
          <w:color w:val="auto"/>
          <w:kern w:val="2"/>
          <w:sz w:val="21"/>
          <w:szCs w:val="16"/>
          <w:highlight w:val="none"/>
        </w:rPr>
      </w:pPr>
      <w:r>
        <w:rPr>
          <w:rFonts w:hint="eastAsia" w:ascii="宋体" w:hAnsi="宋体" w:eastAsia="宋体" w:cs="宋体"/>
          <w:snapToGrid/>
          <w:color w:val="auto"/>
          <w:kern w:val="2"/>
          <w:sz w:val="21"/>
          <w:szCs w:val="16"/>
          <w:highlight w:val="none"/>
          <w:lang w:val="en-US" w:eastAsia="zh-CN"/>
        </w:rPr>
        <w:t>2</w:t>
      </w:r>
      <w:r>
        <w:rPr>
          <w:rFonts w:hint="eastAsia" w:ascii="宋体" w:hAnsi="宋体" w:eastAsia="宋体" w:cs="宋体"/>
          <w:snapToGrid/>
          <w:color w:val="auto"/>
          <w:kern w:val="2"/>
          <w:sz w:val="21"/>
          <w:szCs w:val="16"/>
          <w:highlight w:val="none"/>
        </w:rPr>
        <w:t>.3.2.1</w:t>
      </w:r>
      <w:r>
        <w:rPr>
          <w:rFonts w:hint="eastAsia" w:hAnsi="宋体" w:cs="宋体"/>
          <w:snapToGrid/>
          <w:color w:val="auto"/>
          <w:kern w:val="2"/>
          <w:sz w:val="21"/>
          <w:szCs w:val="16"/>
          <w:highlight w:val="none"/>
          <w:lang w:val="en-US" w:eastAsia="zh-CN"/>
        </w:rPr>
        <w:t xml:space="preserve"> </w:t>
      </w:r>
      <w:r>
        <w:rPr>
          <w:rFonts w:hint="eastAsia" w:ascii="宋体" w:hAnsi="宋体" w:eastAsia="宋体" w:cs="宋体"/>
          <w:snapToGrid/>
          <w:color w:val="auto"/>
          <w:kern w:val="2"/>
          <w:sz w:val="21"/>
          <w:szCs w:val="16"/>
          <w:highlight w:val="none"/>
        </w:rPr>
        <w:t>对</w:t>
      </w:r>
      <w:r>
        <w:rPr>
          <w:rFonts w:hint="eastAsia" w:ascii="宋体" w:hAnsi="宋体" w:eastAsia="宋体" w:cs="宋体"/>
          <w:snapToGrid/>
          <w:color w:val="auto"/>
          <w:kern w:val="2"/>
          <w:sz w:val="21"/>
          <w:szCs w:val="16"/>
          <w:highlight w:val="none"/>
          <w:lang w:eastAsia="zh-CN"/>
        </w:rPr>
        <w:t>采购</w:t>
      </w:r>
      <w:r>
        <w:rPr>
          <w:rFonts w:hint="eastAsia" w:ascii="宋体" w:hAnsi="宋体" w:eastAsia="宋体" w:cs="宋体"/>
          <w:snapToGrid/>
          <w:color w:val="auto"/>
          <w:kern w:val="2"/>
          <w:sz w:val="21"/>
          <w:szCs w:val="16"/>
          <w:highlight w:val="none"/>
        </w:rPr>
        <w:t>文件提出质疑的，质疑期限为供应商获得</w:t>
      </w:r>
      <w:r>
        <w:rPr>
          <w:rFonts w:hint="eastAsia" w:ascii="宋体" w:hAnsi="宋体" w:eastAsia="宋体" w:cs="宋体"/>
          <w:snapToGrid/>
          <w:color w:val="auto"/>
          <w:kern w:val="2"/>
          <w:sz w:val="21"/>
          <w:szCs w:val="16"/>
          <w:highlight w:val="none"/>
          <w:lang w:eastAsia="zh-CN"/>
        </w:rPr>
        <w:t>采购</w:t>
      </w:r>
      <w:r>
        <w:rPr>
          <w:rFonts w:hint="eastAsia" w:ascii="宋体" w:hAnsi="宋体" w:eastAsia="宋体" w:cs="宋体"/>
          <w:snapToGrid/>
          <w:color w:val="auto"/>
          <w:kern w:val="2"/>
          <w:sz w:val="21"/>
          <w:szCs w:val="16"/>
          <w:highlight w:val="none"/>
        </w:rPr>
        <w:t>文件之日或者</w:t>
      </w:r>
      <w:r>
        <w:rPr>
          <w:rFonts w:hint="eastAsia" w:ascii="宋体" w:hAnsi="宋体" w:eastAsia="宋体" w:cs="宋体"/>
          <w:snapToGrid/>
          <w:color w:val="auto"/>
          <w:kern w:val="2"/>
          <w:sz w:val="21"/>
          <w:szCs w:val="16"/>
          <w:highlight w:val="none"/>
          <w:lang w:eastAsia="zh-CN"/>
        </w:rPr>
        <w:t>采购</w:t>
      </w:r>
      <w:r>
        <w:rPr>
          <w:rFonts w:hint="eastAsia" w:ascii="宋体" w:hAnsi="宋体" w:eastAsia="宋体" w:cs="宋体"/>
          <w:snapToGrid/>
          <w:color w:val="auto"/>
          <w:kern w:val="2"/>
          <w:sz w:val="21"/>
          <w:szCs w:val="16"/>
          <w:highlight w:val="none"/>
        </w:rPr>
        <w:t>文件公告期限届满之日起计算。</w:t>
      </w:r>
    </w:p>
    <w:p w14:paraId="6BF98302">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lang w:val="en-US" w:eastAsia="zh-CN"/>
        </w:rPr>
        <w:t>2</w:t>
      </w:r>
      <w:r>
        <w:rPr>
          <w:rFonts w:hint="eastAsia" w:ascii="宋体" w:hAnsi="宋体" w:eastAsia="宋体" w:cs="宋体"/>
          <w:color w:val="auto"/>
          <w:sz w:val="21"/>
          <w:szCs w:val="18"/>
          <w:highlight w:val="none"/>
        </w:rPr>
        <w:t>.3.2.2</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对采购过程提出质疑的，质疑期限为各采购程序环节结束之日起计算。</w:t>
      </w:r>
    </w:p>
    <w:p w14:paraId="4FCE15C6">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lang w:val="en-US" w:eastAsia="zh-CN"/>
        </w:rPr>
        <w:t>2</w:t>
      </w:r>
      <w:r>
        <w:rPr>
          <w:rFonts w:hint="eastAsia" w:ascii="宋体" w:hAnsi="宋体" w:eastAsia="宋体" w:cs="宋体"/>
          <w:color w:val="auto"/>
          <w:sz w:val="21"/>
          <w:szCs w:val="18"/>
          <w:highlight w:val="none"/>
        </w:rPr>
        <w:t>.3.2.3</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对采购结果提出质疑的，质疑期限自采购结果公告期限届满之日起计算。</w:t>
      </w:r>
    </w:p>
    <w:p w14:paraId="12B5168B">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sz w:val="21"/>
          <w:szCs w:val="18"/>
          <w:highlight w:val="none"/>
        </w:rPr>
        <w:t>供应商提出质疑应当提交质疑函和必要的证明材料。质疑函应当包括下列内容：</w:t>
      </w:r>
    </w:p>
    <w:p w14:paraId="45C208D2">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.3.3.1</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供应商的姓名或者名称、地址、邮编、联系人及联系电话；</w:t>
      </w:r>
    </w:p>
    <w:p w14:paraId="01A70340">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.3.3.2</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质疑项目的名称、编号；</w:t>
      </w:r>
    </w:p>
    <w:p w14:paraId="0A58EF7E">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.3.3.3</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具体、明确的质疑事项和与质疑事项相关的请求；</w:t>
      </w:r>
    </w:p>
    <w:p w14:paraId="349F3613">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.3.3.4</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事实依据；</w:t>
      </w:r>
    </w:p>
    <w:p w14:paraId="40E0444D">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.3.3.5</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必要的法律依据；</w:t>
      </w:r>
    </w:p>
    <w:p w14:paraId="3E4F2985">
      <w:pPr>
        <w:pStyle w:val="9"/>
        <w:keepNext w:val="0"/>
        <w:keepLines w:val="0"/>
        <w:pageBreakBefore w:val="0"/>
        <w:kinsoku/>
        <w:wordWrap/>
        <w:overflowPunct/>
        <w:topLinePunct w:val="0"/>
        <w:bidi w:val="0"/>
        <w:spacing w:beforeAutospacing="0" w:afterAutospacing="0" w:line="288" w:lineRule="auto"/>
        <w:ind w:left="0" w:leftChars="0" w:firstLine="840" w:firstLineChars="4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.3.3.6</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提出质疑的日期。</w:t>
      </w:r>
    </w:p>
    <w:p w14:paraId="3AD4B7E5">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供应商提交的质疑函需一式三份。供应商为法人或者其他组织的，应当由法定代表人、主要负责人，或者其授权代表签字或者盖章，并加盖公章。</w:t>
      </w:r>
    </w:p>
    <w:p w14:paraId="6D64A68C">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p w14:paraId="3BE68342">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对同一采购程序环节的质疑，供应商须在质疑期内一次性提出。</w:t>
      </w:r>
    </w:p>
    <w:p w14:paraId="30BE65E4">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strike/>
          <w:dstrike w:val="0"/>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应当在收到供应商的书面质疑后七个工作日内作出答复，并以书面形式通知质疑供应商和其他与质疑处理结果有利害关系的采购当事人，但答复的内容不得涉及商业秘密。</w:t>
      </w:r>
    </w:p>
    <w:p w14:paraId="6053D86F">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.6</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询问或者质疑事项可能影响采购结果的，采购人应当暂停签订合同，已经签订合同的，应当中止履行合同。</w:t>
      </w:r>
    </w:p>
    <w:p w14:paraId="62B0FE9C">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供应商投诉</w:t>
      </w:r>
    </w:p>
    <w:p w14:paraId="547A3C03">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.4.1</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未在规定的时间内作出答复的，可以在答复期满后十五个工作日内向采购人监督管理部门提出投诉。</w:t>
      </w:r>
    </w:p>
    <w:p w14:paraId="50DBB608">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2</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75809421">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.4.3</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供应商投诉应当有明确的请求和必要的证明材料。</w:t>
      </w:r>
    </w:p>
    <w:p w14:paraId="7867C20F">
      <w:pPr>
        <w:pStyle w:val="18"/>
        <w:keepNext w:val="0"/>
        <w:keepLines w:val="0"/>
        <w:pageBreakBefore w:val="0"/>
        <w:shd w:val="clear" w:color="auto" w:fill="FFFFFF"/>
        <w:kinsoku/>
        <w:wordWrap/>
        <w:overflowPunct/>
        <w:topLinePunct w:val="0"/>
        <w:bidi w:val="0"/>
        <w:adjustRightInd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以联合体形式参加采购活动的，其投诉应当由组成联合体的所有供应商共同提出。</w:t>
      </w:r>
    </w:p>
    <w:p w14:paraId="34DE5481">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投诉书范本及制作说明详见附件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p w14:paraId="690B7F83">
      <w:pPr>
        <w:keepNext w:val="0"/>
        <w:keepLines w:val="0"/>
        <w:pageBreakBefore w:val="0"/>
        <w:kinsoku/>
        <w:wordWrap/>
        <w:overflowPunct/>
        <w:topLinePunct w:val="0"/>
        <w:bidi w:val="0"/>
        <w:adjustRightInd/>
        <w:spacing w:line="288" w:lineRule="auto"/>
        <w:ind w:left="0" w:leftChars="0"/>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w:t>
      </w:r>
      <w:r>
        <w:rPr>
          <w:rFonts w:hint="eastAsia" w:ascii="宋体" w:hAnsi="宋体" w:cs="宋体"/>
          <w:b/>
          <w:color w:val="auto"/>
          <w:sz w:val="32"/>
          <w:szCs w:val="20"/>
          <w:highlight w:val="none"/>
          <w:lang w:eastAsia="zh-CN"/>
        </w:rPr>
        <w:t>采购</w:t>
      </w:r>
      <w:r>
        <w:rPr>
          <w:rFonts w:hint="eastAsia" w:ascii="宋体" w:hAnsi="宋体" w:cs="宋体"/>
          <w:b/>
          <w:color w:val="auto"/>
          <w:sz w:val="32"/>
          <w:szCs w:val="20"/>
          <w:highlight w:val="none"/>
        </w:rPr>
        <w:t>文件的构成、澄清、修改</w:t>
      </w:r>
    </w:p>
    <w:p w14:paraId="16AC2F3F">
      <w:pPr>
        <w:pStyle w:val="9"/>
        <w:keepNext w:val="0"/>
        <w:keepLines w:val="0"/>
        <w:pageBreakBefore w:val="0"/>
        <w:kinsoku/>
        <w:wordWrap/>
        <w:overflowPunct/>
        <w:topLinePunct w:val="0"/>
        <w:bidi w:val="0"/>
        <w:spacing w:line="288"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3.</w:t>
      </w:r>
      <w:r>
        <w:rPr>
          <w:rFonts w:hint="eastAsia" w:hAnsi="宋体" w:cs="宋体"/>
          <w:b/>
          <w:color w:val="auto"/>
          <w:sz w:val="21"/>
          <w:szCs w:val="21"/>
          <w:highlight w:val="none"/>
          <w:lang w:eastAsia="zh-CN"/>
        </w:rPr>
        <w:t>采购</w:t>
      </w:r>
      <w:r>
        <w:rPr>
          <w:rFonts w:hint="eastAsia" w:hAnsi="宋体" w:cs="宋体"/>
          <w:b/>
          <w:color w:val="auto"/>
          <w:sz w:val="21"/>
          <w:szCs w:val="21"/>
          <w:highlight w:val="none"/>
        </w:rPr>
        <w:t>文件的构成</w:t>
      </w:r>
    </w:p>
    <w:p w14:paraId="1F7C9A1F">
      <w:pPr>
        <w:pStyle w:val="9"/>
        <w:keepNext w:val="0"/>
        <w:keepLines w:val="0"/>
        <w:pageBreakBefore w:val="0"/>
        <w:kinsoku/>
        <w:wordWrap/>
        <w:overflowPunct/>
        <w:topLinePunct w:val="0"/>
        <w:bidi w:val="0"/>
        <w:spacing w:line="288" w:lineRule="auto"/>
        <w:ind w:left="0" w:leftChars="0" w:firstLine="420" w:firstLineChars="2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 xml:space="preserve">.1 </w:t>
      </w:r>
      <w:r>
        <w:rPr>
          <w:rFonts w:hint="eastAsia" w:hAnsi="宋体" w:cs="宋体"/>
          <w:color w:val="auto"/>
          <w:sz w:val="21"/>
          <w:szCs w:val="21"/>
          <w:highlight w:val="none"/>
          <w:lang w:eastAsia="zh-CN"/>
        </w:rPr>
        <w:t>采购</w:t>
      </w:r>
      <w:r>
        <w:rPr>
          <w:rFonts w:hint="eastAsia" w:hAnsi="宋体" w:cs="宋体"/>
          <w:color w:val="auto"/>
          <w:sz w:val="21"/>
          <w:szCs w:val="21"/>
          <w:highlight w:val="none"/>
        </w:rPr>
        <w:t>文件包括下列文件及附件：</w:t>
      </w:r>
    </w:p>
    <w:p w14:paraId="6ACC74C2">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.1.1</w:t>
      </w:r>
      <w:r>
        <w:rPr>
          <w:rFonts w:hint="eastAsia" w:hAnsi="宋体" w:cs="宋体"/>
          <w:color w:val="auto"/>
          <w:sz w:val="21"/>
          <w:szCs w:val="21"/>
          <w:highlight w:val="none"/>
          <w:lang w:val="en-US" w:eastAsia="zh-CN"/>
        </w:rPr>
        <w:t xml:space="preserve"> 交易</w:t>
      </w:r>
      <w:r>
        <w:rPr>
          <w:rFonts w:hint="eastAsia" w:hAnsi="宋体" w:cs="宋体"/>
          <w:color w:val="auto"/>
          <w:sz w:val="21"/>
          <w:szCs w:val="21"/>
          <w:highlight w:val="none"/>
        </w:rPr>
        <w:t>公告；</w:t>
      </w:r>
    </w:p>
    <w:p w14:paraId="47AE328B">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.1.2</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供应商须知；</w:t>
      </w:r>
    </w:p>
    <w:p w14:paraId="77FD3AA0">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.1.3</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采购需求；</w:t>
      </w:r>
    </w:p>
    <w:p w14:paraId="72FCF9C9">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.1.4</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评</w:t>
      </w:r>
      <w:r>
        <w:rPr>
          <w:rFonts w:hint="eastAsia" w:hAnsi="宋体" w:cs="宋体"/>
          <w:color w:val="auto"/>
          <w:sz w:val="21"/>
          <w:szCs w:val="21"/>
          <w:highlight w:val="none"/>
          <w:lang w:val="en-US" w:eastAsia="zh-CN"/>
        </w:rPr>
        <w:t>审</w:t>
      </w:r>
      <w:r>
        <w:rPr>
          <w:rFonts w:hint="eastAsia" w:hAnsi="宋体" w:cs="宋体"/>
          <w:color w:val="auto"/>
          <w:sz w:val="21"/>
          <w:szCs w:val="21"/>
          <w:highlight w:val="none"/>
        </w:rPr>
        <w:t>办法；</w:t>
      </w:r>
    </w:p>
    <w:p w14:paraId="40D97070">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.1.5</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拟签订的合同文本；</w:t>
      </w:r>
    </w:p>
    <w:p w14:paraId="6AA7EBCB">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18"/>
          <w:highlight w:val="none"/>
          <w:lang w:val="en-US" w:eastAsia="zh-CN"/>
        </w:rPr>
        <w:t>3</w:t>
      </w:r>
      <w:r>
        <w:rPr>
          <w:rFonts w:hint="eastAsia" w:hAnsi="宋体" w:cs="宋体"/>
          <w:color w:val="auto"/>
          <w:sz w:val="21"/>
          <w:szCs w:val="18"/>
          <w:highlight w:val="none"/>
        </w:rPr>
        <w:t>.1.6</w:t>
      </w:r>
      <w:r>
        <w:rPr>
          <w:rFonts w:hint="eastAsia" w:hAnsi="宋体" w:cs="宋体"/>
          <w:color w:val="auto"/>
          <w:sz w:val="21"/>
          <w:szCs w:val="18"/>
          <w:highlight w:val="none"/>
          <w:lang w:val="en-US" w:eastAsia="zh-CN"/>
        </w:rPr>
        <w:t xml:space="preserve"> </w:t>
      </w:r>
      <w:r>
        <w:rPr>
          <w:rFonts w:hint="eastAsia" w:hAnsi="宋体" w:cs="宋体"/>
          <w:color w:val="auto"/>
          <w:sz w:val="21"/>
          <w:szCs w:val="21"/>
          <w:highlight w:val="none"/>
        </w:rPr>
        <w:t>应提交的有关格式范例。</w:t>
      </w:r>
    </w:p>
    <w:p w14:paraId="3055D5DC">
      <w:pPr>
        <w:keepNext w:val="0"/>
        <w:keepLines w:val="0"/>
        <w:pageBreakBefore w:val="0"/>
        <w:kinsoku/>
        <w:wordWrap/>
        <w:overflowPunct/>
        <w:topLinePunct w:val="0"/>
        <w:bidi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与本项目有关的</w:t>
      </w:r>
      <w:r>
        <w:rPr>
          <w:rFonts w:hint="eastAsia" w:ascii="宋体" w:hAnsi="宋体" w:cs="宋体"/>
          <w:bCs/>
          <w:color w:val="auto"/>
          <w:sz w:val="21"/>
          <w:szCs w:val="21"/>
          <w:highlight w:val="none"/>
        </w:rPr>
        <w:t>澄清或者修改的内容为</w:t>
      </w:r>
      <w:r>
        <w:rPr>
          <w:rFonts w:hint="eastAsia" w:ascii="宋体" w:hAnsi="宋体" w:cs="宋体"/>
          <w:bCs/>
          <w:color w:val="auto"/>
          <w:sz w:val="21"/>
          <w:szCs w:val="21"/>
          <w:highlight w:val="none"/>
          <w:lang w:eastAsia="zh-CN"/>
        </w:rPr>
        <w:t>采购</w:t>
      </w:r>
      <w:r>
        <w:rPr>
          <w:rFonts w:hint="eastAsia" w:ascii="宋体" w:hAnsi="宋体" w:cs="宋体"/>
          <w:bCs/>
          <w:color w:val="auto"/>
          <w:sz w:val="21"/>
          <w:szCs w:val="21"/>
          <w:highlight w:val="none"/>
        </w:rPr>
        <w:t>文件的组成部分</w:t>
      </w:r>
      <w:r>
        <w:rPr>
          <w:rFonts w:hint="eastAsia" w:ascii="宋体" w:hAnsi="宋体" w:cs="宋体"/>
          <w:color w:val="auto"/>
          <w:sz w:val="21"/>
          <w:szCs w:val="21"/>
          <w:highlight w:val="none"/>
        </w:rPr>
        <w:t>。</w:t>
      </w:r>
    </w:p>
    <w:p w14:paraId="212CAF1F">
      <w:pPr>
        <w:pStyle w:val="9"/>
        <w:keepNext w:val="0"/>
        <w:keepLines w:val="0"/>
        <w:pageBreakBefore w:val="0"/>
        <w:kinsoku/>
        <w:wordWrap/>
        <w:overflowPunct/>
        <w:topLinePunct w:val="0"/>
        <w:bidi w:val="0"/>
        <w:spacing w:line="288"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4</w:t>
      </w:r>
      <w:r>
        <w:rPr>
          <w:rFonts w:hint="eastAsia" w:hAnsi="宋体" w:cs="宋体"/>
          <w:b/>
          <w:color w:val="auto"/>
          <w:sz w:val="21"/>
          <w:szCs w:val="21"/>
          <w:highlight w:val="none"/>
        </w:rPr>
        <w:t>.</w:t>
      </w:r>
      <w:r>
        <w:rPr>
          <w:rFonts w:hint="eastAsia" w:hAnsi="宋体" w:cs="宋体"/>
          <w:b/>
          <w:color w:val="auto"/>
          <w:sz w:val="21"/>
          <w:szCs w:val="21"/>
          <w:highlight w:val="none"/>
          <w:lang w:eastAsia="zh-CN"/>
        </w:rPr>
        <w:t>采购</w:t>
      </w:r>
      <w:r>
        <w:rPr>
          <w:rFonts w:hint="eastAsia" w:hAnsi="宋体" w:cs="宋体"/>
          <w:b/>
          <w:color w:val="auto"/>
          <w:sz w:val="21"/>
          <w:szCs w:val="21"/>
          <w:highlight w:val="none"/>
        </w:rPr>
        <w:t>文件的澄清、修改</w:t>
      </w:r>
    </w:p>
    <w:p w14:paraId="390649EA">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lang w:val="en-US" w:eastAsia="zh-CN"/>
        </w:rPr>
        <w:t>4</w:t>
      </w: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已获取</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文件的潜在</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，若有问题需要澄清，应于</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截止时间前，以书面形式向</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提出。</w:t>
      </w:r>
    </w:p>
    <w:p w14:paraId="18775024">
      <w:pPr>
        <w:pStyle w:val="17"/>
        <w:keepNext w:val="0"/>
        <w:keepLines w:val="0"/>
        <w:pageBreakBefore w:val="0"/>
        <w:kinsoku/>
        <w:wordWrap/>
        <w:overflowPunct/>
        <w:topLinePunct w:val="0"/>
        <w:bidi w:val="0"/>
        <w:snapToGrid w:val="0"/>
        <w:spacing w:before="0" w:line="288" w:lineRule="auto"/>
        <w:ind w:left="0" w:leftChars="0" w:firstLine="480"/>
        <w:textAlignment w:val="auto"/>
        <w:rPr>
          <w:rFonts w:hAnsi="宋体" w:cs="宋体"/>
          <w:color w:val="auto"/>
          <w:sz w:val="18"/>
          <w:szCs w:val="18"/>
          <w:highlight w:val="none"/>
          <w:lang w:val="en-US"/>
        </w:rPr>
      </w:pPr>
      <w:r>
        <w:rPr>
          <w:rFonts w:hint="eastAsia" w:ascii="宋体" w:hAnsi="宋体" w:cs="宋体"/>
          <w:color w:val="auto"/>
          <w:sz w:val="21"/>
          <w:szCs w:val="16"/>
          <w:highlight w:val="none"/>
          <w:lang w:val="en-US" w:eastAsia="zh-CN"/>
        </w:rPr>
        <w:t>4</w:t>
      </w:r>
      <w:r>
        <w:rPr>
          <w:rFonts w:hint="eastAsia" w:ascii="宋体" w:hAnsi="宋体" w:cs="宋体"/>
          <w:color w:val="auto"/>
          <w:sz w:val="21"/>
          <w:szCs w:val="16"/>
          <w:highlight w:val="none"/>
        </w:rPr>
        <w:t xml:space="preserve">.2 </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对</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文件进行澄清或修改的，将同时通过电子交易平台通知已获取</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文件的潜在</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。依法应当公告的，将按规定公告，同时视情况延长</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截止时间和开标时间。该澄清或者修改的内容为</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文件的组成部分。</w:t>
      </w:r>
    </w:p>
    <w:p w14:paraId="71287161">
      <w:pPr>
        <w:keepNext w:val="0"/>
        <w:keepLines w:val="0"/>
        <w:pageBreakBefore w:val="0"/>
        <w:kinsoku/>
        <w:wordWrap/>
        <w:overflowPunct/>
        <w:topLinePunct w:val="0"/>
        <w:bidi w:val="0"/>
        <w:adjustRightInd/>
        <w:spacing w:line="288" w:lineRule="auto"/>
        <w:ind w:left="0" w:leftChars="0"/>
        <w:jc w:val="center"/>
        <w:textAlignment w:val="auto"/>
        <w:outlineLvl w:val="0"/>
        <w:rPr>
          <w:rFonts w:hint="eastAsia" w:ascii="宋体" w:hAnsi="宋体" w:eastAsia="宋体" w:cs="宋体"/>
          <w:b/>
          <w:color w:val="auto"/>
          <w:sz w:val="30"/>
          <w:szCs w:val="20"/>
          <w:highlight w:val="none"/>
          <w:lang w:eastAsia="zh-CN"/>
        </w:rPr>
      </w:pPr>
      <w:r>
        <w:rPr>
          <w:rFonts w:hint="eastAsia" w:ascii="宋体" w:hAnsi="宋体" w:cs="宋体"/>
          <w:b/>
          <w:color w:val="auto"/>
          <w:sz w:val="30"/>
          <w:szCs w:val="20"/>
          <w:highlight w:val="none"/>
        </w:rPr>
        <w:t>三、</w:t>
      </w:r>
      <w:r>
        <w:rPr>
          <w:rFonts w:hint="eastAsia" w:ascii="宋体" w:hAnsi="宋体" w:cs="宋体"/>
          <w:b/>
          <w:color w:val="auto"/>
          <w:sz w:val="30"/>
          <w:szCs w:val="20"/>
          <w:highlight w:val="none"/>
          <w:lang w:val="en-US" w:eastAsia="zh-CN"/>
        </w:rPr>
        <w:t>投标</w:t>
      </w:r>
      <w:r>
        <w:rPr>
          <w:rFonts w:hint="eastAsia" w:ascii="宋体" w:hAnsi="宋体" w:cs="宋体"/>
          <w:b/>
          <w:color w:val="auto"/>
          <w:sz w:val="30"/>
          <w:szCs w:val="20"/>
          <w:highlight w:val="none"/>
          <w:lang w:eastAsia="zh-CN"/>
        </w:rPr>
        <w:t>响应</w:t>
      </w:r>
    </w:p>
    <w:p w14:paraId="155FA5B2">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文件的获取</w:t>
      </w:r>
    </w:p>
    <w:p w14:paraId="306AC3B5">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strike/>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公告中获取</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文件的时间期限、地点、方式</w:t>
      </w:r>
      <w:r>
        <w:rPr>
          <w:rFonts w:hint="eastAsia" w:ascii="宋体" w:hAnsi="宋体" w:eastAsia="宋体" w:cs="宋体"/>
          <w:snapToGrid w:val="0"/>
          <w:color w:val="auto"/>
          <w:kern w:val="28"/>
          <w:sz w:val="21"/>
          <w:szCs w:val="21"/>
          <w:highlight w:val="none"/>
          <w:lang w:eastAsia="zh-CN"/>
        </w:rPr>
        <w:t>。</w:t>
      </w:r>
    </w:p>
    <w:p w14:paraId="535A992E">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.开标前答疑会或现场考察</w:t>
      </w:r>
    </w:p>
    <w:p w14:paraId="49C6159A">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现场考察或者召开开标前答疑会的，潜在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按第二部分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须知前附表的规定参加现场考察或者开标前答疑会。</w:t>
      </w:r>
    </w:p>
    <w:p w14:paraId="3B9551EC">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strike w:val="0"/>
          <w:dstrike w:val="0"/>
          <w:color w:val="auto"/>
          <w:sz w:val="21"/>
          <w:szCs w:val="21"/>
          <w:highlight w:val="none"/>
        </w:rPr>
      </w:pPr>
      <w:r>
        <w:rPr>
          <w:rFonts w:hint="eastAsia" w:ascii="宋体" w:hAnsi="宋体" w:eastAsia="宋体" w:cs="宋体"/>
          <w:b/>
          <w:strike w:val="0"/>
          <w:dstrike w:val="0"/>
          <w:color w:val="auto"/>
          <w:kern w:val="28"/>
          <w:sz w:val="21"/>
          <w:szCs w:val="21"/>
          <w:highlight w:val="none"/>
          <w:lang w:val="en-US" w:eastAsia="zh-CN"/>
        </w:rPr>
        <w:t>7</w:t>
      </w:r>
      <w:r>
        <w:rPr>
          <w:rFonts w:hint="eastAsia" w:ascii="宋体" w:hAnsi="宋体" w:eastAsia="宋体" w:cs="宋体"/>
          <w:b/>
          <w:strike w:val="0"/>
          <w:dstrike w:val="0"/>
          <w:color w:val="auto"/>
          <w:kern w:val="28"/>
          <w:sz w:val="21"/>
          <w:szCs w:val="21"/>
          <w:highlight w:val="none"/>
        </w:rPr>
        <w:t>.</w:t>
      </w:r>
      <w:r>
        <w:rPr>
          <w:rFonts w:hint="eastAsia" w:ascii="宋体" w:hAnsi="宋体" w:eastAsia="宋体" w:cs="宋体"/>
          <w:b/>
          <w:strike w:val="0"/>
          <w:dstrike w:val="0"/>
          <w:color w:val="auto"/>
          <w:kern w:val="28"/>
          <w:sz w:val="21"/>
          <w:szCs w:val="21"/>
          <w:highlight w:val="none"/>
          <w:lang w:eastAsia="zh-CN"/>
        </w:rPr>
        <w:t>响应</w:t>
      </w:r>
      <w:r>
        <w:rPr>
          <w:rFonts w:hint="eastAsia" w:ascii="宋体" w:hAnsi="宋体" w:eastAsia="宋体" w:cs="宋体"/>
          <w:b/>
          <w:strike w:val="0"/>
          <w:dstrike w:val="0"/>
          <w:color w:val="auto"/>
          <w:kern w:val="28"/>
          <w:sz w:val="21"/>
          <w:szCs w:val="21"/>
          <w:highlight w:val="none"/>
        </w:rPr>
        <w:t>保证金</w:t>
      </w:r>
    </w:p>
    <w:p w14:paraId="2EBAA444">
      <w:pPr>
        <w:pStyle w:val="6"/>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本项目不需缴纳</w:t>
      </w:r>
      <w:r>
        <w:rPr>
          <w:rFonts w:hint="eastAsia" w:ascii="宋体" w:hAnsi="宋体" w:eastAsia="宋体" w:cs="宋体"/>
          <w:strike w:val="0"/>
          <w:dstrike w:val="0"/>
          <w:color w:val="auto"/>
          <w:sz w:val="21"/>
          <w:szCs w:val="21"/>
          <w:highlight w:val="none"/>
          <w:lang w:eastAsia="zh-CN"/>
        </w:rPr>
        <w:t>响应</w:t>
      </w:r>
      <w:r>
        <w:rPr>
          <w:rFonts w:hint="eastAsia" w:ascii="宋体" w:hAnsi="宋体" w:eastAsia="宋体" w:cs="宋体"/>
          <w:strike w:val="0"/>
          <w:dstrike w:val="0"/>
          <w:color w:val="auto"/>
          <w:sz w:val="21"/>
          <w:szCs w:val="21"/>
          <w:highlight w:val="none"/>
        </w:rPr>
        <w:t>保证金。</w:t>
      </w:r>
    </w:p>
    <w:p w14:paraId="1114EA22">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文件的语言</w:t>
      </w:r>
    </w:p>
    <w:p w14:paraId="3D0B23EC">
      <w:pPr>
        <w:keepNext w:val="0"/>
        <w:keepLines w:val="0"/>
        <w:pageBreakBefore w:val="0"/>
        <w:kinsoku/>
        <w:wordWrap/>
        <w:overflowPunct/>
        <w:topLinePunct w:val="0"/>
        <w:autoSpaceDE w:val="0"/>
        <w:autoSpaceDN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与采购有关的来往通知、函件和文件均应使用中文。</w:t>
      </w:r>
    </w:p>
    <w:p w14:paraId="60A32449">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文件的组成</w:t>
      </w:r>
    </w:p>
    <w:p w14:paraId="48F8BF83">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rPr>
        <w:t>资格文件</w:t>
      </w:r>
      <w:r>
        <w:rPr>
          <w:rFonts w:hint="eastAsia" w:ascii="宋体" w:hAnsi="宋体" w:eastAsia="宋体" w:cs="宋体"/>
          <w:color w:val="auto"/>
          <w:sz w:val="21"/>
          <w:szCs w:val="21"/>
          <w:highlight w:val="none"/>
        </w:rPr>
        <w:t>：</w:t>
      </w:r>
    </w:p>
    <w:p w14:paraId="30F59E67">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符合参加采购活动应当具备的一般条件的承诺函；</w:t>
      </w:r>
    </w:p>
    <w:p w14:paraId="1C47825F">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.1.2</w:t>
      </w:r>
      <w:r>
        <w:rPr>
          <w:rFonts w:hint="eastAsia" w:ascii="宋体" w:hAnsi="宋体" w:cs="宋体"/>
          <w:color w:val="auto"/>
          <w:sz w:val="21"/>
          <w:szCs w:val="21"/>
          <w:highlight w:val="none"/>
          <w:lang w:val="en-US" w:eastAsia="zh-CN"/>
        </w:rPr>
        <w:t xml:space="preserve"> </w:t>
      </w:r>
      <w:r>
        <w:rPr>
          <w:rFonts w:hint="eastAsia" w:ascii="宋体" w:hAnsi="宋体" w:eastAsia="宋体" w:cs="宋体"/>
          <w:snapToGrid w:val="0"/>
          <w:color w:val="auto"/>
          <w:kern w:val="28"/>
          <w:sz w:val="21"/>
          <w:szCs w:val="21"/>
          <w:highlight w:val="none"/>
        </w:rPr>
        <w:t>联合协议（如果有)；</w:t>
      </w:r>
    </w:p>
    <w:p w14:paraId="5F70AD70">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本项目的特定资格要求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1D31B50C">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商务技术</w:t>
      </w:r>
      <w:r>
        <w:rPr>
          <w:rFonts w:hint="eastAsia" w:ascii="宋体" w:hAnsi="宋体" w:eastAsia="宋体" w:cs="宋体"/>
          <w:b/>
          <w:color w:val="auto"/>
          <w:sz w:val="21"/>
          <w:szCs w:val="21"/>
          <w:highlight w:val="none"/>
          <w:lang w:val="zh-CN"/>
        </w:rPr>
        <w:t>文件：</w:t>
      </w:r>
    </w:p>
    <w:p w14:paraId="5629776D">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函；</w:t>
      </w:r>
    </w:p>
    <w:p w14:paraId="059FCF79">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授权委托书或法定代表人（单位负责人）身份证明；</w:t>
      </w:r>
    </w:p>
    <w:p w14:paraId="25D15765">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分包意向协议</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76D85369">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符合性审查资料；</w:t>
      </w:r>
    </w:p>
    <w:p w14:paraId="2DC846F0">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.2.5</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标准相应的商务技术资料；</w:t>
      </w:r>
    </w:p>
    <w:p w14:paraId="200E8195">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.2.6</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标的清单；</w:t>
      </w:r>
    </w:p>
    <w:p w14:paraId="628DFEEC">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.2.7</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商务技术偏离表；</w:t>
      </w:r>
    </w:p>
    <w:p w14:paraId="5EE9FFFA">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采购供应商廉洁自律承诺书；</w:t>
      </w:r>
    </w:p>
    <w:p w14:paraId="53752CB4">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b/>
          <w:color w:val="auto"/>
          <w:sz w:val="21"/>
          <w:szCs w:val="21"/>
          <w:highlight w:val="none"/>
        </w:rPr>
        <w:t>报价文件：</w:t>
      </w:r>
    </w:p>
    <w:p w14:paraId="6DAACD9F">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.3.1</w:t>
      </w:r>
      <w:r>
        <w:rPr>
          <w:rFonts w:hint="eastAsia" w:ascii="宋体" w:hAnsi="宋体" w:cs="宋体"/>
          <w:color w:val="auto"/>
          <w:sz w:val="21"/>
          <w:szCs w:val="21"/>
          <w:highlight w:val="none"/>
          <w:lang w:val="en-US" w:eastAsia="zh-CN"/>
        </w:rPr>
        <w:t xml:space="preserve"> </w:t>
      </w:r>
      <w:r>
        <w:rPr>
          <w:rFonts w:hint="eastAsia" w:ascii="宋体" w:hAnsi="宋体" w:eastAsia="宋体" w:cs="宋体"/>
          <w:strike w:val="0"/>
          <w:dstrike w:val="0"/>
          <w:color w:val="auto"/>
          <w:sz w:val="21"/>
          <w:szCs w:val="21"/>
          <w:highlight w:val="none"/>
        </w:rPr>
        <w:t>开标一览表（</w:t>
      </w:r>
      <w:r>
        <w:rPr>
          <w:rFonts w:hint="eastAsia" w:ascii="宋体" w:hAnsi="宋体" w:eastAsia="宋体" w:cs="宋体"/>
          <w:color w:val="auto"/>
          <w:sz w:val="21"/>
          <w:szCs w:val="21"/>
          <w:highlight w:val="none"/>
        </w:rPr>
        <w:t>报价表）；</w:t>
      </w:r>
    </w:p>
    <w:p w14:paraId="02993230">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rPr>
        <w:t>.3.</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rPr>
        <w:t xml:space="preserve"> 报价情况说明（如供应商报价低于</w:t>
      </w:r>
      <w:r>
        <w:rPr>
          <w:rFonts w:hint="eastAsia" w:ascii="宋体" w:hAnsi="宋体" w:eastAsia="宋体" w:cs="宋体"/>
          <w:b w:val="0"/>
          <w:bCs w:val="0"/>
          <w:color w:val="auto"/>
          <w:sz w:val="21"/>
          <w:szCs w:val="21"/>
          <w:highlight w:val="none"/>
          <w:lang w:val="en-US" w:eastAsia="zh-CN"/>
        </w:rPr>
        <w:t>最高限价</w:t>
      </w:r>
      <w:r>
        <w:rPr>
          <w:rFonts w:hint="eastAsia" w:ascii="宋体" w:hAnsi="宋体" w:eastAsia="宋体" w:cs="宋体"/>
          <w:b w:val="0"/>
          <w:bCs w:val="0"/>
          <w:color w:val="auto"/>
          <w:sz w:val="21"/>
          <w:szCs w:val="21"/>
          <w:highlight w:val="none"/>
          <w:lang w:val="en-US"/>
        </w:rPr>
        <w:t>50%的，应当提交本文档，详细阐述不影响产品质量或者诚信履约的具体原因）</w:t>
      </w:r>
      <w:r>
        <w:rPr>
          <w:rFonts w:hint="eastAsia" w:ascii="宋体" w:hAnsi="宋体" w:eastAsia="宋体" w:cs="宋体"/>
          <w:b w:val="0"/>
          <w:bCs w:val="0"/>
          <w:color w:val="auto"/>
          <w:sz w:val="21"/>
          <w:szCs w:val="21"/>
          <w:highlight w:val="none"/>
          <w:lang w:val="en-US" w:eastAsia="zh-CN"/>
        </w:rPr>
        <w:t>；</w:t>
      </w:r>
    </w:p>
    <w:p w14:paraId="78C65AAF">
      <w:pPr>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文件含有采购人不能接受的附加条件的，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32EE3A30">
      <w:pPr>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提供虚假材料</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3D695C76">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供应商应对响应文件中材料的真实性、合法性负责。</w:t>
      </w:r>
    </w:p>
    <w:p w14:paraId="2434D367">
      <w:pPr>
        <w:pStyle w:val="17"/>
        <w:keepNext w:val="0"/>
        <w:keepLines w:val="0"/>
        <w:pageBreakBefore w:val="0"/>
        <w:kinsoku/>
        <w:wordWrap/>
        <w:overflowPunct/>
        <w:topLinePunct w:val="0"/>
        <w:bidi w:val="0"/>
        <w:adjustRightInd w:val="0"/>
        <w:snapToGrid w:val="0"/>
        <w:spacing w:before="0" w:line="288"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文件的编制</w:t>
      </w:r>
    </w:p>
    <w:p w14:paraId="4FD700D4">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响应文件分为资格文件、商务技术文件、报价文件三部分。各供应商在编制响应文件时请按照采购文件第六</w:t>
      </w:r>
      <w:r>
        <w:rPr>
          <w:rFonts w:hint="eastAsia" w:ascii="宋体" w:hAnsi="宋体" w:eastAsia="宋体" w:cs="宋体"/>
          <w:color w:val="auto"/>
          <w:kern w:val="0"/>
          <w:sz w:val="21"/>
          <w:szCs w:val="21"/>
          <w:highlight w:val="none"/>
          <w:lang w:val="en-US" w:eastAsia="zh-CN"/>
        </w:rPr>
        <w:t>章</w:t>
      </w:r>
      <w:r>
        <w:rPr>
          <w:rFonts w:hint="eastAsia" w:ascii="宋体" w:hAnsi="宋体" w:eastAsia="宋体" w:cs="宋体"/>
          <w:color w:val="auto"/>
          <w:kern w:val="0"/>
          <w:sz w:val="21"/>
          <w:szCs w:val="21"/>
          <w:highlight w:val="none"/>
          <w:lang w:val="zh-CN"/>
        </w:rPr>
        <w:t>规定的格式进行，混乱的编排导致响应文件被误读或评审小组查找不到有效文件是供应商的风险。</w:t>
      </w:r>
    </w:p>
    <w:p w14:paraId="2CF9D871">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供应商进行电子响应应安装客户端软件—“乐采云电子交易客户端”，并按照采购文件和电子交易平台的要求编制并加密响应文件。供应商未按规定加密的响应文件，电子交易平台将拒收并提示。</w:t>
      </w:r>
    </w:p>
    <w:p w14:paraId="0BB4500A">
      <w:pPr>
        <w:keepNext w:val="0"/>
        <w:keepLines w:val="0"/>
        <w:pageBreakBefore w:val="0"/>
        <w:kinsoku/>
        <w:wordWrap/>
        <w:overflowPunct/>
        <w:topLinePunct w:val="0"/>
        <w:bidi w:val="0"/>
        <w:adjustRightIn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使用“乐采云电子交易客户端”需要提前申领CA数字证书，申领CA数字证书---申领流程详见“乐采云平台-帮助文档-申请CA证书（https://lecaiyun.com/helpcenter/document#/document/detail?siteCode=lecaiyun&amp;topicId=12851&amp;manualId=2185）”。</w:t>
      </w:r>
    </w:p>
    <w:p w14:paraId="27F9A4AD">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文件的签署、盖章</w:t>
      </w:r>
    </w:p>
    <w:p w14:paraId="17D82852">
      <w:pPr>
        <w:pStyle w:val="17"/>
        <w:keepNext w:val="0"/>
        <w:keepLines w:val="0"/>
        <w:pageBreakBefore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文件按照</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文件第六部分格式要求进行签署、盖章。</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文件未按照</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文件要求签署、盖章的，其</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r>
        <w:rPr>
          <w:rFonts w:hint="eastAsia" w:ascii="宋体" w:hAnsi="宋体" w:eastAsia="宋体" w:cs="宋体"/>
          <w:color w:val="auto"/>
          <w:sz w:val="21"/>
          <w:szCs w:val="21"/>
          <w:highlight w:val="none"/>
        </w:rPr>
        <w:t>。</w:t>
      </w:r>
    </w:p>
    <w:p w14:paraId="668B63E8">
      <w:pPr>
        <w:pStyle w:val="17"/>
        <w:keepNext w:val="0"/>
        <w:keepLines w:val="0"/>
        <w:pageBreakBefore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为确保网上操作合法、有效和安全，供应商应当在响应截止时间前完成在“乐采云平台”完成电子CA绑定，确保在电子响应过程中能够对相关数据电文进行加密和使用电子签名。</w:t>
      </w:r>
    </w:p>
    <w:p w14:paraId="551A3964">
      <w:pPr>
        <w:pStyle w:val="17"/>
        <w:keepNext w:val="0"/>
        <w:keepLines w:val="0"/>
        <w:pageBreakBefore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文件对</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文件签署、盖章的要求适用于电子签名。</w:t>
      </w:r>
    </w:p>
    <w:p w14:paraId="42BADC63">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文件的提交、补充、修改、撤回</w:t>
      </w:r>
    </w:p>
    <w:p w14:paraId="4B558DA1">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 供应商应当在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截止时间前完成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文件的传输递交，并可以补充、修改或者撤回</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文件。补充或者修改</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文件的，应当先行撤回原文件，补充、修改后重新传输递交。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截止时间前未完成传输的，视为撤回</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截止时间后递交的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文件，电子交易平台将拒收。</w:t>
      </w:r>
    </w:p>
    <w:p w14:paraId="3A6A03B1">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电子交易平台收到</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文件，将妥善保存并即时向供应商发出确认回执通知。在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截止时间前，除供应商补充、修改或者撤回</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文件外，任何单位和个人不得解密或提取</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6B7618FC">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以前在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截止期方面的全部权利、责任和义务，将适用于延长至新的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截止期。</w:t>
      </w:r>
    </w:p>
    <w:p w14:paraId="3C28D6A4">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.备份</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p>
    <w:p w14:paraId="764C5E17">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在电子交易平台传输递交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文件后，还可以在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截止时间前直接提交或者以邮政快递方式递交备份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文件1份，</w:t>
      </w:r>
      <w:r>
        <w:rPr>
          <w:rFonts w:hint="eastAsia" w:ascii="宋体" w:hAnsi="宋体" w:eastAsia="宋体" w:cs="宋体"/>
          <w:b/>
          <w:color w:val="auto"/>
          <w:sz w:val="21"/>
          <w:szCs w:val="21"/>
          <w:highlight w:val="none"/>
        </w:rPr>
        <w:t>但采购人、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提交备份</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p>
    <w:p w14:paraId="57691A6F">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.2</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备份响应文件须在“乐采云响应客户端”制作生成，并储存在DVD光盘等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1F9B86F0">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直接提交备份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应于</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截止时间前在</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公告中载明的开标地点将备份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文件提交给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058D4413">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以邮政快递方式递交备份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应先将备份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文件按要求密封和标记，再进行邮政快递包装后邮寄。备份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文件须在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截止时间之前送达</w:t>
      </w:r>
      <w:r>
        <w:rPr>
          <w:rFonts w:hint="eastAsia" w:ascii="宋体" w:hAnsi="宋体" w:eastAsia="宋体" w:cs="宋体"/>
          <w:snapToGrid/>
          <w:color w:val="auto"/>
          <w:sz w:val="21"/>
          <w:szCs w:val="21"/>
          <w:highlight w:val="none"/>
          <w:lang w:eastAsia="zh-CN"/>
        </w:rPr>
        <w:t>采购</w:t>
      </w:r>
      <w:r>
        <w:rPr>
          <w:rFonts w:hint="eastAsia" w:ascii="宋体" w:hAnsi="宋体" w:eastAsia="宋体" w:cs="宋体"/>
          <w:snapToGrid/>
          <w:color w:val="auto"/>
          <w:sz w:val="21"/>
          <w:szCs w:val="21"/>
          <w:highlight w:val="none"/>
        </w:rPr>
        <w:t>文件第二</w:t>
      </w:r>
      <w:r>
        <w:rPr>
          <w:rFonts w:hint="eastAsia" w:ascii="宋体" w:hAnsi="宋体" w:eastAsia="宋体" w:cs="宋体"/>
          <w:snapToGrid/>
          <w:color w:val="auto"/>
          <w:sz w:val="21"/>
          <w:szCs w:val="21"/>
          <w:highlight w:val="none"/>
          <w:lang w:val="en-US" w:eastAsia="zh-CN"/>
        </w:rPr>
        <w:t>章</w:t>
      </w:r>
      <w:r>
        <w:rPr>
          <w:rFonts w:hint="eastAsia" w:ascii="宋体" w:hAnsi="宋体" w:eastAsia="宋体" w:cs="宋体"/>
          <w:snapToGrid/>
          <w:color w:val="auto"/>
          <w:sz w:val="21"/>
          <w:szCs w:val="21"/>
          <w:highlight w:val="none"/>
          <w:lang w:eastAsia="zh-CN"/>
        </w:rPr>
        <w:t>供应商</w:t>
      </w:r>
      <w:r>
        <w:rPr>
          <w:rFonts w:hint="eastAsia" w:ascii="宋体" w:hAnsi="宋体" w:eastAsia="宋体" w:cs="宋体"/>
          <w:snapToGrid/>
          <w:color w:val="auto"/>
          <w:sz w:val="21"/>
          <w:szCs w:val="21"/>
          <w:highlight w:val="none"/>
        </w:rPr>
        <w:t>须知前附表规定的备份</w:t>
      </w:r>
      <w:r>
        <w:rPr>
          <w:rFonts w:hint="eastAsia" w:ascii="宋体" w:hAnsi="宋体" w:eastAsia="宋体" w:cs="宋体"/>
          <w:snapToGrid/>
          <w:color w:val="auto"/>
          <w:sz w:val="21"/>
          <w:szCs w:val="21"/>
          <w:highlight w:val="none"/>
          <w:lang w:eastAsia="zh-CN"/>
        </w:rPr>
        <w:t>响应</w:t>
      </w:r>
      <w:r>
        <w:rPr>
          <w:rFonts w:hint="eastAsia" w:ascii="宋体" w:hAnsi="宋体" w:eastAsia="宋体" w:cs="宋体"/>
          <w:snapToGrid/>
          <w:color w:val="auto"/>
          <w:sz w:val="21"/>
          <w:szCs w:val="21"/>
          <w:highlight w:val="none"/>
        </w:rPr>
        <w:t>文件送达地点；</w:t>
      </w:r>
      <w:r>
        <w:rPr>
          <w:rFonts w:hint="eastAsia" w:ascii="宋体" w:hAnsi="宋体" w:eastAsia="宋体" w:cs="宋体"/>
          <w:color w:val="auto"/>
          <w:sz w:val="21"/>
          <w:szCs w:val="21"/>
          <w:highlight w:val="none"/>
        </w:rPr>
        <w:t>送达时间以签收人签收时间为准。</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文件。邮寄过程中，电子备份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文件发生泄露、遗失、损坏或延期送达等情况的，由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自行负责。</w:t>
      </w:r>
    </w:p>
    <w:p w14:paraId="02D04C2E">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.5</w:t>
      </w:r>
      <w:r>
        <w:rPr>
          <w:rFonts w:hint="eastAsia"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仅提交备份</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文件，未在电子交易平台传输递交</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5D33BA5B">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文件的无效处理</w:t>
      </w:r>
    </w:p>
    <w:p w14:paraId="04B263AD">
      <w:pPr>
        <w:pStyle w:val="8"/>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文件第四</w:t>
      </w:r>
      <w:r>
        <w:rPr>
          <w:rFonts w:hint="eastAsia" w:ascii="宋体" w:hAnsi="宋体" w:eastAsia="宋体" w:cs="宋体"/>
          <w:color w:val="auto"/>
          <w:sz w:val="21"/>
          <w:szCs w:val="21"/>
          <w:highlight w:val="none"/>
          <w:lang w:val="en-US" w:eastAsia="zh-CN"/>
        </w:rPr>
        <w:t>章</w:t>
      </w:r>
      <w:r>
        <w:rPr>
          <w:rFonts w:hint="eastAsia" w:ascii="宋体" w:hAnsi="宋体" w:eastAsia="宋体" w:cs="宋体"/>
          <w:color w:val="auto"/>
          <w:sz w:val="21"/>
          <w:szCs w:val="21"/>
          <w:highlight w:val="none"/>
        </w:rPr>
        <w:t>4.2规定的情形之一的，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w:t>
      </w:r>
    </w:p>
    <w:p w14:paraId="407478D5">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有效期</w:t>
      </w:r>
    </w:p>
    <w:p w14:paraId="013266C6">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有效期为从提交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文件的截止之日起90天。▲</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文件中承诺的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有效期少于</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文件中载明的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有效期的，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0DF20593">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文件合格投递后，自</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截止日期起，在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有效期内有效。</w:t>
      </w:r>
    </w:p>
    <w:p w14:paraId="17BF4E20">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ascii="宋体" w:hAnsi="宋体" w:cs="宋体"/>
          <w:b/>
          <w:color w:val="auto"/>
          <w:sz w:val="32"/>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在原定</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延长</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同意延长的，不得要求或被允许修改其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拒绝延长的，其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w:t>
      </w:r>
    </w:p>
    <w:p w14:paraId="286EFCF8">
      <w:pPr>
        <w:pStyle w:val="17"/>
        <w:keepNext w:val="0"/>
        <w:keepLines w:val="0"/>
        <w:pageBreakBefore w:val="0"/>
        <w:kinsoku/>
        <w:wordWrap/>
        <w:overflowPunct/>
        <w:topLinePunct w:val="0"/>
        <w:bidi w:val="0"/>
        <w:spacing w:before="0" w:line="288" w:lineRule="auto"/>
        <w:ind w:left="0" w:leftChars="0" w:firstLine="1928" w:firstLineChars="600"/>
        <w:textAlignment w:val="auto"/>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45707E9">
      <w:pPr>
        <w:pStyle w:val="17"/>
        <w:keepNext w:val="0"/>
        <w:keepLines w:val="0"/>
        <w:pageBreakBefore w:val="0"/>
        <w:widowControl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.开标</w:t>
      </w:r>
    </w:p>
    <w:p w14:paraId="25606E72">
      <w:pPr>
        <w:pStyle w:val="19"/>
        <w:keepNext w:val="0"/>
        <w:keepLines w:val="0"/>
        <w:pageBreakBefore w:val="0"/>
        <w:widowControl w:val="0"/>
        <w:kinsoku/>
        <w:wordWrap/>
        <w:overflowPunct/>
        <w:topLinePunct w:val="0"/>
        <w:bidi w:val="0"/>
        <w:adjustRightInd w:val="0"/>
        <w:spacing w:before="0" w:line="288" w:lineRule="auto"/>
        <w:ind w:left="0" w:leftChars="0" w:firstLine="420" w:firstLineChars="200"/>
        <w:contextualSpacing/>
        <w:textAlignment w:val="auto"/>
        <w:rPr>
          <w:rFonts w:ascii="宋体" w:hAnsi="宋体" w:cs="宋体"/>
          <w:color w:val="auto"/>
          <w:sz w:val="21"/>
          <w:szCs w:val="16"/>
          <w:highlight w:val="none"/>
        </w:rPr>
      </w:pP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按照</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文件规定的时间通过电子交易平台组织开标，所有</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均应当准时在线参加。</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不足3家的，不得开标。</w:t>
      </w:r>
    </w:p>
    <w:p w14:paraId="6F823E04">
      <w:pPr>
        <w:pStyle w:val="19"/>
        <w:keepNext w:val="0"/>
        <w:keepLines w:val="0"/>
        <w:pageBreakBefore w:val="0"/>
        <w:widowControl w:val="0"/>
        <w:kinsoku/>
        <w:wordWrap/>
        <w:overflowPunct/>
        <w:topLinePunct w:val="0"/>
        <w:bidi w:val="0"/>
        <w:adjustRightInd w:val="0"/>
        <w:spacing w:before="0" w:line="288" w:lineRule="auto"/>
        <w:ind w:left="0" w:leftChars="0" w:firstLine="420" w:firstLineChars="200"/>
        <w:contextualSpacing/>
        <w:textAlignment w:val="auto"/>
        <w:rPr>
          <w:rFonts w:ascii="宋体" w:hAnsi="宋体" w:cs="宋体"/>
          <w:color w:val="auto"/>
          <w:sz w:val="21"/>
          <w:szCs w:val="16"/>
          <w:highlight w:val="none"/>
        </w:rPr>
      </w:pP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开标时，电子交易平台按开标时间自动提取所有</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文件。</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依托电子交易平台发起开始解密指令，</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按照平台提示和</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文件的规定在半小时内完成在线解密。</w:t>
      </w:r>
    </w:p>
    <w:p w14:paraId="2DEB568E">
      <w:pPr>
        <w:pStyle w:val="19"/>
        <w:keepNext w:val="0"/>
        <w:keepLines w:val="0"/>
        <w:pageBreakBefore w:val="0"/>
        <w:widowControl w:val="0"/>
        <w:kinsoku/>
        <w:wordWrap/>
        <w:overflowPunct/>
        <w:topLinePunct w:val="0"/>
        <w:bidi w:val="0"/>
        <w:adjustRightInd w:val="0"/>
        <w:spacing w:before="0" w:line="288" w:lineRule="auto"/>
        <w:ind w:left="0" w:leftChars="0" w:firstLine="420" w:firstLineChars="200"/>
        <w:contextualSpacing/>
        <w:textAlignment w:val="auto"/>
        <w:rPr>
          <w:rFonts w:ascii="宋体" w:hAnsi="宋体" w:cs="宋体"/>
          <w:b/>
          <w:color w:val="auto"/>
          <w:sz w:val="21"/>
          <w:szCs w:val="16"/>
          <w:highlight w:val="none"/>
        </w:rPr>
      </w:pP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.3</w:t>
      </w:r>
      <w:r>
        <w:rPr>
          <w:rFonts w:hint="eastAsia" w:ascii="宋体" w:hAnsi="宋体" w:cs="宋体"/>
          <w:color w:val="auto"/>
          <w:sz w:val="21"/>
          <w:szCs w:val="16"/>
          <w:highlight w:val="none"/>
          <w:lang w:val="en-US" w:eastAsia="zh-CN"/>
        </w:rPr>
        <w:t xml:space="preserve"> </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文件未按时解密，</w:t>
      </w:r>
      <w:r>
        <w:rPr>
          <w:rFonts w:hint="eastAsia" w:ascii="宋体" w:hAnsi="宋体" w:cs="宋体"/>
          <w:b/>
          <w:color w:val="auto"/>
          <w:sz w:val="21"/>
          <w:szCs w:val="16"/>
          <w:highlight w:val="none"/>
          <w:lang w:eastAsia="zh-CN"/>
        </w:rPr>
        <w:t>供应商</w:t>
      </w:r>
      <w:r>
        <w:rPr>
          <w:rFonts w:hint="eastAsia" w:ascii="宋体" w:hAnsi="宋体" w:cs="宋体"/>
          <w:b/>
          <w:color w:val="auto"/>
          <w:sz w:val="21"/>
          <w:szCs w:val="16"/>
          <w:highlight w:val="none"/>
        </w:rPr>
        <w:t>提供了备份</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文件的，以备份</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文件作为依据，否则视为</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文件撤回。</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文件已按时解密的，备份</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文件自动失效。</w:t>
      </w:r>
    </w:p>
    <w:p w14:paraId="0D85C178">
      <w:pPr>
        <w:pStyle w:val="17"/>
        <w:keepNext w:val="0"/>
        <w:keepLines w:val="0"/>
        <w:pageBreakBefore w:val="0"/>
        <w:widowControl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rPr>
        <w:t>资格审查</w:t>
      </w:r>
    </w:p>
    <w:p w14:paraId="1AFD9447">
      <w:pPr>
        <w:keepNext w:val="0"/>
        <w:keepLines w:val="0"/>
        <w:pageBreakBefore w:val="0"/>
        <w:widowControl w:val="0"/>
        <w:kinsoku/>
        <w:wordWrap/>
        <w:overflowPunct/>
        <w:topLinePunct w:val="0"/>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 xml:space="preserve">1 </w:t>
      </w:r>
      <w:r>
        <w:rPr>
          <w:rFonts w:hint="eastAsia" w:ascii="宋体" w:hAnsi="宋体" w:cs="宋体"/>
          <w:color w:val="auto"/>
          <w:sz w:val="21"/>
          <w:szCs w:val="21"/>
          <w:highlight w:val="none"/>
          <w:lang w:val="en-US" w:eastAsia="zh-CN"/>
        </w:rPr>
        <w:t>评审小组</w:t>
      </w:r>
      <w:r>
        <w:rPr>
          <w:rFonts w:hint="eastAsia" w:ascii="宋体" w:hAnsi="宋体" w:cs="宋体"/>
          <w:color w:val="auto"/>
          <w:sz w:val="21"/>
          <w:szCs w:val="21"/>
          <w:highlight w:val="none"/>
        </w:rPr>
        <w:t>依据法律法规和</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文件的规定，对</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的资格进行审查。</w:t>
      </w:r>
    </w:p>
    <w:p w14:paraId="3C8AC42C">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 xml:space="preserve">2 </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未按照</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文件要求提供与</w:t>
      </w:r>
      <w:r>
        <w:rPr>
          <w:rFonts w:hint="eastAsia" w:ascii="宋体" w:hAnsi="宋体" w:cs="宋体"/>
          <w:color w:val="auto"/>
          <w:sz w:val="21"/>
          <w:szCs w:val="16"/>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不具备</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文件中规定的资格要求，其</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无效。</w:t>
      </w:r>
    </w:p>
    <w:p w14:paraId="01AC16E1">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16"/>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sz w:val="21"/>
          <w:szCs w:val="16"/>
          <w:highlight w:val="none"/>
          <w:lang w:val="en-US" w:eastAsia="zh-CN"/>
        </w:rPr>
        <w:t xml:space="preserve">3 </w:t>
      </w:r>
      <w:r>
        <w:rPr>
          <w:rFonts w:hint="eastAsia" w:ascii="宋体" w:hAnsi="宋体" w:cs="宋体"/>
          <w:color w:val="auto"/>
          <w:sz w:val="21"/>
          <w:szCs w:val="16"/>
          <w:highlight w:val="none"/>
        </w:rPr>
        <w:t>对未通过资格审查的</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，否决前需进行质询确认</w:t>
      </w:r>
      <w:r>
        <w:rPr>
          <w:rFonts w:hint="eastAsia" w:ascii="宋体" w:hAnsi="宋体" w:cs="宋体"/>
          <w:color w:val="auto"/>
          <w:sz w:val="21"/>
          <w:szCs w:val="16"/>
          <w:highlight w:val="none"/>
          <w:lang w:eastAsia="zh-CN"/>
        </w:rPr>
        <w:t>。</w:t>
      </w:r>
    </w:p>
    <w:p w14:paraId="6DE1CDCD">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hint="default" w:ascii="宋体" w:hAnsi="宋体" w:cs="宋体"/>
          <w:color w:val="auto"/>
          <w:sz w:val="21"/>
          <w:szCs w:val="16"/>
          <w:highlight w:val="none"/>
        </w:rPr>
      </w:pPr>
      <w:r>
        <w:rPr>
          <w:rFonts w:hint="eastAsia" w:ascii="宋体" w:hAnsi="宋体" w:cs="宋体"/>
          <w:color w:val="auto"/>
          <w:sz w:val="21"/>
          <w:szCs w:val="16"/>
          <w:highlight w:val="none"/>
          <w:lang w:val="en-US" w:eastAsia="zh-CN"/>
        </w:rPr>
        <w:t>17.4 合格供应商不足三家时，评审小组认为响应仍然具有竞争性，可以继续进行评审，否则，需重新组织采购。</w:t>
      </w:r>
    </w:p>
    <w:p w14:paraId="7EF833CB">
      <w:pPr>
        <w:pStyle w:val="17"/>
        <w:keepNext w:val="0"/>
        <w:keepLines w:val="0"/>
        <w:pageBreakBefore w:val="0"/>
        <w:widowControl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cs="宋体"/>
          <w:color w:val="auto"/>
          <w:sz w:val="21"/>
          <w:szCs w:val="16"/>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 xml:space="preserve">5 </w:t>
      </w:r>
      <w:r>
        <w:rPr>
          <w:rFonts w:hint="eastAsia" w:ascii="宋体" w:hAnsi="宋体" w:cs="宋体"/>
          <w:color w:val="auto"/>
          <w:kern w:val="0"/>
          <w:sz w:val="21"/>
          <w:szCs w:val="21"/>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5829A222">
      <w:pPr>
        <w:pStyle w:val="17"/>
        <w:keepNext w:val="0"/>
        <w:keepLines w:val="0"/>
        <w:pageBreakBefore w:val="0"/>
        <w:widowControl w:val="0"/>
        <w:kinsoku/>
        <w:wordWrap/>
        <w:overflowPunct/>
        <w:topLinePunct w:val="0"/>
        <w:bidi w:val="0"/>
        <w:adjustRightInd w:val="0"/>
        <w:spacing w:before="0" w:line="288" w:lineRule="auto"/>
        <w:ind w:left="0" w:leftChars="0" w:firstLine="422" w:firstLineChars="200"/>
        <w:textAlignment w:val="auto"/>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18.</w:t>
      </w:r>
      <w:r>
        <w:rPr>
          <w:rFonts w:hint="eastAsia" w:ascii="宋体" w:hAnsi="宋体" w:cs="宋体"/>
          <w:b/>
          <w:color w:val="auto"/>
          <w:sz w:val="21"/>
          <w:szCs w:val="21"/>
          <w:highlight w:val="none"/>
        </w:rPr>
        <w:t>信用信息查询</w:t>
      </w:r>
    </w:p>
    <w:p w14:paraId="2914072B">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信用信息查询渠道及截止时间：</w:t>
      </w:r>
      <w:r>
        <w:rPr>
          <w:rFonts w:hint="eastAsia" w:ascii="宋体" w:hAnsi="宋体" w:cs="宋体"/>
          <w:color w:val="auto"/>
          <w:kern w:val="0"/>
          <w:sz w:val="21"/>
          <w:szCs w:val="21"/>
          <w:highlight w:val="none"/>
          <w:lang w:eastAsia="zh-CN"/>
        </w:rPr>
        <w:t>采购代理机构</w:t>
      </w:r>
      <w:r>
        <w:rPr>
          <w:rFonts w:hint="eastAsia" w:ascii="宋体" w:hAnsi="宋体" w:cs="宋体"/>
          <w:color w:val="auto"/>
          <w:kern w:val="0"/>
          <w:sz w:val="21"/>
          <w:szCs w:val="21"/>
          <w:highlight w:val="none"/>
        </w:rPr>
        <w:t>将在资格审查时通过“信用中国”网站(www.creditchina.gov.cn)、中国政府采购网(www.ccgp.gov.cn)渠道查询</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接受资格时的信用记录。</w:t>
      </w:r>
    </w:p>
    <w:p w14:paraId="44834597">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信用信息查询记录和证据留存的具体方式：现场查询的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的信用记录、查询结果经确认后将与采购文件一起存档。</w:t>
      </w:r>
    </w:p>
    <w:p w14:paraId="57495FE2">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信用信息的使用规则：经查询列入失信被执行人名单、重大税收违法案件当事人名单、政府采购严重违法失信行为记录名单的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将被拒绝参与</w:t>
      </w:r>
      <w:r>
        <w:rPr>
          <w:rFonts w:hint="eastAsia" w:ascii="宋体" w:hAnsi="宋体" w:cs="宋体"/>
          <w:color w:val="auto"/>
          <w:kern w:val="0"/>
          <w:sz w:val="21"/>
          <w:szCs w:val="21"/>
          <w:highlight w:val="none"/>
          <w:lang w:val="en-US" w:eastAsia="zh-CN"/>
        </w:rPr>
        <w:t>本次</w:t>
      </w:r>
      <w:r>
        <w:rPr>
          <w:rFonts w:hint="eastAsia" w:ascii="宋体" w:hAnsi="宋体" w:cs="宋体"/>
          <w:color w:val="auto"/>
          <w:kern w:val="0"/>
          <w:sz w:val="21"/>
          <w:szCs w:val="21"/>
          <w:highlight w:val="none"/>
        </w:rPr>
        <w:t>采购活动。</w:t>
      </w:r>
    </w:p>
    <w:p w14:paraId="2CE5DB13">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Cs w:val="24"/>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联合体信用信息查询：两个以上的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sz w:val="21"/>
          <w:szCs w:val="16"/>
          <w:highlight w:val="none"/>
        </w:rPr>
        <w:t>。</w:t>
      </w:r>
    </w:p>
    <w:p w14:paraId="6D505F97">
      <w:pPr>
        <w:keepNext w:val="0"/>
        <w:keepLines w:val="0"/>
        <w:pageBreakBefore w:val="0"/>
        <w:kinsoku/>
        <w:wordWrap/>
        <w:overflowPunct/>
        <w:topLinePunct w:val="0"/>
        <w:bidi w:val="0"/>
        <w:snapToGrid w:val="0"/>
        <w:spacing w:line="288" w:lineRule="auto"/>
        <w:ind w:left="0" w:leftChars="0"/>
        <w:jc w:val="center"/>
        <w:textAlignment w:val="auto"/>
        <w:outlineLvl w:val="0"/>
        <w:rPr>
          <w:rFonts w:hint="eastAsia"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五、评</w:t>
      </w:r>
      <w:r>
        <w:rPr>
          <w:rFonts w:hint="eastAsia" w:ascii="宋体" w:hAnsi="宋体" w:cs="宋体"/>
          <w:b/>
          <w:color w:val="auto"/>
          <w:sz w:val="36"/>
          <w:szCs w:val="36"/>
          <w:highlight w:val="none"/>
          <w:lang w:val="en-US" w:eastAsia="zh-CN"/>
        </w:rPr>
        <w:t>审</w:t>
      </w:r>
    </w:p>
    <w:p w14:paraId="60D4A28D">
      <w:pPr>
        <w:keepNext w:val="0"/>
        <w:keepLines w:val="0"/>
        <w:pageBreakBefore w:val="0"/>
        <w:kinsoku/>
        <w:wordWrap/>
        <w:overflowPunct/>
        <w:topLinePunct w:val="0"/>
        <w:bidi w:val="0"/>
        <w:spacing w:line="288" w:lineRule="auto"/>
        <w:ind w:left="0" w:leftChars="0" w:firstLine="422" w:firstLineChars="200"/>
        <w:textAlignment w:val="auto"/>
        <w:rPr>
          <w:rFonts w:ascii="宋体" w:hAnsi="宋体" w:cs="宋体"/>
          <w:b/>
          <w:color w:val="auto"/>
          <w:sz w:val="24"/>
          <w:highlight w:val="none"/>
        </w:rPr>
      </w:pPr>
      <w:r>
        <w:rPr>
          <w:rFonts w:hint="eastAsia" w:ascii="宋体" w:hAnsi="宋体" w:cs="宋体"/>
          <w:b/>
          <w:color w:val="auto"/>
          <w:sz w:val="21"/>
          <w:szCs w:val="21"/>
          <w:highlight w:val="none"/>
          <w:lang w:val="en-US" w:eastAsia="zh-CN"/>
        </w:rPr>
        <w:t>19</w:t>
      </w:r>
      <w:r>
        <w:rPr>
          <w:rFonts w:hint="eastAsia" w:ascii="宋体" w:hAnsi="宋体" w:cs="宋体"/>
          <w:b/>
          <w:color w:val="auto"/>
          <w:sz w:val="21"/>
          <w:szCs w:val="21"/>
          <w:highlight w:val="none"/>
        </w:rPr>
        <w:t>.</w:t>
      </w:r>
      <w:r>
        <w:rPr>
          <w:rFonts w:hint="eastAsia" w:ascii="宋体" w:hAnsi="宋体" w:cs="宋体"/>
          <w:color w:val="auto"/>
          <w:sz w:val="21"/>
          <w:szCs w:val="21"/>
          <w:highlight w:val="none"/>
          <w:lang w:eastAsia="zh-CN"/>
        </w:rPr>
        <w:t>评审小组</w:t>
      </w:r>
      <w:r>
        <w:rPr>
          <w:rFonts w:hint="eastAsia" w:ascii="宋体" w:hAnsi="宋体" w:cs="宋体"/>
          <w:color w:val="auto"/>
          <w:sz w:val="21"/>
          <w:szCs w:val="21"/>
          <w:highlight w:val="none"/>
        </w:rPr>
        <w:t>将根据</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文件和有关规定，履行评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工作职责，并按照评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方法及评分标准，全面衡量各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对</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文件的响应情况。对实质上响应</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，按照评审因素的量化指标排出推荐</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的先后顺序，并按顺序提出授标建议。</w:t>
      </w:r>
      <w:r>
        <w:rPr>
          <w:rFonts w:hint="eastAsia" w:ascii="宋体" w:hAnsi="宋体" w:cs="宋体"/>
          <w:b/>
          <w:color w:val="auto"/>
          <w:sz w:val="21"/>
          <w:szCs w:val="21"/>
          <w:highlight w:val="none"/>
        </w:rPr>
        <w:t>详见</w:t>
      </w:r>
      <w:r>
        <w:rPr>
          <w:rFonts w:hint="eastAsia" w:ascii="宋体" w:hAnsi="宋体" w:cs="宋体"/>
          <w:b/>
          <w:color w:val="auto"/>
          <w:sz w:val="21"/>
          <w:szCs w:val="21"/>
          <w:highlight w:val="none"/>
          <w:lang w:eastAsia="zh-CN"/>
        </w:rPr>
        <w:t>采购</w:t>
      </w:r>
      <w:r>
        <w:rPr>
          <w:rFonts w:hint="eastAsia" w:ascii="宋体" w:hAnsi="宋体" w:cs="宋体"/>
          <w:b/>
          <w:color w:val="auto"/>
          <w:sz w:val="21"/>
          <w:szCs w:val="21"/>
          <w:highlight w:val="none"/>
        </w:rPr>
        <w:t>文件第四</w:t>
      </w:r>
      <w:r>
        <w:rPr>
          <w:rFonts w:hint="eastAsia" w:ascii="宋体" w:hAnsi="宋体" w:cs="宋体"/>
          <w:b/>
          <w:color w:val="auto"/>
          <w:sz w:val="21"/>
          <w:szCs w:val="21"/>
          <w:highlight w:val="none"/>
          <w:lang w:val="en-US" w:eastAsia="zh-CN"/>
        </w:rPr>
        <w:t>章</w:t>
      </w:r>
      <w:r>
        <w:rPr>
          <w:rFonts w:hint="eastAsia" w:ascii="宋体" w:hAnsi="宋体" w:cs="宋体"/>
          <w:b/>
          <w:color w:val="auto"/>
          <w:sz w:val="21"/>
          <w:szCs w:val="21"/>
          <w:highlight w:val="none"/>
        </w:rPr>
        <w:t>评审办法。</w:t>
      </w:r>
    </w:p>
    <w:p w14:paraId="6B17ACCE">
      <w:pPr>
        <w:keepNext w:val="0"/>
        <w:keepLines w:val="0"/>
        <w:pageBreakBefore w:val="0"/>
        <w:kinsoku/>
        <w:wordWrap/>
        <w:overflowPunct/>
        <w:topLinePunct w:val="0"/>
        <w:bidi w:val="0"/>
        <w:snapToGrid w:val="0"/>
        <w:spacing w:line="288" w:lineRule="auto"/>
        <w:ind w:left="0" w:leftChars="0"/>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D78AE96">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0</w:t>
      </w:r>
      <w:r>
        <w:rPr>
          <w:rFonts w:hint="eastAsia" w:cs="宋体"/>
          <w:b/>
          <w:color w:val="auto"/>
          <w:sz w:val="21"/>
          <w:szCs w:val="21"/>
          <w:highlight w:val="none"/>
        </w:rPr>
        <w:t>.确定</w:t>
      </w:r>
      <w:r>
        <w:rPr>
          <w:rFonts w:hint="eastAsia" w:cs="宋体"/>
          <w:b/>
          <w:color w:val="auto"/>
          <w:sz w:val="21"/>
          <w:szCs w:val="21"/>
          <w:highlight w:val="none"/>
          <w:lang w:val="en-US" w:eastAsia="zh-CN"/>
        </w:rPr>
        <w:t>成交</w:t>
      </w:r>
      <w:r>
        <w:rPr>
          <w:rFonts w:hint="eastAsia" w:cs="宋体"/>
          <w:b/>
          <w:color w:val="auto"/>
          <w:sz w:val="21"/>
          <w:szCs w:val="21"/>
          <w:highlight w:val="none"/>
        </w:rPr>
        <w:t>供应商</w:t>
      </w:r>
    </w:p>
    <w:p w14:paraId="01C9DEC9">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b/>
          <w:strike/>
          <w:dstrike w:val="0"/>
          <w:color w:val="auto"/>
          <w:sz w:val="21"/>
          <w:szCs w:val="21"/>
          <w:highlight w:val="none"/>
        </w:rPr>
      </w:pPr>
      <w:r>
        <w:rPr>
          <w:rFonts w:hint="eastAsia" w:ascii="宋体" w:hAnsi="宋体" w:cs="宋体"/>
          <w:color w:val="auto"/>
          <w:sz w:val="21"/>
          <w:szCs w:val="21"/>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宋体" w:hAnsi="宋体" w:cs="宋体"/>
          <w:color w:val="auto"/>
          <w:sz w:val="21"/>
          <w:szCs w:val="21"/>
          <w:highlight w:val="none"/>
          <w:lang w:val="en-US" w:eastAsia="zh-CN"/>
        </w:rPr>
        <w:t>鼓励</w:t>
      </w:r>
      <w:r>
        <w:rPr>
          <w:rFonts w:hint="eastAsia" w:ascii="宋体" w:hAnsi="宋体" w:cs="宋体"/>
          <w:color w:val="auto"/>
          <w:sz w:val="21"/>
          <w:szCs w:val="21"/>
          <w:highlight w:val="none"/>
        </w:rPr>
        <w:t>在收到评审报告当天</w:t>
      </w:r>
      <w:r>
        <w:rPr>
          <w:rFonts w:hint="eastAsia" w:ascii="宋体" w:hAnsi="宋体" w:cs="宋体"/>
          <w:color w:val="auto"/>
          <w:sz w:val="21"/>
          <w:szCs w:val="21"/>
          <w:highlight w:val="none"/>
          <w:lang w:val="en-US" w:eastAsia="zh-CN"/>
        </w:rPr>
        <w:t>在线</w:t>
      </w:r>
      <w:r>
        <w:rPr>
          <w:rFonts w:hint="eastAsia" w:ascii="宋体" w:hAnsi="宋体" w:cs="宋体"/>
          <w:color w:val="auto"/>
          <w:sz w:val="21"/>
          <w:szCs w:val="21"/>
          <w:highlight w:val="none"/>
        </w:rPr>
        <w:t>确定</w:t>
      </w:r>
      <w:r>
        <w:rPr>
          <w:rFonts w:hint="eastAsia" w:ascii="宋体" w:hAnsi="宋体" w:cs="宋体"/>
          <w:strike w:val="0"/>
          <w:dstrike w:val="0"/>
          <w:color w:val="auto"/>
          <w:sz w:val="21"/>
          <w:szCs w:val="21"/>
          <w:highlight w:val="none"/>
        </w:rPr>
        <w:t>成交供应商</w:t>
      </w:r>
      <w:r>
        <w:rPr>
          <w:rFonts w:hint="eastAsia" w:ascii="宋体" w:hAnsi="宋体" w:cs="宋体"/>
          <w:color w:val="auto"/>
          <w:sz w:val="21"/>
          <w:szCs w:val="21"/>
          <w:highlight w:val="none"/>
        </w:rPr>
        <w:t>。</w:t>
      </w:r>
    </w:p>
    <w:p w14:paraId="11A4D8ED">
      <w:pPr>
        <w:pStyle w:val="17"/>
        <w:keepNext w:val="0"/>
        <w:keepLines w:val="0"/>
        <w:pageBreakBefore w:val="0"/>
        <w:widowControl/>
        <w:shd w:val="clear" w:color="auto" w:fill="FFFFFF"/>
        <w:kinsoku/>
        <w:wordWrap/>
        <w:overflowPunct/>
        <w:topLinePunct w:val="0"/>
        <w:autoSpaceDE/>
        <w:autoSpaceDN/>
        <w:bidi w:val="0"/>
        <w:adjustRightInd w:val="0"/>
        <w:snapToGrid w:val="0"/>
        <w:spacing w:before="0" w:line="288" w:lineRule="auto"/>
        <w:ind w:left="0" w:leftChars="0" w:firstLine="422" w:firstLineChars="200"/>
        <w:jc w:val="left"/>
        <w:textAlignment w:val="auto"/>
        <w:rPr>
          <w:rFonts w:ascii="宋体" w:hAnsi="宋体" w:cs="宋体"/>
          <w:color w:val="auto"/>
          <w:sz w:val="21"/>
          <w:szCs w:val="16"/>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1</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成交公示</w:t>
      </w:r>
      <w:r>
        <w:rPr>
          <w:rFonts w:hint="eastAsia" w:ascii="宋体" w:hAnsi="宋体" w:cs="宋体"/>
          <w:b/>
          <w:color w:val="auto"/>
          <w:sz w:val="21"/>
          <w:szCs w:val="21"/>
          <w:highlight w:val="none"/>
        </w:rPr>
        <w:t>与成交确认书</w:t>
      </w:r>
    </w:p>
    <w:p w14:paraId="728714A1">
      <w:pPr>
        <w:keepNext w:val="0"/>
        <w:keepLines w:val="0"/>
        <w:pageBreakBefore w:val="0"/>
        <w:widowControl/>
        <w:shd w:val="clear" w:color="auto" w:fill="FFFFFF"/>
        <w:kinsoku/>
        <w:wordWrap/>
        <w:overflowPunct/>
        <w:topLinePunct w:val="0"/>
        <w:autoSpaceDE/>
        <w:autoSpaceDN/>
        <w:bidi w:val="0"/>
        <w:adjustRightInd w:val="0"/>
        <w:spacing w:line="288" w:lineRule="auto"/>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自成交供应商确定之日起</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个工作日</w:t>
      </w:r>
      <w:r>
        <w:rPr>
          <w:rFonts w:hint="eastAsia" w:ascii="宋体" w:hAnsi="宋体" w:cs="宋体"/>
          <w:color w:val="auto"/>
          <w:sz w:val="21"/>
          <w:szCs w:val="21"/>
          <w:highlight w:val="none"/>
          <w:lang w:val="en-US" w:eastAsia="zh-CN"/>
        </w:rPr>
        <w:t>内</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通过电子交易平台编制发布</w:t>
      </w:r>
      <w:r>
        <w:rPr>
          <w:rFonts w:hint="eastAsia" w:ascii="宋体" w:hAnsi="宋体" w:cs="宋体"/>
          <w:color w:val="auto"/>
          <w:sz w:val="21"/>
          <w:szCs w:val="21"/>
          <w:highlight w:val="none"/>
          <w:lang w:val="en-US" w:eastAsia="zh-CN"/>
        </w:rPr>
        <w:t>成交公示</w:t>
      </w:r>
      <w:r>
        <w:rPr>
          <w:rFonts w:hint="eastAsia" w:ascii="宋体" w:hAnsi="宋体" w:cs="宋体"/>
          <w:color w:val="auto"/>
          <w:sz w:val="21"/>
          <w:szCs w:val="21"/>
          <w:highlight w:val="none"/>
        </w:rPr>
        <w:t>。成交公示内容包括采购人及其委托的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的名称、地址、联系方式，项目名称和项目编号，</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名称、</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rPr>
        <w:t>金额</w:t>
      </w:r>
      <w:r>
        <w:rPr>
          <w:rFonts w:hint="eastAsia" w:ascii="宋体" w:hAnsi="宋体" w:cs="宋体"/>
          <w:color w:val="auto"/>
          <w:sz w:val="21"/>
          <w:szCs w:val="21"/>
          <w:highlight w:val="none"/>
          <w:lang w:val="en-US" w:eastAsia="zh-CN"/>
        </w:rPr>
        <w:t>。公示</w:t>
      </w:r>
      <w:r>
        <w:rPr>
          <w:rFonts w:hint="eastAsia" w:ascii="宋体" w:hAnsi="宋体" w:cs="宋体"/>
          <w:color w:val="auto"/>
          <w:sz w:val="21"/>
          <w:szCs w:val="21"/>
          <w:highlight w:val="none"/>
        </w:rPr>
        <w:t>期限为1个工作日。</w:t>
      </w:r>
    </w:p>
    <w:p w14:paraId="1F797569">
      <w:pPr>
        <w:keepNext w:val="0"/>
        <w:keepLines w:val="0"/>
        <w:pageBreakBefore w:val="0"/>
        <w:widowControl/>
        <w:shd w:val="clear" w:color="auto" w:fill="FFFFFF"/>
        <w:kinsoku/>
        <w:wordWrap/>
        <w:overflowPunct/>
        <w:topLinePunct w:val="0"/>
        <w:autoSpaceDE/>
        <w:autoSpaceDN/>
        <w:bidi w:val="0"/>
        <w:adjustRightInd w:val="0"/>
        <w:spacing w:line="288" w:lineRule="auto"/>
        <w:ind w:left="0" w:leftChars="0" w:firstLine="420" w:firstLineChars="200"/>
        <w:jc w:val="left"/>
        <w:textAlignment w:val="auto"/>
        <w:rPr>
          <w:rFonts w:hint="eastAsia" w:ascii="宋体" w:hAnsi="宋体" w:cs="宋体"/>
          <w:color w:val="auto"/>
          <w:sz w:val="24"/>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 公示期满后</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向</w:t>
      </w:r>
      <w:r>
        <w:rPr>
          <w:rFonts w:hint="eastAsia" w:ascii="宋体" w:hAnsi="宋体" w:cs="宋体"/>
          <w:color w:val="auto"/>
          <w:sz w:val="21"/>
          <w:szCs w:val="21"/>
          <w:highlight w:val="none"/>
          <w:lang w:val="en-US" w:eastAsia="zh-CN"/>
        </w:rPr>
        <w:t>成交供应商</w:t>
      </w:r>
      <w:r>
        <w:rPr>
          <w:rFonts w:hint="eastAsia" w:ascii="宋体" w:hAnsi="宋体" w:cs="宋体"/>
          <w:color w:val="auto"/>
          <w:sz w:val="21"/>
          <w:szCs w:val="21"/>
          <w:highlight w:val="none"/>
        </w:rPr>
        <w:t>发出</w:t>
      </w:r>
      <w:r>
        <w:rPr>
          <w:rFonts w:hint="eastAsia" w:ascii="宋体" w:hAnsi="宋体" w:cs="宋体"/>
          <w:color w:val="auto"/>
          <w:sz w:val="21"/>
          <w:szCs w:val="21"/>
          <w:highlight w:val="none"/>
          <w:lang w:val="en-US" w:eastAsia="zh-CN"/>
        </w:rPr>
        <w:t>成交确认书</w:t>
      </w:r>
      <w:r>
        <w:rPr>
          <w:rFonts w:hint="eastAsia" w:ascii="宋体" w:hAnsi="宋体" w:cs="宋体"/>
          <w:color w:val="auto"/>
          <w:sz w:val="21"/>
          <w:szCs w:val="21"/>
          <w:highlight w:val="none"/>
        </w:rPr>
        <w:t>，同时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也可以以纸质形式进行</w:t>
      </w:r>
      <w:r>
        <w:rPr>
          <w:rFonts w:hint="eastAsia" w:ascii="宋体" w:hAnsi="宋体" w:cs="宋体"/>
          <w:color w:val="auto"/>
          <w:sz w:val="21"/>
          <w:szCs w:val="21"/>
          <w:highlight w:val="none"/>
          <w:lang w:val="en-US" w:eastAsia="zh-CN"/>
        </w:rPr>
        <w:t>成交确认书</w:t>
      </w:r>
      <w:r>
        <w:rPr>
          <w:rFonts w:hint="eastAsia" w:ascii="宋体" w:hAnsi="宋体" w:cs="宋体"/>
          <w:color w:val="auto"/>
          <w:sz w:val="21"/>
          <w:szCs w:val="21"/>
          <w:highlight w:val="none"/>
        </w:rPr>
        <w:t>。</w:t>
      </w:r>
    </w:p>
    <w:p w14:paraId="2EE88B38">
      <w:pPr>
        <w:keepNext w:val="0"/>
        <w:keepLines w:val="0"/>
        <w:pageBreakBefore w:val="0"/>
        <w:kinsoku/>
        <w:wordWrap/>
        <w:overflowPunct/>
        <w:topLinePunct w:val="0"/>
        <w:bidi w:val="0"/>
        <w:snapToGrid w:val="0"/>
        <w:spacing w:line="288" w:lineRule="auto"/>
        <w:ind w:left="0" w:leftChars="0"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七、合同授予</w:t>
      </w:r>
    </w:p>
    <w:p w14:paraId="202E2687">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2</w:t>
      </w:r>
      <w:r>
        <w:rPr>
          <w:rFonts w:hint="eastAsia" w:cs="宋体"/>
          <w:b/>
          <w:color w:val="auto"/>
          <w:sz w:val="21"/>
          <w:szCs w:val="21"/>
          <w:highlight w:val="none"/>
        </w:rPr>
        <w:t>.</w:t>
      </w:r>
      <w:r>
        <w:rPr>
          <w:rFonts w:hint="eastAsia" w:cs="宋体"/>
          <w:color w:val="auto"/>
          <w:sz w:val="21"/>
          <w:szCs w:val="21"/>
          <w:highlight w:val="none"/>
        </w:rPr>
        <w:t>合同主要条款详见第五部分拟签订的合同文本。</w:t>
      </w:r>
    </w:p>
    <w:p w14:paraId="1BAE983A">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3</w:t>
      </w:r>
      <w:r>
        <w:rPr>
          <w:rFonts w:hint="eastAsia" w:cs="宋体"/>
          <w:b/>
          <w:color w:val="auto"/>
          <w:sz w:val="21"/>
          <w:szCs w:val="21"/>
          <w:highlight w:val="none"/>
        </w:rPr>
        <w:t>.合同的签订</w:t>
      </w:r>
    </w:p>
    <w:p w14:paraId="36592B2B">
      <w:pPr>
        <w:keepNext w:val="0"/>
        <w:keepLines w:val="0"/>
        <w:pageBreakBefore w:val="0"/>
        <w:widowControl/>
        <w:shd w:val="clear" w:color="auto" w:fill="FFFFFF"/>
        <w:kinsoku/>
        <w:wordWrap/>
        <w:overflowPunct/>
        <w:topLinePunct w:val="0"/>
        <w:autoSpaceDE/>
        <w:autoSpaceDN/>
        <w:bidi w:val="0"/>
        <w:adjustRightInd w:val="0"/>
        <w:spacing w:line="288" w:lineRule="auto"/>
        <w:ind w:left="0" w:leftChars="0" w:firstLine="420" w:firstLineChars="200"/>
        <w:jc w:val="left"/>
        <w:textAlignment w:val="auto"/>
        <w:rPr>
          <w:rFonts w:hint="eastAsia" w:ascii="宋体" w:hAnsi="宋体" w:eastAsia="宋体" w:cs="宋体"/>
          <w:strike/>
          <w:dstrike w:val="0"/>
          <w:color w:val="auto"/>
          <w:kern w:val="0"/>
          <w:sz w:val="21"/>
          <w:szCs w:val="21"/>
          <w:highlight w:val="none"/>
          <w:lang w:eastAsia="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.1</w:t>
      </w:r>
      <w:r>
        <w:rPr>
          <w:rFonts w:hint="eastAsia" w:ascii="宋体" w:hAnsi="宋体" w:cs="宋体"/>
          <w:color w:val="auto"/>
          <w:kern w:val="0"/>
          <w:sz w:val="21"/>
          <w:szCs w:val="21"/>
          <w:highlight w:val="none"/>
        </w:rPr>
        <w:t xml:space="preserve"> 采购人与</w:t>
      </w:r>
      <w:r>
        <w:rPr>
          <w:rFonts w:hint="eastAsia" w:ascii="宋体" w:hAnsi="宋体" w:cs="宋体"/>
          <w:color w:val="auto"/>
          <w:kern w:val="0"/>
          <w:sz w:val="21"/>
          <w:szCs w:val="21"/>
          <w:highlight w:val="none"/>
          <w:lang w:val="en-US" w:eastAsia="zh-CN"/>
        </w:rPr>
        <w:t>成交供应商</w:t>
      </w:r>
      <w:r>
        <w:rPr>
          <w:rFonts w:hint="eastAsia" w:ascii="宋体" w:hAnsi="宋体" w:cs="宋体"/>
          <w:color w:val="auto"/>
          <w:kern w:val="0"/>
          <w:sz w:val="21"/>
          <w:szCs w:val="21"/>
          <w:highlight w:val="none"/>
        </w:rPr>
        <w:t>应当通过电子交易平台成交确认</w:t>
      </w:r>
      <w:r>
        <w:rPr>
          <w:rFonts w:hint="eastAsia" w:ascii="宋体" w:hAnsi="宋体" w:cs="宋体"/>
          <w:color w:val="auto"/>
          <w:kern w:val="0"/>
          <w:sz w:val="21"/>
          <w:szCs w:val="21"/>
          <w:highlight w:val="none"/>
          <w:lang w:val="en-US" w:eastAsia="zh-CN"/>
        </w:rPr>
        <w:t>书</w:t>
      </w:r>
      <w:r>
        <w:rPr>
          <w:rFonts w:hint="eastAsia" w:ascii="宋体" w:hAnsi="宋体" w:cs="宋体"/>
          <w:color w:val="auto"/>
          <w:kern w:val="0"/>
          <w:sz w:val="21"/>
          <w:szCs w:val="21"/>
          <w:highlight w:val="none"/>
        </w:rPr>
        <w:t>发出之日起三十日内，按照</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文件确定的事项签订采购合同</w:t>
      </w:r>
      <w:r>
        <w:rPr>
          <w:rFonts w:hint="eastAsia" w:ascii="宋体" w:hAnsi="宋体" w:cs="宋体"/>
          <w:color w:val="auto"/>
          <w:kern w:val="0"/>
          <w:sz w:val="21"/>
          <w:szCs w:val="21"/>
          <w:highlight w:val="none"/>
          <w:lang w:eastAsia="zh-CN"/>
        </w:rPr>
        <w:t>。</w:t>
      </w:r>
    </w:p>
    <w:p w14:paraId="32F88170">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kern w:val="0"/>
          <w:sz w:val="21"/>
          <w:szCs w:val="16"/>
          <w:highlight w:val="none"/>
        </w:rPr>
      </w:pPr>
      <w:r>
        <w:rPr>
          <w:rFonts w:hint="eastAsia" w:ascii="宋体" w:hAnsi="宋体" w:cs="宋体"/>
          <w:color w:val="auto"/>
          <w:kern w:val="0"/>
          <w:sz w:val="21"/>
          <w:szCs w:val="16"/>
          <w:highlight w:val="none"/>
          <w:lang w:val="zh-CN"/>
        </w:rPr>
        <w:t>2</w:t>
      </w:r>
      <w:r>
        <w:rPr>
          <w:rFonts w:hint="eastAsia" w:ascii="宋体" w:hAnsi="宋体" w:cs="宋体"/>
          <w:color w:val="auto"/>
          <w:kern w:val="0"/>
          <w:sz w:val="21"/>
          <w:szCs w:val="16"/>
          <w:highlight w:val="none"/>
          <w:lang w:val="en-US" w:eastAsia="zh-CN"/>
        </w:rPr>
        <w:t>3</w:t>
      </w:r>
      <w:r>
        <w:rPr>
          <w:rFonts w:hint="eastAsia" w:ascii="宋体" w:hAnsi="宋体" w:cs="宋体"/>
          <w:color w:val="auto"/>
          <w:kern w:val="0"/>
          <w:sz w:val="21"/>
          <w:szCs w:val="16"/>
          <w:highlight w:val="none"/>
          <w:lang w:val="zh-CN"/>
        </w:rPr>
        <w:t>.2</w:t>
      </w:r>
      <w:r>
        <w:rPr>
          <w:rFonts w:hint="eastAsia" w:ascii="宋体" w:hAnsi="宋体" w:cs="宋体"/>
          <w:color w:val="auto"/>
          <w:kern w:val="0"/>
          <w:sz w:val="21"/>
          <w:szCs w:val="16"/>
          <w:highlight w:val="none"/>
          <w:lang w:val="en-US" w:eastAsia="zh-CN"/>
        </w:rPr>
        <w:t xml:space="preserve"> 成交供应商</w:t>
      </w:r>
      <w:r>
        <w:rPr>
          <w:rFonts w:hint="eastAsia" w:ascii="宋体" w:hAnsi="宋体" w:cs="宋体"/>
          <w:color w:val="auto"/>
          <w:kern w:val="0"/>
          <w:sz w:val="21"/>
          <w:szCs w:val="16"/>
          <w:highlight w:val="none"/>
          <w:lang w:val="zh-CN"/>
        </w:rPr>
        <w:t>按规定的日期、时间、地点，由法定代表人或其授权代表与采购人代表签订合同。如</w:t>
      </w:r>
      <w:r>
        <w:rPr>
          <w:rFonts w:hint="eastAsia" w:ascii="宋体" w:hAnsi="宋体" w:cs="宋体"/>
          <w:color w:val="auto"/>
          <w:kern w:val="0"/>
          <w:sz w:val="21"/>
          <w:szCs w:val="16"/>
          <w:highlight w:val="none"/>
          <w:lang w:val="en-US" w:eastAsia="zh-CN"/>
        </w:rPr>
        <w:t>成交供应商</w:t>
      </w:r>
      <w:r>
        <w:rPr>
          <w:rFonts w:hint="eastAsia" w:ascii="宋体" w:hAnsi="宋体" w:cs="宋体"/>
          <w:color w:val="auto"/>
          <w:kern w:val="0"/>
          <w:sz w:val="21"/>
          <w:szCs w:val="16"/>
          <w:highlight w:val="none"/>
          <w:lang w:val="zh-CN"/>
        </w:rPr>
        <w:t>为联合体的，由联合体成员各方法定代表人或其授权代表与采购人代表签订合同。</w:t>
      </w:r>
    </w:p>
    <w:p w14:paraId="00776A19">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3</w:t>
      </w:r>
      <w:r>
        <w:rPr>
          <w:rFonts w:hint="eastAsia" w:ascii="宋体" w:hAnsi="宋体" w:cs="宋体"/>
          <w:color w:val="auto"/>
          <w:sz w:val="21"/>
          <w:szCs w:val="16"/>
          <w:highlight w:val="none"/>
        </w:rPr>
        <w:t>.3</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如签订合同并生效后，供应商无故拒绝或延期，除按照合同条款处理外，列入不良行为记录一次，并给予通报。</w:t>
      </w:r>
    </w:p>
    <w:p w14:paraId="5C560140">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3</w:t>
      </w:r>
      <w:r>
        <w:rPr>
          <w:rFonts w:hint="eastAsia" w:ascii="宋体" w:hAnsi="宋体" w:cs="宋体"/>
          <w:color w:val="auto"/>
          <w:sz w:val="21"/>
          <w:szCs w:val="16"/>
          <w:highlight w:val="none"/>
        </w:rPr>
        <w:t>.4</w:t>
      </w:r>
      <w:r>
        <w:rPr>
          <w:rFonts w:hint="eastAsia" w:ascii="宋体" w:hAnsi="宋体" w:cs="宋体"/>
          <w:color w:val="auto"/>
          <w:sz w:val="21"/>
          <w:szCs w:val="16"/>
          <w:highlight w:val="none"/>
          <w:lang w:val="en-US" w:eastAsia="zh-CN"/>
        </w:rPr>
        <w:t xml:space="preserve"> 成交</w:t>
      </w:r>
      <w:r>
        <w:rPr>
          <w:rFonts w:hint="eastAsia" w:ascii="宋体" w:hAnsi="宋体" w:cs="宋体"/>
          <w:color w:val="auto"/>
          <w:sz w:val="21"/>
          <w:szCs w:val="16"/>
          <w:highlight w:val="none"/>
        </w:rPr>
        <w:t>供应商拒绝与采购人签订合同的，采购人可以按照评审报告推荐成交候选人名单排序，确定下一候选人为</w:t>
      </w:r>
      <w:r>
        <w:rPr>
          <w:rFonts w:hint="eastAsia" w:ascii="宋体" w:hAnsi="宋体" w:cs="宋体"/>
          <w:color w:val="auto"/>
          <w:sz w:val="21"/>
          <w:szCs w:val="16"/>
          <w:highlight w:val="none"/>
          <w:lang w:val="en-US" w:eastAsia="zh-CN"/>
        </w:rPr>
        <w:t>成交</w:t>
      </w:r>
      <w:r>
        <w:rPr>
          <w:rFonts w:hint="eastAsia" w:ascii="宋体" w:hAnsi="宋体" w:cs="宋体"/>
          <w:color w:val="auto"/>
          <w:sz w:val="21"/>
          <w:szCs w:val="16"/>
          <w:highlight w:val="none"/>
        </w:rPr>
        <w:t>供应商，也可以重新开展采购活动。</w:t>
      </w:r>
    </w:p>
    <w:p w14:paraId="46B7C5A6">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3</w:t>
      </w:r>
      <w:r>
        <w:rPr>
          <w:rFonts w:hint="eastAsia" w:ascii="宋体" w:hAnsi="宋体" w:cs="宋体"/>
          <w:color w:val="auto"/>
          <w:sz w:val="21"/>
          <w:szCs w:val="16"/>
          <w:highlight w:val="none"/>
        </w:rPr>
        <w:t>.5</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采购合同由采购人与</w:t>
      </w:r>
      <w:r>
        <w:rPr>
          <w:rFonts w:hint="eastAsia" w:ascii="宋体" w:hAnsi="宋体" w:cs="宋体"/>
          <w:color w:val="auto"/>
          <w:sz w:val="21"/>
          <w:szCs w:val="16"/>
          <w:highlight w:val="none"/>
          <w:lang w:val="en-US" w:eastAsia="zh-CN"/>
        </w:rPr>
        <w:t>成交</w:t>
      </w:r>
      <w:r>
        <w:rPr>
          <w:rFonts w:hint="eastAsia" w:ascii="宋体" w:hAnsi="宋体" w:cs="宋体"/>
          <w:color w:val="auto"/>
          <w:sz w:val="21"/>
          <w:szCs w:val="16"/>
          <w:highlight w:val="none"/>
        </w:rPr>
        <w:t>供应商根据</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文件等内容通过采购电子交易平台在线签订，自动备案。</w:t>
      </w:r>
    </w:p>
    <w:p w14:paraId="2C00E0E3">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4</w:t>
      </w:r>
      <w:r>
        <w:rPr>
          <w:rFonts w:hint="eastAsia" w:cs="宋体"/>
          <w:b/>
          <w:color w:val="auto"/>
          <w:sz w:val="21"/>
          <w:szCs w:val="21"/>
          <w:highlight w:val="none"/>
        </w:rPr>
        <w:t>.履约保证金</w:t>
      </w:r>
    </w:p>
    <w:p w14:paraId="5CF7B715">
      <w:pPr>
        <w:keepNext w:val="0"/>
        <w:keepLines w:val="0"/>
        <w:pageBreakBefore w:val="0"/>
        <w:tabs>
          <w:tab w:val="left" w:pos="0"/>
        </w:tabs>
        <w:kinsoku/>
        <w:wordWrap/>
        <w:overflowPunct/>
        <w:topLinePunct w:val="0"/>
        <w:autoSpaceDE/>
        <w:autoSpaceDN/>
        <w:bidi w:val="0"/>
        <w:adjustRightInd w:val="0"/>
        <w:spacing w:line="288" w:lineRule="auto"/>
        <w:ind w:left="0" w:leftChars="0" w:firstLine="420" w:firstLineChars="200"/>
        <w:textAlignment w:val="auto"/>
        <w:rPr>
          <w:color w:val="auto"/>
          <w:highlight w:val="none"/>
        </w:rPr>
      </w:pPr>
      <w:r>
        <w:rPr>
          <w:rFonts w:hint="eastAsia" w:ascii="宋体" w:hAnsi="宋体" w:cs="宋体"/>
          <w:color w:val="auto"/>
          <w:kern w:val="0"/>
          <w:sz w:val="21"/>
          <w:szCs w:val="21"/>
          <w:highlight w:val="none"/>
        </w:rPr>
        <w:t>拟签订的合同文本要求</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rPr>
        <w:t>供应商提交履约保证金的，供应商应当以支票、汇票、本票或者金融机构、担保机构出具的保函等非现金形式提交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。履约保证金的数额不得超过采购合同金额的</w:t>
      </w:r>
      <w:r>
        <w:rPr>
          <w:rFonts w:ascii="宋体" w:hAnsi="宋体" w:cs="宋体"/>
          <w:color w:val="auto"/>
          <w:sz w:val="21"/>
          <w:szCs w:val="21"/>
          <w:highlight w:val="none"/>
        </w:rPr>
        <w:t>1</w:t>
      </w:r>
      <w:r>
        <w:rPr>
          <w:rFonts w:hint="eastAsia" w:ascii="宋体" w:hAnsi="宋体" w:cs="宋体"/>
          <w:color w:val="auto"/>
          <w:sz w:val="21"/>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456277FF">
      <w:pPr>
        <w:keepNext w:val="0"/>
        <w:keepLines w:val="0"/>
        <w:pageBreakBefore w:val="0"/>
        <w:kinsoku/>
        <w:wordWrap/>
        <w:overflowPunct/>
        <w:topLinePunct w:val="0"/>
        <w:bidi w:val="0"/>
        <w:snapToGrid w:val="0"/>
        <w:spacing w:line="288" w:lineRule="auto"/>
        <w:ind w:left="0" w:leftChars="0" w:firstLine="3357" w:firstLineChars="1045"/>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0676435">
      <w:pPr>
        <w:pStyle w:val="17"/>
        <w:keepNext w:val="0"/>
        <w:keepLines w:val="0"/>
        <w:pageBreakBefore w:val="0"/>
        <w:kinsoku/>
        <w:wordWrap/>
        <w:overflowPunct/>
        <w:topLinePunct w:val="0"/>
        <w:bidi w:val="0"/>
        <w:snapToGrid w:val="0"/>
        <w:spacing w:before="0" w:line="288" w:lineRule="auto"/>
        <w:ind w:left="0" w:leftChars="0" w:firstLine="422" w:firstLineChars="200"/>
        <w:textAlignment w:val="auto"/>
        <w:rPr>
          <w:rFonts w:ascii="宋体" w:hAnsi="宋体" w:cs="宋体"/>
          <w:color w:val="auto"/>
          <w:sz w:val="21"/>
          <w:szCs w:val="16"/>
          <w:highlight w:val="none"/>
        </w:rPr>
      </w:pPr>
      <w:r>
        <w:rPr>
          <w:rFonts w:ascii="宋体" w:hAnsi="宋体" w:cs="宋体"/>
          <w:b/>
          <w:bCs/>
          <w:color w:val="auto"/>
          <w:sz w:val="21"/>
          <w:szCs w:val="16"/>
          <w:highlight w:val="none"/>
        </w:rPr>
        <w:t>2</w:t>
      </w:r>
      <w:r>
        <w:rPr>
          <w:rFonts w:hint="eastAsia" w:ascii="宋体" w:hAnsi="宋体" w:cs="宋体"/>
          <w:b/>
          <w:bCs/>
          <w:color w:val="auto"/>
          <w:sz w:val="21"/>
          <w:szCs w:val="21"/>
          <w:highlight w:val="none"/>
          <w:lang w:val="en-US" w:eastAsia="zh-CN"/>
        </w:rPr>
        <w:t>5</w:t>
      </w:r>
      <w:r>
        <w:rPr>
          <w:rFonts w:hint="eastAsia" w:ascii="宋体" w:hAnsi="宋体" w:cs="宋体"/>
          <w:b/>
          <w:color w:val="auto"/>
          <w:sz w:val="21"/>
          <w:szCs w:val="21"/>
          <w:highlight w:val="none"/>
        </w:rPr>
        <w:t>.电子交易活动的中止。</w:t>
      </w:r>
      <w:r>
        <w:rPr>
          <w:rFonts w:hint="eastAsia" w:ascii="宋体" w:hAnsi="宋体" w:cs="宋体"/>
          <w:color w:val="auto"/>
          <w:sz w:val="21"/>
          <w:szCs w:val="16"/>
          <w:highlight w:val="none"/>
        </w:rPr>
        <w:t>采购过程中出现以下情形，导致电子交易平台无法正常运行，或者无法保证电子交易的公平、公正和安全时，</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可中止电子交易活动：</w:t>
      </w:r>
    </w:p>
    <w:p w14:paraId="2980303E">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 xml:space="preserve">电子交易平台发生故障而无法登录访问的； </w:t>
      </w:r>
    </w:p>
    <w:p w14:paraId="65D6D227">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电子交易平台应用或数据库出现错误，不能进行正常操作的；</w:t>
      </w:r>
    </w:p>
    <w:p w14:paraId="300FFDC0">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.3</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电子交易平台发现严重安全漏洞，有潜在泄密危险的；</w:t>
      </w:r>
    </w:p>
    <w:p w14:paraId="69F30757">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.4</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 xml:space="preserve">病毒发作导致不能进行正常操作的； </w:t>
      </w:r>
    </w:p>
    <w:p w14:paraId="28544F3A">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.5</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其他无法保证电子交易的公平、公正和安全的情况。</w:t>
      </w:r>
    </w:p>
    <w:p w14:paraId="03FDF967">
      <w:pPr>
        <w:pStyle w:val="17"/>
        <w:keepNext w:val="0"/>
        <w:keepLines w:val="0"/>
        <w:pageBreakBefore w:val="0"/>
        <w:kinsoku/>
        <w:wordWrap/>
        <w:overflowPunct/>
        <w:topLinePunct w:val="0"/>
        <w:bidi w:val="0"/>
        <w:snapToGrid w:val="0"/>
        <w:spacing w:before="0" w:line="288" w:lineRule="auto"/>
        <w:ind w:left="0" w:leftChars="0" w:firstLine="420" w:firstLineChars="200"/>
        <w:textAlignment w:val="auto"/>
        <w:rPr>
          <w:rFonts w:ascii="宋体" w:hAnsi="宋体" w:cs="宋体"/>
          <w:color w:val="auto"/>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D5B9273">
      <w:pPr>
        <w:keepNext w:val="0"/>
        <w:keepLines w:val="0"/>
        <w:pageBreakBefore w:val="0"/>
        <w:kinsoku/>
        <w:wordWrap/>
        <w:overflowPunct/>
        <w:topLinePunct w:val="0"/>
        <w:bidi w:val="0"/>
        <w:snapToGrid w:val="0"/>
        <w:spacing w:line="288" w:lineRule="auto"/>
        <w:ind w:left="0" w:leftChars="0"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九、验收</w:t>
      </w:r>
    </w:p>
    <w:p w14:paraId="476A9B48">
      <w:pPr>
        <w:pStyle w:val="8"/>
        <w:keepNext w:val="0"/>
        <w:keepLines w:val="0"/>
        <w:pageBreakBefore w:val="0"/>
        <w:kinsoku/>
        <w:wordWrap/>
        <w:overflowPunct/>
        <w:topLinePunct w:val="0"/>
        <w:bidi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lang w:val="en-US" w:eastAsia="zh-CN"/>
        </w:rPr>
        <w:t>26</w:t>
      </w:r>
      <w:r>
        <w:rPr>
          <w:rFonts w:hint="eastAsia" w:cs="宋体"/>
          <w:b/>
          <w:color w:val="auto"/>
          <w:sz w:val="21"/>
          <w:szCs w:val="21"/>
          <w:highlight w:val="none"/>
        </w:rPr>
        <w:t>.验收</w:t>
      </w:r>
    </w:p>
    <w:p w14:paraId="52DC9492">
      <w:pPr>
        <w:keepNext w:val="0"/>
        <w:keepLines w:val="0"/>
        <w:pageBreakBefore w:val="0"/>
        <w:tabs>
          <w:tab w:val="left" w:pos="0"/>
        </w:tabs>
        <w:kinsoku/>
        <w:wordWrap/>
        <w:overflowPunct/>
        <w:topLinePunct w:val="0"/>
        <w:bidi w:val="0"/>
        <w:spacing w:line="288" w:lineRule="auto"/>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26</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654FB2">
      <w:pPr>
        <w:keepNext w:val="0"/>
        <w:keepLines w:val="0"/>
        <w:pageBreakBefore w:val="0"/>
        <w:tabs>
          <w:tab w:val="left" w:pos="0"/>
        </w:tabs>
        <w:kinsoku/>
        <w:wordWrap/>
        <w:overflowPunct/>
        <w:topLinePunct w:val="0"/>
        <w:bidi w:val="0"/>
        <w:spacing w:line="288" w:lineRule="auto"/>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26</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采购人可以邀请参加本项目的其他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或者第三方机构参与验收。参与验收的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或者第三方机构的意见作为验收书的参考资料一并存档。</w:t>
      </w:r>
    </w:p>
    <w:p w14:paraId="6DBEA6B6">
      <w:pPr>
        <w:keepNext w:val="0"/>
        <w:keepLines w:val="0"/>
        <w:pageBreakBefore w:val="0"/>
        <w:tabs>
          <w:tab w:val="left" w:pos="0"/>
        </w:tabs>
        <w:kinsoku/>
        <w:wordWrap/>
        <w:overflowPunct/>
        <w:topLinePunct w:val="0"/>
        <w:bidi w:val="0"/>
        <w:spacing w:line="288" w:lineRule="auto"/>
        <w:ind w:left="0" w:leftChars="0" w:firstLine="48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26</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879355">
      <w:pPr>
        <w:keepNext w:val="0"/>
        <w:keepLines w:val="0"/>
        <w:pageBreakBefore w:val="0"/>
        <w:tabs>
          <w:tab w:val="left" w:pos="0"/>
        </w:tabs>
        <w:kinsoku/>
        <w:wordWrap/>
        <w:overflowPunct/>
        <w:topLinePunct w:val="0"/>
        <w:bidi w:val="0"/>
        <w:spacing w:line="288" w:lineRule="auto"/>
        <w:ind w:left="0" w:leftChars="0" w:firstLine="420" w:firstLineChars="200"/>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1"/>
          <w:szCs w:val="21"/>
          <w:highlight w:val="none"/>
          <w:lang w:val="en-US" w:eastAsia="zh-CN"/>
        </w:rPr>
        <w:t>26</w:t>
      </w:r>
      <w:r>
        <w:rPr>
          <w:rFonts w:hint="eastAsia" w:ascii="宋体" w:hAnsi="宋体" w:eastAsia="宋体" w:cs="宋体"/>
          <w:b w:val="0"/>
          <w:bCs w:val="0"/>
          <w:color w:val="auto"/>
          <w:kern w:val="0"/>
          <w:sz w:val="21"/>
          <w:szCs w:val="21"/>
          <w:highlight w:val="none"/>
          <w:lang w:val="en-US"/>
        </w:rPr>
        <w:t>.4</w:t>
      </w:r>
      <w:r>
        <w:rPr>
          <w:rFonts w:hint="eastAsia" w:ascii="宋体" w:hAnsi="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lang w:val="en-US"/>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bookmarkEnd w:id="4"/>
    <w:bookmarkEnd w:id="5"/>
    <w:bookmarkEnd w:id="6"/>
    <w:bookmarkEnd w:id="7"/>
    <w:bookmarkEnd w:id="8"/>
    <w:p w14:paraId="34605621">
      <w:pPr>
        <w:rPr>
          <w:rFonts w:hint="eastAsia" w:ascii="宋体" w:hAnsi="宋体" w:eastAsia="宋体" w:cs="宋体"/>
          <w:color w:val="auto"/>
          <w:highlight w:val="none"/>
        </w:rPr>
      </w:pPr>
      <w:bookmarkStart w:id="9" w:name="_Toc298767927"/>
      <w:bookmarkStart w:id="10" w:name="_Toc294012141"/>
      <w:bookmarkStart w:id="11" w:name="_Toc29944"/>
      <w:bookmarkStart w:id="12" w:name="_Toc13642"/>
      <w:r>
        <w:rPr>
          <w:rFonts w:hint="eastAsia" w:ascii="宋体" w:hAnsi="宋体" w:eastAsia="宋体" w:cs="宋体"/>
          <w:color w:val="auto"/>
          <w:highlight w:val="none"/>
        </w:rPr>
        <w:br w:type="page"/>
      </w:r>
    </w:p>
    <w:p w14:paraId="615A31E1">
      <w:pPr>
        <w:adjustRightInd/>
        <w:spacing w:line="360" w:lineRule="auto"/>
        <w:jc w:val="center"/>
        <w:outlineLvl w:val="0"/>
        <w:rPr>
          <w:rFonts w:hint="eastAsia" w:ascii="宋体" w:hAnsi="宋体" w:eastAsia="宋体" w:cs="宋体"/>
          <w:color w:val="auto"/>
          <w:highlight w:val="none"/>
          <w:lang w:val="en-US" w:eastAsia="zh-CN"/>
        </w:rPr>
      </w:pPr>
      <w:r>
        <w:rPr>
          <w:rFonts w:hint="eastAsia" w:ascii="宋体" w:hAnsi="宋体" w:eastAsia="宋体" w:cs="宋体"/>
          <w:b/>
          <w:color w:val="auto"/>
          <w:sz w:val="36"/>
          <w:szCs w:val="20"/>
          <w:highlight w:val="none"/>
        </w:rPr>
        <w:t>第</w:t>
      </w:r>
      <w:r>
        <w:rPr>
          <w:rFonts w:hint="eastAsia" w:ascii="宋体" w:hAnsi="宋体" w:eastAsia="宋体" w:cs="宋体"/>
          <w:b/>
          <w:color w:val="auto"/>
          <w:sz w:val="36"/>
          <w:szCs w:val="20"/>
          <w:highlight w:val="none"/>
          <w:lang w:val="en-US" w:eastAsia="zh-CN"/>
        </w:rPr>
        <w:t>三</w:t>
      </w:r>
      <w:r>
        <w:rPr>
          <w:rFonts w:hint="eastAsia" w:ascii="宋体" w:hAnsi="宋体" w:eastAsia="宋体" w:cs="宋体"/>
          <w:b/>
          <w:color w:val="auto"/>
          <w:sz w:val="36"/>
          <w:szCs w:val="20"/>
          <w:highlight w:val="none"/>
        </w:rPr>
        <w:t xml:space="preserve">章  </w:t>
      </w:r>
      <w:bookmarkEnd w:id="9"/>
      <w:bookmarkEnd w:id="10"/>
      <w:r>
        <w:rPr>
          <w:rFonts w:hint="eastAsia" w:ascii="宋体" w:hAnsi="宋体" w:eastAsia="宋体" w:cs="宋体"/>
          <w:b/>
          <w:color w:val="auto"/>
          <w:sz w:val="36"/>
          <w:szCs w:val="20"/>
          <w:highlight w:val="none"/>
        </w:rPr>
        <w:t>采购</w:t>
      </w:r>
      <w:bookmarkEnd w:id="11"/>
      <w:bookmarkEnd w:id="12"/>
      <w:r>
        <w:rPr>
          <w:rFonts w:hint="eastAsia" w:ascii="宋体" w:hAnsi="宋体" w:eastAsia="宋体" w:cs="宋体"/>
          <w:b/>
          <w:color w:val="auto"/>
          <w:sz w:val="36"/>
          <w:szCs w:val="20"/>
          <w:highlight w:val="none"/>
          <w:lang w:val="en-US" w:eastAsia="zh-CN"/>
        </w:rPr>
        <w:t>需求</w:t>
      </w:r>
    </w:p>
    <w:p w14:paraId="4D6D1CD9">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color w:val="auto"/>
          <w:sz w:val="21"/>
          <w:szCs w:val="21"/>
          <w:highlight w:val="none"/>
        </w:rPr>
        <w:t>、采购资金的支付方式、时间、条件：</w:t>
      </w:r>
    </w:p>
    <w:tbl>
      <w:tblPr>
        <w:tblStyle w:val="12"/>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9"/>
        <w:gridCol w:w="7759"/>
      </w:tblGrid>
      <w:tr w14:paraId="71FE3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9" w:type="dxa"/>
            <w:tcBorders>
              <w:top w:val="single" w:color="auto" w:sz="4" w:space="0"/>
              <w:left w:val="single" w:color="auto" w:sz="4" w:space="0"/>
              <w:bottom w:val="single" w:color="auto" w:sz="4" w:space="0"/>
              <w:right w:val="single" w:color="auto" w:sz="4" w:space="0"/>
            </w:tcBorders>
            <w:vAlign w:val="center"/>
          </w:tcPr>
          <w:p w14:paraId="74D1F8A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color w:val="auto"/>
                <w:spacing w:val="-6"/>
                <w:sz w:val="21"/>
                <w:szCs w:val="21"/>
                <w:highlight w:val="none"/>
              </w:rPr>
            </w:pPr>
            <w:bookmarkStart w:id="13" w:name="_Hlk45005608"/>
            <w:r>
              <w:rPr>
                <w:rFonts w:hint="eastAsia" w:ascii="宋体" w:hAnsi="宋体" w:eastAsia="宋体" w:cs="宋体"/>
                <w:b/>
                <w:color w:val="auto"/>
                <w:spacing w:val="-6"/>
                <w:sz w:val="21"/>
                <w:szCs w:val="21"/>
                <w:highlight w:val="none"/>
              </w:rPr>
              <w:t>▲履约保证金</w:t>
            </w:r>
          </w:p>
        </w:tc>
        <w:tc>
          <w:tcPr>
            <w:tcW w:w="7759" w:type="dxa"/>
            <w:tcBorders>
              <w:top w:val="single" w:color="auto" w:sz="4" w:space="0"/>
              <w:left w:val="single" w:color="auto" w:sz="4" w:space="0"/>
              <w:bottom w:val="single" w:color="auto" w:sz="4" w:space="0"/>
              <w:right w:val="single" w:color="auto" w:sz="4" w:space="0"/>
            </w:tcBorders>
            <w:vAlign w:val="center"/>
          </w:tcPr>
          <w:p w14:paraId="2D80E09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1.合同签订后一周内，</w:t>
            </w:r>
            <w:r>
              <w:rPr>
                <w:rFonts w:hint="eastAsia" w:ascii="宋体" w:hAnsi="宋体" w:eastAsia="宋体" w:cs="宋体"/>
                <w:color w:val="auto"/>
                <w:spacing w:val="-6"/>
                <w:kern w:val="0"/>
                <w:sz w:val="21"/>
                <w:szCs w:val="21"/>
                <w:highlight w:val="none"/>
                <w:lang w:eastAsia="zh-CN"/>
              </w:rPr>
              <w:t>成交供应商</w:t>
            </w:r>
            <w:r>
              <w:rPr>
                <w:rFonts w:hint="eastAsia" w:ascii="宋体" w:hAnsi="宋体" w:eastAsia="宋体" w:cs="宋体"/>
                <w:color w:val="auto"/>
                <w:spacing w:val="-6"/>
                <w:kern w:val="0"/>
                <w:sz w:val="21"/>
                <w:szCs w:val="21"/>
                <w:highlight w:val="none"/>
              </w:rPr>
              <w:t>向采购人提交合同总价</w:t>
            </w:r>
            <w:r>
              <w:rPr>
                <w:rFonts w:hint="eastAsia" w:ascii="宋体" w:hAnsi="宋体" w:eastAsia="宋体" w:cs="宋体"/>
                <w:color w:val="auto"/>
                <w:spacing w:val="-6"/>
                <w:kern w:val="0"/>
                <w:sz w:val="21"/>
                <w:szCs w:val="21"/>
                <w:highlight w:val="none"/>
                <w:lang w:val="en-US" w:eastAsia="zh-CN"/>
              </w:rPr>
              <w:t>1</w:t>
            </w:r>
            <w:r>
              <w:rPr>
                <w:rFonts w:hint="eastAsia" w:ascii="宋体" w:hAnsi="宋体" w:eastAsia="宋体" w:cs="宋体"/>
                <w:color w:val="auto"/>
                <w:spacing w:val="-6"/>
                <w:kern w:val="0"/>
                <w:sz w:val="21"/>
                <w:szCs w:val="21"/>
                <w:highlight w:val="none"/>
              </w:rPr>
              <w:t>%的履约保证金，履约保证金在合同履约期间无违约情形的，项目验收结束后，于一周内退还（不计息）；</w:t>
            </w:r>
          </w:p>
          <w:p w14:paraId="1EB1410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2.提交方式：支票、汇票、本票或金融机构、担保机构出具的保函等非现金形式。</w:t>
            </w:r>
          </w:p>
        </w:tc>
      </w:tr>
      <w:tr w14:paraId="3286E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9" w:type="dxa"/>
            <w:tcBorders>
              <w:top w:val="single" w:color="auto" w:sz="4" w:space="0"/>
              <w:left w:val="single" w:color="auto" w:sz="4" w:space="0"/>
              <w:bottom w:val="single" w:color="auto" w:sz="4" w:space="0"/>
              <w:right w:val="single" w:color="auto" w:sz="4" w:space="0"/>
            </w:tcBorders>
            <w:vAlign w:val="center"/>
          </w:tcPr>
          <w:p w14:paraId="76ACC42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▲付款方式</w:t>
            </w:r>
          </w:p>
        </w:tc>
        <w:tc>
          <w:tcPr>
            <w:tcW w:w="7759" w:type="dxa"/>
            <w:tcBorders>
              <w:top w:val="single" w:color="auto" w:sz="4" w:space="0"/>
              <w:left w:val="single" w:color="auto" w:sz="4" w:space="0"/>
              <w:bottom w:val="single" w:color="auto" w:sz="4" w:space="0"/>
              <w:right w:val="single" w:color="auto" w:sz="4" w:space="0"/>
            </w:tcBorders>
            <w:vAlign w:val="center"/>
          </w:tcPr>
          <w:p w14:paraId="14EE4C8A">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合同签订后15日内</w:t>
            </w:r>
            <w:r>
              <w:rPr>
                <w:rFonts w:hint="eastAsia" w:ascii="宋体" w:hAnsi="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采购人向成交供应商支付合同总金额的40%</w:t>
            </w:r>
            <w:r>
              <w:rPr>
                <w:rFonts w:hint="eastAsia" w:ascii="宋体" w:hAnsi="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项目验收完毕后，</w:t>
            </w:r>
            <w:r>
              <w:rPr>
                <w:rFonts w:hint="eastAsia" w:ascii="宋体" w:hAnsi="宋体" w:eastAsia="宋体" w:cs="宋体"/>
                <w:color w:val="auto"/>
                <w:spacing w:val="-6"/>
                <w:kern w:val="0"/>
                <w:sz w:val="21"/>
                <w:szCs w:val="21"/>
                <w:highlight w:val="none"/>
                <w:lang w:val="en-US" w:eastAsia="zh-CN"/>
              </w:rPr>
              <w:t>15</w:t>
            </w:r>
            <w:r>
              <w:rPr>
                <w:rFonts w:hint="eastAsia" w:ascii="宋体" w:hAnsi="宋体" w:eastAsia="宋体" w:cs="宋体"/>
                <w:color w:val="auto"/>
                <w:spacing w:val="-6"/>
                <w:kern w:val="0"/>
                <w:sz w:val="21"/>
                <w:szCs w:val="21"/>
                <w:highlight w:val="none"/>
              </w:rPr>
              <w:t>日内采购人凭</w:t>
            </w:r>
            <w:r>
              <w:rPr>
                <w:rFonts w:hint="eastAsia" w:ascii="宋体" w:hAnsi="宋体" w:eastAsia="宋体" w:cs="宋体"/>
                <w:color w:val="auto"/>
                <w:spacing w:val="-6"/>
                <w:kern w:val="0"/>
                <w:sz w:val="21"/>
                <w:szCs w:val="21"/>
                <w:highlight w:val="none"/>
                <w:lang w:eastAsia="zh-CN"/>
              </w:rPr>
              <w:t>成交供应商</w:t>
            </w:r>
            <w:r>
              <w:rPr>
                <w:rFonts w:hint="eastAsia" w:ascii="宋体" w:hAnsi="宋体" w:eastAsia="宋体" w:cs="宋体"/>
                <w:color w:val="auto"/>
                <w:spacing w:val="-6"/>
                <w:kern w:val="0"/>
                <w:sz w:val="21"/>
                <w:szCs w:val="21"/>
                <w:highlight w:val="none"/>
              </w:rPr>
              <w:t>提供的正式发票和验收合格文件，采购人向</w:t>
            </w:r>
            <w:r>
              <w:rPr>
                <w:rFonts w:hint="eastAsia" w:ascii="宋体" w:hAnsi="宋体" w:eastAsia="宋体" w:cs="宋体"/>
                <w:color w:val="auto"/>
                <w:spacing w:val="-6"/>
                <w:kern w:val="0"/>
                <w:sz w:val="21"/>
                <w:szCs w:val="21"/>
                <w:highlight w:val="none"/>
                <w:lang w:eastAsia="zh-CN"/>
              </w:rPr>
              <w:t>成交供应商</w:t>
            </w:r>
            <w:r>
              <w:rPr>
                <w:rFonts w:hint="eastAsia" w:ascii="宋体" w:hAnsi="宋体" w:eastAsia="宋体" w:cs="宋体"/>
                <w:color w:val="auto"/>
                <w:spacing w:val="-6"/>
                <w:kern w:val="0"/>
                <w:sz w:val="21"/>
                <w:szCs w:val="21"/>
                <w:highlight w:val="none"/>
              </w:rPr>
              <w:t>支付合同总额的</w:t>
            </w:r>
            <w:r>
              <w:rPr>
                <w:rFonts w:hint="eastAsia" w:ascii="宋体" w:hAnsi="宋体" w:cs="宋体"/>
                <w:color w:val="auto"/>
                <w:spacing w:val="-6"/>
                <w:kern w:val="0"/>
                <w:sz w:val="21"/>
                <w:szCs w:val="21"/>
                <w:highlight w:val="none"/>
                <w:lang w:val="en-US" w:eastAsia="zh-CN"/>
              </w:rPr>
              <w:t>6</w:t>
            </w:r>
            <w:r>
              <w:rPr>
                <w:rFonts w:hint="eastAsia" w:ascii="宋体" w:hAnsi="宋体" w:eastAsia="宋体" w:cs="宋体"/>
                <w:color w:val="auto"/>
                <w:spacing w:val="-6"/>
                <w:kern w:val="0"/>
                <w:sz w:val="21"/>
                <w:szCs w:val="21"/>
                <w:highlight w:val="none"/>
              </w:rPr>
              <w:t>0%。</w:t>
            </w:r>
          </w:p>
        </w:tc>
      </w:tr>
      <w:bookmarkEnd w:id="13"/>
    </w:tbl>
    <w:p w14:paraId="48C320A1">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rPr>
      </w:pPr>
    </w:p>
    <w:p w14:paraId="45B33A6E">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、服务要求（技术要求里另有注明的以技术要求为准）：</w:t>
      </w:r>
    </w:p>
    <w:tbl>
      <w:tblPr>
        <w:tblStyle w:val="12"/>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8"/>
        <w:gridCol w:w="7760"/>
      </w:tblGrid>
      <w:tr w14:paraId="2FB65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3C8AC6DE">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交付时间</w:t>
            </w:r>
          </w:p>
        </w:tc>
        <w:tc>
          <w:tcPr>
            <w:tcW w:w="7760" w:type="dxa"/>
            <w:tcBorders>
              <w:top w:val="single" w:color="auto" w:sz="4" w:space="0"/>
              <w:left w:val="single" w:color="auto" w:sz="4" w:space="0"/>
              <w:bottom w:val="single" w:color="auto" w:sz="4" w:space="0"/>
              <w:right w:val="single" w:color="auto" w:sz="4" w:space="0"/>
            </w:tcBorders>
            <w:vAlign w:val="center"/>
          </w:tcPr>
          <w:p w14:paraId="5ED3F77D">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自合同签订之日起</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lang w:eastAsia="zh-CN"/>
              </w:rPr>
              <w:t>日内交付</w:t>
            </w:r>
          </w:p>
        </w:tc>
      </w:tr>
      <w:tr w14:paraId="4169B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68" w:type="dxa"/>
            <w:tcBorders>
              <w:top w:val="single" w:color="auto" w:sz="4" w:space="0"/>
              <w:left w:val="single" w:color="auto" w:sz="4" w:space="0"/>
              <w:bottom w:val="single" w:color="auto" w:sz="4" w:space="0"/>
              <w:right w:val="single" w:color="auto" w:sz="4" w:space="0"/>
            </w:tcBorders>
            <w:vAlign w:val="center"/>
          </w:tcPr>
          <w:p w14:paraId="532ED02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交付地点</w:t>
            </w:r>
          </w:p>
        </w:tc>
        <w:tc>
          <w:tcPr>
            <w:tcW w:w="7760" w:type="dxa"/>
            <w:tcBorders>
              <w:top w:val="single" w:color="auto" w:sz="4" w:space="0"/>
              <w:left w:val="single" w:color="auto" w:sz="4" w:space="0"/>
              <w:bottom w:val="single" w:color="auto" w:sz="4" w:space="0"/>
              <w:right w:val="single" w:color="auto" w:sz="4" w:space="0"/>
            </w:tcBorders>
            <w:vAlign w:val="center"/>
          </w:tcPr>
          <w:p w14:paraId="0BFC683C">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采购人指定地点</w:t>
            </w:r>
            <w:r>
              <w:rPr>
                <w:rFonts w:hint="eastAsia" w:ascii="宋体" w:hAnsi="宋体" w:cs="宋体"/>
                <w:color w:val="auto"/>
                <w:sz w:val="21"/>
                <w:szCs w:val="21"/>
                <w:highlight w:val="none"/>
                <w:lang w:eastAsia="zh-CN"/>
              </w:rPr>
              <w:t>（大成实验学校、朝晖中学光明巷校区、文龙巷小学、胜蓝实验小学东新园校区、东新实验幼托园东新园区、西园实验幼儿园灯塔园区、新城实验第二幼儿园）</w:t>
            </w:r>
          </w:p>
        </w:tc>
      </w:tr>
      <w:tr w14:paraId="1F573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6F97111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质保期</w:t>
            </w:r>
          </w:p>
        </w:tc>
        <w:tc>
          <w:tcPr>
            <w:tcW w:w="7760" w:type="dxa"/>
            <w:tcBorders>
              <w:top w:val="single" w:color="auto" w:sz="4" w:space="0"/>
              <w:left w:val="single" w:color="auto" w:sz="4" w:space="0"/>
              <w:bottom w:val="single" w:color="auto" w:sz="4" w:space="0"/>
              <w:right w:val="single" w:color="auto" w:sz="4" w:space="0"/>
            </w:tcBorders>
            <w:vAlign w:val="center"/>
          </w:tcPr>
          <w:p w14:paraId="562976C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rPr>
              <w:t>，项目验收合格后开始计算。</w:t>
            </w:r>
          </w:p>
          <w:p w14:paraId="1525F59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▲质保期不满足招标文件要求的响应无效。</w:t>
            </w:r>
          </w:p>
        </w:tc>
      </w:tr>
      <w:tr w14:paraId="2E1EE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32C2A00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服务标准、期限、效率</w:t>
            </w:r>
          </w:p>
        </w:tc>
        <w:tc>
          <w:tcPr>
            <w:tcW w:w="7760" w:type="dxa"/>
            <w:tcBorders>
              <w:top w:val="single" w:color="auto" w:sz="4" w:space="0"/>
              <w:left w:val="single" w:color="auto" w:sz="4" w:space="0"/>
              <w:bottom w:val="single" w:color="auto" w:sz="4" w:space="0"/>
              <w:right w:val="single" w:color="auto" w:sz="4" w:space="0"/>
            </w:tcBorders>
            <w:vAlign w:val="center"/>
          </w:tcPr>
          <w:p w14:paraId="233917CD">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1.在质保期内，供应商应对货物出现的质量及安全问题负责处理解决并承担一切费用。</w:t>
            </w:r>
          </w:p>
          <w:p w14:paraId="267039F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2.质保期内出现无法排除的故障，供应商需无条件更换同型号产品。</w:t>
            </w:r>
          </w:p>
          <w:p w14:paraId="2B4E7F56">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3.质保期满后，供应商继续为采购人服务，仅收取零配件成本费。</w:t>
            </w:r>
          </w:p>
          <w:p w14:paraId="6FEB7967">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4.因人为因素出现的故障不在免费保修范围内。</w:t>
            </w:r>
          </w:p>
          <w:p w14:paraId="3BC33913">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u w:val="single"/>
                <w:lang w:val="en-US" w:eastAsia="zh-CN"/>
              </w:rPr>
              <w:t>提供</w:t>
            </w:r>
            <w:r>
              <w:rPr>
                <w:rFonts w:hint="eastAsia" w:ascii="宋体" w:hAnsi="宋体" w:eastAsia="宋体" w:cs="宋体"/>
                <w:color w:val="auto"/>
                <w:sz w:val="21"/>
                <w:szCs w:val="21"/>
                <w:highlight w:val="none"/>
                <w:u w:val="single"/>
              </w:rPr>
              <w:t>7*24小时技术支持服务</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如在使用过程中发生质量问题，供应商维修响应时间：1小时内响应，8小时以内到现场，1天以内解决问题；不能当场修复的，必须采取提供备品、备件或备机等措施，12小时内保证系统投入正常使用。</w:t>
            </w:r>
          </w:p>
          <w:p w14:paraId="6554C88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6.供应商应</w:t>
            </w:r>
            <w:r>
              <w:rPr>
                <w:rFonts w:hint="eastAsia" w:ascii="宋体" w:hAnsi="宋体" w:eastAsia="宋体" w:cs="宋体"/>
                <w:color w:val="auto"/>
                <w:sz w:val="21"/>
                <w:szCs w:val="21"/>
                <w:highlight w:val="none"/>
                <w:u w:val="none"/>
              </w:rPr>
              <w:t>提供充足的备品备件，满足日常维护需求。</w:t>
            </w:r>
          </w:p>
          <w:p w14:paraId="0703E52E">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rPr>
              <w:t>每三个月对系统进行一次巡检，并做好记录。</w:t>
            </w:r>
          </w:p>
        </w:tc>
      </w:tr>
      <w:tr w14:paraId="504ED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2B1E3AF0">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
              </w:rPr>
              <w:t>培训</w:t>
            </w:r>
          </w:p>
        </w:tc>
        <w:tc>
          <w:tcPr>
            <w:tcW w:w="7760" w:type="dxa"/>
            <w:tcBorders>
              <w:top w:val="single" w:color="auto" w:sz="4" w:space="0"/>
              <w:left w:val="single" w:color="auto" w:sz="4" w:space="0"/>
              <w:bottom w:val="single" w:color="auto" w:sz="4" w:space="0"/>
              <w:right w:val="single" w:color="auto" w:sz="4" w:space="0"/>
            </w:tcBorders>
            <w:vAlign w:val="center"/>
          </w:tcPr>
          <w:p w14:paraId="25B25802">
            <w:pPr>
              <w:keepNext w:val="0"/>
              <w:keepLines w:val="0"/>
              <w:widowControl w:val="0"/>
              <w:numPr>
                <w:ilvl w:val="0"/>
                <w:numId w:val="0"/>
              </w:numPr>
              <w:suppressLineNumbers w:val="0"/>
              <w:adjustRightInd w:val="0"/>
              <w:snapToGrid w:val="0"/>
              <w:spacing w:before="0" w:beforeAutospacing="0" w:after="0" w:afterAutospacing="0" w:line="288" w:lineRule="auto"/>
              <w:ind w:left="0" w:right="0" w:rightChars="0"/>
              <w:jc w:val="both"/>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供应商负责对采购人所有使用人员和系统管理人员分别组织操作培训和管理员培训工作，直至各人员能熟练操作。供应商全面负责培训资料</w:t>
            </w:r>
            <w:r>
              <w:rPr>
                <w:rFonts w:hint="eastAsia" w:ascii="宋体" w:hAnsi="宋体" w:cs="宋体"/>
                <w:color w:val="auto"/>
                <w:kern w:val="2"/>
                <w:sz w:val="21"/>
                <w:szCs w:val="21"/>
                <w:highlight w:val="none"/>
                <w:lang w:val="en-US" w:eastAsia="zh-CN" w:bidi="ar"/>
              </w:rPr>
              <w:t>；</w:t>
            </w:r>
          </w:p>
          <w:p w14:paraId="7A264281">
            <w:pPr>
              <w:keepNext w:val="0"/>
              <w:keepLines w:val="0"/>
              <w:widowControl w:val="0"/>
              <w:numPr>
                <w:ilvl w:val="0"/>
                <w:numId w:val="0"/>
              </w:numPr>
              <w:suppressLineNumbers w:val="0"/>
              <w:adjustRightInd w:val="0"/>
              <w:snapToGrid w:val="0"/>
              <w:spacing w:before="0" w:beforeAutospacing="0" w:after="0" w:afterAutospacing="0" w:line="288" w:lineRule="auto"/>
              <w:ind w:left="0" w:right="0" w:rightChars="0"/>
              <w:jc w:val="both"/>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供应商应对采购人的操作人员、维修人员免费进行培训；</w:t>
            </w:r>
          </w:p>
          <w:p w14:paraId="4339D7F3">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.培训实现方式、时间、地点、人数应在投标文件中详细说明；</w:t>
            </w:r>
          </w:p>
          <w:p w14:paraId="105205AC">
            <w:pPr>
              <w:keepNext w:val="0"/>
              <w:keepLines w:val="0"/>
              <w:widowControl w:val="0"/>
              <w:suppressLineNumbers w:val="0"/>
              <w:adjustRightInd w:val="0"/>
              <w:snapToGrid w:val="0"/>
              <w:spacing w:before="0" w:beforeAutospacing="0" w:after="0" w:afterAutospacing="0" w:line="288" w:lineRule="auto"/>
              <w:ind w:left="0" w:leftChars="0" w:right="0" w:rightChars="0"/>
              <w:jc w:val="both"/>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.供应商应提供相应的培训计划、培训范围，实施方案。</w:t>
            </w:r>
          </w:p>
        </w:tc>
      </w:tr>
      <w:tr w14:paraId="517DE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40396123">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其他技术、服务要求</w:t>
            </w:r>
          </w:p>
        </w:tc>
        <w:tc>
          <w:tcPr>
            <w:tcW w:w="7760" w:type="dxa"/>
            <w:tcBorders>
              <w:top w:val="single" w:color="auto" w:sz="4" w:space="0"/>
              <w:left w:val="single" w:color="auto" w:sz="4" w:space="0"/>
              <w:bottom w:val="single" w:color="auto" w:sz="4" w:space="0"/>
              <w:right w:val="single" w:color="auto" w:sz="4" w:space="0"/>
            </w:tcBorders>
            <w:vAlign w:val="center"/>
          </w:tcPr>
          <w:p w14:paraId="2B7DCB86">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1.供应商应按招标文件规定的货物性能、技术要求、质量标准向采购人提供未经使用的全新产品，符合国家法律规定和技术规格、质量标准的出厂原装合格产品。</w:t>
            </w:r>
          </w:p>
          <w:p w14:paraId="1A62255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2.安装调试：</w:t>
            </w:r>
          </w:p>
          <w:p w14:paraId="2D09B1C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2.1安装地点：采购人指定地点；</w:t>
            </w:r>
          </w:p>
          <w:p w14:paraId="478DC4E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2.2安装完成时间：接到采购人通知后在规定时间内完成安装和调试，如在规定的时间内由于供应商的原因不能完成安装和调试，供应商应承担由此给采购人造成的损失；</w:t>
            </w:r>
          </w:p>
          <w:p w14:paraId="2917A763">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2.3如供应商委托国内代理（或其他机构）负责安装或配合安装应在签约时指明，但供应商仍要对合同货物及其安装质量负全部责任；</w:t>
            </w:r>
          </w:p>
          <w:p w14:paraId="14B5E6F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2.4安装标准：符合我国国家有关技术规范要求和技术标准，所有的软件和硬件必须保证同时安装到位；</w:t>
            </w:r>
          </w:p>
          <w:p w14:paraId="1A3D29F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2.5供应商免费提供合同货物的安装服务；</w:t>
            </w:r>
          </w:p>
          <w:p w14:paraId="5BC2E24C">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2.6供应商在响应文件中应提供安装调试计划、对安装场地和环境的要求。</w:t>
            </w:r>
          </w:p>
          <w:p w14:paraId="548E958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3.供应商应提供质保期满后主要零部件报价单、质保期满后维护费及其相关服务内容；</w:t>
            </w:r>
          </w:p>
          <w:p w14:paraId="18BD803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4.供货时提供有关的全套技术文件。</w:t>
            </w:r>
          </w:p>
          <w:p w14:paraId="7E6914A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pacing w:val="-6"/>
                <w:sz w:val="21"/>
                <w:szCs w:val="21"/>
                <w:highlight w:val="none"/>
              </w:rPr>
              <w:t>供应商应保证所提供的货物或其中任何一部分均不会侵犯第三方的知识产权。</w:t>
            </w:r>
          </w:p>
        </w:tc>
      </w:tr>
      <w:tr w14:paraId="0F921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61226BE6">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验收标准</w:t>
            </w:r>
          </w:p>
        </w:tc>
        <w:tc>
          <w:tcPr>
            <w:tcW w:w="7760" w:type="dxa"/>
            <w:tcBorders>
              <w:top w:val="single" w:color="auto" w:sz="4" w:space="0"/>
              <w:left w:val="single" w:color="auto" w:sz="4" w:space="0"/>
              <w:bottom w:val="single" w:color="auto" w:sz="4" w:space="0"/>
              <w:right w:val="single" w:color="auto" w:sz="4" w:space="0"/>
            </w:tcBorders>
            <w:vAlign w:val="center"/>
          </w:tcPr>
          <w:p w14:paraId="70BEFF3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1.验收由采购人负责实施；</w:t>
            </w:r>
          </w:p>
          <w:p w14:paraId="11E80167">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2.验收依据：</w:t>
            </w:r>
          </w:p>
          <w:p w14:paraId="387CE0D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2.1合同、招标文件、响应文件；</w:t>
            </w:r>
          </w:p>
          <w:p w14:paraId="1BE36A9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2.2供应商提供的技术规格、经采购人认可的合同货物的有效检验文件；</w:t>
            </w:r>
          </w:p>
          <w:p w14:paraId="0D513CA1">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2.3供应商响应文件中提供的经采购人认可的合同货物的验收标准（符合中国有关的国家、地方、行业标准）和检测办法及相应检测手段。</w:t>
            </w:r>
          </w:p>
          <w:p w14:paraId="6200FB45">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0714745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4.验收合格的条件：</w:t>
            </w:r>
          </w:p>
          <w:p w14:paraId="13D64D94">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4.1所供货物符合产品标准和及合同的要求；</w:t>
            </w:r>
          </w:p>
          <w:p w14:paraId="02AB47D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4.2在进行测试和验收过程中发现的问题已被解决并得到采购人的认可；</w:t>
            </w:r>
          </w:p>
          <w:p w14:paraId="78EC001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4.3合同中规定的所有货物和材料均已交付；</w:t>
            </w:r>
          </w:p>
          <w:p w14:paraId="42A05581">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4.4所供货物已通过使用单位组织的验收；</w:t>
            </w:r>
          </w:p>
          <w:p w14:paraId="3F4DE34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4.5所有相关的技术文件及资料均已提交并得到接受。</w:t>
            </w:r>
          </w:p>
        </w:tc>
      </w:tr>
    </w:tbl>
    <w:p w14:paraId="111D1703">
      <w:pPr>
        <w:pageBreakBefore w:val="0"/>
        <w:kinsoku/>
        <w:wordWrap/>
        <w:overflowPunct/>
        <w:topLinePunct w:val="0"/>
        <w:bidi w:val="0"/>
        <w:adjustRightInd w:val="0"/>
        <w:snapToGrid w:val="0"/>
        <w:spacing w:line="288" w:lineRule="auto"/>
        <w:rPr>
          <w:rFonts w:hint="eastAsia" w:ascii="宋体" w:hAnsi="宋体" w:eastAsia="宋体" w:cs="宋体"/>
          <w:color w:val="auto"/>
          <w:sz w:val="21"/>
          <w:szCs w:val="21"/>
          <w:highlight w:val="none"/>
        </w:rPr>
      </w:pPr>
    </w:p>
    <w:p w14:paraId="3104A314">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、技术要求：</w:t>
      </w:r>
    </w:p>
    <w:p w14:paraId="0999DB4C">
      <w:pPr>
        <w:pageBreakBefore w:val="0"/>
        <w:kinsoku/>
        <w:wordWrap/>
        <w:overflowPunct/>
        <w:topLinePunct w:val="0"/>
        <w:bidi w:val="0"/>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1.需执行的国家相关标准、行业标准、地方标准或者其他标准、规范：</w:t>
      </w:r>
      <w:r>
        <w:rPr>
          <w:rFonts w:hint="eastAsia" w:ascii="宋体" w:hAnsi="宋体" w:eastAsia="宋体" w:cs="宋体"/>
          <w:color w:val="auto"/>
          <w:sz w:val="21"/>
          <w:szCs w:val="21"/>
          <w:highlight w:val="none"/>
        </w:rPr>
        <w:t>如技术要求中未注明需执行的国家相关标准、行业标准、地方标准或者其他标准、规范的，执行最新标准、规范。</w:t>
      </w:r>
    </w:p>
    <w:p w14:paraId="57318082">
      <w:pPr>
        <w:numPr>
          <w:ilvl w:val="0"/>
          <w:numId w:val="0"/>
        </w:numPr>
        <w:adjustRightInd/>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2.需实现的功能或者目标：</w:t>
      </w:r>
    </w:p>
    <w:p w14:paraId="4D58BF71">
      <w:pPr>
        <w:pageBreakBefore w:val="0"/>
        <w:numPr>
          <w:ilvl w:val="0"/>
          <w:numId w:val="0"/>
        </w:numPr>
        <w:kinsoku/>
        <w:wordWrap/>
        <w:overflowPunct/>
        <w:topLinePunct w:val="0"/>
        <w:autoSpaceDE/>
        <w:autoSpaceDN/>
        <w:bidi w:val="0"/>
        <w:adjustRightInd/>
        <w:spacing w:line="288" w:lineRule="auto"/>
        <w:ind w:right="0" w:firstLine="422" w:firstLineChars="200"/>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2.1 项目背景</w:t>
      </w:r>
    </w:p>
    <w:p w14:paraId="638FB487">
      <w:pPr>
        <w:pageBreakBefore w:val="0"/>
        <w:kinsoku/>
        <w:wordWrap/>
        <w:overflowPunct/>
        <w:topLinePunct w:val="0"/>
        <w:autoSpaceDE/>
        <w:autoSpaceDN/>
        <w:bidi w:val="0"/>
        <w:spacing w:before="0" w:after="0" w:line="288" w:lineRule="auto"/>
        <w:ind w:right="0"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大成实验学校、朝晖中学光明巷校区、文龙巷小学、胜蓝实验小学东新园校区、东新实验幼托园东新园区、西园实验幼儿园灯塔园区、新城实验第二幼儿园七所校园广播系统</w:t>
      </w:r>
      <w:r>
        <w:rPr>
          <w:rFonts w:hint="eastAsia" w:asciiTheme="minorEastAsia" w:hAnsiTheme="minorEastAsia" w:eastAsiaTheme="minorEastAsia" w:cstheme="minorEastAsia"/>
          <w:color w:val="auto"/>
          <w:kern w:val="2"/>
          <w:sz w:val="21"/>
          <w:szCs w:val="21"/>
          <w:highlight w:val="none"/>
          <w:lang w:val="en-US" w:eastAsia="zh-CN" w:bidi="ar-SA"/>
        </w:rPr>
        <w:t>运行10多年，目前弱电系统老化，设备陈旧性能落后，故障时有发生，学校广播运行不理想，综合布线杂乱无章，维护困难，也影响学校正常教学，为了满足教学需求，2025年对七所校园广播进行改造。</w:t>
      </w:r>
    </w:p>
    <w:p w14:paraId="3A795D47">
      <w:pPr>
        <w:pageBreakBefore w:val="0"/>
        <w:kinsoku/>
        <w:wordWrap/>
        <w:overflowPunct/>
        <w:topLinePunct w:val="0"/>
        <w:autoSpaceDE/>
        <w:autoSpaceDN/>
        <w:bidi w:val="0"/>
        <w:spacing w:before="0" w:after="0" w:line="288" w:lineRule="auto"/>
        <w:ind w:right="0" w:firstLine="422" w:firstLineChars="200"/>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2.2 整体要求</w:t>
      </w:r>
    </w:p>
    <w:p w14:paraId="679EBD8C">
      <w:pPr>
        <w:pageBreakBefore w:val="0"/>
        <w:kinsoku/>
        <w:wordWrap/>
        <w:overflowPunct/>
        <w:topLinePunct w:val="0"/>
        <w:autoSpaceDE/>
        <w:autoSpaceDN/>
        <w:bidi w:val="0"/>
        <w:spacing w:before="0" w:after="0" w:line="288" w:lineRule="auto"/>
        <w:ind w:left="0" w:leftChars="0" w:right="0"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项目包括改造方案的优化和改造所需软硬件产品的供货、运输、安装（含配套施工、辅材辅料）、旧设备及线路拆除整理、综合布线、系统集成、标签标准化标识、调试、验收配合、技术培训、售后服务及其他配套的工作内容。</w:t>
      </w:r>
    </w:p>
    <w:p w14:paraId="5BABF4BA">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布线材料使用量由各公司到现场估测，学校不提供参考使用量，如果弱电施工单位估计不足，则自行补足，以能够满足系统正常使用为原则，学校不接受任何联系单。</w:t>
      </w:r>
    </w:p>
    <w:p w14:paraId="45BF66F3">
      <w:pPr>
        <w:pageBreakBefore w:val="0"/>
        <w:kinsoku/>
        <w:wordWrap/>
        <w:overflowPunct/>
        <w:topLinePunct w:val="0"/>
        <w:autoSpaceDE/>
        <w:autoSpaceDN/>
        <w:bidi w:val="0"/>
        <w:adjustRightInd/>
        <w:spacing w:line="288" w:lineRule="auto"/>
        <w:ind w:right="0" w:firstLine="422" w:firstLineChars="20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2.2.1 大成实验学校：</w:t>
      </w:r>
    </w:p>
    <w:p w14:paraId="3190DD48">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项目</w:t>
      </w:r>
      <w:r>
        <w:rPr>
          <w:rFonts w:hint="eastAsia" w:asciiTheme="minorEastAsia" w:hAnsiTheme="minorEastAsia" w:eastAsiaTheme="minorEastAsia" w:cstheme="minorEastAsia"/>
          <w:color w:val="auto"/>
          <w:sz w:val="21"/>
          <w:szCs w:val="21"/>
          <w:highlight w:val="none"/>
        </w:rPr>
        <w:t>主要是实验楼的广播系统改造更新，主要采用模拟广播系统部署，主干通过网络终端与教学楼主广播系统互联互通。</w:t>
      </w:r>
    </w:p>
    <w:p w14:paraId="3D3A5A0C">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学校场所配置模拟信号广播系统，设备必须原网络广播系统相匹配，具有统一控制，一键开关功能；</w:t>
      </w:r>
    </w:p>
    <w:p w14:paraId="006D23D6">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壁挂≥10W；</w:t>
      </w:r>
    </w:p>
    <w:p w14:paraId="0CFC5105">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建成后的广播系统要求各分区音量可调，同一分区各个广播点；音量均衡；各教室广播音量独立可调。</w:t>
      </w:r>
    </w:p>
    <w:p w14:paraId="6FCCE627">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各系统点位数量分布情况</w:t>
      </w:r>
      <w:r>
        <w:rPr>
          <w:rFonts w:hint="eastAsia" w:asciiTheme="minorEastAsia" w:hAnsiTheme="minorEastAsia" w:eastAsiaTheme="minorEastAsia" w:cstheme="minorEastAsia"/>
          <w:color w:val="auto"/>
          <w:sz w:val="21"/>
          <w:szCs w:val="21"/>
          <w:highlight w:val="none"/>
          <w:lang w:eastAsia="zh-CN"/>
        </w:rPr>
        <w:t>：</w:t>
      </w:r>
    </w:p>
    <w:tbl>
      <w:tblPr>
        <w:tblStyle w:val="12"/>
        <w:tblW w:w="4998" w:type="pct"/>
        <w:tblInd w:w="0" w:type="dxa"/>
        <w:tblLayout w:type="autofit"/>
        <w:tblCellMar>
          <w:top w:w="0" w:type="dxa"/>
          <w:left w:w="108" w:type="dxa"/>
          <w:bottom w:w="0" w:type="dxa"/>
          <w:right w:w="108" w:type="dxa"/>
        </w:tblCellMar>
      </w:tblPr>
      <w:tblGrid>
        <w:gridCol w:w="2853"/>
        <w:gridCol w:w="2116"/>
        <w:gridCol w:w="1981"/>
        <w:gridCol w:w="2674"/>
      </w:tblGrid>
      <w:tr w14:paraId="0FA8D29C">
        <w:tblPrEx>
          <w:tblCellMar>
            <w:top w:w="0" w:type="dxa"/>
            <w:left w:w="108" w:type="dxa"/>
            <w:bottom w:w="0" w:type="dxa"/>
            <w:right w:w="108" w:type="dxa"/>
          </w:tblCellMar>
        </w:tblPrEx>
        <w:trPr>
          <w:trHeight w:val="90" w:hRule="atLeast"/>
        </w:trPr>
        <w:tc>
          <w:tcPr>
            <w:tcW w:w="1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40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楼号</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0F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楼层</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60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位置</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D4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广播</w:t>
            </w:r>
          </w:p>
        </w:tc>
      </w:tr>
      <w:tr w14:paraId="7261A50E">
        <w:tblPrEx>
          <w:tblCellMar>
            <w:top w:w="0" w:type="dxa"/>
            <w:left w:w="108" w:type="dxa"/>
            <w:bottom w:w="0" w:type="dxa"/>
            <w:right w:w="108" w:type="dxa"/>
          </w:tblCellMar>
        </w:tblPrEx>
        <w:trPr>
          <w:trHeight w:val="360" w:hRule="atLeast"/>
        </w:trPr>
        <w:tc>
          <w:tcPr>
            <w:tcW w:w="14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8D6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科学楼</w:t>
            </w:r>
          </w:p>
        </w:tc>
        <w:tc>
          <w:tcPr>
            <w:tcW w:w="10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46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一层</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25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教室</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8F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w:t>
            </w:r>
          </w:p>
        </w:tc>
      </w:tr>
      <w:tr w14:paraId="0FE87424">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2DE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F2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F7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走廊</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6C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71C1B96A">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F25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51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二层</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F9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教室</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6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8</w:t>
            </w:r>
          </w:p>
        </w:tc>
      </w:tr>
      <w:tr w14:paraId="6CA1C079">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33C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D6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02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走廊</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E5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7E98D451">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2C3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23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三层</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E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教室</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8E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7</w:t>
            </w:r>
          </w:p>
        </w:tc>
      </w:tr>
      <w:tr w14:paraId="2090A98E">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63C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C6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49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走廊</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BB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35BED4AA">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422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21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C6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合计</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3C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25</w:t>
            </w:r>
          </w:p>
        </w:tc>
      </w:tr>
    </w:tbl>
    <w:p w14:paraId="6D5AB6D4">
      <w:pPr>
        <w:pageBreakBefore w:val="0"/>
        <w:numPr>
          <w:ilvl w:val="0"/>
          <w:numId w:val="1"/>
        </w:numPr>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拓扑示意图</w:t>
      </w:r>
      <w:r>
        <w:rPr>
          <w:rFonts w:hint="eastAsia" w:asciiTheme="minorEastAsia" w:hAnsiTheme="minorEastAsia" w:eastAsiaTheme="minorEastAsia" w:cstheme="minorEastAsia"/>
          <w:color w:val="auto"/>
          <w:sz w:val="21"/>
          <w:szCs w:val="21"/>
          <w:highlight w:val="none"/>
          <w:lang w:eastAsia="zh-CN"/>
        </w:rPr>
        <w:t>：</w:t>
      </w:r>
    </w:p>
    <w:p w14:paraId="6EC8DD4F">
      <w:pPr>
        <w:pageBreakBefore w:val="0"/>
        <w:numPr>
          <w:ilvl w:val="0"/>
          <w:numId w:val="0"/>
        </w:numPr>
        <w:kinsoku/>
        <w:wordWrap/>
        <w:overflowPunct/>
        <w:topLinePunct w:val="0"/>
        <w:autoSpaceDE/>
        <w:autoSpaceDN/>
        <w:bidi w:val="0"/>
        <w:adjustRightInd/>
        <w:spacing w:line="288" w:lineRule="auto"/>
        <w:ind w:left="422" w:right="0" w:rightChars="0" w:hanging="422" w:hangingChars="20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drawing>
          <wp:inline distT="0" distB="0" distL="0" distR="0">
            <wp:extent cx="6057265" cy="3392170"/>
            <wp:effectExtent l="0" t="0" r="635" b="11430"/>
            <wp:docPr id="3355105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10509" name="图片 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057265" cy="3392170"/>
                    </a:xfrm>
                    <a:prstGeom prst="rect">
                      <a:avLst/>
                    </a:prstGeom>
                  </pic:spPr>
                </pic:pic>
              </a:graphicData>
            </a:graphic>
          </wp:inline>
        </w:drawing>
      </w:r>
      <w:r>
        <w:rPr>
          <w:rFonts w:hint="eastAsia" w:asciiTheme="minorEastAsia" w:hAnsiTheme="minorEastAsia" w:eastAsiaTheme="minorEastAsia" w:cstheme="minorEastAsia"/>
          <w:b/>
          <w:bCs/>
          <w:color w:val="auto"/>
          <w:kern w:val="0"/>
          <w:sz w:val="21"/>
          <w:szCs w:val="21"/>
          <w:highlight w:val="none"/>
          <w:lang w:val="en-US" w:eastAsia="zh-CN" w:bidi="ar-SA"/>
        </w:rPr>
        <w:t xml:space="preserve">2.2.2 </w:t>
      </w:r>
      <w:r>
        <w:rPr>
          <w:rFonts w:hint="eastAsia" w:asciiTheme="minorEastAsia" w:hAnsiTheme="minorEastAsia" w:eastAsiaTheme="minorEastAsia" w:cstheme="minorEastAsia"/>
          <w:b/>
          <w:bCs/>
          <w:color w:val="auto"/>
          <w:kern w:val="2"/>
          <w:sz w:val="21"/>
          <w:szCs w:val="21"/>
          <w:highlight w:val="none"/>
          <w:lang w:val="en-US" w:eastAsia="zh-CN" w:bidi="ar-SA"/>
        </w:rPr>
        <w:t>朝晖中学光明巷校区：</w:t>
      </w:r>
    </w:p>
    <w:p w14:paraId="3D74AE4B">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项目</w:t>
      </w:r>
      <w:r>
        <w:rPr>
          <w:rFonts w:hint="eastAsia" w:asciiTheme="minorEastAsia" w:hAnsiTheme="minorEastAsia" w:eastAsiaTheme="minorEastAsia" w:cstheme="minorEastAsia"/>
          <w:color w:val="auto"/>
          <w:sz w:val="21"/>
          <w:szCs w:val="21"/>
          <w:highlight w:val="none"/>
        </w:rPr>
        <w:t>主要包括教学楼、综合楼、操场、风雨操场的广播系统改造更新，主要采用模拟广播系统部署。</w:t>
      </w:r>
    </w:p>
    <w:p w14:paraId="404F461E">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学校场所配置模拟信号广播系统，设备必须与消防联动，具有强切功能；</w:t>
      </w:r>
    </w:p>
    <w:p w14:paraId="3C41C2B1">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壁挂（吸顶音箱）≥10W、音柱≥80W、景观音箱≥30W；</w:t>
      </w:r>
    </w:p>
    <w:p w14:paraId="41D6D951">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建成后的广播系统要求各分区音量可调，同一分区各个广播点；音量均衡；各教室广播音量独立可调；（一般情况下分区：各幢各楼 层教室、走廊、行政楼、实验楼、操场、景观音箱等）；</w:t>
      </w:r>
    </w:p>
    <w:p w14:paraId="6A5BCA2C">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校园广播应设置有线寻呼话筒，便于学校在指定位置通过寻呼话筒直接进行广播，以达到应急状态的处置</w:t>
      </w:r>
      <w:r>
        <w:rPr>
          <w:rFonts w:hint="eastAsia" w:asciiTheme="minorEastAsia" w:hAnsiTheme="minorEastAsia" w:eastAsiaTheme="minorEastAsia" w:cstheme="minorEastAsia"/>
          <w:color w:val="auto"/>
          <w:sz w:val="21"/>
          <w:szCs w:val="21"/>
          <w:highlight w:val="none"/>
          <w:lang w:eastAsia="zh-CN"/>
        </w:rPr>
        <w:t>；</w:t>
      </w:r>
    </w:p>
    <w:p w14:paraId="18A32856">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广播室至教室广播线路采用点对点布线，方便楼层班级调整，实现点对点广播。走廊一路，大门、中央通道一路。操场布线分东、西两路，方便操场小范围广播需要，减少附近居民扰民投诉。体育馆补声音箱线重新布置</w:t>
      </w:r>
      <w:r>
        <w:rPr>
          <w:rFonts w:hint="eastAsia" w:asciiTheme="minorEastAsia" w:hAnsiTheme="minorEastAsia" w:eastAsiaTheme="minorEastAsia" w:cstheme="minorEastAsia"/>
          <w:color w:val="auto"/>
          <w:sz w:val="21"/>
          <w:szCs w:val="21"/>
          <w:highlight w:val="none"/>
          <w:lang w:eastAsia="zh-CN"/>
        </w:rPr>
        <w:t>；</w:t>
      </w:r>
    </w:p>
    <w:p w14:paraId="2CC32610">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系统点位数量分布情况：</w:t>
      </w:r>
    </w:p>
    <w:tbl>
      <w:tblPr>
        <w:tblStyle w:val="12"/>
        <w:tblW w:w="4993" w:type="pct"/>
        <w:tblInd w:w="0" w:type="dxa"/>
        <w:tblLayout w:type="autofit"/>
        <w:tblCellMar>
          <w:top w:w="0" w:type="dxa"/>
          <w:left w:w="108" w:type="dxa"/>
          <w:bottom w:w="0" w:type="dxa"/>
          <w:right w:w="108" w:type="dxa"/>
        </w:tblCellMar>
      </w:tblPr>
      <w:tblGrid>
        <w:gridCol w:w="1656"/>
        <w:gridCol w:w="1014"/>
        <w:gridCol w:w="5143"/>
        <w:gridCol w:w="1802"/>
      </w:tblGrid>
      <w:tr w14:paraId="39E08FCA">
        <w:tblPrEx>
          <w:tblCellMar>
            <w:top w:w="0" w:type="dxa"/>
            <w:left w:w="108" w:type="dxa"/>
            <w:bottom w:w="0" w:type="dxa"/>
            <w:right w:w="108" w:type="dxa"/>
          </w:tblCellMar>
        </w:tblPrEx>
        <w:trPr>
          <w:trHeight w:val="240"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EC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楼号</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CD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楼层</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FB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位置</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B3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广播</w:t>
            </w:r>
          </w:p>
        </w:tc>
      </w:tr>
      <w:tr w14:paraId="44D136CD">
        <w:tblPrEx>
          <w:tblCellMar>
            <w:top w:w="0" w:type="dxa"/>
            <w:left w:w="108" w:type="dxa"/>
            <w:bottom w:w="0" w:type="dxa"/>
            <w:right w:w="108" w:type="dxa"/>
          </w:tblCellMar>
        </w:tblPrEx>
        <w:trPr>
          <w:trHeight w:val="240" w:hRule="atLeast"/>
        </w:trPr>
        <w:tc>
          <w:tcPr>
            <w:tcW w:w="861" w:type="pct"/>
            <w:vMerge w:val="restart"/>
            <w:tcBorders>
              <w:top w:val="single" w:color="000000" w:sz="4" w:space="0"/>
              <w:left w:val="single" w:color="000000" w:sz="4" w:space="0"/>
              <w:right w:val="single" w:color="000000" w:sz="4" w:space="0"/>
            </w:tcBorders>
            <w:shd w:val="clear" w:color="auto" w:fill="auto"/>
            <w:noWrap/>
            <w:vAlign w:val="center"/>
          </w:tcPr>
          <w:p w14:paraId="0A3CC8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教学楼</w:t>
            </w:r>
          </w:p>
        </w:tc>
        <w:tc>
          <w:tcPr>
            <w:tcW w:w="527" w:type="pct"/>
            <w:vMerge w:val="restart"/>
            <w:tcBorders>
              <w:top w:val="single" w:color="000000" w:sz="4" w:space="0"/>
              <w:left w:val="single" w:color="000000" w:sz="4" w:space="0"/>
              <w:right w:val="single" w:color="000000" w:sz="4" w:space="0"/>
            </w:tcBorders>
            <w:shd w:val="clear" w:color="auto" w:fill="auto"/>
            <w:noWrap/>
            <w:vAlign w:val="center"/>
          </w:tcPr>
          <w:p w14:paraId="5DB229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一层</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F3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教室</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9B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r>
      <w:tr w14:paraId="0FEB40A7">
        <w:tblPrEx>
          <w:tblCellMar>
            <w:top w:w="0" w:type="dxa"/>
            <w:left w:w="108" w:type="dxa"/>
            <w:bottom w:w="0" w:type="dxa"/>
            <w:right w:w="108" w:type="dxa"/>
          </w:tblCellMar>
        </w:tblPrEx>
        <w:trPr>
          <w:trHeight w:val="240" w:hRule="atLeast"/>
        </w:trPr>
        <w:tc>
          <w:tcPr>
            <w:tcW w:w="861" w:type="pct"/>
            <w:vMerge w:val="continue"/>
            <w:tcBorders>
              <w:left w:val="single" w:color="000000" w:sz="4" w:space="0"/>
              <w:right w:val="single" w:color="000000" w:sz="4" w:space="0"/>
            </w:tcBorders>
            <w:shd w:val="clear" w:color="auto" w:fill="auto"/>
            <w:noWrap/>
            <w:vAlign w:val="center"/>
          </w:tcPr>
          <w:p w14:paraId="1AD3D9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continue"/>
            <w:tcBorders>
              <w:left w:val="single" w:color="000000" w:sz="4" w:space="0"/>
              <w:bottom w:val="single" w:color="000000" w:sz="4" w:space="0"/>
              <w:right w:val="single" w:color="000000" w:sz="4" w:space="0"/>
            </w:tcBorders>
            <w:shd w:val="clear" w:color="auto" w:fill="auto"/>
            <w:noWrap/>
            <w:vAlign w:val="center"/>
          </w:tcPr>
          <w:p w14:paraId="3F14AF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E8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办公室、楼梯口</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38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7F947689">
        <w:tblPrEx>
          <w:tblCellMar>
            <w:top w:w="0" w:type="dxa"/>
            <w:left w:w="108" w:type="dxa"/>
            <w:bottom w:w="0" w:type="dxa"/>
            <w:right w:w="108" w:type="dxa"/>
          </w:tblCellMar>
        </w:tblPrEx>
        <w:trPr>
          <w:trHeight w:val="240" w:hRule="atLeast"/>
        </w:trPr>
        <w:tc>
          <w:tcPr>
            <w:tcW w:w="861" w:type="pct"/>
            <w:vMerge w:val="continue"/>
            <w:tcBorders>
              <w:left w:val="single" w:color="000000" w:sz="4" w:space="0"/>
              <w:right w:val="single" w:color="000000" w:sz="4" w:space="0"/>
            </w:tcBorders>
            <w:shd w:val="clear" w:color="auto" w:fill="auto"/>
            <w:noWrap/>
            <w:vAlign w:val="center"/>
          </w:tcPr>
          <w:p w14:paraId="223DC6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restart"/>
            <w:tcBorders>
              <w:top w:val="single" w:color="000000" w:sz="4" w:space="0"/>
              <w:left w:val="single" w:color="000000" w:sz="4" w:space="0"/>
              <w:right w:val="single" w:color="000000" w:sz="4" w:space="0"/>
            </w:tcBorders>
            <w:shd w:val="clear" w:color="auto" w:fill="auto"/>
            <w:noWrap/>
            <w:vAlign w:val="center"/>
          </w:tcPr>
          <w:p w14:paraId="58A4C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二层</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15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教室</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56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r>
      <w:tr w14:paraId="49191CB8">
        <w:tblPrEx>
          <w:tblCellMar>
            <w:top w:w="0" w:type="dxa"/>
            <w:left w:w="108" w:type="dxa"/>
            <w:bottom w:w="0" w:type="dxa"/>
            <w:right w:w="108" w:type="dxa"/>
          </w:tblCellMar>
        </w:tblPrEx>
        <w:trPr>
          <w:trHeight w:val="240" w:hRule="atLeast"/>
        </w:trPr>
        <w:tc>
          <w:tcPr>
            <w:tcW w:w="861" w:type="pct"/>
            <w:vMerge w:val="continue"/>
            <w:tcBorders>
              <w:left w:val="single" w:color="000000" w:sz="4" w:space="0"/>
              <w:right w:val="single" w:color="000000" w:sz="4" w:space="0"/>
            </w:tcBorders>
            <w:shd w:val="clear" w:color="auto" w:fill="auto"/>
            <w:noWrap/>
            <w:vAlign w:val="center"/>
          </w:tcPr>
          <w:p w14:paraId="157DC9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continue"/>
            <w:tcBorders>
              <w:left w:val="single" w:color="000000" w:sz="4" w:space="0"/>
              <w:bottom w:val="single" w:color="000000" w:sz="4" w:space="0"/>
              <w:right w:val="single" w:color="000000" w:sz="4" w:space="0"/>
            </w:tcBorders>
            <w:shd w:val="clear" w:color="auto" w:fill="auto"/>
            <w:noWrap/>
            <w:vAlign w:val="center"/>
          </w:tcPr>
          <w:p w14:paraId="257254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AC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办公室、楼梯口</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AF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3CD42CEB">
        <w:tblPrEx>
          <w:tblCellMar>
            <w:top w:w="0" w:type="dxa"/>
            <w:left w:w="108" w:type="dxa"/>
            <w:bottom w:w="0" w:type="dxa"/>
            <w:right w:w="108" w:type="dxa"/>
          </w:tblCellMar>
        </w:tblPrEx>
        <w:trPr>
          <w:trHeight w:val="240" w:hRule="atLeast"/>
        </w:trPr>
        <w:tc>
          <w:tcPr>
            <w:tcW w:w="861" w:type="pct"/>
            <w:vMerge w:val="continue"/>
            <w:tcBorders>
              <w:left w:val="single" w:color="000000" w:sz="4" w:space="0"/>
              <w:right w:val="single" w:color="000000" w:sz="4" w:space="0"/>
            </w:tcBorders>
            <w:shd w:val="clear" w:color="auto" w:fill="auto"/>
            <w:noWrap/>
            <w:vAlign w:val="center"/>
          </w:tcPr>
          <w:p w14:paraId="3C1B7F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restart"/>
            <w:tcBorders>
              <w:top w:val="single" w:color="000000" w:sz="4" w:space="0"/>
              <w:left w:val="single" w:color="000000" w:sz="4" w:space="0"/>
              <w:right w:val="single" w:color="000000" w:sz="4" w:space="0"/>
            </w:tcBorders>
            <w:shd w:val="clear" w:color="auto" w:fill="auto"/>
            <w:noWrap/>
            <w:vAlign w:val="center"/>
          </w:tcPr>
          <w:p w14:paraId="184B6F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三层</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32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教室</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5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r>
      <w:tr w14:paraId="7BE0D703">
        <w:tblPrEx>
          <w:tblCellMar>
            <w:top w:w="0" w:type="dxa"/>
            <w:left w:w="108" w:type="dxa"/>
            <w:bottom w:w="0" w:type="dxa"/>
            <w:right w:w="108" w:type="dxa"/>
          </w:tblCellMar>
        </w:tblPrEx>
        <w:trPr>
          <w:trHeight w:val="240" w:hRule="atLeast"/>
        </w:trPr>
        <w:tc>
          <w:tcPr>
            <w:tcW w:w="861" w:type="pct"/>
            <w:vMerge w:val="continue"/>
            <w:tcBorders>
              <w:left w:val="single" w:color="000000" w:sz="4" w:space="0"/>
              <w:right w:val="single" w:color="000000" w:sz="4" w:space="0"/>
            </w:tcBorders>
            <w:shd w:val="clear" w:color="auto" w:fill="auto"/>
            <w:noWrap/>
            <w:vAlign w:val="center"/>
          </w:tcPr>
          <w:p w14:paraId="758EB1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continue"/>
            <w:tcBorders>
              <w:left w:val="single" w:color="000000" w:sz="4" w:space="0"/>
              <w:bottom w:val="single" w:color="000000" w:sz="4" w:space="0"/>
              <w:right w:val="single" w:color="000000" w:sz="4" w:space="0"/>
            </w:tcBorders>
            <w:shd w:val="clear" w:color="auto" w:fill="auto"/>
            <w:noWrap/>
            <w:vAlign w:val="center"/>
          </w:tcPr>
          <w:p w14:paraId="0FCB02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9B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办公室、楼梯口</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5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724F95FF">
        <w:tblPrEx>
          <w:tblCellMar>
            <w:top w:w="0" w:type="dxa"/>
            <w:left w:w="108" w:type="dxa"/>
            <w:bottom w:w="0" w:type="dxa"/>
            <w:right w:w="108" w:type="dxa"/>
          </w:tblCellMar>
        </w:tblPrEx>
        <w:trPr>
          <w:trHeight w:val="240" w:hRule="atLeast"/>
        </w:trPr>
        <w:tc>
          <w:tcPr>
            <w:tcW w:w="861" w:type="pct"/>
            <w:vMerge w:val="continue"/>
            <w:tcBorders>
              <w:left w:val="single" w:color="000000" w:sz="4" w:space="0"/>
              <w:right w:val="single" w:color="000000" w:sz="4" w:space="0"/>
            </w:tcBorders>
            <w:shd w:val="clear" w:color="auto" w:fill="auto"/>
            <w:noWrap/>
            <w:vAlign w:val="center"/>
          </w:tcPr>
          <w:p w14:paraId="0BDE89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restart"/>
            <w:tcBorders>
              <w:top w:val="single" w:color="000000" w:sz="4" w:space="0"/>
              <w:left w:val="single" w:color="000000" w:sz="4" w:space="0"/>
              <w:right w:val="single" w:color="000000" w:sz="4" w:space="0"/>
            </w:tcBorders>
            <w:shd w:val="clear" w:color="auto" w:fill="auto"/>
            <w:noWrap/>
            <w:vAlign w:val="center"/>
          </w:tcPr>
          <w:p w14:paraId="2B27E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四层</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51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教室</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12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r>
      <w:tr w14:paraId="2A773E9A">
        <w:tblPrEx>
          <w:tblCellMar>
            <w:top w:w="0" w:type="dxa"/>
            <w:left w:w="108" w:type="dxa"/>
            <w:bottom w:w="0" w:type="dxa"/>
            <w:right w:w="108" w:type="dxa"/>
          </w:tblCellMar>
        </w:tblPrEx>
        <w:trPr>
          <w:trHeight w:val="240" w:hRule="atLeast"/>
        </w:trPr>
        <w:tc>
          <w:tcPr>
            <w:tcW w:w="861" w:type="pct"/>
            <w:vMerge w:val="continue"/>
            <w:tcBorders>
              <w:left w:val="single" w:color="000000" w:sz="4" w:space="0"/>
              <w:bottom w:val="single" w:color="000000" w:sz="4" w:space="0"/>
              <w:right w:val="single" w:color="000000" w:sz="4" w:space="0"/>
            </w:tcBorders>
            <w:shd w:val="clear" w:color="auto" w:fill="auto"/>
            <w:noWrap/>
            <w:vAlign w:val="center"/>
          </w:tcPr>
          <w:p w14:paraId="1A2833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continue"/>
            <w:tcBorders>
              <w:left w:val="single" w:color="000000" w:sz="4" w:space="0"/>
              <w:bottom w:val="single" w:color="000000" w:sz="4" w:space="0"/>
              <w:right w:val="single" w:color="000000" w:sz="4" w:space="0"/>
            </w:tcBorders>
            <w:shd w:val="clear" w:color="auto" w:fill="auto"/>
            <w:noWrap/>
            <w:vAlign w:val="center"/>
          </w:tcPr>
          <w:p w14:paraId="257581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9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办公室、楼梯口</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2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0225071A">
        <w:tblPrEx>
          <w:tblCellMar>
            <w:top w:w="0" w:type="dxa"/>
            <w:left w:w="108" w:type="dxa"/>
            <w:bottom w:w="0" w:type="dxa"/>
            <w:right w:w="108" w:type="dxa"/>
          </w:tblCellMar>
        </w:tblPrEx>
        <w:trPr>
          <w:trHeight w:val="240" w:hRule="atLeast"/>
        </w:trPr>
        <w:tc>
          <w:tcPr>
            <w:tcW w:w="861" w:type="pct"/>
            <w:vMerge w:val="restart"/>
            <w:tcBorders>
              <w:top w:val="single" w:color="000000" w:sz="4" w:space="0"/>
              <w:left w:val="single" w:color="000000" w:sz="4" w:space="0"/>
              <w:right w:val="single" w:color="000000" w:sz="4" w:space="0"/>
            </w:tcBorders>
            <w:shd w:val="clear" w:color="auto" w:fill="auto"/>
            <w:noWrap/>
            <w:vAlign w:val="center"/>
          </w:tcPr>
          <w:p w14:paraId="77B765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bookmarkStart w:id="18" w:name="_GoBack" w:colFirst="3" w:colLast="3"/>
            <w:r>
              <w:rPr>
                <w:rFonts w:hint="eastAsia" w:asciiTheme="minorEastAsia" w:hAnsiTheme="minorEastAsia" w:eastAsiaTheme="minorEastAsia" w:cstheme="minorEastAsia"/>
                <w:color w:val="auto"/>
                <w:kern w:val="0"/>
                <w:sz w:val="21"/>
                <w:szCs w:val="21"/>
                <w:highlight w:val="none"/>
                <w:lang w:bidi="ar"/>
              </w:rPr>
              <w:t>实验楼</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B6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一层</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62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生化实验室</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BB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r>
      <w:tr w14:paraId="27210FB6">
        <w:tblPrEx>
          <w:tblCellMar>
            <w:top w:w="0" w:type="dxa"/>
            <w:left w:w="108" w:type="dxa"/>
            <w:bottom w:w="0" w:type="dxa"/>
            <w:right w:w="108" w:type="dxa"/>
          </w:tblCellMar>
        </w:tblPrEx>
        <w:trPr>
          <w:trHeight w:val="240" w:hRule="atLeast"/>
        </w:trPr>
        <w:tc>
          <w:tcPr>
            <w:tcW w:w="861" w:type="pct"/>
            <w:vMerge w:val="continue"/>
            <w:tcBorders>
              <w:left w:val="single" w:color="000000" w:sz="4" w:space="0"/>
              <w:right w:val="single" w:color="000000" w:sz="4" w:space="0"/>
            </w:tcBorders>
            <w:shd w:val="clear" w:color="auto" w:fill="auto"/>
            <w:noWrap/>
            <w:vAlign w:val="center"/>
          </w:tcPr>
          <w:p w14:paraId="1E08B7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7F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二层</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B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多媒体教室</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E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r>
      <w:tr w14:paraId="49F55BB3">
        <w:tblPrEx>
          <w:tblCellMar>
            <w:top w:w="0" w:type="dxa"/>
            <w:left w:w="108" w:type="dxa"/>
            <w:bottom w:w="0" w:type="dxa"/>
            <w:right w:w="108" w:type="dxa"/>
          </w:tblCellMar>
        </w:tblPrEx>
        <w:trPr>
          <w:trHeight w:val="240" w:hRule="atLeast"/>
        </w:trPr>
        <w:tc>
          <w:tcPr>
            <w:tcW w:w="861" w:type="pct"/>
            <w:vMerge w:val="continue"/>
            <w:tcBorders>
              <w:left w:val="single" w:color="000000" w:sz="4" w:space="0"/>
              <w:right w:val="single" w:color="000000" w:sz="4" w:space="0"/>
            </w:tcBorders>
            <w:shd w:val="clear" w:color="auto" w:fill="auto"/>
            <w:noWrap/>
            <w:vAlign w:val="center"/>
          </w:tcPr>
          <w:p w14:paraId="36C095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restart"/>
            <w:tcBorders>
              <w:top w:val="single" w:color="000000" w:sz="4" w:space="0"/>
              <w:left w:val="single" w:color="000000" w:sz="4" w:space="0"/>
              <w:right w:val="single" w:color="000000" w:sz="4" w:space="0"/>
            </w:tcBorders>
            <w:shd w:val="clear" w:color="auto" w:fill="auto"/>
            <w:noWrap/>
            <w:vAlign w:val="center"/>
          </w:tcPr>
          <w:p w14:paraId="7F21F6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三层</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1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美术教室</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61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r>
      <w:tr w14:paraId="3C4E8E77">
        <w:tblPrEx>
          <w:tblCellMar>
            <w:top w:w="0" w:type="dxa"/>
            <w:left w:w="108" w:type="dxa"/>
            <w:bottom w:w="0" w:type="dxa"/>
            <w:right w:w="108" w:type="dxa"/>
          </w:tblCellMar>
        </w:tblPrEx>
        <w:trPr>
          <w:trHeight w:val="240" w:hRule="atLeast"/>
        </w:trPr>
        <w:tc>
          <w:tcPr>
            <w:tcW w:w="861" w:type="pct"/>
            <w:vMerge w:val="continue"/>
            <w:tcBorders>
              <w:left w:val="single" w:color="000000" w:sz="4" w:space="0"/>
              <w:right w:val="single" w:color="000000" w:sz="4" w:space="0"/>
            </w:tcBorders>
            <w:shd w:val="clear" w:color="auto" w:fill="auto"/>
            <w:noWrap/>
            <w:vAlign w:val="center"/>
          </w:tcPr>
          <w:p w14:paraId="233753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continue"/>
            <w:tcBorders>
              <w:left w:val="single" w:color="000000" w:sz="4" w:space="0"/>
              <w:bottom w:val="single" w:color="000000" w:sz="4" w:space="0"/>
              <w:right w:val="single" w:color="000000" w:sz="4" w:space="0"/>
            </w:tcBorders>
            <w:shd w:val="clear" w:color="auto" w:fill="auto"/>
            <w:noWrap/>
            <w:vAlign w:val="center"/>
          </w:tcPr>
          <w:p w14:paraId="4F7E9D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87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物理实验室</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2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r>
      <w:tr w14:paraId="45E8DC11">
        <w:tblPrEx>
          <w:tblCellMar>
            <w:top w:w="0" w:type="dxa"/>
            <w:left w:w="108" w:type="dxa"/>
            <w:bottom w:w="0" w:type="dxa"/>
            <w:right w:w="108" w:type="dxa"/>
          </w:tblCellMar>
        </w:tblPrEx>
        <w:trPr>
          <w:trHeight w:val="240" w:hRule="atLeast"/>
        </w:trPr>
        <w:tc>
          <w:tcPr>
            <w:tcW w:w="861" w:type="pct"/>
            <w:vMerge w:val="continue"/>
            <w:tcBorders>
              <w:left w:val="single" w:color="000000" w:sz="4" w:space="0"/>
              <w:right w:val="single" w:color="000000" w:sz="4" w:space="0"/>
            </w:tcBorders>
            <w:shd w:val="clear" w:color="auto" w:fill="auto"/>
            <w:noWrap/>
            <w:vAlign w:val="center"/>
          </w:tcPr>
          <w:p w14:paraId="2E96BA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restart"/>
            <w:tcBorders>
              <w:top w:val="single" w:color="000000" w:sz="4" w:space="0"/>
              <w:left w:val="single" w:color="000000" w:sz="4" w:space="0"/>
              <w:right w:val="single" w:color="000000" w:sz="4" w:space="0"/>
            </w:tcBorders>
            <w:shd w:val="clear" w:color="auto" w:fill="auto"/>
            <w:noWrap/>
            <w:vAlign w:val="center"/>
          </w:tcPr>
          <w:p w14:paraId="7F312F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四层</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A0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音乐教室</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64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r>
      <w:tr w14:paraId="436141A0">
        <w:tblPrEx>
          <w:tblCellMar>
            <w:top w:w="0" w:type="dxa"/>
            <w:left w:w="108" w:type="dxa"/>
            <w:bottom w:w="0" w:type="dxa"/>
            <w:right w:w="108" w:type="dxa"/>
          </w:tblCellMar>
        </w:tblPrEx>
        <w:trPr>
          <w:trHeight w:val="240" w:hRule="atLeast"/>
        </w:trPr>
        <w:tc>
          <w:tcPr>
            <w:tcW w:w="861" w:type="pct"/>
            <w:vMerge w:val="continue"/>
            <w:tcBorders>
              <w:left w:val="single" w:color="000000" w:sz="4" w:space="0"/>
              <w:right w:val="single" w:color="000000" w:sz="4" w:space="0"/>
            </w:tcBorders>
            <w:shd w:val="clear" w:color="auto" w:fill="auto"/>
            <w:noWrap/>
            <w:vAlign w:val="center"/>
          </w:tcPr>
          <w:p w14:paraId="22C9E0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continue"/>
            <w:tcBorders>
              <w:left w:val="single" w:color="000000" w:sz="4" w:space="0"/>
              <w:right w:val="single" w:color="000000" w:sz="4" w:space="0"/>
            </w:tcBorders>
            <w:shd w:val="clear" w:color="auto" w:fill="auto"/>
            <w:noWrap/>
            <w:vAlign w:val="center"/>
          </w:tcPr>
          <w:p w14:paraId="1379C0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4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计算机教室</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E0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r>
      <w:tr w14:paraId="3DF7E805">
        <w:tblPrEx>
          <w:tblCellMar>
            <w:top w:w="0" w:type="dxa"/>
            <w:left w:w="108" w:type="dxa"/>
            <w:bottom w:w="0" w:type="dxa"/>
            <w:right w:w="108" w:type="dxa"/>
          </w:tblCellMar>
        </w:tblPrEx>
        <w:trPr>
          <w:trHeight w:val="240" w:hRule="atLeast"/>
        </w:trPr>
        <w:tc>
          <w:tcPr>
            <w:tcW w:w="861" w:type="pct"/>
            <w:vMerge w:val="continue"/>
            <w:tcBorders>
              <w:left w:val="single" w:color="000000" w:sz="4" w:space="0"/>
              <w:bottom w:val="single" w:color="000000" w:sz="4" w:space="0"/>
              <w:right w:val="single" w:color="000000" w:sz="4" w:space="0"/>
            </w:tcBorders>
            <w:shd w:val="clear" w:color="auto" w:fill="auto"/>
            <w:noWrap/>
            <w:vAlign w:val="center"/>
          </w:tcPr>
          <w:p w14:paraId="5C544C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continue"/>
            <w:tcBorders>
              <w:left w:val="single" w:color="000000" w:sz="4" w:space="0"/>
              <w:bottom w:val="single" w:color="000000" w:sz="4" w:space="0"/>
              <w:right w:val="single" w:color="000000" w:sz="4" w:space="0"/>
            </w:tcBorders>
            <w:shd w:val="clear" w:color="auto" w:fill="auto"/>
            <w:noWrap/>
            <w:vAlign w:val="center"/>
          </w:tcPr>
          <w:p w14:paraId="4A64D7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09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直播教室</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C1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r>
      <w:bookmarkEnd w:id="18"/>
      <w:tr w14:paraId="1D59932C">
        <w:tblPrEx>
          <w:tblCellMar>
            <w:top w:w="0" w:type="dxa"/>
            <w:left w:w="108" w:type="dxa"/>
            <w:bottom w:w="0" w:type="dxa"/>
            <w:right w:w="108" w:type="dxa"/>
          </w:tblCellMar>
        </w:tblPrEx>
        <w:trPr>
          <w:trHeight w:val="240"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54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监听音箱</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77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E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E4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r>
      <w:tr w14:paraId="2EF66EFD">
        <w:tblPrEx>
          <w:tblCellMar>
            <w:top w:w="0" w:type="dxa"/>
            <w:left w:w="108" w:type="dxa"/>
            <w:bottom w:w="0" w:type="dxa"/>
            <w:right w:w="108" w:type="dxa"/>
          </w:tblCellMar>
        </w:tblPrEx>
        <w:trPr>
          <w:trHeight w:val="240"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F8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备件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AA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AD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89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r>
      <w:tr w14:paraId="6921BCF5">
        <w:tblPrEx>
          <w:tblCellMar>
            <w:top w:w="0" w:type="dxa"/>
            <w:left w:w="108" w:type="dxa"/>
            <w:bottom w:w="0" w:type="dxa"/>
            <w:right w:w="108" w:type="dxa"/>
          </w:tblCellMar>
        </w:tblPrEx>
        <w:trPr>
          <w:trHeight w:val="240"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CD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广播合计</w:t>
            </w:r>
          </w:p>
        </w:tc>
        <w:tc>
          <w:tcPr>
            <w:tcW w:w="41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D6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43</w:t>
            </w:r>
          </w:p>
        </w:tc>
      </w:tr>
      <w:tr w14:paraId="4C0B1466">
        <w:tblPrEx>
          <w:tblCellMar>
            <w:top w:w="0" w:type="dxa"/>
            <w:left w:w="108" w:type="dxa"/>
            <w:bottom w:w="0" w:type="dxa"/>
            <w:right w:w="108" w:type="dxa"/>
          </w:tblCellMar>
        </w:tblPrEx>
        <w:trPr>
          <w:trHeight w:val="240" w:hRule="atLeast"/>
        </w:trPr>
        <w:tc>
          <w:tcPr>
            <w:tcW w:w="861" w:type="pct"/>
            <w:vMerge w:val="restart"/>
            <w:tcBorders>
              <w:top w:val="single" w:color="000000" w:sz="4" w:space="0"/>
              <w:left w:val="single" w:color="000000" w:sz="4" w:space="0"/>
              <w:right w:val="single" w:color="000000" w:sz="4" w:space="0"/>
            </w:tcBorders>
            <w:shd w:val="clear" w:color="auto" w:fill="auto"/>
            <w:noWrap/>
            <w:vAlign w:val="center"/>
          </w:tcPr>
          <w:p w14:paraId="189F60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室外音柱</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A1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D1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西门</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77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r>
      <w:tr w14:paraId="386C91E9">
        <w:tblPrEx>
          <w:tblCellMar>
            <w:top w:w="0" w:type="dxa"/>
            <w:left w:w="108" w:type="dxa"/>
            <w:bottom w:w="0" w:type="dxa"/>
            <w:right w:w="108" w:type="dxa"/>
          </w:tblCellMar>
        </w:tblPrEx>
        <w:trPr>
          <w:trHeight w:val="240" w:hRule="atLeast"/>
        </w:trPr>
        <w:tc>
          <w:tcPr>
            <w:tcW w:w="861" w:type="pct"/>
            <w:vMerge w:val="continue"/>
            <w:tcBorders>
              <w:left w:val="single" w:color="000000" w:sz="4" w:space="0"/>
              <w:bottom w:val="single" w:color="000000" w:sz="4" w:space="0"/>
              <w:right w:val="single" w:color="000000" w:sz="4" w:space="0"/>
            </w:tcBorders>
            <w:shd w:val="clear" w:color="auto" w:fill="auto"/>
            <w:noWrap/>
            <w:vAlign w:val="center"/>
          </w:tcPr>
          <w:p w14:paraId="39FA4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ED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D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中央大道</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F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0A1AA251">
        <w:tblPrEx>
          <w:tblCellMar>
            <w:top w:w="0" w:type="dxa"/>
            <w:left w:w="108" w:type="dxa"/>
            <w:bottom w:w="0" w:type="dxa"/>
            <w:right w:w="108" w:type="dxa"/>
          </w:tblCellMar>
        </w:tblPrEx>
        <w:trPr>
          <w:trHeight w:val="240" w:hRule="atLeast"/>
        </w:trPr>
        <w:tc>
          <w:tcPr>
            <w:tcW w:w="861" w:type="pct"/>
            <w:vMerge w:val="restart"/>
            <w:tcBorders>
              <w:top w:val="single" w:color="000000" w:sz="4" w:space="0"/>
              <w:left w:val="single" w:color="000000" w:sz="4" w:space="0"/>
              <w:right w:val="single" w:color="000000" w:sz="4" w:space="0"/>
            </w:tcBorders>
            <w:shd w:val="clear" w:color="auto" w:fill="auto"/>
            <w:noWrap/>
            <w:vAlign w:val="center"/>
          </w:tcPr>
          <w:p w14:paraId="155D94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操场音柱</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D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45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操场东侧</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8E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4</w:t>
            </w:r>
          </w:p>
        </w:tc>
      </w:tr>
      <w:tr w14:paraId="78CD7101">
        <w:tblPrEx>
          <w:tblCellMar>
            <w:top w:w="0" w:type="dxa"/>
            <w:left w:w="108" w:type="dxa"/>
            <w:bottom w:w="0" w:type="dxa"/>
            <w:right w:w="108" w:type="dxa"/>
          </w:tblCellMar>
        </w:tblPrEx>
        <w:trPr>
          <w:trHeight w:val="240" w:hRule="atLeast"/>
        </w:trPr>
        <w:tc>
          <w:tcPr>
            <w:tcW w:w="861" w:type="pct"/>
            <w:vMerge w:val="continue"/>
            <w:tcBorders>
              <w:left w:val="single" w:color="000000" w:sz="4" w:space="0"/>
              <w:bottom w:val="single" w:color="000000" w:sz="4" w:space="0"/>
              <w:right w:val="single" w:color="000000" w:sz="4" w:space="0"/>
            </w:tcBorders>
            <w:shd w:val="clear" w:color="auto" w:fill="auto"/>
            <w:noWrap/>
            <w:vAlign w:val="center"/>
          </w:tcPr>
          <w:p w14:paraId="1FB4D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32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9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操场西侧</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88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4</w:t>
            </w:r>
          </w:p>
        </w:tc>
      </w:tr>
      <w:tr w14:paraId="2FEB7B0C">
        <w:tblPrEx>
          <w:tblCellMar>
            <w:top w:w="0" w:type="dxa"/>
            <w:left w:w="108" w:type="dxa"/>
            <w:bottom w:w="0" w:type="dxa"/>
            <w:right w:w="108" w:type="dxa"/>
          </w:tblCellMar>
        </w:tblPrEx>
        <w:trPr>
          <w:trHeight w:val="240"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13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音柱合计</w:t>
            </w:r>
          </w:p>
        </w:tc>
        <w:tc>
          <w:tcPr>
            <w:tcW w:w="41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B8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11</w:t>
            </w:r>
          </w:p>
        </w:tc>
      </w:tr>
    </w:tbl>
    <w:p w14:paraId="2B282CD2">
      <w:pPr>
        <w:pageBreakBefore w:val="0"/>
        <w:numPr>
          <w:ilvl w:val="0"/>
          <w:numId w:val="0"/>
        </w:numPr>
        <w:kinsoku/>
        <w:wordWrap/>
        <w:overflowPunct/>
        <w:topLinePunct w:val="0"/>
        <w:autoSpaceDE/>
        <w:autoSpaceDN/>
        <w:bidi w:val="0"/>
        <w:adjustRightInd/>
        <w:spacing w:line="288" w:lineRule="auto"/>
        <w:ind w:leftChars="200" w:right="0" w:right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拓扑示意图</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drawing>
          <wp:inline distT="0" distB="0" distL="114300" distR="114300">
            <wp:extent cx="6054725" cy="3350260"/>
            <wp:effectExtent l="0" t="0" r="3175" b="2540"/>
            <wp:docPr id="15342766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76659" name="图片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054725" cy="3350260"/>
                    </a:xfrm>
                    <a:prstGeom prst="rect">
                      <a:avLst/>
                    </a:prstGeom>
                  </pic:spPr>
                </pic:pic>
              </a:graphicData>
            </a:graphic>
          </wp:inline>
        </w:drawing>
      </w:r>
      <w:r>
        <w:rPr>
          <w:rFonts w:hint="eastAsia" w:asciiTheme="minorEastAsia" w:hAnsiTheme="minorEastAsia" w:eastAsiaTheme="minorEastAsia" w:cstheme="minorEastAsia"/>
          <w:color w:val="auto"/>
          <w:sz w:val="21"/>
          <w:szCs w:val="21"/>
          <w:highlight w:val="none"/>
        </w:rPr>
        <w:drawing>
          <wp:inline distT="0" distB="0" distL="0" distR="0">
            <wp:extent cx="6028055" cy="2818765"/>
            <wp:effectExtent l="0" t="0" r="4445" b="635"/>
            <wp:docPr id="8550433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043323" name="图片 1"/>
                    <pic:cNvPicPr>
                      <a:picLocks noChangeAspect="1"/>
                    </pic:cNvPicPr>
                  </pic:nvPicPr>
                  <pic:blipFill>
                    <a:blip r:embed="rId20"/>
                    <a:stretch>
                      <a:fillRect/>
                    </a:stretch>
                  </pic:blipFill>
                  <pic:spPr>
                    <a:xfrm>
                      <a:off x="0" y="0"/>
                      <a:ext cx="6028055" cy="2818765"/>
                    </a:xfrm>
                    <a:prstGeom prst="rect">
                      <a:avLst/>
                    </a:prstGeom>
                  </pic:spPr>
                </pic:pic>
              </a:graphicData>
            </a:graphic>
          </wp:inline>
        </w:drawing>
      </w:r>
      <w:r>
        <w:rPr>
          <w:rFonts w:hint="eastAsia" w:asciiTheme="minorEastAsia" w:hAnsiTheme="minorEastAsia" w:eastAsiaTheme="minorEastAsia" w:cstheme="minorEastAsia"/>
          <w:color w:val="auto"/>
          <w:sz w:val="21"/>
          <w:szCs w:val="21"/>
          <w:highlight w:val="none"/>
        </w:rPr>
        <w:drawing>
          <wp:inline distT="0" distB="0" distL="0" distR="0">
            <wp:extent cx="6017260" cy="3144520"/>
            <wp:effectExtent l="0" t="0" r="2540" b="5080"/>
            <wp:docPr id="17145784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78422" name="图片 1"/>
                    <pic:cNvPicPr>
                      <a:picLocks noChangeAspect="1"/>
                    </pic:cNvPicPr>
                  </pic:nvPicPr>
                  <pic:blipFill>
                    <a:blip r:embed="rId21"/>
                    <a:stretch>
                      <a:fillRect/>
                    </a:stretch>
                  </pic:blipFill>
                  <pic:spPr>
                    <a:xfrm>
                      <a:off x="0" y="0"/>
                      <a:ext cx="6017260" cy="3144520"/>
                    </a:xfrm>
                    <a:prstGeom prst="rect">
                      <a:avLst/>
                    </a:prstGeom>
                  </pic:spPr>
                </pic:pic>
              </a:graphicData>
            </a:graphic>
          </wp:inline>
        </w:drawing>
      </w:r>
    </w:p>
    <w:p w14:paraId="0569C166">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2.2.3 文龙巷小学：</w:t>
      </w:r>
    </w:p>
    <w:p w14:paraId="6C48532C">
      <w:pPr>
        <w:pageBreakBefore w:val="0"/>
        <w:kinsoku/>
        <w:wordWrap/>
        <w:overflowPunct/>
        <w:topLinePunct w:val="0"/>
        <w:autoSpaceDE/>
        <w:autoSpaceDN/>
        <w:bidi w:val="0"/>
        <w:spacing w:before="0" w:after="0" w:line="288" w:lineRule="auto"/>
        <w:ind w:right="0"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项目主要包括教学楼、走廊、操场的广播系统改造更新，主要采用模拟广播系统部署。</w:t>
      </w:r>
    </w:p>
    <w:p w14:paraId="1FAD4994">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学校场所配置模拟信号广播系统，设备必须与消防联动，具有强切功能；</w:t>
      </w:r>
    </w:p>
    <w:p w14:paraId="4737E2F2">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壁挂（吸顶音箱）≥10W、音柱≥80W；</w:t>
      </w:r>
    </w:p>
    <w:p w14:paraId="2D5B37BC">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建成后的广播系统要求</w:t>
      </w:r>
      <w:r>
        <w:rPr>
          <w:rFonts w:hint="eastAsia" w:asciiTheme="minorEastAsia" w:hAnsiTheme="minorEastAsia" w:eastAsiaTheme="minorEastAsia" w:cstheme="minorEastAsia"/>
          <w:color w:val="auto"/>
          <w:sz w:val="21"/>
          <w:szCs w:val="21"/>
          <w:highlight w:val="none"/>
          <w:lang w:bidi="ar"/>
        </w:rPr>
        <w:t>满</w:t>
      </w:r>
      <w:r>
        <w:rPr>
          <w:rFonts w:hint="eastAsia" w:asciiTheme="minorEastAsia" w:hAnsiTheme="minorEastAsia" w:eastAsiaTheme="minorEastAsia" w:cstheme="minorEastAsia"/>
          <w:color w:val="auto"/>
          <w:sz w:val="21"/>
          <w:szCs w:val="21"/>
          <w:highlight w:val="none"/>
        </w:rPr>
        <w:t>足考试听力功能；家长会教室广播讲话功能；满足作息铃声、课间音乐、眼保健操、广播操及升旗自动广播功能；</w:t>
      </w:r>
    </w:p>
    <w:p w14:paraId="07A19403">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各分区音量可调，同一分区各个广播点；音量均衡；各教室广播音量独立可调；（一般情况下分区：各幢各楼 层教室、走廊、操场、体育馆等）；</w:t>
      </w:r>
    </w:p>
    <w:p w14:paraId="31F5124D">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校园广播应设置有线寻呼话筒，便于学校在指定位置通过寻呼话筒直接进行广播，以达到应急状态的处置</w:t>
      </w:r>
      <w:r>
        <w:rPr>
          <w:rFonts w:hint="eastAsia" w:asciiTheme="minorEastAsia" w:hAnsiTheme="minorEastAsia" w:eastAsiaTheme="minorEastAsia" w:cstheme="minorEastAsia"/>
          <w:color w:val="auto"/>
          <w:sz w:val="21"/>
          <w:szCs w:val="21"/>
          <w:highlight w:val="none"/>
          <w:lang w:eastAsia="zh-CN"/>
        </w:rPr>
        <w:t>；</w:t>
      </w:r>
    </w:p>
    <w:p w14:paraId="756B7CDA">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系统点位数量分布情况：</w:t>
      </w:r>
    </w:p>
    <w:tbl>
      <w:tblPr>
        <w:tblStyle w:val="12"/>
        <w:tblW w:w="4998" w:type="pct"/>
        <w:tblInd w:w="0" w:type="dxa"/>
        <w:tblLayout w:type="autofit"/>
        <w:tblCellMar>
          <w:top w:w="0" w:type="dxa"/>
          <w:left w:w="108" w:type="dxa"/>
          <w:bottom w:w="0" w:type="dxa"/>
          <w:right w:w="108" w:type="dxa"/>
        </w:tblCellMar>
      </w:tblPr>
      <w:tblGrid>
        <w:gridCol w:w="2853"/>
        <w:gridCol w:w="2116"/>
        <w:gridCol w:w="1981"/>
        <w:gridCol w:w="2674"/>
      </w:tblGrid>
      <w:tr w14:paraId="3F3033A5">
        <w:tblPrEx>
          <w:tblCellMar>
            <w:top w:w="0" w:type="dxa"/>
            <w:left w:w="108" w:type="dxa"/>
            <w:bottom w:w="0" w:type="dxa"/>
            <w:right w:w="108" w:type="dxa"/>
          </w:tblCellMar>
        </w:tblPrEx>
        <w:trPr>
          <w:trHeight w:val="90" w:hRule="atLeast"/>
        </w:trPr>
        <w:tc>
          <w:tcPr>
            <w:tcW w:w="1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21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楼号</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9C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楼层</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64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位置</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AB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广播</w:t>
            </w:r>
          </w:p>
        </w:tc>
      </w:tr>
      <w:tr w14:paraId="221A5E56">
        <w:tblPrEx>
          <w:tblCellMar>
            <w:top w:w="0" w:type="dxa"/>
            <w:left w:w="108" w:type="dxa"/>
            <w:bottom w:w="0" w:type="dxa"/>
            <w:right w:w="108" w:type="dxa"/>
          </w:tblCellMar>
        </w:tblPrEx>
        <w:trPr>
          <w:trHeight w:val="360" w:hRule="atLeast"/>
        </w:trPr>
        <w:tc>
          <w:tcPr>
            <w:tcW w:w="14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7E7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教学楼</w:t>
            </w:r>
          </w:p>
        </w:tc>
        <w:tc>
          <w:tcPr>
            <w:tcW w:w="10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86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一层</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2C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教室</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FA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r>
      <w:tr w14:paraId="5CBE6FAE">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18B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2B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D8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走廊</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C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757E1286">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525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3F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二层</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4F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教室</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EF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r>
      <w:tr w14:paraId="3BA5C7E2">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70F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8C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0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走廊</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95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37E90EAB">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FD0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7A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三层</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F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教室</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4A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r>
      <w:tr w14:paraId="52921198">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614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8B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C4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走廊</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9D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0A67FFF2">
        <w:tblPrEx>
          <w:tblCellMar>
            <w:top w:w="0" w:type="dxa"/>
            <w:left w:w="108" w:type="dxa"/>
            <w:bottom w:w="0" w:type="dxa"/>
            <w:right w:w="108" w:type="dxa"/>
          </w:tblCellMar>
        </w:tblPrEx>
        <w:trPr>
          <w:trHeight w:val="9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BBE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F2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四层</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19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教室</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0A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r>
      <w:tr w14:paraId="3BD39E1A">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4E0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28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45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走廊</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95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6A3F16DC">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06B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21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C1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合计</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E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28</w:t>
            </w:r>
          </w:p>
        </w:tc>
      </w:tr>
      <w:tr w14:paraId="7A4E5527">
        <w:tblPrEx>
          <w:tblCellMar>
            <w:top w:w="0" w:type="dxa"/>
            <w:left w:w="108" w:type="dxa"/>
            <w:bottom w:w="0" w:type="dxa"/>
            <w:right w:w="108" w:type="dxa"/>
          </w:tblCellMar>
        </w:tblPrEx>
        <w:trPr>
          <w:trHeight w:val="360" w:hRule="atLeast"/>
        </w:trPr>
        <w:tc>
          <w:tcPr>
            <w:tcW w:w="1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5F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室外音柱</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E7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4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操场</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FE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7</w:t>
            </w:r>
          </w:p>
        </w:tc>
      </w:tr>
      <w:tr w14:paraId="33F88B3E">
        <w:tblPrEx>
          <w:tblCellMar>
            <w:top w:w="0" w:type="dxa"/>
            <w:left w:w="108" w:type="dxa"/>
            <w:bottom w:w="0" w:type="dxa"/>
            <w:right w:w="108" w:type="dxa"/>
          </w:tblCellMar>
        </w:tblPrEx>
        <w:trPr>
          <w:trHeight w:val="344" w:hRule="atLeast"/>
        </w:trPr>
        <w:tc>
          <w:tcPr>
            <w:tcW w:w="148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D74F0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2128" w:type="pct"/>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3EB4F7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总计</w:t>
            </w:r>
          </w:p>
        </w:tc>
        <w:tc>
          <w:tcPr>
            <w:tcW w:w="138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06F85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b/>
                <w:bCs/>
                <w:color w:val="auto"/>
                <w:kern w:val="0"/>
                <w:sz w:val="21"/>
                <w:szCs w:val="21"/>
                <w:highlight w:val="none"/>
                <w:lang w:eastAsia="zh-CN" w:bidi="ar"/>
              </w:rPr>
            </w:pPr>
            <w:r>
              <w:rPr>
                <w:rFonts w:hint="eastAsia" w:asciiTheme="minorEastAsia" w:hAnsiTheme="minorEastAsia" w:eastAsiaTheme="minorEastAsia" w:cstheme="minorEastAsia"/>
                <w:b/>
                <w:bCs/>
                <w:color w:val="auto"/>
                <w:kern w:val="0"/>
                <w:sz w:val="21"/>
                <w:szCs w:val="21"/>
                <w:highlight w:val="none"/>
                <w:lang w:bidi="ar"/>
              </w:rPr>
              <w:t>3</w:t>
            </w:r>
            <w:r>
              <w:rPr>
                <w:rFonts w:hint="eastAsia" w:asciiTheme="minorEastAsia" w:hAnsiTheme="minorEastAsia" w:eastAsiaTheme="minorEastAsia" w:cstheme="minorEastAsia"/>
                <w:b/>
                <w:bCs/>
                <w:color w:val="auto"/>
                <w:kern w:val="0"/>
                <w:sz w:val="21"/>
                <w:szCs w:val="21"/>
                <w:highlight w:val="none"/>
                <w:lang w:val="en-US" w:eastAsia="zh-CN" w:bidi="ar"/>
              </w:rPr>
              <w:t>5</w:t>
            </w:r>
          </w:p>
        </w:tc>
      </w:tr>
    </w:tbl>
    <w:p w14:paraId="5080C1E1">
      <w:pPr>
        <w:pageBreakBefore w:val="0"/>
        <w:numPr>
          <w:ilvl w:val="0"/>
          <w:numId w:val="0"/>
        </w:numPr>
        <w:kinsoku/>
        <w:wordWrap/>
        <w:overflowPunct/>
        <w:topLinePunct w:val="0"/>
        <w:autoSpaceDE/>
        <w:autoSpaceDN/>
        <w:bidi w:val="0"/>
        <w:adjustRightInd/>
        <w:spacing w:line="288" w:lineRule="auto"/>
        <w:ind w:leftChars="0" w:righ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拓扑示意图</w:t>
      </w:r>
      <w:r>
        <w:rPr>
          <w:rFonts w:hint="eastAsia" w:asciiTheme="minorEastAsia" w:hAnsiTheme="minorEastAsia" w:eastAsiaTheme="minorEastAsia" w:cstheme="minorEastAsia"/>
          <w:color w:val="auto"/>
          <w:sz w:val="21"/>
          <w:szCs w:val="21"/>
          <w:highlight w:val="none"/>
          <w:lang w:eastAsia="zh-CN"/>
        </w:rPr>
        <w:t>：</w:t>
      </w:r>
    </w:p>
    <w:p w14:paraId="421DDBFA">
      <w:pPr>
        <w:pageBreakBefore w:val="0"/>
        <w:numPr>
          <w:ilvl w:val="0"/>
          <w:numId w:val="0"/>
        </w:numPr>
        <w:kinsoku/>
        <w:wordWrap/>
        <w:overflowPunct/>
        <w:topLinePunct w:val="0"/>
        <w:autoSpaceDE/>
        <w:autoSpaceDN/>
        <w:bidi w:val="0"/>
        <w:adjustRightInd/>
        <w:spacing w:line="288" w:lineRule="auto"/>
        <w:ind w:right="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drawing>
          <wp:inline distT="0" distB="0" distL="0" distR="0">
            <wp:extent cx="6029325" cy="4267835"/>
            <wp:effectExtent l="0" t="0" r="3175" b="12065"/>
            <wp:docPr id="74603819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38193" name="图片 2"/>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6029325" cy="4267835"/>
                    </a:xfrm>
                    <a:prstGeom prst="rect">
                      <a:avLst/>
                    </a:prstGeom>
                  </pic:spPr>
                </pic:pic>
              </a:graphicData>
            </a:graphic>
          </wp:inline>
        </w:drawing>
      </w:r>
    </w:p>
    <w:p w14:paraId="30B9A7F6">
      <w:pPr>
        <w:pageBreakBefore w:val="0"/>
        <w:kinsoku/>
        <w:wordWrap/>
        <w:overflowPunct/>
        <w:topLinePunct w:val="0"/>
        <w:autoSpaceDE/>
        <w:autoSpaceDN/>
        <w:bidi w:val="0"/>
        <w:adjustRightInd/>
        <w:spacing w:line="288" w:lineRule="auto"/>
        <w:ind w:right="0" w:firstLine="422" w:firstLineChars="200"/>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2.2.4 胜蓝实验小学东新园校区：</w:t>
      </w:r>
    </w:p>
    <w:p w14:paraId="2E2095A7">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（1）教室内、走廊广播采用1只壁挂定压音箱，通过音量开关调节音量大小。使用壁挂定压音箱，通过音量开关调节音量大小；</w:t>
      </w:r>
    </w:p>
    <w:p w14:paraId="72F9FB52">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（2）校前广场及小操场广播使用室外防水音柱；</w:t>
      </w:r>
    </w:p>
    <w:p w14:paraId="47B706DE">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（3）大操场独立广播系统使用音柱音箱，配备无线话筒，天线等，可单独成套使用，满足运动会、升国旗、讲话等活动的需求；大操场可以接收主机打铃信号；</w:t>
      </w:r>
    </w:p>
    <w:p w14:paraId="2833817B">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（4）广播中心采用定压广播架构，数模结合，建设包括数字广播主机、网络功放等；</w:t>
      </w:r>
    </w:p>
    <w:p w14:paraId="607EE47F">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（5）多功能厅扩声系统更换扩声系统4只10寸专业音箱、功放2台、音频处理器1台、反馈抑制器1台及附属辅材，其余设备利旧使用；</w:t>
      </w:r>
    </w:p>
    <w:p w14:paraId="1B407E62">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（6）要求走廊独立分区、各个年级独立分区。校园整体弱电桥架敷设涉及设备、线路拆除；</w:t>
      </w:r>
    </w:p>
    <w:p w14:paraId="3BC5CD7F">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系统点位数量分布情况：</w:t>
      </w:r>
    </w:p>
    <w:tbl>
      <w:tblPr>
        <w:tblStyle w:val="12"/>
        <w:tblW w:w="4982" w:type="pct"/>
        <w:jc w:val="center"/>
        <w:shd w:val="clear" w:color="auto" w:fill="auto"/>
        <w:tblLayout w:type="autofit"/>
        <w:tblCellMar>
          <w:top w:w="0" w:type="dxa"/>
          <w:left w:w="0" w:type="dxa"/>
          <w:bottom w:w="0" w:type="dxa"/>
          <w:right w:w="0" w:type="dxa"/>
        </w:tblCellMar>
      </w:tblPr>
      <w:tblGrid>
        <w:gridCol w:w="2843"/>
        <w:gridCol w:w="3027"/>
        <w:gridCol w:w="1925"/>
        <w:gridCol w:w="2061"/>
      </w:tblGrid>
      <w:tr w14:paraId="0F1B2656">
        <w:tblPrEx>
          <w:tblCellMar>
            <w:top w:w="0" w:type="dxa"/>
            <w:left w:w="0" w:type="dxa"/>
            <w:bottom w:w="0" w:type="dxa"/>
            <w:right w:w="0" w:type="dxa"/>
          </w:tblCellMar>
        </w:tblPrEx>
        <w:trPr>
          <w:trHeight w:val="90" w:hRule="atLeast"/>
          <w:tblHeader/>
          <w:jc w:val="center"/>
        </w:trPr>
        <w:tc>
          <w:tcPr>
            <w:tcW w:w="1442"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7CE1E8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楼层</w:t>
            </w: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71935E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区域</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70A46F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壁挂音箱</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587F28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室外音柱</w:t>
            </w:r>
          </w:p>
        </w:tc>
      </w:tr>
      <w:tr w14:paraId="482A4AD5">
        <w:tblPrEx>
          <w:shd w:val="clear" w:color="auto" w:fill="auto"/>
          <w:tblCellMar>
            <w:top w:w="0" w:type="dxa"/>
            <w:left w:w="0" w:type="dxa"/>
            <w:bottom w:w="0" w:type="dxa"/>
            <w:right w:w="0" w:type="dxa"/>
          </w:tblCellMar>
        </w:tblPrEx>
        <w:trPr>
          <w:trHeight w:val="57" w:hRule="atLeast"/>
          <w:jc w:val="center"/>
        </w:trPr>
        <w:tc>
          <w:tcPr>
            <w:tcW w:w="1442" w:type="pct"/>
            <w:vMerge w:val="restart"/>
            <w:tcBorders>
              <w:top w:val="single" w:color="auto" w:sz="4" w:space="0"/>
              <w:left w:val="single" w:color="auto" w:sz="4" w:space="0"/>
              <w:right w:val="single" w:color="auto" w:sz="4" w:space="0"/>
            </w:tcBorders>
            <w:shd w:val="clear" w:color="auto" w:fill="auto"/>
            <w:tcMar>
              <w:top w:w="180" w:type="dxa"/>
              <w:left w:w="240" w:type="dxa"/>
              <w:bottom w:w="180" w:type="dxa"/>
              <w:right w:w="240" w:type="dxa"/>
            </w:tcMar>
            <w:vAlign w:val="center"/>
          </w:tcPr>
          <w:p w14:paraId="5D5A1C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教学楼1F</w:t>
            </w: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03844D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教室1-6</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1B6C1E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D9550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2D51B3B7">
        <w:tblPrEx>
          <w:tblCellMar>
            <w:top w:w="0" w:type="dxa"/>
            <w:left w:w="0" w:type="dxa"/>
            <w:bottom w:w="0" w:type="dxa"/>
            <w:right w:w="0" w:type="dxa"/>
          </w:tblCellMar>
        </w:tblPrEx>
        <w:trPr>
          <w:trHeight w:val="57" w:hRule="atLeast"/>
          <w:jc w:val="center"/>
        </w:trPr>
        <w:tc>
          <w:tcPr>
            <w:tcW w:w="1442" w:type="pct"/>
            <w:vMerge w:val="continue"/>
            <w:tcBorders>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28A90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13614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走廊</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19B380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DFBBA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7F49EB66">
        <w:tblPrEx>
          <w:shd w:val="clear" w:color="auto" w:fill="auto"/>
          <w:tblCellMar>
            <w:top w:w="0" w:type="dxa"/>
            <w:left w:w="0" w:type="dxa"/>
            <w:bottom w:w="0" w:type="dxa"/>
            <w:right w:w="0" w:type="dxa"/>
          </w:tblCellMar>
        </w:tblPrEx>
        <w:trPr>
          <w:trHeight w:val="57" w:hRule="atLeast"/>
          <w:jc w:val="center"/>
        </w:trPr>
        <w:tc>
          <w:tcPr>
            <w:tcW w:w="1442" w:type="pct"/>
            <w:vMerge w:val="restart"/>
            <w:tcBorders>
              <w:top w:val="single" w:color="auto" w:sz="4" w:space="0"/>
              <w:left w:val="single" w:color="auto" w:sz="4" w:space="0"/>
              <w:right w:val="single" w:color="auto" w:sz="4" w:space="0"/>
            </w:tcBorders>
            <w:shd w:val="clear" w:color="auto" w:fill="auto"/>
            <w:tcMar>
              <w:top w:w="180" w:type="dxa"/>
              <w:left w:w="240" w:type="dxa"/>
              <w:bottom w:w="180" w:type="dxa"/>
              <w:right w:w="240" w:type="dxa"/>
            </w:tcMar>
            <w:vAlign w:val="center"/>
          </w:tcPr>
          <w:p w14:paraId="2FAE6D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教学楼2F</w:t>
            </w: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B3585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教室1-6</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7A3BFE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EF885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26806469">
        <w:tblPrEx>
          <w:tblCellMar>
            <w:top w:w="0" w:type="dxa"/>
            <w:left w:w="0" w:type="dxa"/>
            <w:bottom w:w="0" w:type="dxa"/>
            <w:right w:w="0" w:type="dxa"/>
          </w:tblCellMar>
        </w:tblPrEx>
        <w:trPr>
          <w:trHeight w:val="57" w:hRule="atLeast"/>
          <w:jc w:val="center"/>
        </w:trPr>
        <w:tc>
          <w:tcPr>
            <w:tcW w:w="1442" w:type="pct"/>
            <w:vMerge w:val="continue"/>
            <w:tcBorders>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B5475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9BFD4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走廊</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3956E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0D05E0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1D15B7A7">
        <w:tblPrEx>
          <w:shd w:val="clear" w:color="auto" w:fill="auto"/>
          <w:tblCellMar>
            <w:top w:w="0" w:type="dxa"/>
            <w:left w:w="0" w:type="dxa"/>
            <w:bottom w:w="0" w:type="dxa"/>
            <w:right w:w="0" w:type="dxa"/>
          </w:tblCellMar>
        </w:tblPrEx>
        <w:trPr>
          <w:trHeight w:val="57" w:hRule="atLeast"/>
          <w:jc w:val="center"/>
        </w:trPr>
        <w:tc>
          <w:tcPr>
            <w:tcW w:w="1442" w:type="pct"/>
            <w:vMerge w:val="restart"/>
            <w:tcBorders>
              <w:top w:val="single" w:color="auto" w:sz="4" w:space="0"/>
              <w:left w:val="single" w:color="auto" w:sz="4" w:space="0"/>
              <w:right w:val="single" w:color="auto" w:sz="4" w:space="0"/>
            </w:tcBorders>
            <w:shd w:val="clear" w:color="auto" w:fill="auto"/>
            <w:tcMar>
              <w:top w:w="180" w:type="dxa"/>
              <w:left w:w="240" w:type="dxa"/>
              <w:bottom w:w="180" w:type="dxa"/>
              <w:right w:w="240" w:type="dxa"/>
            </w:tcMar>
            <w:vAlign w:val="center"/>
          </w:tcPr>
          <w:p w14:paraId="3099ED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教学楼3F</w:t>
            </w: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3C2E21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教室1-6</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36AD1A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1D98EA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6AF15B85">
        <w:tblPrEx>
          <w:shd w:val="clear" w:color="auto" w:fill="auto"/>
          <w:tblCellMar>
            <w:top w:w="0" w:type="dxa"/>
            <w:left w:w="0" w:type="dxa"/>
            <w:bottom w:w="0" w:type="dxa"/>
            <w:right w:w="0" w:type="dxa"/>
          </w:tblCellMar>
        </w:tblPrEx>
        <w:trPr>
          <w:trHeight w:val="57" w:hRule="atLeast"/>
          <w:jc w:val="center"/>
        </w:trPr>
        <w:tc>
          <w:tcPr>
            <w:tcW w:w="1442" w:type="pct"/>
            <w:vMerge w:val="continue"/>
            <w:tcBorders>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0D64E1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1C5710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走廊</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DA3F8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566752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50F8A010">
        <w:tblPrEx>
          <w:shd w:val="clear" w:color="auto" w:fill="auto"/>
          <w:tblCellMar>
            <w:top w:w="0" w:type="dxa"/>
            <w:left w:w="0" w:type="dxa"/>
            <w:bottom w:w="0" w:type="dxa"/>
            <w:right w:w="0" w:type="dxa"/>
          </w:tblCellMar>
        </w:tblPrEx>
        <w:trPr>
          <w:trHeight w:val="57" w:hRule="atLeast"/>
          <w:jc w:val="center"/>
        </w:trPr>
        <w:tc>
          <w:tcPr>
            <w:tcW w:w="1442" w:type="pct"/>
            <w:vMerge w:val="restart"/>
            <w:tcBorders>
              <w:top w:val="single" w:color="auto" w:sz="4" w:space="0"/>
              <w:left w:val="single" w:color="auto" w:sz="4" w:space="0"/>
              <w:right w:val="single" w:color="auto" w:sz="4" w:space="0"/>
            </w:tcBorders>
            <w:shd w:val="clear" w:color="auto" w:fill="auto"/>
            <w:tcMar>
              <w:top w:w="180" w:type="dxa"/>
              <w:left w:w="240" w:type="dxa"/>
              <w:bottom w:w="180" w:type="dxa"/>
              <w:right w:w="240" w:type="dxa"/>
            </w:tcMar>
            <w:vAlign w:val="center"/>
          </w:tcPr>
          <w:p w14:paraId="2C6A15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教学楼4F</w:t>
            </w: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496747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教室1-6</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051BE3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38973A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68911FE5">
        <w:tblPrEx>
          <w:tblCellMar>
            <w:top w:w="0" w:type="dxa"/>
            <w:left w:w="0" w:type="dxa"/>
            <w:bottom w:w="0" w:type="dxa"/>
            <w:right w:w="0" w:type="dxa"/>
          </w:tblCellMar>
        </w:tblPrEx>
        <w:trPr>
          <w:trHeight w:val="57" w:hRule="atLeast"/>
          <w:jc w:val="center"/>
        </w:trPr>
        <w:tc>
          <w:tcPr>
            <w:tcW w:w="1442" w:type="pct"/>
            <w:vMerge w:val="continue"/>
            <w:tcBorders>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A5213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185C7C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走廊</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5F1C97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120B0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5B5DF9C3">
        <w:tblPrEx>
          <w:shd w:val="clear" w:color="auto" w:fill="auto"/>
        </w:tblPrEx>
        <w:trPr>
          <w:trHeight w:val="57" w:hRule="atLeast"/>
          <w:jc w:val="center"/>
        </w:trPr>
        <w:tc>
          <w:tcPr>
            <w:tcW w:w="1442" w:type="pct"/>
            <w:vMerge w:val="restart"/>
            <w:tcBorders>
              <w:top w:val="single" w:color="auto" w:sz="4" w:space="0"/>
              <w:left w:val="single" w:color="auto" w:sz="4" w:space="0"/>
              <w:right w:val="single" w:color="auto" w:sz="4" w:space="0"/>
            </w:tcBorders>
            <w:shd w:val="clear" w:color="auto" w:fill="auto"/>
            <w:tcMar>
              <w:top w:w="180" w:type="dxa"/>
              <w:left w:w="240" w:type="dxa"/>
              <w:bottom w:w="180" w:type="dxa"/>
              <w:right w:w="240" w:type="dxa"/>
            </w:tcMar>
            <w:vAlign w:val="center"/>
          </w:tcPr>
          <w:p w14:paraId="74D033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行政楼1F</w:t>
            </w: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7832F7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科学教室1</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4E795B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5D78AD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7289C577">
        <w:tblPrEx>
          <w:shd w:val="clear" w:color="auto" w:fill="auto"/>
          <w:tblCellMar>
            <w:top w:w="0" w:type="dxa"/>
            <w:left w:w="0" w:type="dxa"/>
            <w:bottom w:w="0" w:type="dxa"/>
            <w:right w:w="0" w:type="dxa"/>
          </w:tblCellMar>
        </w:tblPrEx>
        <w:trPr>
          <w:trHeight w:val="57" w:hRule="atLeast"/>
          <w:jc w:val="center"/>
        </w:trPr>
        <w:tc>
          <w:tcPr>
            <w:tcW w:w="1442" w:type="pct"/>
            <w:vMerge w:val="continue"/>
            <w:tcBorders>
              <w:left w:val="single" w:color="auto" w:sz="4" w:space="0"/>
              <w:right w:val="single" w:color="auto" w:sz="4" w:space="0"/>
            </w:tcBorders>
            <w:shd w:val="clear" w:color="auto" w:fill="auto"/>
            <w:tcMar>
              <w:top w:w="180" w:type="dxa"/>
              <w:left w:w="240" w:type="dxa"/>
              <w:bottom w:w="180" w:type="dxa"/>
              <w:right w:w="240" w:type="dxa"/>
            </w:tcMar>
            <w:vAlign w:val="center"/>
          </w:tcPr>
          <w:p w14:paraId="296B1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DDF5C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科学教室2</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51D87F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48DD49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4B435A6E">
        <w:tblPrEx>
          <w:tblCellMar>
            <w:top w:w="0" w:type="dxa"/>
            <w:left w:w="0" w:type="dxa"/>
            <w:bottom w:w="0" w:type="dxa"/>
            <w:right w:w="0" w:type="dxa"/>
          </w:tblCellMar>
        </w:tblPrEx>
        <w:trPr>
          <w:trHeight w:val="57" w:hRule="atLeast"/>
          <w:jc w:val="center"/>
        </w:trPr>
        <w:tc>
          <w:tcPr>
            <w:tcW w:w="1442" w:type="pct"/>
            <w:vMerge w:val="continue"/>
            <w:tcBorders>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3C4BDF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717960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走廊</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074BB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159ADD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08469524">
        <w:tblPrEx>
          <w:tblCellMar>
            <w:top w:w="0" w:type="dxa"/>
            <w:left w:w="0" w:type="dxa"/>
            <w:bottom w:w="0" w:type="dxa"/>
            <w:right w:w="0" w:type="dxa"/>
          </w:tblCellMar>
        </w:tblPrEx>
        <w:trPr>
          <w:trHeight w:val="57" w:hRule="atLeast"/>
          <w:jc w:val="center"/>
        </w:trPr>
        <w:tc>
          <w:tcPr>
            <w:tcW w:w="1442" w:type="pct"/>
            <w:vMerge w:val="restart"/>
            <w:tcBorders>
              <w:top w:val="single" w:color="auto" w:sz="4" w:space="0"/>
              <w:left w:val="single" w:color="auto" w:sz="4" w:space="0"/>
              <w:right w:val="single" w:color="auto" w:sz="4" w:space="0"/>
            </w:tcBorders>
            <w:shd w:val="clear" w:color="auto" w:fill="auto"/>
            <w:tcMar>
              <w:top w:w="180" w:type="dxa"/>
              <w:left w:w="240" w:type="dxa"/>
              <w:bottom w:w="180" w:type="dxa"/>
              <w:right w:w="240" w:type="dxa"/>
            </w:tcMar>
            <w:vAlign w:val="center"/>
          </w:tcPr>
          <w:p w14:paraId="1FBF7B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行政楼2F</w:t>
            </w: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38D44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美术教室1</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5F425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7924E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54A6AA00">
        <w:tblPrEx>
          <w:shd w:val="clear" w:color="auto" w:fill="auto"/>
          <w:tblCellMar>
            <w:top w:w="0" w:type="dxa"/>
            <w:left w:w="0" w:type="dxa"/>
            <w:bottom w:w="0" w:type="dxa"/>
            <w:right w:w="0" w:type="dxa"/>
          </w:tblCellMar>
        </w:tblPrEx>
        <w:trPr>
          <w:trHeight w:val="57" w:hRule="atLeast"/>
          <w:jc w:val="center"/>
        </w:trPr>
        <w:tc>
          <w:tcPr>
            <w:tcW w:w="1442" w:type="pct"/>
            <w:vMerge w:val="continue"/>
            <w:tcBorders>
              <w:left w:val="single" w:color="auto" w:sz="4" w:space="0"/>
              <w:right w:val="single" w:color="auto" w:sz="4" w:space="0"/>
            </w:tcBorders>
            <w:shd w:val="clear" w:color="auto" w:fill="auto"/>
            <w:tcMar>
              <w:top w:w="180" w:type="dxa"/>
              <w:left w:w="240" w:type="dxa"/>
              <w:bottom w:w="180" w:type="dxa"/>
              <w:right w:w="240" w:type="dxa"/>
            </w:tcMar>
            <w:vAlign w:val="center"/>
          </w:tcPr>
          <w:p w14:paraId="4D40D6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5B4490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美术教室2</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4AD4AF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382DF9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6480285F">
        <w:tblPrEx>
          <w:shd w:val="clear" w:color="auto" w:fill="auto"/>
          <w:tblCellMar>
            <w:top w:w="0" w:type="dxa"/>
            <w:left w:w="0" w:type="dxa"/>
            <w:bottom w:w="0" w:type="dxa"/>
            <w:right w:w="0" w:type="dxa"/>
          </w:tblCellMar>
        </w:tblPrEx>
        <w:trPr>
          <w:trHeight w:val="57" w:hRule="atLeast"/>
          <w:jc w:val="center"/>
        </w:trPr>
        <w:tc>
          <w:tcPr>
            <w:tcW w:w="1442" w:type="pct"/>
            <w:vMerge w:val="continue"/>
            <w:tcBorders>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7D2781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23EA3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走廊</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C0851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8C070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2E4037E8">
        <w:tblPrEx>
          <w:shd w:val="clear" w:color="auto" w:fill="auto"/>
          <w:tblCellMar>
            <w:top w:w="0" w:type="dxa"/>
            <w:left w:w="0" w:type="dxa"/>
            <w:bottom w:w="0" w:type="dxa"/>
            <w:right w:w="0" w:type="dxa"/>
          </w:tblCellMar>
        </w:tblPrEx>
        <w:trPr>
          <w:trHeight w:val="57" w:hRule="atLeast"/>
          <w:jc w:val="center"/>
        </w:trPr>
        <w:tc>
          <w:tcPr>
            <w:tcW w:w="1442" w:type="pct"/>
            <w:vMerge w:val="restart"/>
            <w:tcBorders>
              <w:top w:val="single" w:color="auto" w:sz="4" w:space="0"/>
              <w:left w:val="single" w:color="auto" w:sz="4" w:space="0"/>
              <w:right w:val="single" w:color="auto" w:sz="4" w:space="0"/>
            </w:tcBorders>
            <w:shd w:val="clear" w:color="auto" w:fill="auto"/>
            <w:tcMar>
              <w:top w:w="180" w:type="dxa"/>
              <w:left w:w="240" w:type="dxa"/>
              <w:bottom w:w="180" w:type="dxa"/>
              <w:right w:w="240" w:type="dxa"/>
            </w:tcMar>
            <w:vAlign w:val="center"/>
          </w:tcPr>
          <w:p w14:paraId="009915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行政楼3F</w:t>
            </w: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04FAE6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计算机教室1</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73342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AC339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1E964226">
        <w:tblPrEx>
          <w:shd w:val="clear" w:color="auto" w:fill="auto"/>
          <w:tblCellMar>
            <w:top w:w="0" w:type="dxa"/>
            <w:left w:w="0" w:type="dxa"/>
            <w:bottom w:w="0" w:type="dxa"/>
            <w:right w:w="0" w:type="dxa"/>
          </w:tblCellMar>
        </w:tblPrEx>
        <w:trPr>
          <w:trHeight w:val="57" w:hRule="atLeast"/>
          <w:jc w:val="center"/>
        </w:trPr>
        <w:tc>
          <w:tcPr>
            <w:tcW w:w="1442" w:type="pct"/>
            <w:vMerge w:val="continue"/>
            <w:tcBorders>
              <w:left w:val="single" w:color="auto" w:sz="4" w:space="0"/>
              <w:right w:val="single" w:color="auto" w:sz="4" w:space="0"/>
            </w:tcBorders>
            <w:shd w:val="clear" w:color="auto" w:fill="auto"/>
            <w:tcMar>
              <w:top w:w="180" w:type="dxa"/>
              <w:left w:w="240" w:type="dxa"/>
              <w:bottom w:w="180" w:type="dxa"/>
              <w:right w:w="240" w:type="dxa"/>
            </w:tcMar>
            <w:vAlign w:val="center"/>
          </w:tcPr>
          <w:p w14:paraId="275D25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BCDBF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计算机教室2</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5496BB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24B9C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1CBC73CD">
        <w:tblPrEx>
          <w:shd w:val="clear" w:color="auto" w:fill="auto"/>
          <w:tblCellMar>
            <w:top w:w="0" w:type="dxa"/>
            <w:left w:w="0" w:type="dxa"/>
            <w:bottom w:w="0" w:type="dxa"/>
            <w:right w:w="0" w:type="dxa"/>
          </w:tblCellMar>
        </w:tblPrEx>
        <w:trPr>
          <w:trHeight w:val="57" w:hRule="atLeast"/>
          <w:jc w:val="center"/>
        </w:trPr>
        <w:tc>
          <w:tcPr>
            <w:tcW w:w="1442" w:type="pct"/>
            <w:vMerge w:val="continue"/>
            <w:tcBorders>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02B1A7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17B286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走廊</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46246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0D778F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126CC7A5">
        <w:tblPrEx>
          <w:tblCellMar>
            <w:top w:w="0" w:type="dxa"/>
            <w:left w:w="0" w:type="dxa"/>
            <w:bottom w:w="0" w:type="dxa"/>
            <w:right w:w="0" w:type="dxa"/>
          </w:tblCellMar>
        </w:tblPrEx>
        <w:trPr>
          <w:trHeight w:val="57" w:hRule="atLeast"/>
          <w:jc w:val="center"/>
        </w:trPr>
        <w:tc>
          <w:tcPr>
            <w:tcW w:w="1442" w:type="pct"/>
            <w:vMerge w:val="restart"/>
            <w:tcBorders>
              <w:top w:val="single" w:color="auto" w:sz="4" w:space="0"/>
              <w:left w:val="single" w:color="auto" w:sz="4" w:space="0"/>
              <w:right w:val="single" w:color="auto" w:sz="4" w:space="0"/>
            </w:tcBorders>
            <w:shd w:val="clear" w:color="auto" w:fill="auto"/>
            <w:tcMar>
              <w:top w:w="180" w:type="dxa"/>
              <w:left w:w="240" w:type="dxa"/>
              <w:bottom w:w="180" w:type="dxa"/>
              <w:right w:w="240" w:type="dxa"/>
            </w:tcMar>
            <w:vAlign w:val="center"/>
          </w:tcPr>
          <w:p w14:paraId="77FA0B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行政楼4F</w:t>
            </w: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3E154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舞蹈教室</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118099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C2421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1BA93841">
        <w:tblPrEx>
          <w:shd w:val="clear" w:color="auto" w:fill="auto"/>
          <w:tblCellMar>
            <w:top w:w="0" w:type="dxa"/>
            <w:left w:w="0" w:type="dxa"/>
            <w:bottom w:w="0" w:type="dxa"/>
            <w:right w:w="0" w:type="dxa"/>
          </w:tblCellMar>
        </w:tblPrEx>
        <w:trPr>
          <w:trHeight w:val="57" w:hRule="atLeast"/>
          <w:jc w:val="center"/>
        </w:trPr>
        <w:tc>
          <w:tcPr>
            <w:tcW w:w="1442" w:type="pct"/>
            <w:vMerge w:val="continue"/>
            <w:tcBorders>
              <w:left w:val="single" w:color="auto" w:sz="4" w:space="0"/>
              <w:right w:val="single" w:color="auto" w:sz="4" w:space="0"/>
            </w:tcBorders>
            <w:shd w:val="clear" w:color="auto" w:fill="auto"/>
            <w:tcMar>
              <w:top w:w="180" w:type="dxa"/>
              <w:left w:w="240" w:type="dxa"/>
              <w:bottom w:w="180" w:type="dxa"/>
              <w:right w:w="240" w:type="dxa"/>
            </w:tcMar>
            <w:vAlign w:val="center"/>
          </w:tcPr>
          <w:p w14:paraId="400B58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3E030B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音乐教室</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579AB5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420980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5A8763D5">
        <w:tblPrEx>
          <w:shd w:val="clear" w:color="auto" w:fill="auto"/>
          <w:tblCellMar>
            <w:top w:w="0" w:type="dxa"/>
            <w:left w:w="0" w:type="dxa"/>
            <w:bottom w:w="0" w:type="dxa"/>
            <w:right w:w="0" w:type="dxa"/>
          </w:tblCellMar>
        </w:tblPrEx>
        <w:trPr>
          <w:trHeight w:val="57" w:hRule="atLeast"/>
          <w:jc w:val="center"/>
        </w:trPr>
        <w:tc>
          <w:tcPr>
            <w:tcW w:w="1442" w:type="pct"/>
            <w:vMerge w:val="continue"/>
            <w:tcBorders>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4D242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7C5EE6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走廊</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0329CB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24651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6AD09670">
        <w:tblPrEx>
          <w:shd w:val="clear" w:color="auto" w:fill="auto"/>
          <w:tblCellMar>
            <w:top w:w="0" w:type="dxa"/>
            <w:left w:w="0" w:type="dxa"/>
            <w:bottom w:w="0" w:type="dxa"/>
            <w:right w:w="0" w:type="dxa"/>
          </w:tblCellMar>
        </w:tblPrEx>
        <w:trPr>
          <w:trHeight w:val="57" w:hRule="atLeast"/>
          <w:jc w:val="center"/>
        </w:trPr>
        <w:tc>
          <w:tcPr>
            <w:tcW w:w="1442"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3CD5C9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行政楼5F</w:t>
            </w: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5AE258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走廊</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9A8F5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4CF0C6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2651A0A2">
        <w:tblPrEx>
          <w:shd w:val="clear" w:color="auto" w:fill="auto"/>
          <w:tblCellMar>
            <w:top w:w="0" w:type="dxa"/>
            <w:left w:w="0" w:type="dxa"/>
            <w:bottom w:w="0" w:type="dxa"/>
            <w:right w:w="0" w:type="dxa"/>
          </w:tblCellMar>
        </w:tblPrEx>
        <w:trPr>
          <w:trHeight w:val="57" w:hRule="atLeast"/>
          <w:jc w:val="center"/>
        </w:trPr>
        <w:tc>
          <w:tcPr>
            <w:tcW w:w="1442" w:type="pct"/>
            <w:vMerge w:val="restart"/>
            <w:tcBorders>
              <w:top w:val="single" w:color="auto" w:sz="4" w:space="0"/>
              <w:left w:val="single" w:color="auto" w:sz="4" w:space="0"/>
              <w:right w:val="single" w:color="auto" w:sz="4" w:space="0"/>
            </w:tcBorders>
            <w:shd w:val="clear" w:color="auto" w:fill="auto"/>
            <w:tcMar>
              <w:top w:w="180" w:type="dxa"/>
              <w:left w:w="240" w:type="dxa"/>
              <w:bottom w:w="180" w:type="dxa"/>
              <w:right w:w="240" w:type="dxa"/>
            </w:tcMar>
            <w:vAlign w:val="center"/>
          </w:tcPr>
          <w:p w14:paraId="37C373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884D3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室外操场</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4F608A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0C0F7F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r>
      <w:tr w14:paraId="3138602B">
        <w:tblPrEx>
          <w:tblCellMar>
            <w:top w:w="0" w:type="dxa"/>
            <w:left w:w="0" w:type="dxa"/>
            <w:bottom w:w="0" w:type="dxa"/>
            <w:right w:w="0" w:type="dxa"/>
          </w:tblCellMar>
        </w:tblPrEx>
        <w:trPr>
          <w:trHeight w:val="57" w:hRule="atLeast"/>
          <w:jc w:val="center"/>
        </w:trPr>
        <w:tc>
          <w:tcPr>
            <w:tcW w:w="1442" w:type="pct"/>
            <w:vMerge w:val="continue"/>
            <w:tcBorders>
              <w:left w:val="single" w:color="auto" w:sz="4" w:space="0"/>
              <w:right w:val="single" w:color="auto" w:sz="4" w:space="0"/>
            </w:tcBorders>
            <w:shd w:val="clear" w:color="auto" w:fill="auto"/>
            <w:tcMar>
              <w:top w:w="180" w:type="dxa"/>
              <w:left w:w="240" w:type="dxa"/>
              <w:bottom w:w="180" w:type="dxa"/>
              <w:right w:w="240" w:type="dxa"/>
            </w:tcMar>
            <w:vAlign w:val="center"/>
          </w:tcPr>
          <w:p w14:paraId="5D3845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1AD1B8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校前广场</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3BBF66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3DF927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r>
      <w:tr w14:paraId="0122ED77">
        <w:tblPrEx>
          <w:shd w:val="clear" w:color="auto" w:fill="auto"/>
          <w:tblCellMar>
            <w:top w:w="0" w:type="dxa"/>
            <w:left w:w="0" w:type="dxa"/>
            <w:bottom w:w="0" w:type="dxa"/>
            <w:right w:w="0" w:type="dxa"/>
          </w:tblCellMar>
        </w:tblPrEx>
        <w:trPr>
          <w:trHeight w:val="57" w:hRule="atLeast"/>
          <w:jc w:val="center"/>
        </w:trPr>
        <w:tc>
          <w:tcPr>
            <w:tcW w:w="1442" w:type="pct"/>
            <w:vMerge w:val="continue"/>
            <w:tcBorders>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08EAF0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9EB7F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小操场</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739A6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3E78D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r>
    </w:tbl>
    <w:p w14:paraId="0D8E3108">
      <w:pPr>
        <w:pageBreakBefore w:val="0"/>
        <w:kinsoku/>
        <w:wordWrap/>
        <w:overflowPunct/>
        <w:topLinePunct w:val="0"/>
        <w:autoSpaceDE/>
        <w:autoSpaceDN/>
        <w:bidi w:val="0"/>
        <w:adjustRightInd/>
        <w:spacing w:line="288" w:lineRule="auto"/>
        <w:ind w:right="0" w:firstLine="422" w:firstLineChars="200"/>
        <w:rPr>
          <w:rFonts w:hint="default"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2.2.5 东新实验幼托园东新园区：</w:t>
      </w:r>
    </w:p>
    <w:p w14:paraId="2F80782F">
      <w:pPr>
        <w:pageBreakBefore w:val="0"/>
        <w:numPr>
          <w:ilvl w:val="0"/>
          <w:numId w:val="0"/>
        </w:numPr>
        <w:kinsoku/>
        <w:wordWrap/>
        <w:overflowPunct/>
        <w:topLinePunct w:val="0"/>
        <w:autoSpaceDE/>
        <w:autoSpaceDN/>
        <w:bidi w:val="0"/>
        <w:adjustRightInd/>
        <w:spacing w:line="288" w:lineRule="auto"/>
        <w:ind w:right="0" w:rightChars="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（1）学校场所配置模拟信号广播系统，设备必须与消防联动，具有强切功能；</w:t>
      </w:r>
    </w:p>
    <w:p w14:paraId="174F7099">
      <w:pPr>
        <w:pageBreakBefore w:val="0"/>
        <w:numPr>
          <w:ilvl w:val="0"/>
          <w:numId w:val="0"/>
        </w:numPr>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（2）壁挂(吸顶音箱)&gt;10W、音柱&gt;80W、景观音箱＞30W；</w:t>
      </w:r>
    </w:p>
    <w:p w14:paraId="5BFECD31">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（3）建成后的广播系统要求各分区音量可调，同一分区各个广播点</w:t>
      </w:r>
      <w:r>
        <w:rPr>
          <w:rFonts w:hint="eastAsia" w:asciiTheme="minorEastAsia" w:hAnsiTheme="minorEastAsia" w:eastAsiaTheme="minorEastAsia" w:cstheme="minorEastAsia"/>
          <w:color w:val="auto"/>
          <w:sz w:val="21"/>
          <w:szCs w:val="21"/>
          <w:highlight w:val="none"/>
        </w:rPr>
        <w:t>音量均衡</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各教室广播音量独立可调（一般情况下分区：各各楼层教室、走廊、操场、跑道、等）；</w:t>
      </w:r>
    </w:p>
    <w:p w14:paraId="10E4BA4B">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（4）校园广播应设置有线寻呼话筒，便于学校在指定位置通过寻呼话筒直接进行广播，以达到应急状态的处置。</w:t>
      </w:r>
    </w:p>
    <w:p w14:paraId="748B464B">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（5）广播室至教室广播线路采用点对点布线，方便楼层班级调整，实现点对点广播。走廊一路，大门、中央通道一路。操场布线分东、西两路，方便操场小范围广播需要，减少附近居民扰民投诉。</w:t>
      </w:r>
    </w:p>
    <w:p w14:paraId="5D7681BF">
      <w:pPr>
        <w:pageBreakBefore w:val="0"/>
        <w:numPr>
          <w:ilvl w:val="0"/>
          <w:numId w:val="0"/>
        </w:numPr>
        <w:kinsoku/>
        <w:wordWrap/>
        <w:overflowPunct/>
        <w:topLinePunct w:val="0"/>
        <w:autoSpaceDE/>
        <w:autoSpaceDN/>
        <w:bidi w:val="0"/>
        <w:adjustRightInd/>
        <w:spacing w:line="288" w:lineRule="auto"/>
        <w:ind w:leftChars="0" w:righ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拓扑示意图</w:t>
      </w:r>
      <w:r>
        <w:rPr>
          <w:rFonts w:hint="eastAsia" w:asciiTheme="minorEastAsia" w:hAnsiTheme="minorEastAsia" w:eastAsiaTheme="minorEastAsia" w:cstheme="minorEastAsia"/>
          <w:color w:val="auto"/>
          <w:sz w:val="21"/>
          <w:szCs w:val="21"/>
          <w:highlight w:val="none"/>
          <w:lang w:eastAsia="zh-CN"/>
        </w:rPr>
        <w:t>：</w:t>
      </w:r>
    </w:p>
    <w:p w14:paraId="5146FB29">
      <w:pPr>
        <w:pageBreakBefore w:val="0"/>
        <w:numPr>
          <w:ilvl w:val="0"/>
          <w:numId w:val="0"/>
        </w:numPr>
        <w:kinsoku/>
        <w:wordWrap/>
        <w:overflowPunct/>
        <w:topLinePunct w:val="0"/>
        <w:autoSpaceDE/>
        <w:autoSpaceDN/>
        <w:bidi w:val="0"/>
        <w:adjustRightInd/>
        <w:spacing w:line="288" w:lineRule="auto"/>
        <w:ind w:right="0"/>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eastAsia="zh-CN"/>
        </w:rPr>
        <w:drawing>
          <wp:inline distT="0" distB="0" distL="114300" distR="114300">
            <wp:extent cx="5903595" cy="2040255"/>
            <wp:effectExtent l="0" t="0" r="1905" b="4445"/>
            <wp:docPr id="2" name="图片 2" descr="e51056c702a48dbc12a0770e62da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51056c702a48dbc12a0770e62daa17"/>
                    <pic:cNvPicPr>
                      <a:picLocks noChangeAspect="1"/>
                    </pic:cNvPicPr>
                  </pic:nvPicPr>
                  <pic:blipFill>
                    <a:blip r:embed="rId23"/>
                    <a:stretch>
                      <a:fillRect/>
                    </a:stretch>
                  </pic:blipFill>
                  <pic:spPr>
                    <a:xfrm>
                      <a:off x="0" y="0"/>
                      <a:ext cx="5903595" cy="2040255"/>
                    </a:xfrm>
                    <a:prstGeom prst="rect">
                      <a:avLst/>
                    </a:prstGeom>
                  </pic:spPr>
                </pic:pic>
              </a:graphicData>
            </a:graphic>
          </wp:inline>
        </w:drawing>
      </w:r>
    </w:p>
    <w:p w14:paraId="2ECD0920">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增加火灾自动报警系统和消防远程监控中心，需配备高灵敏度烟雾探测器和温度探测器，确保在火灾初期即可发出警报。建立集中的消防远程监控中心，实时监控消防设备状态，发生报警，并具备24小时电话联动功能。</w:t>
      </w:r>
    </w:p>
    <w:p w14:paraId="653BB5ED">
      <w:pPr>
        <w:pageBreakBefore w:val="0"/>
        <w:kinsoku/>
        <w:wordWrap/>
        <w:overflowPunct/>
        <w:topLinePunct w:val="0"/>
        <w:autoSpaceDE/>
        <w:autoSpaceDN/>
        <w:bidi w:val="0"/>
        <w:adjustRightInd/>
        <w:spacing w:line="288" w:lineRule="auto"/>
        <w:ind w:right="0" w:firstLine="422" w:firstLineChars="200"/>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2.2.6 西园实验幼儿园灯塔园区：</w:t>
      </w:r>
    </w:p>
    <w:p w14:paraId="428CAB5E">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（1）音响设备升级：采用高品质的吸顶式音响设备，确保音质清晰、音量适中，满足日常通知、教育娱乐等多种需求。同时，考虑设备的耐用性和维护便捷性，降低后续运营成本；</w:t>
      </w:r>
    </w:p>
    <w:p w14:paraId="199A5C70">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1）教室：选择定压式白色吸顶式暗装天花喇叭，功率不小于6W，搭配音量调节开关，控制教室音量大小；按楼层分不同区域；</w:t>
      </w:r>
    </w:p>
    <w:p w14:paraId="0CBD0039">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2）走廊区：同样选择定压式白色吸顶式暗装天花喇叭，功率不小于6W，三个楼层合并为一个分区；后端使用大功率定压功放，统一控制教室和走廊区域；</w:t>
      </w:r>
    </w:p>
    <w:p w14:paraId="47B65EE7">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3）室外活动区：利用现有音柱，增加室外无线话筒天线放大器，覆盖操场区域；</w:t>
      </w:r>
    </w:p>
    <w:p w14:paraId="63FE24CB">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（2）覆盖范围优化：根据幼儿园的建筑布局和实际需求，合理布置音响设备，确保广播信号覆盖全园各个角落；</w:t>
      </w:r>
    </w:p>
    <w:p w14:paraId="2F6D3432">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（3）简化操作流程：设计简洁明了的操作界面，提供一键式操作功能，方便幼儿园工作人员快速上手和日常使用。同时，提供详细的操作手册和培训服务，确保工作人员能够熟练掌握系统的使用方法；</w:t>
      </w:r>
    </w:p>
    <w:p w14:paraId="4CF3D3C1">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（4）增加联动功能模块：引入消防报警联动机制，配报警信号发生器，具有强切功能，在发生特殊情况下，可以紧急广播提醒；增加一键报警按钮等；</w:t>
      </w:r>
    </w:p>
    <w:p w14:paraId="0A6A1007">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（5）智能化管理：采用电源时控管理系统，对广播系统设备的开关和定时播放进行实时手动和远程管理，提高系统的自动化水平；</w:t>
      </w:r>
    </w:p>
    <w:p w14:paraId="7FD54E93">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系统点位数量分布情况：</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01"/>
        <w:gridCol w:w="2245"/>
        <w:gridCol w:w="2449"/>
        <w:gridCol w:w="2329"/>
      </w:tblGrid>
      <w:tr w14:paraId="1DC9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DE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楼层</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21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位置</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EE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i w:val="0"/>
                <w:iCs w:val="0"/>
                <w:color w:val="auto"/>
                <w:sz w:val="21"/>
                <w:szCs w:val="21"/>
                <w:highlight w:val="none"/>
                <w:u w:val="none"/>
                <w:lang w:val="en-US" w:eastAsia="zh-CN"/>
              </w:rPr>
            </w:pPr>
            <w:r>
              <w:rPr>
                <w:rFonts w:hint="eastAsia" w:asciiTheme="minorEastAsia" w:hAnsiTheme="minorEastAsia" w:eastAsiaTheme="minorEastAsia" w:cstheme="minorEastAsia"/>
                <w:b/>
                <w:bCs/>
                <w:i w:val="0"/>
                <w:iCs w:val="0"/>
                <w:color w:val="auto"/>
                <w:sz w:val="21"/>
                <w:szCs w:val="21"/>
                <w:highlight w:val="none"/>
                <w:u w:val="none"/>
                <w:lang w:val="en-US" w:eastAsia="zh-CN"/>
              </w:rPr>
              <w:t>开花喇叭</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4F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i w:val="0"/>
                <w:iCs w:val="0"/>
                <w:color w:val="auto"/>
                <w:sz w:val="21"/>
                <w:szCs w:val="21"/>
                <w:highlight w:val="none"/>
                <w:u w:val="none"/>
                <w:lang w:val="en-US" w:eastAsia="zh-CN"/>
              </w:rPr>
            </w:pPr>
            <w:r>
              <w:rPr>
                <w:rFonts w:hint="eastAsia" w:asciiTheme="minorEastAsia" w:hAnsiTheme="minorEastAsia" w:eastAsiaTheme="minorEastAsia" w:cstheme="minorEastAsia"/>
                <w:b/>
                <w:bCs/>
                <w:i w:val="0"/>
                <w:iCs w:val="0"/>
                <w:color w:val="auto"/>
                <w:sz w:val="21"/>
                <w:szCs w:val="21"/>
                <w:highlight w:val="none"/>
                <w:u w:val="none"/>
                <w:lang w:val="en-US" w:eastAsia="zh-CN"/>
              </w:rPr>
              <w:t>音控开关</w:t>
            </w:r>
          </w:p>
        </w:tc>
      </w:tr>
      <w:tr w14:paraId="592DA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B9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一层</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BE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小一班</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0D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B2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r>
      <w:tr w14:paraId="72318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1" w:type="pct"/>
            <w:vMerge w:val="continue"/>
            <w:tcBorders>
              <w:left w:val="single" w:color="000000" w:sz="4" w:space="0"/>
              <w:right w:val="single" w:color="000000" w:sz="4" w:space="0"/>
            </w:tcBorders>
            <w:shd w:val="clear" w:color="auto" w:fill="auto"/>
            <w:noWrap/>
            <w:vAlign w:val="center"/>
          </w:tcPr>
          <w:p w14:paraId="1C5B13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AD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小二班</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D1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4D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0289E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1" w:type="pct"/>
            <w:vMerge w:val="continue"/>
            <w:tcBorders>
              <w:left w:val="single" w:color="000000" w:sz="4" w:space="0"/>
              <w:right w:val="single" w:color="000000" w:sz="4" w:space="0"/>
            </w:tcBorders>
            <w:shd w:val="clear" w:color="auto" w:fill="auto"/>
            <w:noWrap/>
            <w:vAlign w:val="center"/>
          </w:tcPr>
          <w:p w14:paraId="59361B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3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托班</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83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9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3012B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1" w:type="pct"/>
            <w:vMerge w:val="continue"/>
            <w:tcBorders>
              <w:left w:val="single" w:color="000000" w:sz="4" w:space="0"/>
              <w:right w:val="single" w:color="000000" w:sz="4" w:space="0"/>
            </w:tcBorders>
            <w:shd w:val="clear" w:color="auto" w:fill="auto"/>
            <w:noWrap/>
            <w:vAlign w:val="center"/>
          </w:tcPr>
          <w:p w14:paraId="7F2176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D0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创意班</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6C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52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66C76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A0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i w:val="0"/>
                <w:iCs w:val="0"/>
                <w:color w:val="auto"/>
                <w:sz w:val="21"/>
                <w:szCs w:val="21"/>
                <w:highlight w:val="none"/>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2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走廊</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44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C8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iCs/>
                <w:color w:val="auto"/>
                <w:sz w:val="21"/>
                <w:szCs w:val="21"/>
                <w:highlight w:val="none"/>
                <w:u w:val="none"/>
                <w:lang w:val="en-US" w:eastAsia="zh-CN"/>
              </w:rPr>
            </w:pPr>
            <w:r>
              <w:rPr>
                <w:rFonts w:hint="eastAsia" w:asciiTheme="minorEastAsia" w:hAnsiTheme="minorEastAsia" w:eastAsiaTheme="minorEastAsia" w:cstheme="minorEastAsia"/>
                <w:i/>
                <w:iCs/>
                <w:color w:val="auto"/>
                <w:sz w:val="21"/>
                <w:szCs w:val="21"/>
                <w:highlight w:val="none"/>
                <w:u w:val="none"/>
                <w:lang w:val="en-US" w:eastAsia="zh-CN"/>
              </w:rPr>
              <w:t>/</w:t>
            </w:r>
          </w:p>
        </w:tc>
      </w:tr>
      <w:tr w14:paraId="5CE07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6D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二层</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A2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小三班</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A5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3D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1F579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1" w:type="pct"/>
            <w:vMerge w:val="continue"/>
            <w:tcBorders>
              <w:left w:val="single" w:color="000000" w:sz="4" w:space="0"/>
              <w:right w:val="single" w:color="000000" w:sz="4" w:space="0"/>
            </w:tcBorders>
            <w:shd w:val="clear" w:color="auto" w:fill="auto"/>
            <w:noWrap/>
            <w:vAlign w:val="center"/>
          </w:tcPr>
          <w:p w14:paraId="430850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28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大二班</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CF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99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397A5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1" w:type="pct"/>
            <w:vMerge w:val="continue"/>
            <w:tcBorders>
              <w:left w:val="single" w:color="000000" w:sz="4" w:space="0"/>
              <w:right w:val="single" w:color="000000" w:sz="4" w:space="0"/>
            </w:tcBorders>
            <w:shd w:val="clear" w:color="auto" w:fill="auto"/>
            <w:noWrap/>
            <w:vAlign w:val="center"/>
          </w:tcPr>
          <w:p w14:paraId="1849E6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77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大三班</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7D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17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4274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1" w:type="pct"/>
            <w:vMerge w:val="continue"/>
            <w:tcBorders>
              <w:left w:val="single" w:color="000000" w:sz="4" w:space="0"/>
              <w:right w:val="single" w:color="000000" w:sz="4" w:space="0"/>
            </w:tcBorders>
            <w:shd w:val="clear" w:color="auto" w:fill="auto"/>
            <w:noWrap/>
            <w:vAlign w:val="center"/>
          </w:tcPr>
          <w:p w14:paraId="5A3C4A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FE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会议室</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00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19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1D61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1" w:type="pct"/>
            <w:vMerge w:val="continue"/>
            <w:tcBorders>
              <w:left w:val="single" w:color="000000" w:sz="4" w:space="0"/>
              <w:right w:val="single" w:color="000000" w:sz="4" w:space="0"/>
            </w:tcBorders>
            <w:shd w:val="clear" w:color="auto" w:fill="auto"/>
            <w:noWrap/>
            <w:vAlign w:val="center"/>
          </w:tcPr>
          <w:p w14:paraId="739589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37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建构馆</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83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F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2379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1" w:type="pct"/>
            <w:vMerge w:val="continue"/>
            <w:tcBorders>
              <w:left w:val="single" w:color="000000" w:sz="4" w:space="0"/>
              <w:right w:val="single" w:color="000000" w:sz="4" w:space="0"/>
            </w:tcBorders>
            <w:shd w:val="clear" w:color="auto" w:fill="auto"/>
            <w:noWrap/>
            <w:vAlign w:val="center"/>
          </w:tcPr>
          <w:p w14:paraId="1F1C3B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2A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书香馆</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A9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A6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38A38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1" w:type="pct"/>
            <w:vMerge w:val="continue"/>
            <w:tcBorders>
              <w:left w:val="single" w:color="000000" w:sz="4" w:space="0"/>
              <w:right w:val="single" w:color="000000" w:sz="4" w:space="0"/>
            </w:tcBorders>
            <w:shd w:val="clear" w:color="auto" w:fill="auto"/>
            <w:noWrap/>
            <w:vAlign w:val="center"/>
          </w:tcPr>
          <w:p w14:paraId="1A9FC7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1C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音乐厅</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0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E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46358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29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i w:val="0"/>
                <w:iCs w:val="0"/>
                <w:color w:val="auto"/>
                <w:sz w:val="21"/>
                <w:szCs w:val="21"/>
                <w:highlight w:val="none"/>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3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走廊</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6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1A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iCs/>
                <w:color w:val="auto"/>
                <w:sz w:val="21"/>
                <w:szCs w:val="21"/>
                <w:highlight w:val="none"/>
                <w:u w:val="none"/>
                <w:lang w:val="en-US" w:eastAsia="zh-CN"/>
              </w:rPr>
              <w:t>/</w:t>
            </w:r>
          </w:p>
        </w:tc>
      </w:tr>
      <w:tr w14:paraId="3DC5E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50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三层</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9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大一班</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9B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B9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51BAE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1" w:type="pct"/>
            <w:vMerge w:val="continue"/>
            <w:tcBorders>
              <w:left w:val="single" w:color="000000" w:sz="4" w:space="0"/>
              <w:right w:val="single" w:color="000000" w:sz="4" w:space="0"/>
            </w:tcBorders>
            <w:shd w:val="clear" w:color="auto" w:fill="auto"/>
            <w:noWrap/>
            <w:vAlign w:val="center"/>
          </w:tcPr>
          <w:p w14:paraId="3F0581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F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中一班</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5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D9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718F7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1" w:type="pct"/>
            <w:vMerge w:val="continue"/>
            <w:tcBorders>
              <w:left w:val="single" w:color="000000" w:sz="4" w:space="0"/>
              <w:right w:val="single" w:color="000000" w:sz="4" w:space="0"/>
            </w:tcBorders>
            <w:shd w:val="clear" w:color="auto" w:fill="auto"/>
            <w:noWrap/>
            <w:vAlign w:val="center"/>
          </w:tcPr>
          <w:p w14:paraId="5F03CA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9C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中二班</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81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D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52EA7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F8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i w:val="0"/>
                <w:iCs w:val="0"/>
                <w:color w:val="auto"/>
                <w:sz w:val="21"/>
                <w:szCs w:val="21"/>
                <w:highlight w:val="none"/>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65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走廊</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D3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CC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iCs/>
                <w:color w:val="auto"/>
                <w:sz w:val="21"/>
                <w:szCs w:val="21"/>
                <w:highlight w:val="none"/>
                <w:u w:val="none"/>
                <w:lang w:val="en-US" w:eastAsia="zh-CN"/>
              </w:rPr>
              <w:t>/</w:t>
            </w:r>
          </w:p>
        </w:tc>
      </w:tr>
      <w:tr w14:paraId="0FC4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4D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合计</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87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i w:val="0"/>
                <w:iCs w:val="0"/>
                <w:color w:val="auto"/>
                <w:sz w:val="21"/>
                <w:szCs w:val="21"/>
                <w:highlight w:val="none"/>
                <w:u w:val="none"/>
                <w:lang w:val="en-US" w:eastAsia="zh-CN"/>
              </w:rPr>
            </w:pPr>
            <w:r>
              <w:rPr>
                <w:rFonts w:hint="eastAsia" w:asciiTheme="minorEastAsia" w:hAnsiTheme="minorEastAsia" w:eastAsiaTheme="minorEastAsia" w:cstheme="minorEastAsia"/>
                <w:b/>
                <w:bCs/>
                <w:i w:val="0"/>
                <w:iCs w:val="0"/>
                <w:color w:val="auto"/>
                <w:sz w:val="21"/>
                <w:szCs w:val="21"/>
                <w:highlight w:val="none"/>
                <w:u w:val="none"/>
                <w:lang w:val="en-US" w:eastAsia="zh-CN"/>
              </w:rPr>
              <w:t>22</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57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i w:val="0"/>
                <w:iCs w:val="0"/>
                <w:color w:val="auto"/>
                <w:sz w:val="21"/>
                <w:szCs w:val="21"/>
                <w:highlight w:val="none"/>
                <w:u w:val="none"/>
                <w:lang w:val="en-US" w:eastAsia="zh-CN"/>
              </w:rPr>
            </w:pPr>
            <w:r>
              <w:rPr>
                <w:rFonts w:hint="eastAsia" w:asciiTheme="minorEastAsia" w:hAnsiTheme="minorEastAsia" w:eastAsiaTheme="minorEastAsia" w:cstheme="minorEastAsia"/>
                <w:b/>
                <w:bCs/>
                <w:i w:val="0"/>
                <w:iCs w:val="0"/>
                <w:color w:val="auto"/>
                <w:sz w:val="21"/>
                <w:szCs w:val="21"/>
                <w:highlight w:val="none"/>
                <w:u w:val="none"/>
                <w:lang w:val="en-US" w:eastAsia="zh-CN"/>
              </w:rPr>
              <w:t>14</w:t>
            </w:r>
          </w:p>
        </w:tc>
      </w:tr>
    </w:tbl>
    <w:p w14:paraId="38744D79">
      <w:pPr>
        <w:pageBreakBefore w:val="0"/>
        <w:numPr>
          <w:ilvl w:val="0"/>
          <w:numId w:val="0"/>
        </w:numPr>
        <w:kinsoku/>
        <w:wordWrap/>
        <w:overflowPunct/>
        <w:topLinePunct w:val="0"/>
        <w:autoSpaceDE/>
        <w:autoSpaceDN/>
        <w:bidi w:val="0"/>
        <w:adjustRightInd/>
        <w:spacing w:line="288" w:lineRule="auto"/>
        <w:ind w:leftChars="20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拓扑示意图</w:t>
      </w:r>
      <w:r>
        <w:rPr>
          <w:rFonts w:hint="eastAsia" w:asciiTheme="minorEastAsia" w:hAnsiTheme="minorEastAsia" w:eastAsiaTheme="minorEastAsia" w:cstheme="minorEastAsia"/>
          <w:color w:val="auto"/>
          <w:sz w:val="21"/>
          <w:szCs w:val="21"/>
          <w:highlight w:val="none"/>
          <w:lang w:eastAsia="zh-CN"/>
        </w:rPr>
        <w:t>：</w:t>
      </w:r>
    </w:p>
    <w:p w14:paraId="0D8701FB">
      <w:pPr>
        <w:pageBreakBefore w:val="0"/>
        <w:numPr>
          <w:ilvl w:val="0"/>
          <w:numId w:val="0"/>
        </w:numPr>
        <w:kinsoku/>
        <w:wordWrap/>
        <w:overflowPunct/>
        <w:topLinePunct w:val="0"/>
        <w:autoSpaceDE/>
        <w:autoSpaceDN/>
        <w:bidi w:val="0"/>
        <w:adjustRightInd/>
        <w:spacing w:line="288" w:lineRule="auto"/>
        <w:ind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val="en-US" w:eastAsia="zh-CN" w:bidi="ar-SA"/>
        </w:rPr>
        <w:drawing>
          <wp:inline distT="0" distB="0" distL="114300" distR="114300">
            <wp:extent cx="6062345" cy="273621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6062345" cy="2736215"/>
                    </a:xfrm>
                    <a:prstGeom prst="rect">
                      <a:avLst/>
                    </a:prstGeom>
                    <a:noFill/>
                    <a:ln>
                      <a:noFill/>
                    </a:ln>
                  </pic:spPr>
                </pic:pic>
              </a:graphicData>
            </a:graphic>
          </wp:inline>
        </w:drawing>
      </w:r>
    </w:p>
    <w:p w14:paraId="62B81AF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2.2.7 新城实验第二幼儿园：</w:t>
      </w:r>
    </w:p>
    <w:p w14:paraId="5B9EF8E6">
      <w:pPr>
        <w:pageBreakBefore w:val="0"/>
        <w:numPr>
          <w:ilvl w:val="0"/>
          <w:numId w:val="0"/>
        </w:numPr>
        <w:kinsoku/>
        <w:wordWrap/>
        <w:overflowPunct/>
        <w:topLinePunct w:val="0"/>
        <w:autoSpaceDE/>
        <w:autoSpaceDN/>
        <w:bidi w:val="0"/>
        <w:adjustRightInd/>
        <w:spacing w:line="288" w:lineRule="auto"/>
        <w:ind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本项目要求对已经损坏的监控硬盘进行更换扩容</w:t>
      </w:r>
      <w:r>
        <w:rPr>
          <w:rFonts w:hint="eastAsia" w:asciiTheme="minorEastAsia" w:hAnsiTheme="minorEastAsia" w:eastAsiaTheme="minorEastAsia" w:cstheme="minorEastAsia"/>
          <w:color w:val="auto"/>
          <w:sz w:val="21"/>
          <w:szCs w:val="21"/>
          <w:highlight w:val="none"/>
          <w:lang w:eastAsia="zh-CN"/>
        </w:rPr>
        <w:t>（校园两台监控硬盘录像机型号是海康威视DS-9632N-116和海康威视DS-8616N-K8）</w:t>
      </w:r>
      <w:r>
        <w:rPr>
          <w:rFonts w:hint="eastAsia" w:asciiTheme="minorEastAsia" w:hAnsiTheme="minorEastAsia" w:eastAsiaTheme="minorEastAsia" w:cstheme="minorEastAsia"/>
          <w:color w:val="auto"/>
          <w:sz w:val="21"/>
          <w:szCs w:val="21"/>
          <w:highlight w:val="none"/>
        </w:rPr>
        <w:t>，保证学校的所有的监控点位回放时长都可以达到90天以上</w:t>
      </w:r>
      <w:r>
        <w:rPr>
          <w:rFonts w:hint="eastAsia" w:asciiTheme="minorEastAsia" w:hAnsiTheme="minorEastAsia" w:eastAsiaTheme="minorEastAsia" w:cstheme="minorEastAsia"/>
          <w:color w:val="auto"/>
          <w:sz w:val="21"/>
          <w:szCs w:val="21"/>
          <w:highlight w:val="none"/>
          <w:lang w:eastAsia="zh-CN"/>
        </w:rPr>
        <w:t>；</w:t>
      </w:r>
    </w:p>
    <w:p w14:paraId="4226599B">
      <w:pPr>
        <w:pageBreakBefore w:val="0"/>
        <w:kinsoku/>
        <w:wordWrap/>
        <w:overflowPunct/>
        <w:topLinePunct w:val="0"/>
        <w:autoSpaceDE/>
        <w:autoSpaceDN/>
        <w:bidi w:val="0"/>
        <w:adjustRightInd w:val="0"/>
        <w:snapToGrid w:val="0"/>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要求</w:t>
      </w:r>
      <w:r>
        <w:rPr>
          <w:rFonts w:hint="eastAsia" w:asciiTheme="minorEastAsia" w:hAnsiTheme="minorEastAsia" w:eastAsiaTheme="minorEastAsia" w:cstheme="minorEastAsia"/>
          <w:color w:val="auto"/>
          <w:sz w:val="21"/>
          <w:szCs w:val="21"/>
          <w:highlight w:val="none"/>
          <w:lang w:eastAsia="zh-CN"/>
        </w:rPr>
        <w:t>根据采购设备</w:t>
      </w:r>
      <w:r>
        <w:rPr>
          <w:rFonts w:hint="eastAsia" w:asciiTheme="minorEastAsia" w:hAnsiTheme="minorEastAsia" w:eastAsiaTheme="minorEastAsia" w:cstheme="minorEastAsia"/>
          <w:color w:val="auto"/>
          <w:sz w:val="21"/>
          <w:szCs w:val="21"/>
          <w:highlight w:val="none"/>
        </w:rPr>
        <w:t>对幼儿园三层广播线路进行</w:t>
      </w:r>
      <w:r>
        <w:rPr>
          <w:rFonts w:hint="eastAsia" w:asciiTheme="minorEastAsia" w:hAnsiTheme="minorEastAsia" w:eastAsiaTheme="minorEastAsia" w:cstheme="minorEastAsia"/>
          <w:color w:val="auto"/>
          <w:sz w:val="21"/>
          <w:szCs w:val="21"/>
          <w:highlight w:val="none"/>
          <w:lang w:eastAsia="zh-CN"/>
        </w:rPr>
        <w:t>整</w:t>
      </w:r>
      <w:r>
        <w:rPr>
          <w:rFonts w:hint="eastAsia" w:asciiTheme="minorEastAsia" w:hAnsiTheme="minorEastAsia" w:eastAsiaTheme="minorEastAsia" w:cstheme="minorEastAsia"/>
          <w:color w:val="auto"/>
          <w:sz w:val="21"/>
          <w:szCs w:val="21"/>
          <w:highlight w:val="none"/>
        </w:rPr>
        <w:t>修，保证每个教室的广播都能正常播放声音</w:t>
      </w:r>
      <w:r>
        <w:rPr>
          <w:rFonts w:hint="eastAsia" w:asciiTheme="minorEastAsia" w:hAnsiTheme="minorEastAsia" w:eastAsiaTheme="minorEastAsia" w:cstheme="minorEastAsia"/>
          <w:color w:val="auto"/>
          <w:sz w:val="21"/>
          <w:szCs w:val="21"/>
          <w:highlight w:val="none"/>
          <w:lang w:eastAsia="zh-CN"/>
        </w:rPr>
        <w:t>。</w:t>
      </w:r>
    </w:p>
    <w:p w14:paraId="3A457036">
      <w:pPr>
        <w:pageBreakBefore w:val="0"/>
        <w:kinsoku/>
        <w:wordWrap/>
        <w:overflowPunct/>
        <w:topLinePunct w:val="0"/>
        <w:bidi w:val="0"/>
        <w:adjustRightInd w:val="0"/>
        <w:snapToGrid w:val="0"/>
        <w:spacing w:line="288" w:lineRule="auto"/>
        <w:rPr>
          <w:rFonts w:hint="eastAsia" w:ascii="宋体" w:hAnsi="宋体" w:eastAsia="宋体" w:cs="宋体"/>
          <w:b/>
          <w:bCs/>
          <w:color w:val="auto"/>
          <w:spacing w:val="-4"/>
          <w:sz w:val="21"/>
          <w:szCs w:val="21"/>
          <w:highlight w:val="none"/>
        </w:rPr>
      </w:pPr>
      <w:r>
        <w:rPr>
          <w:rFonts w:hint="eastAsia" w:ascii="宋体" w:hAnsi="宋体" w:eastAsia="宋体" w:cs="宋体"/>
          <w:b/>
          <w:bCs/>
          <w:color w:val="auto"/>
          <w:spacing w:val="-4"/>
          <w:sz w:val="21"/>
          <w:szCs w:val="21"/>
          <w:highlight w:val="none"/>
        </w:rPr>
        <w:t>3.需满足的质量、安全、技术规格、物理特性等要求：</w:t>
      </w:r>
    </w:p>
    <w:tbl>
      <w:tblPr>
        <w:tblStyle w:val="12"/>
        <w:tblW w:w="9420" w:type="dxa"/>
        <w:tblInd w:w="9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3"/>
        <w:gridCol w:w="1690"/>
        <w:gridCol w:w="5232"/>
        <w:gridCol w:w="836"/>
        <w:gridCol w:w="839"/>
      </w:tblGrid>
      <w:tr w14:paraId="0BC5B6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9420" w:type="dxa"/>
            <w:gridSpan w:val="5"/>
            <w:tcBorders>
              <w:tl2br w:val="nil"/>
              <w:tr2bl w:val="nil"/>
            </w:tcBorders>
            <w:shd w:val="clear" w:color="auto" w:fill="auto"/>
            <w:vAlign w:val="center"/>
          </w:tcPr>
          <w:p w14:paraId="6190D19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bidi="ar-SA"/>
              </w:rPr>
              <w:t>大成实验学校</w:t>
            </w:r>
          </w:p>
        </w:tc>
      </w:tr>
      <w:tr w14:paraId="3622F8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3" w:type="dxa"/>
            <w:tcBorders>
              <w:tl2br w:val="nil"/>
              <w:tr2bl w:val="nil"/>
            </w:tcBorders>
            <w:shd w:val="clear" w:color="auto" w:fill="auto"/>
            <w:vAlign w:val="center"/>
          </w:tcPr>
          <w:p w14:paraId="3AE6A21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序号</w:t>
            </w:r>
          </w:p>
        </w:tc>
        <w:tc>
          <w:tcPr>
            <w:tcW w:w="1690" w:type="dxa"/>
            <w:tcBorders>
              <w:tl2br w:val="nil"/>
              <w:tr2bl w:val="nil"/>
            </w:tcBorders>
            <w:shd w:val="clear" w:color="auto" w:fill="auto"/>
            <w:vAlign w:val="center"/>
          </w:tcPr>
          <w:p w14:paraId="3CE40B4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设备名称</w:t>
            </w:r>
          </w:p>
        </w:tc>
        <w:tc>
          <w:tcPr>
            <w:tcW w:w="5232" w:type="dxa"/>
            <w:tcBorders>
              <w:tl2br w:val="nil"/>
              <w:tr2bl w:val="nil"/>
            </w:tcBorders>
            <w:shd w:val="clear" w:color="auto" w:fill="auto"/>
            <w:vAlign w:val="center"/>
          </w:tcPr>
          <w:p w14:paraId="0D86754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采购要求</w:t>
            </w:r>
          </w:p>
        </w:tc>
        <w:tc>
          <w:tcPr>
            <w:tcW w:w="836" w:type="dxa"/>
            <w:tcBorders>
              <w:tl2br w:val="nil"/>
              <w:tr2bl w:val="nil"/>
            </w:tcBorders>
            <w:shd w:val="clear" w:color="auto" w:fill="auto"/>
            <w:noWrap/>
            <w:vAlign w:val="center"/>
          </w:tcPr>
          <w:p w14:paraId="7A4DA7F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数量</w:t>
            </w:r>
          </w:p>
        </w:tc>
        <w:tc>
          <w:tcPr>
            <w:tcW w:w="0" w:type="auto"/>
            <w:tcBorders>
              <w:tl2br w:val="nil"/>
              <w:tr2bl w:val="nil"/>
            </w:tcBorders>
            <w:shd w:val="clear" w:color="auto" w:fill="auto"/>
            <w:noWrap/>
            <w:vAlign w:val="center"/>
          </w:tcPr>
          <w:p w14:paraId="1030AB2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单位</w:t>
            </w:r>
          </w:p>
        </w:tc>
      </w:tr>
      <w:tr w14:paraId="5C99AC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3" w:type="dxa"/>
            <w:tcBorders>
              <w:tl2br w:val="nil"/>
              <w:tr2bl w:val="nil"/>
            </w:tcBorders>
            <w:shd w:val="clear" w:color="auto" w:fill="auto"/>
            <w:vAlign w:val="center"/>
          </w:tcPr>
          <w:p w14:paraId="47FDA48D">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w:t>
            </w:r>
          </w:p>
        </w:tc>
        <w:tc>
          <w:tcPr>
            <w:tcW w:w="1690" w:type="dxa"/>
            <w:tcBorders>
              <w:tl2br w:val="nil"/>
              <w:tr2bl w:val="nil"/>
            </w:tcBorders>
            <w:shd w:val="clear" w:color="auto" w:fill="auto"/>
            <w:vAlign w:val="center"/>
          </w:tcPr>
          <w:p w14:paraId="692CAF2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IP网络广播终端</w:t>
            </w:r>
          </w:p>
        </w:tc>
        <w:tc>
          <w:tcPr>
            <w:tcW w:w="5232" w:type="dxa"/>
            <w:tcBorders>
              <w:tl2br w:val="nil"/>
              <w:tr2bl w:val="nil"/>
            </w:tcBorders>
            <w:shd w:val="clear" w:color="auto" w:fill="auto"/>
            <w:vAlign w:val="center"/>
          </w:tcPr>
          <w:p w14:paraId="0AE2F79E">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1.标准1U高度机柜式；支持网络音频流的同步接收及音频解压。</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2.支持硬件音频解码，具有自动纠错功能。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3.支持MP3数据流传输，高保真语音传输。</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4.可任意配置IP地址。可以进行本地话筒和线路扩音，功放电源智能控制，功率大小与外接负载多少有关。</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5.音量可以在软件端任意设置，也可以在功放上调节。</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6.带有24V信号和短路信号报警接口为紧急报警提供支持。</w:t>
            </w:r>
          </w:p>
        </w:tc>
        <w:tc>
          <w:tcPr>
            <w:tcW w:w="836" w:type="dxa"/>
            <w:tcBorders>
              <w:tl2br w:val="nil"/>
              <w:tr2bl w:val="nil"/>
            </w:tcBorders>
            <w:shd w:val="clear" w:color="auto" w:fill="auto"/>
            <w:noWrap/>
            <w:vAlign w:val="center"/>
          </w:tcPr>
          <w:p w14:paraId="1898A15A">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w:t>
            </w:r>
          </w:p>
        </w:tc>
        <w:tc>
          <w:tcPr>
            <w:tcW w:w="0" w:type="auto"/>
            <w:tcBorders>
              <w:tl2br w:val="nil"/>
              <w:tr2bl w:val="nil"/>
            </w:tcBorders>
            <w:shd w:val="clear" w:color="auto" w:fill="auto"/>
            <w:noWrap/>
            <w:vAlign w:val="center"/>
          </w:tcPr>
          <w:p w14:paraId="27D894E0">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台</w:t>
            </w:r>
          </w:p>
        </w:tc>
      </w:tr>
      <w:tr w14:paraId="48F7E0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3" w:type="dxa"/>
            <w:tcBorders>
              <w:tl2br w:val="nil"/>
              <w:tr2bl w:val="nil"/>
            </w:tcBorders>
            <w:shd w:val="clear" w:color="auto" w:fill="auto"/>
            <w:vAlign w:val="center"/>
          </w:tcPr>
          <w:p w14:paraId="7B62857A">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w:t>
            </w:r>
          </w:p>
        </w:tc>
        <w:tc>
          <w:tcPr>
            <w:tcW w:w="1690" w:type="dxa"/>
            <w:tcBorders>
              <w:tl2br w:val="nil"/>
              <w:tr2bl w:val="nil"/>
            </w:tcBorders>
            <w:shd w:val="clear" w:color="auto" w:fill="auto"/>
            <w:vAlign w:val="center"/>
          </w:tcPr>
          <w:p w14:paraId="5BD455B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教室、走廊音箱</w:t>
            </w:r>
          </w:p>
        </w:tc>
        <w:tc>
          <w:tcPr>
            <w:tcW w:w="5232" w:type="dxa"/>
            <w:tcBorders>
              <w:tl2br w:val="nil"/>
              <w:tr2bl w:val="nil"/>
            </w:tcBorders>
            <w:shd w:val="clear" w:color="auto" w:fill="auto"/>
            <w:vAlign w:val="center"/>
          </w:tcPr>
          <w:p w14:paraId="781A7A14">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1.电压：110V。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2.频率响应：110Hz-16KHz。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3.灵敏度：88dB。</w:t>
            </w:r>
          </w:p>
          <w:p w14:paraId="75FBF758">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4.功率：≥10W。</w:t>
            </w:r>
          </w:p>
          <w:p w14:paraId="092192C9">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5.木质箱体。</w:t>
            </w:r>
          </w:p>
        </w:tc>
        <w:tc>
          <w:tcPr>
            <w:tcW w:w="836" w:type="dxa"/>
            <w:tcBorders>
              <w:tl2br w:val="nil"/>
              <w:tr2bl w:val="nil"/>
            </w:tcBorders>
            <w:shd w:val="clear" w:color="auto" w:fill="auto"/>
            <w:noWrap/>
            <w:vAlign w:val="center"/>
          </w:tcPr>
          <w:p w14:paraId="7874E796">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25</w:t>
            </w:r>
          </w:p>
        </w:tc>
        <w:tc>
          <w:tcPr>
            <w:tcW w:w="0" w:type="auto"/>
            <w:tcBorders>
              <w:tl2br w:val="nil"/>
              <w:tr2bl w:val="nil"/>
            </w:tcBorders>
            <w:shd w:val="clear" w:color="auto" w:fill="auto"/>
            <w:noWrap/>
            <w:vAlign w:val="center"/>
          </w:tcPr>
          <w:p w14:paraId="78821269">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只</w:t>
            </w:r>
          </w:p>
        </w:tc>
      </w:tr>
      <w:tr w14:paraId="5B2AD8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3" w:type="dxa"/>
            <w:tcBorders>
              <w:tl2br w:val="nil"/>
              <w:tr2bl w:val="nil"/>
            </w:tcBorders>
            <w:shd w:val="clear" w:color="auto" w:fill="auto"/>
            <w:vAlign w:val="center"/>
          </w:tcPr>
          <w:p w14:paraId="79E87BE7">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3</w:t>
            </w:r>
          </w:p>
        </w:tc>
        <w:tc>
          <w:tcPr>
            <w:tcW w:w="1690" w:type="dxa"/>
            <w:tcBorders>
              <w:tl2br w:val="nil"/>
              <w:tr2bl w:val="nil"/>
            </w:tcBorders>
            <w:shd w:val="clear" w:color="auto" w:fill="auto"/>
            <w:vAlign w:val="center"/>
          </w:tcPr>
          <w:p w14:paraId="33FEB55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广播功放</w:t>
            </w:r>
          </w:p>
        </w:tc>
        <w:tc>
          <w:tcPr>
            <w:tcW w:w="5232" w:type="dxa"/>
            <w:tcBorders>
              <w:tl2br w:val="nil"/>
              <w:tr2bl w:val="nil"/>
            </w:tcBorders>
            <w:shd w:val="clear" w:color="auto" w:fill="auto"/>
            <w:vAlign w:val="center"/>
          </w:tcPr>
          <w:p w14:paraId="1B23D793">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1、具有定阻和定压两种输出方式。定压输出设有70V和100V。</w:t>
            </w:r>
          </w:p>
          <w:p w14:paraId="3BC00EC2">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2、具有RS485控制接口，可通过广播管理系统主机监控功放的状态、温度。</w:t>
            </w:r>
          </w:p>
          <w:p w14:paraId="4F66756D">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3、带短路输入、输出端口，用于功放之间串联驳接，时序开关功放电源。</w:t>
            </w:r>
          </w:p>
          <w:p w14:paraId="71D3F38E">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4、输出方式：70V/100V /4～16Ω。</w:t>
            </w:r>
          </w:p>
          <w:p w14:paraId="37CB5CB5">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5、信噪比：≥90dB（定压100V,A计权）。</w:t>
            </w:r>
          </w:p>
          <w:p w14:paraId="2A7A8A1E">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6、输出功率：≥800W。</w:t>
            </w:r>
          </w:p>
          <w:p w14:paraId="02E38882">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7、频率响应：100Hz－18KHz(+1/-4dB)。</w:t>
            </w:r>
          </w:p>
          <w:p w14:paraId="5E1E29C6">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8、总谐波失真：100Hz－18KHz≤0.8%，1KHz≤0.2%。</w:t>
            </w:r>
          </w:p>
          <w:p w14:paraId="389CAC58">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9、输出功率：100V/250W。</w:t>
            </w:r>
          </w:p>
          <w:p w14:paraId="7B9FF3EF">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10、电源范围：220V/50Hz±10%。</w:t>
            </w:r>
          </w:p>
        </w:tc>
        <w:tc>
          <w:tcPr>
            <w:tcW w:w="836" w:type="dxa"/>
            <w:tcBorders>
              <w:tl2br w:val="nil"/>
              <w:tr2bl w:val="nil"/>
            </w:tcBorders>
            <w:shd w:val="clear" w:color="auto" w:fill="auto"/>
            <w:noWrap/>
            <w:vAlign w:val="center"/>
          </w:tcPr>
          <w:p w14:paraId="488C3F13">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w:t>
            </w:r>
          </w:p>
        </w:tc>
        <w:tc>
          <w:tcPr>
            <w:tcW w:w="0" w:type="auto"/>
            <w:tcBorders>
              <w:tl2br w:val="nil"/>
              <w:tr2bl w:val="nil"/>
            </w:tcBorders>
            <w:shd w:val="clear" w:color="auto" w:fill="auto"/>
            <w:noWrap/>
            <w:vAlign w:val="center"/>
          </w:tcPr>
          <w:p w14:paraId="303A4D64">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台</w:t>
            </w:r>
          </w:p>
        </w:tc>
      </w:tr>
      <w:tr w14:paraId="77444D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3" w:type="dxa"/>
            <w:tcBorders>
              <w:tl2br w:val="nil"/>
              <w:tr2bl w:val="nil"/>
            </w:tcBorders>
            <w:shd w:val="clear" w:color="auto" w:fill="auto"/>
            <w:vAlign w:val="center"/>
          </w:tcPr>
          <w:p w14:paraId="509F6DC2">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690" w:type="dxa"/>
            <w:tcBorders>
              <w:tl2br w:val="nil"/>
              <w:tr2bl w:val="nil"/>
            </w:tcBorders>
            <w:shd w:val="clear" w:color="auto" w:fill="auto"/>
            <w:vAlign w:val="center"/>
          </w:tcPr>
          <w:p w14:paraId="7A12441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机柜</w:t>
            </w:r>
          </w:p>
        </w:tc>
        <w:tc>
          <w:tcPr>
            <w:tcW w:w="5232" w:type="dxa"/>
            <w:tcBorders>
              <w:tl2br w:val="nil"/>
              <w:tr2bl w:val="nil"/>
            </w:tcBorders>
            <w:shd w:val="clear" w:color="auto" w:fill="auto"/>
            <w:vAlign w:val="center"/>
          </w:tcPr>
          <w:p w14:paraId="1E0D4BA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19英寸标准机柜,优质冷扎钢板制作，钢化玻璃门，6U。</w:t>
            </w:r>
          </w:p>
        </w:tc>
        <w:tc>
          <w:tcPr>
            <w:tcW w:w="836" w:type="dxa"/>
            <w:tcBorders>
              <w:tl2br w:val="nil"/>
              <w:tr2bl w:val="nil"/>
            </w:tcBorders>
            <w:shd w:val="clear" w:color="auto" w:fill="auto"/>
            <w:noWrap/>
            <w:vAlign w:val="center"/>
          </w:tcPr>
          <w:p w14:paraId="13B5D926">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39" w:type="dxa"/>
            <w:tcBorders>
              <w:tl2br w:val="nil"/>
              <w:tr2bl w:val="nil"/>
            </w:tcBorders>
            <w:shd w:val="clear" w:color="auto" w:fill="auto"/>
            <w:noWrap/>
            <w:vAlign w:val="center"/>
          </w:tcPr>
          <w:p w14:paraId="366A686E">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只</w:t>
            </w:r>
          </w:p>
        </w:tc>
      </w:tr>
      <w:tr w14:paraId="3F35B5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3" w:type="dxa"/>
            <w:tcBorders>
              <w:tl2br w:val="nil"/>
              <w:tr2bl w:val="nil"/>
            </w:tcBorders>
            <w:shd w:val="clear" w:color="auto" w:fill="auto"/>
            <w:vAlign w:val="center"/>
          </w:tcPr>
          <w:p w14:paraId="352A1C8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1690" w:type="dxa"/>
            <w:tcBorders>
              <w:tl2br w:val="nil"/>
              <w:tr2bl w:val="nil"/>
            </w:tcBorders>
            <w:shd w:val="clear" w:color="auto" w:fill="auto"/>
            <w:vAlign w:val="center"/>
          </w:tcPr>
          <w:p w14:paraId="494C7E9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光纤盒</w:t>
            </w:r>
          </w:p>
        </w:tc>
        <w:tc>
          <w:tcPr>
            <w:tcW w:w="5232" w:type="dxa"/>
            <w:tcBorders>
              <w:tl2br w:val="nil"/>
              <w:tr2bl w:val="nil"/>
            </w:tcBorders>
            <w:shd w:val="clear" w:color="auto" w:fill="auto"/>
            <w:vAlign w:val="center"/>
          </w:tcPr>
          <w:p w14:paraId="4B84D7D2">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机架式光纤铁盒及配套的耦合件。</w:t>
            </w:r>
          </w:p>
        </w:tc>
        <w:tc>
          <w:tcPr>
            <w:tcW w:w="836" w:type="dxa"/>
            <w:tcBorders>
              <w:tl2br w:val="nil"/>
              <w:tr2bl w:val="nil"/>
            </w:tcBorders>
            <w:shd w:val="clear" w:color="auto" w:fill="auto"/>
            <w:noWrap/>
            <w:vAlign w:val="center"/>
          </w:tcPr>
          <w:p w14:paraId="29BC350B">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w:t>
            </w:r>
          </w:p>
        </w:tc>
        <w:tc>
          <w:tcPr>
            <w:tcW w:w="0" w:type="auto"/>
            <w:tcBorders>
              <w:tl2br w:val="nil"/>
              <w:tr2bl w:val="nil"/>
            </w:tcBorders>
            <w:shd w:val="clear" w:color="auto" w:fill="auto"/>
            <w:noWrap/>
            <w:vAlign w:val="center"/>
          </w:tcPr>
          <w:p w14:paraId="1A448A3C">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套</w:t>
            </w:r>
          </w:p>
        </w:tc>
      </w:tr>
      <w:tr w14:paraId="7C6BE1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9420" w:type="dxa"/>
            <w:gridSpan w:val="5"/>
            <w:tcBorders>
              <w:tl2br w:val="nil"/>
              <w:tr2bl w:val="nil"/>
            </w:tcBorders>
            <w:shd w:val="clear" w:color="auto" w:fill="auto"/>
            <w:vAlign w:val="center"/>
          </w:tcPr>
          <w:p w14:paraId="7239F88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bidi="ar-SA"/>
              </w:rPr>
              <w:t>朝晖中学光明巷校区</w:t>
            </w:r>
          </w:p>
        </w:tc>
      </w:tr>
      <w:tr w14:paraId="667121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3" w:type="dxa"/>
            <w:tcBorders>
              <w:tl2br w:val="nil"/>
              <w:tr2bl w:val="nil"/>
            </w:tcBorders>
            <w:shd w:val="clear" w:color="auto" w:fill="auto"/>
            <w:vAlign w:val="center"/>
          </w:tcPr>
          <w:p w14:paraId="12F9D1E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序号</w:t>
            </w:r>
          </w:p>
        </w:tc>
        <w:tc>
          <w:tcPr>
            <w:tcW w:w="1690" w:type="dxa"/>
            <w:tcBorders>
              <w:tl2br w:val="nil"/>
              <w:tr2bl w:val="nil"/>
            </w:tcBorders>
            <w:shd w:val="clear" w:color="auto" w:fill="auto"/>
            <w:vAlign w:val="center"/>
          </w:tcPr>
          <w:p w14:paraId="79DD1E5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设备名称</w:t>
            </w:r>
          </w:p>
        </w:tc>
        <w:tc>
          <w:tcPr>
            <w:tcW w:w="5232" w:type="dxa"/>
            <w:tcBorders>
              <w:tl2br w:val="nil"/>
              <w:tr2bl w:val="nil"/>
            </w:tcBorders>
            <w:shd w:val="clear" w:color="auto" w:fill="auto"/>
            <w:vAlign w:val="center"/>
          </w:tcPr>
          <w:p w14:paraId="304FCB1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采购要求</w:t>
            </w:r>
          </w:p>
        </w:tc>
        <w:tc>
          <w:tcPr>
            <w:tcW w:w="836" w:type="dxa"/>
            <w:tcBorders>
              <w:tl2br w:val="nil"/>
              <w:tr2bl w:val="nil"/>
            </w:tcBorders>
            <w:shd w:val="clear" w:color="auto" w:fill="auto"/>
            <w:noWrap/>
            <w:vAlign w:val="center"/>
          </w:tcPr>
          <w:p w14:paraId="4D5665B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数量</w:t>
            </w:r>
          </w:p>
        </w:tc>
        <w:tc>
          <w:tcPr>
            <w:tcW w:w="839" w:type="dxa"/>
            <w:tcBorders>
              <w:tl2br w:val="nil"/>
              <w:tr2bl w:val="nil"/>
            </w:tcBorders>
            <w:shd w:val="clear" w:color="auto" w:fill="auto"/>
            <w:noWrap/>
            <w:vAlign w:val="center"/>
          </w:tcPr>
          <w:p w14:paraId="59AA6ED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单位</w:t>
            </w:r>
          </w:p>
        </w:tc>
      </w:tr>
      <w:tr w14:paraId="17CF66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3" w:type="dxa"/>
            <w:tcBorders>
              <w:tl2br w:val="nil"/>
              <w:tr2bl w:val="nil"/>
            </w:tcBorders>
            <w:shd w:val="clear" w:color="auto" w:fill="auto"/>
            <w:vAlign w:val="center"/>
          </w:tcPr>
          <w:p w14:paraId="6CDDE29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1</w:t>
            </w:r>
          </w:p>
        </w:tc>
        <w:tc>
          <w:tcPr>
            <w:tcW w:w="1690" w:type="dxa"/>
            <w:tcBorders>
              <w:tl2br w:val="nil"/>
              <w:tr2bl w:val="nil"/>
            </w:tcBorders>
            <w:shd w:val="clear" w:color="auto" w:fill="auto"/>
            <w:vAlign w:val="center"/>
          </w:tcPr>
          <w:p w14:paraId="4EFA855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智能广播控制主机（核心产品）</w:t>
            </w:r>
          </w:p>
        </w:tc>
        <w:tc>
          <w:tcPr>
            <w:tcW w:w="5232" w:type="dxa"/>
            <w:tcBorders>
              <w:tl2br w:val="nil"/>
              <w:tr2bl w:val="nil"/>
            </w:tcBorders>
            <w:shd w:val="clear" w:color="auto" w:fill="auto"/>
            <w:vAlign w:val="center"/>
          </w:tcPr>
          <w:p w14:paraId="4268B07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1.内存容量：≥16GB。</w:t>
            </w:r>
          </w:p>
          <w:p w14:paraId="66E049EC">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2.硬盘容量：≥256G固态。</w:t>
            </w:r>
          </w:p>
          <w:p w14:paraId="5C5CC0C3">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3.带显示屏。</w:t>
            </w:r>
          </w:p>
          <w:p w14:paraId="3301BFE2">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4.功能要求：</w:t>
            </w:r>
          </w:p>
          <w:p w14:paraId="3C4189CF">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4.1 具有全自动运行，自动管理设备电源与分区；</w:t>
            </w:r>
          </w:p>
          <w:p w14:paraId="51B1F769">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4.2 支持自动调整音乐文件音量；</w:t>
            </w:r>
          </w:p>
          <w:p w14:paraId="7A1C0278">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4.3 支持按预置作息表进行自动播放；</w:t>
            </w:r>
          </w:p>
          <w:p w14:paraId="4B2E62A0">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4.4 支持≥8路分区和≥5路智能电源自动管理。</w:t>
            </w:r>
          </w:p>
        </w:tc>
        <w:tc>
          <w:tcPr>
            <w:tcW w:w="836" w:type="dxa"/>
            <w:tcBorders>
              <w:tl2br w:val="nil"/>
              <w:tr2bl w:val="nil"/>
            </w:tcBorders>
            <w:shd w:val="clear" w:color="auto" w:fill="auto"/>
            <w:noWrap/>
            <w:vAlign w:val="center"/>
          </w:tcPr>
          <w:p w14:paraId="4B348A3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1</w:t>
            </w:r>
          </w:p>
        </w:tc>
        <w:tc>
          <w:tcPr>
            <w:tcW w:w="839" w:type="dxa"/>
            <w:tcBorders>
              <w:tl2br w:val="nil"/>
              <w:tr2bl w:val="nil"/>
            </w:tcBorders>
            <w:shd w:val="clear" w:color="auto" w:fill="auto"/>
            <w:noWrap/>
            <w:vAlign w:val="center"/>
          </w:tcPr>
          <w:p w14:paraId="44C46D3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台</w:t>
            </w:r>
          </w:p>
        </w:tc>
      </w:tr>
      <w:tr w14:paraId="3780B3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 w:hRule="atLeast"/>
        </w:trPr>
        <w:tc>
          <w:tcPr>
            <w:tcW w:w="0" w:type="auto"/>
            <w:tcBorders>
              <w:tl2br w:val="nil"/>
              <w:tr2bl w:val="nil"/>
            </w:tcBorders>
            <w:shd w:val="clear" w:color="auto" w:fill="auto"/>
            <w:noWrap/>
            <w:vAlign w:val="center"/>
          </w:tcPr>
          <w:p w14:paraId="76B2469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1690" w:type="dxa"/>
            <w:tcBorders>
              <w:tl2br w:val="nil"/>
              <w:tr2bl w:val="nil"/>
            </w:tcBorders>
            <w:shd w:val="clear" w:color="auto" w:fill="auto"/>
            <w:vAlign w:val="center"/>
          </w:tcPr>
          <w:p w14:paraId="304B2F4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分区矩阵器</w:t>
            </w:r>
          </w:p>
        </w:tc>
        <w:tc>
          <w:tcPr>
            <w:tcW w:w="5232" w:type="dxa"/>
            <w:tcBorders>
              <w:tl2br w:val="nil"/>
              <w:tr2bl w:val="nil"/>
            </w:tcBorders>
            <w:shd w:val="clear" w:color="auto" w:fill="auto"/>
            <w:vAlign w:val="center"/>
          </w:tcPr>
          <w:p w14:paraId="4F618C96">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10路输出N（≦10）输入任意选择、灵活组合。</w:t>
            </w:r>
          </w:p>
        </w:tc>
        <w:tc>
          <w:tcPr>
            <w:tcW w:w="836" w:type="dxa"/>
            <w:tcBorders>
              <w:tl2br w:val="nil"/>
              <w:tr2bl w:val="nil"/>
            </w:tcBorders>
            <w:shd w:val="clear" w:color="auto" w:fill="auto"/>
            <w:noWrap/>
            <w:vAlign w:val="center"/>
          </w:tcPr>
          <w:p w14:paraId="6C5B2F8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c>
          <w:tcPr>
            <w:tcW w:w="839" w:type="dxa"/>
            <w:tcBorders>
              <w:tl2br w:val="nil"/>
              <w:tr2bl w:val="nil"/>
            </w:tcBorders>
            <w:shd w:val="clear" w:color="auto" w:fill="auto"/>
            <w:vAlign w:val="center"/>
          </w:tcPr>
          <w:p w14:paraId="013A5FF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台</w:t>
            </w:r>
          </w:p>
        </w:tc>
      </w:tr>
      <w:tr w14:paraId="3608CC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0" w:hRule="atLeast"/>
        </w:trPr>
        <w:tc>
          <w:tcPr>
            <w:tcW w:w="823" w:type="dxa"/>
            <w:tcBorders>
              <w:tl2br w:val="nil"/>
              <w:tr2bl w:val="nil"/>
            </w:tcBorders>
            <w:shd w:val="clear" w:color="auto" w:fill="auto"/>
            <w:vAlign w:val="center"/>
          </w:tcPr>
          <w:p w14:paraId="5F8202E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3</w:t>
            </w:r>
          </w:p>
        </w:tc>
        <w:tc>
          <w:tcPr>
            <w:tcW w:w="0" w:type="auto"/>
            <w:tcBorders>
              <w:tl2br w:val="nil"/>
              <w:tr2bl w:val="nil"/>
            </w:tcBorders>
            <w:shd w:val="clear" w:color="auto" w:fill="auto"/>
            <w:noWrap/>
            <w:vAlign w:val="center"/>
          </w:tcPr>
          <w:p w14:paraId="19B62B6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调音台</w:t>
            </w:r>
          </w:p>
        </w:tc>
        <w:tc>
          <w:tcPr>
            <w:tcW w:w="5232" w:type="dxa"/>
            <w:tcBorders>
              <w:tl2br w:val="nil"/>
              <w:tr2bl w:val="nil"/>
            </w:tcBorders>
            <w:shd w:val="clear" w:color="auto" w:fill="auto"/>
            <w:vAlign w:val="center"/>
          </w:tcPr>
          <w:p w14:paraId="7CAB5C23">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1.≥12路调音台。</w:t>
            </w:r>
          </w:p>
          <w:p w14:paraId="54FAAF7D">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2.≥4个话筒输入，≥3路立体声输入，每通道二段频率均衡器，单声道有INSERT信号插入点。</w:t>
            </w:r>
          </w:p>
          <w:p w14:paraId="302B2328">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3.内置≥16种数码混响效果器，≥7段图示均衡器。</w:t>
            </w:r>
          </w:p>
          <w:p w14:paraId="01F079B8">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4.单路监听PFL功能,每通道哑音键开关。</w:t>
            </w:r>
          </w:p>
        </w:tc>
        <w:tc>
          <w:tcPr>
            <w:tcW w:w="836" w:type="dxa"/>
            <w:tcBorders>
              <w:tl2br w:val="nil"/>
              <w:tr2bl w:val="nil"/>
            </w:tcBorders>
            <w:shd w:val="clear" w:color="auto" w:fill="auto"/>
            <w:noWrap/>
            <w:vAlign w:val="center"/>
          </w:tcPr>
          <w:p w14:paraId="017A469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839" w:type="dxa"/>
            <w:tcBorders>
              <w:tl2br w:val="nil"/>
              <w:tr2bl w:val="nil"/>
            </w:tcBorders>
            <w:shd w:val="clear" w:color="auto" w:fill="auto"/>
            <w:vAlign w:val="center"/>
          </w:tcPr>
          <w:p w14:paraId="4AF1B71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台</w:t>
            </w:r>
          </w:p>
        </w:tc>
      </w:tr>
      <w:tr w14:paraId="5C0775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3" w:type="dxa"/>
            <w:tcBorders>
              <w:tl2br w:val="nil"/>
              <w:tr2bl w:val="nil"/>
            </w:tcBorders>
            <w:shd w:val="clear" w:color="auto" w:fill="auto"/>
            <w:vAlign w:val="center"/>
          </w:tcPr>
          <w:p w14:paraId="0AA7B17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w:t>
            </w:r>
          </w:p>
        </w:tc>
        <w:tc>
          <w:tcPr>
            <w:tcW w:w="1690" w:type="dxa"/>
            <w:tcBorders>
              <w:tl2br w:val="nil"/>
              <w:tr2bl w:val="nil"/>
            </w:tcBorders>
            <w:shd w:val="clear" w:color="auto" w:fill="auto"/>
            <w:vAlign w:val="center"/>
          </w:tcPr>
          <w:p w14:paraId="5E4F2B9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教室、走廊音箱</w:t>
            </w:r>
          </w:p>
        </w:tc>
        <w:tc>
          <w:tcPr>
            <w:tcW w:w="5232" w:type="dxa"/>
            <w:tcBorders>
              <w:tl2br w:val="nil"/>
              <w:tr2bl w:val="nil"/>
            </w:tcBorders>
            <w:shd w:val="clear" w:color="auto" w:fill="auto"/>
            <w:vAlign w:val="center"/>
          </w:tcPr>
          <w:p w14:paraId="1E4937FF">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1.功率：≥10w。</w:t>
            </w:r>
          </w:p>
          <w:p w14:paraId="79F6052E">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2.电压：70/110V。</w:t>
            </w:r>
          </w:p>
          <w:p w14:paraId="6E31A3D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3.灵敏：91dB。</w:t>
            </w:r>
          </w:p>
          <w:p w14:paraId="0167E300">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4.频率：60*20kHz。</w:t>
            </w:r>
          </w:p>
          <w:p w14:paraId="097C33C5">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5.木质箱体。</w:t>
            </w:r>
          </w:p>
        </w:tc>
        <w:tc>
          <w:tcPr>
            <w:tcW w:w="836" w:type="dxa"/>
            <w:tcBorders>
              <w:tl2br w:val="nil"/>
              <w:tr2bl w:val="nil"/>
            </w:tcBorders>
            <w:shd w:val="clear" w:color="auto" w:fill="auto"/>
            <w:vAlign w:val="center"/>
          </w:tcPr>
          <w:p w14:paraId="7CDACBF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43</w:t>
            </w:r>
          </w:p>
        </w:tc>
        <w:tc>
          <w:tcPr>
            <w:tcW w:w="839" w:type="dxa"/>
            <w:tcBorders>
              <w:tl2br w:val="nil"/>
              <w:tr2bl w:val="nil"/>
            </w:tcBorders>
            <w:shd w:val="clear" w:color="auto" w:fill="auto"/>
            <w:vAlign w:val="center"/>
          </w:tcPr>
          <w:p w14:paraId="70CF4E9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只</w:t>
            </w:r>
          </w:p>
        </w:tc>
      </w:tr>
      <w:tr w14:paraId="756452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3" w:type="dxa"/>
            <w:tcBorders>
              <w:tl2br w:val="nil"/>
              <w:tr2bl w:val="nil"/>
            </w:tcBorders>
            <w:shd w:val="clear" w:color="auto" w:fill="auto"/>
            <w:vAlign w:val="center"/>
          </w:tcPr>
          <w:p w14:paraId="252F322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c>
          <w:tcPr>
            <w:tcW w:w="1690" w:type="dxa"/>
            <w:tcBorders>
              <w:tl2br w:val="nil"/>
              <w:tr2bl w:val="nil"/>
            </w:tcBorders>
            <w:shd w:val="clear" w:color="auto" w:fill="auto"/>
            <w:vAlign w:val="center"/>
          </w:tcPr>
          <w:p w14:paraId="1EA3DE2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广播音柱</w:t>
            </w:r>
          </w:p>
        </w:tc>
        <w:tc>
          <w:tcPr>
            <w:tcW w:w="5232" w:type="dxa"/>
            <w:tcBorders>
              <w:tl2br w:val="nil"/>
              <w:tr2bl w:val="nil"/>
            </w:tcBorders>
            <w:shd w:val="clear" w:color="auto" w:fill="auto"/>
            <w:vAlign w:val="center"/>
          </w:tcPr>
          <w:p w14:paraId="0F8F66A7">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1.功率：80w。</w:t>
            </w:r>
          </w:p>
          <w:p w14:paraId="0B61C347">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2.电压：70/110V。</w:t>
            </w:r>
          </w:p>
          <w:p w14:paraId="408D2D85">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3.灵敏：91dB。</w:t>
            </w:r>
          </w:p>
          <w:p w14:paraId="03182009">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4.频率：60*20kHz。</w:t>
            </w:r>
          </w:p>
          <w:p w14:paraId="4F91AF24">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5.铝合金外壳、铝合金网罩。</w:t>
            </w:r>
          </w:p>
        </w:tc>
        <w:tc>
          <w:tcPr>
            <w:tcW w:w="836" w:type="dxa"/>
            <w:tcBorders>
              <w:tl2br w:val="nil"/>
              <w:tr2bl w:val="nil"/>
            </w:tcBorders>
            <w:shd w:val="clear" w:color="auto" w:fill="auto"/>
            <w:vAlign w:val="center"/>
          </w:tcPr>
          <w:p w14:paraId="22F8E8E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11</w:t>
            </w:r>
          </w:p>
        </w:tc>
        <w:tc>
          <w:tcPr>
            <w:tcW w:w="839" w:type="dxa"/>
            <w:tcBorders>
              <w:tl2br w:val="nil"/>
              <w:tr2bl w:val="nil"/>
            </w:tcBorders>
            <w:shd w:val="clear" w:color="auto" w:fill="auto"/>
            <w:vAlign w:val="center"/>
          </w:tcPr>
          <w:p w14:paraId="420C855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只</w:t>
            </w:r>
          </w:p>
        </w:tc>
      </w:tr>
      <w:tr w14:paraId="0B6B7A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23" w:type="dxa"/>
            <w:tcBorders>
              <w:tl2br w:val="nil"/>
              <w:tr2bl w:val="nil"/>
            </w:tcBorders>
            <w:shd w:val="clear" w:color="auto" w:fill="auto"/>
            <w:vAlign w:val="center"/>
          </w:tcPr>
          <w:p w14:paraId="24AF17E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w:t>
            </w:r>
          </w:p>
        </w:tc>
        <w:tc>
          <w:tcPr>
            <w:tcW w:w="1690" w:type="dxa"/>
            <w:tcBorders>
              <w:tl2br w:val="nil"/>
              <w:tr2bl w:val="nil"/>
            </w:tcBorders>
            <w:shd w:val="clear" w:color="auto" w:fill="auto"/>
            <w:vAlign w:val="center"/>
          </w:tcPr>
          <w:p w14:paraId="6C33B13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无线话筒</w:t>
            </w:r>
          </w:p>
        </w:tc>
        <w:tc>
          <w:tcPr>
            <w:tcW w:w="5232" w:type="dxa"/>
            <w:tcBorders>
              <w:tl2br w:val="nil"/>
              <w:tr2bl w:val="nil"/>
            </w:tcBorders>
            <w:shd w:val="clear" w:color="auto" w:fill="auto"/>
            <w:vAlign w:val="center"/>
          </w:tcPr>
          <w:p w14:paraId="162321DE">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1.频率范围：不低于600-650MHZ。</w:t>
            </w:r>
          </w:p>
          <w:p w14:paraId="3DEE19A4">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2.最大频偏：±50KHz。</w:t>
            </w:r>
          </w:p>
          <w:p w14:paraId="725A870F">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3.音频响应：40-16000Hz。</w:t>
            </w:r>
          </w:p>
          <w:p w14:paraId="15FC4C87">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4.动态范围：＞105dB(A计权）。</w:t>
            </w:r>
          </w:p>
          <w:p w14:paraId="0B10971C">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5.综合失真：S0.5%(@1KHz)。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6.接收机：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6.1 接收通道：2通道。</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6.2 振荡模式：P11相位锁定频率合成。</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6.3 音频输出电平：0-300mV。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6.4 工作电源：DC12-16V/400mA。</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7.发射机：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7.1 最大调制度：±50KHz。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7.2 最大输出功率：30mW。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7.3 使用电池：1.2V AA电池。</w:t>
            </w:r>
          </w:p>
        </w:tc>
        <w:tc>
          <w:tcPr>
            <w:tcW w:w="836" w:type="dxa"/>
            <w:tcBorders>
              <w:tl2br w:val="nil"/>
              <w:tr2bl w:val="nil"/>
            </w:tcBorders>
            <w:shd w:val="clear" w:color="auto" w:fill="auto"/>
            <w:vAlign w:val="center"/>
          </w:tcPr>
          <w:p w14:paraId="1681CC4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w:t>
            </w:r>
          </w:p>
        </w:tc>
        <w:tc>
          <w:tcPr>
            <w:tcW w:w="839" w:type="dxa"/>
            <w:tcBorders>
              <w:tl2br w:val="nil"/>
              <w:tr2bl w:val="nil"/>
            </w:tcBorders>
            <w:shd w:val="clear" w:color="auto" w:fill="auto"/>
            <w:vAlign w:val="center"/>
          </w:tcPr>
          <w:p w14:paraId="0C85FDE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套</w:t>
            </w:r>
          </w:p>
        </w:tc>
      </w:tr>
      <w:tr w14:paraId="64261F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23" w:type="dxa"/>
            <w:tcBorders>
              <w:tl2br w:val="nil"/>
              <w:tr2bl w:val="nil"/>
            </w:tcBorders>
            <w:shd w:val="clear" w:color="auto" w:fill="auto"/>
            <w:vAlign w:val="center"/>
          </w:tcPr>
          <w:p w14:paraId="353E3E4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7</w:t>
            </w:r>
          </w:p>
        </w:tc>
        <w:tc>
          <w:tcPr>
            <w:tcW w:w="1690" w:type="dxa"/>
            <w:tcBorders>
              <w:tl2br w:val="nil"/>
              <w:tr2bl w:val="nil"/>
            </w:tcBorders>
            <w:shd w:val="clear" w:color="auto" w:fill="auto"/>
            <w:vAlign w:val="center"/>
          </w:tcPr>
          <w:p w14:paraId="2FE7C66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功放（教室、走廊广播、操场）</w:t>
            </w:r>
          </w:p>
        </w:tc>
        <w:tc>
          <w:tcPr>
            <w:tcW w:w="5232" w:type="dxa"/>
            <w:tcBorders>
              <w:tl2br w:val="nil"/>
              <w:tr2bl w:val="nil"/>
            </w:tcBorders>
            <w:shd w:val="clear" w:color="auto" w:fill="auto"/>
            <w:vAlign w:val="center"/>
          </w:tcPr>
          <w:p w14:paraId="7E6D46E5">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1.后级定压功放。</w:t>
            </w:r>
          </w:p>
          <w:p w14:paraId="6FF2808D">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2.频率响应：不低于200Hz—16KHz +1/-3dB。</w:t>
            </w:r>
          </w:p>
          <w:p w14:paraId="69B3B92E">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3.输出电压：70v/100v。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4.总谐波失真：200Hz—16KHz≤0.8%。</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5.输出功率：≥1000w。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6.电源范围：220v/50Hz±10%。</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7.输入阻抗：≥5KΩ。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8.输入灵敏度：0dB(775mv)。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9.信噪比：≥90dB。</w:t>
            </w:r>
          </w:p>
        </w:tc>
        <w:tc>
          <w:tcPr>
            <w:tcW w:w="836" w:type="dxa"/>
            <w:tcBorders>
              <w:tl2br w:val="nil"/>
              <w:tr2bl w:val="nil"/>
            </w:tcBorders>
            <w:shd w:val="clear" w:color="auto" w:fill="auto"/>
            <w:vAlign w:val="center"/>
          </w:tcPr>
          <w:p w14:paraId="2ED4106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w:t>
            </w:r>
          </w:p>
        </w:tc>
        <w:tc>
          <w:tcPr>
            <w:tcW w:w="839" w:type="dxa"/>
            <w:tcBorders>
              <w:tl2br w:val="nil"/>
              <w:tr2bl w:val="nil"/>
            </w:tcBorders>
            <w:shd w:val="clear" w:color="auto" w:fill="auto"/>
            <w:vAlign w:val="center"/>
          </w:tcPr>
          <w:p w14:paraId="1885E81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台</w:t>
            </w:r>
          </w:p>
        </w:tc>
      </w:tr>
      <w:tr w14:paraId="199080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0" w:type="auto"/>
            <w:tcBorders>
              <w:tl2br w:val="nil"/>
              <w:tr2bl w:val="nil"/>
            </w:tcBorders>
            <w:shd w:val="clear" w:color="auto" w:fill="auto"/>
            <w:noWrap/>
            <w:vAlign w:val="center"/>
          </w:tcPr>
          <w:p w14:paraId="2592C36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8</w:t>
            </w:r>
          </w:p>
        </w:tc>
        <w:tc>
          <w:tcPr>
            <w:tcW w:w="1690" w:type="dxa"/>
            <w:tcBorders>
              <w:tl2br w:val="nil"/>
              <w:tr2bl w:val="nil"/>
            </w:tcBorders>
            <w:shd w:val="clear" w:color="auto" w:fill="auto"/>
            <w:vAlign w:val="center"/>
          </w:tcPr>
          <w:p w14:paraId="0A5FC4E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音箱开关、面板</w:t>
            </w:r>
          </w:p>
        </w:tc>
        <w:tc>
          <w:tcPr>
            <w:tcW w:w="5232" w:type="dxa"/>
            <w:tcBorders>
              <w:tl2br w:val="nil"/>
              <w:tr2bl w:val="nil"/>
            </w:tcBorders>
            <w:shd w:val="clear" w:color="auto" w:fill="auto"/>
            <w:vAlign w:val="center"/>
          </w:tcPr>
          <w:p w14:paraId="17109986">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bidi="ar"/>
              </w:rPr>
              <w:t>86型</w:t>
            </w:r>
            <w:r>
              <w:rPr>
                <w:rFonts w:hint="eastAsia" w:asciiTheme="minorEastAsia" w:hAnsiTheme="minorEastAsia" w:eastAsiaTheme="minorEastAsia" w:cstheme="minorEastAsia"/>
                <w:color w:val="auto"/>
                <w:kern w:val="0"/>
                <w:sz w:val="21"/>
                <w:szCs w:val="21"/>
                <w:highlight w:val="none"/>
                <w:lang w:eastAsia="zh-CN" w:bidi="ar"/>
              </w:rPr>
              <w:t>面板。</w:t>
            </w:r>
          </w:p>
        </w:tc>
        <w:tc>
          <w:tcPr>
            <w:tcW w:w="836" w:type="dxa"/>
            <w:tcBorders>
              <w:tl2br w:val="nil"/>
              <w:tr2bl w:val="nil"/>
            </w:tcBorders>
            <w:shd w:val="clear" w:color="auto" w:fill="auto"/>
            <w:vAlign w:val="center"/>
          </w:tcPr>
          <w:p w14:paraId="72DE5C7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40</w:t>
            </w:r>
          </w:p>
        </w:tc>
        <w:tc>
          <w:tcPr>
            <w:tcW w:w="839" w:type="dxa"/>
            <w:tcBorders>
              <w:tl2br w:val="nil"/>
              <w:tr2bl w:val="nil"/>
            </w:tcBorders>
            <w:shd w:val="clear" w:color="auto" w:fill="auto"/>
            <w:vAlign w:val="center"/>
          </w:tcPr>
          <w:p w14:paraId="578EBA5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只</w:t>
            </w:r>
          </w:p>
        </w:tc>
      </w:tr>
      <w:tr w14:paraId="2516EB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18" w:hRule="atLeast"/>
        </w:trPr>
        <w:tc>
          <w:tcPr>
            <w:tcW w:w="823" w:type="dxa"/>
            <w:tcBorders>
              <w:tl2br w:val="nil"/>
              <w:tr2bl w:val="nil"/>
            </w:tcBorders>
            <w:shd w:val="clear" w:color="auto" w:fill="auto"/>
            <w:vAlign w:val="center"/>
          </w:tcPr>
          <w:p w14:paraId="57985B6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9</w:t>
            </w:r>
          </w:p>
        </w:tc>
        <w:tc>
          <w:tcPr>
            <w:tcW w:w="1690" w:type="dxa"/>
            <w:tcBorders>
              <w:tl2br w:val="nil"/>
              <w:tr2bl w:val="nil"/>
            </w:tcBorders>
            <w:shd w:val="clear" w:color="auto" w:fill="auto"/>
            <w:vAlign w:val="center"/>
          </w:tcPr>
          <w:p w14:paraId="0AF84BE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操场远距离无线手持</w:t>
            </w:r>
          </w:p>
        </w:tc>
        <w:tc>
          <w:tcPr>
            <w:tcW w:w="5232" w:type="dxa"/>
            <w:tcBorders>
              <w:tl2br w:val="nil"/>
              <w:tr2bl w:val="nil"/>
            </w:tcBorders>
            <w:shd w:val="clear" w:color="auto" w:fill="auto"/>
            <w:vAlign w:val="center"/>
          </w:tcPr>
          <w:p w14:paraId="72858914">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1.频率范围：不低于530-737MHz。</w:t>
            </w:r>
          </w:p>
          <w:p w14:paraId="07E8B722">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2.调制方式：FM调频。</w:t>
            </w:r>
          </w:p>
          <w:p w14:paraId="05C6585D">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3.可调信道数目：≥1000个。</w:t>
            </w:r>
          </w:p>
          <w:p w14:paraId="2538A66D">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4.信道间隔：250KHz。</w:t>
            </w:r>
          </w:p>
          <w:p w14:paraId="095577BF">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5.振荡方式：锁相环PLL频率合成。</w:t>
            </w:r>
          </w:p>
          <w:p w14:paraId="2EDF8D31">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6.频率稳定性：±10ppm。</w:t>
            </w:r>
          </w:p>
          <w:p w14:paraId="51384A1F">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7.动态范围：100dB。</w:t>
            </w:r>
          </w:p>
          <w:p w14:paraId="77805F60">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8.音频频响：60-18000Hz。</w:t>
            </w:r>
          </w:p>
          <w:p w14:paraId="12D7D718">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9.综合信噪比：＞110dB。</w:t>
            </w:r>
          </w:p>
          <w:p w14:paraId="3B0AE9E5">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10.综合失真度：≤0.5%。</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11.发射器：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11.1 天线：内置；</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11.2 杂散抑制：-60dB；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11.3 发射功率：10-30mW；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11.4 电池规格：18650锂电池；</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11.5 续用时间：≥20小时。</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12.接收机：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12.1 接收通道：2通道；</w:t>
            </w:r>
          </w:p>
          <w:p w14:paraId="6C211C50">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12.2 接收机方式：超外差二次变频；</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12.3 内置智能天线：15-20dBm；</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12.4 接收灵敏度：-110--75dBm；</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12.5 杂散抑制：≥75dB；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12.6 音频输出：+10dB；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12.7 电源规格：DC12V；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12.8 消耗功率：≤8W。</w:t>
            </w:r>
          </w:p>
        </w:tc>
        <w:tc>
          <w:tcPr>
            <w:tcW w:w="836" w:type="dxa"/>
            <w:tcBorders>
              <w:tl2br w:val="nil"/>
              <w:tr2bl w:val="nil"/>
            </w:tcBorders>
            <w:shd w:val="clear" w:color="auto" w:fill="auto"/>
            <w:vAlign w:val="center"/>
          </w:tcPr>
          <w:p w14:paraId="4D481B7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839" w:type="dxa"/>
            <w:tcBorders>
              <w:tl2br w:val="nil"/>
              <w:tr2bl w:val="nil"/>
            </w:tcBorders>
            <w:shd w:val="clear" w:color="auto" w:fill="auto"/>
            <w:vAlign w:val="center"/>
          </w:tcPr>
          <w:p w14:paraId="6252FF3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套</w:t>
            </w:r>
          </w:p>
        </w:tc>
      </w:tr>
      <w:tr w14:paraId="482C9A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trPr>
        <w:tc>
          <w:tcPr>
            <w:tcW w:w="823" w:type="dxa"/>
            <w:tcBorders>
              <w:tl2br w:val="nil"/>
              <w:tr2bl w:val="nil"/>
            </w:tcBorders>
            <w:shd w:val="clear" w:color="auto" w:fill="auto"/>
            <w:vAlign w:val="center"/>
          </w:tcPr>
          <w:p w14:paraId="7B4BEE8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10</w:t>
            </w:r>
          </w:p>
        </w:tc>
        <w:tc>
          <w:tcPr>
            <w:tcW w:w="1690" w:type="dxa"/>
            <w:tcBorders>
              <w:tl2br w:val="nil"/>
              <w:tr2bl w:val="nil"/>
            </w:tcBorders>
            <w:shd w:val="clear" w:color="auto" w:fill="auto"/>
            <w:vAlign w:val="center"/>
          </w:tcPr>
          <w:p w14:paraId="2B09DF8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话筒天线放大器</w:t>
            </w:r>
          </w:p>
        </w:tc>
        <w:tc>
          <w:tcPr>
            <w:tcW w:w="5232" w:type="dxa"/>
            <w:tcBorders>
              <w:tl2br w:val="nil"/>
              <w:tr2bl w:val="nil"/>
            </w:tcBorders>
            <w:shd w:val="clear" w:color="auto" w:fill="auto"/>
            <w:vAlign w:val="center"/>
          </w:tcPr>
          <w:p w14:paraId="65F5A0C1">
            <w:pPr>
              <w:keepNext w:val="0"/>
              <w:keepLines w:val="0"/>
              <w:widowControl/>
              <w:numPr>
                <w:ilvl w:val="0"/>
                <w:numId w:val="2"/>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天线分配器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 频率范围：不低于450~950MHz；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 RF输出增益：1dB±1dB；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 输出三阶交调截取点：+14dBm；</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1.4 系统阻抗：50Ω；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1.5 天线输入接头供电：5V/80mA；</w:t>
            </w:r>
          </w:p>
          <w:p w14:paraId="34D0D98B">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 输出供电：每通道输出12V/1000mA DC；</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1.7 主机供电：外置电源12V/5A DC；</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1.8 接头：BNC。</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2.定向天线：</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2.1 波束宽：垂直面90度，水平面120度；</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2.2 放大增益：15dB±1dB。</w:t>
            </w:r>
          </w:p>
        </w:tc>
        <w:tc>
          <w:tcPr>
            <w:tcW w:w="836" w:type="dxa"/>
            <w:tcBorders>
              <w:tl2br w:val="nil"/>
              <w:tr2bl w:val="nil"/>
            </w:tcBorders>
            <w:shd w:val="clear" w:color="auto" w:fill="auto"/>
            <w:vAlign w:val="center"/>
          </w:tcPr>
          <w:p w14:paraId="4B36765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c>
          <w:tcPr>
            <w:tcW w:w="839" w:type="dxa"/>
            <w:tcBorders>
              <w:tl2br w:val="nil"/>
              <w:tr2bl w:val="nil"/>
            </w:tcBorders>
            <w:shd w:val="clear" w:color="auto" w:fill="auto"/>
            <w:vAlign w:val="center"/>
          </w:tcPr>
          <w:p w14:paraId="0368024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台</w:t>
            </w:r>
          </w:p>
        </w:tc>
      </w:tr>
      <w:tr w14:paraId="5CDB42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228C93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11</w:t>
            </w:r>
          </w:p>
        </w:tc>
        <w:tc>
          <w:tcPr>
            <w:tcW w:w="1690" w:type="dxa"/>
            <w:tcBorders>
              <w:tl2br w:val="nil"/>
              <w:tr2bl w:val="nil"/>
            </w:tcBorders>
            <w:shd w:val="clear" w:color="auto" w:fill="auto"/>
            <w:vAlign w:val="center"/>
          </w:tcPr>
          <w:p w14:paraId="21BB971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时序器</w:t>
            </w:r>
          </w:p>
        </w:tc>
        <w:tc>
          <w:tcPr>
            <w:tcW w:w="5232" w:type="dxa"/>
            <w:tcBorders>
              <w:tl2br w:val="nil"/>
              <w:tr2bl w:val="nil"/>
            </w:tcBorders>
            <w:shd w:val="clear" w:color="auto" w:fill="auto"/>
            <w:vAlign w:val="center"/>
          </w:tcPr>
          <w:p w14:paraId="349F7CF5">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不低于10路电源输出，时序开关控制，顺序开启，反序关闭。</w:t>
            </w:r>
          </w:p>
        </w:tc>
        <w:tc>
          <w:tcPr>
            <w:tcW w:w="836" w:type="dxa"/>
            <w:tcBorders>
              <w:tl2br w:val="nil"/>
              <w:tr2bl w:val="nil"/>
            </w:tcBorders>
            <w:shd w:val="clear" w:color="auto" w:fill="auto"/>
            <w:vAlign w:val="center"/>
          </w:tcPr>
          <w:p w14:paraId="6589A0A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839" w:type="dxa"/>
            <w:tcBorders>
              <w:tl2br w:val="nil"/>
              <w:tr2bl w:val="nil"/>
            </w:tcBorders>
            <w:shd w:val="clear" w:color="auto" w:fill="auto"/>
            <w:vAlign w:val="center"/>
          </w:tcPr>
          <w:p w14:paraId="6BE5758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台</w:t>
            </w:r>
          </w:p>
        </w:tc>
      </w:tr>
      <w:tr w14:paraId="16CE36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23" w:type="dxa"/>
            <w:tcBorders>
              <w:tl2br w:val="nil"/>
              <w:tr2bl w:val="nil"/>
            </w:tcBorders>
            <w:shd w:val="clear" w:color="auto" w:fill="auto"/>
            <w:vAlign w:val="center"/>
          </w:tcPr>
          <w:p w14:paraId="62A2062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12</w:t>
            </w:r>
          </w:p>
        </w:tc>
        <w:tc>
          <w:tcPr>
            <w:tcW w:w="1690" w:type="dxa"/>
            <w:tcBorders>
              <w:tl2br w:val="nil"/>
              <w:tr2bl w:val="nil"/>
            </w:tcBorders>
            <w:shd w:val="clear" w:color="auto" w:fill="auto"/>
            <w:vAlign w:val="center"/>
          </w:tcPr>
          <w:p w14:paraId="7CD32AD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调音台</w:t>
            </w:r>
          </w:p>
        </w:tc>
        <w:tc>
          <w:tcPr>
            <w:tcW w:w="5232" w:type="dxa"/>
            <w:tcBorders>
              <w:tl2br w:val="nil"/>
              <w:tr2bl w:val="nil"/>
            </w:tcBorders>
            <w:shd w:val="clear" w:color="auto" w:fill="auto"/>
            <w:vAlign w:val="center"/>
          </w:tcPr>
          <w:p w14:paraId="1134ED0C">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1.话筒输入：≥12路带编组效果调音台。</w:t>
            </w:r>
          </w:p>
          <w:p w14:paraId="4C201D34">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2.线路输入：≥2个立体声。</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3.信噪比：≥-90dB。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4.增益控制：≥32dB-0Db（单声道）。</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5.剩余噪音：-85Db。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6.总输出谐波失真：-0.05%。</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7.通道串音衰减度：-80dBu。</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8.频率响应：20Hz-20KHz +1dB/-3dB。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9.支持均衡器低频、均衡器中频、均衡器高频。</w:t>
            </w:r>
          </w:p>
          <w:p w14:paraId="070D214C">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10.配有镀金XLRs和平衡Line输入接口。</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11.带+48V幻像电源。</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12全部通道音乐都设有3段EQ。</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13.全部单声道带有峰值LED灯。</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14.每个通道带有一个辅助发送，连接外部效果器。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15.内置多种数码效果。</w:t>
            </w:r>
          </w:p>
        </w:tc>
        <w:tc>
          <w:tcPr>
            <w:tcW w:w="836" w:type="dxa"/>
            <w:tcBorders>
              <w:tl2br w:val="nil"/>
              <w:tr2bl w:val="nil"/>
            </w:tcBorders>
            <w:shd w:val="clear" w:color="auto" w:fill="auto"/>
            <w:vAlign w:val="center"/>
          </w:tcPr>
          <w:p w14:paraId="1DC3061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839" w:type="dxa"/>
            <w:tcBorders>
              <w:tl2br w:val="nil"/>
              <w:tr2bl w:val="nil"/>
            </w:tcBorders>
            <w:shd w:val="clear" w:color="auto" w:fill="auto"/>
            <w:vAlign w:val="center"/>
          </w:tcPr>
          <w:p w14:paraId="5DCCD9D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台</w:t>
            </w:r>
          </w:p>
        </w:tc>
      </w:tr>
      <w:tr w14:paraId="7E8662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23" w:type="dxa"/>
            <w:tcBorders>
              <w:tl2br w:val="nil"/>
              <w:tr2bl w:val="nil"/>
            </w:tcBorders>
            <w:shd w:val="clear" w:color="auto" w:fill="auto"/>
            <w:vAlign w:val="center"/>
          </w:tcPr>
          <w:p w14:paraId="00113A1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13</w:t>
            </w:r>
          </w:p>
        </w:tc>
        <w:tc>
          <w:tcPr>
            <w:tcW w:w="1690" w:type="dxa"/>
            <w:tcBorders>
              <w:tl2br w:val="nil"/>
              <w:tr2bl w:val="nil"/>
            </w:tcBorders>
            <w:shd w:val="clear" w:color="auto" w:fill="auto"/>
            <w:vAlign w:val="center"/>
          </w:tcPr>
          <w:p w14:paraId="2FEF3CA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音频处理器</w:t>
            </w:r>
          </w:p>
        </w:tc>
        <w:tc>
          <w:tcPr>
            <w:tcW w:w="5232" w:type="dxa"/>
            <w:tcBorders>
              <w:tl2br w:val="nil"/>
              <w:tr2bl w:val="nil"/>
            </w:tcBorders>
            <w:shd w:val="clear" w:color="auto" w:fill="auto"/>
            <w:vAlign w:val="center"/>
          </w:tcPr>
          <w:p w14:paraId="07F6D5DF">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1.麦克风输入支持双编组设计，每组的所有功能均为独立处理。</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2.音乐输入支持模拟输入和数字光纤输入。</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3.麦克风输入通道等同或优于20段参量均衡。</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4.音乐输入通道等同或优于10段参量均衡。</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5.效果部分每通道等同或优于5段前置参量均衡和10段后置参量均衡。</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6.输出通道均衡：等同或优于主输出5段，中置5段，超低音3段，后置10段。</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7.麦克风每组设有反馈抑制，可选择开或关。</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8.机内可存储≥6种模式。</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9.设有录音接口。</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10.支持PC端软件。</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11.支持红外遥控、RS232或USB接口来连接中控、点歌机或PC。</w:t>
            </w:r>
          </w:p>
        </w:tc>
        <w:tc>
          <w:tcPr>
            <w:tcW w:w="836" w:type="dxa"/>
            <w:tcBorders>
              <w:tl2br w:val="nil"/>
              <w:tr2bl w:val="nil"/>
            </w:tcBorders>
            <w:shd w:val="clear" w:color="auto" w:fill="auto"/>
            <w:vAlign w:val="center"/>
          </w:tcPr>
          <w:p w14:paraId="23778F2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c>
          <w:tcPr>
            <w:tcW w:w="839" w:type="dxa"/>
            <w:tcBorders>
              <w:tl2br w:val="nil"/>
              <w:tr2bl w:val="nil"/>
            </w:tcBorders>
            <w:shd w:val="clear" w:color="auto" w:fill="auto"/>
            <w:vAlign w:val="center"/>
          </w:tcPr>
          <w:p w14:paraId="3CBB750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台</w:t>
            </w:r>
          </w:p>
        </w:tc>
      </w:tr>
      <w:tr w14:paraId="6FB3BD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23" w:type="dxa"/>
            <w:tcBorders>
              <w:tl2br w:val="nil"/>
              <w:tr2bl w:val="nil"/>
            </w:tcBorders>
            <w:shd w:val="clear" w:color="auto" w:fill="auto"/>
            <w:vAlign w:val="center"/>
          </w:tcPr>
          <w:p w14:paraId="0470DB6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14</w:t>
            </w:r>
          </w:p>
        </w:tc>
        <w:tc>
          <w:tcPr>
            <w:tcW w:w="1690" w:type="dxa"/>
            <w:tcBorders>
              <w:tl2br w:val="nil"/>
              <w:tr2bl w:val="nil"/>
            </w:tcBorders>
            <w:shd w:val="clear" w:color="auto" w:fill="auto"/>
            <w:vAlign w:val="center"/>
          </w:tcPr>
          <w:p w14:paraId="789E82F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音频隔离器</w:t>
            </w:r>
          </w:p>
        </w:tc>
        <w:tc>
          <w:tcPr>
            <w:tcW w:w="5232" w:type="dxa"/>
            <w:tcBorders>
              <w:tl2br w:val="nil"/>
              <w:tr2bl w:val="nil"/>
            </w:tcBorders>
            <w:shd w:val="clear" w:color="auto" w:fill="auto"/>
            <w:vAlign w:val="center"/>
          </w:tcPr>
          <w:p w14:paraId="7412470B">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1.输入阻抗：等同或优于600Ω（交流阻抗）。</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2.输出阻抗：等同或优于600Ω（交流阻抗）。</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3.输入接口：≥6.35/XLR（混合接口）*2。</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4.输出接口：≥6.35*2，XLR*2。</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5.模式：被动式。</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6.绝缘电阻：DC1000V 100Ω。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7.隔离电压：AC 50Hz-60Hz 0V-1500V。</w:t>
            </w:r>
          </w:p>
        </w:tc>
        <w:tc>
          <w:tcPr>
            <w:tcW w:w="836" w:type="dxa"/>
            <w:tcBorders>
              <w:tl2br w:val="nil"/>
              <w:tr2bl w:val="nil"/>
            </w:tcBorders>
            <w:shd w:val="clear" w:color="auto" w:fill="auto"/>
            <w:noWrap/>
            <w:vAlign w:val="center"/>
          </w:tcPr>
          <w:p w14:paraId="7C3C559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839" w:type="dxa"/>
            <w:tcBorders>
              <w:tl2br w:val="nil"/>
              <w:tr2bl w:val="nil"/>
            </w:tcBorders>
            <w:shd w:val="clear" w:color="auto" w:fill="auto"/>
            <w:vAlign w:val="center"/>
          </w:tcPr>
          <w:p w14:paraId="31ADB2D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台</w:t>
            </w:r>
          </w:p>
        </w:tc>
      </w:tr>
      <w:tr w14:paraId="6527C3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38" w:hRule="atLeast"/>
        </w:trPr>
        <w:tc>
          <w:tcPr>
            <w:tcW w:w="823" w:type="dxa"/>
            <w:tcBorders>
              <w:tl2br w:val="nil"/>
              <w:tr2bl w:val="nil"/>
            </w:tcBorders>
            <w:shd w:val="clear" w:color="auto" w:fill="auto"/>
            <w:vAlign w:val="center"/>
          </w:tcPr>
          <w:p w14:paraId="5D6A48B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15</w:t>
            </w:r>
          </w:p>
        </w:tc>
        <w:tc>
          <w:tcPr>
            <w:tcW w:w="0" w:type="auto"/>
            <w:tcBorders>
              <w:tl2br w:val="nil"/>
              <w:tr2bl w:val="nil"/>
            </w:tcBorders>
            <w:shd w:val="clear" w:color="auto" w:fill="auto"/>
            <w:noWrap/>
            <w:vAlign w:val="center"/>
          </w:tcPr>
          <w:p w14:paraId="517560C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功放</w:t>
            </w:r>
          </w:p>
        </w:tc>
        <w:tc>
          <w:tcPr>
            <w:tcW w:w="5232" w:type="dxa"/>
            <w:tcBorders>
              <w:tl2br w:val="nil"/>
              <w:tr2bl w:val="nil"/>
            </w:tcBorders>
            <w:shd w:val="clear" w:color="auto" w:fill="FFFFFF"/>
            <w:vAlign w:val="center"/>
          </w:tcPr>
          <w:p w14:paraId="1F0EEEF7">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1.支持开机软启动。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2.标准XLR+TRS1/4”复合输入接口。</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3.支持智能控制强制散热。</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4.支持输入灵敏度选择。</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5.智能削峰限幅器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6.额定功率 ：等同或优于2×600W/8Ω  2×1000W/4Ω 2000W/8Ω桥接；</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7.频率响应：20Hz-20KHz±1dB；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8.额定输入灵敏度：-4dB/0dB/+4dB；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9.输入阻抗：平衡20KΩ，非平衡10KΩ；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10.失真度：≤0.5%；</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11.信噪比（A计权）：≥100dB；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12.额定电源电压：交流220V /50Hz。</w:t>
            </w:r>
          </w:p>
        </w:tc>
        <w:tc>
          <w:tcPr>
            <w:tcW w:w="836" w:type="dxa"/>
            <w:tcBorders>
              <w:tl2br w:val="nil"/>
              <w:tr2bl w:val="nil"/>
            </w:tcBorders>
            <w:shd w:val="clear" w:color="auto" w:fill="auto"/>
            <w:noWrap/>
            <w:vAlign w:val="center"/>
          </w:tcPr>
          <w:p w14:paraId="1AF23B7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839" w:type="dxa"/>
            <w:tcBorders>
              <w:tl2br w:val="nil"/>
              <w:tr2bl w:val="nil"/>
            </w:tcBorders>
            <w:shd w:val="clear" w:color="auto" w:fill="auto"/>
            <w:vAlign w:val="center"/>
          </w:tcPr>
          <w:p w14:paraId="59DF435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台</w:t>
            </w:r>
          </w:p>
        </w:tc>
      </w:tr>
      <w:tr w14:paraId="6DDD78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7" w:hRule="atLeast"/>
        </w:trPr>
        <w:tc>
          <w:tcPr>
            <w:tcW w:w="823" w:type="dxa"/>
            <w:tcBorders>
              <w:tl2br w:val="nil"/>
              <w:tr2bl w:val="nil"/>
            </w:tcBorders>
            <w:shd w:val="clear" w:color="auto" w:fill="auto"/>
            <w:vAlign w:val="center"/>
          </w:tcPr>
          <w:p w14:paraId="418C0C2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16</w:t>
            </w:r>
          </w:p>
        </w:tc>
        <w:tc>
          <w:tcPr>
            <w:tcW w:w="1690" w:type="dxa"/>
            <w:tcBorders>
              <w:tl2br w:val="nil"/>
              <w:tr2bl w:val="nil"/>
            </w:tcBorders>
            <w:shd w:val="clear" w:color="auto" w:fill="auto"/>
            <w:vAlign w:val="center"/>
          </w:tcPr>
          <w:p w14:paraId="34BB621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功放</w:t>
            </w:r>
          </w:p>
        </w:tc>
        <w:tc>
          <w:tcPr>
            <w:tcW w:w="5232" w:type="dxa"/>
            <w:tcBorders>
              <w:tl2br w:val="nil"/>
              <w:tr2bl w:val="nil"/>
            </w:tcBorders>
            <w:shd w:val="clear" w:color="auto" w:fill="FFFFFF"/>
            <w:vAlign w:val="center"/>
          </w:tcPr>
          <w:p w14:paraId="13AE634C">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1.支持开机软启动。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2.标准XLR+TRS1/4” 复合输入接口。</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3.支持智能控制强制散热。</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4.智能削峰限幅器。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5.额定功率：等同或优于2×300W/8Ω  2×450W/4Ω 900W/8Ω桥接。</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6.频率响应：20Hz~20KHz±1dB。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7.总谐波失真：≤0.5%。</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8.输入灵敏度：0dB。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9.输入阻抗：平衡20KΩ，不平衡10KΩ。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10.信噪比（a计权）：≥94dB。</w:t>
            </w:r>
          </w:p>
        </w:tc>
        <w:tc>
          <w:tcPr>
            <w:tcW w:w="836" w:type="dxa"/>
            <w:tcBorders>
              <w:tl2br w:val="nil"/>
              <w:tr2bl w:val="nil"/>
            </w:tcBorders>
            <w:shd w:val="clear" w:color="auto" w:fill="auto"/>
            <w:noWrap/>
            <w:vAlign w:val="center"/>
          </w:tcPr>
          <w:p w14:paraId="24241FC5">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839" w:type="dxa"/>
            <w:tcBorders>
              <w:tl2br w:val="nil"/>
              <w:tr2bl w:val="nil"/>
            </w:tcBorders>
            <w:shd w:val="clear" w:color="auto" w:fill="auto"/>
            <w:vAlign w:val="center"/>
          </w:tcPr>
          <w:p w14:paraId="18E39525">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台</w:t>
            </w:r>
          </w:p>
        </w:tc>
      </w:tr>
      <w:tr w14:paraId="19E408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23" w:type="dxa"/>
            <w:tcBorders>
              <w:tl2br w:val="nil"/>
              <w:tr2bl w:val="nil"/>
            </w:tcBorders>
            <w:shd w:val="clear" w:color="auto" w:fill="auto"/>
            <w:vAlign w:val="center"/>
          </w:tcPr>
          <w:p w14:paraId="645EA1E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17</w:t>
            </w:r>
          </w:p>
        </w:tc>
        <w:tc>
          <w:tcPr>
            <w:tcW w:w="1690" w:type="dxa"/>
            <w:tcBorders>
              <w:tl2br w:val="nil"/>
              <w:tr2bl w:val="nil"/>
            </w:tcBorders>
            <w:shd w:val="clear" w:color="auto" w:fill="auto"/>
            <w:vAlign w:val="center"/>
          </w:tcPr>
          <w:p w14:paraId="1D7533B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补声音箱</w:t>
            </w:r>
          </w:p>
        </w:tc>
        <w:tc>
          <w:tcPr>
            <w:tcW w:w="5232" w:type="dxa"/>
            <w:tcBorders>
              <w:tl2br w:val="nil"/>
              <w:tr2bl w:val="nil"/>
            </w:tcBorders>
            <w:shd w:val="clear" w:color="auto" w:fill="FFFFFF"/>
            <w:vAlign w:val="center"/>
          </w:tcPr>
          <w:p w14:paraId="06B58B32">
            <w:pPr>
              <w:keepNext w:val="0"/>
              <w:keepLines w:val="0"/>
              <w:widowControl/>
              <w:numPr>
                <w:ilvl w:val="0"/>
                <w:numId w:val="3"/>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频率响应：50Hz～18KHz。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2.灵敏度：≥95dB。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3.标称阻抗：8 Ohm。</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4.额定功率：≥250W。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5.高音单元：等同或优于1×1〞。</w:t>
            </w:r>
          </w:p>
          <w:p w14:paraId="78B755D5">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6.低音单元：等同或优于1×10〞。</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7.标称覆盖角：等同或优于90°（H）×50°（V）。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8.最大声压级输出：117dB；</w:t>
            </w:r>
          </w:p>
          <w:p w14:paraId="344ED54B">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9.峰值声压级输出123dB。</w:t>
            </w:r>
          </w:p>
        </w:tc>
        <w:tc>
          <w:tcPr>
            <w:tcW w:w="836" w:type="dxa"/>
            <w:tcBorders>
              <w:tl2br w:val="nil"/>
              <w:tr2bl w:val="nil"/>
            </w:tcBorders>
            <w:shd w:val="clear" w:color="auto" w:fill="auto"/>
            <w:noWrap/>
            <w:vAlign w:val="center"/>
          </w:tcPr>
          <w:p w14:paraId="4F596CD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w:t>
            </w:r>
          </w:p>
        </w:tc>
        <w:tc>
          <w:tcPr>
            <w:tcW w:w="839" w:type="dxa"/>
            <w:tcBorders>
              <w:tl2br w:val="nil"/>
              <w:tr2bl w:val="nil"/>
            </w:tcBorders>
            <w:shd w:val="clear" w:color="auto" w:fill="auto"/>
            <w:vAlign w:val="center"/>
          </w:tcPr>
          <w:p w14:paraId="34B1891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只</w:t>
            </w:r>
          </w:p>
        </w:tc>
      </w:tr>
      <w:tr w14:paraId="28C338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5" w:hRule="atLeast"/>
        </w:trPr>
        <w:tc>
          <w:tcPr>
            <w:tcW w:w="823" w:type="dxa"/>
            <w:tcBorders>
              <w:tl2br w:val="nil"/>
              <w:tr2bl w:val="nil"/>
            </w:tcBorders>
            <w:shd w:val="clear" w:color="auto" w:fill="auto"/>
            <w:vAlign w:val="center"/>
          </w:tcPr>
          <w:p w14:paraId="5C28C59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18</w:t>
            </w:r>
          </w:p>
        </w:tc>
        <w:tc>
          <w:tcPr>
            <w:tcW w:w="1690" w:type="dxa"/>
            <w:tcBorders>
              <w:tl2br w:val="nil"/>
              <w:tr2bl w:val="nil"/>
            </w:tcBorders>
            <w:shd w:val="clear" w:color="auto" w:fill="auto"/>
            <w:vAlign w:val="center"/>
          </w:tcPr>
          <w:p w14:paraId="2332015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无线头戴话筒</w:t>
            </w:r>
          </w:p>
        </w:tc>
        <w:tc>
          <w:tcPr>
            <w:tcW w:w="5232" w:type="dxa"/>
            <w:tcBorders>
              <w:tl2br w:val="nil"/>
              <w:tr2bl w:val="nil"/>
            </w:tcBorders>
            <w:shd w:val="clear" w:color="auto" w:fill="auto"/>
            <w:vAlign w:val="center"/>
          </w:tcPr>
          <w:p w14:paraId="50691568">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1.款式：双头戴。</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2.频率范围：600-650MHZ。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3.调制方式：FM。</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4.最大频偏：±50KHz。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5.音频响应：40-16000Hz。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6.动态范围：＞105dB(A计权）。</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7.综合失真：S0.5%(@1KHz)。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8.音频处理方式：动态压缩扩展技术。</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9.接收机：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9.1 接收通道：2通道；</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9.2 振荡模式：P11相位锁定频率合成；</w:t>
            </w:r>
          </w:p>
          <w:p w14:paraId="6A670B39">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9.3 工作电源：DC12-16V/400mA。</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10.发射机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10.1 最大调制度：等同或优于±50KHz；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10.2 最大输出功率：等同或优于30mW；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10.3 最大输入音压：等同或优于130dB SP1；</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10.4 谐波辐射：＜-55dBc；</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10.5 使用电池：1.2V AA电池。</w:t>
            </w:r>
          </w:p>
        </w:tc>
        <w:tc>
          <w:tcPr>
            <w:tcW w:w="836" w:type="dxa"/>
            <w:tcBorders>
              <w:tl2br w:val="nil"/>
              <w:tr2bl w:val="nil"/>
            </w:tcBorders>
            <w:shd w:val="clear" w:color="auto" w:fill="auto"/>
            <w:vAlign w:val="center"/>
          </w:tcPr>
          <w:p w14:paraId="0E267EC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839" w:type="dxa"/>
            <w:tcBorders>
              <w:tl2br w:val="nil"/>
              <w:tr2bl w:val="nil"/>
            </w:tcBorders>
            <w:shd w:val="clear" w:color="auto" w:fill="auto"/>
            <w:vAlign w:val="center"/>
          </w:tcPr>
          <w:p w14:paraId="75D93495">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套</w:t>
            </w:r>
          </w:p>
        </w:tc>
      </w:tr>
      <w:tr w14:paraId="539358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6" w:hRule="atLeast"/>
        </w:trPr>
        <w:tc>
          <w:tcPr>
            <w:tcW w:w="823" w:type="dxa"/>
            <w:tcBorders>
              <w:tl2br w:val="nil"/>
              <w:tr2bl w:val="nil"/>
            </w:tcBorders>
            <w:shd w:val="clear" w:color="auto" w:fill="auto"/>
            <w:vAlign w:val="center"/>
          </w:tcPr>
          <w:p w14:paraId="644C46F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19</w:t>
            </w:r>
          </w:p>
        </w:tc>
        <w:tc>
          <w:tcPr>
            <w:tcW w:w="1690" w:type="dxa"/>
            <w:tcBorders>
              <w:tl2br w:val="nil"/>
              <w:tr2bl w:val="nil"/>
            </w:tcBorders>
            <w:shd w:val="clear" w:color="auto" w:fill="auto"/>
            <w:vAlign w:val="center"/>
          </w:tcPr>
          <w:p w14:paraId="5D4A4AF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无线会议话筒</w:t>
            </w:r>
          </w:p>
        </w:tc>
        <w:tc>
          <w:tcPr>
            <w:tcW w:w="5232" w:type="dxa"/>
            <w:tcBorders>
              <w:tl2br w:val="nil"/>
              <w:tr2bl w:val="nil"/>
            </w:tcBorders>
            <w:shd w:val="clear" w:color="auto" w:fill="auto"/>
            <w:vAlign w:val="center"/>
          </w:tcPr>
          <w:p w14:paraId="0629CCA8">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1.款式：双鹅颈话筒。</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2.频率范围：600-650MHZ。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3.调制方式：FM。</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4.最大频偏：±50KHz。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5.音频响应：40-16000Hz。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6.动态范围：＞105dB(A计权）。</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7.综合失真：S0.5%(@1KHz)。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8.音频处理方式：动态压缩扩展技术。</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9.接收机：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9.1 接收通道：2通道；</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9.2 振荡模式：P11相位锁定频率合成；</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9.3 工作电源：DC12-16V/400mA。</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10.发射机：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10.1 最大调制度：等同或优于±50KHz。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10.2 最大输出功率：等同或优于30mW。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10.3 最大输入音压：等同或优于130dB SP1。</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10.4 谐波辐射：＜-55dBc。</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10.5 使用电池：1.2V AA电池。</w:t>
            </w:r>
          </w:p>
        </w:tc>
        <w:tc>
          <w:tcPr>
            <w:tcW w:w="836" w:type="dxa"/>
            <w:tcBorders>
              <w:tl2br w:val="nil"/>
              <w:tr2bl w:val="nil"/>
            </w:tcBorders>
            <w:shd w:val="clear" w:color="auto" w:fill="auto"/>
            <w:vAlign w:val="center"/>
          </w:tcPr>
          <w:p w14:paraId="0C9CF8F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839" w:type="dxa"/>
            <w:tcBorders>
              <w:tl2br w:val="nil"/>
              <w:tr2bl w:val="nil"/>
            </w:tcBorders>
            <w:shd w:val="clear" w:color="auto" w:fill="auto"/>
            <w:vAlign w:val="center"/>
          </w:tcPr>
          <w:p w14:paraId="7D08BEF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套</w:t>
            </w:r>
          </w:p>
        </w:tc>
      </w:tr>
      <w:tr w14:paraId="70C397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56A700C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2</w:t>
            </w:r>
            <w:r>
              <w:rPr>
                <w:rFonts w:hint="eastAsia" w:asciiTheme="minorEastAsia" w:hAnsiTheme="minorEastAsia" w:eastAsiaTheme="minorEastAsia" w:cstheme="minorEastAsia"/>
                <w:color w:val="auto"/>
                <w:kern w:val="0"/>
                <w:sz w:val="21"/>
                <w:szCs w:val="21"/>
                <w:highlight w:val="none"/>
                <w:lang w:val="en-US" w:eastAsia="zh-CN" w:bidi="ar"/>
              </w:rPr>
              <w:t>0</w:t>
            </w:r>
          </w:p>
        </w:tc>
        <w:tc>
          <w:tcPr>
            <w:tcW w:w="1690" w:type="dxa"/>
            <w:tcBorders>
              <w:tl2br w:val="nil"/>
              <w:tr2bl w:val="nil"/>
            </w:tcBorders>
            <w:shd w:val="clear" w:color="auto" w:fill="auto"/>
            <w:vAlign w:val="center"/>
          </w:tcPr>
          <w:p w14:paraId="5FD4F83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机柜</w:t>
            </w:r>
          </w:p>
        </w:tc>
        <w:tc>
          <w:tcPr>
            <w:tcW w:w="5232" w:type="dxa"/>
            <w:tcBorders>
              <w:tl2br w:val="nil"/>
              <w:tr2bl w:val="nil"/>
            </w:tcBorders>
            <w:shd w:val="clear" w:color="auto" w:fill="auto"/>
            <w:vAlign w:val="center"/>
          </w:tcPr>
          <w:p w14:paraId="0843BC8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外观尺寸42U，材质冷轧钢板。具备防水、防尘能力。</w:t>
            </w:r>
          </w:p>
        </w:tc>
        <w:tc>
          <w:tcPr>
            <w:tcW w:w="836" w:type="dxa"/>
            <w:tcBorders>
              <w:tl2br w:val="nil"/>
              <w:tr2bl w:val="nil"/>
            </w:tcBorders>
            <w:shd w:val="clear" w:color="auto" w:fill="auto"/>
            <w:vAlign w:val="center"/>
          </w:tcPr>
          <w:p w14:paraId="29A4AA1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4</w:t>
            </w:r>
          </w:p>
        </w:tc>
        <w:tc>
          <w:tcPr>
            <w:tcW w:w="839" w:type="dxa"/>
            <w:tcBorders>
              <w:tl2br w:val="nil"/>
              <w:tr2bl w:val="nil"/>
            </w:tcBorders>
            <w:shd w:val="clear" w:color="auto" w:fill="auto"/>
            <w:vAlign w:val="center"/>
          </w:tcPr>
          <w:p w14:paraId="2D1DF16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只</w:t>
            </w:r>
          </w:p>
        </w:tc>
      </w:tr>
      <w:tr w14:paraId="4A97CA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9420" w:type="dxa"/>
            <w:gridSpan w:val="5"/>
            <w:tcBorders>
              <w:tl2br w:val="nil"/>
              <w:tr2bl w:val="nil"/>
            </w:tcBorders>
            <w:shd w:val="clear" w:color="auto" w:fill="auto"/>
            <w:vAlign w:val="center"/>
          </w:tcPr>
          <w:p w14:paraId="4D7A479C">
            <w:pPr>
              <w:keepNext w:val="0"/>
              <w:keepLines w:val="0"/>
              <w:widowControl/>
              <w:suppressLineNumbers w:val="0"/>
              <w:adjustRightInd/>
              <w:spacing w:before="0" w:beforeAutospacing="0" w:after="0" w:afterAutospacing="0" w:line="240" w:lineRule="auto"/>
              <w:ind w:left="0" w:right="0" w:firstLine="422" w:firstLineChars="20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color w:val="auto"/>
                <w:sz w:val="21"/>
                <w:szCs w:val="21"/>
                <w:highlight w:val="none"/>
              </w:rPr>
              <w:t>文龙巷小学</w:t>
            </w:r>
          </w:p>
        </w:tc>
      </w:tr>
      <w:tr w14:paraId="5DE63A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1A97C61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bidi="ar"/>
              </w:rPr>
              <w:t>序号</w:t>
            </w:r>
          </w:p>
        </w:tc>
        <w:tc>
          <w:tcPr>
            <w:tcW w:w="1690" w:type="dxa"/>
            <w:tcBorders>
              <w:tl2br w:val="nil"/>
              <w:tr2bl w:val="nil"/>
            </w:tcBorders>
            <w:shd w:val="clear" w:color="auto" w:fill="auto"/>
            <w:vAlign w:val="center"/>
          </w:tcPr>
          <w:p w14:paraId="4B9844C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设备名称</w:t>
            </w:r>
          </w:p>
        </w:tc>
        <w:tc>
          <w:tcPr>
            <w:tcW w:w="5232" w:type="dxa"/>
            <w:tcBorders>
              <w:tl2br w:val="nil"/>
              <w:tr2bl w:val="nil"/>
            </w:tcBorders>
            <w:shd w:val="clear" w:color="auto" w:fill="auto"/>
            <w:vAlign w:val="center"/>
          </w:tcPr>
          <w:p w14:paraId="2B93D5B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采购要求</w:t>
            </w:r>
          </w:p>
        </w:tc>
        <w:tc>
          <w:tcPr>
            <w:tcW w:w="836" w:type="dxa"/>
            <w:tcBorders>
              <w:tl2br w:val="nil"/>
              <w:tr2bl w:val="nil"/>
            </w:tcBorders>
            <w:shd w:val="clear" w:color="auto" w:fill="auto"/>
            <w:vAlign w:val="center"/>
          </w:tcPr>
          <w:p w14:paraId="6179DF1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数量</w:t>
            </w:r>
          </w:p>
        </w:tc>
        <w:tc>
          <w:tcPr>
            <w:tcW w:w="839" w:type="dxa"/>
            <w:tcBorders>
              <w:tl2br w:val="nil"/>
              <w:tr2bl w:val="nil"/>
            </w:tcBorders>
            <w:shd w:val="clear" w:color="auto" w:fill="auto"/>
            <w:vAlign w:val="center"/>
          </w:tcPr>
          <w:p w14:paraId="1B71200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单位</w:t>
            </w:r>
          </w:p>
        </w:tc>
      </w:tr>
      <w:tr w14:paraId="093EAB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645B726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1690" w:type="dxa"/>
            <w:tcBorders>
              <w:tl2br w:val="nil"/>
              <w:tr2bl w:val="nil"/>
            </w:tcBorders>
            <w:shd w:val="clear" w:color="auto" w:fill="auto"/>
            <w:vAlign w:val="center"/>
          </w:tcPr>
          <w:p w14:paraId="2340FCB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智能广播控制器</w:t>
            </w:r>
          </w:p>
        </w:tc>
        <w:tc>
          <w:tcPr>
            <w:tcW w:w="5232" w:type="dxa"/>
            <w:tcBorders>
              <w:tl2br w:val="nil"/>
              <w:tr2bl w:val="nil"/>
            </w:tcBorders>
            <w:shd w:val="clear" w:color="auto" w:fill="auto"/>
            <w:vAlign w:val="center"/>
          </w:tcPr>
          <w:p w14:paraId="25F99EE0">
            <w:pPr>
              <w:keepNext w:val="0"/>
              <w:keepLines w:val="0"/>
              <w:widowControl/>
              <w:numPr>
                <w:ilvl w:val="0"/>
                <w:numId w:val="4"/>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自动广播：一周可设置七套节目，定时播放上下课音乐、保健操和背景音乐；定时转播（放）电台或磁带节目。</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2.人工广播：支持广播讲话、插播全校性或指定域通知。</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3.分区广播：支持自动打开/关闭分区与设备电源，指定区域自动播放广播、音乐。</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4.音乐播放：支持MP3、MIDI、WAV等流行音乐文件，能自动调整音乐文件音量。</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5.遥控操作：在平时或各种活动现场可进行远距离的遥控操作：</w:t>
            </w:r>
          </w:p>
          <w:p w14:paraId="7F4F4BFE">
            <w:pPr>
              <w:keepNext w:val="0"/>
              <w:keepLines w:val="0"/>
              <w:widowControl/>
              <w:numPr>
                <w:ilvl w:val="0"/>
                <w:numId w:val="5"/>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远程打开广播室的设备电源，进行应急无线讲话；（2）对正在播放的音乐进行现场控制，如暂停、播放、下一曲、停止、音量增大/减小等操作，非常适合学校在升旗仪式和广播操集合时使用；</w:t>
            </w:r>
          </w:p>
          <w:p w14:paraId="2CC28C23">
            <w:pPr>
              <w:keepNext w:val="0"/>
              <w:keepLines w:val="0"/>
              <w:widowControl/>
              <w:numPr>
                <w:ilvl w:val="0"/>
                <w:numId w:val="5"/>
              </w:numPr>
              <w:suppressLineNumbers w:val="0"/>
              <w:adjustRightInd/>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即时点曲播放：随时随地可对预设的四个列表音乐进行选择播放；遥控操作距离：空旷地不低于800米，有障碍时≥150米。</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6.智能控制：纯软件控制，在作息项播放前10-100秒（可设置），自动打设备电源，播放结束，自动关闭设备电源。</w:t>
            </w:r>
          </w:p>
          <w:p w14:paraId="0F2ABDEA">
            <w:pPr>
              <w:keepNext w:val="0"/>
              <w:keepLines w:val="0"/>
              <w:widowControl/>
              <w:numPr>
                <w:ilvl w:val="0"/>
                <w:numId w:val="0"/>
              </w:numPr>
              <w:suppressLineNumbers w:val="0"/>
              <w:adjustRightInd/>
              <w:spacing w:before="0" w:beforeAutospacing="0" w:after="0" w:afterAutospacing="0" w:line="240" w:lineRule="auto"/>
              <w:ind w:left="0" w:leftChars="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7.不少于8路分区控制器，具有不少于4路功放输入通道。</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8.不少于4路电源控制接口。</w:t>
            </w:r>
          </w:p>
        </w:tc>
        <w:tc>
          <w:tcPr>
            <w:tcW w:w="836" w:type="dxa"/>
            <w:tcBorders>
              <w:tl2br w:val="nil"/>
              <w:tr2bl w:val="nil"/>
            </w:tcBorders>
            <w:shd w:val="clear" w:color="auto" w:fill="auto"/>
            <w:vAlign w:val="center"/>
          </w:tcPr>
          <w:p w14:paraId="75C4628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839" w:type="dxa"/>
            <w:tcBorders>
              <w:tl2br w:val="nil"/>
              <w:tr2bl w:val="nil"/>
            </w:tcBorders>
            <w:shd w:val="clear" w:color="auto" w:fill="auto"/>
            <w:vAlign w:val="center"/>
          </w:tcPr>
          <w:p w14:paraId="0A05529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套</w:t>
            </w:r>
          </w:p>
        </w:tc>
      </w:tr>
      <w:tr w14:paraId="6A153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443A816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1690" w:type="dxa"/>
            <w:tcBorders>
              <w:tl2br w:val="nil"/>
              <w:tr2bl w:val="nil"/>
            </w:tcBorders>
            <w:shd w:val="clear" w:color="auto" w:fill="auto"/>
            <w:vAlign w:val="center"/>
          </w:tcPr>
          <w:p w14:paraId="1383C11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教室、走廊音箱</w:t>
            </w:r>
          </w:p>
        </w:tc>
        <w:tc>
          <w:tcPr>
            <w:tcW w:w="5232" w:type="dxa"/>
            <w:tcBorders>
              <w:tl2br w:val="nil"/>
              <w:tr2bl w:val="nil"/>
            </w:tcBorders>
            <w:shd w:val="clear" w:color="auto" w:fill="auto"/>
            <w:vAlign w:val="center"/>
          </w:tcPr>
          <w:p w14:paraId="40923876">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1.设备包含中低音和高音扬声器。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2.额定功率：≥20W。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3.输入电压：100V。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4.频率范围：100Hz-15KHz(±15%)。</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5.灵敏度：≥91dB。</w:t>
            </w:r>
          </w:p>
        </w:tc>
        <w:tc>
          <w:tcPr>
            <w:tcW w:w="836" w:type="dxa"/>
            <w:tcBorders>
              <w:tl2br w:val="nil"/>
              <w:tr2bl w:val="nil"/>
            </w:tcBorders>
            <w:shd w:val="clear" w:color="auto" w:fill="auto"/>
            <w:vAlign w:val="center"/>
          </w:tcPr>
          <w:p w14:paraId="448CE2C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28</w:t>
            </w:r>
          </w:p>
        </w:tc>
        <w:tc>
          <w:tcPr>
            <w:tcW w:w="839" w:type="dxa"/>
            <w:tcBorders>
              <w:tl2br w:val="nil"/>
              <w:tr2bl w:val="nil"/>
            </w:tcBorders>
            <w:shd w:val="clear" w:color="auto" w:fill="auto"/>
            <w:vAlign w:val="center"/>
          </w:tcPr>
          <w:p w14:paraId="6BE5CDC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只</w:t>
            </w:r>
          </w:p>
        </w:tc>
      </w:tr>
      <w:tr w14:paraId="64B933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4A02CCE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w:t>
            </w:r>
          </w:p>
        </w:tc>
        <w:tc>
          <w:tcPr>
            <w:tcW w:w="1690" w:type="dxa"/>
            <w:tcBorders>
              <w:tl2br w:val="nil"/>
              <w:tr2bl w:val="nil"/>
            </w:tcBorders>
            <w:shd w:val="clear" w:color="auto" w:fill="auto"/>
            <w:vAlign w:val="center"/>
          </w:tcPr>
          <w:p w14:paraId="687B03A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教室广播开关</w:t>
            </w:r>
          </w:p>
        </w:tc>
        <w:tc>
          <w:tcPr>
            <w:tcW w:w="5232" w:type="dxa"/>
            <w:tcBorders>
              <w:tl2br w:val="nil"/>
              <w:tr2bl w:val="nil"/>
            </w:tcBorders>
            <w:shd w:val="clear" w:color="auto" w:fill="auto"/>
            <w:vAlign w:val="center"/>
          </w:tcPr>
          <w:p w14:paraId="5248A3D7">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86型开关面板。</w:t>
            </w:r>
          </w:p>
        </w:tc>
        <w:tc>
          <w:tcPr>
            <w:tcW w:w="836" w:type="dxa"/>
            <w:tcBorders>
              <w:tl2br w:val="nil"/>
              <w:tr2bl w:val="nil"/>
            </w:tcBorders>
            <w:shd w:val="clear" w:color="auto" w:fill="auto"/>
            <w:vAlign w:val="center"/>
          </w:tcPr>
          <w:p w14:paraId="47C25E7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20</w:t>
            </w:r>
          </w:p>
        </w:tc>
        <w:tc>
          <w:tcPr>
            <w:tcW w:w="839" w:type="dxa"/>
            <w:tcBorders>
              <w:tl2br w:val="nil"/>
              <w:tr2bl w:val="nil"/>
            </w:tcBorders>
            <w:shd w:val="clear" w:color="auto" w:fill="auto"/>
            <w:vAlign w:val="center"/>
          </w:tcPr>
          <w:p w14:paraId="06AE387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只</w:t>
            </w:r>
          </w:p>
        </w:tc>
      </w:tr>
      <w:tr w14:paraId="1C9C53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520ACBE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w:t>
            </w:r>
          </w:p>
        </w:tc>
        <w:tc>
          <w:tcPr>
            <w:tcW w:w="1690" w:type="dxa"/>
            <w:tcBorders>
              <w:tl2br w:val="nil"/>
              <w:tr2bl w:val="nil"/>
            </w:tcBorders>
            <w:shd w:val="clear" w:color="auto" w:fill="auto"/>
            <w:vAlign w:val="center"/>
          </w:tcPr>
          <w:p w14:paraId="69F966A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室外音柱</w:t>
            </w:r>
          </w:p>
        </w:tc>
        <w:tc>
          <w:tcPr>
            <w:tcW w:w="5232" w:type="dxa"/>
            <w:tcBorders>
              <w:tl2br w:val="nil"/>
              <w:tr2bl w:val="nil"/>
            </w:tcBorders>
            <w:shd w:val="clear" w:color="auto" w:fill="auto"/>
            <w:vAlign w:val="center"/>
          </w:tcPr>
          <w:p w14:paraId="7F83DE39">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1.外壳采用铝合金材料。</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2.额定功率：≥80W。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3.输入电压：100V。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4.灵敏度：≥89dB。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5.频率响应：110Hz-18KHz。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6.喇叭单元：等同或优于LF:4"×3；HF:3"×1。</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7.防水等级：等同或优于IP56。</w:t>
            </w:r>
          </w:p>
        </w:tc>
        <w:tc>
          <w:tcPr>
            <w:tcW w:w="836" w:type="dxa"/>
            <w:tcBorders>
              <w:tl2br w:val="nil"/>
              <w:tr2bl w:val="nil"/>
            </w:tcBorders>
            <w:shd w:val="clear" w:color="auto" w:fill="auto"/>
            <w:vAlign w:val="center"/>
          </w:tcPr>
          <w:p w14:paraId="17852EE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7</w:t>
            </w:r>
          </w:p>
        </w:tc>
        <w:tc>
          <w:tcPr>
            <w:tcW w:w="839" w:type="dxa"/>
            <w:tcBorders>
              <w:tl2br w:val="nil"/>
              <w:tr2bl w:val="nil"/>
            </w:tcBorders>
            <w:shd w:val="clear" w:color="auto" w:fill="auto"/>
            <w:vAlign w:val="center"/>
          </w:tcPr>
          <w:p w14:paraId="35D0F79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只</w:t>
            </w:r>
          </w:p>
        </w:tc>
      </w:tr>
      <w:tr w14:paraId="059C42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2527693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w:t>
            </w:r>
          </w:p>
        </w:tc>
        <w:tc>
          <w:tcPr>
            <w:tcW w:w="1690" w:type="dxa"/>
            <w:tcBorders>
              <w:tl2br w:val="nil"/>
              <w:tr2bl w:val="nil"/>
            </w:tcBorders>
            <w:shd w:val="clear" w:color="auto" w:fill="auto"/>
            <w:vAlign w:val="center"/>
          </w:tcPr>
          <w:p w14:paraId="599AEBB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调音台</w:t>
            </w:r>
          </w:p>
        </w:tc>
        <w:tc>
          <w:tcPr>
            <w:tcW w:w="5232" w:type="dxa"/>
            <w:tcBorders>
              <w:tl2br w:val="nil"/>
              <w:tr2bl w:val="nil"/>
            </w:tcBorders>
            <w:shd w:val="clear" w:color="auto" w:fill="auto"/>
            <w:vAlign w:val="center"/>
          </w:tcPr>
          <w:p w14:paraId="19202F2C">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1.不少于10路输入；支持不少于8路+48V幻象电源。</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2.不少于6组母线，MIAN输出；2组立体声输出；2组编组输出；1路效果输出；1路AUX输出。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3.每通道3段EQ均衡器，主输出7段图示均衡。</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4.100MM物理推子。</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5.具备独立录音输出及TRACK输入；独立通道监听。</w:t>
            </w:r>
          </w:p>
          <w:p w14:paraId="7EA4C801">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6.7频段图示均衡器。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7.支持蓝牙接收功能；支持MP3，WAV双解码播放功能；支持USB，SD卡。</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8.内置16种DSP效果器。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9.支持内置录音，支持USB声卡。</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10.支持超低音输出。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11.信噪比：＞85dB；失真度：(THD)＜0.03%(@1kHz)。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12.频率响应：20Hz-20kHz±1dB。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13.均衡参数：HF:10KHz±12dB;MF:2.5KHz±12dB;LF:20Hz±12dB。</w:t>
            </w:r>
          </w:p>
        </w:tc>
        <w:tc>
          <w:tcPr>
            <w:tcW w:w="836" w:type="dxa"/>
            <w:tcBorders>
              <w:tl2br w:val="nil"/>
              <w:tr2bl w:val="nil"/>
            </w:tcBorders>
            <w:shd w:val="clear" w:color="auto" w:fill="auto"/>
            <w:vAlign w:val="center"/>
          </w:tcPr>
          <w:p w14:paraId="339CFD2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839" w:type="dxa"/>
            <w:tcBorders>
              <w:tl2br w:val="nil"/>
              <w:tr2bl w:val="nil"/>
            </w:tcBorders>
            <w:shd w:val="clear" w:color="auto" w:fill="auto"/>
            <w:vAlign w:val="center"/>
          </w:tcPr>
          <w:p w14:paraId="63E3E3A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台</w:t>
            </w:r>
          </w:p>
        </w:tc>
      </w:tr>
      <w:tr w14:paraId="03EF9C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3F3DDAE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w:t>
            </w:r>
          </w:p>
        </w:tc>
        <w:tc>
          <w:tcPr>
            <w:tcW w:w="1690" w:type="dxa"/>
            <w:tcBorders>
              <w:tl2br w:val="nil"/>
              <w:tr2bl w:val="nil"/>
            </w:tcBorders>
            <w:shd w:val="clear" w:color="auto" w:fill="auto"/>
            <w:vAlign w:val="center"/>
          </w:tcPr>
          <w:p w14:paraId="4650649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无线话筒（手持）</w:t>
            </w:r>
          </w:p>
        </w:tc>
        <w:tc>
          <w:tcPr>
            <w:tcW w:w="5232" w:type="dxa"/>
            <w:tcBorders>
              <w:tl2br w:val="nil"/>
              <w:tr2bl w:val="nil"/>
            </w:tcBorders>
            <w:shd w:val="clear" w:color="auto" w:fill="auto"/>
            <w:vAlign w:val="center"/>
          </w:tcPr>
          <w:p w14:paraId="194B2C32">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1.频率范围：740-790mHz。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2.发射功率：等同或优于30mw。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3.调制方式：宽带FM。</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4.可调范围：50mHz。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5.信道数目：等同或优于200。</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6.信道间隔：250KHz。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7.频率稳定度：±0.005%以内。</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8.动态范围：＞100d。</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9.最大频偏：±45KHz。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10.音频响应：80Hz-18KHz(±3dB)。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11.综合信噪比：＞105dB。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12.音频输出：独立式0-400mv 混合式0-400mv。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13.指示器 ：电源开关指示及低压指示。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14.综合失真：≤0.5%。</w:t>
            </w:r>
          </w:p>
        </w:tc>
        <w:tc>
          <w:tcPr>
            <w:tcW w:w="836" w:type="dxa"/>
            <w:tcBorders>
              <w:tl2br w:val="nil"/>
              <w:tr2bl w:val="nil"/>
            </w:tcBorders>
            <w:shd w:val="clear" w:color="auto" w:fill="auto"/>
            <w:vAlign w:val="center"/>
          </w:tcPr>
          <w:p w14:paraId="4EE78EC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839" w:type="dxa"/>
            <w:tcBorders>
              <w:tl2br w:val="nil"/>
              <w:tr2bl w:val="nil"/>
            </w:tcBorders>
            <w:shd w:val="clear" w:color="auto" w:fill="auto"/>
            <w:vAlign w:val="center"/>
          </w:tcPr>
          <w:p w14:paraId="5ED8C9E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套</w:t>
            </w:r>
          </w:p>
        </w:tc>
      </w:tr>
      <w:tr w14:paraId="722724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54C75E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7</w:t>
            </w:r>
          </w:p>
        </w:tc>
        <w:tc>
          <w:tcPr>
            <w:tcW w:w="1690" w:type="dxa"/>
            <w:tcBorders>
              <w:tl2br w:val="nil"/>
              <w:tr2bl w:val="nil"/>
            </w:tcBorders>
            <w:shd w:val="clear" w:color="auto" w:fill="auto"/>
            <w:vAlign w:val="center"/>
          </w:tcPr>
          <w:p w14:paraId="575D43B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天线分配器</w:t>
            </w:r>
          </w:p>
        </w:tc>
        <w:tc>
          <w:tcPr>
            <w:tcW w:w="5232" w:type="dxa"/>
            <w:tcBorders>
              <w:tl2br w:val="nil"/>
              <w:tr2bl w:val="nil"/>
            </w:tcBorders>
            <w:shd w:val="clear" w:color="auto" w:fill="auto"/>
            <w:vAlign w:val="center"/>
          </w:tcPr>
          <w:p w14:paraId="59B4DC34">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1.支持多频道接收系统同时使用时能排除混频干扰。</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2.天线输入连接座具有供应天线放大器的电源，可直接连接具有天线放大器的延长天线及内建放大器的天线。</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3.能提供四台宽频多频道接收机共用一对天线，第二台分配器，同时级联或宽频多频道接收机，简化天线装配工程。</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4.分路器支持4路12V DC电源输出。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5.载波范围为500MHZ─850MHZ。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6.输入截断点：+15dBm。</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7.输出/输入增益：+1.0dB±1dB。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8.输出端隔离度：＞18dB 在500MHz─850MHz。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9.输出/入阻抗：50Ω。</w:t>
            </w:r>
          </w:p>
          <w:p w14:paraId="03ABE250">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10.有源对数周期天线：</w:t>
            </w:r>
          </w:p>
          <w:p w14:paraId="19B2C2BC">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10.1 天线阻抗 :50Ω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10.2 天线增益：3-5dB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10.3 驻波比：≤2.5:1</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10.4 接收模：等同或优于65°（垂直角）,120°(水平面）。</w:t>
            </w:r>
          </w:p>
          <w:p w14:paraId="50FFD73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11.一对有源对数周期天线：</w:t>
            </w:r>
          </w:p>
          <w:p w14:paraId="34253673">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11.1 天线阻抗：50Ω；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11.2 天线增益：3-5dB；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11.3 驻波比：≤2.5:1。</w:t>
            </w:r>
          </w:p>
        </w:tc>
        <w:tc>
          <w:tcPr>
            <w:tcW w:w="836" w:type="dxa"/>
            <w:tcBorders>
              <w:tl2br w:val="nil"/>
              <w:tr2bl w:val="nil"/>
            </w:tcBorders>
            <w:shd w:val="clear" w:color="auto" w:fill="auto"/>
            <w:vAlign w:val="center"/>
          </w:tcPr>
          <w:p w14:paraId="490CA13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839" w:type="dxa"/>
            <w:tcBorders>
              <w:tl2br w:val="nil"/>
              <w:tr2bl w:val="nil"/>
            </w:tcBorders>
            <w:shd w:val="clear" w:color="auto" w:fill="auto"/>
            <w:vAlign w:val="center"/>
          </w:tcPr>
          <w:p w14:paraId="0FCA3C8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套</w:t>
            </w:r>
          </w:p>
        </w:tc>
      </w:tr>
      <w:tr w14:paraId="3CFD30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463B53E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w:t>
            </w:r>
          </w:p>
        </w:tc>
        <w:tc>
          <w:tcPr>
            <w:tcW w:w="1690" w:type="dxa"/>
            <w:tcBorders>
              <w:tl2br w:val="nil"/>
              <w:tr2bl w:val="nil"/>
            </w:tcBorders>
            <w:shd w:val="clear" w:color="auto" w:fill="auto"/>
            <w:vAlign w:val="center"/>
          </w:tcPr>
          <w:p w14:paraId="1F28BCE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教室广播功放</w:t>
            </w:r>
          </w:p>
        </w:tc>
        <w:tc>
          <w:tcPr>
            <w:tcW w:w="5232" w:type="dxa"/>
            <w:tcBorders>
              <w:tl2br w:val="nil"/>
              <w:tr2bl w:val="nil"/>
            </w:tcBorders>
            <w:shd w:val="clear" w:color="auto" w:fill="auto"/>
            <w:vAlign w:val="center"/>
          </w:tcPr>
          <w:p w14:paraId="2360AB6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1.支持定阻和定压两种输出方式。定压输出设有70V和100V。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2.具有RS485控制接口，可通过广播管理系统主机监控功放的状态、温度。</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3.带短路输入、输出端口，用于功放之间串联驳接，时序开关功放电源。</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4.输出方式：70V/100V /4～16Ω。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5.信噪比：≥90dB（定压100V,A计权）。</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6.输出功率：≥800W.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7.频率响应：100Hz－18KHz(+1/-4dB)。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8.总谐波失真：100Hz－18KHz≤0.8%，1KHz≤0.2%。</w:t>
            </w:r>
          </w:p>
        </w:tc>
        <w:tc>
          <w:tcPr>
            <w:tcW w:w="836" w:type="dxa"/>
            <w:tcBorders>
              <w:tl2br w:val="nil"/>
              <w:tr2bl w:val="nil"/>
            </w:tcBorders>
            <w:shd w:val="clear" w:color="auto" w:fill="auto"/>
            <w:vAlign w:val="center"/>
          </w:tcPr>
          <w:p w14:paraId="0E2D994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839" w:type="dxa"/>
            <w:tcBorders>
              <w:tl2br w:val="nil"/>
              <w:tr2bl w:val="nil"/>
            </w:tcBorders>
            <w:shd w:val="clear" w:color="auto" w:fill="auto"/>
            <w:vAlign w:val="center"/>
          </w:tcPr>
          <w:p w14:paraId="51A2BF2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台</w:t>
            </w:r>
          </w:p>
        </w:tc>
      </w:tr>
      <w:tr w14:paraId="79053F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4EA91B6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9</w:t>
            </w:r>
          </w:p>
        </w:tc>
        <w:tc>
          <w:tcPr>
            <w:tcW w:w="1690" w:type="dxa"/>
            <w:tcBorders>
              <w:tl2br w:val="nil"/>
              <w:tr2bl w:val="nil"/>
            </w:tcBorders>
            <w:shd w:val="clear" w:color="auto" w:fill="auto"/>
            <w:vAlign w:val="center"/>
          </w:tcPr>
          <w:p w14:paraId="14EF190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操场广播功放</w:t>
            </w:r>
          </w:p>
        </w:tc>
        <w:tc>
          <w:tcPr>
            <w:tcW w:w="5232" w:type="dxa"/>
            <w:tcBorders>
              <w:tl2br w:val="nil"/>
              <w:tr2bl w:val="nil"/>
            </w:tcBorders>
            <w:shd w:val="clear" w:color="auto" w:fill="auto"/>
            <w:vAlign w:val="center"/>
          </w:tcPr>
          <w:p w14:paraId="3049FC17">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1.支持定阻和定压两种输出方式。定压输出设有70V和100V。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2.具有RS485控制接口，可通过广播管理系统主机监控功放的状态、温度。</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3.带短路输入、输出端口，用于功放之间串联驳接，时序开关功放电源。</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4.输出方式：70V/100V /4～16Ω。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5.信噪比：≥90dB（定压100V,A计权）。</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6.输出功率：≥1000W。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7.频率响应：100Hz－18KHz(+1/-4dB)。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8.总谐波失真：100Hz－18KHz≤0.8%，1KHz≤0.2%。</w:t>
            </w:r>
          </w:p>
        </w:tc>
        <w:tc>
          <w:tcPr>
            <w:tcW w:w="836" w:type="dxa"/>
            <w:tcBorders>
              <w:tl2br w:val="nil"/>
              <w:tr2bl w:val="nil"/>
            </w:tcBorders>
            <w:shd w:val="clear" w:color="auto" w:fill="auto"/>
            <w:vAlign w:val="center"/>
          </w:tcPr>
          <w:p w14:paraId="04DF10A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839" w:type="dxa"/>
            <w:tcBorders>
              <w:tl2br w:val="nil"/>
              <w:tr2bl w:val="nil"/>
            </w:tcBorders>
            <w:shd w:val="clear" w:color="auto" w:fill="auto"/>
            <w:vAlign w:val="center"/>
          </w:tcPr>
          <w:p w14:paraId="5142A20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台</w:t>
            </w:r>
          </w:p>
        </w:tc>
      </w:tr>
      <w:tr w14:paraId="7DE320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24C2C89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10</w:t>
            </w:r>
          </w:p>
        </w:tc>
        <w:tc>
          <w:tcPr>
            <w:tcW w:w="1690" w:type="dxa"/>
            <w:tcBorders>
              <w:tl2br w:val="nil"/>
              <w:tr2bl w:val="nil"/>
            </w:tcBorders>
            <w:shd w:val="clear" w:color="auto" w:fill="auto"/>
            <w:vAlign w:val="center"/>
          </w:tcPr>
          <w:p w14:paraId="6867ECD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电源时序器</w:t>
            </w:r>
          </w:p>
        </w:tc>
        <w:tc>
          <w:tcPr>
            <w:tcW w:w="5232" w:type="dxa"/>
            <w:tcBorders>
              <w:tl2br w:val="nil"/>
              <w:tr2bl w:val="nil"/>
            </w:tcBorders>
            <w:shd w:val="clear" w:color="auto" w:fill="auto"/>
            <w:vAlign w:val="center"/>
          </w:tcPr>
          <w:p w14:paraId="3187D1CF">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1.不低于16路电源输出，时序开关控制，顺序开启，反序关闭。</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2.控制口：短路信号输入，支持时序开关外接，方便与其他系统联动。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3.单路最大电源电流：10A。</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4.根据任务需求自动打开和关闭，实现无人化自动值守。</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5.硬件接口：带RS232控制口；RS422数据接口。</w:t>
            </w:r>
          </w:p>
        </w:tc>
        <w:tc>
          <w:tcPr>
            <w:tcW w:w="836" w:type="dxa"/>
            <w:tcBorders>
              <w:tl2br w:val="nil"/>
              <w:tr2bl w:val="nil"/>
            </w:tcBorders>
            <w:shd w:val="clear" w:color="auto" w:fill="auto"/>
            <w:vAlign w:val="center"/>
          </w:tcPr>
          <w:p w14:paraId="4C8CF9B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839" w:type="dxa"/>
            <w:tcBorders>
              <w:tl2br w:val="nil"/>
              <w:tr2bl w:val="nil"/>
            </w:tcBorders>
            <w:shd w:val="clear" w:color="auto" w:fill="auto"/>
            <w:vAlign w:val="center"/>
          </w:tcPr>
          <w:p w14:paraId="1F87B26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台</w:t>
            </w:r>
          </w:p>
        </w:tc>
      </w:tr>
      <w:tr w14:paraId="5C7F72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0DD1D5A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11</w:t>
            </w:r>
          </w:p>
        </w:tc>
        <w:tc>
          <w:tcPr>
            <w:tcW w:w="1690" w:type="dxa"/>
            <w:tcBorders>
              <w:tl2br w:val="nil"/>
              <w:tr2bl w:val="nil"/>
            </w:tcBorders>
            <w:shd w:val="clear" w:color="auto" w:fill="auto"/>
            <w:vAlign w:val="center"/>
          </w:tcPr>
          <w:p w14:paraId="0693DC9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机柜</w:t>
            </w:r>
          </w:p>
        </w:tc>
        <w:tc>
          <w:tcPr>
            <w:tcW w:w="5232" w:type="dxa"/>
            <w:tcBorders>
              <w:tl2br w:val="nil"/>
              <w:tr2bl w:val="nil"/>
            </w:tcBorders>
            <w:shd w:val="clear" w:color="auto" w:fill="auto"/>
            <w:vAlign w:val="center"/>
          </w:tcPr>
          <w:p w14:paraId="37724BD2">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19英寸标准机柜,优质冷扎钢板制作，钢化玻璃门，32U。</w:t>
            </w:r>
          </w:p>
        </w:tc>
        <w:tc>
          <w:tcPr>
            <w:tcW w:w="836" w:type="dxa"/>
            <w:tcBorders>
              <w:tl2br w:val="nil"/>
              <w:tr2bl w:val="nil"/>
            </w:tcBorders>
            <w:shd w:val="clear" w:color="auto" w:fill="auto"/>
            <w:vAlign w:val="center"/>
          </w:tcPr>
          <w:p w14:paraId="289833F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839" w:type="dxa"/>
            <w:tcBorders>
              <w:tl2br w:val="nil"/>
              <w:tr2bl w:val="nil"/>
            </w:tcBorders>
            <w:shd w:val="clear" w:color="auto" w:fill="auto"/>
            <w:vAlign w:val="center"/>
          </w:tcPr>
          <w:p w14:paraId="4693F26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eastAsiaTheme="minorEastAsia" w:cstheme="minorEastAsia"/>
                <w:color w:val="auto"/>
                <w:kern w:val="0"/>
                <w:sz w:val="21"/>
                <w:szCs w:val="21"/>
                <w:highlight w:val="none"/>
                <w:lang w:eastAsia="zh-CN" w:bidi="ar"/>
              </w:rPr>
              <w:t>只</w:t>
            </w:r>
          </w:p>
        </w:tc>
      </w:tr>
      <w:tr w14:paraId="1DDE85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9420" w:type="dxa"/>
            <w:gridSpan w:val="5"/>
            <w:tcBorders>
              <w:tl2br w:val="nil"/>
              <w:tr2bl w:val="nil"/>
            </w:tcBorders>
            <w:shd w:val="clear" w:color="auto" w:fill="auto"/>
            <w:vAlign w:val="center"/>
          </w:tcPr>
          <w:p w14:paraId="022AC29F">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SA"/>
              </w:rPr>
              <w:t>胜蓝实验小学东新园校区</w:t>
            </w:r>
          </w:p>
        </w:tc>
      </w:tr>
      <w:tr w14:paraId="1878D3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40" w:hRule="atLeast"/>
        </w:trPr>
        <w:tc>
          <w:tcPr>
            <w:tcW w:w="823" w:type="dxa"/>
            <w:tcBorders>
              <w:tl2br w:val="nil"/>
              <w:tr2bl w:val="nil"/>
            </w:tcBorders>
            <w:shd w:val="clear" w:color="auto" w:fill="auto"/>
            <w:vAlign w:val="center"/>
          </w:tcPr>
          <w:p w14:paraId="7871058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序号</w:t>
            </w:r>
          </w:p>
        </w:tc>
        <w:tc>
          <w:tcPr>
            <w:tcW w:w="1690" w:type="dxa"/>
            <w:tcBorders>
              <w:tl2br w:val="nil"/>
              <w:tr2bl w:val="nil"/>
            </w:tcBorders>
            <w:shd w:val="clear" w:color="auto" w:fill="auto"/>
            <w:vAlign w:val="center"/>
          </w:tcPr>
          <w:p w14:paraId="6D1D850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设备名称</w:t>
            </w:r>
          </w:p>
        </w:tc>
        <w:tc>
          <w:tcPr>
            <w:tcW w:w="5232" w:type="dxa"/>
            <w:tcBorders>
              <w:tl2br w:val="nil"/>
              <w:tr2bl w:val="nil"/>
            </w:tcBorders>
            <w:shd w:val="clear" w:color="auto" w:fill="auto"/>
            <w:vAlign w:val="center"/>
          </w:tcPr>
          <w:p w14:paraId="684A0E4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采购要求</w:t>
            </w:r>
          </w:p>
        </w:tc>
        <w:tc>
          <w:tcPr>
            <w:tcW w:w="836" w:type="dxa"/>
            <w:tcBorders>
              <w:tl2br w:val="nil"/>
              <w:tr2bl w:val="nil"/>
            </w:tcBorders>
            <w:shd w:val="clear" w:color="auto" w:fill="auto"/>
            <w:vAlign w:val="center"/>
          </w:tcPr>
          <w:p w14:paraId="7F85906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数量</w:t>
            </w:r>
          </w:p>
        </w:tc>
        <w:tc>
          <w:tcPr>
            <w:tcW w:w="839" w:type="dxa"/>
            <w:tcBorders>
              <w:tl2br w:val="nil"/>
              <w:tr2bl w:val="nil"/>
            </w:tcBorders>
            <w:shd w:val="clear" w:color="auto" w:fill="auto"/>
            <w:vAlign w:val="center"/>
          </w:tcPr>
          <w:p w14:paraId="0629ADC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单位</w:t>
            </w:r>
          </w:p>
        </w:tc>
      </w:tr>
      <w:tr w14:paraId="738191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0179E97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1</w:t>
            </w:r>
          </w:p>
        </w:tc>
        <w:tc>
          <w:tcPr>
            <w:tcW w:w="1690" w:type="dxa"/>
            <w:tcBorders>
              <w:tl2br w:val="nil"/>
              <w:tr2bl w:val="nil"/>
            </w:tcBorders>
            <w:shd w:val="clear" w:color="auto" w:fill="auto"/>
            <w:vAlign w:val="center"/>
          </w:tcPr>
          <w:p w14:paraId="291495C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智能广播主机</w:t>
            </w:r>
          </w:p>
        </w:tc>
        <w:tc>
          <w:tcPr>
            <w:tcW w:w="5232" w:type="dxa"/>
            <w:tcBorders>
              <w:tl2br w:val="nil"/>
              <w:tr2bl w:val="nil"/>
            </w:tcBorders>
            <w:shd w:val="clear" w:color="auto" w:fill="auto"/>
            <w:vAlign w:val="center"/>
          </w:tcPr>
          <w:p w14:paraId="26635D9D">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1.屏幕尺寸：≥17寸。</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2.分辨率：≥1920*1080。</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3.触摸方式：触摸屏。</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4.具备音量旋钮。</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5.两组输入莲花接口，两组输出莲花接口。</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6.配键盘鼠标。</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7.具备DVD超薄光驱。</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8．配置参数：</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8.1 主板：不低于B75工业主板；</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8.2 处理器：i5-3470及以上，主频3.2GHz及以上；</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8.3 内存：≥8G；</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8.4 固态硬盘：≥128G。</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9.支持定时开机，通电开机。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10.支持双显。</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11.后置接口：≥6个串口，≥6个USB，≥1个HDMI口，≥1个VGA口，≥3个千兆网口，≥1个PS/2，≥2路莲花口输入，≥2路莲花口输出。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12.前置接口：USB2.0接口，6.35麦克接口。</w:t>
            </w:r>
          </w:p>
          <w:p w14:paraId="4AC00E33">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13.设备功能：</w:t>
            </w:r>
          </w:p>
          <w:p w14:paraId="5EFC500E">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13.1 可修改服务器端口号，服务器播放模式参数；</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13.2 媒体文件可批量上传文件；</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13.3 媒体文件可进行独立分组；</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13.4 定时任务支持试听功能，并支持任务名称修改，LED文字显示任务设置（显示模式可选任务期间一直显示或滚动次数显示；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13.5 可根据工作日，每日、单独一周内某一天定时播放，播放模式可选择单曲播放，单曲循环、顺序播放、循环播放、随机播放，时间模式可设置星期循环及决定时间；定时类型可选择指定时刻或起止时间；任务类型可选文件播放或采播设备；</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13.6 具有静默功能，在设定时间范围内将不会执行任何定时任务，可一键清除设置；</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13.7 支持批量编辑定时任务程序，可针对任务名称中包含输入的字符的任务做增加行选项或清除星期选项；</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13.8 可对网络广播终端进行独立分区、设备独立IP显示、音量显示、独立音量控制，终端的状态显示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13.9 支持按时间段自动切换，自动切换定时程序；</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13.10 支持任务预存功能，预存任务可实时点击播放；</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13.11 支持可修改管理员名称、密码，解锁密码，可设置用户服务授权码，可显示服务状态（服务器端口状态和开关控制）；</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13.12 支持临时插播任务，插播任务可添加到预存任务。任务名称可修改，可保存任务打本地或读取本地事先编辑编辑好的任务；播放模式可选择单曲播放，单曲循环、顺序播放、循环播放、随机播放，定时类型可选择指定时刻或起止时段；任务类型可选文件播放或采播设备；</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13.13 可采集服务器电脑声卡，实时播放至某一个多多个终端，实现实时采集播放功能；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13.14 可修改设备IP地址，设备名称及指定服务器IP地址</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13.15 可通过安卓手机进行点播任务，喊话以及定时任务的预览与临时忽略功能；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13.16 具有文字转语音功能，可实现编辑文字一键播放到指定终端；</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13.17 具有日志功能，可查看下载任务日志到本地；</w:t>
            </w:r>
          </w:p>
        </w:tc>
        <w:tc>
          <w:tcPr>
            <w:tcW w:w="836" w:type="dxa"/>
            <w:tcBorders>
              <w:tl2br w:val="nil"/>
              <w:tr2bl w:val="nil"/>
            </w:tcBorders>
            <w:shd w:val="clear" w:color="auto" w:fill="auto"/>
            <w:vAlign w:val="center"/>
          </w:tcPr>
          <w:p w14:paraId="384BB565">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1</w:t>
            </w:r>
          </w:p>
        </w:tc>
        <w:tc>
          <w:tcPr>
            <w:tcW w:w="839" w:type="dxa"/>
            <w:tcBorders>
              <w:tl2br w:val="nil"/>
              <w:tr2bl w:val="nil"/>
            </w:tcBorders>
            <w:shd w:val="clear" w:color="auto" w:fill="auto"/>
            <w:vAlign w:val="center"/>
          </w:tcPr>
          <w:p w14:paraId="4A2E2BA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台</w:t>
            </w:r>
          </w:p>
        </w:tc>
      </w:tr>
      <w:tr w14:paraId="3F1B60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637D180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690" w:type="dxa"/>
            <w:tcBorders>
              <w:tl2br w:val="nil"/>
              <w:tr2bl w:val="nil"/>
            </w:tcBorders>
            <w:shd w:val="clear" w:color="auto" w:fill="auto"/>
            <w:vAlign w:val="center"/>
          </w:tcPr>
          <w:p w14:paraId="5D86967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网络广播控制器</w:t>
            </w:r>
          </w:p>
        </w:tc>
        <w:tc>
          <w:tcPr>
            <w:tcW w:w="5232" w:type="dxa"/>
            <w:tcBorders>
              <w:tl2br w:val="nil"/>
              <w:tr2bl w:val="nil"/>
            </w:tcBorders>
            <w:shd w:val="clear" w:color="auto" w:fill="auto"/>
            <w:vAlign w:val="center"/>
          </w:tcPr>
          <w:p w14:paraId="514631BB">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1.具备手动开关机、自动记忆功能。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2.消防24V输出可控制音量控制开关。</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3.标准机架式，2U高度；铝面板。</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4.固定静态的IP地址，当网络发生改变时地址不会丢失，工作稳定。</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5.内置嵌入式网络语音解码模块，完成网络音频流的同步接收和解码。</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6.提供自动，手动强制电源开关按钮。</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7.≥4路网络信号输入，≥4路立体声音频信号输出。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8.≥4路电源控制(220V)；自动控制外接功放设备的电源；电源管理支持预开功能。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9.具备智能电源管理功能，在无工作状态时功放自动进入休眠状态，当有播放任务时，功放自动启动。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10.带有远程音量调节功能，终端在自动启动和播放任务的时候，自动将音量调节到系统设定的默认状态。音量自动调节默认值分别可制定为背景音乐音量、紧急广播音量和消防广播音量筹。</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11.设备具备全数字高音、低音和主音量调节。</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12.通过网络支持接收来自服务器的广播节目，包括话筒寻呼、消防警报自动强插、电话寻呼等。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13兼容TCP/IP网络协议，支持跨网关、跨路由、互联网传输。通过网络联机设定IP地址及网络配置等。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14.具有远程升级功能。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15.支持软件远程设置高低音功能，可以根据播放内容对高低音要求不同自行设置。</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16.设备参数：</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16.1 数字音频输入；</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16.2 网络接口：4组，RJ45、10M/100M；</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16.3 网络协议：TCP/IP、UDP；</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16.4 音频格式：MP3/MP2；</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16.5 支持码流：32K-320K；</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16.6 频带宽度：20Hz-20KHz；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16.7 灵敏度：92dB；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16.8 信噪比线路：≥90dB；话筒：≥88dB；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16.9 模拟音频输入：</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（1）MIC输入：10MV6.3mm单声道插座，线路输入频带宽度：20Hz-20KHz；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（2）LINE输入:立体声1V p-p,10K莲花插座，输入电源：AC 220V±10%,50-60Hz。</w:t>
            </w:r>
          </w:p>
        </w:tc>
        <w:tc>
          <w:tcPr>
            <w:tcW w:w="836" w:type="dxa"/>
            <w:tcBorders>
              <w:tl2br w:val="nil"/>
              <w:tr2bl w:val="nil"/>
            </w:tcBorders>
            <w:shd w:val="clear" w:color="auto" w:fill="auto"/>
            <w:vAlign w:val="center"/>
          </w:tcPr>
          <w:p w14:paraId="76641DF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1</w:t>
            </w:r>
          </w:p>
        </w:tc>
        <w:tc>
          <w:tcPr>
            <w:tcW w:w="839" w:type="dxa"/>
            <w:tcBorders>
              <w:tl2br w:val="nil"/>
              <w:tr2bl w:val="nil"/>
            </w:tcBorders>
            <w:shd w:val="clear" w:color="auto" w:fill="auto"/>
            <w:vAlign w:val="center"/>
          </w:tcPr>
          <w:p w14:paraId="33CF63A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台</w:t>
            </w:r>
          </w:p>
        </w:tc>
      </w:tr>
      <w:tr w14:paraId="35566F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A7B7CA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690" w:type="dxa"/>
            <w:tcBorders>
              <w:tl2br w:val="nil"/>
              <w:tr2bl w:val="nil"/>
            </w:tcBorders>
            <w:shd w:val="clear" w:color="auto" w:fill="FFFFFF"/>
            <w:vAlign w:val="center"/>
          </w:tcPr>
          <w:p w14:paraId="69C6BB4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2编组16路调音台</w:t>
            </w:r>
          </w:p>
        </w:tc>
        <w:tc>
          <w:tcPr>
            <w:tcW w:w="5232" w:type="dxa"/>
            <w:tcBorders>
              <w:tl2br w:val="nil"/>
              <w:tr2bl w:val="nil"/>
            </w:tcBorders>
            <w:shd w:val="clear" w:color="auto" w:fill="FFFFFF"/>
            <w:vAlign w:val="center"/>
          </w:tcPr>
          <w:p w14:paraId="7CB6EAF8">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1.2编组4母线调音台。</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2.14路线路输入+2组立体声输入，特设录音功能256/24BitDSP效果器。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3.≥6路母线（BUS）：主输出+两编组+监听室输出+录音输出与返回。</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4.≥2路AUX外接与返回，≥9段主控均衡。</w:t>
            </w:r>
          </w:p>
        </w:tc>
        <w:tc>
          <w:tcPr>
            <w:tcW w:w="836" w:type="dxa"/>
            <w:tcBorders>
              <w:tl2br w:val="nil"/>
              <w:tr2bl w:val="nil"/>
            </w:tcBorders>
            <w:shd w:val="clear" w:color="auto" w:fill="FFFFFF"/>
            <w:vAlign w:val="center"/>
          </w:tcPr>
          <w:p w14:paraId="786B50A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1</w:t>
            </w:r>
          </w:p>
        </w:tc>
        <w:tc>
          <w:tcPr>
            <w:tcW w:w="839" w:type="dxa"/>
            <w:tcBorders>
              <w:tl2br w:val="nil"/>
              <w:tr2bl w:val="nil"/>
            </w:tcBorders>
            <w:shd w:val="clear" w:color="auto" w:fill="FFFFFF"/>
            <w:vAlign w:val="center"/>
          </w:tcPr>
          <w:p w14:paraId="64879C6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台</w:t>
            </w:r>
          </w:p>
        </w:tc>
      </w:tr>
      <w:tr w14:paraId="173CD4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023BC87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1690" w:type="dxa"/>
            <w:tcBorders>
              <w:tl2br w:val="nil"/>
              <w:tr2bl w:val="nil"/>
            </w:tcBorders>
            <w:shd w:val="clear" w:color="auto" w:fill="auto"/>
            <w:vAlign w:val="center"/>
          </w:tcPr>
          <w:p w14:paraId="563B2655">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触摸屏话筒</w:t>
            </w:r>
          </w:p>
        </w:tc>
        <w:tc>
          <w:tcPr>
            <w:tcW w:w="5232" w:type="dxa"/>
            <w:tcBorders>
              <w:tl2br w:val="nil"/>
              <w:tr2bl w:val="nil"/>
            </w:tcBorders>
            <w:shd w:val="clear" w:color="auto" w:fill="auto"/>
            <w:vAlign w:val="center"/>
          </w:tcPr>
          <w:p w14:paraId="40D71BCF">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1.话筒具备音量调节功能，一键静音功能。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2.面板带≥7寸TFT真彩色液晶屏，自动背光关闭，触摸自动控制、数字／分区快捷按键，一键选择寻呼。</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3.桌面外型式设计专业寻呼话筒。</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4.采用嵌入式PC技术和内置工业级高速处理芯片，启动时间≤1秒。</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5.带咪杆拾音，对权限允许区域广播讲话。</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6.具备跨网关、跨路由能力，有以太网口的地方即可接入。</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7.在管理系统的授权下可实现点对点、点对多点寻呼广播。可实现话筒之间双向对讲功能。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8.具有远程升级功能。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9.可调节音量，可实时调整终端音量，MIC增益，本地储存终端列表，支持本地独立群组编辑和快捷选组讲话。</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10.设备参数：</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10.1 网络接口：标准RJ45输入；</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10.2 网络协议：TCP/IP、UDP、IGMP(组播)；</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10.3 电源：DC12V 1A，±0.1V；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10.4 数字音频格式：GG编码；</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10.5 样码流：80-128K；</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10.6 传输速率：10/100Mbps自适应；</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10.7 音频模式：16-32位立体声CD音质；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10.8 工作功耗：≤10W；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10.9 输出频率：20Hz~20KHz；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10.10 谐波失真：≤0.1%；</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10.11 信噪比：＞82dB。</w:t>
            </w:r>
          </w:p>
        </w:tc>
        <w:tc>
          <w:tcPr>
            <w:tcW w:w="836" w:type="dxa"/>
            <w:tcBorders>
              <w:tl2br w:val="nil"/>
              <w:tr2bl w:val="nil"/>
            </w:tcBorders>
            <w:shd w:val="clear" w:color="auto" w:fill="auto"/>
            <w:vAlign w:val="center"/>
          </w:tcPr>
          <w:p w14:paraId="34158AA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2</w:t>
            </w:r>
          </w:p>
        </w:tc>
        <w:tc>
          <w:tcPr>
            <w:tcW w:w="839" w:type="dxa"/>
            <w:tcBorders>
              <w:tl2br w:val="nil"/>
              <w:tr2bl w:val="nil"/>
            </w:tcBorders>
            <w:shd w:val="clear" w:color="auto" w:fill="auto"/>
            <w:vAlign w:val="center"/>
          </w:tcPr>
          <w:p w14:paraId="288D405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台</w:t>
            </w:r>
          </w:p>
        </w:tc>
      </w:tr>
      <w:tr w14:paraId="7F886F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30BA647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1690" w:type="dxa"/>
            <w:tcBorders>
              <w:tl2br w:val="nil"/>
              <w:tr2bl w:val="nil"/>
            </w:tcBorders>
            <w:shd w:val="clear" w:color="auto" w:fill="FFFFFF"/>
            <w:vAlign w:val="center"/>
          </w:tcPr>
          <w:p w14:paraId="649D216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合并式功放机</w:t>
            </w:r>
          </w:p>
        </w:tc>
        <w:tc>
          <w:tcPr>
            <w:tcW w:w="5232" w:type="dxa"/>
            <w:tcBorders>
              <w:tl2br w:val="nil"/>
              <w:tr2bl w:val="nil"/>
            </w:tcBorders>
            <w:shd w:val="clear" w:color="auto" w:fill="FFFFFF"/>
            <w:vAlign w:val="center"/>
          </w:tcPr>
          <w:p w14:paraId="60475D47">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1.具备显示屏，显示温度与增益。</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2.具备防空警报触发开关。</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3.≥2通道麦克风输入，≥2通道Line线路输入，自带一3.输入音量有单独调节按钮和高音、低音音量调节按钮。</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4.设备具有短路、过载、过热等自我保护，散热风机温控启动及关闭，功放温度实时监控，温控增益智能调节。</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5.断电可保持，再次上电会自动打开上次分区状态。</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6.额定输出功率：≥650W。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7.扬声器输出：70V,110V＆4-16Ω。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8.音调：等同或优于低音：±6dB at 100Hz;高音：±6dB at 10KHz。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9.频率响应：50Hz-16KHz。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10.信噪比：≥80dB。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11.总谐波失真：1KHz时0.5%，1/3输出功率。</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12.材质：铝面板，SPCC高强度冷轧板材质机箱。</w:t>
            </w:r>
          </w:p>
        </w:tc>
        <w:tc>
          <w:tcPr>
            <w:tcW w:w="836" w:type="dxa"/>
            <w:tcBorders>
              <w:tl2br w:val="nil"/>
              <w:tr2bl w:val="nil"/>
            </w:tcBorders>
            <w:shd w:val="clear" w:color="auto" w:fill="FFFFFF"/>
            <w:vAlign w:val="center"/>
          </w:tcPr>
          <w:p w14:paraId="1008A20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3</w:t>
            </w:r>
          </w:p>
        </w:tc>
        <w:tc>
          <w:tcPr>
            <w:tcW w:w="839" w:type="dxa"/>
            <w:tcBorders>
              <w:tl2br w:val="nil"/>
              <w:tr2bl w:val="nil"/>
            </w:tcBorders>
            <w:shd w:val="clear" w:color="auto" w:fill="FFFFFF"/>
            <w:vAlign w:val="center"/>
          </w:tcPr>
          <w:p w14:paraId="7847514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台</w:t>
            </w:r>
          </w:p>
        </w:tc>
      </w:tr>
      <w:tr w14:paraId="6630C1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C7D248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1690" w:type="dxa"/>
            <w:tcBorders>
              <w:tl2br w:val="nil"/>
              <w:tr2bl w:val="nil"/>
            </w:tcBorders>
            <w:shd w:val="clear" w:color="auto" w:fill="auto"/>
            <w:vAlign w:val="center"/>
          </w:tcPr>
          <w:p w14:paraId="0848AAF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壁挂扬声器</w:t>
            </w:r>
          </w:p>
        </w:tc>
        <w:tc>
          <w:tcPr>
            <w:tcW w:w="5232" w:type="dxa"/>
            <w:tcBorders>
              <w:tl2br w:val="nil"/>
              <w:tr2bl w:val="nil"/>
            </w:tcBorders>
            <w:shd w:val="clear" w:color="auto" w:fill="auto"/>
            <w:vAlign w:val="center"/>
          </w:tcPr>
          <w:p w14:paraId="20A7AEEC">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1.ABS塑料外壳扬声器，内置110V音频变压器。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2.额定功率：≥10W。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3.额定电压：110V。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4.频率响应：70Hz-16KHz。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5.灵敏度：≥98dB。</w:t>
            </w:r>
          </w:p>
        </w:tc>
        <w:tc>
          <w:tcPr>
            <w:tcW w:w="836" w:type="dxa"/>
            <w:tcBorders>
              <w:tl2br w:val="nil"/>
              <w:tr2bl w:val="nil"/>
            </w:tcBorders>
            <w:shd w:val="clear" w:color="auto" w:fill="auto"/>
            <w:vAlign w:val="center"/>
          </w:tcPr>
          <w:p w14:paraId="0B72955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57</w:t>
            </w:r>
          </w:p>
        </w:tc>
        <w:tc>
          <w:tcPr>
            <w:tcW w:w="839" w:type="dxa"/>
            <w:tcBorders>
              <w:tl2br w:val="nil"/>
              <w:tr2bl w:val="nil"/>
            </w:tcBorders>
            <w:shd w:val="clear" w:color="auto" w:fill="auto"/>
            <w:vAlign w:val="center"/>
          </w:tcPr>
          <w:p w14:paraId="2F89066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只</w:t>
            </w:r>
          </w:p>
        </w:tc>
      </w:tr>
      <w:tr w14:paraId="29BEAB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02C5B7A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1690" w:type="dxa"/>
            <w:tcBorders>
              <w:tl2br w:val="nil"/>
              <w:tr2bl w:val="nil"/>
            </w:tcBorders>
            <w:shd w:val="clear" w:color="auto" w:fill="auto"/>
            <w:vAlign w:val="center"/>
          </w:tcPr>
          <w:p w14:paraId="123D655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监听音箱</w:t>
            </w:r>
          </w:p>
        </w:tc>
        <w:tc>
          <w:tcPr>
            <w:tcW w:w="5232" w:type="dxa"/>
            <w:tcBorders>
              <w:tl2br w:val="nil"/>
              <w:tr2bl w:val="nil"/>
            </w:tcBorders>
            <w:shd w:val="clear" w:color="auto" w:fill="auto"/>
            <w:vAlign w:val="center"/>
          </w:tcPr>
          <w:p w14:paraId="11EF9EB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1.内置≥2×15W立体声数字功率放大器。可接副箱。</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2.内置1路网络硬件音频解码模块，支持TCP/IP、UDP、IGMP(组播)协议，实现网络化传输16位CD音质的音频信号。</w:t>
            </w:r>
          </w:p>
        </w:tc>
        <w:tc>
          <w:tcPr>
            <w:tcW w:w="836" w:type="dxa"/>
            <w:tcBorders>
              <w:tl2br w:val="nil"/>
              <w:tr2bl w:val="nil"/>
            </w:tcBorders>
            <w:shd w:val="clear" w:color="auto" w:fill="auto"/>
            <w:vAlign w:val="center"/>
          </w:tcPr>
          <w:p w14:paraId="295A0F8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1</w:t>
            </w:r>
          </w:p>
        </w:tc>
        <w:tc>
          <w:tcPr>
            <w:tcW w:w="839" w:type="dxa"/>
            <w:tcBorders>
              <w:tl2br w:val="nil"/>
              <w:tr2bl w:val="nil"/>
            </w:tcBorders>
            <w:shd w:val="clear" w:color="auto" w:fill="auto"/>
            <w:vAlign w:val="center"/>
          </w:tcPr>
          <w:p w14:paraId="36E009A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只</w:t>
            </w:r>
          </w:p>
        </w:tc>
      </w:tr>
      <w:tr w14:paraId="07AF04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99F70E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1690" w:type="dxa"/>
            <w:tcBorders>
              <w:tl2br w:val="nil"/>
              <w:tr2bl w:val="nil"/>
            </w:tcBorders>
            <w:shd w:val="clear" w:color="auto" w:fill="auto"/>
            <w:vAlign w:val="center"/>
          </w:tcPr>
          <w:p w14:paraId="7C1DFD0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室外防水音柱</w:t>
            </w:r>
          </w:p>
        </w:tc>
        <w:tc>
          <w:tcPr>
            <w:tcW w:w="5232" w:type="dxa"/>
            <w:tcBorders>
              <w:tl2br w:val="nil"/>
              <w:tr2bl w:val="nil"/>
            </w:tcBorders>
            <w:shd w:val="clear" w:color="auto" w:fill="auto"/>
            <w:vAlign w:val="center"/>
          </w:tcPr>
          <w:p w14:paraId="3992C824">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1.额定功率：≥60W。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2.额定电压：110V。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3.频率响应：70-15KHz。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4.喇叭单元：等同或优于4.5"×3。</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5.防护等级：≥IP66。</w:t>
            </w:r>
          </w:p>
        </w:tc>
        <w:tc>
          <w:tcPr>
            <w:tcW w:w="836" w:type="dxa"/>
            <w:tcBorders>
              <w:tl2br w:val="nil"/>
              <w:tr2bl w:val="nil"/>
            </w:tcBorders>
            <w:shd w:val="clear" w:color="auto" w:fill="auto"/>
            <w:vAlign w:val="center"/>
          </w:tcPr>
          <w:p w14:paraId="28777D2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6</w:t>
            </w:r>
          </w:p>
        </w:tc>
        <w:tc>
          <w:tcPr>
            <w:tcW w:w="839" w:type="dxa"/>
            <w:tcBorders>
              <w:tl2br w:val="nil"/>
              <w:tr2bl w:val="nil"/>
            </w:tcBorders>
            <w:shd w:val="clear" w:color="auto" w:fill="auto"/>
            <w:vAlign w:val="center"/>
          </w:tcPr>
          <w:p w14:paraId="473EE48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台</w:t>
            </w:r>
          </w:p>
        </w:tc>
      </w:tr>
      <w:tr w14:paraId="1B26D5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4CB420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1690" w:type="dxa"/>
            <w:tcBorders>
              <w:tl2br w:val="nil"/>
              <w:tr2bl w:val="nil"/>
            </w:tcBorders>
            <w:shd w:val="clear" w:color="auto" w:fill="auto"/>
            <w:vAlign w:val="center"/>
          </w:tcPr>
          <w:p w14:paraId="505018B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模拟音响开关</w:t>
            </w:r>
          </w:p>
        </w:tc>
        <w:tc>
          <w:tcPr>
            <w:tcW w:w="5232" w:type="dxa"/>
            <w:tcBorders>
              <w:tl2br w:val="nil"/>
              <w:tr2bl w:val="nil"/>
            </w:tcBorders>
            <w:shd w:val="clear" w:color="auto" w:fill="auto"/>
            <w:vAlign w:val="center"/>
          </w:tcPr>
          <w:p w14:paraId="26BB1ED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模拟广播音响开关，可开关、可调解音量的大小。</w:t>
            </w:r>
          </w:p>
        </w:tc>
        <w:tc>
          <w:tcPr>
            <w:tcW w:w="836" w:type="dxa"/>
            <w:tcBorders>
              <w:tl2br w:val="nil"/>
              <w:tr2bl w:val="nil"/>
            </w:tcBorders>
            <w:shd w:val="clear" w:color="auto" w:fill="auto"/>
            <w:vAlign w:val="center"/>
          </w:tcPr>
          <w:p w14:paraId="2FE9795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43</w:t>
            </w:r>
          </w:p>
        </w:tc>
        <w:tc>
          <w:tcPr>
            <w:tcW w:w="839" w:type="dxa"/>
            <w:tcBorders>
              <w:tl2br w:val="nil"/>
              <w:tr2bl w:val="nil"/>
            </w:tcBorders>
            <w:shd w:val="clear" w:color="auto" w:fill="auto"/>
            <w:vAlign w:val="center"/>
          </w:tcPr>
          <w:p w14:paraId="6304962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只</w:t>
            </w:r>
          </w:p>
        </w:tc>
      </w:tr>
      <w:tr w14:paraId="6AE387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549F33F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10</w:t>
            </w:r>
          </w:p>
        </w:tc>
        <w:tc>
          <w:tcPr>
            <w:tcW w:w="1690" w:type="dxa"/>
            <w:tcBorders>
              <w:tl2br w:val="nil"/>
              <w:tr2bl w:val="nil"/>
            </w:tcBorders>
            <w:shd w:val="clear" w:color="auto" w:fill="auto"/>
            <w:vAlign w:val="center"/>
          </w:tcPr>
          <w:p w14:paraId="39D96725">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FF0000"/>
                <w:kern w:val="0"/>
                <w:sz w:val="21"/>
                <w:szCs w:val="21"/>
                <w:highlight w:val="none"/>
                <w:lang w:val="en-US" w:eastAsia="zh-CN" w:bidi="ar"/>
              </w:rPr>
            </w:pPr>
            <w:r>
              <w:rPr>
                <w:rFonts w:hint="eastAsia" w:asciiTheme="minorEastAsia" w:hAnsiTheme="minorEastAsia" w:eastAsiaTheme="minorEastAsia" w:cstheme="minorEastAsia"/>
                <w:color w:val="FF0000"/>
                <w:kern w:val="0"/>
                <w:sz w:val="21"/>
                <w:szCs w:val="21"/>
                <w:highlight w:val="none"/>
                <w:lang w:val="en-US" w:eastAsia="zh-CN" w:bidi="ar"/>
              </w:rPr>
              <w:t>电源管理器</w:t>
            </w:r>
          </w:p>
        </w:tc>
        <w:tc>
          <w:tcPr>
            <w:tcW w:w="5232" w:type="dxa"/>
            <w:tcBorders>
              <w:tl2br w:val="nil"/>
              <w:tr2bl w:val="nil"/>
            </w:tcBorders>
            <w:shd w:val="clear" w:color="auto" w:fill="auto"/>
            <w:vAlign w:val="center"/>
          </w:tcPr>
          <w:p w14:paraId="5822D01B">
            <w:pPr>
              <w:keepNext w:val="0"/>
              <w:keepLines w:val="0"/>
              <w:widowControl/>
              <w:suppressLineNumbers w:val="0"/>
              <w:adjustRightInd/>
              <w:spacing w:before="0" w:beforeAutospacing="0" w:after="0" w:afterAutospacing="0" w:line="240" w:lineRule="auto"/>
              <w:ind w:left="0" w:right="0"/>
              <w:jc w:val="left"/>
              <w:textAlignment w:val="center"/>
              <w:rPr>
                <w:rFonts w:hint="default" w:asciiTheme="minorEastAsia" w:hAnsiTheme="minorEastAsia" w:eastAsiaTheme="minorEastAsia" w:cstheme="minorEastAsia"/>
                <w:color w:val="FF0000"/>
                <w:kern w:val="0"/>
                <w:sz w:val="21"/>
                <w:szCs w:val="21"/>
                <w:highlight w:val="none"/>
                <w:lang w:val="en-US" w:eastAsia="zh-CN" w:bidi="ar"/>
              </w:rPr>
            </w:pPr>
            <w:r>
              <w:rPr>
                <w:rFonts w:hint="eastAsia" w:asciiTheme="minorEastAsia" w:hAnsiTheme="minorEastAsia" w:eastAsiaTheme="minorEastAsia" w:cstheme="minorEastAsia"/>
                <w:color w:val="FF0000"/>
                <w:kern w:val="0"/>
                <w:sz w:val="21"/>
                <w:szCs w:val="21"/>
                <w:highlight w:val="none"/>
                <w:lang w:val="en-US" w:eastAsia="zh-CN" w:bidi="ar"/>
              </w:rPr>
              <w:t>1.设备配备≥8路220V/13A受控万能接口电源+≥2路220V/16A辅助电源。</w:t>
            </w:r>
            <w:r>
              <w:rPr>
                <w:rFonts w:hint="eastAsia" w:asciiTheme="minorEastAsia" w:hAnsiTheme="minorEastAsia" w:eastAsiaTheme="minorEastAsia" w:cstheme="minorEastAsia"/>
                <w:color w:val="FF0000"/>
                <w:kern w:val="0"/>
                <w:sz w:val="21"/>
                <w:szCs w:val="21"/>
                <w:highlight w:val="none"/>
                <w:lang w:val="en-US" w:eastAsia="zh-CN" w:bidi="ar"/>
              </w:rPr>
              <w:br w:type="textWrapping"/>
            </w:r>
            <w:r>
              <w:rPr>
                <w:rFonts w:hint="eastAsia" w:asciiTheme="minorEastAsia" w:hAnsiTheme="minorEastAsia" w:eastAsiaTheme="minorEastAsia" w:cstheme="minorEastAsia"/>
                <w:color w:val="FF0000"/>
                <w:kern w:val="0"/>
                <w:sz w:val="21"/>
                <w:szCs w:val="21"/>
                <w:highlight w:val="none"/>
                <w:lang w:val="en-US" w:eastAsia="zh-CN" w:bidi="ar"/>
              </w:rPr>
              <w:t>2.设备带有LCD液晶显示屏。</w:t>
            </w:r>
          </w:p>
        </w:tc>
        <w:tc>
          <w:tcPr>
            <w:tcW w:w="836" w:type="dxa"/>
            <w:tcBorders>
              <w:tl2br w:val="nil"/>
              <w:tr2bl w:val="nil"/>
            </w:tcBorders>
            <w:shd w:val="clear" w:color="auto" w:fill="auto"/>
            <w:vAlign w:val="center"/>
          </w:tcPr>
          <w:p w14:paraId="5E8126DF">
            <w:pPr>
              <w:keepNext w:val="0"/>
              <w:keepLines w:val="0"/>
              <w:suppressLineNumbers w:val="0"/>
              <w:adjustRightInd/>
              <w:spacing w:before="0" w:beforeAutospacing="0" w:after="0" w:afterAutospacing="0" w:line="240" w:lineRule="auto"/>
              <w:ind w:left="0" w:right="0"/>
              <w:jc w:val="center"/>
              <w:rPr>
                <w:rFonts w:hint="default" w:asciiTheme="minorEastAsia" w:hAnsiTheme="minorEastAsia" w:eastAsiaTheme="minorEastAsia" w:cstheme="minorEastAsia"/>
                <w:color w:val="FF0000"/>
                <w:kern w:val="2"/>
                <w:sz w:val="21"/>
                <w:szCs w:val="21"/>
                <w:highlight w:val="none"/>
                <w:lang w:val="en-US" w:eastAsia="zh-CN" w:bidi="ar-SA"/>
              </w:rPr>
            </w:pPr>
            <w:r>
              <w:rPr>
                <w:rFonts w:hint="eastAsia" w:asciiTheme="minorEastAsia" w:hAnsiTheme="minorEastAsia" w:eastAsiaTheme="minorEastAsia" w:cstheme="minorEastAsia"/>
                <w:color w:val="FF0000"/>
                <w:kern w:val="2"/>
                <w:sz w:val="21"/>
                <w:szCs w:val="21"/>
                <w:highlight w:val="none"/>
                <w:lang w:val="en-US" w:eastAsia="zh-CN" w:bidi="ar-SA"/>
              </w:rPr>
              <w:t>1</w:t>
            </w:r>
          </w:p>
        </w:tc>
        <w:tc>
          <w:tcPr>
            <w:tcW w:w="839" w:type="dxa"/>
            <w:tcBorders>
              <w:tl2br w:val="nil"/>
              <w:tr2bl w:val="nil"/>
            </w:tcBorders>
            <w:shd w:val="clear" w:color="auto" w:fill="auto"/>
            <w:vAlign w:val="center"/>
          </w:tcPr>
          <w:p w14:paraId="007F6CF6">
            <w:pPr>
              <w:keepNext w:val="0"/>
              <w:keepLines w:val="0"/>
              <w:suppressLineNumbers w:val="0"/>
              <w:adjustRightInd/>
              <w:spacing w:before="0" w:beforeAutospacing="0" w:after="0" w:afterAutospacing="0" w:line="240" w:lineRule="auto"/>
              <w:ind w:left="0" w:right="0"/>
              <w:jc w:val="center"/>
              <w:rPr>
                <w:rFonts w:hint="default" w:asciiTheme="minorEastAsia" w:hAnsiTheme="minorEastAsia" w:eastAsiaTheme="minorEastAsia" w:cstheme="minorEastAsia"/>
                <w:color w:val="FF0000"/>
                <w:kern w:val="2"/>
                <w:sz w:val="21"/>
                <w:szCs w:val="21"/>
                <w:highlight w:val="none"/>
                <w:lang w:val="en-US" w:eastAsia="zh-CN" w:bidi="ar-SA"/>
              </w:rPr>
            </w:pPr>
            <w:r>
              <w:rPr>
                <w:rFonts w:hint="eastAsia" w:asciiTheme="minorEastAsia" w:hAnsiTheme="minorEastAsia" w:eastAsiaTheme="minorEastAsia" w:cstheme="minorEastAsia"/>
                <w:color w:val="FF0000"/>
                <w:kern w:val="2"/>
                <w:sz w:val="21"/>
                <w:szCs w:val="21"/>
                <w:highlight w:val="none"/>
                <w:lang w:val="en-US" w:eastAsia="zh-CN" w:bidi="ar-SA"/>
              </w:rPr>
              <w:t>只</w:t>
            </w:r>
          </w:p>
        </w:tc>
      </w:tr>
      <w:tr w14:paraId="11EE57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194A55E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w:t>
            </w:r>
          </w:p>
        </w:tc>
        <w:tc>
          <w:tcPr>
            <w:tcW w:w="1690" w:type="dxa"/>
            <w:tcBorders>
              <w:tl2br w:val="nil"/>
              <w:tr2bl w:val="nil"/>
            </w:tcBorders>
            <w:shd w:val="clear" w:color="auto" w:fill="auto"/>
            <w:vAlign w:val="center"/>
          </w:tcPr>
          <w:p w14:paraId="2EC8DA6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专业音响</w:t>
            </w:r>
          </w:p>
        </w:tc>
        <w:tc>
          <w:tcPr>
            <w:tcW w:w="5232" w:type="dxa"/>
            <w:tcBorders>
              <w:tl2br w:val="nil"/>
              <w:tr2bl w:val="nil"/>
            </w:tcBorders>
            <w:shd w:val="clear" w:color="auto" w:fill="auto"/>
            <w:vAlign w:val="center"/>
          </w:tcPr>
          <w:p w14:paraId="6DA0C4A6">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1.低音单元：</w:t>
            </w:r>
          </w:p>
          <w:p w14:paraId="6685D6C1">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（1）等同或优于12”单元，3”音圈；</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（2）钕磁钛膜压缩式驱动器，1.75"音圈。</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2.频率响应：45Hz-19KHz(-6dB）。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3.额定功率：≥400W。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4.标称阻抗：8Ω。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5.灵敏度：≥98dB。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6.最大声压级：≥127dB。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7.驱动方式：内置2分频。</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8.箱体结构：倒相式。</w:t>
            </w:r>
          </w:p>
        </w:tc>
        <w:tc>
          <w:tcPr>
            <w:tcW w:w="836" w:type="dxa"/>
            <w:tcBorders>
              <w:tl2br w:val="nil"/>
              <w:tr2bl w:val="nil"/>
            </w:tcBorders>
            <w:shd w:val="clear" w:color="auto" w:fill="auto"/>
            <w:vAlign w:val="center"/>
          </w:tcPr>
          <w:p w14:paraId="0DD6033C">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4"/>
                <w:kern w:val="0"/>
                <w:sz w:val="21"/>
                <w:szCs w:val="21"/>
                <w:highlight w:val="none"/>
                <w:lang w:val="en-US" w:eastAsia="zh-CN" w:bidi="ar"/>
              </w:rPr>
            </w:pPr>
            <w:r>
              <w:rPr>
                <w:rFonts w:hint="eastAsia" w:asciiTheme="minorEastAsia" w:hAnsiTheme="minorEastAsia" w:eastAsiaTheme="minorEastAsia" w:cstheme="minorEastAsia"/>
                <w:color w:val="auto"/>
                <w:spacing w:val="4"/>
                <w:kern w:val="0"/>
                <w:sz w:val="21"/>
                <w:szCs w:val="21"/>
                <w:highlight w:val="none"/>
                <w:lang w:bidi="ar"/>
              </w:rPr>
              <w:t>4</w:t>
            </w:r>
          </w:p>
        </w:tc>
        <w:tc>
          <w:tcPr>
            <w:tcW w:w="839" w:type="dxa"/>
            <w:tcBorders>
              <w:tl2br w:val="nil"/>
              <w:tr2bl w:val="nil"/>
            </w:tcBorders>
            <w:shd w:val="clear" w:color="auto" w:fill="auto"/>
            <w:vAlign w:val="center"/>
          </w:tcPr>
          <w:p w14:paraId="44F68F65">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4"/>
                <w:kern w:val="0"/>
                <w:sz w:val="21"/>
                <w:szCs w:val="21"/>
                <w:highlight w:val="none"/>
                <w:lang w:val="en-US" w:eastAsia="zh-CN" w:bidi="ar"/>
              </w:rPr>
            </w:pPr>
            <w:r>
              <w:rPr>
                <w:rFonts w:hint="eastAsia" w:asciiTheme="minorEastAsia" w:hAnsiTheme="minorEastAsia" w:eastAsiaTheme="minorEastAsia" w:cstheme="minorEastAsia"/>
                <w:color w:val="auto"/>
                <w:spacing w:val="4"/>
                <w:kern w:val="0"/>
                <w:sz w:val="21"/>
                <w:szCs w:val="21"/>
                <w:highlight w:val="none"/>
                <w:lang w:bidi="ar"/>
              </w:rPr>
              <w:t>只</w:t>
            </w:r>
          </w:p>
        </w:tc>
      </w:tr>
      <w:tr w14:paraId="38F4E3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3B6D200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1690" w:type="dxa"/>
            <w:tcBorders>
              <w:tl2br w:val="nil"/>
              <w:tr2bl w:val="nil"/>
            </w:tcBorders>
            <w:shd w:val="clear" w:color="auto" w:fill="auto"/>
            <w:vAlign w:val="center"/>
          </w:tcPr>
          <w:p w14:paraId="144E55F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专业功放 2U</w:t>
            </w:r>
          </w:p>
        </w:tc>
        <w:tc>
          <w:tcPr>
            <w:tcW w:w="5232" w:type="dxa"/>
            <w:tcBorders>
              <w:tl2br w:val="nil"/>
              <w:tr2bl w:val="nil"/>
            </w:tcBorders>
            <w:shd w:val="clear" w:color="auto" w:fill="auto"/>
            <w:vAlign w:val="center"/>
          </w:tcPr>
          <w:p w14:paraId="4AFEF0DD">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1.支持过热、过载、短路、射频超声波、直流、消波限幅、电流软起动等完善的保护电路。</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2.8Ω双通道驱动：≥800W，4Ω双通道驱动：≥1600W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3.频率响应：20Hz—20KHz＜+/0.5dB。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4.THD总谐波失真：＜+/0.05%(1KHz)。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5.输入阻抗：10KOhms。</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6.输入中平：+3dB。</w:t>
            </w:r>
          </w:p>
        </w:tc>
        <w:tc>
          <w:tcPr>
            <w:tcW w:w="836" w:type="dxa"/>
            <w:tcBorders>
              <w:tl2br w:val="nil"/>
              <w:tr2bl w:val="nil"/>
            </w:tcBorders>
            <w:shd w:val="clear" w:color="auto" w:fill="auto"/>
            <w:vAlign w:val="center"/>
          </w:tcPr>
          <w:p w14:paraId="07F662F3">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w:t>
            </w:r>
          </w:p>
        </w:tc>
        <w:tc>
          <w:tcPr>
            <w:tcW w:w="839" w:type="dxa"/>
            <w:tcBorders>
              <w:tl2br w:val="nil"/>
              <w:tr2bl w:val="nil"/>
            </w:tcBorders>
            <w:shd w:val="clear" w:color="auto" w:fill="auto"/>
            <w:vAlign w:val="center"/>
          </w:tcPr>
          <w:p w14:paraId="32728BC9">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台</w:t>
            </w:r>
          </w:p>
        </w:tc>
      </w:tr>
      <w:tr w14:paraId="6CFCDB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5B2C21E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1690" w:type="dxa"/>
            <w:tcBorders>
              <w:tl2br w:val="nil"/>
              <w:tr2bl w:val="nil"/>
            </w:tcBorders>
            <w:shd w:val="clear" w:color="auto" w:fill="auto"/>
            <w:vAlign w:val="center"/>
          </w:tcPr>
          <w:p w14:paraId="3ECA2C9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音频处理器</w:t>
            </w:r>
          </w:p>
        </w:tc>
        <w:tc>
          <w:tcPr>
            <w:tcW w:w="5232" w:type="dxa"/>
            <w:tcBorders>
              <w:tl2br w:val="nil"/>
              <w:tr2bl w:val="nil"/>
            </w:tcBorders>
            <w:shd w:val="clear" w:color="auto" w:fill="auto"/>
            <w:vAlign w:val="center"/>
          </w:tcPr>
          <w:p w14:paraId="2B53CC07">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1.具有≥4个直流电源接口。</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2.频率范围：470-950MHZ。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3.信号级联接口：BNC接口×2。</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4.总增益：≥10dB。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5.输入/出阻抗：50Ω。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6.具有天线供电。</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7.信号输入接口：BNC接口×2。</w:t>
            </w:r>
          </w:p>
        </w:tc>
        <w:tc>
          <w:tcPr>
            <w:tcW w:w="836" w:type="dxa"/>
            <w:tcBorders>
              <w:tl2br w:val="nil"/>
              <w:tr2bl w:val="nil"/>
            </w:tcBorders>
            <w:shd w:val="clear" w:color="auto" w:fill="auto"/>
            <w:vAlign w:val="center"/>
          </w:tcPr>
          <w:p w14:paraId="70FA68A9">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w:t>
            </w:r>
          </w:p>
        </w:tc>
        <w:tc>
          <w:tcPr>
            <w:tcW w:w="839" w:type="dxa"/>
            <w:tcBorders>
              <w:tl2br w:val="nil"/>
              <w:tr2bl w:val="nil"/>
            </w:tcBorders>
            <w:shd w:val="clear" w:color="auto" w:fill="auto"/>
            <w:vAlign w:val="center"/>
          </w:tcPr>
          <w:p w14:paraId="2F710119">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台</w:t>
            </w:r>
          </w:p>
        </w:tc>
      </w:tr>
      <w:tr w14:paraId="378523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6CBBA1F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1690" w:type="dxa"/>
            <w:tcBorders>
              <w:tl2br w:val="nil"/>
              <w:tr2bl w:val="nil"/>
            </w:tcBorders>
            <w:shd w:val="clear" w:color="auto" w:fill="auto"/>
            <w:vAlign w:val="center"/>
          </w:tcPr>
          <w:p w14:paraId="4364371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反馈抑制器</w:t>
            </w:r>
          </w:p>
        </w:tc>
        <w:tc>
          <w:tcPr>
            <w:tcW w:w="5232" w:type="dxa"/>
            <w:tcBorders>
              <w:tl2br w:val="nil"/>
              <w:tr2bl w:val="nil"/>
            </w:tcBorders>
            <w:shd w:val="clear" w:color="auto" w:fill="auto"/>
            <w:vAlign w:val="center"/>
          </w:tcPr>
          <w:p w14:paraId="5213F792">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1.具有≥2寸显示屏，支持中英文显示。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2.采用双通道独立设计，支持平衡与非平衡接口选择。</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3.每通道有EQ参量均衡。</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4.每通道设多个自动陷波器,工作频率20-20kHZ，自动扫描啸叫点并进行抑制。</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5.具有噪声门功能。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6.具有分频器功能。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7.频率响应：20Hz-20KHz。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8.信噪比：＞105dB(A)。</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9.动态范围：≥103dB。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10.模总谐波失真+噪声：＜0.005%。</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11.工作电压：220V AC 50Hz/ 60Hz。</w:t>
            </w:r>
          </w:p>
        </w:tc>
        <w:tc>
          <w:tcPr>
            <w:tcW w:w="836" w:type="dxa"/>
            <w:tcBorders>
              <w:tl2br w:val="nil"/>
              <w:tr2bl w:val="nil"/>
            </w:tcBorders>
            <w:shd w:val="clear" w:color="auto" w:fill="auto"/>
            <w:vAlign w:val="center"/>
          </w:tcPr>
          <w:p w14:paraId="24839607">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w:t>
            </w:r>
          </w:p>
        </w:tc>
        <w:tc>
          <w:tcPr>
            <w:tcW w:w="839" w:type="dxa"/>
            <w:tcBorders>
              <w:tl2br w:val="nil"/>
              <w:tr2bl w:val="nil"/>
            </w:tcBorders>
            <w:shd w:val="clear" w:color="auto" w:fill="auto"/>
            <w:vAlign w:val="center"/>
          </w:tcPr>
          <w:p w14:paraId="7626E22D">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台</w:t>
            </w:r>
          </w:p>
        </w:tc>
      </w:tr>
      <w:tr w14:paraId="20B0D8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9420" w:type="dxa"/>
            <w:gridSpan w:val="5"/>
            <w:tcBorders>
              <w:tl2br w:val="nil"/>
              <w:tr2bl w:val="nil"/>
            </w:tcBorders>
            <w:shd w:val="clear" w:color="auto" w:fill="auto"/>
            <w:vAlign w:val="center"/>
          </w:tcPr>
          <w:p w14:paraId="248150D9">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SA"/>
              </w:rPr>
              <w:t>东新实验幼托园东新园区</w:t>
            </w:r>
          </w:p>
        </w:tc>
      </w:tr>
      <w:tr w14:paraId="0580C7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5153E06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序号</w:t>
            </w:r>
          </w:p>
        </w:tc>
        <w:tc>
          <w:tcPr>
            <w:tcW w:w="1690" w:type="dxa"/>
            <w:tcBorders>
              <w:tl2br w:val="nil"/>
              <w:tr2bl w:val="nil"/>
            </w:tcBorders>
            <w:shd w:val="clear" w:color="auto" w:fill="auto"/>
            <w:vAlign w:val="center"/>
          </w:tcPr>
          <w:p w14:paraId="5E7F345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设备名称</w:t>
            </w:r>
          </w:p>
        </w:tc>
        <w:tc>
          <w:tcPr>
            <w:tcW w:w="5232" w:type="dxa"/>
            <w:tcBorders>
              <w:tl2br w:val="nil"/>
              <w:tr2bl w:val="nil"/>
            </w:tcBorders>
            <w:shd w:val="clear" w:color="auto" w:fill="auto"/>
            <w:vAlign w:val="center"/>
          </w:tcPr>
          <w:p w14:paraId="2D8F250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采购要求</w:t>
            </w:r>
          </w:p>
        </w:tc>
        <w:tc>
          <w:tcPr>
            <w:tcW w:w="836" w:type="dxa"/>
            <w:tcBorders>
              <w:tl2br w:val="nil"/>
              <w:tr2bl w:val="nil"/>
            </w:tcBorders>
            <w:shd w:val="clear" w:color="auto" w:fill="auto"/>
            <w:vAlign w:val="center"/>
          </w:tcPr>
          <w:p w14:paraId="768BE17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数量</w:t>
            </w:r>
          </w:p>
        </w:tc>
        <w:tc>
          <w:tcPr>
            <w:tcW w:w="839" w:type="dxa"/>
            <w:tcBorders>
              <w:tl2br w:val="nil"/>
              <w:tr2bl w:val="nil"/>
            </w:tcBorders>
            <w:shd w:val="clear" w:color="auto" w:fill="auto"/>
            <w:vAlign w:val="center"/>
          </w:tcPr>
          <w:p w14:paraId="3C6EE70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单位</w:t>
            </w:r>
          </w:p>
        </w:tc>
      </w:tr>
      <w:tr w14:paraId="144C45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1E337D0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690" w:type="dxa"/>
            <w:tcBorders>
              <w:tl2br w:val="nil"/>
              <w:tr2bl w:val="nil"/>
            </w:tcBorders>
            <w:shd w:val="clear" w:color="auto" w:fill="auto"/>
            <w:vAlign w:val="center"/>
          </w:tcPr>
          <w:p w14:paraId="01AC7DC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播音话筒</w:t>
            </w:r>
          </w:p>
        </w:tc>
        <w:tc>
          <w:tcPr>
            <w:tcW w:w="5232" w:type="dxa"/>
            <w:tcBorders>
              <w:tl2br w:val="nil"/>
              <w:tr2bl w:val="nil"/>
            </w:tcBorders>
            <w:shd w:val="clear" w:color="auto" w:fill="auto"/>
            <w:vAlign w:val="center"/>
          </w:tcPr>
          <w:p w14:paraId="1E8132EF">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1.220V供电，具有前后音讲话提示功能。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2.可弯曲式话筒杆。</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3.技术参数：</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3.1 频响：100-16kHZ；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3.2 阻抗：600Ω；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3.3 灵敏度：-50±2dB。</w:t>
            </w:r>
          </w:p>
        </w:tc>
        <w:tc>
          <w:tcPr>
            <w:tcW w:w="836" w:type="dxa"/>
            <w:tcBorders>
              <w:tl2br w:val="nil"/>
              <w:tr2bl w:val="nil"/>
            </w:tcBorders>
            <w:shd w:val="clear" w:color="auto" w:fill="auto"/>
            <w:vAlign w:val="center"/>
          </w:tcPr>
          <w:p w14:paraId="7702772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75B2F4D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4A7453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056D0A2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690" w:type="dxa"/>
            <w:tcBorders>
              <w:tl2br w:val="nil"/>
              <w:tr2bl w:val="nil"/>
            </w:tcBorders>
            <w:shd w:val="clear" w:color="auto" w:fill="auto"/>
            <w:vAlign w:val="center"/>
          </w:tcPr>
          <w:p w14:paraId="6F898DE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广播系统主机</w:t>
            </w:r>
          </w:p>
        </w:tc>
        <w:tc>
          <w:tcPr>
            <w:tcW w:w="5232" w:type="dxa"/>
            <w:tcBorders>
              <w:tl2br w:val="nil"/>
              <w:tr2bl w:val="nil"/>
            </w:tcBorders>
            <w:shd w:val="clear" w:color="auto" w:fill="auto"/>
            <w:vAlign w:val="center"/>
          </w:tcPr>
          <w:p w14:paraId="0569A479">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1.≥4.3英寸真彩显示屏，≥4G内存，内含≥4套程序，每套程序可编程≥999个定时点。</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2支持USB口高速下载音乐，亦可通过录音输入，可以按周或按月日编辑定时（实现每日一播功能）。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3.≥1路话筒输入，≥2路线路输入，≥4路音频输出，带监听功能，支持主机上程序拷贝。</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4.支持外扩展电源时序器，可输出短路信号，最大承受功率≥800W。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5.以MP3，WAV, WMA等文件格式存储音乐，内置收音机功能。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6.支持消防联动功能，短路信号输入播放制定音乐文件.</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7.可控制≥8路分区，可定时，定区，定曲播放音乐文件。</w:t>
            </w:r>
          </w:p>
        </w:tc>
        <w:tc>
          <w:tcPr>
            <w:tcW w:w="836" w:type="dxa"/>
            <w:tcBorders>
              <w:tl2br w:val="nil"/>
              <w:tr2bl w:val="nil"/>
            </w:tcBorders>
            <w:shd w:val="clear" w:color="auto" w:fill="auto"/>
            <w:vAlign w:val="center"/>
          </w:tcPr>
          <w:p w14:paraId="07930C6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65FC1D6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47CE51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8DBF01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690" w:type="dxa"/>
            <w:tcBorders>
              <w:tl2br w:val="nil"/>
              <w:tr2bl w:val="nil"/>
            </w:tcBorders>
            <w:shd w:val="clear" w:color="auto" w:fill="auto"/>
            <w:vAlign w:val="center"/>
          </w:tcPr>
          <w:p w14:paraId="1E15040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前置放大器</w:t>
            </w:r>
          </w:p>
        </w:tc>
        <w:tc>
          <w:tcPr>
            <w:tcW w:w="5232" w:type="dxa"/>
            <w:tcBorders>
              <w:tl2br w:val="nil"/>
              <w:tr2bl w:val="nil"/>
            </w:tcBorders>
            <w:shd w:val="clear" w:color="auto" w:fill="auto"/>
            <w:vAlign w:val="center"/>
          </w:tcPr>
          <w:p w14:paraId="7548EC28">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1.≥五路话筒输入口，≥三路辅助输入口，≥两路优先输入口，≥两路辅助输出口。</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2.两级优先默音功能，各通道独立音量控制，高音和低音音调控制。</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3.支持LED电平指示，反馈工作状态，具有默音功能。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4.输入：具有MIC；AUX借口。</w:t>
            </w:r>
          </w:p>
          <w:p w14:paraId="6A84E9B8">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5.输出：1V。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6.频响：20Hz-20kHz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7.信噪比：MIC＞80dB，AUX＞85dB。</w:t>
            </w:r>
          </w:p>
        </w:tc>
        <w:tc>
          <w:tcPr>
            <w:tcW w:w="836" w:type="dxa"/>
            <w:tcBorders>
              <w:tl2br w:val="nil"/>
              <w:tr2bl w:val="nil"/>
            </w:tcBorders>
            <w:shd w:val="clear" w:color="auto" w:fill="auto"/>
            <w:vAlign w:val="center"/>
          </w:tcPr>
          <w:p w14:paraId="76F2F82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6C8CCE4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514A51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11605DD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690" w:type="dxa"/>
            <w:tcBorders>
              <w:tl2br w:val="nil"/>
              <w:tr2bl w:val="nil"/>
            </w:tcBorders>
            <w:shd w:val="clear" w:color="auto" w:fill="auto"/>
            <w:vAlign w:val="center"/>
          </w:tcPr>
          <w:p w14:paraId="3F71F4F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十分区监听器</w:t>
            </w:r>
          </w:p>
        </w:tc>
        <w:tc>
          <w:tcPr>
            <w:tcW w:w="5232" w:type="dxa"/>
            <w:tcBorders>
              <w:tl2br w:val="nil"/>
              <w:tr2bl w:val="nil"/>
            </w:tcBorders>
            <w:shd w:val="clear" w:color="auto" w:fill="auto"/>
            <w:vAlign w:val="center"/>
          </w:tcPr>
          <w:p w14:paraId="6B5C25E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1.10通道输入，任意选通，内置音量可调的监听喇叭。</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2.监听输入：70-100V,10kΩ，监听输出：65dB可调。</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3.频响：100Hz-15KHz，信噪比：＞80dB。</w:t>
            </w:r>
          </w:p>
        </w:tc>
        <w:tc>
          <w:tcPr>
            <w:tcW w:w="836" w:type="dxa"/>
            <w:tcBorders>
              <w:tl2br w:val="nil"/>
              <w:tr2bl w:val="nil"/>
            </w:tcBorders>
            <w:shd w:val="clear" w:color="auto" w:fill="auto"/>
            <w:vAlign w:val="center"/>
          </w:tcPr>
          <w:p w14:paraId="64F6BA6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46997A4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6CDA72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6E8A818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690" w:type="dxa"/>
            <w:tcBorders>
              <w:tl2br w:val="nil"/>
              <w:tr2bl w:val="nil"/>
            </w:tcBorders>
            <w:shd w:val="clear" w:color="auto" w:fill="auto"/>
            <w:vAlign w:val="center"/>
          </w:tcPr>
          <w:p w14:paraId="54DCC3E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十分区矩阵器</w:t>
            </w:r>
          </w:p>
        </w:tc>
        <w:tc>
          <w:tcPr>
            <w:tcW w:w="5232" w:type="dxa"/>
            <w:tcBorders>
              <w:tl2br w:val="nil"/>
              <w:tr2bl w:val="nil"/>
            </w:tcBorders>
            <w:shd w:val="clear" w:color="auto" w:fill="auto"/>
            <w:vAlign w:val="center"/>
          </w:tcPr>
          <w:p w14:paraId="27D08485">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1.2路输入(A和B)，10通道输出，2种输入告警电平选择。</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2.输入容量70-100V,10A（功率输入）。</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3.输出容量：每个通道70-100V,5A（功率输出总容量≤10A）。</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4.警报信号：0/+24V,0V（短路）可预置。</w:t>
            </w:r>
          </w:p>
        </w:tc>
        <w:tc>
          <w:tcPr>
            <w:tcW w:w="836" w:type="dxa"/>
            <w:tcBorders>
              <w:tl2br w:val="nil"/>
              <w:tr2bl w:val="nil"/>
            </w:tcBorders>
            <w:shd w:val="clear" w:color="auto" w:fill="auto"/>
            <w:vAlign w:val="center"/>
          </w:tcPr>
          <w:p w14:paraId="65DACDC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38662D3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4C288F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6D61F2A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690" w:type="dxa"/>
            <w:tcBorders>
              <w:tl2br w:val="nil"/>
              <w:tr2bl w:val="nil"/>
            </w:tcBorders>
            <w:shd w:val="clear" w:color="auto" w:fill="auto"/>
            <w:vAlign w:val="center"/>
          </w:tcPr>
          <w:p w14:paraId="276AA79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报警信号发生器</w:t>
            </w:r>
          </w:p>
        </w:tc>
        <w:tc>
          <w:tcPr>
            <w:tcW w:w="5232" w:type="dxa"/>
            <w:tcBorders>
              <w:tl2br w:val="nil"/>
              <w:tr2bl w:val="nil"/>
            </w:tcBorders>
            <w:shd w:val="clear" w:color="auto" w:fill="auto"/>
            <w:vAlign w:val="center"/>
          </w:tcPr>
          <w:p w14:paraId="2D71954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1.警报触发或手动触发，警笛或固化录音输出。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2.内置一分钟录音IC，可录可放。</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3.频响：100Hz-10kHz。</w:t>
            </w:r>
          </w:p>
        </w:tc>
        <w:tc>
          <w:tcPr>
            <w:tcW w:w="836" w:type="dxa"/>
            <w:tcBorders>
              <w:tl2br w:val="nil"/>
              <w:tr2bl w:val="nil"/>
            </w:tcBorders>
            <w:shd w:val="clear" w:color="auto" w:fill="auto"/>
            <w:vAlign w:val="center"/>
          </w:tcPr>
          <w:p w14:paraId="59328A3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1F49CC2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552555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37ECA275">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690" w:type="dxa"/>
            <w:tcBorders>
              <w:tl2br w:val="nil"/>
              <w:tr2bl w:val="nil"/>
            </w:tcBorders>
            <w:shd w:val="clear" w:color="auto" w:fill="auto"/>
            <w:vAlign w:val="center"/>
          </w:tcPr>
          <w:p w14:paraId="6A6D5E6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十六路电源时序器</w:t>
            </w:r>
          </w:p>
        </w:tc>
        <w:tc>
          <w:tcPr>
            <w:tcW w:w="5232" w:type="dxa"/>
            <w:tcBorders>
              <w:tl2br w:val="nil"/>
              <w:tr2bl w:val="nil"/>
            </w:tcBorders>
            <w:shd w:val="clear" w:color="auto" w:fill="auto"/>
            <w:vAlign w:val="center"/>
          </w:tcPr>
          <w:p w14:paraId="228C135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1.按顺序开启／关闭16路受控设备电源。</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2.通过定时器作自动／人工控制。</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3.插座输出总容量达：4.5KVA，每个插座最大输出电流为10A。</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4.定时器控制信号：短路信号（0V）。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5.动作间隔时间：0.4S-0.5S。</w:t>
            </w:r>
          </w:p>
        </w:tc>
        <w:tc>
          <w:tcPr>
            <w:tcW w:w="836" w:type="dxa"/>
            <w:tcBorders>
              <w:tl2br w:val="nil"/>
              <w:tr2bl w:val="nil"/>
            </w:tcBorders>
            <w:shd w:val="clear" w:color="auto" w:fill="auto"/>
            <w:vAlign w:val="center"/>
          </w:tcPr>
          <w:p w14:paraId="4E92673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5CC60DE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5DDE94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5B53DA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1690" w:type="dxa"/>
            <w:tcBorders>
              <w:tl2br w:val="nil"/>
              <w:tr2bl w:val="nil"/>
            </w:tcBorders>
            <w:shd w:val="clear" w:color="auto" w:fill="auto"/>
            <w:vAlign w:val="center"/>
          </w:tcPr>
          <w:p w14:paraId="2A3FC7B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纯后级定压功放</w:t>
            </w:r>
          </w:p>
        </w:tc>
        <w:tc>
          <w:tcPr>
            <w:tcW w:w="5232" w:type="dxa"/>
            <w:tcBorders>
              <w:tl2br w:val="nil"/>
              <w:tr2bl w:val="nil"/>
            </w:tcBorders>
            <w:shd w:val="clear" w:color="auto" w:fill="auto"/>
            <w:vAlign w:val="center"/>
          </w:tcPr>
          <w:p w14:paraId="3638C57E">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1.100V/70V定压输出和4欧平衡输出(不接地)。</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2.支持RCA插口和XLR插口。</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3.具有上电保护、高温保护、直流保护、短路保护并示警功能。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4.额定输出功率：≥1500W。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5.额定输出电压：200V/100V。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6.信噪比：＞90dB。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7.增益限制的有效频率范围：80Hz-15kHz (±3dB)。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8.总谐波失真：＜0.5%。</w:t>
            </w:r>
          </w:p>
        </w:tc>
        <w:tc>
          <w:tcPr>
            <w:tcW w:w="836" w:type="dxa"/>
            <w:tcBorders>
              <w:tl2br w:val="nil"/>
              <w:tr2bl w:val="nil"/>
            </w:tcBorders>
            <w:shd w:val="clear" w:color="auto" w:fill="auto"/>
            <w:vAlign w:val="center"/>
          </w:tcPr>
          <w:p w14:paraId="7E6AAC4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734BAF8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6EBD7A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4396E2F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1690" w:type="dxa"/>
            <w:tcBorders>
              <w:tl2br w:val="nil"/>
              <w:tr2bl w:val="nil"/>
            </w:tcBorders>
            <w:shd w:val="clear" w:color="auto" w:fill="auto"/>
            <w:vAlign w:val="center"/>
          </w:tcPr>
          <w:p w14:paraId="3D71ACE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纯后级定压功放</w:t>
            </w:r>
          </w:p>
        </w:tc>
        <w:tc>
          <w:tcPr>
            <w:tcW w:w="5232" w:type="dxa"/>
            <w:tcBorders>
              <w:tl2br w:val="nil"/>
              <w:tr2bl w:val="nil"/>
            </w:tcBorders>
            <w:shd w:val="clear" w:color="auto" w:fill="auto"/>
            <w:vAlign w:val="center"/>
          </w:tcPr>
          <w:p w14:paraId="37BEF3D4">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1.100V/70V定压输出和4欧平衡输出(不接地)。</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2.支持RCA插口和XLR插口。</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3.具有上电保护、高温保护、直流保护、短路保护并示警功能。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4.额定输出功率：≥1000W。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5.额定输出电压：200V/100V。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6.信噪比：＞90dB。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7.增益限制的有效频率范围：80Hz-15kHz (±3dB)。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8.总谐波失真：＜0.5%。</w:t>
            </w:r>
          </w:p>
        </w:tc>
        <w:tc>
          <w:tcPr>
            <w:tcW w:w="836" w:type="dxa"/>
            <w:tcBorders>
              <w:tl2br w:val="nil"/>
              <w:tr2bl w:val="nil"/>
            </w:tcBorders>
            <w:shd w:val="clear" w:color="auto" w:fill="auto"/>
            <w:vAlign w:val="center"/>
          </w:tcPr>
          <w:p w14:paraId="379746E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1F4D37B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2753C3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6BA9AA9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90" w:type="dxa"/>
            <w:tcBorders>
              <w:tl2br w:val="nil"/>
              <w:tr2bl w:val="nil"/>
            </w:tcBorders>
            <w:shd w:val="clear" w:color="auto" w:fill="auto"/>
            <w:vAlign w:val="center"/>
          </w:tcPr>
          <w:p w14:paraId="623A24D5">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音柱</w:t>
            </w:r>
          </w:p>
        </w:tc>
        <w:tc>
          <w:tcPr>
            <w:tcW w:w="5232" w:type="dxa"/>
            <w:tcBorders>
              <w:tl2br w:val="nil"/>
              <w:tr2bl w:val="nil"/>
            </w:tcBorders>
            <w:shd w:val="clear" w:color="auto" w:fill="auto"/>
            <w:vAlign w:val="center"/>
          </w:tcPr>
          <w:p w14:paraId="152BE94E">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1.材质：铝合金。</w:t>
            </w:r>
          </w:p>
          <w:p w14:paraId="33E30D54">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2.全天候设计，具有防水单元。</w:t>
            </w:r>
          </w:p>
          <w:p w14:paraId="53F553B3">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3.额定功率：≥80W。</w:t>
            </w:r>
          </w:p>
          <w:p w14:paraId="75DA3230">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4.工作电压：70/100V。</w:t>
            </w:r>
          </w:p>
          <w:p w14:paraId="1E5606D4">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5.灵敏度：92±2dB。</w:t>
            </w:r>
          </w:p>
          <w:p w14:paraId="13F6114E">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6.最大声压级：113±2dB。</w:t>
            </w:r>
          </w:p>
          <w:p w14:paraId="56007068">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7.有效频率范围宽：80Hz-16kHz。</w:t>
            </w:r>
          </w:p>
        </w:tc>
        <w:tc>
          <w:tcPr>
            <w:tcW w:w="836" w:type="dxa"/>
            <w:tcBorders>
              <w:tl2br w:val="nil"/>
              <w:tr2bl w:val="nil"/>
            </w:tcBorders>
            <w:shd w:val="clear" w:color="auto" w:fill="auto"/>
            <w:vAlign w:val="center"/>
          </w:tcPr>
          <w:p w14:paraId="08F6C37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839" w:type="dxa"/>
            <w:tcBorders>
              <w:tl2br w:val="nil"/>
              <w:tr2bl w:val="nil"/>
            </w:tcBorders>
            <w:shd w:val="clear" w:color="auto" w:fill="auto"/>
            <w:vAlign w:val="center"/>
          </w:tcPr>
          <w:p w14:paraId="20B2DB9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r>
      <w:tr w14:paraId="0F90AD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6D81118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1690" w:type="dxa"/>
            <w:tcBorders>
              <w:tl2br w:val="nil"/>
              <w:tr2bl w:val="nil"/>
            </w:tcBorders>
            <w:shd w:val="clear" w:color="auto" w:fill="auto"/>
            <w:vAlign w:val="center"/>
          </w:tcPr>
          <w:p w14:paraId="46B9550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全频音箱</w:t>
            </w:r>
          </w:p>
        </w:tc>
        <w:tc>
          <w:tcPr>
            <w:tcW w:w="5232" w:type="dxa"/>
            <w:tcBorders>
              <w:tl2br w:val="nil"/>
              <w:tr2bl w:val="nil"/>
            </w:tcBorders>
            <w:shd w:val="clear" w:color="auto" w:fill="auto"/>
            <w:vAlign w:val="center"/>
          </w:tcPr>
          <w:p w14:paraId="61D36089">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1.二单元高低音分频设计。</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2.适合墙壁和吊杆悬挂安装，角度任意调节。</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3.额定功率：≥40W。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4.输入电压：70V/100V。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5.灵敏度：87±3db。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6.频率响应：80～20000HZ。</w:t>
            </w:r>
          </w:p>
        </w:tc>
        <w:tc>
          <w:tcPr>
            <w:tcW w:w="836" w:type="dxa"/>
            <w:tcBorders>
              <w:tl2br w:val="nil"/>
              <w:tr2bl w:val="nil"/>
            </w:tcBorders>
            <w:shd w:val="clear" w:color="auto" w:fill="auto"/>
            <w:vAlign w:val="center"/>
          </w:tcPr>
          <w:p w14:paraId="756D5045">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w:t>
            </w:r>
          </w:p>
        </w:tc>
        <w:tc>
          <w:tcPr>
            <w:tcW w:w="839" w:type="dxa"/>
            <w:tcBorders>
              <w:tl2br w:val="nil"/>
              <w:tr2bl w:val="nil"/>
            </w:tcBorders>
            <w:shd w:val="clear" w:color="auto" w:fill="auto"/>
            <w:vAlign w:val="center"/>
          </w:tcPr>
          <w:p w14:paraId="07F33FA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r>
      <w:tr w14:paraId="3932F4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25D5A3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1690" w:type="dxa"/>
            <w:tcBorders>
              <w:tl2br w:val="nil"/>
              <w:tr2bl w:val="nil"/>
            </w:tcBorders>
            <w:shd w:val="clear" w:color="auto" w:fill="auto"/>
            <w:vAlign w:val="center"/>
          </w:tcPr>
          <w:p w14:paraId="692C5EF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音量控制器</w:t>
            </w:r>
          </w:p>
        </w:tc>
        <w:tc>
          <w:tcPr>
            <w:tcW w:w="5232" w:type="dxa"/>
            <w:tcBorders>
              <w:tl2br w:val="nil"/>
              <w:tr2bl w:val="nil"/>
            </w:tcBorders>
            <w:shd w:val="clear" w:color="auto" w:fill="auto"/>
            <w:vAlign w:val="center"/>
          </w:tcPr>
          <w:p w14:paraId="14873CED">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1.承载功率：≥40W。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2支持音量调节。</w:t>
            </w:r>
          </w:p>
        </w:tc>
        <w:tc>
          <w:tcPr>
            <w:tcW w:w="836" w:type="dxa"/>
            <w:tcBorders>
              <w:tl2br w:val="nil"/>
              <w:tr2bl w:val="nil"/>
            </w:tcBorders>
            <w:shd w:val="clear" w:color="auto" w:fill="auto"/>
            <w:vAlign w:val="center"/>
          </w:tcPr>
          <w:p w14:paraId="196AFF5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w:t>
            </w:r>
          </w:p>
        </w:tc>
        <w:tc>
          <w:tcPr>
            <w:tcW w:w="839" w:type="dxa"/>
            <w:tcBorders>
              <w:tl2br w:val="nil"/>
              <w:tr2bl w:val="nil"/>
            </w:tcBorders>
            <w:shd w:val="clear" w:color="auto" w:fill="auto"/>
            <w:vAlign w:val="center"/>
          </w:tcPr>
          <w:p w14:paraId="4381A44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r>
      <w:tr w14:paraId="7EC508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2A639C7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1690" w:type="dxa"/>
            <w:tcBorders>
              <w:tl2br w:val="nil"/>
              <w:tr2bl w:val="nil"/>
            </w:tcBorders>
            <w:shd w:val="clear" w:color="auto" w:fill="auto"/>
            <w:vAlign w:val="center"/>
          </w:tcPr>
          <w:p w14:paraId="5BFF44F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黑色全金属玻璃门带锁机柜</w:t>
            </w:r>
          </w:p>
        </w:tc>
        <w:tc>
          <w:tcPr>
            <w:tcW w:w="5232" w:type="dxa"/>
            <w:tcBorders>
              <w:tl2br w:val="nil"/>
              <w:tr2bl w:val="nil"/>
            </w:tcBorders>
            <w:shd w:val="clear" w:color="auto" w:fill="auto"/>
            <w:vAlign w:val="center"/>
          </w:tcPr>
          <w:p w14:paraId="5A3FD9CB">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1.19英寸全金属框架结构，采用静电喷涂工艺。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2.钢化玻璃前门带锁，全金属网孔后门。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3.旋转式散热风口，立柱钢材厚度≥1.2mm，箱体钢板厚度≥1.0mm。</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4.高度1800mm，宽度600mm，深度600mm，配置4只尼龙万向脚轮。</w:t>
            </w:r>
          </w:p>
        </w:tc>
        <w:tc>
          <w:tcPr>
            <w:tcW w:w="836" w:type="dxa"/>
            <w:tcBorders>
              <w:tl2br w:val="nil"/>
              <w:tr2bl w:val="nil"/>
            </w:tcBorders>
            <w:shd w:val="clear" w:color="auto" w:fill="auto"/>
            <w:vAlign w:val="center"/>
          </w:tcPr>
          <w:p w14:paraId="7A58622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630E19E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62361A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E11425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1690" w:type="dxa"/>
            <w:tcBorders>
              <w:tl2br w:val="nil"/>
              <w:tr2bl w:val="nil"/>
            </w:tcBorders>
            <w:shd w:val="clear" w:color="auto" w:fill="auto"/>
            <w:vAlign w:val="center"/>
          </w:tcPr>
          <w:p w14:paraId="5ECF359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电源分配插座</w:t>
            </w:r>
          </w:p>
        </w:tc>
        <w:tc>
          <w:tcPr>
            <w:tcW w:w="5232" w:type="dxa"/>
            <w:tcBorders>
              <w:tl2br w:val="nil"/>
              <w:tr2bl w:val="nil"/>
            </w:tcBorders>
            <w:shd w:val="clear" w:color="auto" w:fill="auto"/>
            <w:vAlign w:val="center"/>
          </w:tcPr>
          <w:p w14:paraId="6E8E72A5">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8个10A三孔插座，标配带空开。</w:t>
            </w:r>
          </w:p>
        </w:tc>
        <w:tc>
          <w:tcPr>
            <w:tcW w:w="836" w:type="dxa"/>
            <w:tcBorders>
              <w:tl2br w:val="nil"/>
              <w:tr2bl w:val="nil"/>
            </w:tcBorders>
            <w:shd w:val="clear" w:color="auto" w:fill="auto"/>
            <w:vAlign w:val="center"/>
          </w:tcPr>
          <w:p w14:paraId="230D6AC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4C748BB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r>
      <w:tr w14:paraId="34960D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4E1F018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1690" w:type="dxa"/>
            <w:tcBorders>
              <w:tl2br w:val="nil"/>
              <w:tr2bl w:val="nil"/>
            </w:tcBorders>
            <w:shd w:val="clear" w:color="auto" w:fill="auto"/>
            <w:vAlign w:val="center"/>
          </w:tcPr>
          <w:p w14:paraId="7C83ABF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主干桥架</w:t>
            </w:r>
          </w:p>
        </w:tc>
        <w:tc>
          <w:tcPr>
            <w:tcW w:w="5232" w:type="dxa"/>
            <w:tcBorders>
              <w:tl2br w:val="nil"/>
              <w:tr2bl w:val="nil"/>
            </w:tcBorders>
            <w:shd w:val="clear" w:color="auto" w:fill="auto"/>
            <w:vAlign w:val="center"/>
          </w:tcPr>
          <w:p w14:paraId="34D6EB00">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静电喷塑冷轧钢板U字形槽式桥架。</w:t>
            </w:r>
          </w:p>
        </w:tc>
        <w:tc>
          <w:tcPr>
            <w:tcW w:w="836" w:type="dxa"/>
            <w:tcBorders>
              <w:tl2br w:val="nil"/>
              <w:tr2bl w:val="nil"/>
            </w:tcBorders>
            <w:shd w:val="clear" w:color="auto" w:fill="auto"/>
            <w:vAlign w:val="center"/>
          </w:tcPr>
          <w:p w14:paraId="1FD53E3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839" w:type="dxa"/>
            <w:tcBorders>
              <w:tl2br w:val="nil"/>
              <w:tr2bl w:val="nil"/>
            </w:tcBorders>
            <w:shd w:val="clear" w:color="auto" w:fill="auto"/>
            <w:vAlign w:val="center"/>
          </w:tcPr>
          <w:p w14:paraId="1F08535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r>
      <w:tr w14:paraId="737E4F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24F2DEC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w:t>
            </w:r>
          </w:p>
        </w:tc>
        <w:tc>
          <w:tcPr>
            <w:tcW w:w="1690" w:type="dxa"/>
            <w:tcBorders>
              <w:tl2br w:val="nil"/>
              <w:tr2bl w:val="nil"/>
            </w:tcBorders>
            <w:shd w:val="clear" w:color="auto" w:fill="auto"/>
            <w:vAlign w:val="center"/>
          </w:tcPr>
          <w:p w14:paraId="13F34B4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4G火灾自动报警网关</w:t>
            </w:r>
          </w:p>
        </w:tc>
        <w:tc>
          <w:tcPr>
            <w:tcW w:w="5232" w:type="dxa"/>
            <w:tcBorders>
              <w:tl2br w:val="nil"/>
              <w:tr2bl w:val="nil"/>
            </w:tcBorders>
            <w:shd w:val="clear" w:color="auto" w:fill="auto"/>
            <w:vAlign w:val="center"/>
          </w:tcPr>
          <w:p w14:paraId="5F56B178">
            <w:pPr>
              <w:keepNext w:val="0"/>
              <w:keepLines w:val="0"/>
              <w:suppressLineNumbers w:val="0"/>
              <w:adjustRightInd/>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r>
              <w:rPr>
                <w:rFonts w:hint="eastAsia" w:asciiTheme="minorEastAsia" w:hAnsiTheme="minorEastAsia" w:eastAsiaTheme="minorEastAsia" w:cstheme="minorEastAsia"/>
                <w:i w:val="0"/>
                <w:iCs w:val="0"/>
                <w:color w:val="auto"/>
                <w:sz w:val="21"/>
                <w:szCs w:val="21"/>
                <w:highlight w:val="none"/>
                <w:u w:val="none"/>
              </w:rPr>
              <w:t>外设接入数量：</w:t>
            </w:r>
            <w:r>
              <w:rPr>
                <w:rFonts w:hint="eastAsia" w:asciiTheme="minorEastAsia" w:hAnsiTheme="minorEastAsia" w:eastAsiaTheme="minorEastAsia" w:cstheme="minorEastAsia"/>
                <w:color w:val="auto"/>
                <w:kern w:val="0"/>
                <w:sz w:val="21"/>
                <w:szCs w:val="21"/>
                <w:highlight w:val="none"/>
                <w:lang w:val="en-US" w:eastAsia="zh-CN" w:bidi="ar"/>
              </w:rPr>
              <w:t>≥</w:t>
            </w:r>
            <w:r>
              <w:rPr>
                <w:rFonts w:hint="eastAsia" w:asciiTheme="minorEastAsia" w:hAnsiTheme="minorEastAsia" w:eastAsiaTheme="minorEastAsia" w:cstheme="minorEastAsia"/>
                <w:i w:val="0"/>
                <w:iCs w:val="0"/>
                <w:color w:val="auto"/>
                <w:sz w:val="21"/>
                <w:szCs w:val="21"/>
                <w:highlight w:val="none"/>
                <w:u w:val="none"/>
              </w:rPr>
              <w:t>128个</w:t>
            </w:r>
            <w:r>
              <w:rPr>
                <w:rFonts w:hint="eastAsia" w:asciiTheme="minorEastAsia" w:hAnsiTheme="minorEastAsia" w:eastAsiaTheme="minorEastAsia" w:cstheme="minorEastAsia"/>
                <w:i w:val="0"/>
                <w:iCs w:val="0"/>
                <w:color w:val="auto"/>
                <w:sz w:val="21"/>
                <w:szCs w:val="21"/>
                <w:highlight w:val="none"/>
                <w:u w:val="none"/>
                <w:lang w:eastAsia="zh-CN"/>
              </w:rPr>
              <w:t>。</w:t>
            </w:r>
          </w:p>
          <w:p w14:paraId="0750F59C">
            <w:pPr>
              <w:keepNext w:val="0"/>
              <w:keepLines w:val="0"/>
              <w:suppressLineNumbers w:val="0"/>
              <w:adjustRightInd/>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w:t>
            </w:r>
            <w:r>
              <w:rPr>
                <w:rFonts w:hint="eastAsia" w:asciiTheme="minorEastAsia" w:hAnsiTheme="minorEastAsia" w:eastAsiaTheme="minorEastAsia" w:cstheme="minorEastAsia"/>
                <w:i w:val="0"/>
                <w:iCs w:val="0"/>
                <w:color w:val="auto"/>
                <w:sz w:val="21"/>
                <w:szCs w:val="21"/>
                <w:highlight w:val="none"/>
                <w:u w:val="none"/>
              </w:rPr>
              <w:t>报警声压：75dB（A）@1m</w:t>
            </w:r>
            <w:r>
              <w:rPr>
                <w:rFonts w:hint="eastAsia" w:asciiTheme="minorEastAsia" w:hAnsiTheme="minorEastAsia" w:eastAsiaTheme="minorEastAsia" w:cstheme="minorEastAsia"/>
                <w:i w:val="0"/>
                <w:iCs w:val="0"/>
                <w:color w:val="auto"/>
                <w:sz w:val="21"/>
                <w:szCs w:val="21"/>
                <w:highlight w:val="none"/>
                <w:u w:val="none"/>
                <w:lang w:eastAsia="zh-CN"/>
              </w:rPr>
              <w:t>。</w:t>
            </w:r>
          </w:p>
          <w:p w14:paraId="2A87175E">
            <w:pPr>
              <w:keepNext w:val="0"/>
              <w:keepLines w:val="0"/>
              <w:suppressLineNumbers w:val="0"/>
              <w:adjustRightInd/>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3.</w:t>
            </w:r>
            <w:r>
              <w:rPr>
                <w:rFonts w:hint="eastAsia" w:asciiTheme="minorEastAsia" w:hAnsiTheme="minorEastAsia" w:eastAsiaTheme="minorEastAsia" w:cstheme="minorEastAsia"/>
                <w:i w:val="0"/>
                <w:iCs w:val="0"/>
                <w:color w:val="auto"/>
                <w:sz w:val="21"/>
                <w:szCs w:val="21"/>
                <w:highlight w:val="none"/>
                <w:u w:val="none"/>
              </w:rPr>
              <w:t>输出接口：RS232</w:t>
            </w:r>
            <w:r>
              <w:rPr>
                <w:rFonts w:hint="eastAsia" w:asciiTheme="minorEastAsia" w:hAnsiTheme="minorEastAsia" w:eastAsiaTheme="minorEastAsia" w:cstheme="minorEastAsia"/>
                <w:i w:val="0"/>
                <w:iCs w:val="0"/>
                <w:color w:val="auto"/>
                <w:sz w:val="21"/>
                <w:szCs w:val="21"/>
                <w:highlight w:val="none"/>
                <w:u w:val="none"/>
                <w:lang w:eastAsia="zh-CN"/>
              </w:rPr>
              <w:t>，</w:t>
            </w:r>
            <w:r>
              <w:rPr>
                <w:rFonts w:hint="eastAsia" w:asciiTheme="minorEastAsia" w:hAnsiTheme="minorEastAsia" w:eastAsiaTheme="minorEastAsia" w:cstheme="minorEastAsia"/>
                <w:i w:val="0"/>
                <w:iCs w:val="0"/>
                <w:color w:val="auto"/>
                <w:sz w:val="21"/>
                <w:szCs w:val="21"/>
                <w:highlight w:val="none"/>
                <w:u w:val="none"/>
              </w:rPr>
              <w:t>RS485，继电器输出，RJ45网络接口，辅电输出口</w:t>
            </w:r>
            <w:r>
              <w:rPr>
                <w:rFonts w:hint="eastAsia" w:asciiTheme="minorEastAsia" w:hAnsiTheme="minorEastAsia" w:eastAsiaTheme="minorEastAsia" w:cstheme="minorEastAsia"/>
                <w:i w:val="0"/>
                <w:iCs w:val="0"/>
                <w:color w:val="auto"/>
                <w:sz w:val="21"/>
                <w:szCs w:val="21"/>
                <w:highlight w:val="none"/>
                <w:u w:val="none"/>
                <w:lang w:eastAsia="zh-CN"/>
              </w:rPr>
              <w:t>。</w:t>
            </w:r>
          </w:p>
          <w:p w14:paraId="61EAE71F">
            <w:pPr>
              <w:keepNext w:val="0"/>
              <w:keepLines w:val="0"/>
              <w:suppressLineNumbers w:val="0"/>
              <w:adjustRightInd/>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4.平台</w:t>
            </w:r>
            <w:r>
              <w:rPr>
                <w:rFonts w:hint="eastAsia" w:asciiTheme="minorEastAsia" w:hAnsiTheme="minorEastAsia" w:eastAsiaTheme="minorEastAsia" w:cstheme="minorEastAsia"/>
                <w:i w:val="0"/>
                <w:iCs w:val="0"/>
                <w:color w:val="auto"/>
                <w:sz w:val="21"/>
                <w:szCs w:val="21"/>
                <w:highlight w:val="none"/>
                <w:u w:val="none"/>
                <w:lang w:eastAsia="zh-CN"/>
              </w:rPr>
              <w:t>功能：支持</w:t>
            </w:r>
            <w:r>
              <w:rPr>
                <w:rFonts w:hint="eastAsia" w:asciiTheme="minorEastAsia" w:hAnsiTheme="minorEastAsia" w:eastAsiaTheme="minorEastAsia" w:cstheme="minorEastAsia"/>
                <w:i w:val="0"/>
                <w:iCs w:val="0"/>
                <w:color w:val="auto"/>
                <w:sz w:val="21"/>
                <w:szCs w:val="21"/>
                <w:highlight w:val="none"/>
                <w:u w:val="none"/>
              </w:rPr>
              <w:t>设备接入、智能预警、应急响应、数据分析</w:t>
            </w:r>
            <w:r>
              <w:rPr>
                <w:rFonts w:hint="eastAsia" w:asciiTheme="minorEastAsia" w:hAnsiTheme="minorEastAsia" w:eastAsiaTheme="minorEastAsia" w:cstheme="minorEastAsia"/>
                <w:i w:val="0"/>
                <w:iCs w:val="0"/>
                <w:color w:val="auto"/>
                <w:sz w:val="21"/>
                <w:szCs w:val="21"/>
                <w:highlight w:val="none"/>
                <w:u w:val="none"/>
                <w:lang w:eastAsia="zh-CN"/>
              </w:rPr>
              <w:t>。</w:t>
            </w:r>
          </w:p>
        </w:tc>
        <w:tc>
          <w:tcPr>
            <w:tcW w:w="836" w:type="dxa"/>
            <w:tcBorders>
              <w:tl2br w:val="nil"/>
              <w:tr2bl w:val="nil"/>
            </w:tcBorders>
            <w:shd w:val="clear" w:color="auto" w:fill="auto"/>
            <w:vAlign w:val="center"/>
          </w:tcPr>
          <w:p w14:paraId="617EFD6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839" w:type="dxa"/>
            <w:tcBorders>
              <w:tl2br w:val="nil"/>
              <w:tr2bl w:val="nil"/>
            </w:tcBorders>
            <w:shd w:val="clear" w:color="auto" w:fill="auto"/>
            <w:vAlign w:val="center"/>
          </w:tcPr>
          <w:p w14:paraId="28FB686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1218B4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11434D5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w:t>
            </w:r>
          </w:p>
        </w:tc>
        <w:tc>
          <w:tcPr>
            <w:tcW w:w="1690" w:type="dxa"/>
            <w:tcBorders>
              <w:tl2br w:val="nil"/>
              <w:tr2bl w:val="nil"/>
            </w:tcBorders>
            <w:shd w:val="clear" w:color="auto" w:fill="auto"/>
            <w:vAlign w:val="center"/>
          </w:tcPr>
          <w:p w14:paraId="016457F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4G火灾无线消防感烟探测器、感温探测器</w:t>
            </w:r>
          </w:p>
        </w:tc>
        <w:tc>
          <w:tcPr>
            <w:tcW w:w="5232" w:type="dxa"/>
            <w:tcBorders>
              <w:tl2br w:val="nil"/>
              <w:tr2bl w:val="nil"/>
            </w:tcBorders>
            <w:shd w:val="clear" w:color="auto" w:fill="auto"/>
            <w:vAlign w:val="center"/>
          </w:tcPr>
          <w:p w14:paraId="7FABC268">
            <w:pPr>
              <w:keepNext w:val="0"/>
              <w:keepLines w:val="0"/>
              <w:suppressLineNumbers w:val="0"/>
              <w:adjustRightInd/>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r>
              <w:rPr>
                <w:rFonts w:hint="eastAsia" w:asciiTheme="minorEastAsia" w:hAnsiTheme="minorEastAsia" w:eastAsiaTheme="minorEastAsia" w:cstheme="minorEastAsia"/>
                <w:i w:val="0"/>
                <w:iCs w:val="0"/>
                <w:color w:val="auto"/>
                <w:sz w:val="21"/>
                <w:szCs w:val="21"/>
                <w:highlight w:val="none"/>
                <w:u w:val="none"/>
              </w:rPr>
              <w:t>通讯模块：NB-Iot通讯</w:t>
            </w:r>
            <w:r>
              <w:rPr>
                <w:rFonts w:hint="eastAsia" w:asciiTheme="minorEastAsia" w:hAnsiTheme="minorEastAsia" w:eastAsiaTheme="minorEastAsia" w:cstheme="minorEastAsia"/>
                <w:i w:val="0"/>
                <w:iCs w:val="0"/>
                <w:color w:val="auto"/>
                <w:sz w:val="21"/>
                <w:szCs w:val="21"/>
                <w:highlight w:val="none"/>
                <w:u w:val="none"/>
                <w:lang w:eastAsia="zh-CN"/>
              </w:rPr>
              <w:t>。</w:t>
            </w:r>
          </w:p>
          <w:p w14:paraId="2C720E4F">
            <w:pPr>
              <w:keepNext w:val="0"/>
              <w:keepLines w:val="0"/>
              <w:suppressLineNumbers w:val="0"/>
              <w:adjustRightInd/>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rPr>
              <w:t>工</w:t>
            </w:r>
            <w:r>
              <w:rPr>
                <w:rFonts w:hint="eastAsia" w:asciiTheme="minorEastAsia" w:hAnsiTheme="minorEastAsia" w:eastAsiaTheme="minorEastAsia" w:cstheme="minorEastAsia"/>
                <w:i w:val="0"/>
                <w:iCs w:val="0"/>
                <w:color w:val="auto"/>
                <w:sz w:val="21"/>
                <w:szCs w:val="21"/>
                <w:highlight w:val="none"/>
                <w:u w:val="none"/>
                <w:lang w:val="en-US" w:eastAsia="zh-CN"/>
              </w:rPr>
              <w:t>2.</w:t>
            </w:r>
            <w:r>
              <w:rPr>
                <w:rFonts w:hint="eastAsia" w:asciiTheme="minorEastAsia" w:hAnsiTheme="minorEastAsia" w:eastAsiaTheme="minorEastAsia" w:cstheme="minorEastAsia"/>
                <w:i w:val="0"/>
                <w:iCs w:val="0"/>
                <w:color w:val="auto"/>
                <w:sz w:val="21"/>
                <w:szCs w:val="21"/>
                <w:highlight w:val="none"/>
                <w:u w:val="none"/>
              </w:rPr>
              <w:t>作原理：光电式、热敏元件感温</w:t>
            </w:r>
            <w:r>
              <w:rPr>
                <w:rFonts w:hint="eastAsia" w:asciiTheme="minorEastAsia" w:hAnsiTheme="minorEastAsia" w:eastAsiaTheme="minorEastAsia" w:cstheme="minorEastAsia"/>
                <w:i w:val="0"/>
                <w:iCs w:val="0"/>
                <w:color w:val="auto"/>
                <w:sz w:val="21"/>
                <w:szCs w:val="21"/>
                <w:highlight w:val="none"/>
                <w:u w:val="none"/>
                <w:lang w:eastAsia="zh-CN"/>
              </w:rPr>
              <w:t>。</w:t>
            </w:r>
          </w:p>
          <w:p w14:paraId="3030A3E0">
            <w:pPr>
              <w:keepNext w:val="0"/>
              <w:keepLines w:val="0"/>
              <w:suppressLineNumbers w:val="0"/>
              <w:adjustRightInd/>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3.</w:t>
            </w:r>
            <w:r>
              <w:rPr>
                <w:rFonts w:hint="eastAsia" w:asciiTheme="minorEastAsia" w:hAnsiTheme="minorEastAsia" w:eastAsiaTheme="minorEastAsia" w:cstheme="minorEastAsia"/>
                <w:i w:val="0"/>
                <w:iCs w:val="0"/>
                <w:color w:val="auto"/>
                <w:sz w:val="21"/>
                <w:szCs w:val="21"/>
                <w:highlight w:val="none"/>
                <w:u w:val="none"/>
              </w:rPr>
              <w:t>工作电压：</w:t>
            </w:r>
            <w:r>
              <w:rPr>
                <w:rFonts w:hint="eastAsia" w:asciiTheme="minorEastAsia" w:hAnsiTheme="minorEastAsia" w:eastAsiaTheme="minorEastAsia" w:cstheme="minorEastAsia"/>
                <w:i w:val="0"/>
                <w:iCs w:val="0"/>
                <w:color w:val="auto"/>
                <w:sz w:val="21"/>
                <w:szCs w:val="21"/>
                <w:highlight w:val="none"/>
                <w:u w:val="none"/>
                <w:lang w:eastAsia="zh-CN"/>
              </w:rPr>
              <w:t>内置</w:t>
            </w:r>
            <w:r>
              <w:rPr>
                <w:rFonts w:hint="eastAsia" w:asciiTheme="minorEastAsia" w:hAnsiTheme="minorEastAsia" w:eastAsiaTheme="minorEastAsia" w:cstheme="minorEastAsia"/>
                <w:i w:val="0"/>
                <w:iCs w:val="0"/>
                <w:color w:val="auto"/>
                <w:sz w:val="21"/>
                <w:szCs w:val="21"/>
                <w:highlight w:val="none"/>
                <w:u w:val="none"/>
              </w:rPr>
              <w:t>锂电池</w:t>
            </w:r>
            <w:r>
              <w:rPr>
                <w:rFonts w:hint="eastAsia" w:asciiTheme="minorEastAsia" w:hAnsiTheme="minorEastAsia" w:eastAsiaTheme="minorEastAsia" w:cstheme="minorEastAsia"/>
                <w:i w:val="0"/>
                <w:iCs w:val="0"/>
                <w:color w:val="auto"/>
                <w:sz w:val="21"/>
                <w:szCs w:val="21"/>
                <w:highlight w:val="none"/>
                <w:u w:val="none"/>
                <w:lang w:eastAsia="zh-CN"/>
              </w:rPr>
              <w:t>，电池寿命≥</w:t>
            </w:r>
            <w:r>
              <w:rPr>
                <w:rFonts w:hint="eastAsia" w:asciiTheme="minorEastAsia" w:hAnsiTheme="minorEastAsia" w:eastAsiaTheme="minorEastAsia" w:cstheme="minorEastAsia"/>
                <w:i w:val="0"/>
                <w:iCs w:val="0"/>
                <w:color w:val="auto"/>
                <w:sz w:val="21"/>
                <w:szCs w:val="21"/>
                <w:highlight w:val="none"/>
                <w:u w:val="none"/>
                <w:lang w:val="en-US" w:eastAsia="zh-CN"/>
              </w:rPr>
              <w:t>3年。</w:t>
            </w:r>
          </w:p>
          <w:p w14:paraId="662EA8E8">
            <w:pPr>
              <w:keepNext w:val="0"/>
              <w:keepLines w:val="0"/>
              <w:suppressLineNumbers w:val="0"/>
              <w:adjustRightInd/>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w:t>
            </w:r>
            <w:r>
              <w:rPr>
                <w:rFonts w:hint="eastAsia" w:asciiTheme="minorEastAsia" w:hAnsiTheme="minorEastAsia" w:eastAsiaTheme="minorEastAsia" w:cstheme="minorEastAsia"/>
                <w:i w:val="0"/>
                <w:iCs w:val="0"/>
                <w:color w:val="auto"/>
                <w:sz w:val="21"/>
                <w:szCs w:val="21"/>
                <w:highlight w:val="none"/>
                <w:u w:val="none"/>
              </w:rPr>
              <w:t>工作电流：静态电流≤13μA，报警电流≤150mA</w:t>
            </w:r>
            <w:r>
              <w:rPr>
                <w:rFonts w:hint="eastAsia" w:asciiTheme="minorEastAsia" w:hAnsiTheme="minorEastAsia" w:eastAsiaTheme="minorEastAsia" w:cstheme="minorEastAsia"/>
                <w:i w:val="0"/>
                <w:iCs w:val="0"/>
                <w:color w:val="auto"/>
                <w:sz w:val="21"/>
                <w:szCs w:val="21"/>
                <w:highlight w:val="none"/>
                <w:u w:val="none"/>
                <w:lang w:eastAsia="zh-CN"/>
              </w:rPr>
              <w:t>。</w:t>
            </w:r>
          </w:p>
          <w:p w14:paraId="59534A39">
            <w:pPr>
              <w:keepNext w:val="0"/>
              <w:keepLines w:val="0"/>
              <w:suppressLineNumbers w:val="0"/>
              <w:adjustRightInd/>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5.</w:t>
            </w:r>
            <w:r>
              <w:rPr>
                <w:rFonts w:hint="eastAsia" w:asciiTheme="minorEastAsia" w:hAnsiTheme="minorEastAsia" w:eastAsiaTheme="minorEastAsia" w:cstheme="minorEastAsia"/>
                <w:i w:val="0"/>
                <w:iCs w:val="0"/>
                <w:color w:val="auto"/>
                <w:sz w:val="21"/>
                <w:szCs w:val="21"/>
                <w:highlight w:val="none"/>
                <w:u w:val="none"/>
              </w:rPr>
              <w:t>报警音量：≥85dB@3m（A计权）</w:t>
            </w:r>
            <w:r>
              <w:rPr>
                <w:rFonts w:hint="eastAsia" w:asciiTheme="minorEastAsia" w:hAnsiTheme="minorEastAsia" w:eastAsiaTheme="minorEastAsia" w:cstheme="minorEastAsia"/>
                <w:i w:val="0"/>
                <w:iCs w:val="0"/>
                <w:color w:val="auto"/>
                <w:sz w:val="21"/>
                <w:szCs w:val="21"/>
                <w:highlight w:val="none"/>
                <w:u w:val="none"/>
                <w:lang w:eastAsia="zh-CN"/>
              </w:rPr>
              <w:t>。</w:t>
            </w:r>
          </w:p>
          <w:p w14:paraId="5BAD2DFD">
            <w:pPr>
              <w:keepNext w:val="0"/>
              <w:keepLines w:val="0"/>
              <w:suppressLineNumbers w:val="0"/>
              <w:adjustRightInd/>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6.</w:t>
            </w:r>
            <w:r>
              <w:rPr>
                <w:rFonts w:hint="eastAsia" w:asciiTheme="minorEastAsia" w:hAnsiTheme="minorEastAsia" w:eastAsiaTheme="minorEastAsia" w:cstheme="minorEastAsia"/>
                <w:i w:val="0"/>
                <w:iCs w:val="0"/>
                <w:color w:val="auto"/>
                <w:sz w:val="21"/>
                <w:szCs w:val="21"/>
                <w:highlight w:val="none"/>
                <w:u w:val="none"/>
              </w:rPr>
              <w:t>报警分类：火灾报警、低压报警、故障报警、防拆报警</w:t>
            </w:r>
            <w:r>
              <w:rPr>
                <w:rFonts w:hint="eastAsia" w:asciiTheme="minorEastAsia" w:hAnsiTheme="minorEastAsia" w:eastAsiaTheme="minorEastAsia" w:cstheme="minorEastAsia"/>
                <w:i w:val="0"/>
                <w:iCs w:val="0"/>
                <w:color w:val="auto"/>
                <w:sz w:val="21"/>
                <w:szCs w:val="21"/>
                <w:highlight w:val="none"/>
                <w:u w:val="none"/>
                <w:lang w:eastAsia="zh-CN"/>
              </w:rPr>
              <w:t>。</w:t>
            </w:r>
          </w:p>
          <w:p w14:paraId="778A72B0">
            <w:pPr>
              <w:keepNext w:val="0"/>
              <w:keepLines w:val="0"/>
              <w:suppressLineNumbers w:val="0"/>
              <w:adjustRightInd/>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sz w:val="21"/>
                <w:szCs w:val="21"/>
                <w:highlight w:val="none"/>
                <w:u w:val="none"/>
                <w:lang w:val="en-US" w:eastAsia="zh-CN"/>
              </w:rPr>
              <w:t>7.</w:t>
            </w:r>
            <w:r>
              <w:rPr>
                <w:rFonts w:hint="eastAsia" w:asciiTheme="minorEastAsia" w:hAnsiTheme="minorEastAsia" w:eastAsiaTheme="minorEastAsia" w:cstheme="minorEastAsia"/>
                <w:i w:val="0"/>
                <w:iCs w:val="0"/>
                <w:color w:val="auto"/>
                <w:sz w:val="21"/>
                <w:szCs w:val="21"/>
                <w:highlight w:val="none"/>
                <w:u w:val="none"/>
              </w:rPr>
              <w:t>其他功能：自检按键、本地/远程消音、信号查询</w:t>
            </w:r>
            <w:r>
              <w:rPr>
                <w:rFonts w:hint="eastAsia" w:asciiTheme="minorEastAsia" w:hAnsiTheme="minorEastAsia" w:eastAsiaTheme="minorEastAsia" w:cstheme="minorEastAsia"/>
                <w:i w:val="0"/>
                <w:iCs w:val="0"/>
                <w:color w:val="auto"/>
                <w:sz w:val="21"/>
                <w:szCs w:val="21"/>
                <w:highlight w:val="none"/>
                <w:u w:val="none"/>
                <w:lang w:eastAsia="zh-CN"/>
              </w:rPr>
              <w:t>。</w:t>
            </w:r>
          </w:p>
        </w:tc>
        <w:tc>
          <w:tcPr>
            <w:tcW w:w="836" w:type="dxa"/>
            <w:tcBorders>
              <w:tl2br w:val="nil"/>
              <w:tr2bl w:val="nil"/>
            </w:tcBorders>
            <w:shd w:val="clear" w:color="auto" w:fill="auto"/>
            <w:vAlign w:val="center"/>
          </w:tcPr>
          <w:p w14:paraId="51E0C73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46</w:t>
            </w:r>
          </w:p>
        </w:tc>
        <w:tc>
          <w:tcPr>
            <w:tcW w:w="839" w:type="dxa"/>
            <w:tcBorders>
              <w:tl2br w:val="nil"/>
              <w:tr2bl w:val="nil"/>
            </w:tcBorders>
            <w:shd w:val="clear" w:color="auto" w:fill="auto"/>
            <w:vAlign w:val="center"/>
          </w:tcPr>
          <w:p w14:paraId="1AE8A1A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5B96AC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9420" w:type="dxa"/>
            <w:gridSpan w:val="5"/>
            <w:tcBorders>
              <w:tl2br w:val="nil"/>
              <w:tr2bl w:val="nil"/>
            </w:tcBorders>
            <w:shd w:val="clear" w:color="auto" w:fill="auto"/>
            <w:vAlign w:val="center"/>
          </w:tcPr>
          <w:p w14:paraId="55AB7840">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SA"/>
              </w:rPr>
              <w:t>西园实验幼儿园灯塔园区</w:t>
            </w:r>
          </w:p>
        </w:tc>
      </w:tr>
      <w:tr w14:paraId="4278B3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1433086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序号</w:t>
            </w:r>
          </w:p>
        </w:tc>
        <w:tc>
          <w:tcPr>
            <w:tcW w:w="1690" w:type="dxa"/>
            <w:tcBorders>
              <w:tl2br w:val="nil"/>
              <w:tr2bl w:val="nil"/>
            </w:tcBorders>
            <w:shd w:val="clear" w:color="auto" w:fill="auto"/>
            <w:vAlign w:val="center"/>
          </w:tcPr>
          <w:p w14:paraId="3A07482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设备名称</w:t>
            </w:r>
          </w:p>
        </w:tc>
        <w:tc>
          <w:tcPr>
            <w:tcW w:w="5232" w:type="dxa"/>
            <w:tcBorders>
              <w:tl2br w:val="nil"/>
              <w:tr2bl w:val="nil"/>
            </w:tcBorders>
            <w:shd w:val="clear" w:color="auto" w:fill="auto"/>
            <w:vAlign w:val="center"/>
          </w:tcPr>
          <w:p w14:paraId="595FE60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采购要求</w:t>
            </w:r>
          </w:p>
        </w:tc>
        <w:tc>
          <w:tcPr>
            <w:tcW w:w="836" w:type="dxa"/>
            <w:tcBorders>
              <w:tl2br w:val="nil"/>
              <w:tr2bl w:val="nil"/>
            </w:tcBorders>
            <w:shd w:val="clear" w:color="auto" w:fill="auto"/>
            <w:vAlign w:val="center"/>
          </w:tcPr>
          <w:p w14:paraId="07202AC5">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数量</w:t>
            </w:r>
          </w:p>
        </w:tc>
        <w:tc>
          <w:tcPr>
            <w:tcW w:w="839" w:type="dxa"/>
            <w:tcBorders>
              <w:tl2br w:val="nil"/>
              <w:tr2bl w:val="nil"/>
            </w:tcBorders>
            <w:shd w:val="clear" w:color="auto" w:fill="auto"/>
            <w:vAlign w:val="center"/>
          </w:tcPr>
          <w:p w14:paraId="2A0E1435">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单位</w:t>
            </w:r>
          </w:p>
        </w:tc>
      </w:tr>
      <w:tr w14:paraId="1159EB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4363CB2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690" w:type="dxa"/>
            <w:tcBorders>
              <w:tl2br w:val="nil"/>
              <w:tr2bl w:val="nil"/>
            </w:tcBorders>
            <w:shd w:val="clear" w:color="auto" w:fill="auto"/>
            <w:vAlign w:val="center"/>
          </w:tcPr>
          <w:p w14:paraId="2274639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报警信号发生器</w:t>
            </w:r>
          </w:p>
        </w:tc>
        <w:tc>
          <w:tcPr>
            <w:tcW w:w="5232" w:type="dxa"/>
            <w:tcBorders>
              <w:tl2br w:val="nil"/>
              <w:tr2bl w:val="nil"/>
            </w:tcBorders>
            <w:shd w:val="clear" w:color="auto" w:fill="auto"/>
            <w:vAlign w:val="center"/>
          </w:tcPr>
          <w:p w14:paraId="30BA110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1.标准机柜式设计（2U），氧化铝拉丝面板。</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2.警报音源：报警短路触发自动播放内置警笛或是固话录音。</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3.紧急警报模式：报警短路触发取消马上停止报警声；报警短路触发取消后报警声循环播放（需手动按下STOP键取消报警）。</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4.报警音频存储方式：话筒录音输入线路；录音线路输入线路；内置警笛音频。</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5.录、放音IC可存储≥2分钟的录音（可反复擦写循环100000次）。</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6.功耗：≤5W。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7.音频输出：775mV。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8.电源：AC220-240V50/60Hz。</w:t>
            </w:r>
          </w:p>
        </w:tc>
        <w:tc>
          <w:tcPr>
            <w:tcW w:w="836" w:type="dxa"/>
            <w:tcBorders>
              <w:tl2br w:val="nil"/>
              <w:tr2bl w:val="nil"/>
            </w:tcBorders>
            <w:shd w:val="clear" w:color="auto" w:fill="auto"/>
            <w:vAlign w:val="center"/>
          </w:tcPr>
          <w:p w14:paraId="6E4537A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FFFFFF"/>
            <w:vAlign w:val="center"/>
          </w:tcPr>
          <w:p w14:paraId="6857602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424DB6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2E6EF9A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690" w:type="dxa"/>
            <w:tcBorders>
              <w:tl2br w:val="nil"/>
              <w:tr2bl w:val="nil"/>
            </w:tcBorders>
            <w:shd w:val="clear" w:color="auto" w:fill="auto"/>
            <w:vAlign w:val="center"/>
          </w:tcPr>
          <w:p w14:paraId="39174BB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无线话筒天线</w:t>
            </w:r>
          </w:p>
        </w:tc>
        <w:tc>
          <w:tcPr>
            <w:tcW w:w="5232" w:type="dxa"/>
            <w:tcBorders>
              <w:tl2br w:val="nil"/>
              <w:tr2bl w:val="nil"/>
            </w:tcBorders>
            <w:shd w:val="clear" w:color="auto" w:fill="auto"/>
            <w:vAlign w:val="center"/>
          </w:tcPr>
          <w:p w14:paraId="7E1C7C4C">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1.有源指向天线。</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2.频率范围：470~960MHz。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3.增益：内置3dB/10dB可调。</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4.接口：BNC。</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5.阻抗：50Ω。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6.电压：9-12V。</w:t>
            </w:r>
          </w:p>
        </w:tc>
        <w:tc>
          <w:tcPr>
            <w:tcW w:w="836" w:type="dxa"/>
            <w:tcBorders>
              <w:tl2br w:val="nil"/>
              <w:tr2bl w:val="nil"/>
            </w:tcBorders>
            <w:shd w:val="clear" w:color="auto" w:fill="auto"/>
            <w:vAlign w:val="center"/>
          </w:tcPr>
          <w:p w14:paraId="4B8F002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0EC6DFA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r>
      <w:tr w14:paraId="71C522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44E8EE9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690" w:type="dxa"/>
            <w:tcBorders>
              <w:tl2br w:val="nil"/>
              <w:tr2bl w:val="nil"/>
            </w:tcBorders>
            <w:shd w:val="clear" w:color="auto" w:fill="auto"/>
            <w:vAlign w:val="center"/>
          </w:tcPr>
          <w:p w14:paraId="7DDF973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一进二出天线信号分支器</w:t>
            </w:r>
          </w:p>
        </w:tc>
        <w:tc>
          <w:tcPr>
            <w:tcW w:w="5232" w:type="dxa"/>
            <w:tcBorders>
              <w:tl2br w:val="nil"/>
              <w:tr2bl w:val="nil"/>
            </w:tcBorders>
            <w:shd w:val="clear" w:color="auto" w:fill="auto"/>
            <w:vAlign w:val="center"/>
          </w:tcPr>
          <w:p w14:paraId="5F97A320">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1.一进二出天线分配器。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2.频段范围：450MHz~970MHz。</w:t>
            </w:r>
          </w:p>
        </w:tc>
        <w:tc>
          <w:tcPr>
            <w:tcW w:w="836" w:type="dxa"/>
            <w:tcBorders>
              <w:tl2br w:val="nil"/>
              <w:tr2bl w:val="nil"/>
            </w:tcBorders>
            <w:shd w:val="clear" w:color="auto" w:fill="auto"/>
            <w:vAlign w:val="center"/>
          </w:tcPr>
          <w:p w14:paraId="4338246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4A24F55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r>
      <w:tr w14:paraId="5BB69E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04" w:hRule="atLeast"/>
        </w:trPr>
        <w:tc>
          <w:tcPr>
            <w:tcW w:w="823" w:type="dxa"/>
            <w:tcBorders>
              <w:tl2br w:val="nil"/>
              <w:tr2bl w:val="nil"/>
            </w:tcBorders>
            <w:shd w:val="clear" w:color="auto" w:fill="auto"/>
            <w:vAlign w:val="center"/>
          </w:tcPr>
          <w:p w14:paraId="306ED3F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690" w:type="dxa"/>
            <w:tcBorders>
              <w:tl2br w:val="nil"/>
              <w:tr2bl w:val="nil"/>
            </w:tcBorders>
            <w:shd w:val="clear" w:color="auto" w:fill="auto"/>
            <w:vAlign w:val="center"/>
          </w:tcPr>
          <w:p w14:paraId="5591726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吸顶喇叭</w:t>
            </w:r>
          </w:p>
        </w:tc>
        <w:tc>
          <w:tcPr>
            <w:tcW w:w="5232" w:type="dxa"/>
            <w:tcBorders>
              <w:tl2br w:val="nil"/>
              <w:tr2bl w:val="nil"/>
            </w:tcBorders>
            <w:shd w:val="clear" w:color="auto" w:fill="auto"/>
            <w:vAlign w:val="center"/>
          </w:tcPr>
          <w:p w14:paraId="09C10090">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1.额定功率：≥10W。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2.定压输入：100V。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3.阻抗：COM/1.2KΩ。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4.灵敏度：≥91dB。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5.频率响应：90-16KHz。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6.扬声器：等同或优于4'全频。</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7.安装开孔：Φ155mm。</w:t>
            </w:r>
          </w:p>
        </w:tc>
        <w:tc>
          <w:tcPr>
            <w:tcW w:w="836" w:type="dxa"/>
            <w:tcBorders>
              <w:tl2br w:val="nil"/>
              <w:tr2bl w:val="nil"/>
            </w:tcBorders>
            <w:shd w:val="clear" w:color="auto" w:fill="auto"/>
            <w:vAlign w:val="center"/>
          </w:tcPr>
          <w:p w14:paraId="4623810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839" w:type="dxa"/>
            <w:tcBorders>
              <w:tl2br w:val="nil"/>
              <w:tr2bl w:val="nil"/>
            </w:tcBorders>
            <w:shd w:val="clear" w:color="auto" w:fill="auto"/>
            <w:vAlign w:val="center"/>
          </w:tcPr>
          <w:p w14:paraId="7840E01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只</w:t>
            </w:r>
          </w:p>
        </w:tc>
      </w:tr>
      <w:tr w14:paraId="7564DA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3F46CDA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690" w:type="dxa"/>
            <w:tcBorders>
              <w:tl2br w:val="nil"/>
              <w:tr2bl w:val="nil"/>
            </w:tcBorders>
            <w:shd w:val="clear" w:color="auto" w:fill="auto"/>
            <w:vAlign w:val="center"/>
          </w:tcPr>
          <w:p w14:paraId="495FD44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音量控制开关</w:t>
            </w:r>
          </w:p>
        </w:tc>
        <w:tc>
          <w:tcPr>
            <w:tcW w:w="5232" w:type="dxa"/>
            <w:tcBorders>
              <w:tl2br w:val="nil"/>
              <w:tr2bl w:val="nil"/>
            </w:tcBorders>
            <w:shd w:val="clear" w:color="auto" w:fill="auto"/>
            <w:vAlign w:val="center"/>
          </w:tcPr>
          <w:p w14:paraId="42EDFE9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1.信号输入：70-100V。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2.信号输出：0-100V。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3.频率响应：80-16KHz。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4.衰减方式：电阻。</w:t>
            </w:r>
          </w:p>
        </w:tc>
        <w:tc>
          <w:tcPr>
            <w:tcW w:w="836" w:type="dxa"/>
            <w:tcBorders>
              <w:tl2br w:val="nil"/>
              <w:tr2bl w:val="nil"/>
            </w:tcBorders>
            <w:shd w:val="clear" w:color="auto" w:fill="auto"/>
            <w:vAlign w:val="center"/>
          </w:tcPr>
          <w:p w14:paraId="1EB0E80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839" w:type="dxa"/>
            <w:tcBorders>
              <w:tl2br w:val="nil"/>
              <w:tr2bl w:val="nil"/>
            </w:tcBorders>
            <w:shd w:val="clear" w:color="auto" w:fill="auto"/>
            <w:vAlign w:val="center"/>
          </w:tcPr>
          <w:p w14:paraId="410B5CC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只</w:t>
            </w:r>
          </w:p>
        </w:tc>
      </w:tr>
      <w:tr w14:paraId="6B197E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5B1E68F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690" w:type="dxa"/>
            <w:tcBorders>
              <w:tl2br w:val="nil"/>
              <w:tr2bl w:val="nil"/>
            </w:tcBorders>
            <w:shd w:val="clear" w:color="auto" w:fill="auto"/>
            <w:vAlign w:val="center"/>
          </w:tcPr>
          <w:p w14:paraId="2D85CB7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功放</w:t>
            </w:r>
          </w:p>
        </w:tc>
        <w:tc>
          <w:tcPr>
            <w:tcW w:w="5232" w:type="dxa"/>
            <w:tcBorders>
              <w:tl2br w:val="nil"/>
              <w:tr2bl w:val="nil"/>
            </w:tcBorders>
            <w:shd w:val="clear" w:color="auto" w:fill="auto"/>
            <w:vAlign w:val="center"/>
          </w:tcPr>
          <w:p w14:paraId="330B5641">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1.不低于六分区独立音量控制。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2.自带MP3播放器，MP3和WMA双解码，USB接口。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3.支持MP3、WMA、WAV等歌曲格式播放。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4.具备蓝牙功能。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5.具备收音功能，内置FM调谐器。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6.具有显示屏。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7.具有钟声提示、报警功能。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8.等同或优于3路话筒输入,2路线路输入,1路辅助输出。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9.话筒具有优先权（自动静音功能）功能。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10.话筒、线路单独音量控制，总音量控制。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11.高音、低音音调控制。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12.输出功率：≥240W。</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13.输出方式：8Ω，定压70V，100V。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14.线路输出：600Ω/1V（0db）。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15.输入：MIC1；AUX1。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16.频响：20HZ~20KHZ。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17.谐波失真：≤0.1%@ 1KHZ。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18.信噪比：＞75db。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19.音调调节：Bass±10db at 100HZ Treble：±10db at 10KHZ。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20.保护：开机保护，过压保护，直流保护，短路保护，过热保护。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21.静音：MIC1，铃声，报警声。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22.电源：AC220V/50HZ。</w:t>
            </w:r>
          </w:p>
        </w:tc>
        <w:tc>
          <w:tcPr>
            <w:tcW w:w="836" w:type="dxa"/>
            <w:tcBorders>
              <w:tl2br w:val="nil"/>
              <w:tr2bl w:val="nil"/>
            </w:tcBorders>
            <w:shd w:val="clear" w:color="auto" w:fill="auto"/>
            <w:vAlign w:val="center"/>
          </w:tcPr>
          <w:p w14:paraId="1449895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64571D2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03486F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AC63A6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690" w:type="dxa"/>
            <w:tcBorders>
              <w:tl2br w:val="nil"/>
              <w:tr2bl w:val="nil"/>
            </w:tcBorders>
            <w:shd w:val="clear" w:color="auto" w:fill="auto"/>
            <w:vAlign w:val="center"/>
          </w:tcPr>
          <w:p w14:paraId="7C4CBE2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电源时序器</w:t>
            </w:r>
          </w:p>
        </w:tc>
        <w:tc>
          <w:tcPr>
            <w:tcW w:w="5232" w:type="dxa"/>
            <w:tcBorders>
              <w:tl2br w:val="nil"/>
              <w:tr2bl w:val="nil"/>
            </w:tcBorders>
            <w:shd w:val="clear" w:color="auto" w:fill="auto"/>
            <w:vAlign w:val="center"/>
          </w:tcPr>
          <w:p w14:paraId="579B2F2D">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1.具有≥8路通道电源（220V/13A）时序打开/关闭。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2.≥2组电源输出接口（220V/16A），USB电源口，可接USB LED灯。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3.通过面板一键开关，可时序关启通道，实现时序功能。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4.带232接口，可受中控设备控制，支持联机控制，可支持9台设备同时联机使用。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5.远程控制（上电+24V直流信号）8通道电源时序打开/关闭--当电源开关锁处于off位置时有效。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6.当远程控制有效时同时控制后板端口导通--起到级联控制功能。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7.通道数：≥8+2。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8.总输出功率：≤7kW。</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9.电源：AC 220V 50-60Hz。</w:t>
            </w:r>
          </w:p>
        </w:tc>
        <w:tc>
          <w:tcPr>
            <w:tcW w:w="836" w:type="dxa"/>
            <w:tcBorders>
              <w:tl2br w:val="nil"/>
              <w:tr2bl w:val="nil"/>
            </w:tcBorders>
            <w:shd w:val="clear" w:color="auto" w:fill="auto"/>
            <w:vAlign w:val="center"/>
          </w:tcPr>
          <w:p w14:paraId="4768CBC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FFFFFF"/>
            <w:vAlign w:val="center"/>
          </w:tcPr>
          <w:p w14:paraId="3190AF1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1C7938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9420" w:type="dxa"/>
            <w:gridSpan w:val="5"/>
            <w:tcBorders>
              <w:tl2br w:val="nil"/>
              <w:tr2bl w:val="nil"/>
            </w:tcBorders>
            <w:shd w:val="clear" w:color="auto" w:fill="auto"/>
            <w:vAlign w:val="center"/>
          </w:tcPr>
          <w:p w14:paraId="1A447CC9">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SA"/>
              </w:rPr>
              <w:t>新城实验第二幼儿园</w:t>
            </w:r>
          </w:p>
        </w:tc>
      </w:tr>
      <w:tr w14:paraId="185BC5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3178282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序号</w:t>
            </w:r>
          </w:p>
        </w:tc>
        <w:tc>
          <w:tcPr>
            <w:tcW w:w="1690" w:type="dxa"/>
            <w:tcBorders>
              <w:tl2br w:val="nil"/>
              <w:tr2bl w:val="nil"/>
            </w:tcBorders>
            <w:shd w:val="clear" w:color="auto" w:fill="auto"/>
            <w:vAlign w:val="center"/>
          </w:tcPr>
          <w:p w14:paraId="7B1A6F3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设备名称</w:t>
            </w:r>
          </w:p>
        </w:tc>
        <w:tc>
          <w:tcPr>
            <w:tcW w:w="5232" w:type="dxa"/>
            <w:tcBorders>
              <w:tl2br w:val="nil"/>
              <w:tr2bl w:val="nil"/>
            </w:tcBorders>
            <w:shd w:val="clear" w:color="auto" w:fill="auto"/>
            <w:vAlign w:val="center"/>
          </w:tcPr>
          <w:p w14:paraId="2EB50AA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采购要求</w:t>
            </w:r>
          </w:p>
        </w:tc>
        <w:tc>
          <w:tcPr>
            <w:tcW w:w="836" w:type="dxa"/>
            <w:tcBorders>
              <w:tl2br w:val="nil"/>
              <w:tr2bl w:val="nil"/>
            </w:tcBorders>
            <w:shd w:val="clear" w:color="auto" w:fill="auto"/>
            <w:vAlign w:val="center"/>
          </w:tcPr>
          <w:p w14:paraId="734A130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数量</w:t>
            </w:r>
          </w:p>
        </w:tc>
        <w:tc>
          <w:tcPr>
            <w:tcW w:w="839" w:type="dxa"/>
            <w:tcBorders>
              <w:tl2br w:val="nil"/>
              <w:tr2bl w:val="nil"/>
            </w:tcBorders>
            <w:shd w:val="clear" w:color="auto" w:fill="auto"/>
            <w:vAlign w:val="center"/>
          </w:tcPr>
          <w:p w14:paraId="0800A46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单位</w:t>
            </w:r>
          </w:p>
        </w:tc>
      </w:tr>
      <w:tr w14:paraId="67CA33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1F5A00E7">
            <w:pPr>
              <w:keepNext w:val="0"/>
              <w:keepLines w:val="0"/>
              <w:suppressLineNumbers w:val="0"/>
              <w:tabs>
                <w:tab w:val="left" w:pos="3165"/>
              </w:tabs>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1</w:t>
            </w:r>
          </w:p>
        </w:tc>
        <w:tc>
          <w:tcPr>
            <w:tcW w:w="1690" w:type="dxa"/>
            <w:tcBorders>
              <w:tl2br w:val="nil"/>
              <w:tr2bl w:val="nil"/>
            </w:tcBorders>
            <w:shd w:val="clear" w:color="auto" w:fill="auto"/>
            <w:vAlign w:val="center"/>
          </w:tcPr>
          <w:p w14:paraId="790A9D1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监控专用硬盘</w:t>
            </w:r>
          </w:p>
        </w:tc>
        <w:tc>
          <w:tcPr>
            <w:tcW w:w="5232" w:type="dxa"/>
            <w:tcBorders>
              <w:tl2br w:val="nil"/>
              <w:tr2bl w:val="nil"/>
            </w:tcBorders>
            <w:shd w:val="clear" w:color="auto" w:fill="auto"/>
            <w:vAlign w:val="top"/>
          </w:tcPr>
          <w:p w14:paraId="1F76B239">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8T,7200RPM,SATA。</w:t>
            </w:r>
          </w:p>
        </w:tc>
        <w:tc>
          <w:tcPr>
            <w:tcW w:w="836" w:type="dxa"/>
            <w:tcBorders>
              <w:tl2br w:val="nil"/>
              <w:tr2bl w:val="nil"/>
            </w:tcBorders>
            <w:shd w:val="clear" w:color="auto" w:fill="auto"/>
            <w:vAlign w:val="center"/>
          </w:tcPr>
          <w:p w14:paraId="155E3B86">
            <w:pPr>
              <w:keepNext w:val="0"/>
              <w:keepLines w:val="0"/>
              <w:suppressLineNumbers w:val="0"/>
              <w:tabs>
                <w:tab w:val="left" w:pos="3165"/>
              </w:tabs>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20</w:t>
            </w:r>
          </w:p>
        </w:tc>
        <w:tc>
          <w:tcPr>
            <w:tcW w:w="839" w:type="dxa"/>
            <w:tcBorders>
              <w:tl2br w:val="nil"/>
              <w:tr2bl w:val="nil"/>
            </w:tcBorders>
            <w:shd w:val="clear" w:color="auto" w:fill="auto"/>
            <w:vAlign w:val="center"/>
          </w:tcPr>
          <w:p w14:paraId="0CF9CEFE">
            <w:pPr>
              <w:keepNext w:val="0"/>
              <w:keepLines w:val="0"/>
              <w:suppressLineNumbers w:val="0"/>
              <w:tabs>
                <w:tab w:val="left" w:pos="3165"/>
              </w:tabs>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块</w:t>
            </w:r>
          </w:p>
        </w:tc>
      </w:tr>
      <w:tr w14:paraId="2D70D1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03378462">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2</w:t>
            </w:r>
          </w:p>
        </w:tc>
        <w:tc>
          <w:tcPr>
            <w:tcW w:w="1690" w:type="dxa"/>
            <w:tcBorders>
              <w:tl2br w:val="nil"/>
              <w:tr2bl w:val="nil"/>
            </w:tcBorders>
            <w:shd w:val="clear" w:color="auto" w:fill="auto"/>
            <w:vAlign w:val="center"/>
          </w:tcPr>
          <w:p w14:paraId="7F5A84E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前级功放</w:t>
            </w:r>
          </w:p>
        </w:tc>
        <w:tc>
          <w:tcPr>
            <w:tcW w:w="5232" w:type="dxa"/>
            <w:tcBorders>
              <w:tl2br w:val="nil"/>
              <w:tr2bl w:val="nil"/>
            </w:tcBorders>
            <w:shd w:val="clear" w:color="auto" w:fill="auto"/>
            <w:vAlign w:val="center"/>
          </w:tcPr>
          <w:p w14:paraId="052F4318">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1.D类数字功率放大器。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2.MP3解码模块支持USB/Bluetooth播放功能。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3.具有3路话筒（TRS6.35）输入、3路线路输入，1组录音输出，其中话筒、线路独立音量调节以及话筒高、低音独立调节功能，Mic1-3具有+48V幻像供电选择开关，Mic1具有默音可调功能。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4.支持6分区输出，总音量调节。</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5.RS485远程监控。通过广播管理系统主机可监控功放的工作模式、工作温度、输出电平、保护状态、工作电流等工作状态。</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6.输出功率：≥250W（100V定压输出）。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7.输入灵敏度：</w:t>
            </w:r>
          </w:p>
          <w:p w14:paraId="3BFA24B5">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7.1 线路（L+R）：150mV±30mV；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7.2 话筒：（17mv±5mv）。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8.音调调节：</w:t>
            </w:r>
          </w:p>
          <w:p w14:paraId="583B6830">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8.1 低频：100Hz ±10dB（±2dB）；</w:t>
            </w:r>
          </w:p>
          <w:p w14:paraId="0982679C">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8.2 高频：10KHz±8dB（±2dB）。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9.频率响应：100Hz~16kHz (+2/-6dB)。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10.总谐波失真：80Hz-16KHz≤1%。</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11.信噪比：</w:t>
            </w:r>
          </w:p>
          <w:p w14:paraId="28C75A95">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11.1 话筒：≥55 dB （A计权）；</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11.2 线路：≥76 dB（A计权）。</w:t>
            </w:r>
          </w:p>
        </w:tc>
        <w:tc>
          <w:tcPr>
            <w:tcW w:w="836" w:type="dxa"/>
            <w:tcBorders>
              <w:tl2br w:val="nil"/>
              <w:tr2bl w:val="nil"/>
            </w:tcBorders>
            <w:shd w:val="clear" w:color="auto" w:fill="auto"/>
            <w:vAlign w:val="center"/>
          </w:tcPr>
          <w:p w14:paraId="4DFC383A">
            <w:pPr>
              <w:keepNext w:val="0"/>
              <w:keepLines w:val="0"/>
              <w:suppressLineNumbers w:val="0"/>
              <w:tabs>
                <w:tab w:val="left" w:pos="3165"/>
              </w:tabs>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1</w:t>
            </w:r>
          </w:p>
        </w:tc>
        <w:tc>
          <w:tcPr>
            <w:tcW w:w="839" w:type="dxa"/>
            <w:tcBorders>
              <w:tl2br w:val="nil"/>
              <w:tr2bl w:val="nil"/>
            </w:tcBorders>
            <w:shd w:val="clear" w:color="auto" w:fill="auto"/>
            <w:vAlign w:val="center"/>
          </w:tcPr>
          <w:p w14:paraId="7309D971">
            <w:pPr>
              <w:keepNext w:val="0"/>
              <w:keepLines w:val="0"/>
              <w:suppressLineNumbers w:val="0"/>
              <w:tabs>
                <w:tab w:val="left" w:pos="3165"/>
              </w:tabs>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台</w:t>
            </w:r>
          </w:p>
        </w:tc>
      </w:tr>
      <w:tr w14:paraId="42A9E5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23704143">
            <w:pPr>
              <w:keepNext w:val="0"/>
              <w:keepLines w:val="0"/>
              <w:suppressLineNumbers w:val="0"/>
              <w:tabs>
                <w:tab w:val="left" w:pos="3165"/>
              </w:tabs>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3</w:t>
            </w:r>
          </w:p>
        </w:tc>
        <w:tc>
          <w:tcPr>
            <w:tcW w:w="1690" w:type="dxa"/>
            <w:tcBorders>
              <w:tl2br w:val="nil"/>
              <w:tr2bl w:val="nil"/>
            </w:tcBorders>
            <w:shd w:val="clear" w:color="auto" w:fill="auto"/>
            <w:vAlign w:val="center"/>
          </w:tcPr>
          <w:p w14:paraId="16B88E1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定压功放</w:t>
            </w:r>
          </w:p>
        </w:tc>
        <w:tc>
          <w:tcPr>
            <w:tcW w:w="5232" w:type="dxa"/>
            <w:tcBorders>
              <w:tl2br w:val="nil"/>
              <w:tr2bl w:val="nil"/>
            </w:tcBorders>
            <w:shd w:val="clear" w:color="auto" w:fill="auto"/>
            <w:vAlign w:val="center"/>
          </w:tcPr>
          <w:p w14:paraId="415C949D">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1.D类数字功率放大器。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2.RS485远程监控，通过广播管理系统主机可监控功放的工作模式、工作温度、输出电平、保护状态、工作电流等工作状态。</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3.具备插卡式网络模块。</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4.输出功率：≥500W（100V定压输出）。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5.频率响应：100Hz~16kHz (+2/-6dB)。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6.信噪比：≥90dB（A计权）。</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7.输入灵敏度：775mV±50mV。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8.总谐波失真：80Hz-16KHz＜1%。</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9.电源：交流220V/50Hz±10%。</w:t>
            </w:r>
          </w:p>
        </w:tc>
        <w:tc>
          <w:tcPr>
            <w:tcW w:w="836" w:type="dxa"/>
            <w:tcBorders>
              <w:tl2br w:val="nil"/>
              <w:tr2bl w:val="nil"/>
            </w:tcBorders>
            <w:shd w:val="clear" w:color="auto" w:fill="auto"/>
            <w:vAlign w:val="center"/>
          </w:tcPr>
          <w:p w14:paraId="0BEF51BD">
            <w:pPr>
              <w:keepNext w:val="0"/>
              <w:keepLines w:val="0"/>
              <w:suppressLineNumbers w:val="0"/>
              <w:tabs>
                <w:tab w:val="left" w:pos="3165"/>
              </w:tabs>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1</w:t>
            </w:r>
          </w:p>
        </w:tc>
        <w:tc>
          <w:tcPr>
            <w:tcW w:w="839" w:type="dxa"/>
            <w:tcBorders>
              <w:tl2br w:val="nil"/>
              <w:tr2bl w:val="nil"/>
            </w:tcBorders>
            <w:shd w:val="clear" w:color="auto" w:fill="auto"/>
            <w:vAlign w:val="center"/>
          </w:tcPr>
          <w:p w14:paraId="46DF2EE8">
            <w:pPr>
              <w:keepNext w:val="0"/>
              <w:keepLines w:val="0"/>
              <w:suppressLineNumbers w:val="0"/>
              <w:tabs>
                <w:tab w:val="left" w:pos="3165"/>
              </w:tabs>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台</w:t>
            </w:r>
          </w:p>
        </w:tc>
      </w:tr>
      <w:tr w14:paraId="54FA87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2501F9F9">
            <w:pPr>
              <w:keepNext w:val="0"/>
              <w:keepLines w:val="0"/>
              <w:suppressLineNumbers w:val="0"/>
              <w:tabs>
                <w:tab w:val="left" w:pos="3165"/>
              </w:tabs>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4</w:t>
            </w:r>
          </w:p>
        </w:tc>
        <w:tc>
          <w:tcPr>
            <w:tcW w:w="1690" w:type="dxa"/>
            <w:tcBorders>
              <w:tl2br w:val="nil"/>
              <w:tr2bl w:val="nil"/>
            </w:tcBorders>
            <w:shd w:val="clear" w:color="auto" w:fill="auto"/>
            <w:vAlign w:val="center"/>
          </w:tcPr>
          <w:p w14:paraId="01E94FD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定压吸顶喇叭</w:t>
            </w:r>
          </w:p>
        </w:tc>
        <w:tc>
          <w:tcPr>
            <w:tcW w:w="5232" w:type="dxa"/>
            <w:tcBorders>
              <w:tl2br w:val="nil"/>
              <w:tr2bl w:val="nil"/>
            </w:tcBorders>
            <w:shd w:val="clear" w:color="auto" w:fill="auto"/>
            <w:vAlign w:val="center"/>
          </w:tcPr>
          <w:p w14:paraId="3ECBB3E6">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1.塑料盆架，弹簧压片系统。</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2.额定功率：≥3W/6W。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3.输入电压：100V。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4.频率范围：120Hz-15KHz（±15%)。</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5.灵敏度：90±3dB。</w:t>
            </w:r>
          </w:p>
        </w:tc>
        <w:tc>
          <w:tcPr>
            <w:tcW w:w="836" w:type="dxa"/>
            <w:tcBorders>
              <w:tl2br w:val="nil"/>
              <w:tr2bl w:val="nil"/>
            </w:tcBorders>
            <w:shd w:val="clear" w:color="auto" w:fill="auto"/>
            <w:vAlign w:val="center"/>
          </w:tcPr>
          <w:p w14:paraId="3E1FE46E">
            <w:pPr>
              <w:keepNext w:val="0"/>
              <w:keepLines w:val="0"/>
              <w:suppressLineNumbers w:val="0"/>
              <w:tabs>
                <w:tab w:val="left" w:pos="3165"/>
              </w:tabs>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8</w:t>
            </w:r>
          </w:p>
        </w:tc>
        <w:tc>
          <w:tcPr>
            <w:tcW w:w="839" w:type="dxa"/>
            <w:tcBorders>
              <w:tl2br w:val="nil"/>
              <w:tr2bl w:val="nil"/>
            </w:tcBorders>
            <w:shd w:val="clear" w:color="auto" w:fill="auto"/>
            <w:vAlign w:val="center"/>
          </w:tcPr>
          <w:p w14:paraId="1F856C2C">
            <w:pPr>
              <w:keepNext w:val="0"/>
              <w:keepLines w:val="0"/>
              <w:suppressLineNumbers w:val="0"/>
              <w:tabs>
                <w:tab w:val="left" w:pos="3165"/>
              </w:tabs>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个</w:t>
            </w:r>
          </w:p>
        </w:tc>
      </w:tr>
    </w:tbl>
    <w:p w14:paraId="50C8BDF2">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章  评</w:t>
      </w:r>
      <w:r>
        <w:rPr>
          <w:rFonts w:hint="eastAsia" w:ascii="宋体" w:hAnsi="宋体" w:cs="宋体"/>
          <w:b/>
          <w:bCs/>
          <w:color w:val="auto"/>
          <w:sz w:val="36"/>
          <w:szCs w:val="36"/>
          <w:highlight w:val="none"/>
          <w:lang w:val="en-US" w:eastAsia="zh-CN"/>
        </w:rPr>
        <w:t>审</w:t>
      </w:r>
      <w:r>
        <w:rPr>
          <w:rFonts w:hint="eastAsia" w:ascii="宋体" w:hAnsi="宋体" w:eastAsia="宋体" w:cs="宋体"/>
          <w:b/>
          <w:bCs/>
          <w:color w:val="auto"/>
          <w:sz w:val="36"/>
          <w:szCs w:val="36"/>
          <w:highlight w:val="none"/>
        </w:rPr>
        <w:t>办法</w:t>
      </w:r>
    </w:p>
    <w:p w14:paraId="40657FF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b/>
          <w:bCs/>
          <w:color w:val="auto"/>
          <w:sz w:val="36"/>
          <w:szCs w:val="36"/>
          <w:highlight w:val="none"/>
        </w:rPr>
      </w:pPr>
      <w:r>
        <w:rPr>
          <w:rFonts w:hint="eastAsia" w:ascii="宋体" w:hAnsi="宋体" w:cs="宋体"/>
          <w:b/>
          <w:bCs/>
          <w:color w:val="auto"/>
          <w:sz w:val="36"/>
          <w:szCs w:val="36"/>
          <w:highlight w:val="none"/>
        </w:rPr>
        <w:t>评</w:t>
      </w:r>
      <w:r>
        <w:rPr>
          <w:rFonts w:hint="eastAsia" w:ascii="宋体" w:hAnsi="宋体" w:cs="宋体"/>
          <w:b/>
          <w:bCs/>
          <w:color w:val="auto"/>
          <w:sz w:val="36"/>
          <w:szCs w:val="36"/>
          <w:highlight w:val="none"/>
          <w:lang w:val="en-US" w:eastAsia="zh-CN"/>
        </w:rPr>
        <w:t>审</w:t>
      </w:r>
      <w:r>
        <w:rPr>
          <w:rFonts w:hint="eastAsia" w:ascii="宋体" w:hAnsi="宋体" w:cs="宋体"/>
          <w:b/>
          <w:bCs/>
          <w:color w:val="auto"/>
          <w:sz w:val="36"/>
          <w:szCs w:val="36"/>
          <w:highlight w:val="none"/>
        </w:rPr>
        <w:t>办法前附表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614"/>
        <w:gridCol w:w="2415"/>
      </w:tblGrid>
      <w:tr w14:paraId="1C54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A405DA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545" w:type="dxa"/>
            <w:vAlign w:val="center"/>
          </w:tcPr>
          <w:p w14:paraId="2159AA4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w:t>
            </w:r>
          </w:p>
        </w:tc>
        <w:tc>
          <w:tcPr>
            <w:tcW w:w="764" w:type="dxa"/>
            <w:vAlign w:val="center"/>
          </w:tcPr>
          <w:p w14:paraId="1A337BF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614" w:type="dxa"/>
            <w:vAlign w:val="center"/>
          </w:tcPr>
          <w:p w14:paraId="6CAA799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p w14:paraId="20EA870B">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客观分属性</w:t>
            </w:r>
          </w:p>
        </w:tc>
        <w:tc>
          <w:tcPr>
            <w:tcW w:w="2415" w:type="dxa"/>
          </w:tcPr>
          <w:p w14:paraId="57F99276">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文件中评</w:t>
            </w:r>
            <w:r>
              <w:rPr>
                <w:rFonts w:hint="eastAsia" w:ascii="宋体" w:hAnsi="宋体" w:eastAsia="宋体" w:cs="宋体"/>
                <w:bCs/>
                <w:color w:val="auto"/>
                <w:sz w:val="21"/>
                <w:szCs w:val="21"/>
                <w:highlight w:val="none"/>
                <w:lang w:val="en-US" w:eastAsia="zh-CN"/>
              </w:rPr>
              <w:t>审</w:t>
            </w:r>
            <w:r>
              <w:rPr>
                <w:rFonts w:hint="eastAsia" w:ascii="宋体" w:hAnsi="宋体" w:eastAsia="宋体" w:cs="宋体"/>
                <w:bCs/>
                <w:color w:val="auto"/>
                <w:sz w:val="21"/>
                <w:szCs w:val="21"/>
                <w:highlight w:val="none"/>
              </w:rPr>
              <w:t>标准相应的商务技术资料目录*</w:t>
            </w:r>
          </w:p>
        </w:tc>
      </w:tr>
      <w:tr w14:paraId="49D8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1D0383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45" w:type="dxa"/>
          </w:tcPr>
          <w:p w14:paraId="3119E10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投标人自2022年1月以来（以合同签订日期为准）同类合同业绩，每提供一份得1分，最高得3分（同时提供合同和用户验收报告，否则不得分）。</w:t>
            </w:r>
          </w:p>
        </w:tc>
        <w:tc>
          <w:tcPr>
            <w:tcW w:w="764" w:type="dxa"/>
            <w:vAlign w:val="center"/>
          </w:tcPr>
          <w:p w14:paraId="60A94EDD">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14" w:type="dxa"/>
            <w:vAlign w:val="center"/>
          </w:tcPr>
          <w:p w14:paraId="6325B5A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2415" w:type="dxa"/>
            <w:vAlign w:val="center"/>
          </w:tcPr>
          <w:p w14:paraId="7917733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tc>
      </w:tr>
      <w:tr w14:paraId="1CB2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FA8FDC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545" w:type="dxa"/>
          </w:tcPr>
          <w:p w14:paraId="7538614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不符合（负偏离）技术要求中标注“▲”条款（不可偏离）的投标无效；</w:t>
            </w:r>
          </w:p>
          <w:p w14:paraId="5A2D9EAF">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全部满足招标文件明确的功能、性能和技术指标要求，该项得满分；</w:t>
            </w:r>
          </w:p>
          <w:p w14:paraId="4109128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允许偏离的功能、性能和技术指标低于招标需求（负偏离）的，每项扣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分，扣完为止。</w:t>
            </w:r>
          </w:p>
        </w:tc>
        <w:tc>
          <w:tcPr>
            <w:tcW w:w="764" w:type="dxa"/>
            <w:vAlign w:val="center"/>
          </w:tcPr>
          <w:p w14:paraId="2092C65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614" w:type="dxa"/>
            <w:vAlign w:val="center"/>
          </w:tcPr>
          <w:p w14:paraId="2243743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2415" w:type="dxa"/>
            <w:vAlign w:val="center"/>
          </w:tcPr>
          <w:p w14:paraId="7621E00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技术响应程度</w:t>
            </w:r>
          </w:p>
        </w:tc>
      </w:tr>
      <w:tr w14:paraId="4A08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2545F2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545" w:type="dxa"/>
            <w:vAlign w:val="center"/>
          </w:tcPr>
          <w:p w14:paraId="2A170BC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产品功能、配置的先进性、完整性和适用性（评分范围：5,4,3,2,1,0）。</w:t>
            </w:r>
          </w:p>
        </w:tc>
        <w:tc>
          <w:tcPr>
            <w:tcW w:w="764" w:type="dxa"/>
            <w:vAlign w:val="center"/>
          </w:tcPr>
          <w:p w14:paraId="7AB46E6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4057244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2415" w:type="dxa"/>
            <w:vAlign w:val="center"/>
          </w:tcPr>
          <w:p w14:paraId="4E4CC58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产品功能及配置</w:t>
            </w:r>
          </w:p>
        </w:tc>
      </w:tr>
      <w:tr w14:paraId="6C96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30B6B8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545" w:type="dxa"/>
            <w:vAlign w:val="center"/>
          </w:tcPr>
          <w:p w14:paraId="5A3BF8A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项目实施计划详细完整程度，符合项目进度要求，投入人员数量和综合素质（评分范围：5,4,3,2,1,0）。</w:t>
            </w:r>
          </w:p>
        </w:tc>
        <w:tc>
          <w:tcPr>
            <w:tcW w:w="764" w:type="dxa"/>
            <w:vAlign w:val="center"/>
          </w:tcPr>
          <w:p w14:paraId="79D3644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5F86BCB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1520A9A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项目实施方案</w:t>
            </w:r>
          </w:p>
        </w:tc>
      </w:tr>
      <w:tr w14:paraId="40E0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7D5CFB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3545" w:type="dxa"/>
            <w:vAlign w:val="center"/>
          </w:tcPr>
          <w:p w14:paraId="46F92CD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安装、调试方法或方案的详细完整度、合理可行性（评分范围：5,4,3,2,1,0）。</w:t>
            </w:r>
          </w:p>
        </w:tc>
        <w:tc>
          <w:tcPr>
            <w:tcW w:w="764" w:type="dxa"/>
            <w:vAlign w:val="center"/>
          </w:tcPr>
          <w:p w14:paraId="42333DA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63BB8B3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36D1667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安装调试</w:t>
            </w:r>
          </w:p>
        </w:tc>
      </w:tr>
      <w:tr w14:paraId="0AB3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9FAE6D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545" w:type="dxa"/>
            <w:vAlign w:val="center"/>
          </w:tcPr>
          <w:p w14:paraId="1235088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售后服务方案、售后服务承诺的可行性及服务承诺落实的保障措施（评分范围：5,4,3,2,1,0）。</w:t>
            </w:r>
          </w:p>
        </w:tc>
        <w:tc>
          <w:tcPr>
            <w:tcW w:w="764" w:type="dxa"/>
            <w:vAlign w:val="center"/>
          </w:tcPr>
          <w:p w14:paraId="12FB1E8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7334FB5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0FBB544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r>
      <w:tr w14:paraId="1DC6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675047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3545" w:type="dxa"/>
            <w:vAlign w:val="center"/>
          </w:tcPr>
          <w:p w14:paraId="383F4F9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质保期满后配件、附件、备品备件的准备和保障措施（评分范围：5,4,3,2,1,0）。</w:t>
            </w:r>
          </w:p>
        </w:tc>
        <w:tc>
          <w:tcPr>
            <w:tcW w:w="764" w:type="dxa"/>
            <w:vAlign w:val="center"/>
          </w:tcPr>
          <w:p w14:paraId="77C09F5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1E62860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3F62853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配件耗材</w:t>
            </w:r>
          </w:p>
        </w:tc>
      </w:tr>
      <w:tr w14:paraId="58DD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76B78EE">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545" w:type="dxa"/>
            <w:vAlign w:val="center"/>
          </w:tcPr>
          <w:p w14:paraId="3311752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服务力量和服务保障，培训计划内容、培训范围，实施及针对性（评分范围：5,4,3,2,1,0）。</w:t>
            </w:r>
          </w:p>
        </w:tc>
        <w:tc>
          <w:tcPr>
            <w:tcW w:w="764" w:type="dxa"/>
            <w:vAlign w:val="center"/>
          </w:tcPr>
          <w:p w14:paraId="66D67CA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5B05A6D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377C851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技术服务、培训</w:t>
            </w:r>
          </w:p>
        </w:tc>
      </w:tr>
      <w:tr w14:paraId="0B58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28259D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3545" w:type="dxa"/>
          </w:tcPr>
          <w:p w14:paraId="200B2DC5">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288" w:lineRule="auto"/>
              <w:ind w:left="0" w:righ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报价的最低价作为评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基准价，其最低报价为满分；按［</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报价得分=（评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报价）*权重］的计算公式计算。</w:t>
            </w:r>
          </w:p>
          <w:p w14:paraId="330FE43B">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288" w:lineRule="auto"/>
              <w:ind w:left="0" w:righ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过程中，不得去掉报价中的最高报价和最低报价。</w:t>
            </w:r>
          </w:p>
        </w:tc>
        <w:tc>
          <w:tcPr>
            <w:tcW w:w="764" w:type="dxa"/>
            <w:vAlign w:val="center"/>
          </w:tcPr>
          <w:p w14:paraId="7E22BA26">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614" w:type="dxa"/>
            <w:vAlign w:val="center"/>
          </w:tcPr>
          <w:p w14:paraId="6E5D0DA7">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2415" w:type="dxa"/>
            <w:vAlign w:val="center"/>
          </w:tcPr>
          <w:p w14:paraId="25290FA0">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348FD23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b/>
          <w:color w:val="auto"/>
          <w:sz w:val="24"/>
          <w:highlight w:val="none"/>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编制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（商务技术文件部分）时，建议按此目录（序号和内容）提供评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标准相应的商务技术资料。</w:t>
      </w:r>
    </w:p>
    <w:p w14:paraId="44B1225B">
      <w:pPr>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w:t>
      </w:r>
      <w:r>
        <w:rPr>
          <w:rFonts w:hint="eastAsia" w:ascii="宋体" w:hAnsi="宋体" w:eastAsia="宋体" w:cs="宋体"/>
          <w:b/>
          <w:color w:val="auto"/>
          <w:sz w:val="32"/>
          <w:szCs w:val="32"/>
          <w:highlight w:val="none"/>
          <w:lang w:val="en-US" w:eastAsia="zh-CN"/>
        </w:rPr>
        <w:t>审</w:t>
      </w:r>
      <w:r>
        <w:rPr>
          <w:rFonts w:hint="eastAsia" w:ascii="宋体" w:hAnsi="宋体" w:eastAsia="宋体" w:cs="宋体"/>
          <w:b/>
          <w:color w:val="auto"/>
          <w:sz w:val="32"/>
          <w:szCs w:val="32"/>
          <w:highlight w:val="none"/>
        </w:rPr>
        <w:t>方法</w:t>
      </w:r>
    </w:p>
    <w:p w14:paraId="3EBF73BF">
      <w:pPr>
        <w:pageBreakBefore w:val="0"/>
        <w:kinsoku/>
        <w:wordWrap/>
        <w:overflowPunct/>
        <w:topLinePunct w:val="0"/>
        <w:autoSpaceDE/>
        <w:autoSpaceDN/>
        <w:bidi w:val="0"/>
        <w:adjustRightInd/>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全部实质性要求，且按照评审因素的量化指标评审得分最高的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为</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候选人的评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方法。</w:t>
      </w:r>
    </w:p>
    <w:p w14:paraId="784FE4B0">
      <w:pPr>
        <w:pageBreakBefore w:val="0"/>
        <w:kinsoku/>
        <w:wordWrap/>
        <w:overflowPunct/>
        <w:topLinePunct w:val="0"/>
        <w:autoSpaceDE/>
        <w:autoSpaceDN/>
        <w:bidi w:val="0"/>
        <w:adjustRightInd/>
        <w:spacing w:line="288" w:lineRule="auto"/>
        <w:ind w:left="0" w:leftChars="0"/>
        <w:textAlignment w:val="auto"/>
        <w:rPr>
          <w:rFonts w:hint="eastAsia" w:ascii="宋体" w:hAnsi="宋体" w:eastAsia="宋体" w:cs="宋体"/>
          <w:color w:val="auto"/>
          <w:kern w:val="0"/>
          <w:sz w:val="32"/>
          <w:szCs w:val="32"/>
          <w:highlight w:val="none"/>
        </w:rPr>
      </w:pPr>
      <w:r>
        <w:rPr>
          <w:rFonts w:hint="eastAsia" w:ascii="宋体" w:hAnsi="宋体" w:eastAsia="宋体" w:cs="宋体"/>
          <w:b/>
          <w:color w:val="auto"/>
          <w:sz w:val="32"/>
          <w:szCs w:val="32"/>
          <w:highlight w:val="none"/>
        </w:rPr>
        <w:t>二、评</w:t>
      </w:r>
      <w:r>
        <w:rPr>
          <w:rFonts w:hint="eastAsia" w:ascii="宋体" w:hAnsi="宋体" w:eastAsia="宋体" w:cs="宋体"/>
          <w:b/>
          <w:color w:val="auto"/>
          <w:sz w:val="32"/>
          <w:szCs w:val="32"/>
          <w:highlight w:val="none"/>
          <w:lang w:val="en-US" w:eastAsia="zh-CN"/>
        </w:rPr>
        <w:t>审</w:t>
      </w:r>
      <w:r>
        <w:rPr>
          <w:rFonts w:hint="eastAsia" w:ascii="宋体" w:hAnsi="宋体" w:eastAsia="宋体" w:cs="宋体"/>
          <w:b/>
          <w:color w:val="auto"/>
          <w:sz w:val="32"/>
          <w:szCs w:val="32"/>
          <w:highlight w:val="none"/>
        </w:rPr>
        <w:t>标准</w:t>
      </w:r>
    </w:p>
    <w:p w14:paraId="31F760CB">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w:t>
      </w:r>
      <w:r>
        <w:rPr>
          <w:rFonts w:hint="eastAsia" w:ascii="宋体" w:hAnsi="宋体" w:eastAsia="宋体" w:cs="宋体"/>
          <w:b/>
          <w:color w:val="auto"/>
          <w:sz w:val="21"/>
          <w:szCs w:val="21"/>
          <w:highlight w:val="none"/>
          <w:lang w:val="en-US" w:eastAsia="zh-CN"/>
        </w:rPr>
        <w:t>审</w:t>
      </w:r>
      <w:r>
        <w:rPr>
          <w:rFonts w:hint="eastAsia" w:ascii="宋体" w:hAnsi="宋体" w:eastAsia="宋体" w:cs="宋体"/>
          <w:b/>
          <w:color w:val="auto"/>
          <w:sz w:val="21"/>
          <w:szCs w:val="21"/>
          <w:highlight w:val="none"/>
        </w:rPr>
        <w:t>标准：</w:t>
      </w:r>
      <w:r>
        <w:rPr>
          <w:rFonts w:hint="eastAsia" w:ascii="宋体" w:hAnsi="宋体" w:eastAsia="宋体" w:cs="宋体"/>
          <w:color w:val="auto"/>
          <w:kern w:val="0"/>
          <w:sz w:val="21"/>
          <w:szCs w:val="21"/>
          <w:highlight w:val="none"/>
        </w:rPr>
        <w:t>见评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办法前附表。</w:t>
      </w:r>
    </w:p>
    <w:p w14:paraId="57576DFB">
      <w:pPr>
        <w:pageBreakBefore w:val="0"/>
        <w:kinsoku/>
        <w:wordWrap/>
        <w:overflowPunct/>
        <w:topLinePunct w:val="0"/>
        <w:autoSpaceDE/>
        <w:autoSpaceDN/>
        <w:bidi w:val="0"/>
        <w:spacing w:line="288" w:lineRule="auto"/>
        <w:ind w:left="0" w:leftChars="0"/>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三、评审程序</w:t>
      </w:r>
    </w:p>
    <w:p w14:paraId="740C9F38">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符合性审查。</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应当对符合资格的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进行符合性审查，以确定其是否满足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的实质性要求。不满足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的实质性要求的，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无效。</w:t>
      </w:r>
    </w:p>
    <w:p w14:paraId="6703012F">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应当按照</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方法和标准，对符合性审查合格的</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进行商务和技术评估，综合比较与评价。</w:t>
      </w:r>
    </w:p>
    <w:p w14:paraId="497737E9">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汇总商务技术得分。</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各成员应当独立对每个</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的商务和技术文件进行评价，并汇总商务技术得分情况。</w:t>
      </w:r>
    </w:p>
    <w:p w14:paraId="3EFAF139">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报价评审。</w:t>
      </w:r>
    </w:p>
    <w:p w14:paraId="30DF7D23">
      <w:pPr>
        <w:pStyle w:val="17"/>
        <w:pageBreakBefore w:val="0"/>
        <w:kinsoku/>
        <w:wordWrap/>
        <w:overflowPunct/>
        <w:topLinePunct w:val="0"/>
        <w:autoSpaceDE/>
        <w:autoSpaceDN/>
        <w:bidi w:val="0"/>
        <w:spacing w:before="0" w:line="288" w:lineRule="auto"/>
        <w:ind w:left="0" w:leftChars="0" w:firstLine="445" w:firstLineChars="21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报价出现前后不一致的，按照下列规定修正：</w:t>
      </w:r>
    </w:p>
    <w:p w14:paraId="3A69FE9B">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w:t>
      </w:r>
      <w:r>
        <w:rPr>
          <w:rFonts w:hint="eastAsia" w:ascii="宋体" w:hAnsi="宋体" w:eastAsia="宋体" w:cs="宋体"/>
          <w:strike w:val="0"/>
          <w:dstrike w:val="0"/>
          <w:color w:val="auto"/>
          <w:kern w:val="0"/>
          <w:sz w:val="21"/>
          <w:szCs w:val="21"/>
          <w:highlight w:val="none"/>
        </w:rPr>
        <w:t>开标一览表(</w:t>
      </w:r>
      <w:r>
        <w:rPr>
          <w:rFonts w:hint="eastAsia" w:ascii="宋体" w:hAnsi="宋体" w:eastAsia="宋体" w:cs="宋体"/>
          <w:color w:val="auto"/>
          <w:kern w:val="0"/>
          <w:sz w:val="21"/>
          <w:szCs w:val="21"/>
          <w:highlight w:val="none"/>
        </w:rPr>
        <w:t>报价表)内容与</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中相应内容不一致的，以</w:t>
      </w:r>
      <w:r>
        <w:rPr>
          <w:rFonts w:hint="eastAsia" w:ascii="宋体" w:hAnsi="宋体" w:eastAsia="宋体" w:cs="宋体"/>
          <w:strike w:val="0"/>
          <w:dstrike w:val="0"/>
          <w:color w:val="auto"/>
          <w:kern w:val="0"/>
          <w:sz w:val="21"/>
          <w:szCs w:val="21"/>
          <w:highlight w:val="none"/>
        </w:rPr>
        <w:t>开标一览表</w:t>
      </w:r>
      <w:r>
        <w:rPr>
          <w:rFonts w:hint="eastAsia" w:ascii="宋体" w:hAnsi="宋体" w:eastAsia="宋体" w:cs="宋体"/>
          <w:color w:val="auto"/>
          <w:kern w:val="0"/>
          <w:sz w:val="21"/>
          <w:szCs w:val="21"/>
          <w:highlight w:val="none"/>
        </w:rPr>
        <w:t>(报价表)为准</w:t>
      </w:r>
      <w:r>
        <w:rPr>
          <w:rFonts w:hint="eastAsia" w:ascii="宋体" w:hAnsi="宋体" w:eastAsia="宋体" w:cs="宋体"/>
          <w:color w:val="auto"/>
          <w:kern w:val="0"/>
          <w:sz w:val="21"/>
          <w:szCs w:val="21"/>
          <w:highlight w:val="none"/>
          <w:lang w:eastAsia="zh-CN"/>
        </w:rPr>
        <w:t>；</w:t>
      </w:r>
    </w:p>
    <w:p w14:paraId="158248DD">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大写金额和小写金额不一致的，以大写金额为准</w:t>
      </w:r>
      <w:r>
        <w:rPr>
          <w:rFonts w:hint="eastAsia" w:ascii="宋体" w:hAnsi="宋体" w:eastAsia="宋体" w:cs="宋体"/>
          <w:color w:val="auto"/>
          <w:kern w:val="0"/>
          <w:sz w:val="21"/>
          <w:szCs w:val="21"/>
          <w:highlight w:val="none"/>
          <w:lang w:eastAsia="zh-CN"/>
        </w:rPr>
        <w:t>；</w:t>
      </w:r>
    </w:p>
    <w:p w14:paraId="5278F811">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单价金额小数点或者百分比有明显错位的，以</w:t>
      </w:r>
      <w:r>
        <w:rPr>
          <w:rFonts w:hint="eastAsia" w:ascii="宋体" w:hAnsi="宋体" w:eastAsia="宋体" w:cs="宋体"/>
          <w:strike w:val="0"/>
          <w:dstrike w:val="0"/>
          <w:color w:val="auto"/>
          <w:kern w:val="0"/>
          <w:sz w:val="21"/>
          <w:szCs w:val="21"/>
          <w:highlight w:val="none"/>
        </w:rPr>
        <w:t>开标一览表</w:t>
      </w:r>
      <w:r>
        <w:rPr>
          <w:rFonts w:hint="eastAsia" w:ascii="宋体" w:hAnsi="宋体" w:eastAsia="宋体" w:cs="宋体"/>
          <w:strike w:val="0"/>
          <w:dstrike w:val="0"/>
          <w:color w:val="auto"/>
          <w:kern w:val="0"/>
          <w:sz w:val="21"/>
          <w:szCs w:val="21"/>
          <w:highlight w:val="none"/>
          <w:lang w:eastAsia="zh-CN"/>
        </w:rPr>
        <w:t>（</w:t>
      </w:r>
      <w:r>
        <w:rPr>
          <w:rFonts w:hint="eastAsia" w:ascii="宋体" w:hAnsi="宋体" w:eastAsia="宋体" w:cs="宋体"/>
          <w:strike w:val="0"/>
          <w:dstrike w:val="0"/>
          <w:color w:val="auto"/>
          <w:kern w:val="0"/>
          <w:sz w:val="21"/>
          <w:szCs w:val="21"/>
          <w:highlight w:val="none"/>
          <w:lang w:val="en-US" w:eastAsia="zh-CN"/>
        </w:rPr>
        <w:t>报价表</w:t>
      </w:r>
      <w:r>
        <w:rPr>
          <w:rFonts w:hint="eastAsia" w:ascii="宋体" w:hAnsi="宋体" w:eastAsia="宋体" w:cs="宋体"/>
          <w:strike w:val="0"/>
          <w:dstrike w:val="0"/>
          <w:color w:val="auto"/>
          <w:kern w:val="0"/>
          <w:sz w:val="21"/>
          <w:szCs w:val="21"/>
          <w:highlight w:val="none"/>
          <w:lang w:eastAsia="zh-CN"/>
        </w:rPr>
        <w:t>）</w:t>
      </w:r>
      <w:r>
        <w:rPr>
          <w:rFonts w:hint="eastAsia" w:ascii="宋体" w:hAnsi="宋体" w:eastAsia="宋体" w:cs="宋体"/>
          <w:color w:val="auto"/>
          <w:kern w:val="0"/>
          <w:sz w:val="21"/>
          <w:szCs w:val="21"/>
          <w:highlight w:val="none"/>
        </w:rPr>
        <w:t>的总价为准，并修改单价</w:t>
      </w:r>
      <w:r>
        <w:rPr>
          <w:rFonts w:hint="eastAsia" w:ascii="宋体" w:hAnsi="宋体" w:eastAsia="宋体" w:cs="宋体"/>
          <w:color w:val="auto"/>
          <w:kern w:val="0"/>
          <w:sz w:val="21"/>
          <w:szCs w:val="21"/>
          <w:highlight w:val="none"/>
          <w:lang w:eastAsia="zh-CN"/>
        </w:rPr>
        <w:t>；</w:t>
      </w:r>
    </w:p>
    <w:p w14:paraId="6DEAA560">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总价金额与按单价汇总金额不一致的，以单价金额计算结果为准。</w:t>
      </w:r>
    </w:p>
    <w:p w14:paraId="37E6DBCD">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同时出现两种以上不一致的，按照3.4.1规定的顺序修正。修正后的报价</w:t>
      </w:r>
      <w:r>
        <w:rPr>
          <w:rFonts w:hint="eastAsia" w:ascii="宋体" w:hAnsi="宋体" w:eastAsia="宋体" w:cs="宋体"/>
          <w:color w:val="auto"/>
          <w:kern w:val="0"/>
          <w:sz w:val="21"/>
          <w:szCs w:val="21"/>
          <w:highlight w:val="none"/>
          <w:lang w:eastAsia="zh-CN"/>
        </w:rPr>
        <w:t>经供应商</w:t>
      </w:r>
      <w:r>
        <w:rPr>
          <w:rFonts w:hint="eastAsia" w:ascii="宋体" w:hAnsi="宋体" w:eastAsia="宋体" w:cs="宋体"/>
          <w:color w:val="auto"/>
          <w:kern w:val="0"/>
          <w:sz w:val="21"/>
          <w:szCs w:val="21"/>
          <w:highlight w:val="none"/>
        </w:rPr>
        <w:t>确认后产生约束力。</w:t>
      </w:r>
    </w:p>
    <w:p w14:paraId="68BB39A4">
      <w:pPr>
        <w:pageBreakBefore w:val="0"/>
        <w:kinsoku/>
        <w:wordWrap/>
        <w:overflowPunct/>
        <w:topLinePunct w:val="0"/>
        <w:autoSpaceDE/>
        <w:autoSpaceDN/>
        <w:bidi w:val="0"/>
        <w:snapToGri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出现不是唯一的、有选择性</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无效。</w:t>
      </w:r>
    </w:p>
    <w:p w14:paraId="6433E1B2">
      <w:pPr>
        <w:pageBreakBefore w:val="0"/>
        <w:kinsoku/>
        <w:wordWrap/>
        <w:overflowPunct/>
        <w:topLinePunct w:val="0"/>
        <w:autoSpaceDE/>
        <w:autoSpaceDN/>
        <w:bidi w:val="0"/>
        <w:snapToGri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报价超过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中规定的预算金额或者最高限价的，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无效。</w:t>
      </w:r>
    </w:p>
    <w:p w14:paraId="5E1400E1">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strike/>
          <w:dstrike w:val="0"/>
          <w:color w:val="auto"/>
          <w:kern w:val="0"/>
          <w:sz w:val="21"/>
          <w:szCs w:val="21"/>
          <w:highlight w:val="none"/>
        </w:rPr>
      </w:pPr>
      <w:r>
        <w:rPr>
          <w:rFonts w:hint="eastAsia" w:ascii="宋体" w:hAnsi="宋体" w:eastAsia="宋体" w:cs="宋体"/>
          <w:color w:val="auto"/>
          <w:kern w:val="0"/>
          <w:sz w:val="21"/>
          <w:szCs w:val="21"/>
          <w:highlight w:val="none"/>
        </w:rPr>
        <w:t>3.4.4</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认为</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的报价明显低于其他通过符合性审查</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不能证明其报价合理性的，</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应当将其作为无效</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处理。</w:t>
      </w:r>
    </w:p>
    <w:p w14:paraId="660D308A">
      <w:pPr>
        <w:pageBreakBefore w:val="0"/>
        <w:kinsoku/>
        <w:wordWrap/>
        <w:overflowPunct/>
        <w:topLinePunct w:val="0"/>
        <w:autoSpaceDE/>
        <w:autoSpaceDN/>
        <w:bidi w:val="0"/>
        <w:spacing w:line="288"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排序与推荐。</w:t>
      </w:r>
      <w:r>
        <w:rPr>
          <w:rFonts w:hint="eastAsia" w:ascii="宋体" w:hAnsi="宋体" w:eastAsia="宋体" w:cs="宋体"/>
          <w:color w:val="auto"/>
          <w:kern w:val="0"/>
          <w:sz w:val="21"/>
          <w:szCs w:val="21"/>
          <w:highlight w:val="none"/>
        </w:rPr>
        <w:t>采用综合评分法的，评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结果按评审后得分由高到低顺序排列。得分相同的，按</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报价由低到高顺序排列。得分且</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报价相同的并列。</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全部实质性要求，且按照评审因素的量化指标评审得分最高的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人为排名第一的</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w:t>
      </w:r>
    </w:p>
    <w:p w14:paraId="3FB29FD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多家</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提供相同品牌产品（单一产品采购项目中的该产品或者非单一产品采购项目的核心产品）且通过资格审查、符合性审查的不同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参加同一合同项下</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的，按一家</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计算，评审后得分最高的同品牌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获得</w:t>
      </w:r>
      <w:r>
        <w:rPr>
          <w:rFonts w:hint="eastAsia" w:ascii="宋体" w:hAnsi="宋体" w:eastAsia="宋体" w:cs="宋体"/>
          <w:color w:val="auto"/>
          <w:kern w:val="0"/>
          <w:sz w:val="21"/>
          <w:szCs w:val="21"/>
          <w:highlight w:val="none"/>
          <w:lang w:val="en-US" w:eastAsia="zh-CN"/>
        </w:rPr>
        <w:t>成交供应商</w:t>
      </w:r>
      <w:r>
        <w:rPr>
          <w:rFonts w:hint="eastAsia" w:ascii="宋体" w:hAnsi="宋体" w:eastAsia="宋体" w:cs="宋体"/>
          <w:color w:val="auto"/>
          <w:kern w:val="0"/>
          <w:sz w:val="21"/>
          <w:szCs w:val="21"/>
          <w:highlight w:val="none"/>
        </w:rPr>
        <w:t>推荐资格；评审得分相同的，采取随机抽取方式确定，其他同品牌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不作为</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w:t>
      </w:r>
    </w:p>
    <w:p w14:paraId="5FEC8CB5">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编写评审报告。</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根据全体成员签字的原始评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记录和评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结果编写评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报告。</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成员对需要共同认定的事项存在争议的，应当按照少数服从多数的原则作出结论。持不同意见的</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成员应当在评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报告上签署不同意见及理由，否则视为同意评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报告。</w:t>
      </w:r>
    </w:p>
    <w:p w14:paraId="03D0D214">
      <w:pPr>
        <w:pageBreakBefore w:val="0"/>
        <w:widowControl/>
        <w:shd w:val="clear" w:color="auto" w:fill="FFFFFF"/>
        <w:kinsoku/>
        <w:wordWrap/>
        <w:overflowPunct/>
        <w:topLinePunct w:val="0"/>
        <w:autoSpaceDE/>
        <w:autoSpaceDN/>
        <w:bidi w:val="0"/>
        <w:adjustRightInd/>
        <w:spacing w:line="288" w:lineRule="auto"/>
        <w:ind w:left="0" w:leftChars="0"/>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四、评审中的其他事项</w:t>
      </w:r>
    </w:p>
    <w:p w14:paraId="46E49159">
      <w:pPr>
        <w:pStyle w:val="17"/>
        <w:pageBreakBefore w:val="0"/>
        <w:kinsoku/>
        <w:wordWrap/>
        <w:overflowPunct/>
        <w:topLinePunct w:val="0"/>
        <w:autoSpaceDE/>
        <w:autoSpaceDN/>
        <w:bidi w:val="0"/>
        <w:spacing w:before="0"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lang w:eastAsia="zh-CN"/>
        </w:rPr>
        <w:t>供应商</w:t>
      </w:r>
      <w:r>
        <w:rPr>
          <w:rFonts w:hint="eastAsia" w:ascii="宋体" w:hAnsi="宋体" w:eastAsia="宋体" w:cs="宋体"/>
          <w:b/>
          <w:color w:val="auto"/>
          <w:kern w:val="0"/>
          <w:sz w:val="21"/>
          <w:szCs w:val="21"/>
          <w:highlight w:val="none"/>
        </w:rPr>
        <w:t>澄清、说明或者补正。</w:t>
      </w:r>
      <w:r>
        <w:rPr>
          <w:rFonts w:hint="eastAsia" w:ascii="宋体" w:hAnsi="宋体" w:eastAsia="宋体" w:cs="宋体"/>
          <w:color w:val="auto"/>
          <w:kern w:val="0"/>
          <w:sz w:val="21"/>
          <w:szCs w:val="21"/>
          <w:highlight w:val="none"/>
        </w:rPr>
        <w:t>对于</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中含义不明确、同类问题表述不一致或者有明显文字和计算错误的内容需要</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作出必要的澄清、说明或者补正的，</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通过电子交易平台交换数据电文，</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提交使用电子签名的相关数据电文或通过平台上传加盖公章的扫描件。给予</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提交澄清、说明或补正的时间不得少于半小时，</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已经明确表示澄清说明或补正完毕的除外。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的澄清、说明或者补正不得超出</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的范围或者改变</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的实质性内容。</w:t>
      </w:r>
    </w:p>
    <w:p w14:paraId="37F5912C">
      <w:pPr>
        <w:pStyle w:val="8"/>
        <w:pageBreakBefore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w:t>
      </w:r>
      <w:r>
        <w:rPr>
          <w:rFonts w:hint="eastAsia"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lang w:eastAsia="zh-CN"/>
        </w:rPr>
        <w:t>响应</w:t>
      </w:r>
      <w:r>
        <w:rPr>
          <w:rFonts w:hint="eastAsia" w:ascii="宋体" w:hAnsi="宋体" w:eastAsia="宋体" w:cs="宋体"/>
          <w:b/>
          <w:color w:val="auto"/>
          <w:kern w:val="0"/>
          <w:sz w:val="21"/>
          <w:szCs w:val="21"/>
          <w:highlight w:val="none"/>
        </w:rPr>
        <w:t>无效。</w:t>
      </w:r>
      <w:r>
        <w:rPr>
          <w:rFonts w:hint="eastAsia" w:ascii="宋体" w:hAnsi="宋体" w:eastAsia="宋体" w:cs="宋体"/>
          <w:color w:val="auto"/>
          <w:sz w:val="21"/>
          <w:szCs w:val="21"/>
          <w:highlight w:val="none"/>
        </w:rPr>
        <w:t>有下列情形之一的，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w:t>
      </w:r>
    </w:p>
    <w:p w14:paraId="052A6A70">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不具备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中规定的资格要求的（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未提供有效的资格文件的，视为</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不具备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中规定的资格要求）；</w:t>
      </w:r>
    </w:p>
    <w:p w14:paraId="2506561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未按照</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要求签署、盖章的；</w:t>
      </w:r>
    </w:p>
    <w:p w14:paraId="6D54EF04">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含有采购人不能接受的附加条件的；</w:t>
      </w:r>
    </w:p>
    <w:p w14:paraId="39FE63EC">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4</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中承诺的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有效期少于</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中载明的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有效期的；</w:t>
      </w:r>
    </w:p>
    <w:p w14:paraId="7EC1CF4B">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5</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出现不是唯一的、有选择性</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报价的</w:t>
      </w:r>
      <w:r>
        <w:rPr>
          <w:rFonts w:hint="eastAsia" w:ascii="宋体" w:hAnsi="宋体" w:eastAsia="宋体" w:cs="宋体"/>
          <w:color w:val="auto"/>
          <w:kern w:val="0"/>
          <w:sz w:val="21"/>
          <w:szCs w:val="21"/>
          <w:highlight w:val="none"/>
          <w:lang w:eastAsia="zh-CN"/>
        </w:rPr>
        <w:t>；</w:t>
      </w:r>
    </w:p>
    <w:p w14:paraId="0F9F47E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报价超过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中规定的预算金额或者最高限价的</w:t>
      </w:r>
      <w:r>
        <w:rPr>
          <w:rFonts w:hint="eastAsia" w:ascii="宋体" w:hAnsi="宋体" w:eastAsia="宋体" w:cs="宋体"/>
          <w:color w:val="auto"/>
          <w:kern w:val="0"/>
          <w:sz w:val="21"/>
          <w:szCs w:val="21"/>
          <w:highlight w:val="none"/>
          <w:lang w:eastAsia="zh-CN"/>
        </w:rPr>
        <w:t>；</w:t>
      </w:r>
    </w:p>
    <w:p w14:paraId="4AAF8D3A">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7</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报价明显低于其他通过符合性审查</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1"/>
          <w:szCs w:val="21"/>
          <w:highlight w:val="none"/>
          <w:lang w:eastAsia="zh-CN"/>
        </w:rPr>
        <w:t>；</w:t>
      </w:r>
    </w:p>
    <w:p w14:paraId="70C23719">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对根据修正原则修正后的报价不确认的；</w:t>
      </w:r>
    </w:p>
    <w:p w14:paraId="6BED419E">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9</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提供虚假材料</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的；</w:t>
      </w:r>
    </w:p>
    <w:p w14:paraId="3496969D">
      <w:pPr>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有恶意串通、妨碍其他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的竞争行为、损害采购人或者其他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的合法权益情形的；</w:t>
      </w:r>
    </w:p>
    <w:p w14:paraId="0EED7F3F">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仅提交备份</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，未在电子交易平台传输递交</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无效；</w:t>
      </w:r>
    </w:p>
    <w:p w14:paraId="7B519AEE">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rPr>
        <w:t xml:space="preserve"> </w:t>
      </w:r>
      <w:r>
        <w:rPr>
          <w:rFonts w:hint="eastAsia" w:ascii="宋体" w:hAnsi="宋体" w:eastAsia="宋体" w:cs="宋体"/>
          <w:b w:val="0"/>
          <w:bCs w:val="0"/>
          <w:color w:val="auto"/>
          <w:kern w:val="0"/>
          <w:sz w:val="21"/>
          <w:szCs w:val="21"/>
          <w:highlight w:val="none"/>
          <w:lang w:val="en-US" w:eastAsia="zh-CN"/>
        </w:rPr>
        <w:t>响应文件</w:t>
      </w:r>
      <w:r>
        <w:rPr>
          <w:rFonts w:hint="eastAsia" w:ascii="宋体" w:hAnsi="宋体" w:eastAsia="宋体" w:cs="宋体"/>
          <w:b w:val="0"/>
          <w:bCs w:val="0"/>
          <w:color w:val="auto"/>
          <w:kern w:val="0"/>
          <w:sz w:val="21"/>
          <w:szCs w:val="21"/>
          <w:highlight w:val="none"/>
          <w:lang w:val="en-US"/>
        </w:rPr>
        <w:t>不满足</w:t>
      </w:r>
      <w:r>
        <w:rPr>
          <w:rFonts w:hint="eastAsia" w:ascii="宋体" w:hAnsi="宋体" w:eastAsia="宋体" w:cs="宋体"/>
          <w:b w:val="0"/>
          <w:bCs w:val="0"/>
          <w:color w:val="auto"/>
          <w:kern w:val="0"/>
          <w:sz w:val="21"/>
          <w:szCs w:val="21"/>
          <w:highlight w:val="none"/>
          <w:lang w:val="en-US" w:eastAsia="zh-CN"/>
        </w:rPr>
        <w:t>采购文件</w:t>
      </w:r>
      <w:r>
        <w:rPr>
          <w:rFonts w:hint="eastAsia" w:ascii="宋体" w:hAnsi="宋体" w:eastAsia="宋体" w:cs="宋体"/>
          <w:b w:val="0"/>
          <w:bCs w:val="0"/>
          <w:color w:val="auto"/>
          <w:kern w:val="0"/>
          <w:sz w:val="21"/>
          <w:szCs w:val="21"/>
          <w:highlight w:val="none"/>
          <w:lang w:val="en-US"/>
        </w:rPr>
        <w:t>的其它实质性要求的；</w:t>
      </w:r>
    </w:p>
    <w:p w14:paraId="415C0AED">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2B4CCD13">
      <w:pPr>
        <w:pStyle w:val="8"/>
        <w:pageBreakBefore w:val="0"/>
        <w:kinsoku/>
        <w:wordWrap/>
        <w:overflowPunct/>
        <w:topLinePunct w:val="0"/>
        <w:autoSpaceDE/>
        <w:autoSpaceDN/>
        <w:bidi w:val="0"/>
        <w:snapToGrid w:val="0"/>
        <w:spacing w:line="288" w:lineRule="auto"/>
        <w:ind w:left="0" w:leftChars="0" w:firstLine="413" w:firstLineChars="196"/>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在采购中，出现下列情形之一的，应予废标：</w:t>
      </w:r>
    </w:p>
    <w:p w14:paraId="67664A74">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符合专业条件的供应商或者对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作实质响应的供应商不足3家的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且评审小组认为响应不具有竞争性的</w:t>
      </w:r>
      <w:r>
        <w:rPr>
          <w:rFonts w:hint="eastAsia" w:ascii="宋体" w:hAnsi="宋体" w:eastAsia="宋体" w:cs="宋体"/>
          <w:color w:val="auto"/>
          <w:sz w:val="21"/>
          <w:szCs w:val="21"/>
          <w:highlight w:val="none"/>
        </w:rPr>
        <w:t>；</w:t>
      </w:r>
    </w:p>
    <w:p w14:paraId="5545337F">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出现影响采购公正的违法、违规行为的；</w:t>
      </w:r>
    </w:p>
    <w:p w14:paraId="14AE9011">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的报价均超过了采购预算，采购人不能支付的；</w:t>
      </w:r>
    </w:p>
    <w:p w14:paraId="7B626A6A">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因重大变故，采购任务取消的。</w:t>
      </w:r>
    </w:p>
    <w:p w14:paraId="1B7C1535">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14:paraId="3DDA7AF1">
      <w:pPr>
        <w:pStyle w:val="8"/>
        <w:pageBreakBefore w:val="0"/>
        <w:kinsoku/>
        <w:wordWrap/>
        <w:overflowPunct/>
        <w:topLinePunct w:val="0"/>
        <w:autoSpaceDE/>
        <w:autoSpaceDN/>
        <w:bidi w:val="0"/>
        <w:snapToGrid w:val="0"/>
        <w:spacing w:line="288"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，重新组织采购活动。</w:t>
      </w:r>
      <w:r>
        <w:rPr>
          <w:rFonts w:hint="eastAsia" w:ascii="宋体" w:hAnsi="宋体" w:eastAsia="宋体" w:cs="宋体"/>
          <w:color w:val="auto"/>
          <w:sz w:val="21"/>
          <w:szCs w:val="21"/>
          <w:highlight w:val="none"/>
          <w:lang w:eastAsia="zh-CN"/>
        </w:rPr>
        <w:t>评审小组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存在歧义、重大缺陷导致评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sz w:val="21"/>
          <w:szCs w:val="21"/>
          <w:highlight w:val="none"/>
        </w:rPr>
        <w:t>工作无法进行，或者</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内容违反国家有关强制性规定的，将停止评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sz w:val="21"/>
          <w:szCs w:val="21"/>
          <w:highlight w:val="none"/>
        </w:rPr>
        <w:t>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，重新组织采购活动。</w:t>
      </w:r>
    </w:p>
    <w:p w14:paraId="3BB5EF4F">
      <w:pPr>
        <w:pStyle w:val="8"/>
        <w:pageBreakBefore w:val="0"/>
        <w:kinsoku/>
        <w:wordWrap/>
        <w:overflowPunct/>
        <w:topLinePunct w:val="0"/>
        <w:autoSpaceDE/>
        <w:autoSpaceDN/>
        <w:bidi w:val="0"/>
        <w:snapToGrid w:val="0"/>
        <w:spacing w:line="288" w:lineRule="auto"/>
        <w:ind w:left="0" w:leftChars="0" w:firstLine="482"/>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w:t>
      </w:r>
      <w:r>
        <w:rPr>
          <w:rFonts w:hint="eastAsia" w:ascii="宋体" w:hAnsi="宋体" w:eastAsia="宋体" w:cs="宋体"/>
          <w:b/>
          <w:color w:val="auto"/>
          <w:kern w:val="0"/>
          <w:sz w:val="21"/>
          <w:szCs w:val="21"/>
          <w:highlight w:val="none"/>
          <w:lang w:val="en-US" w:eastAsia="zh-CN"/>
        </w:rPr>
        <w:t>其他</w:t>
      </w:r>
      <w:r>
        <w:rPr>
          <w:rFonts w:hint="eastAsia" w:ascii="宋体" w:hAnsi="宋体" w:eastAsia="宋体" w:cs="宋体"/>
          <w:b/>
          <w:color w:val="auto"/>
          <w:kern w:val="0"/>
          <w:sz w:val="21"/>
          <w:szCs w:val="21"/>
          <w:highlight w:val="none"/>
        </w:rPr>
        <w:t>。</w:t>
      </w:r>
      <w:r>
        <w:rPr>
          <w:rFonts w:hint="eastAsia" w:ascii="宋体" w:hAnsi="宋体" w:eastAsia="宋体" w:cs="宋体"/>
          <w:strike w:val="0"/>
          <w:dstrike w:val="0"/>
          <w:color w:val="auto"/>
          <w:sz w:val="21"/>
          <w:szCs w:val="21"/>
          <w:highlight w:val="none"/>
          <w:lang w:val="en-US" w:eastAsia="zh-CN"/>
        </w:rPr>
        <w:t>其他</w:t>
      </w:r>
      <w:r>
        <w:rPr>
          <w:rFonts w:hint="eastAsia" w:ascii="宋体" w:hAnsi="宋体" w:eastAsia="宋体" w:cs="宋体"/>
          <w:color w:val="auto"/>
          <w:sz w:val="21"/>
          <w:szCs w:val="21"/>
          <w:highlight w:val="none"/>
        </w:rPr>
        <w:t>影响或者可能影响</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结果的，依照下列规定处理：</w:t>
      </w:r>
    </w:p>
    <w:p w14:paraId="2586DCAF">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未确定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供应商的，终止本次采购活动，重新开展采购活动。</w:t>
      </w:r>
    </w:p>
    <w:p w14:paraId="71776DBB">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已确定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供应商但尚未签订采购合同的，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结果无效，从合格的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候选人中另行确定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供应商；没有合格的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候选人的，重新开展采购活动。</w:t>
      </w:r>
    </w:p>
    <w:p w14:paraId="1393C322">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采购合同已签订但尚未履行的，撤销合同，从合格的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候选人中另行确定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供应商；没有合格的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候选人的，重新开展采购活动。</w:t>
      </w:r>
    </w:p>
    <w:p w14:paraId="6574FDBC">
      <w:pPr>
        <w:pStyle w:val="8"/>
        <w:pageBreakBefore w:val="0"/>
        <w:kinsoku/>
        <w:wordWrap/>
        <w:overflowPunct/>
        <w:topLinePunct w:val="0"/>
        <w:autoSpaceDE/>
        <w:autoSpaceDN/>
        <w:bidi w:val="0"/>
        <w:snapToGrid w:val="0"/>
        <w:spacing w:line="288" w:lineRule="auto"/>
        <w:ind w:left="0" w:leftChars="0"/>
        <w:textAlignment w:val="auto"/>
        <w:rPr>
          <w:rFonts w:cs="宋体"/>
          <w:color w:val="auto"/>
          <w:highlight w:val="none"/>
        </w:rPr>
      </w:pPr>
      <w:r>
        <w:rPr>
          <w:rFonts w:hint="eastAsia" w:ascii="宋体" w:hAnsi="宋体" w:eastAsia="宋体" w:cs="宋体"/>
          <w:color w:val="auto"/>
          <w:sz w:val="21"/>
          <w:szCs w:val="21"/>
          <w:highlight w:val="none"/>
        </w:rPr>
        <w:t>7.4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采购合同已经履行，给采购人、供应商造成损失的，由责任人承担赔偿责任。</w:t>
      </w:r>
    </w:p>
    <w:p w14:paraId="4A3CD931">
      <w:pPr>
        <w:pStyle w:val="17"/>
        <w:spacing w:before="0"/>
        <w:ind w:firstLine="508" w:firstLineChars="212"/>
        <w:jc w:val="center"/>
        <w:rPr>
          <w:rFonts w:hint="eastAsia" w:ascii="宋体" w:hAnsi="宋体" w:eastAsia="宋体" w:cs="宋体"/>
          <w:color w:val="auto"/>
          <w:highlight w:val="none"/>
        </w:rPr>
      </w:pPr>
      <w:r>
        <w:rPr>
          <w:rFonts w:hint="eastAsia" w:ascii="宋体" w:hAnsi="宋体" w:cs="宋体"/>
          <w:color w:val="auto"/>
          <w:kern w:val="0"/>
          <w:highlight w:val="none"/>
        </w:rPr>
        <w:br w:type="page"/>
      </w:r>
      <w:bookmarkStart w:id="14" w:name="_Toc24926"/>
      <w:r>
        <w:rPr>
          <w:rFonts w:hint="eastAsia" w:ascii="宋体" w:hAnsi="宋体" w:eastAsia="宋体" w:cs="宋体"/>
          <w:b/>
          <w:bCs w:val="0"/>
          <w:color w:val="auto"/>
          <w:sz w:val="36"/>
          <w:szCs w:val="36"/>
          <w:highlight w:val="none"/>
        </w:rPr>
        <w:t>第</w:t>
      </w:r>
      <w:r>
        <w:rPr>
          <w:rFonts w:hint="eastAsia" w:ascii="宋体" w:hAnsi="宋体" w:cs="宋体"/>
          <w:b/>
          <w:bCs w:val="0"/>
          <w:color w:val="auto"/>
          <w:sz w:val="36"/>
          <w:szCs w:val="36"/>
          <w:highlight w:val="none"/>
          <w:lang w:val="en-US" w:eastAsia="zh-CN"/>
        </w:rPr>
        <w:t>五</w:t>
      </w:r>
      <w:r>
        <w:rPr>
          <w:rFonts w:hint="eastAsia" w:ascii="宋体" w:hAnsi="宋体" w:eastAsia="宋体" w:cs="宋体"/>
          <w:b/>
          <w:bCs w:val="0"/>
          <w:color w:val="auto"/>
          <w:sz w:val="36"/>
          <w:szCs w:val="36"/>
          <w:highlight w:val="none"/>
        </w:rPr>
        <w:t xml:space="preserve">章  </w:t>
      </w:r>
      <w:bookmarkEnd w:id="14"/>
      <w:r>
        <w:rPr>
          <w:rFonts w:hint="eastAsia" w:ascii="宋体" w:hAnsi="宋体" w:cs="宋体"/>
          <w:b/>
          <w:bCs w:val="0"/>
          <w:color w:val="auto"/>
          <w:sz w:val="36"/>
          <w:szCs w:val="36"/>
          <w:highlight w:val="none"/>
          <w:lang w:val="en-US" w:eastAsia="zh-CN"/>
        </w:rPr>
        <w:t>拟签订的合同文本</w:t>
      </w:r>
    </w:p>
    <w:p w14:paraId="56FBC7D6">
      <w:pPr>
        <w:adjustRightInd w:val="0"/>
        <w:snapToGrid w:val="0"/>
        <w:spacing w:line="288" w:lineRule="auto"/>
        <w:ind w:firstLine="398" w:firstLineChars="200"/>
        <w:jc w:val="center"/>
        <w:outlineLvl w:val="1"/>
        <w:rPr>
          <w:rFonts w:hint="eastAsia" w:ascii="宋体" w:hAnsi="宋体" w:eastAsia="宋体" w:cs="宋体"/>
          <w:b/>
          <w:color w:val="auto"/>
          <w:spacing w:val="-6"/>
          <w:sz w:val="21"/>
          <w:szCs w:val="21"/>
          <w:highlight w:val="none"/>
        </w:rPr>
      </w:pPr>
      <w:r>
        <w:rPr>
          <w:rFonts w:hint="eastAsia" w:ascii="宋体" w:hAnsi="宋体" w:cs="宋体"/>
          <w:b/>
          <w:color w:val="auto"/>
          <w:spacing w:val="-6"/>
          <w:sz w:val="21"/>
          <w:szCs w:val="21"/>
          <w:highlight w:val="none"/>
          <w:lang w:eastAsia="zh-CN"/>
        </w:rPr>
        <w:t>杭州市拱墅区教育信息技术中心2025年拱墅区部分校园广播系统改造采购</w:t>
      </w:r>
      <w:r>
        <w:rPr>
          <w:rFonts w:hint="eastAsia" w:ascii="宋体" w:hAnsi="宋体" w:eastAsia="宋体" w:cs="宋体"/>
          <w:b/>
          <w:color w:val="auto"/>
          <w:spacing w:val="-6"/>
          <w:sz w:val="21"/>
          <w:szCs w:val="21"/>
          <w:highlight w:val="none"/>
        </w:rPr>
        <w:t>项目采购合同</w:t>
      </w:r>
    </w:p>
    <w:p w14:paraId="3E69550D">
      <w:pPr>
        <w:adjustRightInd w:val="0"/>
        <w:snapToGrid w:val="0"/>
        <w:spacing w:line="288" w:lineRule="auto"/>
        <w:rPr>
          <w:rFonts w:hint="eastAsia" w:ascii="宋体" w:hAnsi="宋体" w:eastAsia="宋体" w:cs="宋体"/>
          <w:b/>
          <w:bCs/>
          <w:color w:val="auto"/>
          <w:spacing w:val="-6"/>
          <w:sz w:val="21"/>
          <w:szCs w:val="21"/>
          <w:highlight w:val="none"/>
        </w:rPr>
      </w:pPr>
    </w:p>
    <w:p w14:paraId="7268D7BF">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项目名称：</w:t>
      </w:r>
      <w:r>
        <w:rPr>
          <w:rFonts w:hint="eastAsia" w:ascii="宋体" w:hAnsi="宋体" w:cs="宋体"/>
          <w:b/>
          <w:bCs/>
          <w:color w:val="auto"/>
          <w:spacing w:val="-6"/>
          <w:sz w:val="21"/>
          <w:szCs w:val="21"/>
          <w:highlight w:val="none"/>
          <w:lang w:eastAsia="zh-CN"/>
        </w:rPr>
        <w:t>2025年拱墅区部分校园广播系统改造采购</w:t>
      </w:r>
      <w:r>
        <w:rPr>
          <w:rFonts w:hint="eastAsia" w:ascii="宋体" w:hAnsi="宋体" w:eastAsia="宋体" w:cs="宋体"/>
          <w:b/>
          <w:bCs/>
          <w:color w:val="auto"/>
          <w:spacing w:val="-6"/>
          <w:sz w:val="21"/>
          <w:szCs w:val="21"/>
          <w:highlight w:val="none"/>
        </w:rPr>
        <w:t>项目</w:t>
      </w:r>
    </w:p>
    <w:p w14:paraId="1E3DA7A5">
      <w:pPr>
        <w:adjustRightInd w:val="0"/>
        <w:snapToGrid w:val="0"/>
        <w:spacing w:line="288" w:lineRule="auto"/>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rPr>
        <w:t>项目编号：</w:t>
      </w:r>
      <w:r>
        <w:rPr>
          <w:rFonts w:hint="eastAsia" w:ascii="宋体" w:hAnsi="宋体" w:cs="宋体"/>
          <w:b/>
          <w:bCs/>
          <w:color w:val="auto"/>
          <w:spacing w:val="-6"/>
          <w:sz w:val="21"/>
          <w:szCs w:val="21"/>
          <w:highlight w:val="none"/>
          <w:lang w:eastAsia="zh-CN"/>
        </w:rPr>
        <w:t>QSZBB250044FHQT</w:t>
      </w:r>
    </w:p>
    <w:p w14:paraId="5A50D3D3">
      <w:pPr>
        <w:adjustRightInd w:val="0"/>
        <w:snapToGrid w:val="0"/>
        <w:spacing w:line="288" w:lineRule="auto"/>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rPr>
        <w:t>甲方（需方）：</w:t>
      </w:r>
      <w:r>
        <w:rPr>
          <w:rFonts w:hint="eastAsia" w:ascii="宋体" w:hAnsi="宋体" w:cs="宋体"/>
          <w:b/>
          <w:bCs/>
          <w:color w:val="auto"/>
          <w:spacing w:val="-6"/>
          <w:sz w:val="21"/>
          <w:szCs w:val="21"/>
          <w:highlight w:val="none"/>
          <w:lang w:eastAsia="zh-CN"/>
        </w:rPr>
        <w:t>杭州市拱墅区教育信息技术中心</w:t>
      </w:r>
    </w:p>
    <w:p w14:paraId="0AFAE715">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乙方（供方）：</w:t>
      </w:r>
    </w:p>
    <w:p w14:paraId="2124DECD">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采购代理机构：浙江求是招标代理有限公司</w:t>
      </w:r>
    </w:p>
    <w:p w14:paraId="5AACDBD9">
      <w:pPr>
        <w:adjustRightInd w:val="0"/>
        <w:snapToGrid w:val="0"/>
        <w:spacing w:line="288" w:lineRule="auto"/>
        <w:rPr>
          <w:rFonts w:hint="eastAsia" w:ascii="宋体" w:hAnsi="宋体" w:eastAsia="宋体" w:cs="宋体"/>
          <w:color w:val="auto"/>
          <w:spacing w:val="-6"/>
          <w:sz w:val="21"/>
          <w:szCs w:val="21"/>
          <w:highlight w:val="none"/>
        </w:rPr>
      </w:pPr>
    </w:p>
    <w:p w14:paraId="381ACFDF">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根据相关法律法规规定，浙江求是招标代理有限公司受</w:t>
      </w:r>
      <w:r>
        <w:rPr>
          <w:rFonts w:hint="eastAsia" w:ascii="宋体" w:hAnsi="宋体" w:eastAsia="宋体" w:cs="宋体"/>
          <w:color w:val="auto"/>
          <w:spacing w:val="-6"/>
          <w:sz w:val="21"/>
          <w:szCs w:val="21"/>
          <w:highlight w:val="none"/>
          <w:u w:val="single"/>
        </w:rPr>
        <w:t xml:space="preserve"> </w:t>
      </w:r>
      <w:r>
        <w:rPr>
          <w:rFonts w:hint="eastAsia" w:ascii="宋体" w:hAnsi="宋体" w:cs="宋体"/>
          <w:b w:val="0"/>
          <w:bCs w:val="0"/>
          <w:color w:val="auto"/>
          <w:spacing w:val="-6"/>
          <w:sz w:val="21"/>
          <w:szCs w:val="21"/>
          <w:highlight w:val="none"/>
          <w:u w:val="single"/>
          <w:lang w:eastAsia="zh-CN"/>
        </w:rPr>
        <w:t>杭州市拱墅区教育信息技术中心</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委托，经</w:t>
      </w:r>
      <w:r>
        <w:rPr>
          <w:rFonts w:hint="eastAsia" w:ascii="宋体" w:hAnsi="宋体" w:eastAsia="宋体" w:cs="宋体"/>
          <w:color w:val="auto"/>
          <w:spacing w:val="-6"/>
          <w:sz w:val="21"/>
          <w:szCs w:val="21"/>
          <w:highlight w:val="none"/>
          <w:u w:val="single"/>
        </w:rPr>
        <w:t xml:space="preserve"> 公开</w:t>
      </w:r>
      <w:r>
        <w:rPr>
          <w:rFonts w:hint="eastAsia" w:ascii="宋体" w:hAnsi="宋体" w:eastAsia="宋体" w:cs="宋体"/>
          <w:color w:val="auto"/>
          <w:spacing w:val="-6"/>
          <w:sz w:val="21"/>
          <w:szCs w:val="21"/>
          <w:highlight w:val="none"/>
          <w:u w:val="single"/>
          <w:lang w:val="en-US" w:eastAsia="zh-CN"/>
        </w:rPr>
        <w:t>采购</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，确定</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为</w:t>
      </w:r>
      <w:r>
        <w:rPr>
          <w:rFonts w:hint="eastAsia" w:ascii="宋体" w:hAnsi="宋体" w:eastAsia="宋体" w:cs="宋体"/>
          <w:color w:val="auto"/>
          <w:spacing w:val="-6"/>
          <w:sz w:val="21"/>
          <w:szCs w:val="21"/>
          <w:highlight w:val="none"/>
          <w:u w:val="single"/>
        </w:rPr>
        <w:t xml:space="preserve"> </w:t>
      </w:r>
      <w:r>
        <w:rPr>
          <w:rFonts w:hint="eastAsia" w:ascii="宋体" w:hAnsi="宋体" w:cs="宋体"/>
          <w:color w:val="auto"/>
          <w:spacing w:val="-6"/>
          <w:sz w:val="21"/>
          <w:szCs w:val="21"/>
          <w:highlight w:val="none"/>
          <w:u w:val="single"/>
          <w:lang w:eastAsia="zh-CN"/>
        </w:rPr>
        <w:t>2025年拱墅区部分校园广播系统改造采购</w:t>
      </w:r>
      <w:r>
        <w:rPr>
          <w:rFonts w:hint="eastAsia" w:ascii="宋体" w:hAnsi="宋体" w:eastAsia="宋体" w:cs="宋体"/>
          <w:color w:val="auto"/>
          <w:spacing w:val="-6"/>
          <w:sz w:val="21"/>
          <w:szCs w:val="21"/>
          <w:highlight w:val="none"/>
          <w:u w:val="single"/>
        </w:rPr>
        <w:t xml:space="preserve">项目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w:t>
      </w:r>
      <w:r>
        <w:rPr>
          <w:rFonts w:hint="eastAsia" w:ascii="宋体" w:hAnsi="宋体" w:cs="宋体"/>
          <w:color w:val="auto"/>
          <w:spacing w:val="-6"/>
          <w:sz w:val="21"/>
          <w:szCs w:val="21"/>
          <w:highlight w:val="none"/>
          <w:u w:val="single"/>
          <w:lang w:eastAsia="zh-CN"/>
        </w:rPr>
        <w:t>QSZBB250044FHQT</w:t>
      </w:r>
      <w:r>
        <w:rPr>
          <w:rFonts w:hint="eastAsia" w:ascii="宋体" w:hAnsi="宋体" w:eastAsia="宋体" w:cs="宋体"/>
          <w:color w:val="auto"/>
          <w:spacing w:val="-6"/>
          <w:sz w:val="21"/>
          <w:szCs w:val="21"/>
          <w:highlight w:val="none"/>
          <w:u w:val="single"/>
        </w:rPr>
        <w:t>）</w:t>
      </w:r>
      <w:r>
        <w:rPr>
          <w:rFonts w:hint="eastAsia" w:ascii="宋体" w:hAnsi="宋体" w:eastAsia="宋体" w:cs="宋体"/>
          <w:color w:val="auto"/>
          <w:spacing w:val="-6"/>
          <w:sz w:val="21"/>
          <w:szCs w:val="21"/>
          <w:highlight w:val="none"/>
        </w:rPr>
        <w:t>的</w:t>
      </w:r>
      <w:r>
        <w:rPr>
          <w:rFonts w:hint="eastAsia" w:ascii="宋体" w:hAnsi="宋体" w:eastAsia="宋体" w:cs="宋体"/>
          <w:color w:val="auto"/>
          <w:spacing w:val="-6"/>
          <w:sz w:val="21"/>
          <w:szCs w:val="21"/>
          <w:highlight w:val="none"/>
          <w:lang w:val="en-US" w:eastAsia="zh-CN"/>
        </w:rPr>
        <w:t>成交供应商</w:t>
      </w:r>
      <w:r>
        <w:rPr>
          <w:rFonts w:hint="eastAsia" w:ascii="宋体" w:hAnsi="宋体" w:eastAsia="宋体" w:cs="宋体"/>
          <w:color w:val="auto"/>
          <w:spacing w:val="-6"/>
          <w:sz w:val="21"/>
          <w:szCs w:val="21"/>
          <w:highlight w:val="none"/>
        </w:rPr>
        <w:t>。根据《中华人民共和国民法典》规定，签署本合同。</w:t>
      </w:r>
    </w:p>
    <w:p w14:paraId="1B8A59BF">
      <w:pPr>
        <w:adjustRightInd w:val="0"/>
        <w:snapToGrid w:val="0"/>
        <w:spacing w:line="288" w:lineRule="auto"/>
        <w:rPr>
          <w:rFonts w:hint="eastAsia" w:ascii="宋体" w:hAnsi="宋体" w:eastAsia="宋体" w:cs="宋体"/>
          <w:b/>
          <w:color w:val="auto"/>
          <w:spacing w:val="-6"/>
          <w:sz w:val="21"/>
          <w:szCs w:val="21"/>
          <w:highlight w:val="none"/>
        </w:rPr>
      </w:pPr>
    </w:p>
    <w:p w14:paraId="0FD533B4">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第一条：采购内容及合同价格</w:t>
      </w:r>
    </w:p>
    <w:tbl>
      <w:tblPr>
        <w:tblStyle w:val="12"/>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149955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6CAB6B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序号</w:t>
            </w:r>
          </w:p>
        </w:tc>
        <w:tc>
          <w:tcPr>
            <w:tcW w:w="2163" w:type="dxa"/>
            <w:vAlign w:val="center"/>
          </w:tcPr>
          <w:p w14:paraId="08F3F24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名称</w:t>
            </w:r>
          </w:p>
        </w:tc>
        <w:tc>
          <w:tcPr>
            <w:tcW w:w="2532" w:type="dxa"/>
            <w:vAlign w:val="center"/>
          </w:tcPr>
          <w:p w14:paraId="5367111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品牌、型号</w:t>
            </w:r>
          </w:p>
        </w:tc>
        <w:tc>
          <w:tcPr>
            <w:tcW w:w="709" w:type="dxa"/>
            <w:vAlign w:val="center"/>
          </w:tcPr>
          <w:p w14:paraId="45F0453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数量</w:t>
            </w:r>
          </w:p>
        </w:tc>
        <w:tc>
          <w:tcPr>
            <w:tcW w:w="708" w:type="dxa"/>
            <w:vAlign w:val="center"/>
          </w:tcPr>
          <w:p w14:paraId="372A3D2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单位</w:t>
            </w:r>
          </w:p>
        </w:tc>
        <w:tc>
          <w:tcPr>
            <w:tcW w:w="1418" w:type="dxa"/>
            <w:vAlign w:val="center"/>
          </w:tcPr>
          <w:p w14:paraId="453A8D9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单价（元）</w:t>
            </w:r>
          </w:p>
        </w:tc>
        <w:tc>
          <w:tcPr>
            <w:tcW w:w="1300" w:type="dxa"/>
            <w:vAlign w:val="center"/>
          </w:tcPr>
          <w:p w14:paraId="1A2A5BE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合计（元）</w:t>
            </w:r>
          </w:p>
        </w:tc>
      </w:tr>
      <w:tr w14:paraId="661DBA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4B6DEA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p>
        </w:tc>
        <w:tc>
          <w:tcPr>
            <w:tcW w:w="2163" w:type="dxa"/>
            <w:vAlign w:val="center"/>
          </w:tcPr>
          <w:p w14:paraId="71D2A217">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2532" w:type="dxa"/>
            <w:vAlign w:val="center"/>
          </w:tcPr>
          <w:p w14:paraId="7437D233">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9" w:type="dxa"/>
            <w:vAlign w:val="center"/>
          </w:tcPr>
          <w:p w14:paraId="2D7C0C85">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8" w:type="dxa"/>
            <w:vAlign w:val="center"/>
          </w:tcPr>
          <w:p w14:paraId="116C451B">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418" w:type="dxa"/>
            <w:vAlign w:val="center"/>
          </w:tcPr>
          <w:p w14:paraId="64E38E69">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300" w:type="dxa"/>
            <w:vAlign w:val="center"/>
          </w:tcPr>
          <w:p w14:paraId="66D0BA8D">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r>
      <w:tr w14:paraId="1D161E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D35C22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w:t>
            </w:r>
          </w:p>
        </w:tc>
        <w:tc>
          <w:tcPr>
            <w:tcW w:w="2163" w:type="dxa"/>
            <w:vAlign w:val="center"/>
          </w:tcPr>
          <w:p w14:paraId="197768A5">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2532" w:type="dxa"/>
            <w:vAlign w:val="center"/>
          </w:tcPr>
          <w:p w14:paraId="160C1453">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9" w:type="dxa"/>
            <w:vAlign w:val="center"/>
          </w:tcPr>
          <w:p w14:paraId="4E2CFA21">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8" w:type="dxa"/>
            <w:vAlign w:val="center"/>
          </w:tcPr>
          <w:p w14:paraId="7A48B39D">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418" w:type="dxa"/>
            <w:vAlign w:val="center"/>
          </w:tcPr>
          <w:p w14:paraId="50B741B9">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300" w:type="dxa"/>
            <w:vAlign w:val="center"/>
          </w:tcPr>
          <w:p w14:paraId="4A757888">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r>
      <w:tr w14:paraId="25E19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9947EE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总计（小写）：</w:t>
            </w:r>
          </w:p>
        </w:tc>
      </w:tr>
      <w:tr w14:paraId="19C399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520C7F5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lang w:val="zh-CN"/>
              </w:rPr>
            </w:pPr>
          </w:p>
          <w:p w14:paraId="287C5D5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lang w:val="zh-CN"/>
              </w:rPr>
            </w:pPr>
            <w:r>
              <w:rPr>
                <w:rFonts w:hint="eastAsia" w:ascii="宋体" w:hAnsi="宋体" w:eastAsia="宋体" w:cs="宋体"/>
                <w:color w:val="auto"/>
                <w:spacing w:val="-6"/>
                <w:sz w:val="21"/>
                <w:szCs w:val="21"/>
                <w:highlight w:val="none"/>
                <w:lang w:val="zh-CN"/>
              </w:rPr>
              <w:t>合同总价（大写）：</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w:t>
            </w:r>
          </w:p>
          <w:p w14:paraId="083AC76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注：以上合同总价包含货物（包括主机、标准附件、备品备件、专用工具）价、货物运杂费、保险费、利润、税金等。</w:t>
            </w:r>
          </w:p>
        </w:tc>
      </w:tr>
    </w:tbl>
    <w:p w14:paraId="1A80323F">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p>
    <w:p w14:paraId="7F62A410">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第二条：履约保证金和付款方式</w:t>
      </w:r>
    </w:p>
    <w:p w14:paraId="6FDB8DAD">
      <w:pPr>
        <w:adjustRightInd w:val="0"/>
        <w:snapToGrid w:val="0"/>
        <w:spacing w:line="288" w:lineRule="auto"/>
        <w:ind w:firstLine="396" w:firstLineChars="200"/>
        <w:rPr>
          <w:rFonts w:hint="eastAsia" w:ascii="宋体" w:hAnsi="宋体" w:eastAsia="宋体" w:cs="宋体"/>
          <w:color w:val="auto"/>
          <w:spacing w:val="-6"/>
          <w:kern w:val="0"/>
          <w:sz w:val="21"/>
          <w:szCs w:val="21"/>
          <w:highlight w:val="none"/>
        </w:rPr>
      </w:pPr>
    </w:p>
    <w:p w14:paraId="021DB962">
      <w:pPr>
        <w:adjustRightInd w:val="0"/>
        <w:snapToGrid w:val="0"/>
        <w:spacing w:line="288" w:lineRule="auto"/>
        <w:ind w:firstLine="396" w:firstLineChars="200"/>
        <w:rPr>
          <w:rFonts w:hint="eastAsia" w:ascii="宋体" w:hAnsi="宋体" w:eastAsia="宋体" w:cs="宋体"/>
          <w:color w:val="auto"/>
          <w:spacing w:val="-6"/>
          <w:kern w:val="0"/>
          <w:sz w:val="21"/>
          <w:szCs w:val="21"/>
          <w:highlight w:val="none"/>
        </w:rPr>
      </w:pPr>
    </w:p>
    <w:p w14:paraId="1148FF14">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第三条：交付时间、地点、货物质保期</w:t>
      </w:r>
    </w:p>
    <w:p w14:paraId="7701D63B">
      <w:pPr>
        <w:adjustRightInd w:val="0"/>
        <w:snapToGrid w:val="0"/>
        <w:spacing w:line="288" w:lineRule="auto"/>
        <w:ind w:right="-514" w:rightChars="-245"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交付时间：</w:t>
      </w:r>
      <w:r>
        <w:rPr>
          <w:rFonts w:hint="eastAsia" w:ascii="宋体" w:hAnsi="宋体" w:eastAsia="宋体" w:cs="宋体"/>
          <w:color w:val="auto"/>
          <w:spacing w:val="-6"/>
          <w:sz w:val="21"/>
          <w:szCs w:val="21"/>
          <w:highlight w:val="none"/>
          <w:u w:val="single"/>
          <w:lang w:val="en-US" w:eastAsia="zh-CN"/>
        </w:rPr>
        <w:t>自合同签订之日起90日内交付</w:t>
      </w:r>
      <w:r>
        <w:rPr>
          <w:rFonts w:hint="eastAsia" w:ascii="宋体" w:hAnsi="宋体" w:eastAsia="宋体" w:cs="宋体"/>
          <w:color w:val="auto"/>
          <w:spacing w:val="-6"/>
          <w:sz w:val="21"/>
          <w:szCs w:val="21"/>
          <w:highlight w:val="none"/>
        </w:rPr>
        <w:t>；</w:t>
      </w:r>
    </w:p>
    <w:p w14:paraId="429CF1D3">
      <w:pPr>
        <w:adjustRightInd w:val="0"/>
        <w:snapToGrid w:val="0"/>
        <w:spacing w:line="288" w:lineRule="auto"/>
        <w:ind w:right="-514" w:rightChars="-245"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交付地点：</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w:t>
      </w:r>
    </w:p>
    <w:p w14:paraId="38A794F7">
      <w:pPr>
        <w:adjustRightInd w:val="0"/>
        <w:snapToGrid w:val="0"/>
        <w:spacing w:line="288" w:lineRule="auto"/>
        <w:ind w:right="-514" w:rightChars="-245" w:firstLine="396" w:firstLineChars="200"/>
        <w:rPr>
          <w:rFonts w:hint="eastAsia" w:ascii="宋体" w:hAnsi="宋体" w:eastAsia="宋体" w:cs="宋体"/>
          <w:color w:val="auto"/>
          <w:spacing w:val="-6"/>
          <w:sz w:val="21"/>
          <w:szCs w:val="21"/>
          <w:highlight w:val="none"/>
          <w:u w:val="single"/>
        </w:rPr>
      </w:pPr>
      <w:r>
        <w:rPr>
          <w:rFonts w:hint="eastAsia" w:ascii="宋体" w:hAnsi="宋体" w:eastAsia="宋体" w:cs="宋体"/>
          <w:color w:val="auto"/>
          <w:spacing w:val="-6"/>
          <w:sz w:val="21"/>
          <w:szCs w:val="21"/>
          <w:highlight w:val="none"/>
        </w:rPr>
        <w:t>货物质保期：</w:t>
      </w:r>
      <w:r>
        <w:rPr>
          <w:rFonts w:hint="eastAsia" w:ascii="宋体" w:hAnsi="宋体" w:eastAsia="宋体" w:cs="宋体"/>
          <w:color w:val="auto"/>
          <w:spacing w:val="-6"/>
          <w:sz w:val="21"/>
          <w:szCs w:val="21"/>
          <w:highlight w:val="none"/>
          <w:u w:val="single"/>
        </w:rPr>
        <w:t xml:space="preserve">      年</w:t>
      </w:r>
      <w:r>
        <w:rPr>
          <w:rFonts w:hint="eastAsia" w:ascii="宋体" w:hAnsi="宋体" w:eastAsia="宋体" w:cs="宋体"/>
          <w:color w:val="auto"/>
          <w:spacing w:val="-6"/>
          <w:sz w:val="21"/>
          <w:szCs w:val="21"/>
          <w:highlight w:val="none"/>
        </w:rPr>
        <w:t>，项目验收合格后开始计算；</w:t>
      </w:r>
    </w:p>
    <w:p w14:paraId="41300202">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第四条：服务标准、期限、效率</w:t>
      </w:r>
    </w:p>
    <w:p w14:paraId="6DB2711A">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1.在质保期内，乙方应对货物出现的质量及安全问题负责处理解决并承担一切费用。</w:t>
      </w:r>
    </w:p>
    <w:p w14:paraId="3D254356">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2.质保期内出现无法排除的故障，乙方需无条件更换同型号产品。</w:t>
      </w:r>
    </w:p>
    <w:p w14:paraId="24078D2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3.质保期满后，乙方继续为甲方服务，仅收取零配件成本费。</w:t>
      </w:r>
    </w:p>
    <w:p w14:paraId="2B583EFC">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4.因人为因素出现的故障不在免费保修范围内。</w:t>
      </w:r>
    </w:p>
    <w:p w14:paraId="7D0A458D">
      <w:pPr>
        <w:adjustRightInd w:val="0"/>
        <w:snapToGrid w:val="0"/>
        <w:spacing w:line="288" w:lineRule="auto"/>
        <w:ind w:firstLine="396" w:firstLineChars="200"/>
        <w:rPr>
          <w:rFonts w:hint="eastAsia" w:ascii="宋体" w:hAnsi="宋体" w:eastAsia="宋体" w:cs="宋体"/>
          <w:color w:val="auto"/>
          <w:spacing w:val="-6"/>
          <w:sz w:val="21"/>
          <w:szCs w:val="21"/>
          <w:highlight w:val="none"/>
          <w:u w:val="single"/>
        </w:rPr>
      </w:pPr>
      <w:r>
        <w:rPr>
          <w:rFonts w:hint="eastAsia" w:ascii="宋体" w:hAnsi="宋体" w:eastAsia="宋体" w:cs="宋体"/>
          <w:color w:val="auto"/>
          <w:spacing w:val="-6"/>
          <w:sz w:val="21"/>
          <w:szCs w:val="21"/>
          <w:highlight w:val="none"/>
        </w:rPr>
        <w:t>5.</w:t>
      </w:r>
      <w:r>
        <w:rPr>
          <w:rFonts w:hint="eastAsia" w:ascii="宋体" w:hAnsi="宋体" w:cs="宋体"/>
          <w:color w:val="auto"/>
          <w:spacing w:val="-6"/>
          <w:sz w:val="21"/>
          <w:szCs w:val="21"/>
          <w:highlight w:val="none"/>
          <w:u w:val="single"/>
          <w:lang w:val="en-US" w:eastAsia="zh-CN"/>
        </w:rPr>
        <w:t>提供7*24小时技术支持服务。</w:t>
      </w:r>
      <w:r>
        <w:rPr>
          <w:rFonts w:hint="eastAsia" w:ascii="宋体" w:hAnsi="宋体" w:eastAsia="宋体" w:cs="宋体"/>
          <w:color w:val="auto"/>
          <w:spacing w:val="-6"/>
          <w:sz w:val="21"/>
          <w:szCs w:val="21"/>
          <w:highlight w:val="none"/>
          <w:u w:val="single"/>
        </w:rPr>
        <w:t>如在使用过程中发生质量问题，乙方维修响应时间：1小时内响应，8小时以内到现场，1天以内解决问题；不能当场修复的，必须采取提供备品、备件或备机等措施，12小时内保证系统投入正常使用；</w:t>
      </w:r>
    </w:p>
    <w:p w14:paraId="042EE03F">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6.培训：</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w:t>
      </w:r>
    </w:p>
    <w:p w14:paraId="1A957946">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第五条：其他技术、服务要求</w:t>
      </w:r>
    </w:p>
    <w:p w14:paraId="72CF337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1.乙方应按招标文件规定的货物性能、技术要求、质量标准向甲方提供未经使用的全新产品，符合国家法律规定和技术规格、质量标准的出厂原装合格产品。</w:t>
      </w:r>
    </w:p>
    <w:p w14:paraId="00E41A12">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2.技术支持：</w:t>
      </w:r>
    </w:p>
    <w:p w14:paraId="14789126">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乙方应及时免费提供合同货物软件的升级，免费提供合同货物新功能和应用的资料。</w:t>
      </w:r>
    </w:p>
    <w:p w14:paraId="4755932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3.安装调试</w:t>
      </w:r>
    </w:p>
    <w:p w14:paraId="0F873449">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3.1安装地点：甲方指定地点；</w:t>
      </w:r>
    </w:p>
    <w:p w14:paraId="7F92FD1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3.2安装完成时间：接到甲方通知后在规定时间内完成安装和调试，如在规定的时间内由于乙方的原因不能完成安装和调试，乙方应承担由此给甲方造成的损失；</w:t>
      </w:r>
    </w:p>
    <w:p w14:paraId="6BE9264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3.3如乙方委托国内代理（或其他机构）负责安装或配合安装应在签约时指明，但乙方仍要对合同货物及其安装质量负全部责任；</w:t>
      </w:r>
    </w:p>
    <w:p w14:paraId="1A5BD87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3.4安装标准：符合我国国家有关技术规范要求和技术标准，所有的软件和硬件必须保证同时安装到位；</w:t>
      </w:r>
    </w:p>
    <w:p w14:paraId="6D6CA7A1">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3.5乙方免费提供合同货物的安装服务；</w:t>
      </w:r>
    </w:p>
    <w:p w14:paraId="6638611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3.6乙方在投标文件中应提供安装调试计划、对安装场地和环境的要求。</w:t>
      </w:r>
    </w:p>
    <w:p w14:paraId="05A61FF5">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4.乙方应提供质保期满后主要零部件报价单、质保期满后维护费、软件升级及其相关服务内容；</w:t>
      </w:r>
    </w:p>
    <w:p w14:paraId="669B5E0D">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5.供货时提供有关的全套技术文件。</w:t>
      </w:r>
    </w:p>
    <w:p w14:paraId="30572BC8">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6.乙方应保证所提供的货物或其中任何一部分均不会侵犯第三方的知识产权。</w:t>
      </w:r>
    </w:p>
    <w:p w14:paraId="5E9A4F99">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第六条：验收标准</w:t>
      </w:r>
    </w:p>
    <w:p w14:paraId="05EEF9D6">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1.验收由甲方负责实施；</w:t>
      </w:r>
    </w:p>
    <w:p w14:paraId="5B200C15">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2.验收依据：</w:t>
      </w:r>
    </w:p>
    <w:p w14:paraId="5D2DF1B4">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2.1合同、招标文件、投标文件；</w:t>
      </w:r>
    </w:p>
    <w:p w14:paraId="0DD2DDE7">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2.2乙方提供的技术规格、经甲方认可的合同货物的有效检验文件；</w:t>
      </w:r>
    </w:p>
    <w:p w14:paraId="18367A64">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2.3乙方投标文件中提供的经甲方认可的合同货物的验收标准（符合中国有关的国家、地方、行业标准）和检测办法及相应检测手段。</w:t>
      </w:r>
    </w:p>
    <w:p w14:paraId="74D7F95D">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65803042">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4.验收合格的条件：</w:t>
      </w:r>
    </w:p>
    <w:p w14:paraId="30585C00">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4.1所供产品的规格、材质符合招标文件和乙方投标承诺及采购合同约定的要求。</w:t>
      </w:r>
    </w:p>
    <w:p w14:paraId="2FB2A2A0">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4.2所供产品的外观完好。</w:t>
      </w:r>
    </w:p>
    <w:p w14:paraId="001B7A50">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4.3所供产品结构牢固，无安全隐患。</w:t>
      </w:r>
    </w:p>
    <w:p w14:paraId="0EE57E23">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4.4如有抽检要求的，检测结果符合招标文件和乙方投标承诺及采购合同约定的要求。</w:t>
      </w:r>
    </w:p>
    <w:p w14:paraId="62087279">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4.5所有产品均已运输至指定地点，并安装调试完毕。</w:t>
      </w:r>
    </w:p>
    <w:p w14:paraId="4B30C7E8">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4.6招标文件和乙方投标承诺及采购合同约定的附件、工具、技术资料等齐全；提供产品使用说明书、合格证。</w:t>
      </w:r>
    </w:p>
    <w:p w14:paraId="5FF1EC8B">
      <w:pPr>
        <w:adjustRightInd w:val="0"/>
        <w:snapToGrid w:val="0"/>
        <w:spacing w:line="288" w:lineRule="auto"/>
        <w:ind w:right="-514"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第七条：违约责任</w:t>
      </w:r>
    </w:p>
    <w:p w14:paraId="71FF8A8C">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1.乙方逾期履行合同的，自逾期之日起，向甲方每日偿付合同总价0.5%的滞纳金。</w:t>
      </w:r>
    </w:p>
    <w:p w14:paraId="436A715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2.甲方逾期支付货款的，自逾期之日起，向乙方每日偿付未付价款0.5%的滞纳金。</w:t>
      </w:r>
    </w:p>
    <w:p w14:paraId="2C0FCD08">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54FB9CA">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87BD697">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第八条：不可抗力事件处理</w:t>
      </w:r>
    </w:p>
    <w:p w14:paraId="7FF0C958">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1.在合同有效期内，任何一方因不可抗力事件导致不能履行合同，则合同履行期可延长，其延长期与不可抗力影响期相同。</w:t>
      </w:r>
    </w:p>
    <w:p w14:paraId="1524B82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2.不可抗力事件发生后，应立即通知对方，并寄送有关权威机构出具的证明。</w:t>
      </w:r>
    </w:p>
    <w:p w14:paraId="2E2776C7">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3.不可抗力事件延续120天以上，双方应通过友好协商，确定是否继续履行合同。</w:t>
      </w:r>
    </w:p>
    <w:p w14:paraId="35891E4B">
      <w:pPr>
        <w:adjustRightInd w:val="0"/>
        <w:snapToGrid w:val="0"/>
        <w:spacing w:line="288" w:lineRule="auto"/>
        <w:ind w:right="-514"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第九条：争议解决</w:t>
      </w:r>
    </w:p>
    <w:p w14:paraId="5242A6A3">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因本合同发生纠纷，甲乙双方应当及时协商，协商不成时，任何一方可向甲方所在地人民法院起诉。</w:t>
      </w:r>
    </w:p>
    <w:p w14:paraId="78C2A964">
      <w:pPr>
        <w:adjustRightInd w:val="0"/>
        <w:snapToGrid w:val="0"/>
        <w:spacing w:line="288" w:lineRule="auto"/>
        <w:ind w:right="-514"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第十条：合同生效</w:t>
      </w:r>
    </w:p>
    <w:p w14:paraId="1D89C073">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1.合同经甲、乙双方法定代表人或授权代表签名并加盖单位公章或合同专用章后生效。</w:t>
      </w:r>
    </w:p>
    <w:p w14:paraId="19BD90F0">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2.本合同附件、招标文件、投标文件、询标澄清、</w:t>
      </w:r>
      <w:r>
        <w:rPr>
          <w:rFonts w:hint="eastAsia" w:ascii="宋体" w:hAnsi="宋体" w:eastAsia="宋体" w:cs="宋体"/>
          <w:color w:val="auto"/>
          <w:spacing w:val="-6"/>
          <w:sz w:val="21"/>
          <w:szCs w:val="21"/>
          <w:highlight w:val="none"/>
          <w:lang w:eastAsia="zh-CN"/>
        </w:rPr>
        <w:t>成交</w:t>
      </w:r>
      <w:r>
        <w:rPr>
          <w:rFonts w:hint="eastAsia" w:ascii="宋体" w:hAnsi="宋体" w:eastAsia="宋体" w:cs="宋体"/>
          <w:color w:val="auto"/>
          <w:spacing w:val="-6"/>
          <w:sz w:val="21"/>
          <w:szCs w:val="21"/>
          <w:highlight w:val="none"/>
        </w:rPr>
        <w:t>通知书均为合同的组成部分，与本合同具有同等法律效力。</w:t>
      </w:r>
    </w:p>
    <w:p w14:paraId="46F7174E">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第十一条：合同份数</w:t>
      </w:r>
    </w:p>
    <w:p w14:paraId="65829BC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本合同一式肆份，甲方执贰份，乙方执贰份。</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7B0B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C3C7D1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甲方（需方）：（公章）</w:t>
            </w:r>
          </w:p>
        </w:tc>
        <w:tc>
          <w:tcPr>
            <w:tcW w:w="4678" w:type="dxa"/>
            <w:vAlign w:val="center"/>
          </w:tcPr>
          <w:p w14:paraId="41651BD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乙方（供方）：（公章）</w:t>
            </w:r>
          </w:p>
        </w:tc>
      </w:tr>
      <w:tr w14:paraId="4B14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FFB1BF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甲方代表：</w:t>
            </w:r>
          </w:p>
          <w:p w14:paraId="1F4A101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c>
          <w:tcPr>
            <w:tcW w:w="4678" w:type="dxa"/>
            <w:vAlign w:val="center"/>
          </w:tcPr>
          <w:p w14:paraId="43D0008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乙方代表：</w:t>
            </w:r>
          </w:p>
          <w:p w14:paraId="6246986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r>
      <w:tr w14:paraId="77A1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8471B5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4678" w:type="dxa"/>
            <w:vAlign w:val="center"/>
          </w:tcPr>
          <w:p w14:paraId="7A56BDC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地址：</w:t>
            </w:r>
          </w:p>
        </w:tc>
      </w:tr>
      <w:tr w14:paraId="2958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D218C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678" w:type="dxa"/>
            <w:vAlign w:val="center"/>
          </w:tcPr>
          <w:p w14:paraId="217D623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电话：</w:t>
            </w:r>
          </w:p>
        </w:tc>
      </w:tr>
      <w:tr w14:paraId="4596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D0C330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678" w:type="dxa"/>
            <w:vAlign w:val="center"/>
          </w:tcPr>
          <w:p w14:paraId="75BD10E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开户银行：</w:t>
            </w:r>
          </w:p>
        </w:tc>
      </w:tr>
      <w:tr w14:paraId="6FF4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4B4551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p>
        </w:tc>
        <w:tc>
          <w:tcPr>
            <w:tcW w:w="4678" w:type="dxa"/>
            <w:vAlign w:val="center"/>
          </w:tcPr>
          <w:p w14:paraId="2AE9DE7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帐号：</w:t>
            </w:r>
          </w:p>
        </w:tc>
      </w:tr>
      <w:tr w14:paraId="6F42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466EAC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c>
          <w:tcPr>
            <w:tcW w:w="4678" w:type="dxa"/>
            <w:vAlign w:val="center"/>
          </w:tcPr>
          <w:p w14:paraId="172F828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r>
    </w:tbl>
    <w:p w14:paraId="7EEFE50B">
      <w:pPr>
        <w:rPr>
          <w:rFonts w:hint="eastAsia" w:ascii="宋体" w:hAnsi="宋体" w:cs="宋体"/>
          <w:color w:val="auto"/>
          <w:kern w:val="0"/>
          <w:highlight w:val="none"/>
        </w:rPr>
      </w:pPr>
      <w:r>
        <w:rPr>
          <w:rFonts w:hint="eastAsia" w:ascii="宋体" w:hAnsi="宋体" w:cs="宋体"/>
          <w:color w:val="auto"/>
          <w:kern w:val="0"/>
          <w:highlight w:val="none"/>
        </w:rPr>
        <w:br w:type="page"/>
      </w:r>
    </w:p>
    <w:p w14:paraId="04A8E559">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w:t>
      </w:r>
      <w:r>
        <w:rPr>
          <w:rFonts w:hint="eastAsia" w:ascii="宋体" w:hAnsi="宋体" w:cs="宋体"/>
          <w:b/>
          <w:color w:val="auto"/>
          <w:sz w:val="36"/>
          <w:szCs w:val="20"/>
          <w:highlight w:val="none"/>
          <w:lang w:val="en-US" w:eastAsia="zh-CN"/>
        </w:rPr>
        <w:t>六章</w:t>
      </w:r>
      <w:r>
        <w:rPr>
          <w:rFonts w:hint="eastAsia" w:ascii="宋体" w:hAnsi="宋体" w:cs="宋体"/>
          <w:b/>
          <w:color w:val="auto"/>
          <w:sz w:val="36"/>
          <w:szCs w:val="20"/>
          <w:highlight w:val="none"/>
        </w:rPr>
        <w:t xml:space="preserve"> 应提交的有关格式范例</w:t>
      </w:r>
    </w:p>
    <w:p w14:paraId="0850BEE9">
      <w:pPr>
        <w:spacing w:line="360" w:lineRule="auto"/>
        <w:jc w:val="center"/>
        <w:outlineLvl w:val="0"/>
        <w:rPr>
          <w:rFonts w:ascii="宋体" w:hAnsi="宋体" w:cs="宋体"/>
          <w:b/>
          <w:color w:val="auto"/>
          <w:kern w:val="0"/>
          <w:sz w:val="36"/>
          <w:szCs w:val="36"/>
          <w:highlight w:val="none"/>
        </w:rPr>
      </w:pPr>
    </w:p>
    <w:p w14:paraId="49F4ECE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338A47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997DCD">
      <w:pPr>
        <w:spacing w:line="360" w:lineRule="auto"/>
        <w:jc w:val="center"/>
        <w:outlineLvl w:val="0"/>
        <w:rPr>
          <w:rFonts w:ascii="宋体" w:hAnsi="宋体" w:cs="宋体"/>
          <w:b/>
          <w:color w:val="auto"/>
          <w:kern w:val="0"/>
          <w:sz w:val="36"/>
          <w:szCs w:val="36"/>
          <w:highlight w:val="none"/>
        </w:rPr>
      </w:pPr>
    </w:p>
    <w:p w14:paraId="37D9F0F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（1）符合参加采购活动应当具备的一般条件的承诺函……………………………………………（页码）</w:t>
      </w:r>
    </w:p>
    <w:p w14:paraId="0A3DDBF0">
      <w:pPr>
        <w:snapToGrid w:val="0"/>
        <w:spacing w:line="360" w:lineRule="auto"/>
        <w:rPr>
          <w:rFonts w:ascii="宋体" w:hAnsi="宋体" w:cs="宋体"/>
          <w:color w:val="auto"/>
          <w:sz w:val="21"/>
          <w:szCs w:val="21"/>
          <w:highlight w:val="none"/>
        </w:rPr>
      </w:pPr>
      <w:r>
        <w:rPr>
          <w:rFonts w:hint="eastAsia" w:ascii="宋体" w:hAnsi="宋体" w:cs="宋体"/>
          <w:snapToGrid w:val="0"/>
          <w:color w:val="auto"/>
          <w:kern w:val="28"/>
          <w:sz w:val="21"/>
          <w:szCs w:val="16"/>
          <w:highlight w:val="none"/>
        </w:rPr>
        <w:t>（2）联合协议</w:t>
      </w:r>
      <w:r>
        <w:rPr>
          <w:rFonts w:hint="eastAsia" w:ascii="宋体" w:hAnsi="宋体" w:cs="宋体"/>
          <w:color w:val="auto"/>
          <w:sz w:val="21"/>
          <w:szCs w:val="21"/>
          <w:highlight w:val="none"/>
        </w:rPr>
        <w:t>…………………………………………………………………………………………（页码）</w:t>
      </w:r>
    </w:p>
    <w:p w14:paraId="0AC658D1">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）本项目的特定资格要求…………………………………………………………………………（页码）</w:t>
      </w:r>
    </w:p>
    <w:p w14:paraId="3E15F081">
      <w:pPr>
        <w:snapToGrid w:val="0"/>
        <w:spacing w:line="360" w:lineRule="auto"/>
        <w:ind w:firstLine="480" w:firstLineChars="200"/>
        <w:rPr>
          <w:rFonts w:ascii="宋体" w:hAnsi="宋体" w:cs="宋体"/>
          <w:color w:val="auto"/>
          <w:sz w:val="24"/>
          <w:highlight w:val="none"/>
        </w:rPr>
      </w:pPr>
    </w:p>
    <w:p w14:paraId="5EDF0D94">
      <w:pPr>
        <w:spacing w:line="360" w:lineRule="auto"/>
        <w:ind w:firstLine="480" w:firstLineChars="200"/>
        <w:rPr>
          <w:rFonts w:ascii="宋体" w:hAnsi="宋体" w:cs="宋体"/>
          <w:color w:val="auto"/>
          <w:sz w:val="24"/>
          <w:highlight w:val="none"/>
        </w:rPr>
      </w:pPr>
    </w:p>
    <w:p w14:paraId="1206B77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一、符合参加采购活动应当具备的一般条件的承诺函</w:t>
      </w:r>
    </w:p>
    <w:p w14:paraId="2F273F7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sz w:val="21"/>
          <w:szCs w:val="21"/>
          <w:highlight w:val="none"/>
        </w:rPr>
        <w:t>：</w:t>
      </w:r>
    </w:p>
    <w:p w14:paraId="16092EF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lang w:eastAsia="zh-CN"/>
        </w:rPr>
        <w:t>2025年拱墅区部分校园广播系统改造采购</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QSZBB250044FHQT</w:t>
      </w:r>
      <w:r>
        <w:rPr>
          <w:rFonts w:hint="eastAsia" w:ascii="宋体" w:hAnsi="宋体" w:cs="宋体"/>
          <w:color w:val="auto"/>
          <w:sz w:val="21"/>
          <w:szCs w:val="21"/>
          <w:highlight w:val="none"/>
        </w:rPr>
        <w:t>】采购活动，郑重承诺：</w:t>
      </w:r>
    </w:p>
    <w:p w14:paraId="7577113B">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w:t>
      </w:r>
      <w:r>
        <w:rPr>
          <w:rFonts w:hint="eastAsia" w:ascii="宋体" w:hAnsi="宋体" w:cs="宋体"/>
          <w:color w:val="auto"/>
          <w:sz w:val="21"/>
          <w:szCs w:val="21"/>
          <w:highlight w:val="none"/>
          <w:lang w:val="en-US" w:eastAsia="zh-CN"/>
        </w:rPr>
        <w:t>以下</w:t>
      </w:r>
      <w:r>
        <w:rPr>
          <w:rFonts w:hint="eastAsia" w:ascii="宋体" w:hAnsi="宋体" w:cs="宋体"/>
          <w:color w:val="auto"/>
          <w:sz w:val="21"/>
          <w:szCs w:val="21"/>
          <w:highlight w:val="none"/>
        </w:rPr>
        <w:t>条件：</w:t>
      </w:r>
    </w:p>
    <w:p w14:paraId="5DB2C8B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63D7D6F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5ED76BF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2A38840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7A60DA7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、具有法律、行政法规规定的其他条件。</w:t>
      </w:r>
    </w:p>
    <w:p w14:paraId="6FF15A9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2958CFD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594F5B8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1、单位负责人为同一人或者存在直接控股、管理关系的不同供应商参加同一合同项下的采购活动的；</w:t>
      </w:r>
    </w:p>
    <w:p w14:paraId="0856F3A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07926D2A">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6B052066">
      <w:pPr>
        <w:snapToGrid w:val="0"/>
        <w:spacing w:line="360" w:lineRule="auto"/>
        <w:ind w:firstLine="4830" w:firstLineChars="23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5486CA58">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br w:type="page"/>
      </w:r>
    </w:p>
    <w:p w14:paraId="44FD27A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63037EC">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rPr>
        <w:t>以联合体形式</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的，提供联合协议（附件</w:t>
      </w:r>
      <w:r>
        <w:rPr>
          <w:rFonts w:hint="eastAsia" w:ascii="宋体" w:hAnsi="宋体" w:cs="宋体"/>
          <w:b/>
          <w:color w:val="auto"/>
          <w:sz w:val="21"/>
          <w:szCs w:val="21"/>
          <w:highlight w:val="none"/>
          <w:lang w:val="en-US" w:eastAsia="zh-CN"/>
        </w:rPr>
        <w:t>4</w:t>
      </w:r>
      <w:r>
        <w:rPr>
          <w:rFonts w:hint="eastAsia" w:ascii="宋体" w:hAnsi="宋体" w:cs="宋体"/>
          <w:b/>
          <w:color w:val="auto"/>
          <w:sz w:val="21"/>
          <w:szCs w:val="21"/>
          <w:highlight w:val="none"/>
        </w:rPr>
        <w:t>）；本项目不接受联合体</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或者</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不以联合体形式</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的，则不需要提供</w:t>
      </w:r>
      <w:r>
        <w:rPr>
          <w:rFonts w:hint="eastAsia" w:ascii="宋体" w:hAnsi="宋体" w:cs="宋体"/>
          <w:b/>
          <w:color w:val="auto"/>
          <w:sz w:val="21"/>
          <w:szCs w:val="21"/>
          <w:highlight w:val="none"/>
          <w:lang w:eastAsia="zh-CN"/>
        </w:rPr>
        <w:t>）</w:t>
      </w:r>
    </w:p>
    <w:p w14:paraId="31317757">
      <w:pPr>
        <w:snapToGrid w:val="0"/>
        <w:spacing w:line="360" w:lineRule="auto"/>
        <w:ind w:right="480"/>
        <w:jc w:val="center"/>
        <w:rPr>
          <w:rFonts w:ascii="宋体" w:hAnsi="宋体" w:cs="宋体"/>
          <w:b/>
          <w:color w:val="auto"/>
          <w:kern w:val="0"/>
          <w:sz w:val="32"/>
          <w:szCs w:val="32"/>
          <w:highlight w:val="none"/>
        </w:rPr>
      </w:pPr>
    </w:p>
    <w:p w14:paraId="69F85925">
      <w:pPr>
        <w:snapToGrid w:val="0"/>
        <w:spacing w:line="360" w:lineRule="auto"/>
        <w:ind w:right="480"/>
        <w:jc w:val="center"/>
        <w:rPr>
          <w:rFonts w:ascii="宋体" w:hAnsi="宋体" w:cs="宋体"/>
          <w:b/>
          <w:color w:val="auto"/>
          <w:kern w:val="0"/>
          <w:sz w:val="32"/>
          <w:szCs w:val="32"/>
          <w:highlight w:val="none"/>
        </w:rPr>
      </w:pPr>
    </w:p>
    <w:p w14:paraId="7AEBFD4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、本项目的特定资格要求</w:t>
      </w:r>
    </w:p>
    <w:p w14:paraId="20139E27">
      <w:pPr>
        <w:spacing w:line="360" w:lineRule="auto"/>
        <w:jc w:val="center"/>
        <w:rPr>
          <w:rFonts w:ascii="宋体" w:hAnsi="宋体" w:cs="宋体"/>
          <w:b/>
          <w:bCs/>
          <w:color w:val="auto"/>
          <w:sz w:val="24"/>
          <w:highlight w:val="none"/>
        </w:rPr>
      </w:pPr>
      <w:r>
        <w:rPr>
          <w:rFonts w:hint="eastAsia" w:ascii="宋体" w:hAnsi="宋体" w:cs="宋体"/>
          <w:b/>
          <w:bCs/>
          <w:color w:val="auto"/>
          <w:sz w:val="21"/>
          <w:szCs w:val="21"/>
          <w:highlight w:val="none"/>
        </w:rPr>
        <w:t>（根据</w:t>
      </w:r>
      <w:r>
        <w:rPr>
          <w:rFonts w:hint="eastAsia" w:ascii="宋体" w:hAnsi="宋体" w:cs="宋体"/>
          <w:b/>
          <w:bCs/>
          <w:color w:val="auto"/>
          <w:sz w:val="21"/>
          <w:szCs w:val="21"/>
          <w:highlight w:val="none"/>
          <w:lang w:val="en-US" w:eastAsia="zh-CN"/>
        </w:rPr>
        <w:t>交易</w:t>
      </w:r>
      <w:r>
        <w:rPr>
          <w:rFonts w:hint="eastAsia" w:ascii="宋体" w:hAnsi="宋体" w:cs="宋体"/>
          <w:b/>
          <w:bCs/>
          <w:color w:val="auto"/>
          <w:sz w:val="21"/>
          <w:szCs w:val="21"/>
          <w:highlight w:val="none"/>
        </w:rPr>
        <w:t>公告本项目的特定资格要求提供相应的材料；未要求的，无需提供）</w:t>
      </w:r>
    </w:p>
    <w:p w14:paraId="37D0AF44">
      <w:pPr>
        <w:rPr>
          <w:rFonts w:ascii="宋体" w:hAnsi="宋体" w:cs="宋体"/>
          <w:color w:val="auto"/>
          <w:highlight w:val="none"/>
        </w:rPr>
      </w:pPr>
    </w:p>
    <w:p w14:paraId="0C1A66A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32E3E46">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254A612">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E188800">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函………………………………………………………………………………………………（页码）</w:t>
      </w:r>
    </w:p>
    <w:p w14:paraId="153E6C3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（2）授权委托书或法定代表人（单位负责人）身份证明……………………………………………（页码）</w:t>
      </w:r>
    </w:p>
    <w:p w14:paraId="4568E1DF">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）分包意向协议………………………………………………………………………………………（页码）</w:t>
      </w:r>
    </w:p>
    <w:p w14:paraId="419EC64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）符合性审查资料……………………………………………………………………………………（页码）</w:t>
      </w:r>
    </w:p>
    <w:p w14:paraId="3E3240D7">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标准相应的商务技术资料……………………………………………………………………（页码）</w:t>
      </w:r>
    </w:p>
    <w:p w14:paraId="657E374E">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标的清单………………………………………………………………………………………（页码）</w:t>
      </w:r>
    </w:p>
    <w:p w14:paraId="666CF9D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）商务技术偏离表……………………………………………………………………………………（页码）</w:t>
      </w:r>
    </w:p>
    <w:p w14:paraId="5FDF9B82">
      <w:pPr>
        <w:snapToGrid w:val="0"/>
        <w:spacing w:line="360" w:lineRule="auto"/>
        <w:rPr>
          <w:rFonts w:ascii="宋体" w:hAnsi="宋体" w:cs="宋体"/>
          <w:color w:val="auto"/>
          <w:highlight w:val="none"/>
        </w:rPr>
      </w:pP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）采购供应商廉洁自律承诺书</w:t>
      </w:r>
      <w:r>
        <w:rPr>
          <w:rFonts w:hint="eastAsia" w:ascii="宋体" w:hAnsi="宋体" w:cs="宋体"/>
          <w:color w:val="auto"/>
          <w:sz w:val="21"/>
          <w:szCs w:val="21"/>
          <w:highlight w:val="none"/>
        </w:rPr>
        <w:t>………………………………………………………………………（页码）</w:t>
      </w:r>
    </w:p>
    <w:p w14:paraId="62136F6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9C6C9B2">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w:t>
      </w:r>
      <w:r>
        <w:rPr>
          <w:rFonts w:hint="eastAsia" w:ascii="宋体" w:hAnsi="宋体" w:cs="宋体"/>
          <w:b/>
          <w:color w:val="auto"/>
          <w:kern w:val="0"/>
          <w:sz w:val="32"/>
          <w:szCs w:val="32"/>
          <w:highlight w:val="none"/>
          <w:lang w:eastAsia="zh-CN"/>
        </w:rPr>
        <w:t>响应</w:t>
      </w:r>
      <w:r>
        <w:rPr>
          <w:rFonts w:hint="eastAsia" w:ascii="宋体" w:hAnsi="宋体" w:cs="宋体"/>
          <w:b/>
          <w:color w:val="auto"/>
          <w:sz w:val="32"/>
          <w:szCs w:val="32"/>
          <w:highlight w:val="none"/>
        </w:rPr>
        <w:t>函</w:t>
      </w:r>
    </w:p>
    <w:p w14:paraId="5B80568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sz w:val="21"/>
          <w:szCs w:val="21"/>
          <w:highlight w:val="none"/>
        </w:rPr>
        <w:t>：</w:t>
      </w:r>
    </w:p>
    <w:p w14:paraId="644C35C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2025年拱墅区部分校园广播系统改造采购</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QSZBB250044FHQT</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的有关活动，并对此项目进行</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。为此：</w:t>
      </w:r>
    </w:p>
    <w:p w14:paraId="78C052A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有效期从提交</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文件在</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有效期满之前均具有约束力。</w:t>
      </w:r>
    </w:p>
    <w:p w14:paraId="0D7B338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文件包括以下内容：</w:t>
      </w:r>
    </w:p>
    <w:p w14:paraId="1857625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7DDEC89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0D82945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联合协议（如果有)；</w:t>
      </w:r>
    </w:p>
    <w:p w14:paraId="12C7B33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5EB530D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34A8163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w:t>
      </w:r>
      <w:r>
        <w:rPr>
          <w:rFonts w:hint="eastAsia" w:ascii="宋体" w:hAnsi="宋体" w:cs="宋体"/>
          <w:color w:val="auto"/>
          <w:sz w:val="21"/>
          <w:szCs w:val="21"/>
          <w:highlight w:val="none"/>
          <w:lang w:val="zh-CN"/>
        </w:rPr>
        <w:t xml:space="preserve"> </w:t>
      </w:r>
    </w:p>
    <w:p w14:paraId="4B2A376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1AC5B15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4A01FE6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33FF22D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标准相应的商务技术资料；</w:t>
      </w:r>
    </w:p>
    <w:p w14:paraId="3C4B6F6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6</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标的清单；</w:t>
      </w:r>
    </w:p>
    <w:p w14:paraId="66DD561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00052F4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采购供应商廉洁自律承诺书；</w:t>
      </w:r>
    </w:p>
    <w:p w14:paraId="1FF7610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5668D8F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2.3.1</w:t>
      </w:r>
      <w:r>
        <w:rPr>
          <w:rFonts w:hint="eastAsia" w:ascii="宋体" w:hAnsi="宋体" w:cs="宋体"/>
          <w:strike w:val="0"/>
          <w:dstrike w:val="0"/>
          <w:color w:val="auto"/>
          <w:sz w:val="21"/>
          <w:szCs w:val="21"/>
          <w:highlight w:val="none"/>
          <w:u w:val="none"/>
        </w:rPr>
        <w:t>开标一览表</w:t>
      </w:r>
      <w:r>
        <w:rPr>
          <w:rFonts w:hint="eastAsia" w:ascii="宋体" w:hAnsi="宋体" w:cs="宋体"/>
          <w:color w:val="auto"/>
          <w:sz w:val="21"/>
          <w:szCs w:val="21"/>
          <w:highlight w:val="none"/>
        </w:rPr>
        <w:t>（报价表）；</w:t>
      </w:r>
    </w:p>
    <w:p w14:paraId="0513C92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hint="default" w:eastAsia="仿宋_GB2312"/>
          <w:color w:val="auto"/>
          <w:sz w:val="21"/>
          <w:szCs w:val="21"/>
          <w:highlight w:val="none"/>
          <w:lang w:val="en-US" w:eastAsia="zh-CN"/>
        </w:rPr>
      </w:pPr>
      <w:r>
        <w:rPr>
          <w:rFonts w:hint="eastAsia" w:ascii="宋体" w:hAnsi="宋体" w:cs="宋体"/>
          <w:color w:val="auto"/>
          <w:sz w:val="21"/>
          <w:szCs w:val="21"/>
          <w:highlight w:val="none"/>
          <w:lang w:val="en-US" w:eastAsia="zh-CN"/>
        </w:rPr>
        <w:t>2.3.2 报价情况说明（如果有）；</w:t>
      </w:r>
    </w:p>
    <w:p w14:paraId="4C13158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文件的全部要求。对</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文件中材料的真实性、合法性负责。</w:t>
      </w:r>
    </w:p>
    <w:p w14:paraId="183662C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w:t>
      </w:r>
      <w:r>
        <w:rPr>
          <w:rFonts w:hint="eastAsia" w:ascii="宋体" w:hAnsi="宋体" w:cs="宋体"/>
          <w:color w:val="auto"/>
          <w:sz w:val="21"/>
          <w:szCs w:val="21"/>
          <w:highlight w:val="none"/>
          <w:lang w:val="en-US" w:eastAsia="zh-CN"/>
        </w:rPr>
        <w:t>成为成交供应商</w:t>
      </w:r>
      <w:r>
        <w:rPr>
          <w:rFonts w:hint="eastAsia" w:ascii="宋体" w:hAnsi="宋体" w:cs="宋体"/>
          <w:color w:val="auto"/>
          <w:sz w:val="21"/>
          <w:szCs w:val="21"/>
          <w:highlight w:val="none"/>
        </w:rPr>
        <w:t>，我方承诺：</w:t>
      </w:r>
    </w:p>
    <w:p w14:paraId="669908E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4.1在收到</w:t>
      </w:r>
      <w:r>
        <w:rPr>
          <w:rFonts w:hint="eastAsia" w:ascii="宋体" w:hAnsi="宋体" w:cs="宋体"/>
          <w:color w:val="auto"/>
          <w:sz w:val="21"/>
          <w:szCs w:val="21"/>
          <w:highlight w:val="none"/>
          <w:lang w:val="en-US" w:eastAsia="zh-CN"/>
        </w:rPr>
        <w:t>成交确认</w:t>
      </w:r>
      <w:r>
        <w:rPr>
          <w:rFonts w:hint="eastAsia" w:ascii="宋体" w:hAnsi="宋体" w:cs="宋体"/>
          <w:color w:val="auto"/>
          <w:sz w:val="21"/>
          <w:szCs w:val="21"/>
          <w:highlight w:val="none"/>
        </w:rPr>
        <w:t xml:space="preserve">通知书后，在通知书规定的期限内与你方签订合同； </w:t>
      </w:r>
    </w:p>
    <w:p w14:paraId="79C6DDB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5290A59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4.3按照</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 xml:space="preserve">文件要求提交履约保证金； </w:t>
      </w:r>
    </w:p>
    <w:p w14:paraId="122A2AC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1E4FC3E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DCE4AC3">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textAlignment w:val="auto"/>
        <w:rPr>
          <w:rFonts w:hint="eastAsia" w:ascii="宋体" w:hAnsi="宋体" w:cs="宋体"/>
          <w:color w:val="auto"/>
          <w:sz w:val="21"/>
          <w:szCs w:val="21"/>
          <w:highlight w:val="none"/>
          <w:lang w:eastAsia="zh-CN"/>
        </w:rPr>
      </w:pPr>
    </w:p>
    <w:p w14:paraId="67BEB470">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textAlignment w:val="auto"/>
        <w:rPr>
          <w:rFonts w:hint="eastAsia" w:ascii="宋体" w:hAnsi="宋体" w:cs="宋体"/>
          <w:color w:val="auto"/>
          <w:sz w:val="21"/>
          <w:szCs w:val="21"/>
          <w:highlight w:val="none"/>
          <w:lang w:eastAsia="zh-CN"/>
        </w:rPr>
      </w:pPr>
    </w:p>
    <w:p w14:paraId="1EB7AAF3">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名称（电子签名）：</w:t>
      </w:r>
    </w:p>
    <w:p w14:paraId="4C88B160">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14:paraId="4F1B0CB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3675" w:firstLineChars="1750"/>
        <w:textAlignment w:val="auto"/>
        <w:rPr>
          <w:rFonts w:ascii="宋体" w:hAnsi="宋体" w:cs="宋体"/>
          <w:color w:val="auto"/>
          <w:kern w:val="0"/>
          <w:sz w:val="21"/>
          <w:szCs w:val="21"/>
          <w:highlight w:val="none"/>
          <w:u w:val="single"/>
        </w:rPr>
      </w:pPr>
    </w:p>
    <w:p w14:paraId="1BA5B8BD">
      <w:pPr>
        <w:keepNext w:val="0"/>
        <w:keepLines w:val="0"/>
        <w:pageBreakBefore w:val="0"/>
        <w:widowControl w:val="0"/>
        <w:kinsoku/>
        <w:wordWrap/>
        <w:overflowPunct/>
        <w:topLinePunct w:val="0"/>
        <w:autoSpaceDE/>
        <w:autoSpaceDN/>
        <w:bidi w:val="0"/>
        <w:adjustRightInd w:val="0"/>
        <w:spacing w:line="288" w:lineRule="auto"/>
        <w:ind w:left="0" w:leftChars="0" w:right="0"/>
        <w:textAlignment w:val="auto"/>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0282E20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E28D391">
      <w:pPr>
        <w:keepNext w:val="0"/>
        <w:keepLines w:val="0"/>
        <w:pageBreakBefore w:val="0"/>
        <w:widowControl w:val="0"/>
        <w:kinsoku/>
        <w:wordWrap/>
        <w:overflowPunct/>
        <w:topLinePunct w:val="0"/>
        <w:bidi w:val="0"/>
        <w:spacing w:line="288" w:lineRule="auto"/>
        <w:jc w:val="center"/>
        <w:textAlignment w:val="auto"/>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14:paraId="4887F413">
      <w:pPr>
        <w:keepNext w:val="0"/>
        <w:keepLines w:val="0"/>
        <w:pageBreakBefore w:val="0"/>
        <w:widowControl w:val="0"/>
        <w:kinsoku/>
        <w:wordWrap/>
        <w:overflowPunct/>
        <w:topLinePunct w:val="0"/>
        <w:bidi w:val="0"/>
        <w:snapToGrid w:val="0"/>
        <w:spacing w:line="288" w:lineRule="auto"/>
        <w:jc w:val="center"/>
        <w:textAlignment w:val="auto"/>
        <w:rPr>
          <w:rFonts w:hint="eastAsia" w:ascii="宋体" w:hAnsi="宋体" w:eastAsia="宋体" w:cs="宋体"/>
          <w:color w:val="auto"/>
          <w:sz w:val="32"/>
          <w:szCs w:val="32"/>
          <w:highlight w:val="none"/>
          <w:lang w:val="en-US" w:eastAsia="zh-CN"/>
        </w:rPr>
      </w:pPr>
      <w:r>
        <w:rPr>
          <w:rFonts w:hint="eastAsia" w:ascii="宋体" w:hAnsi="宋体" w:cs="宋体"/>
          <w:b/>
          <w:color w:val="auto"/>
          <w:kern w:val="0"/>
          <w:sz w:val="32"/>
          <w:szCs w:val="32"/>
          <w:highlight w:val="none"/>
          <w:lang w:val="zh-CN"/>
        </w:rPr>
        <w:t>授权委托书（适用于非联合体响应）</w:t>
      </w:r>
    </w:p>
    <w:p w14:paraId="709FD836">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04326086">
      <w:pPr>
        <w:keepNext w:val="0"/>
        <w:keepLines w:val="0"/>
        <w:pageBreakBefore w:val="0"/>
        <w:widowControl w:val="0"/>
        <w:kinsoku/>
        <w:wordWrap/>
        <w:overflowPunct/>
        <w:topLinePunct w:val="0"/>
        <w:bidi w:val="0"/>
        <w:snapToGrid w:val="0"/>
        <w:spacing w:line="288" w:lineRule="auto"/>
        <w:ind w:firstLine="576"/>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2025年拱墅区部分校园广播系统改造采购</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QSZBB250044FHQT</w:t>
      </w:r>
      <w:r>
        <w:rPr>
          <w:rFonts w:hint="eastAsia" w:ascii="宋体" w:hAnsi="宋体" w:cs="宋体"/>
          <w:color w:val="auto"/>
          <w:sz w:val="21"/>
          <w:szCs w:val="21"/>
          <w:highlight w:val="none"/>
        </w:rPr>
        <w:t>】</w:t>
      </w:r>
      <w:r>
        <w:rPr>
          <w:rFonts w:hint="eastAsia" w:ascii="宋体" w:hAnsi="宋体" w:cs="宋体"/>
          <w:strike w:val="0"/>
          <w:dstrike w:val="0"/>
          <w:color w:val="auto"/>
          <w:kern w:val="0"/>
          <w:sz w:val="21"/>
          <w:szCs w:val="21"/>
          <w:highlight w:val="none"/>
          <w:lang w:val="en-US" w:eastAsia="zh-CN"/>
        </w:rPr>
        <w:t>项目</w:t>
      </w:r>
      <w:r>
        <w:rPr>
          <w:rFonts w:hint="eastAsia" w:ascii="宋体" w:hAnsi="宋体" w:cs="宋体"/>
          <w:color w:val="auto"/>
          <w:kern w:val="0"/>
          <w:sz w:val="21"/>
          <w:szCs w:val="21"/>
          <w:highlight w:val="none"/>
          <w:lang w:val="zh-CN"/>
        </w:rPr>
        <w:t>采购响应的一切事项，其法律后果由我方承担。</w:t>
      </w:r>
    </w:p>
    <w:p w14:paraId="64962E87">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0E5FCE04">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特此告知。</w:t>
      </w:r>
    </w:p>
    <w:p w14:paraId="07FD074F">
      <w:pPr>
        <w:keepNext w:val="0"/>
        <w:keepLines w:val="0"/>
        <w:pageBreakBefore w:val="0"/>
        <w:widowControl w:val="0"/>
        <w:kinsoku/>
        <w:wordWrap/>
        <w:overflowPunct/>
        <w:topLinePunct w:val="0"/>
        <w:bidi w:val="0"/>
        <w:snapToGrid w:val="0"/>
        <w:spacing w:line="288" w:lineRule="auto"/>
        <w:ind w:firstLine="5250" w:firstLineChars="2500"/>
        <w:textAlignment w:val="auto"/>
        <w:rPr>
          <w:rFonts w:hint="eastAsia" w:ascii="宋体" w:hAnsi="宋体" w:cs="宋体"/>
          <w:color w:val="auto"/>
          <w:kern w:val="0"/>
          <w:sz w:val="21"/>
          <w:szCs w:val="21"/>
          <w:highlight w:val="none"/>
          <w:lang w:val="zh-CN"/>
        </w:rPr>
      </w:pPr>
    </w:p>
    <w:p w14:paraId="37403401">
      <w:pPr>
        <w:keepNext w:val="0"/>
        <w:keepLines w:val="0"/>
        <w:pageBreakBefore w:val="0"/>
        <w:widowControl w:val="0"/>
        <w:kinsoku/>
        <w:wordWrap/>
        <w:overflowPunct/>
        <w:topLinePunct w:val="0"/>
        <w:bidi w:val="0"/>
        <w:snapToGrid w:val="0"/>
        <w:spacing w:line="288" w:lineRule="auto"/>
        <w:ind w:firstLine="5250" w:firstLineChars="25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2301874A">
      <w:pPr>
        <w:keepNext w:val="0"/>
        <w:keepLines w:val="0"/>
        <w:pageBreakBefore w:val="0"/>
        <w:widowControl w:val="0"/>
        <w:kinsoku/>
        <w:wordWrap/>
        <w:overflowPunct/>
        <w:topLinePunct w:val="0"/>
        <w:bidi w:val="0"/>
        <w:snapToGrid w:val="0"/>
        <w:spacing w:line="288" w:lineRule="auto"/>
        <w:ind w:firstLine="5250" w:firstLineChars="2500"/>
        <w:textAlignment w:val="auto"/>
        <w:rPr>
          <w:rFonts w:ascii="宋体" w:hAnsi="宋体" w:cs="宋体"/>
          <w:color w:val="auto"/>
          <w:kern w:val="0"/>
          <w:sz w:val="24"/>
          <w:highlight w:val="none"/>
          <w:lang w:val="zh-CN"/>
        </w:rPr>
      </w:pPr>
      <w:r>
        <w:rPr>
          <w:rFonts w:hint="eastAsia" w:ascii="宋体" w:hAnsi="宋体" w:cs="宋体"/>
          <w:color w:val="auto"/>
          <w:kern w:val="0"/>
          <w:sz w:val="21"/>
          <w:szCs w:val="21"/>
          <w:highlight w:val="none"/>
          <w:lang w:val="zh-CN"/>
        </w:rPr>
        <w:t>签发日期：  年  月   日</w:t>
      </w:r>
    </w:p>
    <w:p w14:paraId="6C5E3226">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sz w:val="21"/>
          <w:szCs w:val="21"/>
          <w:highlight w:val="none"/>
        </w:rPr>
      </w:pPr>
    </w:p>
    <w:p w14:paraId="45C6344A">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sz w:val="21"/>
          <w:szCs w:val="21"/>
          <w:highlight w:val="none"/>
        </w:rPr>
      </w:pPr>
    </w:p>
    <w:p w14:paraId="03C916AD">
      <w:pPr>
        <w:keepNext w:val="0"/>
        <w:keepLines w:val="0"/>
        <w:pageBreakBefore w:val="0"/>
        <w:widowControl w:val="0"/>
        <w:kinsoku/>
        <w:wordWrap/>
        <w:overflowPunct/>
        <w:topLinePunct w:val="0"/>
        <w:bidi w:val="0"/>
        <w:spacing w:line="288"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授权委托书（适用于联合体响应）</w:t>
      </w:r>
    </w:p>
    <w:p w14:paraId="2D17E049">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45F44313">
      <w:pPr>
        <w:keepNext w:val="0"/>
        <w:keepLines w:val="0"/>
        <w:pageBreakBefore w:val="0"/>
        <w:widowControl w:val="0"/>
        <w:kinsoku/>
        <w:wordWrap/>
        <w:overflowPunct/>
        <w:topLinePunct w:val="0"/>
        <w:bidi w:val="0"/>
        <w:snapToGrid w:val="0"/>
        <w:spacing w:line="288" w:lineRule="auto"/>
        <w:ind w:firstLine="576"/>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2025年拱墅区部分校园广播系统改造采购</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QSZBB250044FHQT</w:t>
      </w:r>
      <w:r>
        <w:rPr>
          <w:rFonts w:hint="eastAsia" w:ascii="宋体" w:hAnsi="宋体" w:cs="宋体"/>
          <w:color w:val="auto"/>
          <w:sz w:val="21"/>
          <w:szCs w:val="21"/>
          <w:highlight w:val="none"/>
        </w:rPr>
        <w:t>】</w:t>
      </w:r>
      <w:r>
        <w:rPr>
          <w:rFonts w:hint="eastAsia" w:ascii="宋体" w:hAnsi="宋体" w:cs="宋体"/>
          <w:strike w:val="0"/>
          <w:dstrike w:val="0"/>
          <w:color w:val="auto"/>
          <w:kern w:val="0"/>
          <w:sz w:val="21"/>
          <w:szCs w:val="21"/>
          <w:highlight w:val="none"/>
          <w:lang w:val="en-US" w:eastAsia="zh-CN"/>
        </w:rPr>
        <w:t>项目</w:t>
      </w:r>
      <w:r>
        <w:rPr>
          <w:rFonts w:hint="eastAsia" w:ascii="宋体" w:hAnsi="宋体" w:cs="宋体"/>
          <w:color w:val="auto"/>
          <w:kern w:val="0"/>
          <w:sz w:val="21"/>
          <w:szCs w:val="21"/>
          <w:highlight w:val="none"/>
          <w:lang w:val="zh-CN"/>
        </w:rPr>
        <w:t>采购响应的一切事项，其法律后果由我方承担。</w:t>
      </w:r>
    </w:p>
    <w:p w14:paraId="3FDACE3D">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DAA9FF6">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特此告知。</w:t>
      </w:r>
    </w:p>
    <w:p w14:paraId="775F9A59">
      <w:pPr>
        <w:keepNext w:val="0"/>
        <w:keepLines w:val="0"/>
        <w:pageBreakBefore w:val="0"/>
        <w:widowControl w:val="0"/>
        <w:kinsoku/>
        <w:wordWrap/>
        <w:overflowPunct/>
        <w:topLinePunct w:val="0"/>
        <w:bidi w:val="0"/>
        <w:spacing w:line="288" w:lineRule="auto"/>
        <w:textAlignment w:val="auto"/>
        <w:rPr>
          <w:rFonts w:ascii="宋体" w:hAnsi="宋体" w:cs="宋体"/>
          <w:color w:val="auto"/>
          <w:sz w:val="21"/>
          <w:szCs w:val="21"/>
          <w:highlight w:val="none"/>
        </w:rPr>
      </w:pPr>
    </w:p>
    <w:p w14:paraId="003C1363">
      <w:pPr>
        <w:keepNext w:val="0"/>
        <w:keepLines w:val="0"/>
        <w:pageBreakBefore w:val="0"/>
        <w:widowControl w:val="0"/>
        <w:kinsoku/>
        <w:wordWrap/>
        <w:overflowPunct/>
        <w:topLinePunct w:val="0"/>
        <w:bidi w:val="0"/>
        <w:snapToGrid w:val="0"/>
        <w:spacing w:line="288" w:lineRule="auto"/>
        <w:ind w:firstLine="4410" w:firstLine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220D5AC6">
      <w:pPr>
        <w:keepNext w:val="0"/>
        <w:keepLines w:val="0"/>
        <w:pageBreakBefore w:val="0"/>
        <w:widowControl w:val="0"/>
        <w:kinsoku/>
        <w:wordWrap/>
        <w:overflowPunct/>
        <w:topLinePunct w:val="0"/>
        <w:bidi w:val="0"/>
        <w:snapToGrid w:val="0"/>
        <w:spacing w:line="288" w:lineRule="auto"/>
        <w:ind w:firstLine="4410" w:firstLine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2162DBFC">
      <w:pPr>
        <w:keepNext w:val="0"/>
        <w:keepLines w:val="0"/>
        <w:pageBreakBefore w:val="0"/>
        <w:widowControl w:val="0"/>
        <w:kinsoku/>
        <w:wordWrap/>
        <w:overflowPunct/>
        <w:topLinePunct w:val="0"/>
        <w:bidi w:val="0"/>
        <w:snapToGrid w:val="0"/>
        <w:spacing w:line="288" w:lineRule="auto"/>
        <w:ind w:firstLine="5040" w:firstLineChars="24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41964FE9">
      <w:pPr>
        <w:keepNext w:val="0"/>
        <w:keepLines w:val="0"/>
        <w:pageBreakBefore w:val="0"/>
        <w:widowControl w:val="0"/>
        <w:kinsoku/>
        <w:wordWrap/>
        <w:overflowPunct/>
        <w:topLinePunct w:val="0"/>
        <w:bidi w:val="0"/>
        <w:snapToGrid w:val="0"/>
        <w:spacing w:line="288" w:lineRule="auto"/>
        <w:ind w:firstLine="441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1"/>
          <w:szCs w:val="21"/>
          <w:highlight w:val="none"/>
          <w:lang w:val="zh-CN"/>
        </w:rPr>
        <w:t>日期：  年  月   日</w:t>
      </w:r>
    </w:p>
    <w:p w14:paraId="0F482C46">
      <w:pPr>
        <w:keepNext w:val="0"/>
        <w:keepLines w:val="0"/>
        <w:pageBreakBefore w:val="0"/>
        <w:widowControl w:val="0"/>
        <w:kinsoku/>
        <w:wordWrap/>
        <w:overflowPunct/>
        <w:topLinePunct w:val="0"/>
        <w:autoSpaceDE w:val="0"/>
        <w:autoSpaceDN w:val="0"/>
        <w:bidi w:val="0"/>
        <w:spacing w:line="288" w:lineRule="auto"/>
        <w:jc w:val="left"/>
        <w:textAlignment w:val="auto"/>
        <w:rPr>
          <w:rFonts w:hint="eastAsia" w:ascii="宋体" w:hAnsi="宋体" w:cs="宋体"/>
          <w:b/>
          <w:color w:val="auto"/>
          <w:kern w:val="0"/>
          <w:sz w:val="21"/>
          <w:szCs w:val="21"/>
          <w:highlight w:val="none"/>
          <w:lang w:val="zh-CN"/>
        </w:rPr>
      </w:pPr>
    </w:p>
    <w:p w14:paraId="14DBEF6D">
      <w:pPr>
        <w:pStyle w:val="2"/>
        <w:keepNext w:val="0"/>
        <w:keepLines w:val="0"/>
        <w:pageBreakBefore w:val="0"/>
        <w:widowControl w:val="0"/>
        <w:kinsoku/>
        <w:wordWrap/>
        <w:overflowPunct/>
        <w:topLinePunct w:val="0"/>
        <w:bidi w:val="0"/>
        <w:spacing w:line="288" w:lineRule="auto"/>
        <w:ind w:left="0" w:leftChars="0" w:firstLine="0" w:firstLineChars="0"/>
        <w:jc w:val="left"/>
        <w:textAlignment w:val="auto"/>
        <w:rPr>
          <w:rFonts w:hint="eastAsia"/>
          <w:color w:val="auto"/>
          <w:sz w:val="21"/>
          <w:szCs w:val="21"/>
          <w:highlight w:val="none"/>
          <w:lang w:val="zh-CN"/>
        </w:rPr>
      </w:pPr>
    </w:p>
    <w:p w14:paraId="5A8EECF6">
      <w:pPr>
        <w:keepNext w:val="0"/>
        <w:keepLines w:val="0"/>
        <w:pageBreakBefore w:val="0"/>
        <w:widowControl w:val="0"/>
        <w:kinsoku/>
        <w:wordWrap/>
        <w:overflowPunct/>
        <w:topLinePunct w:val="0"/>
        <w:autoSpaceDE w:val="0"/>
        <w:autoSpaceDN w:val="0"/>
        <w:bidi w:val="0"/>
        <w:spacing w:line="288" w:lineRule="auto"/>
        <w:jc w:val="center"/>
        <w:textAlignment w:val="auto"/>
        <w:rPr>
          <w:rFonts w:ascii="宋体" w:hAnsi="宋体" w:cs="宋体"/>
          <w:b/>
          <w:color w:val="auto"/>
          <w:sz w:val="32"/>
          <w:szCs w:val="32"/>
          <w:highlight w:val="none"/>
        </w:rPr>
      </w:pPr>
      <w:r>
        <w:rPr>
          <w:rFonts w:hint="eastAsia" w:ascii="宋体" w:hAnsi="宋体" w:cs="宋体"/>
          <w:b/>
          <w:color w:val="auto"/>
          <w:kern w:val="0"/>
          <w:sz w:val="32"/>
          <w:szCs w:val="32"/>
          <w:highlight w:val="none"/>
          <w:lang w:val="zh-CN"/>
        </w:rPr>
        <w:t>法定代表人、单位负责人</w:t>
      </w:r>
      <w:r>
        <w:rPr>
          <w:rFonts w:hint="eastAsia" w:ascii="宋体" w:hAnsi="宋体" w:cs="宋体"/>
          <w:b/>
          <w:color w:val="auto"/>
          <w:sz w:val="32"/>
          <w:szCs w:val="32"/>
          <w:highlight w:val="none"/>
        </w:rPr>
        <w:t>身份证明（适用于法定代表人、单位负责人代表</w:t>
      </w:r>
      <w:r>
        <w:rPr>
          <w:rFonts w:hint="eastAsia" w:ascii="宋体" w:hAnsi="宋体" w:cs="宋体"/>
          <w:b/>
          <w:color w:val="auto"/>
          <w:sz w:val="32"/>
          <w:szCs w:val="32"/>
          <w:highlight w:val="none"/>
          <w:lang w:eastAsia="zh-CN"/>
        </w:rPr>
        <w:t>供应商</w:t>
      </w:r>
      <w:r>
        <w:rPr>
          <w:rFonts w:hint="eastAsia" w:ascii="宋体" w:hAnsi="宋体" w:cs="宋体"/>
          <w:b/>
          <w:color w:val="auto"/>
          <w:sz w:val="32"/>
          <w:szCs w:val="32"/>
          <w:highlight w:val="none"/>
        </w:rPr>
        <w:t>参加）</w:t>
      </w:r>
    </w:p>
    <w:p w14:paraId="7B976BFB">
      <w:pPr>
        <w:pStyle w:val="20"/>
        <w:keepNext w:val="0"/>
        <w:keepLines w:val="0"/>
        <w:pageBreakBefore w:val="0"/>
        <w:widowControl w:val="0"/>
        <w:kinsoku/>
        <w:wordWrap/>
        <w:overflowPunct/>
        <w:topLinePunct w:val="0"/>
        <w:bidi w:val="0"/>
        <w:spacing w:line="288" w:lineRule="auto"/>
        <w:textAlignment w:val="auto"/>
        <w:rPr>
          <w:rFonts w:hAnsi="宋体" w:cs="宋体"/>
          <w:bCs/>
          <w:color w:val="auto"/>
          <w:sz w:val="24"/>
          <w:highlight w:val="none"/>
        </w:rPr>
      </w:pPr>
      <w:r>
        <w:rPr>
          <w:rFonts w:hint="eastAsia" w:hAnsi="宋体" w:cs="宋体"/>
          <w:bCs/>
          <w:color w:val="auto"/>
          <w:sz w:val="24"/>
          <w:highlight w:val="none"/>
        </w:rPr>
        <w:t>身份证件扫描件：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2"/>
      </w:tblGrid>
      <w:tr w14:paraId="5706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9392" w:type="dxa"/>
          </w:tcPr>
          <w:p w14:paraId="34664E06">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288" w:lineRule="auto"/>
              <w:ind w:left="0" w:right="0"/>
              <w:textAlignment w:val="auto"/>
              <w:rPr>
                <w:rFonts w:hint="default" w:hAnsi="宋体" w:cs="宋体"/>
                <w:bCs/>
                <w:color w:val="auto"/>
                <w:sz w:val="21"/>
                <w:szCs w:val="21"/>
                <w:highlight w:val="none"/>
              </w:rPr>
            </w:pPr>
            <w:r>
              <w:rPr>
                <w:rFonts w:hint="eastAsia" w:hAnsi="宋体" w:cs="宋体"/>
                <w:bCs/>
                <w:color w:val="auto"/>
                <w:sz w:val="21"/>
                <w:szCs w:val="21"/>
                <w:highlight w:val="none"/>
              </w:rPr>
              <w:t>正面：                                 反面：</w:t>
            </w:r>
          </w:p>
        </w:tc>
      </w:tr>
    </w:tbl>
    <w:p w14:paraId="2F0BE01B">
      <w:pPr>
        <w:keepNext w:val="0"/>
        <w:keepLines w:val="0"/>
        <w:pageBreakBefore w:val="0"/>
        <w:widowControl w:val="0"/>
        <w:kinsoku/>
        <w:wordWrap/>
        <w:overflowPunct/>
        <w:topLinePunct w:val="0"/>
        <w:bidi w:val="0"/>
        <w:snapToGrid w:val="0"/>
        <w:spacing w:line="288" w:lineRule="auto"/>
        <w:ind w:firstLine="576"/>
        <w:jc w:val="center"/>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供应商名称(电子签名)：</w:t>
      </w:r>
    </w:p>
    <w:p w14:paraId="4A657504">
      <w:pPr>
        <w:keepNext w:val="0"/>
        <w:keepLines w:val="0"/>
        <w:pageBreakBefore w:val="0"/>
        <w:widowControl w:val="0"/>
        <w:kinsoku/>
        <w:wordWrap/>
        <w:overflowPunct/>
        <w:topLinePunct w:val="0"/>
        <w:bidi w:val="0"/>
        <w:spacing w:line="288" w:lineRule="auto"/>
        <w:jc w:val="center"/>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36F187EA">
      <w:pPr>
        <w:snapToGrid w:val="0"/>
        <w:spacing w:line="360" w:lineRule="auto"/>
        <w:ind w:right="480"/>
        <w:rPr>
          <w:rFonts w:ascii="宋体" w:hAnsi="宋体" w:cs="宋体"/>
          <w:b/>
          <w:color w:val="auto"/>
          <w:kern w:val="0"/>
          <w:sz w:val="32"/>
          <w:szCs w:val="32"/>
          <w:highlight w:val="none"/>
        </w:rPr>
        <w:sectPr>
          <w:headerReference r:id="rId4" w:type="first"/>
          <w:footerReference r:id="rId6" w:type="first"/>
          <w:headerReference r:id="rId3" w:type="default"/>
          <w:footerReference r:id="rId5" w:type="default"/>
          <w:pgSz w:w="11906" w:h="16838"/>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217D23F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BCC9D51">
      <w:pPr>
        <w:widowControl/>
        <w:spacing w:line="360" w:lineRule="auto"/>
        <w:ind w:firstLine="105" w:firstLineChars="50"/>
        <w:jc w:val="left"/>
        <w:rPr>
          <w:rFonts w:ascii="宋体" w:hAnsi="宋体" w:cs="宋体"/>
          <w:b/>
          <w:bCs/>
          <w:color w:val="auto"/>
          <w:sz w:val="21"/>
          <w:szCs w:val="21"/>
          <w:highlight w:val="none"/>
        </w:rPr>
      </w:pPr>
      <w:bookmarkStart w:id="15" w:name="_Hlk101169080"/>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成交</w:t>
      </w:r>
      <w:r>
        <w:rPr>
          <w:rFonts w:hint="eastAsia" w:ascii="宋体" w:hAnsi="宋体" w:cs="宋体"/>
          <w:b/>
          <w:bCs/>
          <w:color w:val="auto"/>
          <w:sz w:val="21"/>
          <w:szCs w:val="21"/>
          <w:highlight w:val="none"/>
        </w:rPr>
        <w:t>后以分包方式履行合同的，提供分包意向协议(附件</w:t>
      </w:r>
      <w:r>
        <w:rPr>
          <w:rFonts w:hint="eastAsia" w:ascii="宋体" w:hAnsi="宋体" w:cs="宋体"/>
          <w:b/>
          <w:bCs/>
          <w:color w:val="auto"/>
          <w:sz w:val="21"/>
          <w:szCs w:val="21"/>
          <w:highlight w:val="none"/>
          <w:lang w:val="en-US" w:eastAsia="zh-CN"/>
        </w:rPr>
        <w:t>5</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；采购人不同意分包或者</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lang w:val="en-US" w:eastAsia="zh-CN"/>
        </w:rPr>
        <w:t>成交</w:t>
      </w:r>
      <w:r>
        <w:rPr>
          <w:rFonts w:hint="eastAsia" w:ascii="宋体" w:hAnsi="宋体" w:cs="宋体"/>
          <w:b/>
          <w:bCs/>
          <w:color w:val="auto"/>
          <w:sz w:val="21"/>
          <w:szCs w:val="21"/>
          <w:highlight w:val="none"/>
        </w:rPr>
        <w:t>后不以分包方式履行合同的，则不需要提供。</w:t>
      </w:r>
      <w:r>
        <w:rPr>
          <w:rFonts w:hint="eastAsia" w:ascii="宋体" w:hAnsi="宋体" w:cs="宋体"/>
          <w:b/>
          <w:bCs/>
          <w:color w:val="auto"/>
          <w:sz w:val="21"/>
          <w:szCs w:val="21"/>
          <w:highlight w:val="none"/>
          <w:lang w:eastAsia="zh-CN"/>
        </w:rPr>
        <w:t>）</w:t>
      </w:r>
    </w:p>
    <w:bookmarkEnd w:id="15"/>
    <w:p w14:paraId="4357CB08">
      <w:pPr>
        <w:snapToGrid w:val="0"/>
        <w:spacing w:line="360" w:lineRule="auto"/>
        <w:rPr>
          <w:rFonts w:ascii="宋体" w:hAnsi="宋体" w:cs="宋体"/>
          <w:color w:val="auto"/>
          <w:kern w:val="0"/>
          <w:sz w:val="24"/>
          <w:highlight w:val="none"/>
        </w:rPr>
      </w:pPr>
    </w:p>
    <w:p w14:paraId="54AB659B">
      <w:pPr>
        <w:jc w:val="both"/>
        <w:rPr>
          <w:rFonts w:ascii="宋体" w:hAnsi="宋体" w:cs="宋体"/>
          <w:b/>
          <w:color w:val="auto"/>
          <w:kern w:val="0"/>
          <w:sz w:val="32"/>
          <w:szCs w:val="32"/>
          <w:highlight w:val="none"/>
        </w:rPr>
      </w:pPr>
    </w:p>
    <w:p w14:paraId="2D75A04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A1ACC84">
      <w:pPr>
        <w:keepNext w:val="0"/>
        <w:keepLines w:val="0"/>
        <w:pageBreakBefore w:val="0"/>
        <w:widowControl w:val="0"/>
        <w:kinsoku/>
        <w:wordWrap/>
        <w:overflowPunct/>
        <w:topLinePunct w:val="0"/>
        <w:autoSpaceDE/>
        <w:autoSpaceDN/>
        <w:bidi w:val="0"/>
        <w:adjustRightInd w:val="0"/>
        <w:spacing w:line="288" w:lineRule="auto"/>
        <w:ind w:right="0"/>
        <w:jc w:val="center"/>
        <w:textAlignment w:val="auto"/>
        <w:rPr>
          <w:rFonts w:ascii="宋体" w:hAnsi="宋体" w:cs="宋体"/>
          <w:b/>
          <w:color w:val="auto"/>
          <w:kern w:val="0"/>
          <w:sz w:val="21"/>
          <w:szCs w:val="21"/>
          <w:highlight w:val="none"/>
        </w:rPr>
      </w:pP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5002"/>
        <w:gridCol w:w="2557"/>
        <w:gridCol w:w="1419"/>
      </w:tblGrid>
      <w:tr w14:paraId="6F82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6" w:type="pct"/>
            <w:vAlign w:val="center"/>
          </w:tcPr>
          <w:p w14:paraId="6295FB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2598" w:type="pct"/>
            <w:vAlign w:val="center"/>
          </w:tcPr>
          <w:p w14:paraId="5DF15B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1328" w:type="pct"/>
            <w:vAlign w:val="center"/>
          </w:tcPr>
          <w:p w14:paraId="2BA60D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737" w:type="pct"/>
            <w:vAlign w:val="center"/>
          </w:tcPr>
          <w:p w14:paraId="094F9E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文件中的</w:t>
            </w:r>
          </w:p>
          <w:p w14:paraId="6E5D8D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2AEA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60D04B5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1</w:t>
            </w:r>
          </w:p>
        </w:tc>
        <w:tc>
          <w:tcPr>
            <w:tcW w:w="2598" w:type="pct"/>
            <w:vAlign w:val="center"/>
          </w:tcPr>
          <w:p w14:paraId="753E8B4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文件按照</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文件要求签署、盖章。</w:t>
            </w:r>
          </w:p>
        </w:tc>
        <w:tc>
          <w:tcPr>
            <w:tcW w:w="1328" w:type="pct"/>
            <w:vAlign w:val="center"/>
          </w:tcPr>
          <w:p w14:paraId="7BCD7E9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文件的组成部分</w:t>
            </w:r>
          </w:p>
        </w:tc>
        <w:tc>
          <w:tcPr>
            <w:tcW w:w="737" w:type="pct"/>
            <w:vAlign w:val="center"/>
          </w:tcPr>
          <w:p w14:paraId="18D5BE9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w:t>
            </w:r>
          </w:p>
          <w:p w14:paraId="71C822D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7217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2DFC5BC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2</w:t>
            </w:r>
          </w:p>
        </w:tc>
        <w:tc>
          <w:tcPr>
            <w:tcW w:w="2598" w:type="pct"/>
            <w:vAlign w:val="center"/>
          </w:tcPr>
          <w:p w14:paraId="36C230C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文件中承诺的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有效期不少于</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文件中载明的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w:t>
            </w:r>
          </w:p>
        </w:tc>
        <w:tc>
          <w:tcPr>
            <w:tcW w:w="1328" w:type="pct"/>
            <w:vAlign w:val="center"/>
          </w:tcPr>
          <w:p w14:paraId="5095267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w:t>
            </w:r>
          </w:p>
        </w:tc>
        <w:tc>
          <w:tcPr>
            <w:tcW w:w="737" w:type="pct"/>
            <w:vAlign w:val="center"/>
          </w:tcPr>
          <w:p w14:paraId="2185603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50F7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7B0D502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3</w:t>
            </w:r>
          </w:p>
        </w:tc>
        <w:tc>
          <w:tcPr>
            <w:tcW w:w="2598" w:type="pct"/>
            <w:vAlign w:val="center"/>
          </w:tcPr>
          <w:p w14:paraId="25D8542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文件满足</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文件的其它实质性要求。</w:t>
            </w:r>
          </w:p>
        </w:tc>
        <w:tc>
          <w:tcPr>
            <w:tcW w:w="1328" w:type="pct"/>
            <w:vAlign w:val="center"/>
          </w:tcPr>
          <w:p w14:paraId="1B7EB2B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文件其它实质性要求相应的材料（“▲” 系指实质性要求条款，</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文件无其它实质性要求的，无需提供）</w:t>
            </w:r>
          </w:p>
        </w:tc>
        <w:tc>
          <w:tcPr>
            <w:tcW w:w="737" w:type="pct"/>
            <w:vAlign w:val="center"/>
          </w:tcPr>
          <w:p w14:paraId="2C2485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346592ED">
      <w:pPr>
        <w:keepNext w:val="0"/>
        <w:keepLines w:val="0"/>
        <w:pageBreakBefore w:val="0"/>
        <w:widowControl w:val="0"/>
        <w:kinsoku/>
        <w:wordWrap/>
        <w:overflowPunct/>
        <w:topLinePunct w:val="0"/>
        <w:autoSpaceDE/>
        <w:autoSpaceDN/>
        <w:bidi w:val="0"/>
        <w:adjustRightInd w:val="0"/>
        <w:spacing w:line="288" w:lineRule="auto"/>
        <w:ind w:right="0"/>
        <w:textAlignment w:val="auto"/>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2D5DBB8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F8A1EDA">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color w:val="auto"/>
          <w:highlight w:val="none"/>
        </w:rPr>
      </w:pPr>
      <w:r>
        <w:rPr>
          <w:rFonts w:hint="eastAsia" w:ascii="宋体" w:hAnsi="宋体" w:cs="宋体"/>
          <w:b/>
          <w:color w:val="auto"/>
          <w:kern w:val="0"/>
          <w:sz w:val="32"/>
          <w:szCs w:val="32"/>
          <w:highlight w:val="none"/>
        </w:rPr>
        <w:t>五、评</w:t>
      </w:r>
      <w:r>
        <w:rPr>
          <w:rFonts w:hint="eastAsia" w:ascii="宋体" w:hAnsi="宋体" w:cs="宋体"/>
          <w:b/>
          <w:color w:val="auto"/>
          <w:kern w:val="0"/>
          <w:sz w:val="32"/>
          <w:szCs w:val="32"/>
          <w:highlight w:val="none"/>
          <w:lang w:val="en-US" w:eastAsia="zh-CN"/>
        </w:rPr>
        <w:t>审</w:t>
      </w:r>
      <w:r>
        <w:rPr>
          <w:rFonts w:hint="eastAsia" w:ascii="宋体" w:hAnsi="宋体" w:cs="宋体"/>
          <w:b/>
          <w:color w:val="auto"/>
          <w:kern w:val="0"/>
          <w:sz w:val="32"/>
          <w:szCs w:val="32"/>
          <w:highlight w:val="none"/>
        </w:rPr>
        <w:t>标准相应的商务技术资料</w:t>
      </w:r>
    </w:p>
    <w:p w14:paraId="2593048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（按</w:t>
      </w:r>
      <w:r>
        <w:rPr>
          <w:rFonts w:hint="eastAsia" w:ascii="宋体" w:hAnsi="宋体" w:cs="宋体"/>
          <w:b/>
          <w:color w:val="auto"/>
          <w:sz w:val="21"/>
          <w:szCs w:val="21"/>
          <w:highlight w:val="none"/>
          <w:lang w:eastAsia="zh-CN"/>
        </w:rPr>
        <w:t>采购</w:t>
      </w:r>
      <w:r>
        <w:rPr>
          <w:rFonts w:hint="eastAsia" w:ascii="宋体" w:hAnsi="宋体" w:cs="宋体"/>
          <w:b/>
          <w:color w:val="auto"/>
          <w:sz w:val="21"/>
          <w:szCs w:val="21"/>
          <w:highlight w:val="none"/>
        </w:rPr>
        <w:t>文件第四部分评</w:t>
      </w:r>
      <w:r>
        <w:rPr>
          <w:rFonts w:hint="eastAsia" w:ascii="宋体" w:hAnsi="宋体" w:cs="宋体"/>
          <w:b/>
          <w:color w:val="auto"/>
          <w:sz w:val="21"/>
          <w:szCs w:val="21"/>
          <w:highlight w:val="none"/>
          <w:lang w:eastAsia="zh-CN"/>
        </w:rPr>
        <w:t>审</w:t>
      </w:r>
      <w:r>
        <w:rPr>
          <w:rFonts w:hint="eastAsia" w:ascii="宋体" w:hAnsi="宋体" w:cs="宋体"/>
          <w:b/>
          <w:color w:val="auto"/>
          <w:sz w:val="21"/>
          <w:szCs w:val="21"/>
          <w:highlight w:val="none"/>
        </w:rPr>
        <w:t>办法前附表中“</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文件中评</w:t>
      </w:r>
      <w:r>
        <w:rPr>
          <w:rFonts w:hint="eastAsia" w:ascii="宋体" w:hAnsi="宋体" w:cs="宋体"/>
          <w:b/>
          <w:color w:val="auto"/>
          <w:sz w:val="21"/>
          <w:szCs w:val="21"/>
          <w:highlight w:val="none"/>
          <w:lang w:eastAsia="zh-CN"/>
        </w:rPr>
        <w:t>审</w:t>
      </w:r>
      <w:r>
        <w:rPr>
          <w:rFonts w:hint="eastAsia" w:ascii="宋体" w:hAnsi="宋体" w:cs="宋体"/>
          <w:b/>
          <w:color w:val="auto"/>
          <w:sz w:val="21"/>
          <w:szCs w:val="21"/>
          <w:highlight w:val="none"/>
        </w:rPr>
        <w:t>标准相应的商务技术资料目录”提供资料。）</w:t>
      </w:r>
    </w:p>
    <w:p w14:paraId="5CBE6F08">
      <w:pPr>
        <w:jc w:val="center"/>
        <w:rPr>
          <w:rFonts w:ascii="宋体" w:hAnsi="宋体" w:cs="宋体"/>
          <w:b/>
          <w:color w:val="auto"/>
          <w:kern w:val="0"/>
          <w:sz w:val="32"/>
          <w:szCs w:val="32"/>
          <w:highlight w:val="none"/>
        </w:rPr>
      </w:pPr>
    </w:p>
    <w:p w14:paraId="401D332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w:t>
      </w:r>
      <w:r>
        <w:rPr>
          <w:rFonts w:hint="eastAsia" w:ascii="宋体" w:hAnsi="宋体" w:cs="宋体"/>
          <w:b/>
          <w:color w:val="auto"/>
          <w:kern w:val="0"/>
          <w:sz w:val="32"/>
          <w:szCs w:val="32"/>
          <w:highlight w:val="none"/>
          <w:lang w:eastAsia="zh-CN"/>
        </w:rPr>
        <w:t>响应</w:t>
      </w:r>
      <w:r>
        <w:rPr>
          <w:rFonts w:hint="eastAsia" w:ascii="宋体" w:hAnsi="宋体" w:cs="宋体"/>
          <w:b/>
          <w:color w:val="auto"/>
          <w:kern w:val="0"/>
          <w:sz w:val="32"/>
          <w:szCs w:val="32"/>
          <w:highlight w:val="none"/>
        </w:rPr>
        <w:t>标的清单</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059"/>
        <w:gridCol w:w="1615"/>
        <w:gridCol w:w="1357"/>
        <w:gridCol w:w="2994"/>
        <w:gridCol w:w="1804"/>
      </w:tblGrid>
      <w:tr w14:paraId="4A27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47C3E7E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550" w:type="pct"/>
            <w:tcBorders>
              <w:top w:val="single" w:color="auto" w:sz="4" w:space="0"/>
              <w:left w:val="single" w:color="auto" w:sz="4" w:space="0"/>
              <w:bottom w:val="single" w:color="auto" w:sz="4" w:space="0"/>
              <w:right w:val="single" w:color="auto" w:sz="4" w:space="0"/>
            </w:tcBorders>
            <w:vAlign w:val="center"/>
          </w:tcPr>
          <w:p w14:paraId="0EE50C5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839" w:type="pct"/>
            <w:tcBorders>
              <w:top w:val="single" w:color="auto" w:sz="4" w:space="0"/>
              <w:left w:val="single" w:color="auto" w:sz="4" w:space="0"/>
              <w:bottom w:val="single" w:color="auto" w:sz="4" w:space="0"/>
              <w:right w:val="single" w:color="auto" w:sz="4" w:space="0"/>
            </w:tcBorders>
            <w:vAlign w:val="center"/>
          </w:tcPr>
          <w:p w14:paraId="2BCD443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14:paraId="209FD04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规格型号</w:t>
            </w:r>
          </w:p>
        </w:tc>
        <w:tc>
          <w:tcPr>
            <w:tcW w:w="1555" w:type="pct"/>
            <w:tcBorders>
              <w:top w:val="single" w:color="auto" w:sz="4" w:space="0"/>
              <w:left w:val="single" w:color="auto" w:sz="4" w:space="0"/>
              <w:bottom w:val="single" w:color="auto" w:sz="4" w:space="0"/>
              <w:right w:val="single" w:color="auto" w:sz="4" w:space="0"/>
            </w:tcBorders>
            <w:vAlign w:val="center"/>
          </w:tcPr>
          <w:p w14:paraId="1623D2F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937" w:type="pct"/>
            <w:tcBorders>
              <w:top w:val="single" w:color="auto" w:sz="4" w:space="0"/>
              <w:left w:val="single" w:color="auto" w:sz="4" w:space="0"/>
              <w:bottom w:val="single" w:color="auto" w:sz="4" w:space="0"/>
              <w:right w:val="single" w:color="auto" w:sz="4" w:space="0"/>
            </w:tcBorders>
            <w:vAlign w:val="center"/>
          </w:tcPr>
          <w:p w14:paraId="0DAFE7A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3D9C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3B4249A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1</w:t>
            </w:r>
          </w:p>
        </w:tc>
        <w:tc>
          <w:tcPr>
            <w:tcW w:w="550" w:type="pct"/>
            <w:tcBorders>
              <w:top w:val="single" w:color="auto" w:sz="4" w:space="0"/>
              <w:left w:val="single" w:color="auto" w:sz="4" w:space="0"/>
              <w:bottom w:val="single" w:color="auto" w:sz="4" w:space="0"/>
              <w:right w:val="single" w:color="auto" w:sz="4" w:space="0"/>
            </w:tcBorders>
            <w:vAlign w:val="center"/>
          </w:tcPr>
          <w:p w14:paraId="499EC3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3B7DB0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5ECE3B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1555" w:type="pct"/>
            <w:tcBorders>
              <w:top w:val="single" w:color="auto" w:sz="4" w:space="0"/>
              <w:left w:val="single" w:color="auto" w:sz="4" w:space="0"/>
              <w:bottom w:val="single" w:color="auto" w:sz="4" w:space="0"/>
              <w:right w:val="single" w:color="auto" w:sz="4" w:space="0"/>
            </w:tcBorders>
            <w:vAlign w:val="center"/>
          </w:tcPr>
          <w:p w14:paraId="0E29187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3EF05DA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r>
      <w:tr w14:paraId="4229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12C11B3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2</w:t>
            </w:r>
          </w:p>
        </w:tc>
        <w:tc>
          <w:tcPr>
            <w:tcW w:w="550" w:type="pct"/>
            <w:tcBorders>
              <w:top w:val="single" w:color="auto" w:sz="4" w:space="0"/>
              <w:left w:val="single" w:color="auto" w:sz="4" w:space="0"/>
              <w:bottom w:val="single" w:color="auto" w:sz="4" w:space="0"/>
              <w:right w:val="single" w:color="auto" w:sz="4" w:space="0"/>
            </w:tcBorders>
            <w:vAlign w:val="center"/>
          </w:tcPr>
          <w:p w14:paraId="3ED9EC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48ED9E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20D41F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1555" w:type="pct"/>
            <w:tcBorders>
              <w:top w:val="single" w:color="auto" w:sz="4" w:space="0"/>
              <w:left w:val="single" w:color="auto" w:sz="4" w:space="0"/>
              <w:bottom w:val="single" w:color="auto" w:sz="4" w:space="0"/>
              <w:right w:val="single" w:color="auto" w:sz="4" w:space="0"/>
            </w:tcBorders>
            <w:vAlign w:val="center"/>
          </w:tcPr>
          <w:p w14:paraId="3828EC4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5A59BD9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r>
      <w:tr w14:paraId="4D32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084E0BE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w:t>
            </w:r>
          </w:p>
        </w:tc>
        <w:tc>
          <w:tcPr>
            <w:tcW w:w="550" w:type="pct"/>
            <w:tcBorders>
              <w:top w:val="single" w:color="auto" w:sz="4" w:space="0"/>
              <w:left w:val="single" w:color="auto" w:sz="4" w:space="0"/>
              <w:bottom w:val="single" w:color="auto" w:sz="4" w:space="0"/>
              <w:right w:val="single" w:color="auto" w:sz="4" w:space="0"/>
            </w:tcBorders>
            <w:vAlign w:val="center"/>
          </w:tcPr>
          <w:p w14:paraId="5E9A8A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2E610D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7E5327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1555" w:type="pct"/>
            <w:tcBorders>
              <w:top w:val="single" w:color="auto" w:sz="4" w:space="0"/>
              <w:left w:val="single" w:color="auto" w:sz="4" w:space="0"/>
              <w:bottom w:val="single" w:color="auto" w:sz="4" w:space="0"/>
              <w:right w:val="single" w:color="auto" w:sz="4" w:space="0"/>
            </w:tcBorders>
            <w:vAlign w:val="center"/>
          </w:tcPr>
          <w:p w14:paraId="2F3342A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055497C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r>
    </w:tbl>
    <w:p w14:paraId="600200A0">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6154E7F7">
      <w:pPr>
        <w:jc w:val="center"/>
        <w:rPr>
          <w:rFonts w:ascii="宋体" w:hAnsi="宋体" w:cs="宋体"/>
          <w:b/>
          <w:color w:val="auto"/>
          <w:kern w:val="0"/>
          <w:sz w:val="32"/>
          <w:szCs w:val="32"/>
          <w:highlight w:val="none"/>
        </w:rPr>
      </w:pPr>
    </w:p>
    <w:p w14:paraId="37829C64">
      <w:pPr>
        <w:jc w:val="center"/>
        <w:rPr>
          <w:rFonts w:ascii="宋体" w:hAnsi="宋体" w:cs="宋体"/>
          <w:b/>
          <w:color w:val="auto"/>
          <w:kern w:val="0"/>
          <w:sz w:val="32"/>
          <w:szCs w:val="32"/>
          <w:highlight w:val="none"/>
        </w:rPr>
      </w:pPr>
    </w:p>
    <w:p w14:paraId="04DC45E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D4A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C9A118">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683" w:type="dxa"/>
          </w:tcPr>
          <w:p w14:paraId="5CC95AF8">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文件章节及具体内容</w:t>
            </w:r>
          </w:p>
        </w:tc>
        <w:tc>
          <w:tcPr>
            <w:tcW w:w="3546" w:type="dxa"/>
          </w:tcPr>
          <w:p w14:paraId="25D4A586">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eastAsia="zh-CN"/>
              </w:rPr>
              <w:t>响应</w:t>
            </w:r>
            <w:r>
              <w:rPr>
                <w:rFonts w:hint="eastAsia" w:ascii="宋体" w:hAnsi="宋体" w:cs="宋体"/>
                <w:b/>
                <w:bCs/>
                <w:color w:val="auto"/>
                <w:sz w:val="21"/>
                <w:szCs w:val="21"/>
                <w:highlight w:val="none"/>
              </w:rPr>
              <w:t>文件章节及具体内容</w:t>
            </w:r>
          </w:p>
        </w:tc>
        <w:tc>
          <w:tcPr>
            <w:tcW w:w="1276" w:type="dxa"/>
          </w:tcPr>
          <w:p w14:paraId="74AA413C">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2DB5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05F894">
            <w:pPr>
              <w:keepNext w:val="0"/>
              <w:keepLines w:val="0"/>
              <w:suppressLineNumbers w:val="0"/>
              <w:spacing w:before="0" w:beforeAutospacing="0" w:after="0" w:afterAutospacing="0"/>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683" w:type="dxa"/>
          </w:tcPr>
          <w:p w14:paraId="5E5E2EA2">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3546" w:type="dxa"/>
          </w:tcPr>
          <w:p w14:paraId="0150CEBF">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1276" w:type="dxa"/>
          </w:tcPr>
          <w:p w14:paraId="592326AF">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r>
      <w:tr w14:paraId="3907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6D1153">
            <w:pPr>
              <w:keepNext w:val="0"/>
              <w:keepLines w:val="0"/>
              <w:suppressLineNumbers w:val="0"/>
              <w:spacing w:before="0" w:beforeAutospacing="0" w:after="0" w:afterAutospacing="0"/>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683" w:type="dxa"/>
          </w:tcPr>
          <w:p w14:paraId="74C93C40">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3546" w:type="dxa"/>
          </w:tcPr>
          <w:p w14:paraId="22736192">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1276" w:type="dxa"/>
          </w:tcPr>
          <w:p w14:paraId="11BDFBCD">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r>
      <w:tr w14:paraId="2C97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216C68">
            <w:pPr>
              <w:keepNext w:val="0"/>
              <w:keepLines w:val="0"/>
              <w:suppressLineNumbers w:val="0"/>
              <w:spacing w:before="0" w:beforeAutospacing="0" w:after="0" w:afterAutospacing="0"/>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3683" w:type="dxa"/>
          </w:tcPr>
          <w:p w14:paraId="2A87F980">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3546" w:type="dxa"/>
          </w:tcPr>
          <w:p w14:paraId="0E41F2E1">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1276" w:type="dxa"/>
          </w:tcPr>
          <w:p w14:paraId="661E1609">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r>
    </w:tbl>
    <w:p w14:paraId="3EA903E8">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保证：除商务技术偏离表列出的偏离外，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文件的全部要求</w:t>
      </w:r>
    </w:p>
    <w:p w14:paraId="52C4511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kern w:val="0"/>
          <w:sz w:val="21"/>
          <w:szCs w:val="21"/>
          <w:highlight w:val="none"/>
        </w:rPr>
      </w:pPr>
    </w:p>
    <w:p w14:paraId="5D175A2A">
      <w:pPr>
        <w:keepNext w:val="0"/>
        <w:keepLines w:val="0"/>
        <w:pageBreakBefore w:val="0"/>
        <w:widowControl w:val="0"/>
        <w:kinsoku/>
        <w:wordWrap/>
        <w:overflowPunct/>
        <w:topLinePunct w:val="0"/>
        <w:autoSpaceDE/>
        <w:autoSpaceDN/>
        <w:bidi w:val="0"/>
        <w:adjustRightInd w:val="0"/>
        <w:snapToGrid/>
        <w:spacing w:line="288"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961A83B">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B75EB78">
      <w:pPr>
        <w:keepNext w:val="0"/>
        <w:keepLines w:val="0"/>
        <w:pageBreakBefore w:val="0"/>
        <w:widowControl w:val="0"/>
        <w:kinsoku/>
        <w:wordWrap/>
        <w:overflowPunct/>
        <w:topLinePunct w:val="0"/>
        <w:bidi w:val="0"/>
        <w:adjustRightInd w:val="0"/>
        <w:spacing w:line="288" w:lineRule="auto"/>
        <w:ind w:left="0" w:leftChars="0" w:right="0"/>
        <w:jc w:val="center"/>
        <w:textAlignment w:val="auto"/>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3FA55448">
      <w:pPr>
        <w:keepNext w:val="0"/>
        <w:keepLines w:val="0"/>
        <w:pageBreakBefore w:val="0"/>
        <w:widowControl w:val="0"/>
        <w:kinsoku/>
        <w:wordWrap/>
        <w:overflowPunct/>
        <w:topLinePunct w:val="0"/>
        <w:bidi w:val="0"/>
        <w:adjustRightInd w:val="0"/>
        <w:snapToGrid w:val="0"/>
        <w:spacing w:line="288" w:lineRule="auto"/>
        <w:ind w:left="0" w:leftChars="0" w:right="0"/>
        <w:textAlignment w:val="auto"/>
        <w:rPr>
          <w:rFonts w:ascii="宋体" w:hAnsi="宋体" w:cs="宋体"/>
          <w:color w:val="auto"/>
          <w:sz w:val="24"/>
          <w:highlight w:val="none"/>
        </w:rPr>
      </w:pPr>
    </w:p>
    <w:p w14:paraId="789A8F69">
      <w:pPr>
        <w:keepNext w:val="0"/>
        <w:keepLines w:val="0"/>
        <w:pageBreakBefore w:val="0"/>
        <w:widowControl w:val="0"/>
        <w:kinsoku/>
        <w:wordWrap/>
        <w:overflowPunct/>
        <w:topLinePunct w:val="0"/>
        <w:bidi w:val="0"/>
        <w:adjustRightInd w:val="0"/>
        <w:snapToGrid w:val="0"/>
        <w:spacing w:line="288" w:lineRule="auto"/>
        <w:ind w:left="0" w:leftChars="0" w:right="0"/>
        <w:textAlignment w:val="auto"/>
        <w:rPr>
          <w:rFonts w:hint="eastAsia" w:ascii="宋体" w:hAnsi="宋体" w:cs="宋体"/>
          <w:color w:val="auto"/>
          <w:kern w:val="2"/>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2"/>
          <w:sz w:val="21"/>
          <w:szCs w:val="21"/>
          <w:highlight w:val="none"/>
          <w:lang w:val="zh-CN"/>
        </w:rPr>
        <w:t>：</w:t>
      </w:r>
    </w:p>
    <w:p w14:paraId="3B5D3DCB">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项目采购要求。在这次响应过程中和</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lang w:val="zh-CN"/>
        </w:rPr>
        <w:t>后，我们将严格遵守国家法律法规要求，并郑重承诺：</w:t>
      </w:r>
    </w:p>
    <w:p w14:paraId="51626F42">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一、不向项目有关人员及部门赠送礼金礼物、有价证券、回扣以及中介费、介绍费、咨询费等好处费；</w:t>
      </w:r>
    </w:p>
    <w:p w14:paraId="77146CBC">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684555E7">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1616597B">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3BE37742">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w:t>
      </w:r>
    </w:p>
    <w:p w14:paraId="52DA6342">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好处；</w:t>
      </w:r>
    </w:p>
    <w:p w14:paraId="01164B7A">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六、严格遵守法律法规，诚实守信，合法经营，坚决抵制各种违法违纪行为。 </w:t>
      </w:r>
    </w:p>
    <w:p w14:paraId="29CB60EA">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有权立即取消我单位响应、</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lang w:val="zh-CN"/>
        </w:rPr>
        <w:t>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14:paraId="63B23A09">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2E67171C">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4B85AC91">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76133E74">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3990" w:firstLineChars="19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w:t>
      </w:r>
    </w:p>
    <w:p w14:paraId="1DEF263F">
      <w:pPr>
        <w:keepNext w:val="0"/>
        <w:keepLines w:val="0"/>
        <w:pageBreakBefore w:val="0"/>
        <w:widowControl w:val="0"/>
        <w:kinsoku/>
        <w:wordWrap/>
        <w:overflowPunct/>
        <w:topLinePunct w:val="0"/>
        <w:bidi w:val="0"/>
        <w:adjustRightInd w:val="0"/>
        <w:spacing w:line="288" w:lineRule="auto"/>
        <w:ind w:left="0" w:leftChars="0" w:right="0" w:firstLine="3990" w:firstLineChars="19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77385B52">
      <w:pPr>
        <w:keepNext w:val="0"/>
        <w:keepLines w:val="0"/>
        <w:pageBreakBefore w:val="0"/>
        <w:widowControl w:val="0"/>
        <w:kinsoku/>
        <w:wordWrap/>
        <w:overflowPunct/>
        <w:topLinePunct w:val="0"/>
        <w:bidi w:val="0"/>
        <w:adjustRightInd w:val="0"/>
        <w:spacing w:line="288" w:lineRule="auto"/>
        <w:ind w:left="0" w:leftChars="0" w:right="0"/>
        <w:jc w:val="center"/>
        <w:textAlignment w:val="auto"/>
        <w:rPr>
          <w:rFonts w:ascii="宋体" w:hAnsi="宋体" w:cs="宋体"/>
          <w:b/>
          <w:bCs/>
          <w:color w:val="auto"/>
          <w:sz w:val="21"/>
          <w:szCs w:val="21"/>
          <w:highlight w:val="none"/>
        </w:rPr>
      </w:pPr>
    </w:p>
    <w:p w14:paraId="7AA8CD00">
      <w:pPr>
        <w:keepNext w:val="0"/>
        <w:keepLines w:val="0"/>
        <w:pageBreakBefore w:val="0"/>
        <w:widowControl w:val="0"/>
        <w:kinsoku/>
        <w:wordWrap/>
        <w:overflowPunct/>
        <w:topLinePunct w:val="0"/>
        <w:bidi w:val="0"/>
        <w:adjustRightInd w:val="0"/>
        <w:spacing w:line="288" w:lineRule="auto"/>
        <w:ind w:left="0" w:leftChars="0" w:right="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469B57E7">
      <w:pPr>
        <w:spacing w:line="360" w:lineRule="auto"/>
        <w:jc w:val="center"/>
        <w:rPr>
          <w:rFonts w:ascii="宋体" w:hAnsi="宋体" w:cs="宋体"/>
          <w:b/>
          <w:bCs/>
          <w:color w:val="auto"/>
          <w:sz w:val="24"/>
          <w:highlight w:val="none"/>
        </w:rPr>
      </w:pPr>
    </w:p>
    <w:p w14:paraId="36D740D5">
      <w:pPr>
        <w:pStyle w:val="2"/>
        <w:rPr>
          <w:color w:val="auto"/>
          <w:highlight w:val="none"/>
        </w:rPr>
        <w:sectPr>
          <w:headerReference r:id="rId8" w:type="first"/>
          <w:footerReference r:id="rId10" w:type="first"/>
          <w:headerReference r:id="rId7" w:type="default"/>
          <w:footerReference r:id="rId9" w:type="default"/>
          <w:pgSz w:w="11906" w:h="16838"/>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48DFB32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8E2EB4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2868C77">
      <w:pPr>
        <w:spacing w:line="360" w:lineRule="auto"/>
        <w:jc w:val="center"/>
        <w:outlineLvl w:val="0"/>
        <w:rPr>
          <w:rFonts w:ascii="宋体" w:hAnsi="宋体" w:cs="宋体"/>
          <w:b/>
          <w:strike w:val="0"/>
          <w:color w:val="auto"/>
          <w:kern w:val="0"/>
          <w:sz w:val="36"/>
          <w:szCs w:val="36"/>
          <w:highlight w:val="none"/>
        </w:rPr>
      </w:pPr>
    </w:p>
    <w:p w14:paraId="31EA709E">
      <w:pPr>
        <w:numPr>
          <w:ilvl w:val="0"/>
          <w:numId w:val="0"/>
        </w:numPr>
        <w:snapToGrid w:val="0"/>
        <w:spacing w:line="360" w:lineRule="auto"/>
        <w:rPr>
          <w:rFonts w:hint="eastAsia" w:ascii="宋体" w:hAnsi="宋体" w:cs="宋体"/>
          <w:color w:val="auto"/>
          <w:sz w:val="21"/>
          <w:szCs w:val="21"/>
          <w:highlight w:val="none"/>
        </w:rPr>
      </w:pP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1</w:t>
      </w: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rPr>
        <w:t>开标一览表</w:t>
      </w:r>
      <w:r>
        <w:rPr>
          <w:rFonts w:hint="eastAsia" w:ascii="宋体" w:hAnsi="宋体" w:cs="宋体"/>
          <w:color w:val="auto"/>
          <w:sz w:val="21"/>
          <w:szCs w:val="21"/>
          <w:highlight w:val="none"/>
        </w:rPr>
        <w:t>（报价表）………………………………………………………………………（页码）</w:t>
      </w:r>
    </w:p>
    <w:p w14:paraId="7D6A1D34">
      <w:pPr>
        <w:snapToGrid w:val="0"/>
        <w:spacing w:line="360" w:lineRule="auto"/>
        <w:rPr>
          <w:strike/>
          <w:color w:val="auto"/>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w:t>
      </w:r>
      <w:r>
        <w:rPr>
          <w:rFonts w:hint="eastAsia" w:hAnsi="仿宋_GB2312" w:cs="仿宋_GB2312"/>
          <w:b w:val="0"/>
          <w:bCs/>
          <w:snapToGrid w:val="0"/>
          <w:color w:val="auto"/>
          <w:kern w:val="2"/>
          <w:sz w:val="21"/>
          <w:szCs w:val="21"/>
          <w:highlight w:val="none"/>
          <w:lang w:val="en-US" w:eastAsia="zh-CN" w:bidi="ar-SA"/>
        </w:rPr>
        <w:t>报价情况说明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（页码）</w:t>
      </w:r>
    </w:p>
    <w:p w14:paraId="2062F9BD">
      <w:pPr>
        <w:snapToGrid w:val="0"/>
        <w:spacing w:line="360" w:lineRule="auto"/>
        <w:ind w:right="480"/>
        <w:jc w:val="center"/>
        <w:rPr>
          <w:rFonts w:ascii="宋体" w:hAnsi="宋体" w:cs="宋体"/>
          <w:b/>
          <w:color w:val="auto"/>
          <w:kern w:val="0"/>
          <w:sz w:val="32"/>
          <w:szCs w:val="32"/>
          <w:highlight w:val="none"/>
        </w:rPr>
      </w:pPr>
    </w:p>
    <w:p w14:paraId="5A52A9D3">
      <w:pPr>
        <w:pStyle w:val="2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08085AA8">
      <w:pPr>
        <w:pStyle w:val="2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strike w:val="0"/>
          <w:dstrike w:val="0"/>
          <w:color w:val="auto"/>
          <w:kern w:val="2"/>
          <w:sz w:val="32"/>
          <w:szCs w:val="32"/>
          <w:highlight w:val="none"/>
        </w:rPr>
        <w:t>开标一览表</w:t>
      </w:r>
      <w:r>
        <w:rPr>
          <w:rFonts w:hint="eastAsia" w:ascii="宋体" w:hAnsi="宋体" w:eastAsia="宋体" w:cs="宋体"/>
          <w:color w:val="auto"/>
          <w:kern w:val="2"/>
          <w:sz w:val="32"/>
          <w:szCs w:val="32"/>
          <w:highlight w:val="none"/>
        </w:rPr>
        <w:t>（报价表）</w:t>
      </w:r>
    </w:p>
    <w:p w14:paraId="4B3F76A1">
      <w:pPr>
        <w:keepNext w:val="0"/>
        <w:keepLines w:val="0"/>
        <w:pageBreakBefore w:val="0"/>
        <w:widowControl w:val="0"/>
        <w:kinsoku/>
        <w:wordWrap/>
        <w:overflowPunct/>
        <w:topLinePunct w:val="0"/>
        <w:autoSpaceDE/>
        <w:autoSpaceDN/>
        <w:bidi w:val="0"/>
        <w:adjustRightInd w:val="0"/>
        <w:snapToGrid w:val="0"/>
        <w:spacing w:line="288" w:lineRule="auto"/>
        <w:ind w:left="0" w:leftChars="0"/>
        <w:textAlignment w:val="auto"/>
        <w:rPr>
          <w:rFonts w:hint="eastAsia" w:ascii="宋体" w:hAnsi="宋体" w:eastAsia="宋体" w:cs="宋体"/>
          <w:color w:val="auto"/>
          <w:kern w:val="2"/>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浙江求是招标代理有限公司</w:t>
      </w:r>
      <w:r>
        <w:rPr>
          <w:rFonts w:hint="eastAsia" w:ascii="宋体" w:hAnsi="宋体" w:eastAsia="宋体" w:cs="宋体"/>
          <w:color w:val="auto"/>
          <w:kern w:val="2"/>
          <w:sz w:val="21"/>
          <w:szCs w:val="21"/>
          <w:highlight w:val="none"/>
          <w:lang w:val="zh-CN"/>
        </w:rPr>
        <w:t>：</w:t>
      </w:r>
    </w:p>
    <w:p w14:paraId="1BBD630A">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2"/>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按你方采购文件要求，我们，本响应文件签字方，谨此向你方发出要约如下：如你方接受本响应，我方承诺按照如下</w:t>
      </w:r>
      <w:r>
        <w:rPr>
          <w:rFonts w:hint="eastAsia" w:ascii="宋体" w:hAnsi="宋体" w:eastAsia="宋体" w:cs="宋体"/>
          <w:strike w:val="0"/>
          <w:dstrike w:val="0"/>
          <w:color w:val="auto"/>
          <w:kern w:val="0"/>
          <w:sz w:val="21"/>
          <w:szCs w:val="21"/>
          <w:highlight w:val="none"/>
          <w:u w:val="single"/>
          <w:lang w:val="zh-CN"/>
        </w:rPr>
        <w:t>开标一览表</w:t>
      </w:r>
      <w:r>
        <w:rPr>
          <w:rFonts w:hint="eastAsia" w:ascii="宋体" w:hAnsi="宋体" w:eastAsia="宋体" w:cs="宋体"/>
          <w:color w:val="auto"/>
          <w:kern w:val="0"/>
          <w:sz w:val="21"/>
          <w:szCs w:val="21"/>
          <w:highlight w:val="none"/>
          <w:lang w:val="zh-CN"/>
        </w:rPr>
        <w:t>（报价表）的价格完成</w:t>
      </w:r>
      <w:r>
        <w:rPr>
          <w:rFonts w:hint="eastAsia" w:ascii="宋体" w:hAnsi="宋体" w:cs="宋体"/>
          <w:color w:val="auto"/>
          <w:sz w:val="21"/>
          <w:szCs w:val="21"/>
          <w:highlight w:val="none"/>
          <w:lang w:eastAsia="zh-CN"/>
        </w:rPr>
        <w:t>2025年拱墅区部分校园广播系统改造采购</w:t>
      </w:r>
      <w:r>
        <w:rPr>
          <w:rFonts w:hint="eastAsia" w:ascii="宋体" w:hAnsi="宋体" w:eastAsia="宋体" w:cs="宋体"/>
          <w:color w:val="auto"/>
          <w:kern w:val="0"/>
          <w:sz w:val="21"/>
          <w:szCs w:val="21"/>
          <w:highlight w:val="none"/>
          <w:lang w:val="zh-CN"/>
        </w:rPr>
        <w:t>【采购编号：</w:t>
      </w:r>
      <w:r>
        <w:rPr>
          <w:rFonts w:hint="eastAsia" w:ascii="宋体" w:hAnsi="宋体" w:cs="宋体"/>
          <w:color w:val="auto"/>
          <w:sz w:val="21"/>
          <w:szCs w:val="21"/>
          <w:highlight w:val="none"/>
          <w:lang w:eastAsia="zh-CN"/>
        </w:rPr>
        <w:t>QSZBB250044FHQT</w:t>
      </w:r>
      <w:r>
        <w:rPr>
          <w:rFonts w:hint="eastAsia" w:ascii="宋体" w:hAnsi="宋体" w:eastAsia="宋体" w:cs="宋体"/>
          <w:color w:val="auto"/>
          <w:sz w:val="21"/>
          <w:szCs w:val="21"/>
          <w:highlight w:val="none"/>
        </w:rPr>
        <w:t>】的实施</w:t>
      </w:r>
      <w:r>
        <w:rPr>
          <w:rFonts w:hint="eastAsia" w:ascii="宋体" w:hAnsi="宋体" w:eastAsia="宋体" w:cs="宋体"/>
          <w:color w:val="auto"/>
          <w:kern w:val="0"/>
          <w:sz w:val="21"/>
          <w:szCs w:val="21"/>
          <w:highlight w:val="none"/>
          <w:lang w:val="zh-CN"/>
        </w:rPr>
        <w:t>。</w:t>
      </w:r>
    </w:p>
    <w:p w14:paraId="7F9823D7">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strike w:val="0"/>
          <w:dstrike w:val="0"/>
          <w:color w:val="auto"/>
          <w:kern w:val="0"/>
          <w:sz w:val="21"/>
          <w:szCs w:val="21"/>
          <w:highlight w:val="none"/>
          <w:lang w:val="zh-CN"/>
        </w:rPr>
        <w:t>开标一览表</w:t>
      </w:r>
      <w:r>
        <w:rPr>
          <w:rFonts w:hint="eastAsia" w:ascii="宋体" w:hAnsi="宋体" w:eastAsia="宋体" w:cs="宋体"/>
          <w:b/>
          <w:color w:val="auto"/>
          <w:kern w:val="0"/>
          <w:sz w:val="21"/>
          <w:szCs w:val="21"/>
          <w:highlight w:val="none"/>
          <w:lang w:val="zh-CN"/>
        </w:rPr>
        <w:t>（报价表）(单位均为人民币元)</w:t>
      </w:r>
    </w:p>
    <w:tbl>
      <w:tblPr>
        <w:tblStyle w:val="1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34F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BAD9FC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17" w:type="dxa"/>
            <w:vAlign w:val="center"/>
          </w:tcPr>
          <w:p w14:paraId="6C571EE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843" w:type="dxa"/>
          </w:tcPr>
          <w:p w14:paraId="6AAE099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p>
          <w:p w14:paraId="36BCD04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品牌（如果有）</w:t>
            </w:r>
          </w:p>
        </w:tc>
        <w:tc>
          <w:tcPr>
            <w:tcW w:w="3118" w:type="dxa"/>
            <w:vAlign w:val="center"/>
          </w:tcPr>
          <w:p w14:paraId="15248DC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993" w:type="dxa"/>
            <w:vAlign w:val="center"/>
          </w:tcPr>
          <w:p w14:paraId="12CD7E9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559" w:type="dxa"/>
            <w:vAlign w:val="center"/>
          </w:tcPr>
          <w:p w14:paraId="7D22F45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1984" w:type="dxa"/>
            <w:vAlign w:val="center"/>
          </w:tcPr>
          <w:p w14:paraId="2731F80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c>
          <w:tcPr>
            <w:tcW w:w="3119" w:type="dxa"/>
            <w:vAlign w:val="center"/>
          </w:tcPr>
          <w:p w14:paraId="62518BD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p>
          <w:p w14:paraId="33C22E2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备注（如果有）</w:t>
            </w:r>
          </w:p>
          <w:p w14:paraId="3EEF9CA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p>
        </w:tc>
      </w:tr>
      <w:tr w14:paraId="5F61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42C998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17" w:type="dxa"/>
            <w:vAlign w:val="center"/>
          </w:tcPr>
          <w:p w14:paraId="6D6D29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XX</w:t>
            </w:r>
          </w:p>
        </w:tc>
        <w:tc>
          <w:tcPr>
            <w:tcW w:w="1843" w:type="dxa"/>
            <w:vAlign w:val="center"/>
          </w:tcPr>
          <w:p w14:paraId="451BC8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036180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65B406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702D3A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06E8203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5E8C0AE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6A34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8D694D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17" w:type="dxa"/>
            <w:vAlign w:val="center"/>
          </w:tcPr>
          <w:p w14:paraId="3F97BB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XX</w:t>
            </w:r>
          </w:p>
        </w:tc>
        <w:tc>
          <w:tcPr>
            <w:tcW w:w="1843" w:type="dxa"/>
            <w:vAlign w:val="center"/>
          </w:tcPr>
          <w:p w14:paraId="2DBF88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248EC7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123D15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5E3834D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39988C9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1FB18EC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4641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4BDB8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17" w:type="dxa"/>
            <w:vAlign w:val="center"/>
          </w:tcPr>
          <w:p w14:paraId="43336D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843" w:type="dxa"/>
            <w:vAlign w:val="center"/>
          </w:tcPr>
          <w:p w14:paraId="7E7930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583872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2CB617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77EF63B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41CA2D8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15EC827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4F9F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2BD6E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417" w:type="dxa"/>
            <w:vAlign w:val="center"/>
          </w:tcPr>
          <w:p w14:paraId="622AA9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843" w:type="dxa"/>
            <w:vAlign w:val="center"/>
          </w:tcPr>
          <w:p w14:paraId="3A0D50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3DE264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4C72D3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5593D59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5717914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41A4284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2393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6332D6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报价（小写）</w:t>
            </w:r>
          </w:p>
        </w:tc>
        <w:tc>
          <w:tcPr>
            <w:tcW w:w="7655" w:type="dxa"/>
            <w:gridSpan w:val="4"/>
            <w:vAlign w:val="center"/>
          </w:tcPr>
          <w:p w14:paraId="12366BE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69F0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9ADEA1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报价（大写）</w:t>
            </w:r>
          </w:p>
        </w:tc>
        <w:tc>
          <w:tcPr>
            <w:tcW w:w="7655" w:type="dxa"/>
            <w:gridSpan w:val="4"/>
            <w:vAlign w:val="center"/>
          </w:tcPr>
          <w:p w14:paraId="5B33B31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bl>
    <w:p w14:paraId="538E8E24">
      <w:pPr>
        <w:keepNext w:val="0"/>
        <w:keepLines w:val="0"/>
        <w:pageBreakBefore w:val="0"/>
        <w:widowControl w:val="0"/>
        <w:kinsoku/>
        <w:wordWrap/>
        <w:overflowPunct/>
        <w:topLinePunct w:val="0"/>
        <w:autoSpaceDE/>
        <w:autoSpaceDN/>
        <w:bidi w:val="0"/>
        <w:adjustRightInd w:val="0"/>
        <w:snapToGrid w:val="0"/>
        <w:spacing w:line="288" w:lineRule="auto"/>
        <w:ind w:left="0" w:leftChars="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注：</w:t>
      </w:r>
    </w:p>
    <w:p w14:paraId="417C24B9">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文件含有采购人不能接受的附加条件，</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r>
        <w:rPr>
          <w:rFonts w:hint="eastAsia" w:ascii="宋体" w:hAnsi="宋体" w:eastAsia="宋体" w:cs="宋体"/>
          <w:color w:val="auto"/>
          <w:kern w:val="0"/>
          <w:sz w:val="21"/>
          <w:szCs w:val="21"/>
          <w:highlight w:val="none"/>
          <w:lang w:val="zh-CN"/>
        </w:rPr>
        <w:t>。</w:t>
      </w:r>
    </w:p>
    <w:p w14:paraId="74BF90C3">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2、有关本项目实施所涉及的一切费用均计入报价。</w:t>
      </w:r>
      <w:r>
        <w:rPr>
          <w:rFonts w:hint="eastAsia" w:ascii="宋体" w:hAnsi="宋体" w:eastAsia="宋体" w:cs="宋体"/>
          <w:color w:val="auto"/>
          <w:kern w:val="0"/>
          <w:sz w:val="21"/>
          <w:szCs w:val="21"/>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w:t>
      </w:r>
      <w:r>
        <w:rPr>
          <w:rFonts w:hint="eastAsia" w:ascii="宋体" w:hAnsi="宋体" w:eastAsia="宋体" w:cs="宋体"/>
          <w:color w:val="auto"/>
          <w:spacing w:val="0"/>
          <w:kern w:val="0"/>
          <w:sz w:val="21"/>
          <w:szCs w:val="21"/>
          <w:highlight w:val="none"/>
          <w:lang w:val="zh-CN"/>
        </w:rPr>
        <w:t>总价</w:t>
      </w:r>
      <w:r>
        <w:rPr>
          <w:rFonts w:hint="eastAsia" w:ascii="宋体" w:hAnsi="宋体" w:eastAsia="宋体" w:cs="宋体"/>
          <w:color w:val="auto"/>
          <w:spacing w:val="0"/>
          <w:kern w:val="0"/>
          <w:sz w:val="21"/>
          <w:szCs w:val="21"/>
          <w:highlight w:val="none"/>
          <w:lang w:val="zh-CN" w:eastAsia="zh-CN"/>
        </w:rPr>
        <w:t>不为零</w:t>
      </w:r>
      <w:r>
        <w:rPr>
          <w:rFonts w:hint="eastAsia" w:ascii="宋体" w:hAnsi="宋体" w:eastAsia="宋体" w:cs="宋体"/>
          <w:color w:val="auto"/>
          <w:spacing w:val="0"/>
          <w:kern w:val="0"/>
          <w:sz w:val="21"/>
          <w:szCs w:val="21"/>
          <w:highlight w:val="none"/>
          <w:lang w:val="zh-CN"/>
        </w:rPr>
        <w:t>，报价明细表中</w:t>
      </w:r>
      <w:r>
        <w:rPr>
          <w:rFonts w:hint="eastAsia" w:ascii="宋体" w:hAnsi="宋体" w:eastAsia="宋体" w:cs="宋体"/>
          <w:color w:val="auto"/>
          <w:spacing w:val="0"/>
          <w:kern w:val="0"/>
          <w:sz w:val="21"/>
          <w:szCs w:val="21"/>
          <w:highlight w:val="none"/>
          <w:lang w:val="zh-CN" w:eastAsia="zh-CN"/>
        </w:rPr>
        <w:t>部分</w:t>
      </w:r>
      <w:r>
        <w:rPr>
          <w:rFonts w:hint="eastAsia" w:ascii="宋体" w:hAnsi="宋体" w:eastAsia="宋体" w:cs="宋体"/>
          <w:color w:val="auto"/>
          <w:spacing w:val="0"/>
          <w:kern w:val="0"/>
          <w:sz w:val="21"/>
          <w:szCs w:val="21"/>
          <w:highlight w:val="none"/>
          <w:lang w:val="zh-CN"/>
        </w:rPr>
        <w:t>产品、服务单价为零的，视作已包含在总价中</w:t>
      </w:r>
      <w:r>
        <w:rPr>
          <w:rFonts w:hint="eastAsia" w:ascii="宋体" w:hAnsi="宋体" w:eastAsia="宋体" w:cs="宋体"/>
          <w:color w:val="auto"/>
          <w:spacing w:val="0"/>
          <w:kern w:val="0"/>
          <w:sz w:val="21"/>
          <w:szCs w:val="21"/>
          <w:highlight w:val="none"/>
          <w:lang w:val="zh-CN" w:eastAsia="zh-CN"/>
        </w:rPr>
        <w:t>。</w:t>
      </w:r>
      <w:r>
        <w:rPr>
          <w:rFonts w:hint="eastAsia" w:ascii="宋体" w:hAnsi="宋体" w:eastAsia="宋体" w:cs="宋体"/>
          <w:b/>
          <w:color w:val="auto"/>
          <w:kern w:val="0"/>
          <w:sz w:val="21"/>
          <w:szCs w:val="21"/>
          <w:highlight w:val="none"/>
          <w:lang w:val="zh-CN"/>
        </w:rPr>
        <w:t>采购内容未包含在《</w:t>
      </w:r>
      <w:r>
        <w:rPr>
          <w:rFonts w:hint="eastAsia" w:ascii="宋体" w:hAnsi="宋体" w:eastAsia="宋体" w:cs="宋体"/>
          <w:b/>
          <w:strike w:val="0"/>
          <w:dstrike w:val="0"/>
          <w:color w:val="auto"/>
          <w:kern w:val="0"/>
          <w:sz w:val="21"/>
          <w:szCs w:val="21"/>
          <w:highlight w:val="none"/>
          <w:lang w:val="zh-CN"/>
        </w:rPr>
        <w:t>开标一览表</w:t>
      </w:r>
      <w:r>
        <w:rPr>
          <w:rFonts w:hint="eastAsia" w:ascii="宋体" w:hAnsi="宋体" w:eastAsia="宋体" w:cs="宋体"/>
          <w:b/>
          <w:color w:val="auto"/>
          <w:kern w:val="0"/>
          <w:sz w:val="21"/>
          <w:szCs w:val="21"/>
          <w:highlight w:val="none"/>
          <w:lang w:val="zh-CN"/>
        </w:rPr>
        <w:t>（报价表）》名称栏中，供应商不能作出合理解释的，</w:t>
      </w:r>
      <w:r>
        <w:rPr>
          <w:rFonts w:hint="eastAsia" w:ascii="宋体" w:hAnsi="宋体" w:eastAsia="宋体" w:cs="宋体"/>
          <w:b/>
          <w:color w:val="auto"/>
          <w:kern w:val="0"/>
          <w:sz w:val="21"/>
          <w:szCs w:val="21"/>
          <w:highlight w:val="none"/>
        </w:rPr>
        <w:t>视为</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文件含有采购人不能接受的附加条件的，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418855AB">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1"/>
          <w:szCs w:val="21"/>
          <w:highlight w:val="none"/>
          <w:lang w:val="zh-CN"/>
        </w:rPr>
        <w:t>3、特别提示：采购代理机构将对项目名称和项目编号，</w:t>
      </w:r>
      <w:r>
        <w:rPr>
          <w:rFonts w:hint="eastAsia" w:ascii="宋体" w:hAnsi="宋体" w:eastAsia="宋体" w:cs="宋体"/>
          <w:color w:val="auto"/>
          <w:kern w:val="0"/>
          <w:sz w:val="21"/>
          <w:szCs w:val="21"/>
          <w:highlight w:val="none"/>
          <w:lang w:val="zh-CN" w:eastAsia="zh-CN"/>
        </w:rPr>
        <w:t>成交</w:t>
      </w:r>
      <w:r>
        <w:rPr>
          <w:rFonts w:hint="eastAsia" w:ascii="宋体" w:hAnsi="宋体" w:eastAsia="宋体" w:cs="宋体"/>
          <w:color w:val="auto"/>
          <w:kern w:val="0"/>
          <w:sz w:val="21"/>
          <w:szCs w:val="21"/>
          <w:highlight w:val="none"/>
          <w:lang w:val="zh-CN"/>
        </w:rPr>
        <w:t>供应商名称、地址和</w:t>
      </w:r>
      <w:r>
        <w:rPr>
          <w:rFonts w:hint="eastAsia" w:ascii="宋体" w:hAnsi="宋体" w:eastAsia="宋体" w:cs="宋体"/>
          <w:color w:val="auto"/>
          <w:kern w:val="0"/>
          <w:sz w:val="21"/>
          <w:szCs w:val="21"/>
          <w:highlight w:val="none"/>
          <w:lang w:val="zh-CN" w:eastAsia="zh-CN"/>
        </w:rPr>
        <w:t>成交</w:t>
      </w:r>
      <w:r>
        <w:rPr>
          <w:rFonts w:hint="eastAsia" w:ascii="宋体" w:hAnsi="宋体" w:eastAsia="宋体" w:cs="宋体"/>
          <w:color w:val="auto"/>
          <w:kern w:val="0"/>
          <w:sz w:val="21"/>
          <w:szCs w:val="21"/>
          <w:highlight w:val="none"/>
          <w:lang w:val="zh-CN"/>
        </w:rPr>
        <w:t>金额，主要</w:t>
      </w:r>
      <w:r>
        <w:rPr>
          <w:rFonts w:hint="eastAsia" w:ascii="宋体" w:hAnsi="宋体" w:eastAsia="宋体" w:cs="宋体"/>
          <w:color w:val="auto"/>
          <w:kern w:val="0"/>
          <w:sz w:val="21"/>
          <w:szCs w:val="21"/>
          <w:highlight w:val="none"/>
          <w:lang w:val="zh-CN" w:eastAsia="zh-CN"/>
        </w:rPr>
        <w:t>成交</w:t>
      </w:r>
      <w:r>
        <w:rPr>
          <w:rFonts w:hint="eastAsia" w:ascii="宋体" w:hAnsi="宋体" w:eastAsia="宋体" w:cs="宋体"/>
          <w:color w:val="auto"/>
          <w:kern w:val="0"/>
          <w:sz w:val="21"/>
          <w:szCs w:val="21"/>
          <w:highlight w:val="none"/>
          <w:lang w:val="zh-CN"/>
        </w:rPr>
        <w:t>标的名称、品牌（如果有）、规格型号、数量、单价等予以公示。</w:t>
      </w:r>
    </w:p>
    <w:p w14:paraId="7C1CBB87">
      <w:pPr>
        <w:pStyle w:val="2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07AC0EEB">
      <w:pPr>
        <w:pStyle w:val="22"/>
        <w:keepNext w:val="0"/>
        <w:keepLines w:val="0"/>
        <w:pageBreakBefore w:val="0"/>
        <w:widowControl w:val="0"/>
        <w:numPr>
          <w:ilvl w:val="0"/>
          <w:numId w:val="0"/>
        </w:numPr>
        <w:tabs>
          <w:tab w:val="clear" w:pos="720"/>
        </w:tabs>
        <w:kinsoku/>
        <w:wordWrap/>
        <w:overflowPunct/>
        <w:topLinePunct w:val="0"/>
        <w:autoSpaceDE/>
        <w:autoSpaceDN/>
        <w:bidi w:val="0"/>
        <w:adjustRightInd w:val="0"/>
        <w:snapToGrid w:val="0"/>
        <w:spacing w:line="288" w:lineRule="auto"/>
        <w:jc w:val="center"/>
        <w:textAlignment w:val="auto"/>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001E2D53">
      <w:pPr>
        <w:pStyle w:val="22"/>
        <w:keepNext w:val="0"/>
        <w:keepLines w:val="0"/>
        <w:pageBreakBefore w:val="0"/>
        <w:widowControl w:val="0"/>
        <w:numPr>
          <w:ilvl w:val="0"/>
          <w:numId w:val="0"/>
        </w:numPr>
        <w:tabs>
          <w:tab w:val="clear" w:pos="720"/>
        </w:tabs>
        <w:kinsoku/>
        <w:wordWrap/>
        <w:overflowPunct/>
        <w:topLinePunct w:val="0"/>
        <w:autoSpaceDE/>
        <w:autoSpaceDN/>
        <w:bidi w:val="0"/>
        <w:adjustRightInd w:val="0"/>
        <w:snapToGrid w:val="0"/>
        <w:spacing w:line="288" w:lineRule="auto"/>
        <w:jc w:val="left"/>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（如供应商报价低于项目预算50%的，应当提交本文档，详细阐述不影响产品质量或者诚信履约的具体原因</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rPr>
        <w:t>）</w:t>
      </w:r>
    </w:p>
    <w:p w14:paraId="74CC705D">
      <w:pP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br w:type="page"/>
      </w:r>
    </w:p>
    <w:p w14:paraId="02FF9F8A">
      <w:pPr>
        <w:pStyle w:val="4"/>
        <w:keepNext w:val="0"/>
        <w:keepLines w:val="0"/>
        <w:pageBreakBefore w:val="0"/>
        <w:widowControl/>
        <w:tabs>
          <w:tab w:val="left" w:pos="432"/>
        </w:tabs>
        <w:kinsoku/>
        <w:wordWrap/>
        <w:overflowPunct/>
        <w:topLinePunct w:val="0"/>
        <w:autoSpaceDE/>
        <w:autoSpaceDN/>
        <w:bidi w:val="0"/>
        <w:adjustRightInd w:val="0"/>
        <w:snapToGrid/>
        <w:spacing w:beforeAutospacing="0" w:afterAutospacing="0" w:line="288" w:lineRule="auto"/>
        <w:ind w:left="0" w:firstLine="0" w:firstLineChars="0"/>
        <w:jc w:val="both"/>
        <w:textAlignment w:val="auto"/>
        <w:rPr>
          <w:rFonts w:ascii="宋体" w:hAnsi="宋体" w:cs="宋体"/>
          <w:color w:val="auto"/>
          <w:highlight w:val="none"/>
        </w:rPr>
      </w:pPr>
      <w:bookmarkStart w:id="16" w:name="_Toc465665161"/>
      <w:r>
        <w:rPr>
          <w:rFonts w:hint="eastAsia" w:ascii="宋体" w:hAnsi="宋体" w:cs="宋体"/>
          <w:color w:val="auto"/>
          <w:sz w:val="32"/>
          <w:szCs w:val="24"/>
          <w:highlight w:val="none"/>
        </w:rPr>
        <w:t>附件</w:t>
      </w:r>
      <w:bookmarkEnd w:id="16"/>
    </w:p>
    <w:p w14:paraId="5948063C">
      <w:pPr>
        <w:keepNext w:val="0"/>
        <w:keepLines w:val="0"/>
        <w:pageBreakBefore w:val="0"/>
        <w:kinsoku/>
        <w:wordWrap/>
        <w:overflowPunct/>
        <w:topLinePunct w:val="0"/>
        <w:autoSpaceDE/>
        <w:autoSpaceDN/>
        <w:bidi w:val="0"/>
        <w:adjustRightInd w:val="0"/>
        <w:snapToGrid/>
        <w:spacing w:line="288" w:lineRule="auto"/>
        <w:jc w:val="left"/>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14:paraId="6D1FA409">
      <w:pPr>
        <w:keepNext w:val="0"/>
        <w:keepLines w:val="0"/>
        <w:pageBreakBefore w:val="0"/>
        <w:kinsoku/>
        <w:wordWrap/>
        <w:overflowPunct/>
        <w:topLinePunct w:val="0"/>
        <w:autoSpaceDE/>
        <w:autoSpaceDN/>
        <w:bidi w:val="0"/>
        <w:adjustRightInd w:val="0"/>
        <w:snapToGrid/>
        <w:spacing w:line="288"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FC5ACDF">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417BF205">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4C1C8FC8">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464C8163">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0C2EDA62">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411671D1">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72C2BCD9">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4EB5135A">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0A259A92">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634C9714">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5B3C61AF">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1BA10F00">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6C05BE36">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430D59FB">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29FA8C74">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依据：</w:t>
      </w:r>
      <w:r>
        <w:rPr>
          <w:rFonts w:hint="eastAsia" w:ascii="宋体" w:hAnsi="宋体" w:cs="宋体"/>
          <w:color w:val="auto"/>
          <w:sz w:val="21"/>
          <w:szCs w:val="21"/>
          <w:highlight w:val="none"/>
          <w:u w:val="dotted"/>
        </w:rPr>
        <w:t xml:space="preserve">                                          </w:t>
      </w:r>
    </w:p>
    <w:p w14:paraId="5425E6E2">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37D0AEF6">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312B8AA4">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p>
    <w:p w14:paraId="361CADCB">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6684E959">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768F41D7">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2E1E81D0">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57792249">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b/>
          <w:bCs/>
          <w:color w:val="auto"/>
          <w:sz w:val="21"/>
          <w:szCs w:val="21"/>
          <w:highlight w:val="none"/>
        </w:rPr>
      </w:pPr>
    </w:p>
    <w:p w14:paraId="2796CF22">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45B76BDF">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1BBA3133">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6893FCEB">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03E70E94">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265E1505">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005FCAB4">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6AF058D1">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4EEE8E52">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1E567EC4">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6.质疑函应由法定代表人、主要负责人，或者其授权代表签字或者盖章，并加盖公章。</w:t>
      </w:r>
    </w:p>
    <w:p w14:paraId="5B183D44">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7BAC8320">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6CC6BA4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sz w:val="32"/>
          <w:szCs w:val="32"/>
          <w:highlight w:val="none"/>
        </w:rPr>
      </w:pPr>
    </w:p>
    <w:p w14:paraId="1E87764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6D5991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57BD57A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0DC68CE4">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3D4F3F37">
      <w:pPr>
        <w:keepNext w:val="0"/>
        <w:keepLines w:val="0"/>
        <w:pageBreakBefore w:val="0"/>
        <w:tabs>
          <w:tab w:val="left" w:pos="6510"/>
        </w:tabs>
        <w:kinsoku/>
        <w:wordWrap/>
        <w:overflowPunct/>
        <w:topLinePunct w:val="0"/>
        <w:autoSpaceDE/>
        <w:autoSpaceDN/>
        <w:bidi w:val="0"/>
        <w:adjustRightInd w:val="0"/>
        <w:snapToGrid/>
        <w:spacing w:line="288"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6F4FBED5">
      <w:pPr>
        <w:keepNext w:val="0"/>
        <w:keepLines w:val="0"/>
        <w:pageBreakBefore w:val="0"/>
        <w:tabs>
          <w:tab w:val="left" w:pos="6510"/>
        </w:tabs>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D30B3C4">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53A199F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05932A81">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C058DE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E53D7DD">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1255642F">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42B2D677">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02F262A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D72955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8AAF5B4">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A3EFBA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38BD61F8">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32E88357">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5F97AE4E">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2A77066">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22AA1F9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17D8456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13CFE2E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2417AB72">
      <w:pPr>
        <w:keepNext w:val="0"/>
        <w:keepLines w:val="0"/>
        <w:pageBreakBefore w:val="0"/>
        <w:kinsoku/>
        <w:wordWrap/>
        <w:overflowPunct/>
        <w:topLinePunct w:val="0"/>
        <w:autoSpaceDE/>
        <w:autoSpaceDN/>
        <w:bidi w:val="0"/>
        <w:adjustRightInd w:val="0"/>
        <w:snapToGrid/>
        <w:spacing w:line="288" w:lineRule="auto"/>
        <w:ind w:firstLine="420" w:firstLineChars="200"/>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0AF40E52">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33C9B8EB">
      <w:pPr>
        <w:keepNext w:val="0"/>
        <w:keepLines w:val="0"/>
        <w:pageBreakBefore w:val="0"/>
        <w:kinsoku/>
        <w:wordWrap/>
        <w:overflowPunct/>
        <w:topLinePunct w:val="0"/>
        <w:autoSpaceDE/>
        <w:autoSpaceDN/>
        <w:bidi w:val="0"/>
        <w:adjustRightInd w:val="0"/>
        <w:snapToGrid/>
        <w:spacing w:line="288" w:lineRule="auto"/>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日,就质疑事项作出了答复/没有在期限内作出答复。</w:t>
      </w:r>
    </w:p>
    <w:p w14:paraId="03FD4DD6">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229E52AE">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5CCD9358">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依据：</w:t>
      </w:r>
      <w:r>
        <w:rPr>
          <w:rFonts w:hint="eastAsia" w:ascii="宋体" w:hAnsi="宋体" w:cs="宋体"/>
          <w:color w:val="auto"/>
          <w:sz w:val="21"/>
          <w:szCs w:val="21"/>
          <w:highlight w:val="none"/>
          <w:u w:val="dotted"/>
        </w:rPr>
        <w:t xml:space="preserve">                                         </w:t>
      </w:r>
    </w:p>
    <w:p w14:paraId="5DCB630C">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04316AEC">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2832F37C">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11CF95C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4BD93406">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AF7E18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3FB239A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7D166B7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0400092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p>
    <w:p w14:paraId="75AE131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p>
    <w:p w14:paraId="5C579EA3">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29E0A14C">
      <w:pPr>
        <w:keepNext w:val="0"/>
        <w:keepLines w:val="0"/>
        <w:pageBreakBefore w:val="0"/>
        <w:widowControl/>
        <w:kinsoku/>
        <w:wordWrap/>
        <w:overflowPunct/>
        <w:topLinePunct w:val="0"/>
        <w:autoSpaceDE/>
        <w:autoSpaceDN/>
        <w:bidi w:val="0"/>
        <w:adjustRightInd w:val="0"/>
        <w:snapToGrid/>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644C556B">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0E88E253">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3F1E54A4">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3F5E2B3A">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306853B4">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6578D836">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kern w:val="0"/>
          <w:sz w:val="24"/>
          <w:highlight w:val="none"/>
        </w:rPr>
      </w:pPr>
      <w:r>
        <w:rPr>
          <w:rFonts w:hint="eastAsia" w:ascii="宋体" w:hAnsi="宋体" w:cs="宋体"/>
          <w:color w:val="auto"/>
          <w:sz w:val="21"/>
          <w:szCs w:val="21"/>
          <w:highlight w:val="none"/>
        </w:rPr>
        <w:t>7.投诉书应当由法定代表人、主要负责人，或者其授权代表签字或者盖章，并加盖公章。</w:t>
      </w:r>
    </w:p>
    <w:p w14:paraId="06E9AD4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B5C011B">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7543F0EC">
      <w:pPr>
        <w:spacing w:line="360" w:lineRule="auto"/>
        <w:rPr>
          <w:rFonts w:ascii="宋体" w:hAnsi="宋体" w:cs="宋体"/>
          <w:color w:val="auto"/>
          <w:sz w:val="24"/>
          <w:highlight w:val="none"/>
          <w:u w:val="single"/>
        </w:rPr>
      </w:pPr>
    </w:p>
    <w:p w14:paraId="314A7047">
      <w:pPr>
        <w:keepNext w:val="0"/>
        <w:keepLines w:val="0"/>
        <w:pageBreakBefore w:val="0"/>
        <w:widowControl w:val="0"/>
        <w:kinsoku/>
        <w:wordWrap/>
        <w:overflowPunct/>
        <w:topLinePunct w:val="0"/>
        <w:bidi w:val="0"/>
        <w:adjustRightInd w:val="0"/>
        <w:spacing w:line="288" w:lineRule="auto"/>
        <w:ind w:right="0"/>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杭州市拱墅区教育信息技术中心</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浙江求是招标代理有限公司</w:t>
      </w:r>
      <w:r>
        <w:rPr>
          <w:rFonts w:hint="eastAsia" w:ascii="宋体" w:hAnsi="宋体" w:cs="宋体"/>
          <w:color w:val="auto"/>
          <w:sz w:val="21"/>
          <w:szCs w:val="21"/>
          <w:highlight w:val="none"/>
          <w:u w:val="single"/>
        </w:rPr>
        <w:t>：</w:t>
      </w:r>
    </w:p>
    <w:p w14:paraId="1FFE1092">
      <w:pPr>
        <w:keepNext w:val="0"/>
        <w:keepLines w:val="0"/>
        <w:pageBreakBefore w:val="0"/>
        <w:widowControl w:val="0"/>
        <w:kinsoku/>
        <w:wordWrap/>
        <w:overflowPunct/>
        <w:topLinePunct w:val="0"/>
        <w:bidi w:val="0"/>
        <w:adjustRightInd w:val="0"/>
        <w:spacing w:line="288" w:lineRule="auto"/>
        <w:ind w:right="0" w:firstLine="420" w:firstLineChars="2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2025年拱墅区部分校园广播系统改造采购</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QSZBB250044FHQT</w:t>
      </w:r>
      <w:r>
        <w:rPr>
          <w:rFonts w:hint="eastAsia" w:ascii="宋体" w:hAnsi="宋体" w:cs="宋体"/>
          <w:color w:val="auto"/>
          <w:sz w:val="21"/>
          <w:szCs w:val="21"/>
          <w:highlight w:val="none"/>
        </w:rPr>
        <w:t>】</w:t>
      </w:r>
      <w:r>
        <w:rPr>
          <w:rFonts w:hint="eastAsia" w:ascii="宋体" w:hAnsi="宋体" w:cs="宋体"/>
          <w:bCs/>
          <w:color w:val="auto"/>
          <w:sz w:val="21"/>
          <w:szCs w:val="21"/>
          <w:highlight w:val="none"/>
          <w:lang w:val="en-US" w:eastAsia="zh-CN"/>
        </w:rPr>
        <w:t>采购</w:t>
      </w:r>
      <w:r>
        <w:rPr>
          <w:rFonts w:hint="eastAsia" w:ascii="宋体" w:hAnsi="宋体" w:cs="宋体"/>
          <w:bCs/>
          <w:color w:val="auto"/>
          <w:sz w:val="21"/>
          <w:szCs w:val="21"/>
          <w:highlight w:val="none"/>
        </w:rPr>
        <w:t>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203616B2">
      <w:pPr>
        <w:keepNext w:val="0"/>
        <w:keepLines w:val="0"/>
        <w:pageBreakBefore w:val="0"/>
        <w:widowControl w:val="0"/>
        <w:kinsoku/>
        <w:wordWrap/>
        <w:overflowPunct/>
        <w:topLinePunct w:val="0"/>
        <w:bidi w:val="0"/>
        <w:adjustRightInd w:val="0"/>
        <w:spacing w:line="288" w:lineRule="auto"/>
        <w:ind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2FFB7F32">
      <w:pPr>
        <w:keepNext w:val="0"/>
        <w:keepLines w:val="0"/>
        <w:pageBreakBefore w:val="0"/>
        <w:widowControl w:val="0"/>
        <w:kinsoku/>
        <w:wordWrap/>
        <w:overflowPunct/>
        <w:topLinePunct w:val="0"/>
        <w:bidi w:val="0"/>
        <w:adjustRightInd w:val="0"/>
        <w:spacing w:line="288" w:lineRule="auto"/>
        <w:ind w:right="0" w:firstLine="494"/>
        <w:textAlignment w:val="auto"/>
        <w:rPr>
          <w:rFonts w:ascii="宋体" w:hAnsi="宋体" w:cs="宋体"/>
          <w:color w:val="auto"/>
          <w:sz w:val="21"/>
          <w:szCs w:val="21"/>
          <w:highlight w:val="none"/>
        </w:rPr>
      </w:pPr>
    </w:p>
    <w:p w14:paraId="617A71F3">
      <w:pPr>
        <w:keepNext w:val="0"/>
        <w:keepLines w:val="0"/>
        <w:pageBreakBefore w:val="0"/>
        <w:widowControl w:val="0"/>
        <w:kinsoku/>
        <w:wordWrap/>
        <w:overflowPunct/>
        <w:topLinePunct w:val="0"/>
        <w:bidi w:val="0"/>
        <w:adjustRightInd w:val="0"/>
        <w:spacing w:line="288" w:lineRule="auto"/>
        <w:ind w:right="0" w:firstLine="494"/>
        <w:textAlignment w:val="auto"/>
        <w:rPr>
          <w:rFonts w:ascii="宋体" w:hAnsi="宋体" w:cs="宋体"/>
          <w:color w:val="auto"/>
          <w:sz w:val="21"/>
          <w:szCs w:val="21"/>
          <w:highlight w:val="none"/>
        </w:rPr>
      </w:pPr>
    </w:p>
    <w:p w14:paraId="2838165C">
      <w:pPr>
        <w:keepNext w:val="0"/>
        <w:keepLines w:val="0"/>
        <w:pageBreakBefore w:val="0"/>
        <w:widowControl w:val="0"/>
        <w:kinsoku/>
        <w:wordWrap/>
        <w:overflowPunct/>
        <w:topLinePunct w:val="0"/>
        <w:bidi w:val="0"/>
        <w:adjustRightInd w:val="0"/>
        <w:spacing w:line="288" w:lineRule="auto"/>
        <w:ind w:right="0" w:firstLine="494"/>
        <w:textAlignment w:val="auto"/>
        <w:rPr>
          <w:rFonts w:ascii="宋体" w:hAnsi="宋体" w:cs="宋体"/>
          <w:color w:val="auto"/>
          <w:sz w:val="21"/>
          <w:szCs w:val="21"/>
          <w:highlight w:val="none"/>
        </w:rPr>
      </w:pPr>
    </w:p>
    <w:p w14:paraId="23AB7A91">
      <w:pPr>
        <w:keepNext w:val="0"/>
        <w:keepLines w:val="0"/>
        <w:pageBreakBefore w:val="0"/>
        <w:widowControl w:val="0"/>
        <w:kinsoku/>
        <w:wordWrap/>
        <w:overflowPunct/>
        <w:topLinePunct w:val="0"/>
        <w:bidi w:val="0"/>
        <w:adjustRightInd w:val="0"/>
        <w:spacing w:line="288" w:lineRule="auto"/>
        <w:ind w:right="0" w:firstLine="3570" w:firstLineChars="170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单位（法定名称章）：</w:t>
      </w:r>
    </w:p>
    <w:p w14:paraId="018B6030">
      <w:pPr>
        <w:keepNext w:val="0"/>
        <w:keepLines w:val="0"/>
        <w:pageBreakBefore w:val="0"/>
        <w:widowControl w:val="0"/>
        <w:kinsoku/>
        <w:wordWrap/>
        <w:overflowPunct/>
        <w:topLinePunct w:val="0"/>
        <w:bidi w:val="0"/>
        <w:adjustRightInd w:val="0"/>
        <w:spacing w:line="288" w:lineRule="auto"/>
        <w:ind w:right="0" w:firstLine="3570" w:firstLineChars="17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14:paraId="5A8F0321">
      <w:pPr>
        <w:keepNext w:val="0"/>
        <w:keepLines w:val="0"/>
        <w:pageBreakBefore w:val="0"/>
        <w:widowControl w:val="0"/>
        <w:kinsoku/>
        <w:wordWrap/>
        <w:overflowPunct/>
        <w:topLinePunct w:val="0"/>
        <w:bidi w:val="0"/>
        <w:adjustRightInd w:val="0"/>
        <w:spacing w:line="288" w:lineRule="auto"/>
        <w:ind w:right="0"/>
        <w:textAlignment w:val="auto"/>
        <w:rPr>
          <w:rFonts w:hint="eastAsia" w:ascii="宋体" w:hAnsi="宋体" w:cs="宋体"/>
          <w:b/>
          <w:bCs/>
          <w:color w:val="auto"/>
          <w:sz w:val="21"/>
          <w:szCs w:val="21"/>
          <w:highlight w:val="none"/>
        </w:rPr>
      </w:pPr>
    </w:p>
    <w:p w14:paraId="41DDACEE">
      <w:pPr>
        <w:keepNext w:val="0"/>
        <w:keepLines w:val="0"/>
        <w:pageBreakBefore w:val="0"/>
        <w:widowControl w:val="0"/>
        <w:kinsoku/>
        <w:wordWrap/>
        <w:overflowPunct/>
        <w:topLinePunct w:val="0"/>
        <w:bidi w:val="0"/>
        <w:adjustRightInd w:val="0"/>
        <w:spacing w:line="288" w:lineRule="auto"/>
        <w:ind w:right="0"/>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附：</w:t>
      </w:r>
    </w:p>
    <w:p w14:paraId="732E8F4E">
      <w:pPr>
        <w:keepNext w:val="0"/>
        <w:keepLines w:val="0"/>
        <w:pageBreakBefore w:val="0"/>
        <w:widowControl w:val="0"/>
        <w:kinsoku/>
        <w:wordWrap/>
        <w:overflowPunct/>
        <w:topLinePunct w:val="0"/>
        <w:bidi w:val="0"/>
        <w:adjustRightInd w:val="0"/>
        <w:spacing w:line="288" w:lineRule="auto"/>
        <w:ind w:right="0"/>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color w:val="auto"/>
          <w:sz w:val="21"/>
          <w:szCs w:val="21"/>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 xml:space="preserve">法定名称章（印模）                </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“XX专用章”（印模）</w:t>
      </w:r>
    </w:p>
    <w:p w14:paraId="7DE2B227">
      <w:pPr>
        <w:keepNext w:val="0"/>
        <w:keepLines w:val="0"/>
        <w:pageBreakBefore w:val="0"/>
        <w:widowControl w:val="0"/>
        <w:kinsoku/>
        <w:wordWrap/>
        <w:overflowPunct/>
        <w:topLinePunct w:val="0"/>
        <w:autoSpaceDE w:val="0"/>
        <w:autoSpaceDN w:val="0"/>
        <w:bidi w:val="0"/>
        <w:adjustRightInd w:val="0"/>
        <w:spacing w:line="288" w:lineRule="auto"/>
        <w:ind w:right="0"/>
        <w:jc w:val="center"/>
        <w:textAlignment w:val="auto"/>
        <w:rPr>
          <w:rFonts w:ascii="宋体" w:hAnsi="宋体" w:cs="宋体"/>
          <w:b/>
          <w:color w:val="auto"/>
          <w:spacing w:val="6"/>
          <w:sz w:val="21"/>
          <w:szCs w:val="21"/>
          <w:highlight w:val="none"/>
        </w:rPr>
      </w:pPr>
    </w:p>
    <w:p w14:paraId="46FFD56D">
      <w:pPr>
        <w:keepNext w:val="0"/>
        <w:keepLines w:val="0"/>
        <w:pageBreakBefore w:val="0"/>
        <w:widowControl w:val="0"/>
        <w:kinsoku/>
        <w:wordWrap/>
        <w:overflowPunct/>
        <w:topLinePunct w:val="0"/>
        <w:autoSpaceDE w:val="0"/>
        <w:autoSpaceDN w:val="0"/>
        <w:bidi w:val="0"/>
        <w:adjustRightInd w:val="0"/>
        <w:spacing w:line="288" w:lineRule="auto"/>
        <w:ind w:right="0"/>
        <w:jc w:val="center"/>
        <w:textAlignment w:val="auto"/>
        <w:rPr>
          <w:rFonts w:ascii="宋体" w:hAnsi="宋体" w:cs="宋体"/>
          <w:b/>
          <w:color w:val="auto"/>
          <w:spacing w:val="6"/>
          <w:sz w:val="21"/>
          <w:szCs w:val="21"/>
          <w:highlight w:val="none"/>
        </w:rPr>
      </w:pPr>
    </w:p>
    <w:p w14:paraId="14607A77">
      <w:pPr>
        <w:keepNext w:val="0"/>
        <w:keepLines w:val="0"/>
        <w:pageBreakBefore w:val="0"/>
        <w:widowControl w:val="0"/>
        <w:kinsoku/>
        <w:wordWrap/>
        <w:overflowPunct/>
        <w:topLinePunct w:val="0"/>
        <w:autoSpaceDE w:val="0"/>
        <w:autoSpaceDN w:val="0"/>
        <w:bidi w:val="0"/>
        <w:adjustRightInd w:val="0"/>
        <w:spacing w:line="288" w:lineRule="auto"/>
        <w:ind w:right="0"/>
        <w:jc w:val="center"/>
        <w:textAlignment w:val="auto"/>
        <w:rPr>
          <w:rFonts w:ascii="宋体" w:hAnsi="宋体" w:cs="宋体"/>
          <w:b/>
          <w:color w:val="auto"/>
          <w:spacing w:val="6"/>
          <w:sz w:val="21"/>
          <w:szCs w:val="21"/>
          <w:highlight w:val="none"/>
        </w:rPr>
      </w:pPr>
    </w:p>
    <w:p w14:paraId="58E68544">
      <w:pPr>
        <w:keepNext w:val="0"/>
        <w:keepLines w:val="0"/>
        <w:pageBreakBefore w:val="0"/>
        <w:widowControl w:val="0"/>
        <w:kinsoku/>
        <w:wordWrap/>
        <w:overflowPunct/>
        <w:topLinePunct w:val="0"/>
        <w:bidi w:val="0"/>
        <w:adjustRightInd w:val="0"/>
        <w:snapToGrid w:val="0"/>
        <w:spacing w:line="288" w:lineRule="auto"/>
        <w:ind w:right="0"/>
        <w:jc w:val="center"/>
        <w:textAlignment w:val="auto"/>
        <w:outlineLvl w:val="0"/>
        <w:rPr>
          <w:rFonts w:hint="eastAsia" w:ascii="宋体" w:hAnsi="宋体" w:cs="宋体"/>
          <w:b/>
          <w:color w:val="auto"/>
          <w:kern w:val="0"/>
          <w:sz w:val="21"/>
          <w:szCs w:val="21"/>
          <w:highlight w:val="none"/>
        </w:rPr>
      </w:pPr>
    </w:p>
    <w:p w14:paraId="58B58B4A">
      <w:pPr>
        <w:keepNext w:val="0"/>
        <w:keepLines w:val="0"/>
        <w:pageBreakBefore w:val="0"/>
        <w:widowControl w:val="0"/>
        <w:kinsoku/>
        <w:wordWrap/>
        <w:overflowPunct/>
        <w:topLinePunct w:val="0"/>
        <w:bidi w:val="0"/>
        <w:adjustRightInd w:val="0"/>
        <w:snapToGrid w:val="0"/>
        <w:spacing w:line="288" w:lineRule="auto"/>
        <w:ind w:right="0"/>
        <w:jc w:val="center"/>
        <w:textAlignment w:val="auto"/>
        <w:outlineLvl w:val="0"/>
        <w:rPr>
          <w:rFonts w:hint="eastAsia" w:ascii="宋体" w:hAnsi="宋体" w:cs="宋体"/>
          <w:b/>
          <w:color w:val="auto"/>
          <w:kern w:val="0"/>
          <w:sz w:val="21"/>
          <w:szCs w:val="21"/>
          <w:highlight w:val="none"/>
        </w:rPr>
      </w:pPr>
    </w:p>
    <w:p w14:paraId="3059E63B">
      <w:pPr>
        <w:keepNext w:val="0"/>
        <w:keepLines w:val="0"/>
        <w:pageBreakBefore w:val="0"/>
        <w:widowControl w:val="0"/>
        <w:kinsoku/>
        <w:wordWrap/>
        <w:overflowPunct/>
        <w:topLinePunct w:val="0"/>
        <w:bidi w:val="0"/>
        <w:adjustRightInd w:val="0"/>
        <w:snapToGrid w:val="0"/>
        <w:spacing w:line="288" w:lineRule="auto"/>
        <w:ind w:right="0"/>
        <w:jc w:val="center"/>
        <w:textAlignment w:val="auto"/>
        <w:outlineLvl w:val="0"/>
        <w:rPr>
          <w:rFonts w:hint="eastAsia" w:ascii="宋体" w:hAnsi="宋体" w:cs="宋体"/>
          <w:b/>
          <w:color w:val="auto"/>
          <w:kern w:val="0"/>
          <w:sz w:val="21"/>
          <w:szCs w:val="21"/>
          <w:highlight w:val="none"/>
        </w:rPr>
      </w:pPr>
    </w:p>
    <w:p w14:paraId="463A5C1D">
      <w:pPr>
        <w:snapToGrid w:val="0"/>
        <w:spacing w:line="360" w:lineRule="auto"/>
        <w:jc w:val="center"/>
        <w:outlineLvl w:val="0"/>
        <w:rPr>
          <w:rFonts w:hint="eastAsia" w:ascii="宋体" w:hAnsi="宋体" w:cs="宋体"/>
          <w:b/>
          <w:color w:val="auto"/>
          <w:kern w:val="0"/>
          <w:sz w:val="32"/>
          <w:szCs w:val="32"/>
          <w:highlight w:val="none"/>
        </w:rPr>
      </w:pPr>
    </w:p>
    <w:p w14:paraId="6DE1DC7F">
      <w:pPr>
        <w:snapToGrid w:val="0"/>
        <w:spacing w:line="360" w:lineRule="auto"/>
        <w:jc w:val="center"/>
        <w:outlineLvl w:val="0"/>
        <w:rPr>
          <w:rFonts w:hint="eastAsia" w:ascii="宋体" w:hAnsi="宋体" w:cs="宋体"/>
          <w:b/>
          <w:color w:val="auto"/>
          <w:kern w:val="0"/>
          <w:sz w:val="32"/>
          <w:szCs w:val="32"/>
          <w:highlight w:val="none"/>
        </w:rPr>
      </w:pPr>
    </w:p>
    <w:p w14:paraId="0768F0F4">
      <w:pPr>
        <w:snapToGrid w:val="0"/>
        <w:spacing w:line="360" w:lineRule="auto"/>
        <w:jc w:val="center"/>
        <w:outlineLvl w:val="0"/>
        <w:rPr>
          <w:rFonts w:hint="eastAsia" w:ascii="宋体" w:hAnsi="宋体" w:cs="宋体"/>
          <w:b/>
          <w:color w:val="auto"/>
          <w:kern w:val="0"/>
          <w:sz w:val="32"/>
          <w:szCs w:val="32"/>
          <w:highlight w:val="none"/>
        </w:rPr>
      </w:pPr>
    </w:p>
    <w:p w14:paraId="5A5D4B2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C0681F5">
      <w:pPr>
        <w:keepNext w:val="0"/>
        <w:keepLines w:val="0"/>
        <w:pageBreakBefore w:val="0"/>
        <w:kinsoku/>
        <w:wordWrap/>
        <w:overflowPunct/>
        <w:topLinePunct w:val="0"/>
        <w:autoSpaceDE/>
        <w:autoSpaceDN/>
        <w:bidi w:val="0"/>
        <w:adjustRightInd w:val="0"/>
        <w:snapToGrid w:val="0"/>
        <w:spacing w:line="288" w:lineRule="auto"/>
        <w:jc w:val="center"/>
        <w:textAlignment w:val="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14:paraId="14E561D1">
      <w:pPr>
        <w:keepNext w:val="0"/>
        <w:keepLines w:val="0"/>
        <w:pageBreakBefore w:val="0"/>
        <w:widowControl/>
        <w:kinsoku/>
        <w:wordWrap/>
        <w:overflowPunct/>
        <w:topLinePunct w:val="0"/>
        <w:autoSpaceDE/>
        <w:autoSpaceDN/>
        <w:bidi w:val="0"/>
        <w:adjustRightInd w:val="0"/>
        <w:spacing w:line="288" w:lineRule="auto"/>
        <w:ind w:right="0" w:firstLine="422" w:firstLineChars="200"/>
        <w:jc w:val="lef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（以联合体形式</w:t>
      </w:r>
      <w:r>
        <w:rPr>
          <w:rFonts w:hint="eastAsia" w:ascii="宋体" w:hAnsi="宋体" w:cs="宋体"/>
          <w:b/>
          <w:color w:val="auto"/>
          <w:sz w:val="21"/>
          <w:szCs w:val="21"/>
          <w:highlight w:val="none"/>
          <w:lang w:val="en-US" w:eastAsia="zh-CN"/>
        </w:rPr>
        <w:t>参与本项目</w:t>
      </w:r>
      <w:r>
        <w:rPr>
          <w:rFonts w:hint="eastAsia" w:ascii="宋体" w:hAnsi="宋体" w:cs="宋体"/>
          <w:b/>
          <w:color w:val="auto"/>
          <w:sz w:val="21"/>
          <w:szCs w:val="21"/>
          <w:highlight w:val="none"/>
        </w:rPr>
        <w:t>的，提供联合协议；本项目不接受联合体或者</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不以联合体形式的，则不需要提供）</w:t>
      </w:r>
    </w:p>
    <w:p w14:paraId="6526CAB6">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hint="eastAsia" w:ascii="宋体" w:hAnsi="宋体" w:cs="宋体"/>
          <w:color w:val="auto"/>
          <w:kern w:val="0"/>
          <w:sz w:val="21"/>
          <w:szCs w:val="21"/>
          <w:highlight w:val="none"/>
          <w:u w:val="single"/>
        </w:rPr>
      </w:pPr>
    </w:p>
    <w:p w14:paraId="26B575D1">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组成一个联合体，以一个供应商的身份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lang w:eastAsia="zh-CN"/>
        </w:rPr>
        <w:t>2025年拱墅区部分校园广播系统改造采购</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QSZBB250044FHQT</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 </w:t>
      </w:r>
    </w:p>
    <w:p w14:paraId="2B030A04">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和合同实施阶段的主办、协调工作</w:t>
      </w:r>
      <w:r>
        <w:rPr>
          <w:rFonts w:hint="eastAsia" w:ascii="宋体" w:hAnsi="宋体" w:cs="宋体"/>
          <w:color w:val="auto"/>
          <w:kern w:val="0"/>
          <w:sz w:val="21"/>
          <w:szCs w:val="21"/>
          <w:highlight w:val="none"/>
          <w:lang w:val="zh-CN"/>
        </w:rPr>
        <w:t>。</w:t>
      </w:r>
    </w:p>
    <w:p w14:paraId="1454B7CA">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w:t>
      </w:r>
      <w:r>
        <w:rPr>
          <w:rFonts w:hint="eastAsia" w:ascii="宋体" w:hAnsi="宋体" w:cs="宋体"/>
          <w:color w:val="auto"/>
          <w:kern w:val="0"/>
          <w:sz w:val="21"/>
          <w:szCs w:val="21"/>
          <w:highlight w:val="none"/>
          <w:lang w:val="en-US" w:eastAsia="zh-CN"/>
        </w:rPr>
        <w:t>采购</w:t>
      </w:r>
      <w:r>
        <w:rPr>
          <w:rFonts w:hint="eastAsia" w:ascii="宋体" w:hAnsi="宋体" w:cs="宋体"/>
          <w:color w:val="auto"/>
          <w:kern w:val="0"/>
          <w:sz w:val="21"/>
          <w:szCs w:val="21"/>
          <w:highlight w:val="none"/>
          <w:lang w:val="zh-CN"/>
        </w:rPr>
        <w:t>文件规定及</w:t>
      </w:r>
      <w:r>
        <w:rPr>
          <w:rFonts w:hint="eastAsia" w:ascii="宋体" w:hAnsi="宋体" w:cs="宋体"/>
          <w:color w:val="auto"/>
          <w:kern w:val="0"/>
          <w:sz w:val="21"/>
          <w:szCs w:val="21"/>
          <w:highlight w:val="none"/>
          <w:lang w:val="en-US" w:eastAsia="zh-CN"/>
        </w:rPr>
        <w:t>响应</w:t>
      </w:r>
      <w:r>
        <w:rPr>
          <w:rFonts w:hint="eastAsia" w:ascii="宋体" w:hAnsi="宋体" w:cs="宋体"/>
          <w:color w:val="auto"/>
          <w:kern w:val="0"/>
          <w:sz w:val="21"/>
          <w:szCs w:val="21"/>
          <w:highlight w:val="none"/>
          <w:lang w:val="zh-CN"/>
        </w:rPr>
        <w:t>内容而对采购人、采购代理机构所作的任何合法承诺，包括书面澄清及相应</w:t>
      </w:r>
      <w:r>
        <w:rPr>
          <w:rFonts w:hint="eastAsia" w:ascii="宋体" w:hAnsi="宋体" w:cs="宋体"/>
          <w:color w:val="auto"/>
          <w:kern w:val="0"/>
          <w:sz w:val="21"/>
          <w:szCs w:val="21"/>
          <w:highlight w:val="none"/>
          <w:lang w:val="en-US" w:eastAsia="zh-CN"/>
        </w:rPr>
        <w:t>声明</w:t>
      </w:r>
      <w:r>
        <w:rPr>
          <w:rFonts w:hint="eastAsia" w:ascii="宋体" w:hAnsi="宋体" w:cs="宋体"/>
          <w:color w:val="auto"/>
          <w:kern w:val="0"/>
          <w:sz w:val="21"/>
          <w:szCs w:val="21"/>
          <w:highlight w:val="none"/>
          <w:lang w:val="zh-CN"/>
        </w:rPr>
        <w:t>等均对联合</w:t>
      </w:r>
      <w:r>
        <w:rPr>
          <w:rFonts w:hint="eastAsia" w:ascii="宋体" w:hAnsi="宋体" w:cs="宋体"/>
          <w:color w:val="auto"/>
          <w:kern w:val="0"/>
          <w:sz w:val="21"/>
          <w:szCs w:val="21"/>
          <w:highlight w:val="none"/>
          <w:lang w:val="en-US" w:eastAsia="zh-CN"/>
        </w:rPr>
        <w:t>参与</w:t>
      </w:r>
      <w:r>
        <w:rPr>
          <w:rFonts w:hint="eastAsia" w:ascii="宋体" w:hAnsi="宋体" w:cs="宋体"/>
          <w:color w:val="auto"/>
          <w:kern w:val="0"/>
          <w:sz w:val="21"/>
          <w:szCs w:val="21"/>
          <w:highlight w:val="none"/>
          <w:lang w:val="zh-CN"/>
        </w:rPr>
        <w:t>各方产生约束力。</w:t>
      </w:r>
    </w:p>
    <w:p w14:paraId="3AE53D71">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w:t>
      </w:r>
      <w:r>
        <w:rPr>
          <w:rFonts w:hint="eastAsia" w:ascii="宋体" w:hAnsi="宋体" w:cs="宋体"/>
          <w:color w:val="auto"/>
          <w:kern w:val="0"/>
          <w:sz w:val="21"/>
          <w:szCs w:val="21"/>
          <w:highlight w:val="none"/>
          <w:lang w:val="en-US" w:eastAsia="zh-CN"/>
        </w:rPr>
        <w:t>响应</w:t>
      </w:r>
      <w:r>
        <w:rPr>
          <w:rFonts w:hint="eastAsia" w:ascii="宋体" w:hAnsi="宋体" w:cs="宋体"/>
          <w:color w:val="auto"/>
          <w:kern w:val="0"/>
          <w:sz w:val="21"/>
          <w:szCs w:val="21"/>
          <w:highlight w:val="none"/>
          <w:lang w:val="zh-CN"/>
        </w:rPr>
        <w:t>中，分工如下：</w:t>
      </w:r>
    </w:p>
    <w:p w14:paraId="641E2A7D">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bookmarkStart w:id="17" w:name="_Hlk101134295"/>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41107128">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3A74628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bookmarkEnd w:id="17"/>
    <w:p w14:paraId="70F785B5">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7C8D4D2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strike/>
          <w:dstrike w:val="0"/>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X,</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提供的全部货物由小微企业制造，其合同份额占到合同总金额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p>
    <w:p w14:paraId="02374768">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w:t>
      </w:r>
      <w:r>
        <w:rPr>
          <w:rFonts w:hint="eastAsia" w:ascii="宋体" w:hAnsi="宋体" w:cs="宋体"/>
          <w:color w:val="auto"/>
          <w:sz w:val="21"/>
          <w:szCs w:val="21"/>
          <w:highlight w:val="none"/>
        </w:rPr>
        <w:t>联合体各成员方共同与采购人签订合同，并就采购合同约定的事项对采购人承担连带责任。</w:t>
      </w:r>
    </w:p>
    <w:p w14:paraId="21F31B4A">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w:t>
      </w:r>
      <w:r>
        <w:rPr>
          <w:rFonts w:hint="eastAsia" w:ascii="宋体" w:hAnsi="宋体" w:cs="宋体"/>
          <w:color w:val="auto"/>
          <w:kern w:val="0"/>
          <w:sz w:val="21"/>
          <w:szCs w:val="21"/>
          <w:highlight w:val="none"/>
          <w:lang w:val="en-US" w:eastAsia="zh-CN"/>
        </w:rPr>
        <w:t>响应</w:t>
      </w:r>
      <w:r>
        <w:rPr>
          <w:rFonts w:hint="eastAsia" w:ascii="宋体" w:hAnsi="宋体" w:cs="宋体"/>
          <w:color w:val="auto"/>
          <w:kern w:val="0"/>
          <w:sz w:val="21"/>
          <w:szCs w:val="21"/>
          <w:highlight w:val="none"/>
          <w:lang w:val="zh-CN"/>
        </w:rPr>
        <w:t>的其他事宜：</w:t>
      </w:r>
    </w:p>
    <w:p w14:paraId="6946FED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1、联合体各方不再单独参加或者与其他供应商另外组成联合体参加同一合同项下的采购活动。</w:t>
      </w:r>
    </w:p>
    <w:p w14:paraId="04ADA30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04EAEAF8">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30492F3D">
      <w:pPr>
        <w:keepNext w:val="0"/>
        <w:keepLines w:val="0"/>
        <w:pageBreakBefore w:val="0"/>
        <w:kinsoku/>
        <w:wordWrap/>
        <w:overflowPunct/>
        <w:topLinePunct w:val="0"/>
        <w:autoSpaceDE/>
        <w:autoSpaceDN/>
        <w:bidi w:val="0"/>
        <w:adjustRightInd w:val="0"/>
        <w:snapToGrid w:val="0"/>
        <w:spacing w:line="288" w:lineRule="auto"/>
        <w:ind w:right="0" w:firstLine="4200" w:firstLineChars="20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85BBCE4">
      <w:pPr>
        <w:keepNext w:val="0"/>
        <w:keepLines w:val="0"/>
        <w:pageBreakBefore w:val="0"/>
        <w:kinsoku/>
        <w:wordWrap/>
        <w:overflowPunct/>
        <w:topLinePunct w:val="0"/>
        <w:autoSpaceDE/>
        <w:autoSpaceDN/>
        <w:bidi w:val="0"/>
        <w:adjustRightInd w:val="0"/>
        <w:snapToGrid w:val="0"/>
        <w:spacing w:line="288" w:lineRule="auto"/>
        <w:ind w:right="0" w:firstLine="4200" w:firstLineChars="20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5B5F771E">
      <w:pPr>
        <w:keepNext w:val="0"/>
        <w:keepLines w:val="0"/>
        <w:pageBreakBefore w:val="0"/>
        <w:kinsoku/>
        <w:wordWrap/>
        <w:overflowPunct/>
        <w:topLinePunct w:val="0"/>
        <w:autoSpaceDE/>
        <w:autoSpaceDN/>
        <w:bidi w:val="0"/>
        <w:adjustRightInd w:val="0"/>
        <w:snapToGrid w:val="0"/>
        <w:spacing w:line="288" w:lineRule="auto"/>
        <w:ind w:right="0" w:firstLine="4200" w:firstLineChars="20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p w14:paraId="6385BFC6">
      <w:pPr>
        <w:keepNext w:val="0"/>
        <w:keepLines w:val="0"/>
        <w:pageBreakBefore w:val="0"/>
        <w:kinsoku/>
        <w:wordWrap/>
        <w:overflowPunct/>
        <w:topLinePunct w:val="0"/>
        <w:autoSpaceDE/>
        <w:autoSpaceDN/>
        <w:bidi w:val="0"/>
        <w:adjustRightInd w:val="0"/>
        <w:snapToGrid w:val="0"/>
        <w:spacing w:line="288" w:lineRule="auto"/>
        <w:ind w:right="0" w:firstLine="4200" w:firstLineChars="20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041530A0">
      <w:pPr>
        <w:keepNext w:val="0"/>
        <w:keepLines w:val="0"/>
        <w:pageBreakBefore w:val="0"/>
        <w:kinsoku/>
        <w:wordWrap/>
        <w:overflowPunct/>
        <w:topLinePunct w:val="0"/>
        <w:autoSpaceDE/>
        <w:autoSpaceDN/>
        <w:bidi w:val="0"/>
        <w:adjustRightInd w:val="0"/>
        <w:spacing w:line="288" w:lineRule="auto"/>
        <w:ind w:right="0"/>
        <w:textAlignment w:val="auto"/>
        <w:rPr>
          <w:rFonts w:hint="eastAsia" w:ascii="宋体" w:hAnsi="宋体" w:cs="宋体"/>
          <w:color w:val="auto"/>
          <w:sz w:val="21"/>
          <w:szCs w:val="21"/>
          <w:highlight w:val="none"/>
        </w:rPr>
      </w:pPr>
    </w:p>
    <w:p w14:paraId="5C52AC24">
      <w:pPr>
        <w:keepNext w:val="0"/>
        <w:keepLines w:val="0"/>
        <w:pageBreakBefore w:val="0"/>
        <w:kinsoku/>
        <w:wordWrap/>
        <w:overflowPunct/>
        <w:topLinePunct w:val="0"/>
        <w:autoSpaceDE/>
        <w:autoSpaceDN/>
        <w:bidi w:val="0"/>
        <w:adjustRightInd w:val="0"/>
        <w:spacing w:line="288" w:lineRule="auto"/>
        <w:ind w:righ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B8A5008">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15EDB996">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5</w:t>
      </w:r>
      <w:r>
        <w:rPr>
          <w:rFonts w:hint="eastAsia" w:ascii="宋体" w:hAnsi="宋体" w:cs="宋体"/>
          <w:b/>
          <w:color w:val="auto"/>
          <w:kern w:val="0"/>
          <w:sz w:val="32"/>
          <w:szCs w:val="32"/>
          <w:highlight w:val="none"/>
        </w:rPr>
        <w:t>：分包意向协议</w:t>
      </w:r>
    </w:p>
    <w:p w14:paraId="3888575A">
      <w:pPr>
        <w:pageBreakBefore w:val="0"/>
        <w:widowControl/>
        <w:kinsoku/>
        <w:wordWrap/>
        <w:overflowPunct/>
        <w:topLinePunct w:val="0"/>
        <w:autoSpaceDE/>
        <w:autoSpaceDN/>
        <w:bidi w:val="0"/>
        <w:spacing w:line="288" w:lineRule="auto"/>
        <w:ind w:left="0" w:leftChars="0" w:right="0" w:firstLine="105" w:firstLineChars="5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lang w:val="en-US" w:eastAsia="zh-CN"/>
        </w:rPr>
        <w:t>成交</w:t>
      </w:r>
      <w:r>
        <w:rPr>
          <w:rFonts w:hint="eastAsia" w:ascii="宋体" w:hAnsi="宋体" w:cs="宋体"/>
          <w:b/>
          <w:color w:val="auto"/>
          <w:sz w:val="21"/>
          <w:szCs w:val="21"/>
          <w:highlight w:val="none"/>
        </w:rPr>
        <w:t>后以分包方式履行合同的，提供分包意向协议；采购人不同意分包或者</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lang w:val="en-US" w:eastAsia="zh-CN"/>
        </w:rPr>
        <w:t>成交</w:t>
      </w:r>
      <w:r>
        <w:rPr>
          <w:rFonts w:hint="eastAsia" w:ascii="宋体" w:hAnsi="宋体" w:cs="宋体"/>
          <w:b/>
          <w:color w:val="auto"/>
          <w:sz w:val="21"/>
          <w:szCs w:val="21"/>
          <w:highlight w:val="none"/>
        </w:rPr>
        <w:t>后不以分包方式履行合同的，则不需要提供。</w:t>
      </w:r>
      <w:r>
        <w:rPr>
          <w:rFonts w:hint="eastAsia" w:ascii="宋体" w:hAnsi="宋体" w:cs="宋体"/>
          <w:color w:val="auto"/>
          <w:sz w:val="21"/>
          <w:szCs w:val="21"/>
          <w:highlight w:val="none"/>
        </w:rPr>
        <w:t>）</w:t>
      </w:r>
    </w:p>
    <w:p w14:paraId="1BC86BCB">
      <w:pPr>
        <w:pageBreakBefore w:val="0"/>
        <w:kinsoku/>
        <w:wordWrap/>
        <w:overflowPunct/>
        <w:topLinePunct w:val="0"/>
        <w:autoSpaceDE/>
        <w:autoSpaceDN/>
        <w:bidi w:val="0"/>
        <w:snapToGrid w:val="0"/>
        <w:spacing w:line="288" w:lineRule="auto"/>
        <w:ind w:left="0" w:leftChars="0"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lang w:eastAsia="zh-CN"/>
        </w:rPr>
        <w:t>2025年拱墅区部分校园广播系统改造采购</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QSZBB250044FHQT</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的成交供应商，将依法采取分包方式履行合同。</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731D60EA">
      <w:pPr>
        <w:pageBreakBefore w:val="0"/>
        <w:kinsoku/>
        <w:wordWrap/>
        <w:overflowPunct/>
        <w:topLinePunct w:val="0"/>
        <w:autoSpaceDE/>
        <w:autoSpaceDN/>
        <w:bidi w:val="0"/>
        <w:snapToGrid w:val="0"/>
        <w:spacing w:line="288" w:lineRule="auto"/>
        <w:ind w:left="0" w:leftChars="0"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64868485">
      <w:pPr>
        <w:pageBreakBefore w:val="0"/>
        <w:kinsoku/>
        <w:wordWrap/>
        <w:overflowPunct/>
        <w:topLinePunct w:val="0"/>
        <w:autoSpaceDE/>
        <w:autoSpaceDN/>
        <w:bidi w:val="0"/>
        <w:snapToGrid w:val="0"/>
        <w:spacing w:line="288" w:lineRule="auto"/>
        <w:ind w:left="0" w:leftChars="0" w:right="0" w:firstLine="576"/>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lang w:val="zh-CN"/>
        </w:rPr>
        <w:t>将</w:t>
      </w:r>
      <w:r>
        <w:rPr>
          <w:rFonts w:hint="eastAsia" w:ascii="宋体" w:hAnsi="宋体" w:cs="宋体"/>
          <w:color w:val="auto"/>
          <w:sz w:val="21"/>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191FDEAA">
      <w:pPr>
        <w:pageBreakBefore w:val="0"/>
        <w:kinsoku/>
        <w:wordWrap/>
        <w:overflowPunct/>
        <w:topLinePunct w:val="0"/>
        <w:autoSpaceDE/>
        <w:autoSpaceDN/>
        <w:bidi w:val="0"/>
        <w:snapToGrid w:val="0"/>
        <w:spacing w:line="288" w:lineRule="auto"/>
        <w:ind w:left="0" w:leftChars="0" w:right="0" w:firstLine="576"/>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01D1087C">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二</w:t>
      </w:r>
      <w:r>
        <w:rPr>
          <w:rFonts w:hint="eastAsia" w:ascii="宋体" w:hAnsi="宋体" w:cs="宋体"/>
          <w:color w:val="auto"/>
          <w:kern w:val="0"/>
          <w:sz w:val="21"/>
          <w:szCs w:val="21"/>
          <w:highlight w:val="none"/>
          <w:lang w:val="zh-CN"/>
        </w:rPr>
        <w:t>、分包工作履行期限、地点、方式</w:t>
      </w:r>
    </w:p>
    <w:p w14:paraId="4F154967">
      <w:pPr>
        <w:pageBreakBefore w:val="0"/>
        <w:kinsoku/>
        <w:wordWrap/>
        <w:overflowPunct/>
        <w:topLinePunct w:val="0"/>
        <w:autoSpaceDE/>
        <w:autoSpaceDN/>
        <w:bidi w:val="0"/>
        <w:snapToGrid w:val="0"/>
        <w:spacing w:line="288" w:lineRule="auto"/>
        <w:ind w:right="0"/>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122D31E2">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三</w:t>
      </w:r>
      <w:r>
        <w:rPr>
          <w:rFonts w:hint="eastAsia" w:ascii="宋体" w:hAnsi="宋体" w:cs="宋体"/>
          <w:color w:val="auto"/>
          <w:kern w:val="0"/>
          <w:sz w:val="21"/>
          <w:szCs w:val="21"/>
          <w:highlight w:val="none"/>
          <w:lang w:val="zh-CN"/>
        </w:rPr>
        <w:t>、质量</w:t>
      </w:r>
    </w:p>
    <w:p w14:paraId="17E9DDBF">
      <w:pPr>
        <w:pageBreakBefore w:val="0"/>
        <w:kinsoku/>
        <w:wordWrap/>
        <w:overflowPunct/>
        <w:topLinePunct w:val="0"/>
        <w:autoSpaceDE/>
        <w:autoSpaceDN/>
        <w:bidi w:val="0"/>
        <w:snapToGrid w:val="0"/>
        <w:spacing w:line="288" w:lineRule="auto"/>
        <w:ind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2884B540">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四</w:t>
      </w:r>
      <w:r>
        <w:rPr>
          <w:rFonts w:hint="eastAsia" w:ascii="宋体" w:hAnsi="宋体" w:cs="宋体"/>
          <w:color w:val="auto"/>
          <w:kern w:val="0"/>
          <w:sz w:val="21"/>
          <w:szCs w:val="21"/>
          <w:highlight w:val="none"/>
          <w:lang w:val="zh-CN"/>
        </w:rPr>
        <w:t>、价款或者报酬</w:t>
      </w:r>
    </w:p>
    <w:p w14:paraId="12462CA6">
      <w:pPr>
        <w:pageBreakBefore w:val="0"/>
        <w:kinsoku/>
        <w:wordWrap/>
        <w:overflowPunct/>
        <w:topLinePunct w:val="0"/>
        <w:autoSpaceDE/>
        <w:autoSpaceDN/>
        <w:bidi w:val="0"/>
        <w:snapToGrid w:val="0"/>
        <w:spacing w:line="288" w:lineRule="auto"/>
        <w:ind w:left="0" w:leftChars="0"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316F6FFF">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五</w:t>
      </w:r>
      <w:r>
        <w:rPr>
          <w:rFonts w:hint="eastAsia" w:ascii="宋体" w:hAnsi="宋体" w:cs="宋体"/>
          <w:color w:val="auto"/>
          <w:kern w:val="0"/>
          <w:sz w:val="21"/>
          <w:szCs w:val="21"/>
          <w:highlight w:val="none"/>
          <w:lang w:val="zh-CN"/>
        </w:rPr>
        <w:t>、违约责任</w:t>
      </w:r>
    </w:p>
    <w:p w14:paraId="205A3A43">
      <w:pPr>
        <w:pageBreakBefore w:val="0"/>
        <w:kinsoku/>
        <w:wordWrap/>
        <w:overflowPunct/>
        <w:topLinePunct w:val="0"/>
        <w:autoSpaceDE/>
        <w:autoSpaceDN/>
        <w:bidi w:val="0"/>
        <w:snapToGrid w:val="0"/>
        <w:spacing w:line="288" w:lineRule="auto"/>
        <w:ind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47266D0F">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六</w:t>
      </w:r>
      <w:r>
        <w:rPr>
          <w:rFonts w:hint="eastAsia" w:ascii="宋体" w:hAnsi="宋体" w:cs="宋体"/>
          <w:color w:val="auto"/>
          <w:kern w:val="0"/>
          <w:sz w:val="21"/>
          <w:szCs w:val="21"/>
          <w:highlight w:val="none"/>
          <w:lang w:val="zh-CN"/>
        </w:rPr>
        <w:t>、争议解决的办法</w:t>
      </w:r>
    </w:p>
    <w:p w14:paraId="780A78C3">
      <w:pPr>
        <w:pageBreakBefore w:val="0"/>
        <w:kinsoku/>
        <w:wordWrap/>
        <w:overflowPunct/>
        <w:topLinePunct w:val="0"/>
        <w:autoSpaceDE/>
        <w:autoSpaceDN/>
        <w:bidi w:val="0"/>
        <w:snapToGrid w:val="0"/>
        <w:spacing w:line="288" w:lineRule="auto"/>
        <w:ind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284F495A">
      <w:pPr>
        <w:pageBreakBefore w:val="0"/>
        <w:kinsoku/>
        <w:wordWrap/>
        <w:overflowPunct/>
        <w:topLinePunct w:val="0"/>
        <w:autoSpaceDE/>
        <w:autoSpaceDN/>
        <w:bidi w:val="0"/>
        <w:snapToGrid w:val="0"/>
        <w:spacing w:line="288" w:lineRule="auto"/>
        <w:ind w:left="4410" w:leftChars="2100" w:right="0" w:firstLine="0" w:firstLineChars="0"/>
        <w:textAlignment w:val="auto"/>
        <w:rPr>
          <w:rFonts w:hint="eastAsia" w:ascii="宋体" w:hAnsi="宋体" w:cs="宋体"/>
          <w:color w:val="auto"/>
          <w:kern w:val="0"/>
          <w:sz w:val="21"/>
          <w:szCs w:val="21"/>
          <w:highlight w:val="none"/>
          <w:lang w:val="zh-CN"/>
        </w:rPr>
      </w:pPr>
    </w:p>
    <w:p w14:paraId="46BA4CCF">
      <w:pPr>
        <w:pageBreakBefore w:val="0"/>
        <w:kinsoku/>
        <w:wordWrap/>
        <w:overflowPunct/>
        <w:topLinePunct w:val="0"/>
        <w:autoSpaceDE/>
        <w:autoSpaceDN/>
        <w:bidi w:val="0"/>
        <w:snapToGrid w:val="0"/>
        <w:spacing w:line="288" w:lineRule="auto"/>
        <w:ind w:left="4410" w:leftChars="2100" w:right="0" w:firstLine="0" w:firstLineChars="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供应商名称(电子签名)：</w:t>
      </w:r>
    </w:p>
    <w:p w14:paraId="17CC398B">
      <w:pPr>
        <w:pageBreakBefore w:val="0"/>
        <w:kinsoku/>
        <w:wordWrap/>
        <w:overflowPunct/>
        <w:topLinePunct w:val="0"/>
        <w:autoSpaceDE/>
        <w:autoSpaceDN/>
        <w:bidi w:val="0"/>
        <w:snapToGrid w:val="0"/>
        <w:spacing w:line="288" w:lineRule="auto"/>
        <w:ind w:left="0" w:leftChars="0" w:right="0" w:firstLine="4410" w:firstLineChars="21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分包供应商名称(电子签名/公章)：</w:t>
      </w:r>
    </w:p>
    <w:p w14:paraId="3A5E4AFB">
      <w:pPr>
        <w:pageBreakBefore w:val="0"/>
        <w:kinsoku/>
        <w:wordWrap/>
        <w:overflowPunct/>
        <w:topLinePunct w:val="0"/>
        <w:autoSpaceDE/>
        <w:autoSpaceDN/>
        <w:bidi w:val="0"/>
        <w:snapToGrid w:val="0"/>
        <w:spacing w:line="288" w:lineRule="auto"/>
        <w:ind w:left="0" w:leftChars="0" w:right="0" w:firstLine="5040" w:firstLineChars="24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311ABE81">
      <w:pPr>
        <w:pageBreakBefore w:val="0"/>
        <w:kinsoku/>
        <w:wordWrap/>
        <w:overflowPunct/>
        <w:topLinePunct w:val="0"/>
        <w:autoSpaceDE/>
        <w:autoSpaceDN/>
        <w:bidi w:val="0"/>
        <w:spacing w:line="288" w:lineRule="auto"/>
        <w:ind w:left="0" w:leftChars="0" w:right="0" w:firstLine="4410" w:firstLineChars="21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281D15C3">
      <w:pPr>
        <w:pageBreakBefore w:val="0"/>
        <w:kinsoku/>
        <w:wordWrap/>
        <w:overflowPunct/>
        <w:topLinePunct w:val="0"/>
        <w:autoSpaceDE/>
        <w:autoSpaceDN/>
        <w:bidi w:val="0"/>
        <w:spacing w:line="288" w:lineRule="auto"/>
        <w:ind w:left="0" w:leftChars="0" w:right="0"/>
        <w:textAlignment w:val="auto"/>
        <w:rPr>
          <w:rFonts w:hint="eastAsia" w:ascii="宋体" w:hAnsi="宋体" w:cs="宋体"/>
          <w:color w:val="auto"/>
          <w:sz w:val="21"/>
          <w:szCs w:val="21"/>
          <w:highlight w:val="none"/>
        </w:rPr>
      </w:pPr>
    </w:p>
    <w:p w14:paraId="6BAE25E7">
      <w:pPr>
        <w:pageBreakBefore w:val="0"/>
        <w:kinsoku/>
        <w:wordWrap/>
        <w:overflowPunct/>
        <w:topLinePunct w:val="0"/>
        <w:autoSpaceDE/>
        <w:autoSpaceDN/>
        <w:bidi w:val="0"/>
        <w:spacing w:line="288" w:lineRule="auto"/>
        <w:ind w:left="0" w:leftChars="0" w:right="0"/>
        <w:textAlignment w:val="auto"/>
        <w:rPr>
          <w:color w:val="auto"/>
          <w:highlight w:val="none"/>
        </w:rPr>
      </w:pPr>
      <w:r>
        <w:rPr>
          <w:rFonts w:hint="eastAsia" w:ascii="宋体" w:hAnsi="宋体" w:cs="宋体"/>
          <w:color w:val="auto"/>
          <w:sz w:val="21"/>
          <w:szCs w:val="21"/>
          <w:highlight w:val="none"/>
        </w:rPr>
        <w:t>注：按本格式和要求提供。</w:t>
      </w:r>
    </w:p>
    <w:sectPr>
      <w:headerReference r:id="rId15" w:type="default"/>
      <w:footerReference r:id="rId16" w:type="default"/>
      <w:pgSz w:w="11906" w:h="16838"/>
      <w:pgMar w:top="1247" w:right="1247" w:bottom="1247" w:left="124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83181">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0041115">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9DEE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BFB46D">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D65A">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08E7E3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C7D9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EF459D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8C4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6D894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2B5A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6A722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B47DA">
    <w:pPr>
      <w:pStyle w:val="10"/>
      <w:tabs>
        <w:tab w:val="right" w:pos="9901"/>
      </w:tabs>
      <w:ind w:right="105"/>
      <w:jc w:val="center"/>
      <w:rPr>
        <w:sz w:val="21"/>
      </w:rPr>
    </w:pPr>
    <w:r>
      <w:fldChar w:fldCharType="begin"/>
    </w:r>
    <w:r>
      <w:rPr>
        <w:rStyle w:val="15"/>
      </w:rPr>
      <w:instrText xml:space="preserve"> PAGE </w:instrText>
    </w:r>
    <w:r>
      <w:fldChar w:fldCharType="separate"/>
    </w:r>
    <w:r>
      <w:rPr>
        <w:rStyle w:val="15"/>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CE3B9">
    <w:pPr>
      <w:pStyle w:val="11"/>
      <w:jc w:val="right"/>
      <w:rPr>
        <w:rFonts w:ascii="仿宋_GB2312" w:eastAsia="仿宋_GB2312"/>
        <w:b/>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DDB51">
    <w:pPr>
      <w:pStyle w:val="11"/>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DA31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10D38">
    <w:pPr>
      <w:pStyle w:val="11"/>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DCB2E">
    <w:pPr>
      <w:pStyle w:val="11"/>
      <w:jc w:val="right"/>
      <w:rPr>
        <w:rFonts w:ascii="仿宋_GB2312" w:eastAsia="仿宋_GB2312"/>
        <w:b/>
        <w:i/>
        <w:u w:val="single"/>
      </w:rPr>
    </w:pPr>
    <w:r>
      <w:rPr>
        <w:rFonts w:hint="eastAsia"/>
      </w:rPr>
      <w:t xml:space="preserve">                                 </w:t>
    </w:r>
  </w:p>
  <w:p w14:paraId="423B617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5984F">
    <w:pPr>
      <w:pStyle w:val="11"/>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18D9">
    <w:pPr>
      <w:pStyle w:val="11"/>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C6493"/>
    <w:multiLevelType w:val="singleLevel"/>
    <w:tmpl w:val="84EC6493"/>
    <w:lvl w:ilvl="0" w:tentative="0">
      <w:start w:val="1"/>
      <w:numFmt w:val="decimal"/>
      <w:lvlText w:val="%1."/>
      <w:lvlJc w:val="left"/>
      <w:pPr>
        <w:tabs>
          <w:tab w:val="left" w:pos="312"/>
        </w:tabs>
      </w:pPr>
    </w:lvl>
  </w:abstractNum>
  <w:abstractNum w:abstractNumId="1">
    <w:nsid w:val="F5FC4161"/>
    <w:multiLevelType w:val="singleLevel"/>
    <w:tmpl w:val="F5FC4161"/>
    <w:lvl w:ilvl="0" w:tentative="0">
      <w:start w:val="1"/>
      <w:numFmt w:val="decimal"/>
      <w:lvlText w:val="%1."/>
      <w:lvlJc w:val="left"/>
      <w:pPr>
        <w:tabs>
          <w:tab w:val="left" w:pos="312"/>
        </w:tabs>
      </w:pPr>
    </w:lvl>
  </w:abstractNum>
  <w:abstractNum w:abstractNumId="2">
    <w:nsid w:val="29385230"/>
    <w:multiLevelType w:val="singleLevel"/>
    <w:tmpl w:val="29385230"/>
    <w:lvl w:ilvl="0" w:tentative="0">
      <w:start w:val="5"/>
      <w:numFmt w:val="decimal"/>
      <w:suff w:val="nothing"/>
      <w:lvlText w:val="（%1）"/>
      <w:lvlJc w:val="left"/>
    </w:lvl>
  </w:abstractNum>
  <w:abstractNum w:abstractNumId="3">
    <w:nsid w:val="6BCC4D1F"/>
    <w:multiLevelType w:val="singleLevel"/>
    <w:tmpl w:val="6BCC4D1F"/>
    <w:lvl w:ilvl="0" w:tentative="0">
      <w:start w:val="1"/>
      <w:numFmt w:val="decimal"/>
      <w:suff w:val="nothing"/>
      <w:lvlText w:val="（%1）"/>
      <w:lvlJc w:val="left"/>
    </w:lvl>
  </w:abstractNum>
  <w:abstractNum w:abstractNumId="4">
    <w:nsid w:val="6BF94EFD"/>
    <w:multiLevelType w:val="singleLevel"/>
    <w:tmpl w:val="6BF94EFD"/>
    <w:lvl w:ilvl="0" w:tentative="0">
      <w:start w:val="1"/>
      <w:numFmt w:val="decimal"/>
      <w:lvlText w:val="%1."/>
      <w:lvlJc w:val="left"/>
      <w:pPr>
        <w:tabs>
          <w:tab w:val="left" w:pos="312"/>
        </w:tabs>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Y2JiODllNTJmMDUwM2U0ZDcyZGNkNmUyNDhlMmMifQ=="/>
  </w:docVars>
  <w:rsids>
    <w:rsidRoot w:val="2BF0106E"/>
    <w:rsid w:val="01A323DA"/>
    <w:rsid w:val="03DA692D"/>
    <w:rsid w:val="054866C7"/>
    <w:rsid w:val="060B65D1"/>
    <w:rsid w:val="07A67AF9"/>
    <w:rsid w:val="08703B0F"/>
    <w:rsid w:val="087D2E79"/>
    <w:rsid w:val="0923202A"/>
    <w:rsid w:val="0AC840F1"/>
    <w:rsid w:val="0C782642"/>
    <w:rsid w:val="0CDE52DC"/>
    <w:rsid w:val="0E2F3F1C"/>
    <w:rsid w:val="0E4E0E25"/>
    <w:rsid w:val="0F750B06"/>
    <w:rsid w:val="0FDB7AD2"/>
    <w:rsid w:val="11C34E28"/>
    <w:rsid w:val="135E569C"/>
    <w:rsid w:val="156D5B49"/>
    <w:rsid w:val="15E306B0"/>
    <w:rsid w:val="165759F6"/>
    <w:rsid w:val="1B93081B"/>
    <w:rsid w:val="1DBC5CD1"/>
    <w:rsid w:val="1FF4387B"/>
    <w:rsid w:val="205C082C"/>
    <w:rsid w:val="27F6168F"/>
    <w:rsid w:val="27FC5390"/>
    <w:rsid w:val="29F961FC"/>
    <w:rsid w:val="2BEB2A07"/>
    <w:rsid w:val="2BF0106E"/>
    <w:rsid w:val="2ED7551E"/>
    <w:rsid w:val="31190AFB"/>
    <w:rsid w:val="32C9288D"/>
    <w:rsid w:val="33875FE3"/>
    <w:rsid w:val="34415F8F"/>
    <w:rsid w:val="34873C03"/>
    <w:rsid w:val="34D94A43"/>
    <w:rsid w:val="3B855B0F"/>
    <w:rsid w:val="3C1A7270"/>
    <w:rsid w:val="3D255BE0"/>
    <w:rsid w:val="3E6377F6"/>
    <w:rsid w:val="45700634"/>
    <w:rsid w:val="4F3501F1"/>
    <w:rsid w:val="4F6B7F73"/>
    <w:rsid w:val="510F41E7"/>
    <w:rsid w:val="53FD3A91"/>
    <w:rsid w:val="5665169A"/>
    <w:rsid w:val="57482A8C"/>
    <w:rsid w:val="57B63E99"/>
    <w:rsid w:val="595D7BBA"/>
    <w:rsid w:val="5BB654AA"/>
    <w:rsid w:val="5CE65375"/>
    <w:rsid w:val="5D927C9A"/>
    <w:rsid w:val="5DBE49C3"/>
    <w:rsid w:val="62DF2A10"/>
    <w:rsid w:val="63A64DC2"/>
    <w:rsid w:val="64925191"/>
    <w:rsid w:val="6C3B3ACD"/>
    <w:rsid w:val="6DC97984"/>
    <w:rsid w:val="725903E4"/>
    <w:rsid w:val="766D79C1"/>
    <w:rsid w:val="776512FF"/>
    <w:rsid w:val="7A512F54"/>
    <w:rsid w:val="7C5844F3"/>
    <w:rsid w:val="7E1E2B03"/>
    <w:rsid w:val="BAFFA711"/>
    <w:rsid w:val="FBA56441"/>
    <w:rsid w:val="FFFF8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360" w:lineRule="auto"/>
      <w:jc w:val="center"/>
      <w:outlineLvl w:val="0"/>
    </w:pPr>
    <w:rPr>
      <w:b/>
      <w:color w:val="000000"/>
      <w:sz w:val="32"/>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0"/>
    <w:pPr>
      <w:jc w:val="left"/>
    </w:p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qFormat/>
    <w:uiPriority w:val="0"/>
    <w:pPr>
      <w:tabs>
        <w:tab w:val="center" w:pos="4153"/>
        <w:tab w:val="right" w:pos="8306"/>
      </w:tabs>
      <w:snapToGrid w:val="0"/>
      <w:jc w:val="center"/>
    </w:pPr>
    <w:rPr>
      <w:rFonts w:asciiTheme="minorHAnsi" w:hAnsiTheme="minorHAnsi" w:cstheme="minorBidi"/>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rPr>
      <w:rFonts w:eastAsia="Arial"/>
    </w:rPr>
  </w:style>
  <w:style w:type="character" w:styleId="16">
    <w:name w:val="Hyperlink"/>
    <w:qFormat/>
    <w:uiPriority w:val="99"/>
    <w:rPr>
      <w:rFonts w:ascii="Arial" w:hAnsi="Arial" w:eastAsia="黑体" w:cs="Arial"/>
      <w:snapToGrid w:val="0"/>
      <w:color w:val="000000"/>
      <w:kern w:val="0"/>
      <w:sz w:val="18"/>
      <w:szCs w:val="18"/>
      <w:u w:val="none"/>
    </w:rPr>
  </w:style>
  <w:style w:type="paragraph" w:customStyle="1" w:styleId="17">
    <w:name w:val="正文2"/>
    <w:basedOn w:val="1"/>
    <w:qFormat/>
    <w:uiPriority w:val="0"/>
    <w:pPr>
      <w:spacing w:before="156" w:line="360" w:lineRule="auto"/>
      <w:ind w:firstLine="510" w:firstLineChars="200"/>
    </w:pPr>
    <w:rPr>
      <w:sz w:val="24"/>
      <w:szCs w:val="20"/>
    </w:rPr>
  </w:style>
  <w:style w:type="paragraph" w:customStyle="1" w:styleId="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0">
    <w:name w:val="纯文本_0_0"/>
    <w:basedOn w:val="21"/>
    <w:qFormat/>
    <w:uiPriority w:val="0"/>
    <w:rPr>
      <w:rFonts w:ascii="宋体" w:hAnsi="Courier New"/>
      <w:szCs w:val="21"/>
    </w:rPr>
  </w:style>
  <w:style w:type="paragraph" w:customStyle="1" w:styleId="2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jpe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62</Words>
  <Characters>80</Characters>
  <Lines>1</Lines>
  <Paragraphs>1</Paragraphs>
  <TotalTime>40</TotalTime>
  <ScaleCrop>false</ScaleCrop>
  <LinksUpToDate>false</LinksUpToDate>
  <CharactersWithSpaces>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2024-12-19T06:24:00Z</dcterms:created>
  <dc:creator>administer</dc:creator>
  <cp:lastModifiedBy>俞炳</cp:lastModifiedBy>
  <dcterms:modified xsi:type="dcterms:W3CDTF">2025-07-03T01:44:27Z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05555639CA574790AAF5D7086775307A_13</vt:lpwstr>
  </property>
  <property fmtid="{D5CDD505-2E9C-101B-9397-08002B2CF9AE}" pid="4" name="KSOTemplateDocerSaveRecord">
    <vt:lpwstr>eyJoZGlkIjoiNDA1NjJhY2YzNGY0NzY5M2ZmM2Y0ZjcwMmY2ODQ2YTYiLCJ1c2VySWQiOiIxNjEzNTQ4OTc4In0=</vt:lpwstr>
  </property>
</Properties>
</file>