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FD330">
      <w:pPr>
        <w:adjustRightInd w:val="0"/>
        <w:snapToGrid w:val="0"/>
        <w:spacing w:line="288" w:lineRule="auto"/>
        <w:jc w:val="center"/>
        <w:outlineLvl w:val="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采购需求</w:t>
      </w:r>
    </w:p>
    <w:p w14:paraId="401B4103">
      <w:pPr>
        <w:adjustRightInd w:val="0"/>
        <w:snapToGrid w:val="0"/>
        <w:spacing w:line="288" w:lineRule="auto"/>
        <w:ind w:left="238" w:hanging="238" w:hangingChars="113"/>
        <w:outlineLvl w:val="1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一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为落实政府采购政策需满足的要求：</w:t>
      </w:r>
    </w:p>
    <w:tbl>
      <w:tblPr>
        <w:tblStyle w:val="4"/>
        <w:tblW w:w="949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07"/>
        <w:gridCol w:w="5678"/>
      </w:tblGrid>
      <w:tr w14:paraId="414E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 w14:paraId="1D868451"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bookmarkStart w:id="0" w:name="_Hlk45005599"/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107" w:type="dxa"/>
            <w:vAlign w:val="center"/>
          </w:tcPr>
          <w:p w14:paraId="6AA95FF4"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政策名称</w:t>
            </w:r>
          </w:p>
        </w:tc>
        <w:tc>
          <w:tcPr>
            <w:tcW w:w="5678" w:type="dxa"/>
            <w:vAlign w:val="center"/>
          </w:tcPr>
          <w:p w14:paraId="4B42BEAC"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内容</w:t>
            </w:r>
          </w:p>
        </w:tc>
      </w:tr>
      <w:tr w14:paraId="46D2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08" w:type="dxa"/>
            <w:vAlign w:val="center"/>
          </w:tcPr>
          <w:p w14:paraId="7E5546A2"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22A9B8BF"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政府采购促进中小企业发展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375DFAFA">
            <w:pPr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提供材料详见招标文件第六章“报价文件”</w:t>
            </w:r>
          </w:p>
          <w:p w14:paraId="0A59FDDD">
            <w:pPr>
              <w:adjustRightInd w:val="0"/>
              <w:snapToGrid w:val="0"/>
              <w:spacing w:line="288" w:lineRule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本项目属性为：服务</w:t>
            </w:r>
          </w:p>
          <w:p w14:paraId="0DA35A53">
            <w:pPr>
              <w:adjustRightInd w:val="0"/>
              <w:snapToGrid w:val="0"/>
              <w:spacing w:line="288" w:lineRule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采购标的对应的中小企业划分标准所属行业：物业管理</w:t>
            </w:r>
          </w:p>
          <w:p w14:paraId="540A0266">
            <w:pPr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中小企业划型标准：从业人员1000人以下或营业收入5000万元以下的为中小微型企业。其中，从业人员300人及以上，且营业收入1000万元及以上的为中型企业；从业人员100人及以上，且营业收入500万元及以上的为小型企业；从业人员100人以下或营业收入500万元以下的为微型企业。</w:t>
            </w:r>
          </w:p>
        </w:tc>
      </w:tr>
      <w:tr w14:paraId="707C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 w14:paraId="1EC75733"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5D60420E"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政府采购支持监狱企业发展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7D6A1A04">
            <w:pPr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提供材料详见招标文件第六章“报价文件”</w:t>
            </w:r>
          </w:p>
        </w:tc>
      </w:tr>
      <w:tr w14:paraId="7CFD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 w14:paraId="42EDDEBA"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5A828B9F"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政府采购促进残疾人就业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596E7180">
            <w:pPr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提供材料详见招标文件第六章“报价文件”</w:t>
            </w:r>
          </w:p>
        </w:tc>
      </w:tr>
      <w:bookmarkEnd w:id="0"/>
    </w:tbl>
    <w:p w14:paraId="073C198B">
      <w:pPr>
        <w:adjustRightInd w:val="0"/>
        <w:snapToGrid w:val="0"/>
        <w:spacing w:line="288" w:lineRule="auto"/>
        <w:rPr>
          <w:rFonts w:hint="eastAsia" w:ascii="宋体" w:hAnsi="宋体"/>
          <w:sz w:val="21"/>
          <w:szCs w:val="21"/>
        </w:rPr>
      </w:pPr>
    </w:p>
    <w:p w14:paraId="0C255EAA">
      <w:pPr>
        <w:adjustRightInd w:val="0"/>
        <w:snapToGrid w:val="0"/>
        <w:spacing w:line="288" w:lineRule="auto"/>
        <w:outlineLvl w:val="1"/>
        <w:rPr>
          <w:rFonts w:ascii="宋体" w:hAnsi="宋体"/>
          <w:b/>
          <w:sz w:val="21"/>
          <w:szCs w:val="21"/>
          <w:highlight w:val="yellow"/>
        </w:rPr>
      </w:pPr>
      <w:r>
        <w:rPr>
          <w:rFonts w:hint="eastAsia" w:ascii="宋体" w:hAnsi="宋体"/>
          <w:b/>
          <w:sz w:val="21"/>
          <w:szCs w:val="21"/>
        </w:rPr>
        <w:t>二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采购资金的支付方式、时间、条件：</w:t>
      </w:r>
    </w:p>
    <w:p w14:paraId="48EDEC0D">
      <w:pPr>
        <w:spacing w:line="288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1、支付方式：</w:t>
      </w:r>
    </w:p>
    <w:p w14:paraId="3081EF58">
      <w:pPr>
        <w:spacing w:line="288" w:lineRule="auto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物业管理服务费由需方负责支付。物业服务企业物业管理服务费按季结算，每季度末期执行，第四季度待年度考核结束后执行。供方凭需方发出的年度考核合格通知书结算服务费；年度考核加权综合得分低于90分的，由需方按照《浙江大学后勤服务管理考核办法》进行结算支付。</w:t>
      </w:r>
    </w:p>
    <w:p w14:paraId="526CAE80">
      <w:pPr>
        <w:spacing w:line="288" w:lineRule="auto"/>
        <w:ind w:firstLine="420" w:firstLineChars="200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（2）履约保证金：供方应及时向浙江大学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青山湖能源研究基地</w:t>
      </w:r>
      <w:r>
        <w:rPr>
          <w:rFonts w:hint="eastAsia" w:ascii="宋体" w:hAnsi="宋体"/>
          <w:color w:val="auto"/>
          <w:sz w:val="21"/>
          <w:szCs w:val="21"/>
        </w:rPr>
        <w:t>缴交履约保证金。本合同履约保证金为人民币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伍</w:t>
      </w:r>
      <w:r>
        <w:rPr>
          <w:rFonts w:hint="eastAsia" w:ascii="宋体" w:hAnsi="宋体"/>
          <w:color w:val="auto"/>
          <w:sz w:val="21"/>
          <w:szCs w:val="21"/>
        </w:rPr>
        <w:t xml:space="preserve">万元（¥50000元），履约保证金存续时间与合同有效期相同，该保证金在需方的规定存续期间不计息。 </w:t>
      </w:r>
    </w:p>
    <w:p w14:paraId="415E7ADB">
      <w:pPr>
        <w:spacing w:line="288" w:lineRule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2、履约金的收据及退还：</w:t>
      </w:r>
    </w:p>
    <w:p w14:paraId="7A1FC013">
      <w:pPr>
        <w:spacing w:line="288" w:lineRule="auto"/>
        <w:ind w:firstLine="420" w:firstLineChars="200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1）需方认为供方（中标人）在服务期内没有涉及需方的应付而未付金额或违约行为，需方在服务期满后或提前终止合同后20个工作日内全额退还履约保证金，否则，需方将在扣除供方（中标人）应付金额或违约金后退还履约保证金。</w:t>
      </w:r>
    </w:p>
    <w:p w14:paraId="5ADA80DD">
      <w:pPr>
        <w:spacing w:line="288" w:lineRule="auto"/>
        <w:ind w:firstLine="420" w:firstLineChars="200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（2）转账后可不开收据，届时凭需方同意退质保金的说明到浙江大学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青山湖能源研究基地</w:t>
      </w:r>
      <w:r>
        <w:rPr>
          <w:rFonts w:hint="eastAsia" w:ascii="宋体" w:hAnsi="宋体"/>
          <w:color w:val="auto"/>
          <w:sz w:val="21"/>
          <w:szCs w:val="21"/>
        </w:rPr>
        <w:t>退还履约金。</w:t>
      </w:r>
    </w:p>
    <w:p w14:paraId="4C95C9C4">
      <w:pPr>
        <w:spacing w:line="288" w:lineRule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3、履约保证金的交纳：</w:t>
      </w:r>
    </w:p>
    <w:p w14:paraId="68FB5DDC">
      <w:pPr>
        <w:spacing w:line="288" w:lineRule="auto"/>
        <w:ind w:firstLine="420" w:firstLineChars="200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履约保证金交纳履约金到以下帐户，不用联系浙江大学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青山湖能源研究基地</w:t>
      </w:r>
      <w:r>
        <w:rPr>
          <w:rFonts w:hint="eastAsia" w:ascii="宋体" w:hAnsi="宋体"/>
          <w:color w:val="auto"/>
          <w:sz w:val="21"/>
          <w:szCs w:val="21"/>
        </w:rPr>
        <w:t>，凭转帐底单直接到招标代理公司签订合同：</w:t>
      </w:r>
    </w:p>
    <w:p w14:paraId="54029D23">
      <w:pPr>
        <w:spacing w:line="288" w:lineRule="auto"/>
        <w:ind w:firstLine="420" w:firstLineChars="200"/>
        <w:rPr>
          <w:rFonts w:hint="default" w:ascii="宋体" w:hAnsi="宋体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</w:rPr>
        <w:t>帐户名称：浙江大学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青山湖能源研究基地</w:t>
      </w:r>
    </w:p>
    <w:p w14:paraId="086D3831">
      <w:pPr>
        <w:spacing w:line="288" w:lineRule="auto"/>
        <w:ind w:firstLine="420" w:firstLineChars="200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 xml:space="preserve">开户银行：中国邮政储蓄银行股份有限公司临安区支行        </w:t>
      </w:r>
    </w:p>
    <w:p w14:paraId="4BBF57A4">
      <w:pPr>
        <w:spacing w:line="288" w:lineRule="auto"/>
        <w:ind w:firstLine="420" w:firstLineChars="200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帐  号：933004010047618902</w:t>
      </w:r>
    </w:p>
    <w:p w14:paraId="0ED51F72">
      <w:pPr>
        <w:spacing w:line="288" w:lineRule="auto"/>
        <w:ind w:firstLine="420" w:firstLineChars="200"/>
        <w:rPr>
          <w:rFonts w:hint="eastAsia" w:ascii="宋体" w:hAnsi="宋体"/>
          <w:b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银行行号：403331050025 </w:t>
      </w:r>
    </w:p>
    <w:p w14:paraId="095ACD11">
      <w:pPr>
        <w:numPr>
          <w:ilvl w:val="0"/>
          <w:numId w:val="1"/>
        </w:numPr>
        <w:adjustRightInd w:val="0"/>
        <w:snapToGrid w:val="0"/>
        <w:spacing w:line="288" w:lineRule="auto"/>
        <w:ind w:left="238" w:hanging="238" w:hangingChars="113"/>
        <w:outlineLvl w:val="1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服务</w:t>
      </w:r>
      <w:r>
        <w:rPr>
          <w:rFonts w:ascii="宋体" w:hAnsi="宋体"/>
          <w:b/>
          <w:sz w:val="21"/>
          <w:szCs w:val="21"/>
        </w:rPr>
        <w:t>要求：</w:t>
      </w:r>
    </w:p>
    <w:p w14:paraId="34307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项目介绍</w:t>
      </w:r>
    </w:p>
    <w:p w14:paraId="4152B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（一）本项目具体情况：</w:t>
      </w:r>
    </w:p>
    <w:p w14:paraId="4BDFA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1.物业名称：浙江大学青山湖能源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研究基地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物业管理服务项目；</w:t>
      </w:r>
    </w:p>
    <w:p w14:paraId="518A5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2.座落位置：杭州市临安区青山湖科技城大园路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1699号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；</w:t>
      </w:r>
    </w:p>
    <w:p w14:paraId="76913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3.基地总面积：室外场地面积（包括道路、停车场、绿化、景观庭院、太阳能镜场等）：29890平方米，室内建筑面积16500平方米；</w:t>
      </w:r>
    </w:p>
    <w:p w14:paraId="715B4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4.使用单位：浙江大学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青山湖能源研究基地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；</w:t>
      </w:r>
    </w:p>
    <w:p w14:paraId="49D4A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5.物业基本情况：主要为试验大厅、实验室、会议室、报告厅、办公室、食堂餐厅、太阳能聚光塔、道路、停车场、绿化、景观庭院、太阳能镜场等；会议室、报告厅的多媒体设备；水、电、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高压配电房、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消防设备等；基地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东大门为主出入门，须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24小时值班，北门为按需开、关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；主要建筑物面积详见如下附表。</w:t>
      </w:r>
    </w:p>
    <w:p w14:paraId="48284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附表：浙江大学青山湖能源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研究基地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主要建筑物情况一览表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870"/>
        <w:gridCol w:w="1361"/>
        <w:gridCol w:w="1433"/>
        <w:gridCol w:w="2069"/>
        <w:gridCol w:w="1122"/>
      </w:tblGrid>
      <w:tr w14:paraId="3ACC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noWrap w:val="0"/>
            <w:vAlign w:val="center"/>
          </w:tcPr>
          <w:p w14:paraId="3F95E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楼号</w:t>
            </w:r>
          </w:p>
        </w:tc>
        <w:tc>
          <w:tcPr>
            <w:tcW w:w="2113" w:type="dxa"/>
            <w:noWrap w:val="0"/>
            <w:vAlign w:val="center"/>
          </w:tcPr>
          <w:p w14:paraId="5A365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建筑物名称</w:t>
            </w:r>
          </w:p>
        </w:tc>
        <w:tc>
          <w:tcPr>
            <w:tcW w:w="1538" w:type="dxa"/>
            <w:noWrap w:val="0"/>
            <w:vAlign w:val="center"/>
          </w:tcPr>
          <w:p w14:paraId="6F5E1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楼层数</w:t>
            </w:r>
          </w:p>
        </w:tc>
        <w:tc>
          <w:tcPr>
            <w:tcW w:w="1619" w:type="dxa"/>
            <w:noWrap w:val="0"/>
            <w:vAlign w:val="center"/>
          </w:tcPr>
          <w:p w14:paraId="3D9DB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建筑面积（m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2338" w:type="dxa"/>
            <w:noWrap w:val="0"/>
            <w:vAlign w:val="center"/>
          </w:tcPr>
          <w:p w14:paraId="273F3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主要功能用途</w:t>
            </w:r>
          </w:p>
        </w:tc>
        <w:tc>
          <w:tcPr>
            <w:tcW w:w="1268" w:type="dxa"/>
            <w:noWrap w:val="0"/>
            <w:vAlign w:val="center"/>
          </w:tcPr>
          <w:p w14:paraId="28BC0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备注</w:t>
            </w:r>
          </w:p>
        </w:tc>
      </w:tr>
      <w:tr w14:paraId="7227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noWrap w:val="0"/>
            <w:vAlign w:val="center"/>
          </w:tcPr>
          <w:p w14:paraId="2951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1#</w:t>
            </w:r>
          </w:p>
        </w:tc>
        <w:tc>
          <w:tcPr>
            <w:tcW w:w="2113" w:type="dxa"/>
            <w:noWrap w:val="0"/>
            <w:vAlign w:val="center"/>
          </w:tcPr>
          <w:p w14:paraId="34971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实验大厅</w:t>
            </w:r>
          </w:p>
        </w:tc>
        <w:tc>
          <w:tcPr>
            <w:tcW w:w="1538" w:type="dxa"/>
            <w:noWrap w:val="0"/>
            <w:vAlign w:val="center"/>
          </w:tcPr>
          <w:p w14:paraId="301B7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619" w:type="dxa"/>
            <w:noWrap w:val="0"/>
            <w:vAlign w:val="center"/>
          </w:tcPr>
          <w:p w14:paraId="10DE2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1791</w:t>
            </w:r>
          </w:p>
        </w:tc>
        <w:tc>
          <w:tcPr>
            <w:tcW w:w="2338" w:type="dxa"/>
            <w:noWrap w:val="0"/>
            <w:vAlign w:val="center"/>
          </w:tcPr>
          <w:p w14:paraId="1D2F1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大型试验装置</w:t>
            </w:r>
          </w:p>
        </w:tc>
        <w:tc>
          <w:tcPr>
            <w:tcW w:w="1268" w:type="dxa"/>
            <w:noWrap w:val="0"/>
            <w:vAlign w:val="center"/>
          </w:tcPr>
          <w:p w14:paraId="3EABC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高度28米</w:t>
            </w:r>
          </w:p>
        </w:tc>
      </w:tr>
      <w:tr w14:paraId="1C8A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noWrap w:val="0"/>
            <w:vAlign w:val="center"/>
          </w:tcPr>
          <w:p w14:paraId="6936B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2#</w:t>
            </w:r>
          </w:p>
        </w:tc>
        <w:tc>
          <w:tcPr>
            <w:tcW w:w="2113" w:type="dxa"/>
            <w:noWrap w:val="0"/>
            <w:vAlign w:val="center"/>
          </w:tcPr>
          <w:p w14:paraId="48B8F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实验大厅+实验室</w:t>
            </w:r>
          </w:p>
        </w:tc>
        <w:tc>
          <w:tcPr>
            <w:tcW w:w="1538" w:type="dxa"/>
            <w:noWrap w:val="0"/>
            <w:vAlign w:val="center"/>
          </w:tcPr>
          <w:p w14:paraId="1C60C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实验大厅1层，实验室2层</w:t>
            </w:r>
          </w:p>
        </w:tc>
        <w:tc>
          <w:tcPr>
            <w:tcW w:w="1619" w:type="dxa"/>
            <w:noWrap w:val="0"/>
            <w:vAlign w:val="center"/>
          </w:tcPr>
          <w:p w14:paraId="40435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4623</w:t>
            </w:r>
          </w:p>
        </w:tc>
        <w:tc>
          <w:tcPr>
            <w:tcW w:w="2338" w:type="dxa"/>
            <w:noWrap w:val="0"/>
            <w:vAlign w:val="center"/>
          </w:tcPr>
          <w:p w14:paraId="24D86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大型试验装置科研实验室</w:t>
            </w:r>
          </w:p>
        </w:tc>
        <w:tc>
          <w:tcPr>
            <w:tcW w:w="1268" w:type="dxa"/>
            <w:noWrap w:val="0"/>
            <w:vAlign w:val="center"/>
          </w:tcPr>
          <w:p w14:paraId="0DF0B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高度18米</w:t>
            </w:r>
          </w:p>
        </w:tc>
      </w:tr>
      <w:tr w14:paraId="39EA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noWrap w:val="0"/>
            <w:vAlign w:val="center"/>
          </w:tcPr>
          <w:p w14:paraId="36BCB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3#</w:t>
            </w:r>
          </w:p>
        </w:tc>
        <w:tc>
          <w:tcPr>
            <w:tcW w:w="2113" w:type="dxa"/>
            <w:noWrap w:val="0"/>
            <w:vAlign w:val="center"/>
          </w:tcPr>
          <w:p w14:paraId="7F938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多媒体会议室</w:t>
            </w:r>
          </w:p>
        </w:tc>
        <w:tc>
          <w:tcPr>
            <w:tcW w:w="1538" w:type="dxa"/>
            <w:noWrap w:val="0"/>
            <w:vAlign w:val="center"/>
          </w:tcPr>
          <w:p w14:paraId="59571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619" w:type="dxa"/>
            <w:noWrap w:val="0"/>
            <w:vAlign w:val="center"/>
          </w:tcPr>
          <w:p w14:paraId="3BFF5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1953</w:t>
            </w:r>
          </w:p>
        </w:tc>
        <w:tc>
          <w:tcPr>
            <w:tcW w:w="2338" w:type="dxa"/>
            <w:noWrap w:val="0"/>
            <w:vAlign w:val="center"/>
          </w:tcPr>
          <w:p w14:paraId="5B4C8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会议室、报告大厅、休息室</w:t>
            </w:r>
          </w:p>
        </w:tc>
        <w:tc>
          <w:tcPr>
            <w:tcW w:w="1268" w:type="dxa"/>
            <w:noWrap w:val="0"/>
            <w:vAlign w:val="center"/>
          </w:tcPr>
          <w:p w14:paraId="57A2C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一层为架空层</w:t>
            </w:r>
          </w:p>
        </w:tc>
      </w:tr>
      <w:tr w14:paraId="3FBB8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noWrap w:val="0"/>
            <w:vAlign w:val="center"/>
          </w:tcPr>
          <w:p w14:paraId="58AF8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4#</w:t>
            </w:r>
          </w:p>
        </w:tc>
        <w:tc>
          <w:tcPr>
            <w:tcW w:w="2113" w:type="dxa"/>
            <w:noWrap w:val="0"/>
            <w:vAlign w:val="center"/>
          </w:tcPr>
          <w:p w14:paraId="5F589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科研办公楼</w:t>
            </w:r>
          </w:p>
        </w:tc>
        <w:tc>
          <w:tcPr>
            <w:tcW w:w="1538" w:type="dxa"/>
            <w:noWrap w:val="0"/>
            <w:vAlign w:val="center"/>
          </w:tcPr>
          <w:p w14:paraId="2DFFF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619" w:type="dxa"/>
            <w:noWrap w:val="0"/>
            <w:vAlign w:val="center"/>
          </w:tcPr>
          <w:p w14:paraId="670D7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7733</w:t>
            </w:r>
          </w:p>
        </w:tc>
        <w:tc>
          <w:tcPr>
            <w:tcW w:w="2338" w:type="dxa"/>
            <w:noWrap w:val="0"/>
            <w:vAlign w:val="center"/>
          </w:tcPr>
          <w:p w14:paraId="32930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办公室、资料室</w:t>
            </w:r>
          </w:p>
        </w:tc>
        <w:tc>
          <w:tcPr>
            <w:tcW w:w="1268" w:type="dxa"/>
            <w:noWrap w:val="0"/>
            <w:vAlign w:val="center"/>
          </w:tcPr>
          <w:p w14:paraId="7D22E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一层有食堂、餐厅</w:t>
            </w:r>
          </w:p>
        </w:tc>
      </w:tr>
      <w:tr w14:paraId="2741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noWrap w:val="0"/>
            <w:vAlign w:val="center"/>
          </w:tcPr>
          <w:p w14:paraId="6336E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5#</w:t>
            </w:r>
          </w:p>
        </w:tc>
        <w:tc>
          <w:tcPr>
            <w:tcW w:w="2113" w:type="dxa"/>
            <w:noWrap w:val="0"/>
            <w:vAlign w:val="center"/>
          </w:tcPr>
          <w:p w14:paraId="15CC3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太阳能聚光塔</w:t>
            </w:r>
          </w:p>
        </w:tc>
        <w:tc>
          <w:tcPr>
            <w:tcW w:w="1538" w:type="dxa"/>
            <w:noWrap w:val="0"/>
            <w:vAlign w:val="center"/>
          </w:tcPr>
          <w:p w14:paraId="05C38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619" w:type="dxa"/>
            <w:noWrap w:val="0"/>
            <w:vAlign w:val="center"/>
          </w:tcPr>
          <w:p w14:paraId="7A33A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400</w:t>
            </w:r>
          </w:p>
        </w:tc>
        <w:tc>
          <w:tcPr>
            <w:tcW w:w="2338" w:type="dxa"/>
            <w:noWrap w:val="0"/>
            <w:vAlign w:val="center"/>
          </w:tcPr>
          <w:p w14:paraId="35A55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太阳能聚光集热试验</w:t>
            </w:r>
          </w:p>
        </w:tc>
        <w:tc>
          <w:tcPr>
            <w:tcW w:w="1268" w:type="dxa"/>
            <w:noWrap w:val="0"/>
            <w:vAlign w:val="center"/>
          </w:tcPr>
          <w:p w14:paraId="76364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高度40米</w:t>
            </w:r>
          </w:p>
        </w:tc>
      </w:tr>
      <w:tr w14:paraId="6459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2" w:type="dxa"/>
            <w:noWrap w:val="0"/>
            <w:vAlign w:val="center"/>
          </w:tcPr>
          <w:p w14:paraId="07BA1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合计</w:t>
            </w:r>
          </w:p>
        </w:tc>
        <w:tc>
          <w:tcPr>
            <w:tcW w:w="2113" w:type="dxa"/>
            <w:noWrap w:val="0"/>
            <w:vAlign w:val="center"/>
          </w:tcPr>
          <w:p w14:paraId="4B79F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121CD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2B8A2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16500</w:t>
            </w:r>
          </w:p>
        </w:tc>
        <w:tc>
          <w:tcPr>
            <w:tcW w:w="2338" w:type="dxa"/>
            <w:noWrap w:val="0"/>
            <w:vAlign w:val="center"/>
          </w:tcPr>
          <w:p w14:paraId="342A0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5E298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</w:tbl>
    <w:p w14:paraId="196A7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注：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室外面积：道路5500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㎡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，铺装3200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㎡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，绿化9400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㎡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，太阳能镜场11790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㎡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，合计29890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㎡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。</w:t>
      </w:r>
    </w:p>
    <w:p w14:paraId="02F76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（二）物业管理服务的主要内容</w:t>
      </w:r>
    </w:p>
    <w:p w14:paraId="54B04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浙江大学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青山湖能源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研究基地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环境卫生清扫保洁，消防、治安安全和秩序管理，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大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门、安全监控室值班，基地配套设施设备日常巡查，维修报修及修复进程跟踪监督和反馈，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zh-CN"/>
        </w:rPr>
        <w:t>水、电、高压配电房、会议室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多媒体等设备管理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zh-CN"/>
        </w:rPr>
        <w:t>，绿化养护，景观庭院管理，自然灾害、群体性事件等突发公共事件应急处置；</w:t>
      </w:r>
    </w:p>
    <w:p w14:paraId="28C06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2.协同开展基地节能管理、维修装修安装等活动许可管理、卫生防疫及相关环境等综合管理服务；</w:t>
      </w:r>
    </w:p>
    <w:p w14:paraId="7D07C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zh-CN"/>
        </w:rPr>
        <w:t>配合基地重大活动开展，完成采购人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交办的其他工作；</w:t>
      </w:r>
    </w:p>
    <w:p w14:paraId="27589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（三）</w:t>
      </w:r>
      <w:bookmarkStart w:id="1" w:name="_Toc267916235"/>
      <w:bookmarkStart w:id="2" w:name="_Toc171862137"/>
      <w:bookmarkStart w:id="3" w:name="_Toc268598271"/>
      <w:bookmarkStart w:id="4" w:name="_Toc82873317"/>
      <w:bookmarkStart w:id="5" w:name="_Toc82338234"/>
      <w:r>
        <w:rPr>
          <w:rFonts w:hint="eastAsia" w:ascii="宋体" w:hAnsi="宋体" w:eastAsia="宋体" w:cs="宋体"/>
          <w:b w:val="0"/>
          <w:bCs/>
          <w:sz w:val="21"/>
          <w:szCs w:val="21"/>
        </w:rPr>
        <w:t>采购人不提供投标人管理设施、设备、工具（已有的配套设施设备除外）、服装、住房和伙食，上述管理工具等由物业管理服务企业自行解决。基地可提供一间房间供中标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人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办公及休息；</w:t>
      </w:r>
    </w:p>
    <w:p w14:paraId="792AB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（四）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本项目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采购的物业管理服务期为合同签订后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个月。</w:t>
      </w:r>
    </w:p>
    <w:p w14:paraId="21961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管理服务具体内容及要求：</w:t>
      </w:r>
    </w:p>
    <w:bookmarkEnd w:id="1"/>
    <w:bookmarkEnd w:id="2"/>
    <w:bookmarkEnd w:id="3"/>
    <w:bookmarkEnd w:id="4"/>
    <w:bookmarkEnd w:id="5"/>
    <w:p w14:paraId="7391A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（一）物业管理服务总体要求</w:t>
      </w:r>
    </w:p>
    <w:p w14:paraId="6A9D0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浙江大学青山湖能源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研究基地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物业管理服务要坚持以人为本的理念，主动配合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举办会议、教学、科研、管理等各项工作的开展，做好基地正常工作的物业服务，竭诚为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提供优质、便捷服务；狠抓服务细节，不断创新工作思路，提出新举措，提升服务质量，物业管理（服务）工作与浙江大学的发展相匹配；主动及时提供服务管理相关的计划、总结、重大事件、投诉表扬等工作动态和信息；确保基地物业管理服务安全有序、卫生整洁、设施完好、运转正常、节能环保、环境宜人、服务到位、管理规范、</w:t>
      </w:r>
      <w:bookmarkStart w:id="6" w:name="OLE_LINK2"/>
      <w:bookmarkStart w:id="7" w:name="OLE_LINK1"/>
      <w:r>
        <w:rPr>
          <w:rFonts w:hint="eastAsia" w:ascii="宋体" w:hAnsi="宋体" w:eastAsia="宋体" w:cs="宋体"/>
          <w:b w:val="0"/>
          <w:bCs/>
          <w:sz w:val="21"/>
          <w:szCs w:val="21"/>
        </w:rPr>
        <w:t>平安和谐</w:t>
      </w:r>
      <w:bookmarkEnd w:id="6"/>
      <w:bookmarkEnd w:id="7"/>
      <w:r>
        <w:rPr>
          <w:rFonts w:hint="eastAsia" w:ascii="宋体" w:hAnsi="宋体" w:eastAsia="宋体" w:cs="宋体"/>
          <w:b w:val="0"/>
          <w:bCs/>
          <w:sz w:val="21"/>
          <w:szCs w:val="21"/>
        </w:rPr>
        <w:t>、需方满意。</w:t>
      </w:r>
    </w:p>
    <w:p w14:paraId="48686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物业管理服务符合《浙江大学大楼（公用房）物业管理（服务）工作要求》。</w:t>
      </w:r>
    </w:p>
    <w:p w14:paraId="26F18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（二）物业管理范围</w:t>
      </w:r>
    </w:p>
    <w:p w14:paraId="7429A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占地46亩的浙江大学青山湖能源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研究基地和占地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17.69亩的太阳能镜场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 w14:paraId="3A25B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（三）岗位配置</w:t>
      </w:r>
    </w:p>
    <w:p w14:paraId="2D01F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zh-CN"/>
        </w:rPr>
        <w:t>投标人必须详细列出物业管理相应岗位的人数、工作制度及服务工作质量标准。下表为岗位人数和工作制度的最低要求：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070"/>
        <w:gridCol w:w="700"/>
        <w:gridCol w:w="2480"/>
        <w:gridCol w:w="3080"/>
      </w:tblGrid>
      <w:tr w14:paraId="690A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3BB4E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2070" w:type="dxa"/>
            <w:noWrap w:val="0"/>
            <w:vAlign w:val="center"/>
          </w:tcPr>
          <w:p w14:paraId="5B2F2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岗位</w:t>
            </w:r>
          </w:p>
        </w:tc>
        <w:tc>
          <w:tcPr>
            <w:tcW w:w="700" w:type="dxa"/>
            <w:noWrap w:val="0"/>
            <w:vAlign w:val="center"/>
          </w:tcPr>
          <w:p w14:paraId="19648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数量</w:t>
            </w:r>
          </w:p>
        </w:tc>
        <w:tc>
          <w:tcPr>
            <w:tcW w:w="2480" w:type="dxa"/>
            <w:noWrap w:val="0"/>
            <w:vAlign w:val="center"/>
          </w:tcPr>
          <w:p w14:paraId="33DA4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工作时间</w:t>
            </w:r>
          </w:p>
        </w:tc>
        <w:tc>
          <w:tcPr>
            <w:tcW w:w="3080" w:type="dxa"/>
            <w:noWrap w:val="0"/>
            <w:vAlign w:val="center"/>
          </w:tcPr>
          <w:p w14:paraId="54EDC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备注</w:t>
            </w:r>
          </w:p>
        </w:tc>
      </w:tr>
      <w:tr w14:paraId="3908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26BB7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1</w:t>
            </w:r>
          </w:p>
        </w:tc>
        <w:tc>
          <w:tcPr>
            <w:tcW w:w="2070" w:type="dxa"/>
            <w:noWrap w:val="0"/>
            <w:vAlign w:val="center"/>
          </w:tcPr>
          <w:p w14:paraId="12059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项目负责人</w:t>
            </w:r>
          </w:p>
        </w:tc>
        <w:tc>
          <w:tcPr>
            <w:tcW w:w="700" w:type="dxa"/>
            <w:noWrap w:val="0"/>
            <w:vAlign w:val="center"/>
          </w:tcPr>
          <w:p w14:paraId="5BF4D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2480" w:type="dxa"/>
            <w:noWrap w:val="0"/>
            <w:vAlign w:val="center"/>
          </w:tcPr>
          <w:p w14:paraId="7819C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可兼职</w:t>
            </w:r>
          </w:p>
        </w:tc>
        <w:tc>
          <w:tcPr>
            <w:tcW w:w="3080" w:type="dxa"/>
            <w:noWrap w:val="0"/>
            <w:vAlign w:val="center"/>
          </w:tcPr>
          <w:p w14:paraId="7E192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每周不少于2个工作日到岗</w:t>
            </w:r>
          </w:p>
        </w:tc>
      </w:tr>
      <w:tr w14:paraId="37EA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5E196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2</w:t>
            </w:r>
          </w:p>
        </w:tc>
        <w:tc>
          <w:tcPr>
            <w:tcW w:w="2070" w:type="dxa"/>
            <w:noWrap w:val="0"/>
            <w:vAlign w:val="center"/>
          </w:tcPr>
          <w:p w14:paraId="256C3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门卫、保安</w:t>
            </w:r>
          </w:p>
        </w:tc>
        <w:tc>
          <w:tcPr>
            <w:tcW w:w="700" w:type="dxa"/>
            <w:noWrap w:val="0"/>
            <w:vAlign w:val="center"/>
          </w:tcPr>
          <w:p w14:paraId="713CB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3</w:t>
            </w:r>
          </w:p>
        </w:tc>
        <w:tc>
          <w:tcPr>
            <w:tcW w:w="2480" w:type="dxa"/>
            <w:noWrap w:val="0"/>
            <w:vAlign w:val="center"/>
          </w:tcPr>
          <w:p w14:paraId="3D679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24小时</w:t>
            </w:r>
          </w:p>
        </w:tc>
        <w:tc>
          <w:tcPr>
            <w:tcW w:w="3080" w:type="dxa"/>
            <w:noWrap w:val="0"/>
            <w:vAlign w:val="center"/>
          </w:tcPr>
          <w:p w14:paraId="3322D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</w:p>
        </w:tc>
      </w:tr>
      <w:tr w14:paraId="75BF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40E95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3</w:t>
            </w:r>
          </w:p>
        </w:tc>
        <w:tc>
          <w:tcPr>
            <w:tcW w:w="2070" w:type="dxa"/>
            <w:noWrap w:val="0"/>
            <w:vAlign w:val="center"/>
          </w:tcPr>
          <w:p w14:paraId="5D00A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监控室值班</w:t>
            </w:r>
          </w:p>
        </w:tc>
        <w:tc>
          <w:tcPr>
            <w:tcW w:w="700" w:type="dxa"/>
            <w:noWrap w:val="0"/>
            <w:vAlign w:val="center"/>
          </w:tcPr>
          <w:p w14:paraId="19346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3</w:t>
            </w:r>
          </w:p>
        </w:tc>
        <w:tc>
          <w:tcPr>
            <w:tcW w:w="2480" w:type="dxa"/>
            <w:noWrap w:val="0"/>
            <w:vAlign w:val="center"/>
          </w:tcPr>
          <w:p w14:paraId="7EE3D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24小时</w:t>
            </w:r>
          </w:p>
        </w:tc>
        <w:tc>
          <w:tcPr>
            <w:tcW w:w="3080" w:type="dxa"/>
            <w:noWrap w:val="0"/>
            <w:vAlign w:val="center"/>
          </w:tcPr>
          <w:p w14:paraId="711B6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持证上岗</w:t>
            </w:r>
          </w:p>
        </w:tc>
      </w:tr>
      <w:tr w14:paraId="5033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4323F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4</w:t>
            </w:r>
          </w:p>
        </w:tc>
        <w:tc>
          <w:tcPr>
            <w:tcW w:w="2070" w:type="dxa"/>
            <w:noWrap w:val="0"/>
            <w:vAlign w:val="center"/>
          </w:tcPr>
          <w:p w14:paraId="2AE51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外保洁员、绿化养护</w:t>
            </w:r>
          </w:p>
        </w:tc>
        <w:tc>
          <w:tcPr>
            <w:tcW w:w="700" w:type="dxa"/>
            <w:noWrap w:val="0"/>
            <w:vAlign w:val="center"/>
          </w:tcPr>
          <w:p w14:paraId="5AE1E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1</w:t>
            </w:r>
          </w:p>
        </w:tc>
        <w:tc>
          <w:tcPr>
            <w:tcW w:w="2480" w:type="dxa"/>
            <w:noWrap w:val="0"/>
            <w:vAlign w:val="center"/>
          </w:tcPr>
          <w:p w14:paraId="5A197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7:00~17:00</w:t>
            </w:r>
          </w:p>
        </w:tc>
        <w:tc>
          <w:tcPr>
            <w:tcW w:w="3080" w:type="dxa"/>
            <w:noWrap w:val="0"/>
            <w:vAlign w:val="center"/>
          </w:tcPr>
          <w:p w14:paraId="09CBA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</w:p>
        </w:tc>
      </w:tr>
      <w:tr w14:paraId="2687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40D22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5</w:t>
            </w:r>
          </w:p>
        </w:tc>
        <w:tc>
          <w:tcPr>
            <w:tcW w:w="2070" w:type="dxa"/>
            <w:noWrap w:val="0"/>
            <w:vAlign w:val="center"/>
          </w:tcPr>
          <w:p w14:paraId="323B6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内保洁员</w:t>
            </w:r>
          </w:p>
        </w:tc>
        <w:tc>
          <w:tcPr>
            <w:tcW w:w="700" w:type="dxa"/>
            <w:noWrap w:val="0"/>
            <w:vAlign w:val="center"/>
          </w:tcPr>
          <w:p w14:paraId="431BF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2</w:t>
            </w:r>
          </w:p>
        </w:tc>
        <w:tc>
          <w:tcPr>
            <w:tcW w:w="2480" w:type="dxa"/>
            <w:noWrap w:val="0"/>
            <w:vAlign w:val="center"/>
          </w:tcPr>
          <w:p w14:paraId="17A4B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7:00~17:00</w:t>
            </w:r>
          </w:p>
        </w:tc>
        <w:tc>
          <w:tcPr>
            <w:tcW w:w="3080" w:type="dxa"/>
            <w:noWrap w:val="0"/>
            <w:vAlign w:val="center"/>
          </w:tcPr>
          <w:p w14:paraId="200DD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</w:p>
        </w:tc>
      </w:tr>
      <w:tr w14:paraId="20C2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 w14:paraId="255D2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  <w:t>合计</w:t>
            </w:r>
          </w:p>
        </w:tc>
        <w:tc>
          <w:tcPr>
            <w:tcW w:w="2070" w:type="dxa"/>
            <w:noWrap w:val="0"/>
            <w:vAlign w:val="center"/>
          </w:tcPr>
          <w:p w14:paraId="3AE9F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0F55B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2480" w:type="dxa"/>
            <w:noWrap w:val="0"/>
            <w:vAlign w:val="center"/>
          </w:tcPr>
          <w:p w14:paraId="5B89A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</w:p>
        </w:tc>
        <w:tc>
          <w:tcPr>
            <w:tcW w:w="3080" w:type="dxa"/>
            <w:noWrap w:val="0"/>
            <w:vAlign w:val="center"/>
          </w:tcPr>
          <w:p w14:paraId="40BA7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zh-CN"/>
              </w:rPr>
            </w:pPr>
          </w:p>
        </w:tc>
      </w:tr>
    </w:tbl>
    <w:p w14:paraId="65524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bookmarkStart w:id="8" w:name="_Toc268598272"/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2.物业服务企业及物业管理服务工作要求</w:t>
      </w:r>
    </w:p>
    <w:p w14:paraId="4507E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1）资质要求（详见招标公告）；</w:t>
      </w:r>
    </w:p>
    <w:p w14:paraId="16A89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2）内部管理要求；</w:t>
      </w:r>
    </w:p>
    <w:p w14:paraId="53EBC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（1）根据本项目物业使用特点提出服务定位及目标，管理模式能够切合实际，且安全可行，在保密、安保、文明服务方面有明确的计划及方案；</w:t>
      </w:r>
    </w:p>
    <w:p w14:paraId="29D29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（2）有比较完善的组织架构、管理机制，清晰的管理流程，包括有运作流程图、激励机制、监督考核机制、自我约束机制、信息反馈渠道及处理机制；</w:t>
      </w:r>
    </w:p>
    <w:p w14:paraId="7B095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（3）有完善的物业管理服务制度、台账，物业管理服务工作计划及实施方案，并建立和完善档案管理制度，体现先进性、科学性和完整性，保障物业管理服务工作正常、有序、高效地开展。</w:t>
      </w:r>
    </w:p>
    <w:p w14:paraId="24B07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3）人员要求</w:t>
      </w:r>
    </w:p>
    <w:p w14:paraId="78220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（1）根据物业服务企业管理办法和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/>
        </w:rPr>
        <w:t>需方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需求，合理配备相应资质的各类管理服务人员。其中物管主管需有一定物业管理工作经验者担任，保证工作人员身体健康、无传染性疾病、无刑事违法或处分犯罪记录，要求持证上岗的有上岗资格证；</w:t>
      </w:r>
    </w:p>
    <w:p w14:paraId="11E5B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（2）物业管理服务人员必须参加并通过物业管理企业的培训工作，严格按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zh-CN"/>
        </w:rPr>
        <w:t>操作规程、管理服务标准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规范开展物业管理服务，按岗位分类统一着装、言行得体、文明礼貌；</w:t>
      </w:r>
    </w:p>
    <w:p w14:paraId="2893C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（3）所有物业专业管理人员必须获得相应上岗资格证；签订合同前须向需方提供有效职称证、上岗资格证等原件及复印件，供审核备案。如合同期内工程发生人员变更，须及时更新提供相关人员的资料；</w:t>
      </w:r>
    </w:p>
    <w:p w14:paraId="217B7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（4）物业工作人员不能在基地使用大功率的电器（如热得快、电炒锅、电炉等）用于生活用途，也不能使用煤气炉灶等；</w:t>
      </w:r>
    </w:p>
    <w:p w14:paraId="48054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（5）物业管理服务工作人员必须遵纪守法、遵守浙江大学及各有关部门的规章制度，严格按操作流程、规程，为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提供优质的物业管理服务；对以下人员，必须调离岗位；服务管理不到位被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书面投诉3次，或违反双方签订合同相关条款，或违反浙江大学或各级政府规章制度，甚至触犯国家法律者；</w:t>
      </w:r>
    </w:p>
    <w:p w14:paraId="4B03D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6）安全保卫和消防监控人员工作，须遵守中华人民共和国《保安服务管理条例》和浙江大学治安、消防管理等有关规章制度；能处理和应对公共秩序维护工作，正确使用各类消防器械和设备，能够熟悉、掌握各类刑事、治安案件和各类灾害事故的应急预案；配备必备的安全护卫器械。</w:t>
      </w:r>
    </w:p>
    <w:bookmarkEnd w:id="8"/>
    <w:p w14:paraId="2AA54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zh-CN"/>
        </w:rPr>
        <w:t>4）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工作量化指标</w:t>
      </w:r>
    </w:p>
    <w:p w14:paraId="50064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（1）满意度达90％以上；</w:t>
      </w:r>
    </w:p>
    <w:p w14:paraId="28ECB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（2）有效投诉控制在3件/年以内；</w:t>
      </w:r>
    </w:p>
    <w:p w14:paraId="1ED93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（3）年度考评综合分达90分以上。</w:t>
      </w:r>
    </w:p>
    <w:p w14:paraId="701FA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5）技术规范</w:t>
      </w:r>
    </w:p>
    <w:p w14:paraId="60926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  按照国务院《物业管理条例》、《保安服务管理条例》，《浙江大学大楼（公用房）物业管理（服务）工作要求》、《浙江大学校园绿化服务管理工作要求》、《浙江大学校园卫生保洁工作要求》、《浙江大学消防安全管理规定》（2012年3月修订）、《浙江大学治安管理规定》等要求。 </w:t>
      </w:r>
    </w:p>
    <w:p w14:paraId="41235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zh-CN"/>
        </w:rPr>
        <w:t>三、检查与考核</w:t>
      </w:r>
    </w:p>
    <w:p w14:paraId="02EB6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 检查、考核</w:t>
      </w:r>
    </w:p>
    <w:p w14:paraId="20B19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单位按照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zh-CN"/>
        </w:rPr>
        <w:t>《浙江大学后勤服务管理考核办法》、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《浙江大学大楼（公用房）物业管理（服务）工作要求》等规定进行检查、考核, 检查考核方式分为日常考核、专项考核和综合检查考核三部分；</w:t>
      </w:r>
    </w:p>
    <w:p w14:paraId="56B8C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 考核结果分类及应用</w:t>
      </w:r>
    </w:p>
    <w:p w14:paraId="51E38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年度检查考核加权综合得分90分及以上定为“A级”单位，90分以下定为“B级”单位；</w:t>
      </w:r>
    </w:p>
    <w:p w14:paraId="07560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20" w:firstLineChars="200"/>
        <w:textAlignment w:val="auto"/>
        <w:outlineLvl w:val="1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物业服务企业物业管理服务费按季结算，每季度末期执行，第四季度待年度考核结束后执行。年度考核加权综合得分在90分及以上的，全额支付服务费；对得分在90分以下的企业，将按“扣款百分比”扣除当年度服务费，“扣款百分比”比例值为考核得分低于90分部分的值，扣完当年度剩余服务费为止。</w:t>
      </w:r>
      <w:r>
        <w:rPr>
          <w:rFonts w:hint="eastAsia" w:ascii="宋体" w:hAnsi="宋体" w:cs="宋体"/>
          <w:sz w:val="21"/>
          <w:szCs w:val="21"/>
        </w:rPr>
        <w:br w:type="page"/>
      </w:r>
    </w:p>
    <w:p w14:paraId="25C854CE"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2A456"/>
    <w:multiLevelType w:val="singleLevel"/>
    <w:tmpl w:val="5AC2A45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mE3Zjc2YjhlM2EyNmZlNjdjM2VjZGM0YmQzMjAifQ=="/>
  </w:docVars>
  <w:rsids>
    <w:rsidRoot w:val="16687EEA"/>
    <w:rsid w:val="1668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2025-07-04T08:38:00Z</dcterms:created>
  <dc:creator>lenovo</dc:creator>
  <cp:lastModifiedBy>lenovo</cp:lastModifiedBy>
  <dcterms:modified xsi:type="dcterms:W3CDTF">2025-07-04T08:38:20Z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0B7C19EFED184759BC75BD074B5E5E62_11</vt:lpwstr>
  </property>
</Properties>
</file>