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8BD0CE">
      <w:pPr>
        <w:spacing w:line="240" w:lineRule="auto"/>
        <w:ind w:firstLine="0" w:firstLineChars="0"/>
        <w:jc w:val="both"/>
        <w:rPr>
          <w:rFonts w:ascii="宋体" w:hAnsi="宋体" w:cs="宋体"/>
          <w:b/>
          <w:color w:val="auto"/>
          <w:sz w:val="36"/>
          <w:szCs w:val="36"/>
          <w:highlight w:val="none"/>
          <w:lang w:val="zh-CN"/>
        </w:rPr>
      </w:pPr>
      <w:bookmarkStart w:id="0" w:name="_Toc29473"/>
      <w:bookmarkStart w:id="1" w:name="_Toc15022"/>
      <w:bookmarkStart w:id="2" w:name="_Toc32399"/>
    </w:p>
    <w:p w14:paraId="4D1893E5">
      <w:pPr>
        <w:tabs>
          <w:tab w:val="center" w:pos="4932"/>
          <w:tab w:val="left" w:pos="8491"/>
        </w:tabs>
        <w:spacing w:line="240" w:lineRule="auto"/>
        <w:ind w:firstLine="0" w:firstLineChars="0"/>
        <w:jc w:val="center"/>
        <w:outlineLvl w:val="0"/>
        <w:rPr>
          <w:rFonts w:hint="eastAsia" w:ascii="宋体" w:hAnsi="宋体" w:cs="宋体"/>
          <w:b/>
          <w:color w:val="auto"/>
          <w:sz w:val="52"/>
          <w:szCs w:val="52"/>
          <w:highlight w:val="none"/>
          <w:lang w:val="zh-CN"/>
        </w:rPr>
      </w:pPr>
      <w:bookmarkStart w:id="3" w:name="_Toc21518"/>
      <w:bookmarkStart w:id="4" w:name="_Toc22968"/>
      <w:bookmarkStart w:id="5" w:name="_Toc9211"/>
      <w:bookmarkStart w:id="6" w:name="_Toc29092"/>
      <w:bookmarkStart w:id="7" w:name="_Toc3670"/>
      <w:bookmarkStart w:id="8" w:name="_Toc2894"/>
      <w:bookmarkStart w:id="9" w:name="_Toc15456"/>
    </w:p>
    <w:bookmarkEnd w:id="3"/>
    <w:p w14:paraId="6CDB425C">
      <w:pPr>
        <w:tabs>
          <w:tab w:val="center" w:pos="4932"/>
          <w:tab w:val="left" w:pos="8491"/>
        </w:tabs>
        <w:spacing w:line="240" w:lineRule="auto"/>
        <w:ind w:firstLine="0" w:firstLineChars="0"/>
        <w:jc w:val="center"/>
        <w:outlineLvl w:val="0"/>
        <w:rPr>
          <w:rFonts w:hint="eastAsia" w:ascii="宋体" w:hAnsi="宋体" w:cs="宋体"/>
          <w:b/>
          <w:color w:val="auto"/>
          <w:sz w:val="48"/>
          <w:szCs w:val="48"/>
          <w:highlight w:val="none"/>
          <w:lang w:val="zh-CN"/>
        </w:rPr>
      </w:pPr>
      <w:r>
        <w:rPr>
          <w:rFonts w:hint="eastAsia" w:ascii="宋体" w:hAnsi="宋体" w:cs="宋体"/>
          <w:b/>
          <w:color w:val="auto"/>
          <w:sz w:val="44"/>
          <w:szCs w:val="44"/>
          <w:highlight w:val="none"/>
          <w:lang w:val="zh-CN"/>
        </w:rPr>
        <w:t>商品砼事业部2025年度装载机维修保养服务采购</w:t>
      </w:r>
    </w:p>
    <w:p w14:paraId="6553ACC6">
      <w:pPr>
        <w:tabs>
          <w:tab w:val="center" w:pos="4932"/>
          <w:tab w:val="left" w:pos="8491"/>
        </w:tabs>
        <w:spacing w:line="240" w:lineRule="auto"/>
        <w:ind w:firstLine="0" w:firstLineChars="0"/>
        <w:jc w:val="center"/>
        <w:outlineLvl w:val="0"/>
        <w:rPr>
          <w:rFonts w:hint="eastAsia" w:ascii="宋体" w:hAnsi="宋体" w:cs="宋体"/>
          <w:b/>
          <w:color w:val="auto"/>
          <w:sz w:val="44"/>
          <w:szCs w:val="44"/>
          <w:highlight w:val="none"/>
          <w:lang w:val="zh-CN"/>
        </w:rPr>
      </w:pPr>
      <w:bookmarkStart w:id="10" w:name="_Toc14239"/>
    </w:p>
    <w:p w14:paraId="28E6C0F6">
      <w:pPr>
        <w:tabs>
          <w:tab w:val="center" w:pos="4932"/>
          <w:tab w:val="left" w:pos="8491"/>
        </w:tabs>
        <w:spacing w:line="240" w:lineRule="auto"/>
        <w:ind w:firstLine="0" w:firstLineChars="0"/>
        <w:jc w:val="center"/>
        <w:outlineLvl w:val="0"/>
        <w:rPr>
          <w:rFonts w:hint="eastAsia" w:ascii="宋体" w:hAnsi="宋体" w:cs="宋体"/>
          <w:b/>
          <w:color w:val="auto"/>
          <w:sz w:val="44"/>
          <w:szCs w:val="44"/>
          <w:highlight w:val="none"/>
          <w:lang w:val="zh-CN"/>
        </w:rPr>
      </w:pPr>
      <w:r>
        <w:rPr>
          <w:rFonts w:hint="eastAsia" w:ascii="宋体" w:hAnsi="宋体" w:cs="宋体"/>
          <w:b/>
          <w:color w:val="auto"/>
          <w:sz w:val="44"/>
          <w:szCs w:val="44"/>
          <w:highlight w:val="none"/>
          <w:lang w:val="zh-CN"/>
        </w:rPr>
        <w:t>项目编号：</w:t>
      </w:r>
      <w:bookmarkEnd w:id="0"/>
      <w:bookmarkEnd w:id="1"/>
      <w:bookmarkEnd w:id="2"/>
      <w:bookmarkEnd w:id="4"/>
      <w:bookmarkEnd w:id="5"/>
      <w:bookmarkEnd w:id="6"/>
      <w:bookmarkEnd w:id="7"/>
      <w:bookmarkEnd w:id="8"/>
      <w:bookmarkEnd w:id="9"/>
      <w:bookmarkEnd w:id="10"/>
      <w:r>
        <w:rPr>
          <w:rFonts w:hint="eastAsia" w:ascii="宋体" w:hAnsi="宋体" w:cs="宋体"/>
          <w:b/>
          <w:color w:val="auto"/>
          <w:sz w:val="44"/>
          <w:szCs w:val="44"/>
          <w:highlight w:val="none"/>
          <w:lang w:val="zh-CN"/>
        </w:rPr>
        <w:t>LYCG2025YX-044</w:t>
      </w:r>
    </w:p>
    <w:p w14:paraId="1E0B37D2">
      <w:pPr>
        <w:pStyle w:val="2"/>
        <w:ind w:firstLine="0" w:firstLineChars="0"/>
        <w:rPr>
          <w:color w:val="auto"/>
          <w:highlight w:val="none"/>
        </w:rPr>
      </w:pPr>
    </w:p>
    <w:p w14:paraId="778CFDC6">
      <w:pPr>
        <w:pStyle w:val="10"/>
        <w:numPr>
          <w:ilvl w:val="255"/>
          <w:numId w:val="0"/>
        </w:numPr>
        <w:spacing w:before="156" w:after="156"/>
        <w:jc w:val="both"/>
        <w:outlineLvl w:val="9"/>
        <w:rPr>
          <w:color w:val="auto"/>
          <w:highlight w:val="none"/>
        </w:rPr>
      </w:pPr>
    </w:p>
    <w:p w14:paraId="3F900899">
      <w:pPr>
        <w:rPr>
          <w:color w:val="auto"/>
          <w:highlight w:val="none"/>
        </w:rPr>
      </w:pPr>
    </w:p>
    <w:p w14:paraId="6DC65060">
      <w:pPr>
        <w:pStyle w:val="9"/>
        <w:numPr>
          <w:ilvl w:val="0"/>
          <w:numId w:val="0"/>
        </w:numPr>
        <w:spacing w:before="312" w:after="312"/>
        <w:rPr>
          <w:color w:val="auto"/>
          <w:sz w:val="84"/>
          <w:szCs w:val="84"/>
          <w:highlight w:val="none"/>
        </w:rPr>
      </w:pPr>
      <w:bookmarkStart w:id="11" w:name="_Toc316"/>
      <w:bookmarkStart w:id="12" w:name="_Toc29899"/>
      <w:bookmarkStart w:id="13" w:name="_Toc7725"/>
      <w:bookmarkStart w:id="14" w:name="_Toc3604"/>
      <w:bookmarkStart w:id="15" w:name="_Toc3816"/>
      <w:bookmarkStart w:id="16" w:name="_Toc30029"/>
      <w:bookmarkStart w:id="17" w:name="_Toc7862"/>
      <w:bookmarkStart w:id="18" w:name="_Toc31437"/>
      <w:bookmarkStart w:id="19" w:name="_Toc14416"/>
      <w:bookmarkStart w:id="20" w:name="_Toc3452"/>
      <w:bookmarkStart w:id="21" w:name="_Toc1315"/>
      <w:bookmarkStart w:id="22" w:name="_Toc32532"/>
      <w:bookmarkStart w:id="23" w:name="_Toc22836"/>
      <w:bookmarkStart w:id="24" w:name="_Toc21191"/>
      <w:bookmarkStart w:id="25" w:name="_Toc18946"/>
      <w:bookmarkStart w:id="26" w:name="_Toc24377"/>
      <w:bookmarkStart w:id="27" w:name="_Toc19234"/>
      <w:bookmarkStart w:id="28" w:name="_Toc27213"/>
      <w:bookmarkStart w:id="29" w:name="_Toc17093"/>
      <w:bookmarkStart w:id="30" w:name="_Toc22509"/>
      <w:bookmarkStart w:id="31" w:name="_Toc20415"/>
      <w:bookmarkStart w:id="32" w:name="_Toc3353"/>
      <w:bookmarkStart w:id="33" w:name="_Toc1847"/>
      <w:bookmarkStart w:id="34" w:name="_Toc2996"/>
      <w:r>
        <w:rPr>
          <w:color w:val="auto"/>
          <w:sz w:val="84"/>
          <w:szCs w:val="84"/>
          <w:highlight w:val="none"/>
        </w:rPr>
        <w:t>公开招标文件</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58043544">
      <w:pPr>
        <w:pStyle w:val="9"/>
        <w:numPr>
          <w:ilvl w:val="-1"/>
          <w:numId w:val="0"/>
        </w:numPr>
        <w:ind w:left="0" w:firstLine="0"/>
        <w:jc w:val="center"/>
        <w:rPr>
          <w:rFonts w:hint="default" w:eastAsia="宋体"/>
          <w:color w:val="auto"/>
          <w:sz w:val="52"/>
          <w:szCs w:val="52"/>
          <w:highlight w:val="none"/>
          <w:lang w:eastAsia="zh-CN"/>
        </w:rPr>
      </w:pPr>
      <w:r>
        <w:rPr>
          <w:rFonts w:hint="default"/>
          <w:color w:val="auto"/>
          <w:sz w:val="52"/>
          <w:szCs w:val="52"/>
          <w:highlight w:val="none"/>
          <w:lang w:eastAsia="zh-CN"/>
        </w:rPr>
        <w:t>（</w:t>
      </w:r>
      <w:r>
        <w:rPr>
          <w:rFonts w:hint="default"/>
          <w:color w:val="auto"/>
          <w:sz w:val="52"/>
          <w:szCs w:val="52"/>
          <w:highlight w:val="none"/>
          <w:lang w:val="en-US" w:eastAsia="zh-CN"/>
        </w:rPr>
        <w:t>电子交易</w:t>
      </w:r>
      <w:r>
        <w:rPr>
          <w:rFonts w:hint="default"/>
          <w:color w:val="auto"/>
          <w:sz w:val="52"/>
          <w:szCs w:val="52"/>
          <w:highlight w:val="none"/>
          <w:lang w:eastAsia="zh-CN"/>
        </w:rPr>
        <w:t>）</w:t>
      </w:r>
    </w:p>
    <w:p w14:paraId="58A33671">
      <w:pPr>
        <w:ind w:firstLine="0" w:firstLineChars="0"/>
        <w:rPr>
          <w:color w:val="auto"/>
          <w:highlight w:val="none"/>
          <w:lang w:val="zh-CN"/>
        </w:rPr>
      </w:pPr>
    </w:p>
    <w:p w14:paraId="6041A951">
      <w:pPr>
        <w:pStyle w:val="4"/>
        <w:ind w:left="960" w:firstLine="560"/>
        <w:rPr>
          <w:color w:val="auto"/>
          <w:highlight w:val="none"/>
          <w:lang w:val="zh-CN"/>
        </w:rPr>
      </w:pPr>
    </w:p>
    <w:p w14:paraId="3220F799">
      <w:pPr>
        <w:pStyle w:val="6"/>
        <w:rPr>
          <w:color w:val="auto"/>
          <w:highlight w:val="none"/>
          <w:lang w:val="zh-CN"/>
        </w:rPr>
      </w:pPr>
    </w:p>
    <w:p w14:paraId="2FA034C2">
      <w:pPr>
        <w:pStyle w:val="8"/>
        <w:rPr>
          <w:color w:val="auto"/>
          <w:highlight w:val="none"/>
          <w:lang w:val="zh-CN"/>
        </w:rPr>
      </w:pPr>
    </w:p>
    <w:p w14:paraId="25843525">
      <w:pPr>
        <w:pStyle w:val="2"/>
        <w:ind w:firstLine="0" w:firstLineChars="0"/>
        <w:rPr>
          <w:color w:val="auto"/>
          <w:highlight w:val="none"/>
          <w:lang w:val="zh-CN"/>
        </w:rPr>
      </w:pPr>
    </w:p>
    <w:p w14:paraId="1A9AC7A4">
      <w:pPr>
        <w:pStyle w:val="2"/>
        <w:rPr>
          <w:color w:val="auto"/>
          <w:highlight w:val="none"/>
          <w:lang w:val="zh-CN"/>
        </w:rPr>
      </w:pPr>
    </w:p>
    <w:p w14:paraId="5733DEDB">
      <w:pPr>
        <w:adjustRightInd w:val="0"/>
        <w:snapToGrid w:val="0"/>
        <w:spacing w:line="800" w:lineRule="exact"/>
        <w:ind w:firstLine="1084" w:firstLineChars="300"/>
        <w:outlineLvl w:val="0"/>
        <w:rPr>
          <w:rFonts w:hint="eastAsia" w:ascii="宋体" w:hAnsi="宋体"/>
          <w:b/>
          <w:bCs/>
          <w:color w:val="auto"/>
          <w:sz w:val="36"/>
          <w:szCs w:val="36"/>
          <w:highlight w:val="none"/>
        </w:rPr>
      </w:pPr>
      <w:bookmarkStart w:id="35" w:name="_Toc31655"/>
      <w:bookmarkStart w:id="36" w:name="_Toc17343"/>
      <w:bookmarkStart w:id="37" w:name="_Toc25590"/>
      <w:bookmarkStart w:id="38" w:name="_Toc21898"/>
      <w:bookmarkStart w:id="39" w:name="_Toc21088"/>
      <w:bookmarkStart w:id="40" w:name="_Toc28244"/>
      <w:bookmarkStart w:id="41" w:name="_Toc17773"/>
      <w:bookmarkStart w:id="42" w:name="_Toc10073"/>
      <w:bookmarkStart w:id="43" w:name="_Toc13764"/>
      <w:bookmarkStart w:id="44" w:name="_Toc5870"/>
      <w:bookmarkStart w:id="45" w:name="_Toc8935"/>
      <w:bookmarkStart w:id="46" w:name="_Toc11886"/>
      <w:bookmarkStart w:id="47" w:name="_Toc13995"/>
      <w:r>
        <w:rPr>
          <w:rFonts w:hint="eastAsia" w:ascii="宋体" w:hAnsi="宋体"/>
          <w:b/>
          <w:bCs/>
          <w:color w:val="auto"/>
          <w:sz w:val="36"/>
          <w:szCs w:val="36"/>
          <w:highlight w:val="none"/>
          <w:lang w:val="zh-CN"/>
        </w:rPr>
        <w:t>采</w:t>
      </w:r>
      <w:r>
        <w:rPr>
          <w:rFonts w:hint="eastAsia" w:ascii="宋体" w:hAnsi="宋体"/>
          <w:b/>
          <w:bCs/>
          <w:color w:val="auto"/>
          <w:sz w:val="36"/>
          <w:szCs w:val="36"/>
          <w:highlight w:val="none"/>
          <w:lang w:val="en-US" w:eastAsia="zh-CN"/>
        </w:rPr>
        <w:t xml:space="preserve">   </w:t>
      </w:r>
      <w:r>
        <w:rPr>
          <w:rFonts w:hint="eastAsia" w:ascii="宋体" w:hAnsi="宋体"/>
          <w:b/>
          <w:bCs/>
          <w:color w:val="auto"/>
          <w:sz w:val="36"/>
          <w:szCs w:val="36"/>
          <w:highlight w:val="none"/>
          <w:lang w:val="zh-CN"/>
        </w:rPr>
        <w:t>购</w:t>
      </w:r>
      <w:r>
        <w:rPr>
          <w:rFonts w:hint="eastAsia" w:ascii="宋体" w:hAnsi="宋体"/>
          <w:b/>
          <w:bCs/>
          <w:color w:val="auto"/>
          <w:sz w:val="36"/>
          <w:szCs w:val="36"/>
          <w:highlight w:val="none"/>
          <w:lang w:val="en-US" w:eastAsia="zh-CN"/>
        </w:rPr>
        <w:t xml:space="preserve">   </w:t>
      </w:r>
      <w:r>
        <w:rPr>
          <w:rFonts w:hint="eastAsia" w:ascii="宋体" w:hAnsi="宋体"/>
          <w:b/>
          <w:bCs/>
          <w:color w:val="auto"/>
          <w:sz w:val="36"/>
          <w:szCs w:val="36"/>
          <w:highlight w:val="none"/>
          <w:lang w:val="zh-CN"/>
        </w:rPr>
        <w:t>人：浙江寰龙环境科技有限公司（</w:t>
      </w:r>
      <w:r>
        <w:rPr>
          <w:rFonts w:hint="eastAsia" w:ascii="宋体" w:hAnsi="宋体"/>
          <w:b/>
          <w:bCs/>
          <w:color w:val="auto"/>
          <w:sz w:val="36"/>
          <w:szCs w:val="36"/>
          <w:highlight w:val="none"/>
        </w:rPr>
        <w:t>盖章</w:t>
      </w:r>
      <w:r>
        <w:rPr>
          <w:rFonts w:hint="eastAsia" w:ascii="宋体" w:hAnsi="宋体"/>
          <w:b/>
          <w:bCs/>
          <w:color w:val="auto"/>
          <w:sz w:val="36"/>
          <w:szCs w:val="36"/>
          <w:highlight w:val="none"/>
          <w:lang w:val="zh-CN"/>
        </w:rPr>
        <w:t>）</w:t>
      </w:r>
      <w:bookmarkEnd w:id="35"/>
      <w:bookmarkEnd w:id="36"/>
      <w:bookmarkEnd w:id="37"/>
      <w:bookmarkEnd w:id="38"/>
      <w:bookmarkEnd w:id="39"/>
      <w:bookmarkEnd w:id="40"/>
      <w:bookmarkEnd w:id="41"/>
      <w:bookmarkEnd w:id="42"/>
      <w:bookmarkEnd w:id="43"/>
      <w:bookmarkEnd w:id="44"/>
      <w:bookmarkEnd w:id="45"/>
      <w:bookmarkStart w:id="48" w:name="_Toc8207"/>
      <w:bookmarkStart w:id="49" w:name="_Toc23740"/>
      <w:bookmarkStart w:id="50" w:name="_Toc22952"/>
      <w:bookmarkStart w:id="51" w:name="_Toc9504"/>
      <w:bookmarkStart w:id="52" w:name="_Toc6155"/>
      <w:bookmarkStart w:id="53" w:name="_Toc13576"/>
      <w:bookmarkStart w:id="54" w:name="_Toc17588"/>
      <w:bookmarkStart w:id="55" w:name="_Toc32417"/>
      <w:bookmarkStart w:id="56" w:name="_Toc11450"/>
      <w:bookmarkStart w:id="57" w:name="_Toc21860"/>
      <w:bookmarkStart w:id="58" w:name="_Toc10453"/>
      <w:bookmarkStart w:id="59" w:name="_Toc11169"/>
      <w:bookmarkStart w:id="60" w:name="_Toc12664"/>
      <w:bookmarkStart w:id="61" w:name="_Toc31873"/>
    </w:p>
    <w:p w14:paraId="208ACABF">
      <w:pPr>
        <w:adjustRightInd w:val="0"/>
        <w:snapToGrid w:val="0"/>
        <w:spacing w:line="800" w:lineRule="exact"/>
        <w:ind w:firstLine="1084" w:firstLineChars="300"/>
        <w:outlineLvl w:val="0"/>
        <w:rPr>
          <w:rFonts w:ascii="宋体" w:hAnsi="宋体"/>
          <w:b/>
          <w:bCs/>
          <w:color w:val="auto"/>
          <w:sz w:val="36"/>
          <w:szCs w:val="36"/>
          <w:highlight w:val="none"/>
          <w:lang w:val="zh-CN"/>
        </w:rPr>
      </w:pPr>
      <w:r>
        <w:rPr>
          <w:rFonts w:hint="eastAsia" w:ascii="宋体" w:hAnsi="宋体"/>
          <w:b/>
          <w:bCs/>
          <w:color w:val="auto"/>
          <w:sz w:val="36"/>
          <w:szCs w:val="36"/>
          <w:highlight w:val="none"/>
        </w:rPr>
        <w:t>采购</w:t>
      </w:r>
      <w:r>
        <w:rPr>
          <w:rFonts w:hint="eastAsia" w:ascii="宋体" w:hAnsi="宋体"/>
          <w:b/>
          <w:bCs/>
          <w:color w:val="auto"/>
          <w:sz w:val="36"/>
          <w:szCs w:val="36"/>
          <w:highlight w:val="none"/>
          <w:lang w:val="zh-CN"/>
        </w:rPr>
        <w:t>代理机构：衢州宇信工程咨询有限公司</w:t>
      </w:r>
      <w:bookmarkEnd w:id="48"/>
      <w:bookmarkEnd w:id="49"/>
      <w:bookmarkEnd w:id="50"/>
      <w:r>
        <w:rPr>
          <w:rFonts w:hint="eastAsia" w:ascii="宋体" w:hAnsi="宋体"/>
          <w:b/>
          <w:bCs/>
          <w:color w:val="auto"/>
          <w:sz w:val="36"/>
          <w:szCs w:val="36"/>
          <w:highlight w:val="none"/>
          <w:lang w:val="zh-CN"/>
        </w:rPr>
        <w:t>（</w:t>
      </w:r>
      <w:r>
        <w:rPr>
          <w:rFonts w:hint="eastAsia" w:ascii="宋体" w:hAnsi="宋体"/>
          <w:b/>
          <w:bCs/>
          <w:color w:val="auto"/>
          <w:sz w:val="36"/>
          <w:szCs w:val="36"/>
          <w:highlight w:val="none"/>
        </w:rPr>
        <w:t>盖章</w:t>
      </w:r>
      <w:r>
        <w:rPr>
          <w:rFonts w:hint="eastAsia" w:ascii="宋体" w:hAnsi="宋体"/>
          <w:b/>
          <w:bCs/>
          <w:color w:val="auto"/>
          <w:sz w:val="36"/>
          <w:szCs w:val="36"/>
          <w:highlight w:val="none"/>
          <w:lang w:val="zh-CN"/>
        </w:rPr>
        <w:t>）</w:t>
      </w:r>
      <w:bookmarkEnd w:id="51"/>
      <w:bookmarkEnd w:id="52"/>
      <w:bookmarkEnd w:id="53"/>
      <w:bookmarkEnd w:id="54"/>
      <w:bookmarkEnd w:id="55"/>
      <w:bookmarkEnd w:id="56"/>
      <w:bookmarkEnd w:id="57"/>
      <w:bookmarkEnd w:id="58"/>
      <w:bookmarkEnd w:id="59"/>
      <w:bookmarkEnd w:id="60"/>
      <w:bookmarkEnd w:id="61"/>
    </w:p>
    <w:p w14:paraId="3E4A4DFB">
      <w:pPr>
        <w:pStyle w:val="40"/>
        <w:ind w:left="0" w:leftChars="0" w:firstLine="0" w:firstLineChars="0"/>
        <w:jc w:val="left"/>
        <w:rPr>
          <w:rFonts w:hint="default" w:hAnsi="宋体"/>
          <w:b/>
          <w:bCs/>
          <w:color w:val="auto"/>
          <w:sz w:val="32"/>
          <w:szCs w:val="32"/>
          <w:highlight w:val="none"/>
          <w:lang w:val="zh-CN"/>
        </w:rPr>
      </w:pPr>
    </w:p>
    <w:p w14:paraId="2518FD01">
      <w:pPr>
        <w:pStyle w:val="40"/>
        <w:ind w:left="0" w:leftChars="0" w:firstLine="0" w:firstLineChars="0"/>
        <w:jc w:val="center"/>
        <w:rPr>
          <w:rFonts w:hint="default" w:hAnsi="宋体"/>
          <w:b/>
          <w:bCs/>
          <w:color w:val="auto"/>
          <w:kern w:val="2"/>
          <w:sz w:val="36"/>
          <w:szCs w:val="36"/>
          <w:highlight w:val="none"/>
          <w:lang w:val="zh-CN"/>
        </w:rPr>
      </w:pPr>
      <w:r>
        <w:rPr>
          <w:rFonts w:hint="eastAsia" w:hAnsi="宋体"/>
          <w:b/>
          <w:bCs/>
          <w:color w:val="auto"/>
          <w:kern w:val="2"/>
          <w:sz w:val="36"/>
          <w:szCs w:val="36"/>
          <w:highlight w:val="none"/>
          <w:lang w:val="zh-CN"/>
        </w:rPr>
        <w:t>二〇二五年</w:t>
      </w:r>
      <w:r>
        <w:rPr>
          <w:rFonts w:hint="eastAsia" w:hAnsi="宋体"/>
          <w:b/>
          <w:bCs/>
          <w:color w:val="auto"/>
          <w:kern w:val="2"/>
          <w:sz w:val="36"/>
          <w:szCs w:val="36"/>
          <w:highlight w:val="none"/>
          <w:lang w:val="en-US" w:eastAsia="zh-CN"/>
        </w:rPr>
        <w:t>六</w:t>
      </w:r>
      <w:r>
        <w:rPr>
          <w:rFonts w:hAnsi="宋体"/>
          <w:b/>
          <w:bCs/>
          <w:color w:val="auto"/>
          <w:kern w:val="2"/>
          <w:sz w:val="36"/>
          <w:szCs w:val="36"/>
          <w:highlight w:val="none"/>
          <w:lang w:val="zh-CN"/>
        </w:rPr>
        <w:t>月</w:t>
      </w:r>
    </w:p>
    <w:bookmarkEnd w:id="46"/>
    <w:bookmarkEnd w:id="47"/>
    <w:p w14:paraId="387479B0">
      <w:pPr>
        <w:ind w:firstLine="0" w:firstLineChars="0"/>
        <w:jc w:val="center"/>
        <w:rPr>
          <w:rFonts w:hint="eastAsia" w:ascii="宋体" w:hAnsi="宋体" w:cs="宋体"/>
          <w:b/>
          <w:color w:val="auto"/>
          <w:sz w:val="44"/>
          <w:szCs w:val="44"/>
          <w:highlight w:val="none"/>
        </w:rPr>
      </w:pPr>
    </w:p>
    <w:p w14:paraId="39E80E89">
      <w:pPr>
        <w:ind w:firstLine="0" w:firstLineChars="0"/>
        <w:jc w:val="center"/>
        <w:rPr>
          <w:rFonts w:ascii="宋体" w:hAnsi="宋体" w:cs="宋体"/>
          <w:color w:val="auto"/>
          <w:highlight w:val="none"/>
        </w:rPr>
      </w:pPr>
      <w:r>
        <w:rPr>
          <w:rFonts w:hint="eastAsia" w:ascii="宋体" w:hAnsi="宋体" w:cs="宋体"/>
          <w:b/>
          <w:color w:val="auto"/>
          <w:sz w:val="44"/>
          <w:szCs w:val="44"/>
          <w:highlight w:val="none"/>
        </w:rPr>
        <w:t>目  录</w:t>
      </w:r>
    </w:p>
    <w:sdt>
      <w:sdtPr>
        <w:rPr>
          <w:rFonts w:ascii="宋体" w:hAnsi="宋体" w:eastAsia="宋体" w:cstheme="minorBidi"/>
          <w:color w:val="auto"/>
          <w:kern w:val="2"/>
          <w:sz w:val="21"/>
          <w:szCs w:val="24"/>
          <w:highlight w:val="none"/>
          <w:lang w:val="en-US" w:eastAsia="zh-CN" w:bidi="ar-SA"/>
        </w:rPr>
        <w:id w:val="147455597"/>
        <w15:color w:val="DBDBDB"/>
        <w:docPartObj>
          <w:docPartGallery w:val="Table of Contents"/>
          <w:docPartUnique/>
        </w:docPartObj>
      </w:sdtPr>
      <w:sdtEndPr>
        <w:rPr>
          <w:rFonts w:ascii="宋体" w:hAnsi="宋体" w:eastAsia="宋体" w:cstheme="minorBidi"/>
          <w:b/>
          <w:color w:val="auto"/>
          <w:kern w:val="2"/>
          <w:sz w:val="21"/>
          <w:szCs w:val="24"/>
          <w:highlight w:val="none"/>
          <w:lang w:val="en-US" w:eastAsia="zh-CN" w:bidi="ar-SA"/>
        </w:rPr>
      </w:sdtEndPr>
      <w:sdtContent>
        <w:p w14:paraId="0460A69C">
          <w:pPr>
            <w:spacing w:before="0" w:beforeLines="0" w:after="0" w:afterLines="0" w:line="240" w:lineRule="auto"/>
            <w:ind w:left="0" w:leftChars="0" w:right="0" w:rightChars="0" w:firstLine="0" w:firstLineChars="0"/>
            <w:jc w:val="center"/>
            <w:rPr>
              <w:color w:val="auto"/>
              <w:highlight w:val="none"/>
            </w:rPr>
          </w:pPr>
        </w:p>
        <w:p w14:paraId="54647728">
          <w:pPr>
            <w:pStyle w:val="82"/>
            <w:tabs>
              <w:tab w:val="right" w:leader="dot" w:pos="9746"/>
            </w:tabs>
            <w:rPr>
              <w:b/>
              <w:color w:val="auto"/>
              <w:highlight w:val="none"/>
            </w:rPr>
          </w:pPr>
          <w:r>
            <w:rPr>
              <w:color w:val="auto"/>
              <w:highlight w:val="none"/>
            </w:rPr>
            <w:fldChar w:fldCharType="begin"/>
          </w:r>
          <w:r>
            <w:rPr>
              <w:color w:val="auto"/>
              <w:highlight w:val="none"/>
            </w:rPr>
            <w:instrText xml:space="preserve">TOC \o "1-2" \h \u </w:instrText>
          </w:r>
          <w:r>
            <w:rPr>
              <w:color w:val="auto"/>
              <w:highlight w:val="none"/>
            </w:rPr>
            <w:fldChar w:fldCharType="separate"/>
          </w:r>
        </w:p>
        <w:p w14:paraId="0F6D2D83">
          <w:pPr>
            <w:pStyle w:val="82"/>
            <w:tabs>
              <w:tab w:val="right" w:leader="dot" w:pos="9746"/>
            </w:tabs>
            <w:spacing w:line="312"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fldChar w:fldCharType="begin"/>
          </w:r>
          <w:r>
            <w:rPr>
              <w:rFonts w:hint="eastAsia" w:ascii="宋体" w:hAnsi="宋体" w:eastAsia="宋体" w:cs="宋体"/>
              <w:b/>
              <w:color w:val="auto"/>
              <w:sz w:val="22"/>
              <w:szCs w:val="22"/>
              <w:highlight w:val="none"/>
            </w:rPr>
            <w:instrText xml:space="preserve"> HYPERLINK \l _Toc20496 </w:instrText>
          </w:r>
          <w:r>
            <w:rPr>
              <w:rFonts w:hint="eastAsia" w:ascii="宋体" w:hAnsi="宋体" w:eastAsia="宋体" w:cs="宋体"/>
              <w:b/>
              <w:color w:val="auto"/>
              <w:sz w:val="22"/>
              <w:szCs w:val="22"/>
              <w:highlight w:val="none"/>
            </w:rPr>
            <w:fldChar w:fldCharType="separate"/>
          </w:r>
          <w:r>
            <w:rPr>
              <w:rFonts w:hint="eastAsia" w:ascii="宋体" w:hAnsi="宋体" w:eastAsia="宋体" w:cs="宋体"/>
              <w:b/>
              <w:bCs/>
              <w:color w:val="auto"/>
              <w:sz w:val="22"/>
              <w:szCs w:val="22"/>
              <w:highlight w:val="none"/>
            </w:rPr>
            <w:t>第一章 招标公告</w:t>
          </w:r>
          <w:r>
            <w:rPr>
              <w:rFonts w:hint="eastAsia" w:ascii="宋体" w:hAnsi="宋体" w:eastAsia="宋体" w:cs="宋体"/>
              <w:b/>
              <w:color w:val="auto"/>
              <w:sz w:val="22"/>
              <w:szCs w:val="22"/>
              <w:highlight w:val="none"/>
            </w:rPr>
            <w:tab/>
          </w:r>
          <w:r>
            <w:rPr>
              <w:rFonts w:hint="eastAsia" w:ascii="宋体" w:hAnsi="宋体" w:eastAsia="宋体" w:cs="宋体"/>
              <w:b/>
              <w:color w:val="auto"/>
              <w:sz w:val="22"/>
              <w:szCs w:val="22"/>
              <w:highlight w:val="none"/>
            </w:rPr>
            <w:fldChar w:fldCharType="begin"/>
          </w:r>
          <w:r>
            <w:rPr>
              <w:rFonts w:hint="eastAsia" w:ascii="宋体" w:hAnsi="宋体" w:eastAsia="宋体" w:cs="宋体"/>
              <w:b/>
              <w:color w:val="auto"/>
              <w:sz w:val="22"/>
              <w:szCs w:val="22"/>
              <w:highlight w:val="none"/>
            </w:rPr>
            <w:instrText xml:space="preserve"> PAGEREF _Toc20496 \h </w:instrText>
          </w:r>
          <w:r>
            <w:rPr>
              <w:rFonts w:hint="eastAsia" w:ascii="宋体" w:hAnsi="宋体" w:eastAsia="宋体" w:cs="宋体"/>
              <w:b/>
              <w:color w:val="auto"/>
              <w:sz w:val="22"/>
              <w:szCs w:val="22"/>
              <w:highlight w:val="none"/>
            </w:rPr>
            <w:fldChar w:fldCharType="separate"/>
          </w:r>
          <w:r>
            <w:rPr>
              <w:rFonts w:hint="eastAsia" w:ascii="宋体" w:hAnsi="宋体" w:eastAsia="宋体" w:cs="宋体"/>
              <w:b/>
              <w:color w:val="auto"/>
              <w:sz w:val="22"/>
              <w:szCs w:val="22"/>
              <w:highlight w:val="none"/>
            </w:rPr>
            <w:t>3</w:t>
          </w:r>
          <w:r>
            <w:rPr>
              <w:rFonts w:hint="eastAsia" w:ascii="宋体" w:hAnsi="宋体" w:eastAsia="宋体" w:cs="宋体"/>
              <w:b/>
              <w:color w:val="auto"/>
              <w:sz w:val="22"/>
              <w:szCs w:val="22"/>
              <w:highlight w:val="none"/>
            </w:rPr>
            <w:fldChar w:fldCharType="end"/>
          </w:r>
          <w:r>
            <w:rPr>
              <w:rFonts w:hint="eastAsia" w:ascii="宋体" w:hAnsi="宋体" w:eastAsia="宋体" w:cs="宋体"/>
              <w:b/>
              <w:color w:val="auto"/>
              <w:sz w:val="22"/>
              <w:szCs w:val="22"/>
              <w:highlight w:val="none"/>
            </w:rPr>
            <w:fldChar w:fldCharType="end"/>
          </w:r>
        </w:p>
        <w:p w14:paraId="194C4F9B">
          <w:pPr>
            <w:pStyle w:val="82"/>
            <w:tabs>
              <w:tab w:val="right" w:leader="dot" w:pos="9746"/>
            </w:tabs>
            <w:spacing w:line="312"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fldChar w:fldCharType="begin"/>
          </w:r>
          <w:r>
            <w:rPr>
              <w:rFonts w:hint="eastAsia" w:ascii="宋体" w:hAnsi="宋体" w:eastAsia="宋体" w:cs="宋体"/>
              <w:b/>
              <w:color w:val="auto"/>
              <w:sz w:val="22"/>
              <w:szCs w:val="22"/>
              <w:highlight w:val="none"/>
            </w:rPr>
            <w:instrText xml:space="preserve"> HYPERLINK \l _Toc23533 </w:instrText>
          </w:r>
          <w:r>
            <w:rPr>
              <w:rFonts w:hint="eastAsia" w:ascii="宋体" w:hAnsi="宋体" w:eastAsia="宋体" w:cs="宋体"/>
              <w:b/>
              <w:color w:val="auto"/>
              <w:sz w:val="22"/>
              <w:szCs w:val="22"/>
              <w:highlight w:val="none"/>
            </w:rPr>
            <w:fldChar w:fldCharType="separate"/>
          </w:r>
          <w:r>
            <w:rPr>
              <w:rFonts w:hint="eastAsia" w:ascii="宋体" w:hAnsi="宋体" w:eastAsia="宋体" w:cs="宋体"/>
              <w:b/>
              <w:color w:val="auto"/>
              <w:sz w:val="22"/>
              <w:szCs w:val="22"/>
              <w:highlight w:val="none"/>
            </w:rPr>
            <w:t>第二章  投标人须知</w:t>
          </w:r>
          <w:r>
            <w:rPr>
              <w:rFonts w:hint="eastAsia" w:ascii="宋体" w:hAnsi="宋体" w:eastAsia="宋体" w:cs="宋体"/>
              <w:b/>
              <w:color w:val="auto"/>
              <w:sz w:val="22"/>
              <w:szCs w:val="22"/>
              <w:highlight w:val="none"/>
            </w:rPr>
            <w:tab/>
          </w:r>
          <w:r>
            <w:rPr>
              <w:rFonts w:hint="eastAsia" w:ascii="宋体" w:hAnsi="宋体" w:eastAsia="宋体" w:cs="宋体"/>
              <w:b/>
              <w:color w:val="auto"/>
              <w:sz w:val="22"/>
              <w:szCs w:val="22"/>
              <w:highlight w:val="none"/>
            </w:rPr>
            <w:fldChar w:fldCharType="begin"/>
          </w:r>
          <w:r>
            <w:rPr>
              <w:rFonts w:hint="eastAsia" w:ascii="宋体" w:hAnsi="宋体" w:eastAsia="宋体" w:cs="宋体"/>
              <w:b/>
              <w:color w:val="auto"/>
              <w:sz w:val="22"/>
              <w:szCs w:val="22"/>
              <w:highlight w:val="none"/>
            </w:rPr>
            <w:instrText xml:space="preserve"> PAGEREF _Toc23533 \h </w:instrText>
          </w:r>
          <w:r>
            <w:rPr>
              <w:rFonts w:hint="eastAsia" w:ascii="宋体" w:hAnsi="宋体" w:eastAsia="宋体" w:cs="宋体"/>
              <w:b/>
              <w:color w:val="auto"/>
              <w:sz w:val="22"/>
              <w:szCs w:val="22"/>
              <w:highlight w:val="none"/>
            </w:rPr>
            <w:fldChar w:fldCharType="separate"/>
          </w:r>
          <w:r>
            <w:rPr>
              <w:rFonts w:hint="eastAsia" w:ascii="宋体" w:hAnsi="宋体" w:eastAsia="宋体" w:cs="宋体"/>
              <w:b/>
              <w:color w:val="auto"/>
              <w:sz w:val="22"/>
              <w:szCs w:val="22"/>
              <w:highlight w:val="none"/>
            </w:rPr>
            <w:t>7</w:t>
          </w:r>
          <w:r>
            <w:rPr>
              <w:rFonts w:hint="eastAsia" w:ascii="宋体" w:hAnsi="宋体" w:eastAsia="宋体" w:cs="宋体"/>
              <w:b/>
              <w:color w:val="auto"/>
              <w:sz w:val="22"/>
              <w:szCs w:val="22"/>
              <w:highlight w:val="none"/>
            </w:rPr>
            <w:fldChar w:fldCharType="end"/>
          </w:r>
          <w:r>
            <w:rPr>
              <w:rFonts w:hint="eastAsia" w:ascii="宋体" w:hAnsi="宋体" w:eastAsia="宋体" w:cs="宋体"/>
              <w:b/>
              <w:color w:val="auto"/>
              <w:sz w:val="22"/>
              <w:szCs w:val="22"/>
              <w:highlight w:val="none"/>
            </w:rPr>
            <w:fldChar w:fldCharType="end"/>
          </w:r>
        </w:p>
        <w:p w14:paraId="0F6143C5">
          <w:pPr>
            <w:pStyle w:val="83"/>
            <w:tabs>
              <w:tab w:val="right" w:leader="dot" w:pos="9746"/>
            </w:tabs>
            <w:spacing w:line="312" w:lineRule="auto"/>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\l _Toc603 </w:instrText>
          </w:r>
          <w:r>
            <w:rPr>
              <w:rFonts w:hint="eastAsia" w:ascii="宋体" w:hAnsi="宋体" w:eastAsia="宋体" w:cs="宋体"/>
              <w:color w:val="auto"/>
              <w:sz w:val="22"/>
              <w:szCs w:val="22"/>
              <w:highlight w:val="none"/>
            </w:rPr>
            <w:fldChar w:fldCharType="separate"/>
          </w:r>
          <w:r>
            <w:rPr>
              <w:rFonts w:hint="eastAsia" w:ascii="宋体" w:hAnsi="宋体" w:eastAsia="宋体" w:cs="宋体"/>
              <w:bCs w:val="0"/>
              <w:color w:val="auto"/>
              <w:sz w:val="22"/>
              <w:szCs w:val="22"/>
              <w:highlight w:val="none"/>
              <w:lang w:bidi="ar"/>
            </w:rPr>
            <w:t>一、投标人须知前附表</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_Toc603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7</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57259D2B">
          <w:pPr>
            <w:pStyle w:val="83"/>
            <w:tabs>
              <w:tab w:val="right" w:leader="dot" w:pos="9746"/>
            </w:tabs>
            <w:spacing w:line="312" w:lineRule="auto"/>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\l _Toc3095 </w:instrText>
          </w:r>
          <w:r>
            <w:rPr>
              <w:rFonts w:hint="eastAsia" w:ascii="宋体" w:hAnsi="宋体" w:eastAsia="宋体" w:cs="宋体"/>
              <w:color w:val="auto"/>
              <w:sz w:val="22"/>
              <w:szCs w:val="22"/>
              <w:highlight w:val="none"/>
            </w:rPr>
            <w:fldChar w:fldCharType="separate"/>
          </w:r>
          <w:r>
            <w:rPr>
              <w:rFonts w:hint="eastAsia" w:ascii="宋体" w:hAnsi="宋体" w:eastAsia="宋体" w:cs="宋体"/>
              <w:bCs w:val="0"/>
              <w:color w:val="auto"/>
              <w:sz w:val="22"/>
              <w:szCs w:val="22"/>
              <w:highlight w:val="none"/>
              <w:lang w:bidi="ar"/>
            </w:rPr>
            <w:t>二、总 则</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_Toc3095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9</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15A35FE1">
          <w:pPr>
            <w:pStyle w:val="83"/>
            <w:tabs>
              <w:tab w:val="right" w:leader="dot" w:pos="9746"/>
            </w:tabs>
            <w:spacing w:line="312" w:lineRule="auto"/>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\l _Toc2048 </w:instrText>
          </w:r>
          <w:r>
            <w:rPr>
              <w:rFonts w:hint="eastAsia" w:ascii="宋体" w:hAnsi="宋体" w:eastAsia="宋体" w:cs="宋体"/>
              <w:color w:val="auto"/>
              <w:sz w:val="22"/>
              <w:szCs w:val="22"/>
              <w:highlight w:val="none"/>
            </w:rPr>
            <w:fldChar w:fldCharType="separate"/>
          </w:r>
          <w:r>
            <w:rPr>
              <w:rFonts w:hint="eastAsia" w:ascii="宋体" w:hAnsi="宋体" w:eastAsia="宋体" w:cs="宋体"/>
              <w:bCs w:val="0"/>
              <w:color w:val="auto"/>
              <w:sz w:val="22"/>
              <w:szCs w:val="22"/>
              <w:highlight w:val="none"/>
              <w:lang w:bidi="ar"/>
            </w:rPr>
            <w:t>三、招标文件</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_Toc2048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13</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1166A863">
          <w:pPr>
            <w:pStyle w:val="83"/>
            <w:tabs>
              <w:tab w:val="right" w:leader="dot" w:pos="9746"/>
            </w:tabs>
            <w:spacing w:line="312" w:lineRule="auto"/>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\l _Toc22621 </w:instrText>
          </w:r>
          <w:r>
            <w:rPr>
              <w:rFonts w:hint="eastAsia" w:ascii="宋体" w:hAnsi="宋体" w:eastAsia="宋体" w:cs="宋体"/>
              <w:color w:val="auto"/>
              <w:sz w:val="22"/>
              <w:szCs w:val="22"/>
              <w:highlight w:val="none"/>
            </w:rPr>
            <w:fldChar w:fldCharType="separate"/>
          </w:r>
          <w:r>
            <w:rPr>
              <w:rFonts w:hint="eastAsia" w:ascii="宋体" w:hAnsi="宋体" w:eastAsia="宋体" w:cs="宋体"/>
              <w:bCs w:val="0"/>
              <w:color w:val="auto"/>
              <w:sz w:val="22"/>
              <w:szCs w:val="22"/>
              <w:highlight w:val="none"/>
              <w:lang w:bidi="ar"/>
            </w:rPr>
            <w:t>四、投标文件的编制</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_Toc22621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13</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7A2B0C8F">
          <w:pPr>
            <w:pStyle w:val="83"/>
            <w:tabs>
              <w:tab w:val="right" w:leader="dot" w:pos="9746"/>
            </w:tabs>
            <w:spacing w:line="312" w:lineRule="auto"/>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\l _Toc11434 </w:instrText>
          </w:r>
          <w:r>
            <w:rPr>
              <w:rFonts w:hint="eastAsia" w:ascii="宋体" w:hAnsi="宋体" w:eastAsia="宋体" w:cs="宋体"/>
              <w:color w:val="auto"/>
              <w:sz w:val="22"/>
              <w:szCs w:val="22"/>
              <w:highlight w:val="none"/>
            </w:rPr>
            <w:fldChar w:fldCharType="separate"/>
          </w:r>
          <w:r>
            <w:rPr>
              <w:rFonts w:hint="eastAsia" w:ascii="宋体" w:hAnsi="宋体" w:eastAsia="宋体" w:cs="宋体"/>
              <w:bCs w:val="0"/>
              <w:color w:val="auto"/>
              <w:sz w:val="22"/>
              <w:szCs w:val="22"/>
              <w:highlight w:val="none"/>
              <w:lang w:bidi="ar"/>
            </w:rPr>
            <w:t>五、投标文件的递交</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_Toc11434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16</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566966FE">
          <w:pPr>
            <w:pStyle w:val="83"/>
            <w:tabs>
              <w:tab w:val="right" w:leader="dot" w:pos="9746"/>
            </w:tabs>
            <w:spacing w:line="312" w:lineRule="auto"/>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\l _Toc27266 </w:instrText>
          </w:r>
          <w:r>
            <w:rPr>
              <w:rFonts w:hint="eastAsia" w:ascii="宋体" w:hAnsi="宋体" w:eastAsia="宋体" w:cs="宋体"/>
              <w:color w:val="auto"/>
              <w:sz w:val="22"/>
              <w:szCs w:val="22"/>
              <w:highlight w:val="none"/>
            </w:rPr>
            <w:fldChar w:fldCharType="separate"/>
          </w:r>
          <w:r>
            <w:rPr>
              <w:rFonts w:hint="eastAsia" w:ascii="宋体" w:hAnsi="宋体" w:eastAsia="宋体" w:cs="宋体"/>
              <w:bCs w:val="0"/>
              <w:color w:val="auto"/>
              <w:sz w:val="22"/>
              <w:szCs w:val="22"/>
              <w:highlight w:val="none"/>
              <w:lang w:bidi="ar"/>
            </w:rPr>
            <w:t>六、投标无效的情形</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_Toc27266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16</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69794040">
          <w:pPr>
            <w:pStyle w:val="83"/>
            <w:tabs>
              <w:tab w:val="right" w:leader="dot" w:pos="9746"/>
            </w:tabs>
            <w:spacing w:line="312" w:lineRule="auto"/>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\l _Toc8176 </w:instrText>
          </w:r>
          <w:r>
            <w:rPr>
              <w:rFonts w:hint="eastAsia" w:ascii="宋体" w:hAnsi="宋体" w:eastAsia="宋体" w:cs="宋体"/>
              <w:color w:val="auto"/>
              <w:sz w:val="22"/>
              <w:szCs w:val="22"/>
              <w:highlight w:val="none"/>
            </w:rPr>
            <w:fldChar w:fldCharType="separate"/>
          </w:r>
          <w:r>
            <w:rPr>
              <w:rFonts w:hint="eastAsia" w:ascii="宋体" w:hAnsi="宋体" w:eastAsia="宋体" w:cs="宋体"/>
              <w:bCs w:val="0"/>
              <w:color w:val="auto"/>
              <w:sz w:val="22"/>
              <w:szCs w:val="22"/>
              <w:highlight w:val="none"/>
              <w:lang w:bidi="ar"/>
            </w:rPr>
            <w:t>七、废标的情形</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_Toc8176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17</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24251785">
          <w:pPr>
            <w:pStyle w:val="83"/>
            <w:tabs>
              <w:tab w:val="right" w:leader="dot" w:pos="9746"/>
            </w:tabs>
            <w:spacing w:line="312" w:lineRule="auto"/>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\l _Toc5430 </w:instrText>
          </w:r>
          <w:r>
            <w:rPr>
              <w:rFonts w:hint="eastAsia" w:ascii="宋体" w:hAnsi="宋体" w:eastAsia="宋体" w:cs="宋体"/>
              <w:color w:val="auto"/>
              <w:sz w:val="22"/>
              <w:szCs w:val="22"/>
              <w:highlight w:val="none"/>
            </w:rPr>
            <w:fldChar w:fldCharType="separate"/>
          </w:r>
          <w:r>
            <w:rPr>
              <w:rFonts w:hint="eastAsia" w:ascii="宋体" w:hAnsi="宋体" w:eastAsia="宋体" w:cs="宋体"/>
              <w:bCs w:val="0"/>
              <w:color w:val="auto"/>
              <w:sz w:val="22"/>
              <w:szCs w:val="22"/>
              <w:highlight w:val="none"/>
              <w:lang w:bidi="ar"/>
            </w:rPr>
            <w:t>八、开标、评标和定标</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_Toc5430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17</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1F39830B">
          <w:pPr>
            <w:pStyle w:val="83"/>
            <w:tabs>
              <w:tab w:val="right" w:leader="dot" w:pos="9746"/>
            </w:tabs>
            <w:spacing w:line="312" w:lineRule="auto"/>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\l _Toc3432 </w:instrText>
          </w:r>
          <w:r>
            <w:rPr>
              <w:rFonts w:hint="eastAsia" w:ascii="宋体" w:hAnsi="宋体" w:eastAsia="宋体" w:cs="宋体"/>
              <w:color w:val="auto"/>
              <w:sz w:val="22"/>
              <w:szCs w:val="22"/>
              <w:highlight w:val="none"/>
            </w:rPr>
            <w:fldChar w:fldCharType="separate"/>
          </w:r>
          <w:r>
            <w:rPr>
              <w:rFonts w:hint="eastAsia" w:ascii="宋体" w:hAnsi="宋体" w:eastAsia="宋体" w:cs="宋体"/>
              <w:bCs w:val="0"/>
              <w:color w:val="auto"/>
              <w:sz w:val="22"/>
              <w:szCs w:val="22"/>
              <w:highlight w:val="none"/>
              <w:lang w:bidi="ar"/>
            </w:rPr>
            <w:t>九、电子投标说明</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_Toc3432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20</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46A17F17">
          <w:pPr>
            <w:pStyle w:val="83"/>
            <w:tabs>
              <w:tab w:val="right" w:leader="dot" w:pos="9746"/>
            </w:tabs>
            <w:spacing w:line="312" w:lineRule="auto"/>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\l _Toc4789 </w:instrText>
          </w:r>
          <w:r>
            <w:rPr>
              <w:rFonts w:hint="eastAsia" w:ascii="宋体" w:hAnsi="宋体" w:eastAsia="宋体" w:cs="宋体"/>
              <w:color w:val="auto"/>
              <w:sz w:val="22"/>
              <w:szCs w:val="22"/>
              <w:highlight w:val="none"/>
            </w:rPr>
            <w:fldChar w:fldCharType="separate"/>
          </w:r>
          <w:r>
            <w:rPr>
              <w:rFonts w:hint="eastAsia" w:ascii="宋体" w:hAnsi="宋体" w:eastAsia="宋体" w:cs="宋体"/>
              <w:bCs w:val="0"/>
              <w:color w:val="auto"/>
              <w:sz w:val="22"/>
              <w:szCs w:val="22"/>
              <w:highlight w:val="none"/>
              <w:lang w:bidi="ar"/>
            </w:rPr>
            <w:t>十、纪律和监督</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_Toc4789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20</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24EDAD77">
          <w:pPr>
            <w:pStyle w:val="83"/>
            <w:tabs>
              <w:tab w:val="right" w:leader="dot" w:pos="9746"/>
            </w:tabs>
            <w:spacing w:line="312" w:lineRule="auto"/>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\l _Toc28990 </w:instrText>
          </w:r>
          <w:r>
            <w:rPr>
              <w:rFonts w:hint="eastAsia" w:ascii="宋体" w:hAnsi="宋体" w:eastAsia="宋体" w:cs="宋体"/>
              <w:color w:val="auto"/>
              <w:sz w:val="22"/>
              <w:szCs w:val="22"/>
              <w:highlight w:val="none"/>
            </w:rPr>
            <w:fldChar w:fldCharType="separate"/>
          </w:r>
          <w:r>
            <w:rPr>
              <w:rFonts w:hint="eastAsia" w:ascii="宋体" w:hAnsi="宋体" w:eastAsia="宋体" w:cs="宋体"/>
              <w:bCs w:val="0"/>
              <w:color w:val="auto"/>
              <w:sz w:val="22"/>
              <w:szCs w:val="22"/>
              <w:highlight w:val="none"/>
              <w:lang w:bidi="ar"/>
            </w:rPr>
            <w:t>十一、质疑和投诉</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_Toc28990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21</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49BD5B87">
          <w:pPr>
            <w:pStyle w:val="83"/>
            <w:tabs>
              <w:tab w:val="right" w:leader="dot" w:pos="9746"/>
            </w:tabs>
            <w:spacing w:line="312" w:lineRule="auto"/>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\l _Toc31692 </w:instrText>
          </w:r>
          <w:r>
            <w:rPr>
              <w:rFonts w:hint="eastAsia" w:ascii="宋体" w:hAnsi="宋体" w:eastAsia="宋体" w:cs="宋体"/>
              <w:color w:val="auto"/>
              <w:sz w:val="22"/>
              <w:szCs w:val="22"/>
              <w:highlight w:val="none"/>
            </w:rPr>
            <w:fldChar w:fldCharType="separate"/>
          </w:r>
          <w:r>
            <w:rPr>
              <w:rFonts w:hint="eastAsia" w:ascii="宋体" w:hAnsi="宋体" w:eastAsia="宋体" w:cs="宋体"/>
              <w:bCs w:val="0"/>
              <w:color w:val="auto"/>
              <w:sz w:val="22"/>
              <w:szCs w:val="22"/>
              <w:highlight w:val="none"/>
              <w:lang w:bidi="ar"/>
            </w:rPr>
            <w:t>十二、授予合同</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_Toc31692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21</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1ED4108A">
          <w:pPr>
            <w:pStyle w:val="83"/>
            <w:tabs>
              <w:tab w:val="right" w:leader="dot" w:pos="9746"/>
            </w:tabs>
            <w:spacing w:line="312" w:lineRule="auto"/>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\l _Toc25683 </w:instrText>
          </w:r>
          <w:r>
            <w:rPr>
              <w:rFonts w:hint="eastAsia" w:ascii="宋体" w:hAnsi="宋体" w:eastAsia="宋体" w:cs="宋体"/>
              <w:color w:val="auto"/>
              <w:sz w:val="22"/>
              <w:szCs w:val="22"/>
              <w:highlight w:val="none"/>
            </w:rPr>
            <w:fldChar w:fldCharType="separate"/>
          </w:r>
          <w:r>
            <w:rPr>
              <w:rFonts w:hint="eastAsia" w:ascii="宋体" w:hAnsi="宋体" w:eastAsia="宋体" w:cs="宋体"/>
              <w:bCs w:val="0"/>
              <w:color w:val="auto"/>
              <w:sz w:val="22"/>
              <w:szCs w:val="22"/>
              <w:highlight w:val="none"/>
              <w:lang w:bidi="ar"/>
            </w:rPr>
            <w:t>十三、法律责任</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_Toc25683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22</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0D21B89E">
          <w:pPr>
            <w:pStyle w:val="83"/>
            <w:tabs>
              <w:tab w:val="right" w:leader="dot" w:pos="9746"/>
            </w:tabs>
            <w:spacing w:line="312" w:lineRule="auto"/>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\l _Toc24411 </w:instrText>
          </w:r>
          <w:r>
            <w:rPr>
              <w:rFonts w:hint="eastAsia" w:ascii="宋体" w:hAnsi="宋体" w:eastAsia="宋体" w:cs="宋体"/>
              <w:color w:val="auto"/>
              <w:sz w:val="22"/>
              <w:szCs w:val="22"/>
              <w:highlight w:val="none"/>
            </w:rPr>
            <w:fldChar w:fldCharType="separate"/>
          </w:r>
          <w:r>
            <w:rPr>
              <w:rFonts w:hint="eastAsia" w:ascii="宋体" w:hAnsi="宋体" w:eastAsia="宋体" w:cs="宋体"/>
              <w:bCs w:val="0"/>
              <w:color w:val="auto"/>
              <w:sz w:val="22"/>
              <w:szCs w:val="22"/>
              <w:highlight w:val="none"/>
            </w:rPr>
            <w:t>十四、诚信管理</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_Toc24411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23</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50567C5E">
          <w:pPr>
            <w:pStyle w:val="83"/>
            <w:tabs>
              <w:tab w:val="right" w:leader="dot" w:pos="9746"/>
            </w:tabs>
            <w:spacing w:line="312" w:lineRule="auto"/>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\l _Toc10464 </w:instrText>
          </w:r>
          <w:r>
            <w:rPr>
              <w:rFonts w:hint="eastAsia" w:ascii="宋体" w:hAnsi="宋体" w:eastAsia="宋体" w:cs="宋体"/>
              <w:color w:val="auto"/>
              <w:sz w:val="22"/>
              <w:szCs w:val="22"/>
              <w:highlight w:val="none"/>
            </w:rPr>
            <w:fldChar w:fldCharType="separate"/>
          </w:r>
          <w:r>
            <w:rPr>
              <w:rFonts w:hint="eastAsia" w:ascii="宋体" w:hAnsi="宋体" w:eastAsia="宋体" w:cs="宋体"/>
              <w:bCs w:val="0"/>
              <w:color w:val="auto"/>
              <w:sz w:val="22"/>
              <w:szCs w:val="22"/>
              <w:highlight w:val="none"/>
              <w:lang w:bidi="ar"/>
            </w:rPr>
            <w:t>十五、其他</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_Toc10464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24</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27E6A18F">
          <w:pPr>
            <w:pStyle w:val="82"/>
            <w:tabs>
              <w:tab w:val="right" w:leader="dot" w:pos="9746"/>
            </w:tabs>
            <w:spacing w:line="312"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fldChar w:fldCharType="begin"/>
          </w:r>
          <w:r>
            <w:rPr>
              <w:rFonts w:hint="eastAsia" w:ascii="宋体" w:hAnsi="宋体" w:eastAsia="宋体" w:cs="宋体"/>
              <w:b/>
              <w:color w:val="auto"/>
              <w:sz w:val="22"/>
              <w:szCs w:val="22"/>
              <w:highlight w:val="none"/>
            </w:rPr>
            <w:instrText xml:space="preserve"> HYPERLINK \l _Toc21287 </w:instrText>
          </w:r>
          <w:r>
            <w:rPr>
              <w:rFonts w:hint="eastAsia" w:ascii="宋体" w:hAnsi="宋体" w:eastAsia="宋体" w:cs="宋体"/>
              <w:b/>
              <w:color w:val="auto"/>
              <w:sz w:val="22"/>
              <w:szCs w:val="22"/>
              <w:highlight w:val="none"/>
            </w:rPr>
            <w:fldChar w:fldCharType="separate"/>
          </w:r>
          <w:r>
            <w:rPr>
              <w:rFonts w:hint="eastAsia" w:ascii="宋体" w:hAnsi="宋体" w:eastAsia="宋体" w:cs="宋体"/>
              <w:b/>
              <w:color w:val="auto"/>
              <w:sz w:val="22"/>
              <w:szCs w:val="22"/>
              <w:highlight w:val="none"/>
            </w:rPr>
            <w:t>第三章 采购内容及要求</w:t>
          </w:r>
          <w:r>
            <w:rPr>
              <w:rFonts w:hint="eastAsia" w:ascii="宋体" w:hAnsi="宋体" w:eastAsia="宋体" w:cs="宋体"/>
              <w:b/>
              <w:color w:val="auto"/>
              <w:sz w:val="22"/>
              <w:szCs w:val="22"/>
              <w:highlight w:val="none"/>
            </w:rPr>
            <w:tab/>
          </w:r>
          <w:r>
            <w:rPr>
              <w:rFonts w:hint="eastAsia" w:ascii="宋体" w:hAnsi="宋体" w:eastAsia="宋体" w:cs="宋体"/>
              <w:b/>
              <w:color w:val="auto"/>
              <w:sz w:val="22"/>
              <w:szCs w:val="22"/>
              <w:highlight w:val="none"/>
            </w:rPr>
            <w:fldChar w:fldCharType="begin"/>
          </w:r>
          <w:r>
            <w:rPr>
              <w:rFonts w:hint="eastAsia" w:ascii="宋体" w:hAnsi="宋体" w:eastAsia="宋体" w:cs="宋体"/>
              <w:b/>
              <w:color w:val="auto"/>
              <w:sz w:val="22"/>
              <w:szCs w:val="22"/>
              <w:highlight w:val="none"/>
            </w:rPr>
            <w:instrText xml:space="preserve"> PAGEREF _Toc21287 \h </w:instrText>
          </w:r>
          <w:r>
            <w:rPr>
              <w:rFonts w:hint="eastAsia" w:ascii="宋体" w:hAnsi="宋体" w:eastAsia="宋体" w:cs="宋体"/>
              <w:b/>
              <w:color w:val="auto"/>
              <w:sz w:val="22"/>
              <w:szCs w:val="22"/>
              <w:highlight w:val="none"/>
            </w:rPr>
            <w:fldChar w:fldCharType="separate"/>
          </w:r>
          <w:r>
            <w:rPr>
              <w:rFonts w:hint="eastAsia" w:ascii="宋体" w:hAnsi="宋体" w:eastAsia="宋体" w:cs="宋体"/>
              <w:b/>
              <w:color w:val="auto"/>
              <w:sz w:val="22"/>
              <w:szCs w:val="22"/>
              <w:highlight w:val="none"/>
            </w:rPr>
            <w:t>25</w:t>
          </w:r>
          <w:r>
            <w:rPr>
              <w:rFonts w:hint="eastAsia" w:ascii="宋体" w:hAnsi="宋体" w:eastAsia="宋体" w:cs="宋体"/>
              <w:b/>
              <w:color w:val="auto"/>
              <w:sz w:val="22"/>
              <w:szCs w:val="22"/>
              <w:highlight w:val="none"/>
            </w:rPr>
            <w:fldChar w:fldCharType="end"/>
          </w:r>
          <w:r>
            <w:rPr>
              <w:rFonts w:hint="eastAsia" w:ascii="宋体" w:hAnsi="宋体" w:eastAsia="宋体" w:cs="宋体"/>
              <w:b/>
              <w:color w:val="auto"/>
              <w:sz w:val="22"/>
              <w:szCs w:val="22"/>
              <w:highlight w:val="none"/>
            </w:rPr>
            <w:fldChar w:fldCharType="end"/>
          </w:r>
        </w:p>
        <w:p w14:paraId="6C24BCFB">
          <w:pPr>
            <w:pStyle w:val="82"/>
            <w:tabs>
              <w:tab w:val="right" w:leader="dot" w:pos="9746"/>
            </w:tabs>
            <w:spacing w:line="312"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fldChar w:fldCharType="begin"/>
          </w:r>
          <w:r>
            <w:rPr>
              <w:rFonts w:hint="eastAsia" w:ascii="宋体" w:hAnsi="宋体" w:eastAsia="宋体" w:cs="宋体"/>
              <w:b/>
              <w:color w:val="auto"/>
              <w:sz w:val="22"/>
              <w:szCs w:val="22"/>
              <w:highlight w:val="none"/>
            </w:rPr>
            <w:instrText xml:space="preserve"> HYPERLINK \l _Toc28986 </w:instrText>
          </w:r>
          <w:r>
            <w:rPr>
              <w:rFonts w:hint="eastAsia" w:ascii="宋体" w:hAnsi="宋体" w:eastAsia="宋体" w:cs="宋体"/>
              <w:b/>
              <w:color w:val="auto"/>
              <w:sz w:val="22"/>
              <w:szCs w:val="22"/>
              <w:highlight w:val="none"/>
            </w:rPr>
            <w:fldChar w:fldCharType="separate"/>
          </w:r>
          <w:r>
            <w:rPr>
              <w:rFonts w:hint="eastAsia" w:ascii="宋体" w:hAnsi="宋体" w:eastAsia="宋体" w:cs="宋体"/>
              <w:b/>
              <w:color w:val="auto"/>
              <w:sz w:val="22"/>
              <w:szCs w:val="22"/>
              <w:highlight w:val="none"/>
            </w:rPr>
            <w:t xml:space="preserve">第四章 </w:t>
          </w:r>
          <w:r>
            <w:rPr>
              <w:rFonts w:hint="eastAsia" w:ascii="宋体" w:hAnsi="宋体" w:eastAsia="宋体" w:cs="宋体"/>
              <w:b/>
              <w:color w:val="auto"/>
              <w:sz w:val="22"/>
              <w:szCs w:val="22"/>
              <w:highlight w:val="none"/>
              <w:lang w:val="zh-CN"/>
            </w:rPr>
            <w:t>评标办法及评分标准</w:t>
          </w:r>
          <w:r>
            <w:rPr>
              <w:rFonts w:hint="eastAsia" w:ascii="宋体" w:hAnsi="宋体" w:eastAsia="宋体" w:cs="宋体"/>
              <w:b/>
              <w:color w:val="auto"/>
              <w:sz w:val="22"/>
              <w:szCs w:val="22"/>
              <w:highlight w:val="none"/>
            </w:rPr>
            <w:tab/>
          </w:r>
          <w:r>
            <w:rPr>
              <w:rFonts w:hint="eastAsia" w:ascii="宋体" w:hAnsi="宋体" w:eastAsia="宋体" w:cs="宋体"/>
              <w:b/>
              <w:color w:val="auto"/>
              <w:sz w:val="22"/>
              <w:szCs w:val="22"/>
              <w:highlight w:val="none"/>
            </w:rPr>
            <w:fldChar w:fldCharType="begin"/>
          </w:r>
          <w:r>
            <w:rPr>
              <w:rFonts w:hint="eastAsia" w:ascii="宋体" w:hAnsi="宋体" w:eastAsia="宋体" w:cs="宋体"/>
              <w:b/>
              <w:color w:val="auto"/>
              <w:sz w:val="22"/>
              <w:szCs w:val="22"/>
              <w:highlight w:val="none"/>
            </w:rPr>
            <w:instrText xml:space="preserve"> PAGEREF _Toc28986 \h </w:instrText>
          </w:r>
          <w:r>
            <w:rPr>
              <w:rFonts w:hint="eastAsia" w:ascii="宋体" w:hAnsi="宋体" w:eastAsia="宋体" w:cs="宋体"/>
              <w:b/>
              <w:color w:val="auto"/>
              <w:sz w:val="22"/>
              <w:szCs w:val="22"/>
              <w:highlight w:val="none"/>
            </w:rPr>
            <w:fldChar w:fldCharType="separate"/>
          </w:r>
          <w:r>
            <w:rPr>
              <w:rFonts w:hint="eastAsia" w:ascii="宋体" w:hAnsi="宋体" w:eastAsia="宋体" w:cs="宋体"/>
              <w:b/>
              <w:color w:val="auto"/>
              <w:sz w:val="22"/>
              <w:szCs w:val="22"/>
              <w:highlight w:val="none"/>
            </w:rPr>
            <w:t>29</w:t>
          </w:r>
          <w:r>
            <w:rPr>
              <w:rFonts w:hint="eastAsia" w:ascii="宋体" w:hAnsi="宋体" w:eastAsia="宋体" w:cs="宋体"/>
              <w:b/>
              <w:color w:val="auto"/>
              <w:sz w:val="22"/>
              <w:szCs w:val="22"/>
              <w:highlight w:val="none"/>
            </w:rPr>
            <w:fldChar w:fldCharType="end"/>
          </w:r>
          <w:r>
            <w:rPr>
              <w:rFonts w:hint="eastAsia" w:ascii="宋体" w:hAnsi="宋体" w:eastAsia="宋体" w:cs="宋体"/>
              <w:b/>
              <w:color w:val="auto"/>
              <w:sz w:val="22"/>
              <w:szCs w:val="22"/>
              <w:highlight w:val="none"/>
            </w:rPr>
            <w:fldChar w:fldCharType="end"/>
          </w:r>
        </w:p>
        <w:p w14:paraId="757BB3BD">
          <w:pPr>
            <w:pStyle w:val="82"/>
            <w:tabs>
              <w:tab w:val="right" w:leader="dot" w:pos="9746"/>
            </w:tabs>
            <w:spacing w:line="312"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fldChar w:fldCharType="begin"/>
          </w:r>
          <w:r>
            <w:rPr>
              <w:rFonts w:hint="eastAsia" w:ascii="宋体" w:hAnsi="宋体" w:eastAsia="宋体" w:cs="宋体"/>
              <w:b/>
              <w:color w:val="auto"/>
              <w:sz w:val="22"/>
              <w:szCs w:val="22"/>
              <w:highlight w:val="none"/>
            </w:rPr>
            <w:instrText xml:space="preserve"> HYPERLINK \l _Toc26302 </w:instrText>
          </w:r>
          <w:r>
            <w:rPr>
              <w:rFonts w:hint="eastAsia" w:ascii="宋体" w:hAnsi="宋体" w:eastAsia="宋体" w:cs="宋体"/>
              <w:b/>
              <w:color w:val="auto"/>
              <w:sz w:val="22"/>
              <w:szCs w:val="22"/>
              <w:highlight w:val="none"/>
            </w:rPr>
            <w:fldChar w:fldCharType="separate"/>
          </w:r>
          <w:r>
            <w:rPr>
              <w:rFonts w:hint="eastAsia" w:ascii="宋体" w:hAnsi="宋体" w:eastAsia="宋体" w:cs="宋体"/>
              <w:b/>
              <w:color w:val="auto"/>
              <w:sz w:val="22"/>
              <w:szCs w:val="22"/>
              <w:highlight w:val="none"/>
              <w:lang w:val="zh-CN"/>
            </w:rPr>
            <w:t xml:space="preserve">第五章 </w:t>
          </w:r>
          <w:r>
            <w:rPr>
              <w:rFonts w:hint="eastAsia" w:ascii="宋体" w:hAnsi="宋体" w:eastAsia="宋体" w:cs="宋体"/>
              <w:b/>
              <w:color w:val="auto"/>
              <w:sz w:val="22"/>
              <w:szCs w:val="22"/>
              <w:highlight w:val="none"/>
            </w:rPr>
            <w:t>合同条款及格式</w:t>
          </w:r>
          <w:r>
            <w:rPr>
              <w:rFonts w:hint="eastAsia" w:ascii="宋体" w:hAnsi="宋体" w:eastAsia="宋体" w:cs="宋体"/>
              <w:b/>
              <w:color w:val="auto"/>
              <w:sz w:val="22"/>
              <w:szCs w:val="22"/>
              <w:highlight w:val="none"/>
            </w:rPr>
            <w:tab/>
          </w:r>
          <w:r>
            <w:rPr>
              <w:rFonts w:hint="eastAsia" w:ascii="宋体" w:hAnsi="宋体" w:eastAsia="宋体" w:cs="宋体"/>
              <w:b/>
              <w:color w:val="auto"/>
              <w:sz w:val="22"/>
              <w:szCs w:val="22"/>
              <w:highlight w:val="none"/>
            </w:rPr>
            <w:fldChar w:fldCharType="begin"/>
          </w:r>
          <w:r>
            <w:rPr>
              <w:rFonts w:hint="eastAsia" w:ascii="宋体" w:hAnsi="宋体" w:eastAsia="宋体" w:cs="宋体"/>
              <w:b/>
              <w:color w:val="auto"/>
              <w:sz w:val="22"/>
              <w:szCs w:val="22"/>
              <w:highlight w:val="none"/>
            </w:rPr>
            <w:instrText xml:space="preserve"> PAGEREF _Toc26302 \h </w:instrText>
          </w:r>
          <w:r>
            <w:rPr>
              <w:rFonts w:hint="eastAsia" w:ascii="宋体" w:hAnsi="宋体" w:eastAsia="宋体" w:cs="宋体"/>
              <w:b/>
              <w:color w:val="auto"/>
              <w:sz w:val="22"/>
              <w:szCs w:val="22"/>
              <w:highlight w:val="none"/>
            </w:rPr>
            <w:fldChar w:fldCharType="separate"/>
          </w:r>
          <w:r>
            <w:rPr>
              <w:rFonts w:hint="eastAsia" w:ascii="宋体" w:hAnsi="宋体" w:eastAsia="宋体" w:cs="宋体"/>
              <w:b/>
              <w:color w:val="auto"/>
              <w:sz w:val="22"/>
              <w:szCs w:val="22"/>
              <w:highlight w:val="none"/>
            </w:rPr>
            <w:t>34</w:t>
          </w:r>
          <w:r>
            <w:rPr>
              <w:rFonts w:hint="eastAsia" w:ascii="宋体" w:hAnsi="宋体" w:eastAsia="宋体" w:cs="宋体"/>
              <w:b/>
              <w:color w:val="auto"/>
              <w:sz w:val="22"/>
              <w:szCs w:val="22"/>
              <w:highlight w:val="none"/>
            </w:rPr>
            <w:fldChar w:fldCharType="end"/>
          </w:r>
          <w:r>
            <w:rPr>
              <w:rFonts w:hint="eastAsia" w:ascii="宋体" w:hAnsi="宋体" w:eastAsia="宋体" w:cs="宋体"/>
              <w:b/>
              <w:color w:val="auto"/>
              <w:sz w:val="22"/>
              <w:szCs w:val="22"/>
              <w:highlight w:val="none"/>
            </w:rPr>
            <w:fldChar w:fldCharType="end"/>
          </w:r>
        </w:p>
        <w:p w14:paraId="51C725E8">
          <w:pPr>
            <w:pStyle w:val="82"/>
            <w:tabs>
              <w:tab w:val="right" w:leader="dot" w:pos="9746"/>
            </w:tabs>
            <w:spacing w:line="312"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fldChar w:fldCharType="begin"/>
          </w:r>
          <w:r>
            <w:rPr>
              <w:rFonts w:hint="eastAsia" w:ascii="宋体" w:hAnsi="宋体" w:eastAsia="宋体" w:cs="宋体"/>
              <w:b/>
              <w:color w:val="auto"/>
              <w:sz w:val="22"/>
              <w:szCs w:val="22"/>
              <w:highlight w:val="none"/>
            </w:rPr>
            <w:instrText xml:space="preserve"> HYPERLINK \l _Toc10374 </w:instrText>
          </w:r>
          <w:r>
            <w:rPr>
              <w:rFonts w:hint="eastAsia" w:ascii="宋体" w:hAnsi="宋体" w:eastAsia="宋体" w:cs="宋体"/>
              <w:b/>
              <w:color w:val="auto"/>
              <w:sz w:val="22"/>
              <w:szCs w:val="22"/>
              <w:highlight w:val="none"/>
            </w:rPr>
            <w:fldChar w:fldCharType="separate"/>
          </w:r>
          <w:r>
            <w:rPr>
              <w:rFonts w:hint="eastAsia" w:ascii="宋体" w:hAnsi="宋体" w:eastAsia="宋体" w:cs="宋体"/>
              <w:b/>
              <w:color w:val="auto"/>
              <w:sz w:val="22"/>
              <w:szCs w:val="22"/>
              <w:highlight w:val="none"/>
            </w:rPr>
            <w:t>第六章 投标文件格式</w:t>
          </w:r>
          <w:r>
            <w:rPr>
              <w:rFonts w:hint="eastAsia" w:ascii="宋体" w:hAnsi="宋体" w:eastAsia="宋体" w:cs="宋体"/>
              <w:b/>
              <w:color w:val="auto"/>
              <w:sz w:val="22"/>
              <w:szCs w:val="22"/>
              <w:highlight w:val="none"/>
            </w:rPr>
            <w:tab/>
          </w:r>
          <w:r>
            <w:rPr>
              <w:rFonts w:hint="eastAsia" w:ascii="宋体" w:hAnsi="宋体" w:eastAsia="宋体" w:cs="宋体"/>
              <w:b/>
              <w:color w:val="auto"/>
              <w:sz w:val="22"/>
              <w:szCs w:val="22"/>
              <w:highlight w:val="none"/>
            </w:rPr>
            <w:fldChar w:fldCharType="begin"/>
          </w:r>
          <w:r>
            <w:rPr>
              <w:rFonts w:hint="eastAsia" w:ascii="宋体" w:hAnsi="宋体" w:eastAsia="宋体" w:cs="宋体"/>
              <w:b/>
              <w:color w:val="auto"/>
              <w:sz w:val="22"/>
              <w:szCs w:val="22"/>
              <w:highlight w:val="none"/>
            </w:rPr>
            <w:instrText xml:space="preserve"> PAGEREF _Toc10374 \h </w:instrText>
          </w:r>
          <w:r>
            <w:rPr>
              <w:rFonts w:hint="eastAsia" w:ascii="宋体" w:hAnsi="宋体" w:eastAsia="宋体" w:cs="宋体"/>
              <w:b/>
              <w:color w:val="auto"/>
              <w:sz w:val="22"/>
              <w:szCs w:val="22"/>
              <w:highlight w:val="none"/>
            </w:rPr>
            <w:fldChar w:fldCharType="separate"/>
          </w:r>
          <w:r>
            <w:rPr>
              <w:rFonts w:hint="eastAsia" w:ascii="宋体" w:hAnsi="宋体" w:eastAsia="宋体" w:cs="宋体"/>
              <w:b/>
              <w:color w:val="auto"/>
              <w:sz w:val="22"/>
              <w:szCs w:val="22"/>
              <w:highlight w:val="none"/>
            </w:rPr>
            <w:t>46</w:t>
          </w:r>
          <w:r>
            <w:rPr>
              <w:rFonts w:hint="eastAsia" w:ascii="宋体" w:hAnsi="宋体" w:eastAsia="宋体" w:cs="宋体"/>
              <w:b/>
              <w:color w:val="auto"/>
              <w:sz w:val="22"/>
              <w:szCs w:val="22"/>
              <w:highlight w:val="none"/>
            </w:rPr>
            <w:fldChar w:fldCharType="end"/>
          </w:r>
          <w:r>
            <w:rPr>
              <w:rFonts w:hint="eastAsia" w:ascii="宋体" w:hAnsi="宋体" w:eastAsia="宋体" w:cs="宋体"/>
              <w:b/>
              <w:color w:val="auto"/>
              <w:sz w:val="22"/>
              <w:szCs w:val="22"/>
              <w:highlight w:val="none"/>
            </w:rPr>
            <w:fldChar w:fldCharType="end"/>
          </w:r>
        </w:p>
        <w:p w14:paraId="754F2275">
          <w:pPr>
            <w:rPr>
              <w:color w:val="auto"/>
              <w:highlight w:val="none"/>
            </w:rPr>
          </w:pPr>
          <w:r>
            <w:rPr>
              <w:b/>
              <w:color w:val="auto"/>
              <w:highlight w:val="none"/>
            </w:rPr>
            <w:fldChar w:fldCharType="end"/>
          </w:r>
        </w:p>
      </w:sdtContent>
    </w:sdt>
    <w:p w14:paraId="2BBC48CF">
      <w:pPr>
        <w:ind w:firstLine="480"/>
        <w:rPr>
          <w:color w:val="auto"/>
          <w:highlight w:val="none"/>
        </w:rPr>
      </w:pPr>
    </w:p>
    <w:p w14:paraId="54F8D17D">
      <w:pPr>
        <w:ind w:firstLine="0" w:firstLineChars="0"/>
        <w:rPr>
          <w:rFonts w:hint="eastAsia" w:eastAsia="宋体"/>
          <w:color w:val="auto"/>
          <w:highlight w:val="none"/>
          <w:lang w:eastAsia="zh-CN"/>
        </w:rPr>
      </w:pPr>
    </w:p>
    <w:p w14:paraId="2586011D">
      <w:pPr>
        <w:pStyle w:val="2"/>
        <w:rPr>
          <w:rFonts w:hint="eastAsia" w:eastAsia="宋体"/>
          <w:color w:val="auto"/>
          <w:highlight w:val="none"/>
          <w:lang w:eastAsia="zh-CN"/>
        </w:rPr>
      </w:pPr>
    </w:p>
    <w:p w14:paraId="69EBC512">
      <w:pPr>
        <w:rPr>
          <w:rFonts w:hint="eastAsia" w:eastAsia="宋体"/>
          <w:color w:val="auto"/>
          <w:highlight w:val="none"/>
          <w:lang w:eastAsia="zh-CN"/>
        </w:rPr>
      </w:pPr>
    </w:p>
    <w:p w14:paraId="3FE0DF83">
      <w:pPr>
        <w:pStyle w:val="2"/>
        <w:rPr>
          <w:rFonts w:hint="eastAsia" w:eastAsia="宋体"/>
          <w:color w:val="auto"/>
          <w:highlight w:val="none"/>
          <w:lang w:eastAsia="zh-CN"/>
        </w:rPr>
      </w:pPr>
    </w:p>
    <w:p w14:paraId="60781932">
      <w:pPr>
        <w:pStyle w:val="2"/>
        <w:ind w:firstLine="0" w:firstLineChars="0"/>
        <w:rPr>
          <w:rFonts w:hint="eastAsia" w:eastAsia="宋体"/>
          <w:color w:val="auto"/>
          <w:highlight w:val="none"/>
          <w:lang w:eastAsia="zh-CN"/>
        </w:rPr>
      </w:pPr>
    </w:p>
    <w:p w14:paraId="16291B08">
      <w:pPr>
        <w:pStyle w:val="9"/>
        <w:numPr>
          <w:ilvl w:val="0"/>
          <w:numId w:val="0"/>
        </w:numPr>
        <w:spacing w:beforeLines="0" w:afterLines="0" w:line="480" w:lineRule="exact"/>
        <w:jc w:val="center"/>
        <w:rPr>
          <w:color w:val="auto"/>
          <w:highlight w:val="none"/>
        </w:rPr>
      </w:pPr>
      <w:bookmarkStart w:id="62" w:name="_Toc20496"/>
      <w:bookmarkStart w:id="63" w:name="_Toc13310"/>
      <w:r>
        <w:rPr>
          <w:rFonts w:hint="eastAsia"/>
          <w:bCs/>
          <w:color w:val="auto"/>
          <w:szCs w:val="36"/>
          <w:highlight w:val="none"/>
        </w:rPr>
        <w:t>第一章 招标公告</w:t>
      </w:r>
      <w:bookmarkEnd w:id="62"/>
      <w:bookmarkEnd w:id="63"/>
    </w:p>
    <w:p w14:paraId="36D255AB">
      <w:pPr>
        <w:pStyle w:val="48"/>
        <w:tabs>
          <w:tab w:val="left" w:pos="397"/>
          <w:tab w:val="left" w:pos="420"/>
        </w:tabs>
        <w:ind w:firstLine="480" w:firstLineChars="200"/>
        <w:rPr>
          <w:rFonts w:hint="eastAsia" w:ascii="宋体" w:hAnsi="宋体" w:eastAsia="宋体" w:cs="宋体"/>
          <w:i w:val="0"/>
          <w:iCs w:val="0"/>
          <w:caps w:val="0"/>
          <w:color w:val="auto"/>
          <w:spacing w:val="0"/>
          <w:sz w:val="24"/>
          <w:szCs w:val="24"/>
          <w:highlight w:val="none"/>
        </w:rPr>
      </w:pPr>
      <w:bookmarkStart w:id="64" w:name="_Toc13902"/>
      <w:bookmarkStart w:id="65" w:name="_Toc19851"/>
      <w:bookmarkStart w:id="66" w:name="_Toc14390"/>
      <w:bookmarkStart w:id="67" w:name="_Toc16052"/>
      <w:bookmarkStart w:id="68" w:name="_Toc23139"/>
      <w:bookmarkStart w:id="69" w:name="_Toc15977"/>
      <w:bookmarkStart w:id="70" w:name="_Toc6450"/>
      <w:bookmarkStart w:id="71" w:name="_Toc28535"/>
      <w:bookmarkStart w:id="72" w:name="_Toc30197"/>
      <w:bookmarkStart w:id="73" w:name="_Toc22093"/>
      <w:bookmarkStart w:id="74" w:name="_Toc31067"/>
      <w:bookmarkStart w:id="75" w:name="_Toc14520"/>
      <w:bookmarkStart w:id="76" w:name="_Toc29328"/>
      <w:bookmarkStart w:id="77" w:name="_Toc15323"/>
      <w:bookmarkStart w:id="78" w:name="_Toc5108"/>
      <w:bookmarkStart w:id="79" w:name="_Toc23741"/>
      <w:bookmarkStart w:id="80" w:name="_Toc28359079"/>
      <w:bookmarkStart w:id="81" w:name="_Toc12772"/>
      <w:bookmarkStart w:id="82" w:name="_Toc28359002"/>
      <w:bookmarkStart w:id="83" w:name="_Toc20476"/>
      <w:bookmarkStart w:id="84" w:name="_Toc16750"/>
      <w:bookmarkStart w:id="85" w:name="_Toc18103"/>
      <w:bookmarkStart w:id="86" w:name="_Hlk24379207"/>
      <w:bookmarkStart w:id="87" w:name="_Toc30645"/>
      <w:bookmarkStart w:id="88" w:name="_Toc26829"/>
      <w:bookmarkStart w:id="89" w:name="_Toc2153"/>
      <w:bookmarkStart w:id="90" w:name="_Toc3174"/>
      <w:bookmarkStart w:id="91" w:name="_Toc6951"/>
      <w:bookmarkStart w:id="92" w:name="_Toc11780"/>
      <w:bookmarkStart w:id="93" w:name="_Toc29696"/>
      <w:bookmarkStart w:id="94" w:name="_Toc16976"/>
      <w:bookmarkStart w:id="95" w:name="_Toc24657"/>
      <w:bookmarkStart w:id="96" w:name="_Toc5925"/>
    </w:p>
    <w:p w14:paraId="0054B0EE">
      <w:pPr>
        <w:pStyle w:val="48"/>
        <w:numPr>
          <w:ilvl w:val="255"/>
          <w:numId w:val="0"/>
        </w:numPr>
        <w:tabs>
          <w:tab w:val="left" w:pos="397"/>
          <w:tab w:val="left" w:pos="420"/>
        </w:tabs>
        <w:snapToGrid w:val="0"/>
        <w:spacing w:line="312" w:lineRule="auto"/>
        <w:ind w:firstLine="480" w:firstLineChars="2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根据《龙游县国有企业采购管理办法》（龙政办发</w:t>
      </w:r>
      <w:r>
        <w:rPr>
          <w:rFonts w:hint="eastAsia" w:ascii="宋体" w:hAnsi="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rPr>
        <w:t>2021</w:t>
      </w:r>
      <w:r>
        <w:rPr>
          <w:rFonts w:hint="eastAsia" w:ascii="宋体" w:hAnsi="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rPr>
        <w:t>58号）等有关规定，</w:t>
      </w:r>
      <w:r>
        <w:rPr>
          <w:rFonts w:hint="eastAsia" w:ascii="宋体" w:hAnsi="宋体" w:eastAsia="宋体" w:cs="宋体"/>
          <w:i w:val="0"/>
          <w:iCs w:val="0"/>
          <w:caps w:val="0"/>
          <w:color w:val="auto"/>
          <w:spacing w:val="0"/>
          <w:sz w:val="24"/>
          <w:szCs w:val="24"/>
          <w:highlight w:val="none"/>
          <w:lang w:eastAsia="zh-CN"/>
        </w:rPr>
        <w:t>衢州宇信工程咨询有限公司</w:t>
      </w:r>
      <w:r>
        <w:rPr>
          <w:rFonts w:hint="eastAsia" w:ascii="宋体" w:hAnsi="宋体" w:eastAsia="宋体" w:cs="宋体"/>
          <w:i w:val="0"/>
          <w:iCs w:val="0"/>
          <w:caps w:val="0"/>
          <w:color w:val="auto"/>
          <w:spacing w:val="0"/>
          <w:sz w:val="24"/>
          <w:szCs w:val="24"/>
          <w:highlight w:val="none"/>
        </w:rPr>
        <w:t>受</w:t>
      </w:r>
      <w:r>
        <w:rPr>
          <w:rFonts w:hint="eastAsia" w:ascii="宋体" w:hAnsi="宋体" w:cs="宋体"/>
          <w:i w:val="0"/>
          <w:iCs w:val="0"/>
          <w:caps w:val="0"/>
          <w:color w:val="auto"/>
          <w:spacing w:val="0"/>
          <w:sz w:val="24"/>
          <w:szCs w:val="24"/>
          <w:highlight w:val="none"/>
          <w:lang w:eastAsia="zh-CN"/>
        </w:rPr>
        <w:t>浙江寰龙环境科技有限公司</w:t>
      </w:r>
      <w:r>
        <w:rPr>
          <w:rFonts w:hint="eastAsia" w:ascii="宋体" w:hAnsi="宋体" w:eastAsia="宋体" w:cs="宋体"/>
          <w:i w:val="0"/>
          <w:iCs w:val="0"/>
          <w:caps w:val="0"/>
          <w:color w:val="auto"/>
          <w:spacing w:val="0"/>
          <w:sz w:val="24"/>
          <w:szCs w:val="24"/>
          <w:highlight w:val="none"/>
        </w:rPr>
        <w:t>委托，就</w:t>
      </w:r>
      <w:r>
        <w:rPr>
          <w:rFonts w:hint="eastAsia" w:ascii="宋体" w:hAnsi="宋体" w:cs="宋体"/>
          <w:color w:val="auto"/>
          <w:highlight w:val="none"/>
          <w:lang w:eastAsia="zh-CN"/>
        </w:rPr>
        <w:t>商品砼事业部2025年度装载机维修保养服务采购</w:t>
      </w:r>
      <w:r>
        <w:rPr>
          <w:rFonts w:hint="eastAsia" w:ascii="宋体" w:hAnsi="宋体" w:eastAsia="宋体" w:cs="宋体"/>
          <w:i w:val="0"/>
          <w:iCs w:val="0"/>
          <w:caps w:val="0"/>
          <w:color w:val="auto"/>
          <w:spacing w:val="0"/>
          <w:sz w:val="24"/>
          <w:szCs w:val="24"/>
          <w:highlight w:val="none"/>
        </w:rPr>
        <w:t>进行公开招标，欢迎符合条件的投标人参加本次采购活动。</w:t>
      </w:r>
    </w:p>
    <w:p w14:paraId="0925CA24">
      <w:pPr>
        <w:numPr>
          <w:ilvl w:val="255"/>
          <w:numId w:val="0"/>
        </w:numPr>
        <w:snapToGrid w:val="0"/>
        <w:spacing w:line="312" w:lineRule="auto"/>
        <w:ind w:firstLine="482" w:firstLineChars="200"/>
        <w:outlineLvl w:val="1"/>
        <w:rPr>
          <w:rFonts w:ascii="宋体" w:hAnsi="宋体" w:cs="宋体"/>
          <w:b/>
          <w:bCs/>
          <w:color w:val="auto"/>
          <w:highlight w:val="none"/>
          <w:lang w:val="zh-CN"/>
        </w:rPr>
      </w:pPr>
      <w:bookmarkStart w:id="97" w:name="_Toc30891"/>
      <w:bookmarkStart w:id="98" w:name="_Toc31536"/>
      <w:bookmarkStart w:id="99" w:name="_Toc1866"/>
      <w:r>
        <w:rPr>
          <w:rFonts w:hint="eastAsia" w:ascii="宋体" w:hAnsi="宋体" w:cs="宋体"/>
          <w:b/>
          <w:bCs/>
          <w:color w:val="auto"/>
          <w:highlight w:val="none"/>
        </w:rPr>
        <w:t>一、</w:t>
      </w:r>
      <w:r>
        <w:rPr>
          <w:rFonts w:hint="eastAsia" w:ascii="宋体" w:hAnsi="宋体" w:cs="宋体"/>
          <w:b/>
          <w:bCs/>
          <w:color w:val="auto"/>
          <w:highlight w:val="none"/>
          <w:lang w:val="zh-CN"/>
        </w:rPr>
        <w:t>项目基本情况</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97"/>
      <w:bookmarkEnd w:id="98"/>
      <w:bookmarkEnd w:id="99"/>
    </w:p>
    <w:p w14:paraId="7D7B7BAB">
      <w:pPr>
        <w:pStyle w:val="48"/>
        <w:numPr>
          <w:ilvl w:val="255"/>
          <w:numId w:val="0"/>
        </w:numPr>
        <w:tabs>
          <w:tab w:val="left" w:pos="397"/>
          <w:tab w:val="left" w:pos="420"/>
        </w:tabs>
        <w:snapToGrid w:val="0"/>
        <w:spacing w:line="312" w:lineRule="auto"/>
        <w:ind w:firstLine="480" w:firstLineChars="200"/>
        <w:rPr>
          <w:rFonts w:hint="eastAsia" w:ascii="宋体" w:hAnsi="宋体" w:eastAsia="宋体" w:cs="宋体"/>
          <w:color w:val="auto"/>
          <w:highlight w:val="none"/>
          <w:lang w:eastAsia="zh-CN"/>
        </w:rPr>
      </w:pPr>
      <w:r>
        <w:rPr>
          <w:rFonts w:hint="eastAsia" w:ascii="宋体" w:hAnsi="宋体" w:cs="宋体"/>
          <w:color w:val="auto"/>
          <w:highlight w:val="none"/>
        </w:rPr>
        <w:t>1.项目编号：</w:t>
      </w:r>
      <w:r>
        <w:rPr>
          <w:rFonts w:hint="eastAsia" w:ascii="宋体" w:hAnsi="宋体" w:cs="宋体"/>
          <w:color w:val="auto"/>
          <w:highlight w:val="none"/>
          <w:lang w:eastAsia="zh-CN"/>
        </w:rPr>
        <w:t>LYCG2025YX-044</w:t>
      </w:r>
    </w:p>
    <w:p w14:paraId="09A13A5E">
      <w:pPr>
        <w:pStyle w:val="48"/>
        <w:numPr>
          <w:ilvl w:val="255"/>
          <w:numId w:val="0"/>
        </w:numPr>
        <w:tabs>
          <w:tab w:val="left" w:pos="397"/>
          <w:tab w:val="left" w:pos="420"/>
        </w:tabs>
        <w:snapToGrid w:val="0"/>
        <w:spacing w:line="312" w:lineRule="auto"/>
        <w:ind w:firstLine="480" w:firstLineChars="200"/>
        <w:rPr>
          <w:rFonts w:hint="eastAsia" w:ascii="宋体" w:hAnsi="宋体" w:cs="宋体"/>
          <w:color w:val="auto"/>
          <w:highlight w:val="none"/>
          <w:lang w:eastAsia="zh-CN"/>
        </w:rPr>
      </w:pPr>
      <w:r>
        <w:rPr>
          <w:rFonts w:hint="eastAsia" w:ascii="宋体" w:hAnsi="宋体" w:eastAsia="宋体" w:cs="宋体"/>
          <w:color w:val="auto"/>
          <w:highlight w:val="none"/>
        </w:rPr>
        <w:t>2.项目名称：</w:t>
      </w:r>
      <w:r>
        <w:rPr>
          <w:rFonts w:hint="eastAsia" w:ascii="宋体" w:hAnsi="宋体" w:cs="宋体"/>
          <w:color w:val="auto"/>
          <w:highlight w:val="none"/>
          <w:lang w:eastAsia="zh-CN"/>
        </w:rPr>
        <w:t>商品砼事业部2025年度装载机维修保养服务采购</w:t>
      </w:r>
    </w:p>
    <w:p w14:paraId="32301F48">
      <w:pPr>
        <w:pStyle w:val="48"/>
        <w:numPr>
          <w:ilvl w:val="255"/>
          <w:numId w:val="0"/>
        </w:numPr>
        <w:tabs>
          <w:tab w:val="left" w:pos="397"/>
          <w:tab w:val="left" w:pos="420"/>
        </w:tabs>
        <w:snapToGrid w:val="0"/>
        <w:spacing w:line="312" w:lineRule="auto"/>
        <w:ind w:firstLine="480" w:firstLineChars="200"/>
        <w:rPr>
          <w:rFonts w:hint="default" w:ascii="宋体" w:hAnsi="宋体" w:eastAsia="宋体" w:cs="宋体"/>
          <w:color w:val="auto"/>
          <w:highlight w:val="none"/>
          <w:lang w:val="en-US" w:eastAsia="zh-CN"/>
        </w:rPr>
      </w:pPr>
      <w:r>
        <w:rPr>
          <w:rFonts w:hint="eastAsia" w:ascii="宋体" w:hAnsi="宋体" w:eastAsia="宋体" w:cs="宋体"/>
          <w:color w:val="auto"/>
          <w:highlight w:val="none"/>
        </w:rPr>
        <w:t>3.</w:t>
      </w:r>
      <w:r>
        <w:rPr>
          <w:rFonts w:hint="eastAsia" w:ascii="宋体" w:hAnsi="宋体" w:cs="宋体"/>
          <w:color w:val="auto"/>
          <w:highlight w:val="none"/>
          <w:lang w:val="en-US" w:eastAsia="zh-CN"/>
        </w:rPr>
        <w:t>采购方式：公开招标</w:t>
      </w:r>
    </w:p>
    <w:p w14:paraId="025EF5FE">
      <w:pPr>
        <w:pStyle w:val="48"/>
        <w:numPr>
          <w:ilvl w:val="255"/>
          <w:numId w:val="0"/>
        </w:numPr>
        <w:tabs>
          <w:tab w:val="left" w:pos="397"/>
          <w:tab w:val="left" w:pos="420"/>
        </w:tabs>
        <w:snapToGrid w:val="0"/>
        <w:spacing w:line="312" w:lineRule="auto"/>
        <w:ind w:firstLine="480" w:firstLineChars="200"/>
        <w:rPr>
          <w:rFonts w:hint="eastAsia" w:ascii="宋体" w:hAnsi="宋体" w:eastAsia="宋体" w:cs="宋体"/>
          <w:color w:val="auto"/>
          <w:highlight w:val="none"/>
          <w:lang w:val="en-US" w:eastAsia="zh-CN"/>
        </w:rPr>
      </w:pPr>
      <w:r>
        <w:rPr>
          <w:rFonts w:hint="eastAsia" w:ascii="宋体" w:hAnsi="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lang w:eastAsia="zh-CN"/>
        </w:rPr>
        <w:t>预算金额（</w:t>
      </w:r>
      <w:r>
        <w:rPr>
          <w:rFonts w:hint="eastAsia" w:ascii="宋体" w:hAnsi="宋体" w:eastAsia="宋体" w:cs="宋体"/>
          <w:color w:val="auto"/>
          <w:kern w:val="2"/>
          <w:sz w:val="24"/>
          <w:szCs w:val="24"/>
          <w:highlight w:val="none"/>
          <w:lang w:val="en-US" w:eastAsia="zh-CN"/>
        </w:rPr>
        <w:t>万</w:t>
      </w:r>
      <w:r>
        <w:rPr>
          <w:rFonts w:hint="eastAsia" w:ascii="宋体" w:hAnsi="宋体" w:eastAsia="宋体" w:cs="宋体"/>
          <w:color w:val="auto"/>
          <w:kern w:val="2"/>
          <w:sz w:val="24"/>
          <w:szCs w:val="24"/>
          <w:highlight w:val="none"/>
        </w:rPr>
        <w:t>元</w:t>
      </w:r>
      <w:r>
        <w:rPr>
          <w:rFonts w:hint="eastAsia" w:ascii="宋体" w:hAnsi="宋体" w:eastAsia="宋体" w:cs="宋体"/>
          <w:color w:val="auto"/>
          <w:kern w:val="2"/>
          <w:sz w:val="24"/>
          <w:szCs w:val="24"/>
          <w:highlight w:val="none"/>
          <w:lang w:eastAsia="zh-CN"/>
        </w:rPr>
        <w:t>）:</w:t>
      </w:r>
      <w:r>
        <w:rPr>
          <w:rFonts w:hint="eastAsia" w:ascii="宋体" w:hAnsi="宋体" w:cs="宋体"/>
          <w:color w:val="auto"/>
          <w:kern w:val="2"/>
          <w:sz w:val="24"/>
          <w:szCs w:val="24"/>
          <w:highlight w:val="none"/>
          <w:lang w:val="en-US" w:eastAsia="zh-CN"/>
        </w:rPr>
        <w:t>40万元</w:t>
      </w:r>
    </w:p>
    <w:p w14:paraId="4AB138A4">
      <w:pPr>
        <w:pStyle w:val="48"/>
        <w:numPr>
          <w:ilvl w:val="255"/>
          <w:numId w:val="0"/>
        </w:numPr>
        <w:tabs>
          <w:tab w:val="left" w:pos="397"/>
          <w:tab w:val="left" w:pos="420"/>
        </w:tabs>
        <w:snapToGrid w:val="0"/>
        <w:spacing w:line="312" w:lineRule="auto"/>
        <w:ind w:firstLine="480" w:firstLineChars="200"/>
        <w:rPr>
          <w:rFonts w:ascii="宋体" w:hAnsi="宋体" w:cs="宋体"/>
          <w:color w:val="auto"/>
          <w:highlight w:val="none"/>
        </w:rPr>
      </w:pPr>
      <w:r>
        <w:rPr>
          <w:rFonts w:hint="eastAsia" w:ascii="宋体" w:hAnsi="宋体" w:cs="宋体"/>
          <w:color w:val="auto"/>
          <w:highlight w:val="none"/>
          <w:lang w:val="en-US" w:eastAsia="zh-CN"/>
        </w:rPr>
        <w:t>5</w:t>
      </w:r>
      <w:r>
        <w:rPr>
          <w:rFonts w:hint="eastAsia" w:ascii="宋体" w:hAnsi="宋体" w:eastAsia="宋体" w:cs="宋体"/>
          <w:color w:val="auto"/>
          <w:highlight w:val="none"/>
        </w:rPr>
        <w:t>.</w:t>
      </w:r>
      <w:r>
        <w:rPr>
          <w:rFonts w:hint="eastAsia" w:ascii="宋体" w:hAnsi="宋体" w:eastAsia="宋体" w:cs="宋体"/>
          <w:color w:val="auto"/>
          <w:kern w:val="2"/>
          <w:sz w:val="24"/>
          <w:szCs w:val="24"/>
          <w:highlight w:val="none"/>
          <w:lang w:val="en-US" w:eastAsia="zh-CN"/>
        </w:rPr>
        <w:t>最高限价（万元）:</w:t>
      </w:r>
      <w:r>
        <w:rPr>
          <w:rFonts w:hint="eastAsia" w:ascii="宋体" w:hAnsi="宋体" w:cs="宋体"/>
          <w:color w:val="auto"/>
          <w:kern w:val="2"/>
          <w:sz w:val="24"/>
          <w:szCs w:val="24"/>
          <w:highlight w:val="none"/>
          <w:lang w:val="en-US" w:eastAsia="zh-CN"/>
        </w:rPr>
        <w:t>40万元</w:t>
      </w:r>
    </w:p>
    <w:p w14:paraId="69719B7A">
      <w:pPr>
        <w:pStyle w:val="48"/>
        <w:numPr>
          <w:ilvl w:val="255"/>
          <w:numId w:val="0"/>
        </w:numPr>
        <w:tabs>
          <w:tab w:val="left" w:pos="397"/>
          <w:tab w:val="left" w:pos="420"/>
        </w:tabs>
        <w:snapToGrid w:val="0"/>
        <w:spacing w:line="312" w:lineRule="auto"/>
        <w:ind w:firstLine="480" w:firstLineChars="200"/>
        <w:rPr>
          <w:rFonts w:ascii="宋体" w:hAnsi="宋体" w:cs="宋体"/>
          <w:color w:val="auto"/>
          <w:highlight w:val="none"/>
        </w:rPr>
      </w:pPr>
      <w:r>
        <w:rPr>
          <w:rFonts w:hint="eastAsia" w:ascii="宋体" w:hAnsi="宋体" w:cs="宋体"/>
          <w:color w:val="auto"/>
          <w:highlight w:val="none"/>
          <w:lang w:val="en-US" w:eastAsia="zh-CN"/>
        </w:rPr>
        <w:t>6</w:t>
      </w:r>
      <w:r>
        <w:rPr>
          <w:rFonts w:hint="eastAsia" w:ascii="宋体" w:hAnsi="宋体" w:cs="宋体"/>
          <w:color w:val="auto"/>
          <w:highlight w:val="none"/>
        </w:rPr>
        <w:t>.简要规格描述或项目基本概况介绍、用途：详见招标文件“第三章 采购内容及要求”（包括但不限于标的的名称、数量、简要技术需求或服务要求等）</w:t>
      </w:r>
    </w:p>
    <w:p w14:paraId="16DE29D4">
      <w:pPr>
        <w:pStyle w:val="48"/>
        <w:numPr>
          <w:ilvl w:val="255"/>
          <w:numId w:val="0"/>
        </w:numPr>
        <w:tabs>
          <w:tab w:val="left" w:pos="397"/>
          <w:tab w:val="left" w:pos="420"/>
        </w:tabs>
        <w:snapToGrid w:val="0"/>
        <w:spacing w:line="312" w:lineRule="auto"/>
        <w:ind w:firstLine="480" w:firstLineChars="200"/>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7</w:t>
      </w:r>
      <w:r>
        <w:rPr>
          <w:rFonts w:hint="eastAsia" w:ascii="宋体" w:hAnsi="宋体" w:cs="宋体"/>
          <w:color w:val="auto"/>
          <w:highlight w:val="none"/>
        </w:rPr>
        <w:t>.</w:t>
      </w:r>
      <w:r>
        <w:rPr>
          <w:rFonts w:hint="eastAsia" w:ascii="宋体" w:hAnsi="宋体" w:cs="宋体"/>
          <w:color w:val="auto"/>
          <w:highlight w:val="none"/>
          <w:lang w:eastAsia="zh-CN"/>
        </w:rPr>
        <w:t>服务期限</w:t>
      </w:r>
      <w:r>
        <w:rPr>
          <w:rFonts w:hint="eastAsia" w:ascii="宋体" w:hAnsi="宋体" w:cs="宋体"/>
          <w:color w:val="auto"/>
          <w:highlight w:val="none"/>
        </w:rPr>
        <w:t>：</w:t>
      </w:r>
      <w:r>
        <w:rPr>
          <w:rFonts w:hint="eastAsia" w:ascii="宋体" w:hAnsi="宋体" w:cs="宋体"/>
          <w:color w:val="auto"/>
          <w:highlight w:val="none"/>
          <w:lang w:eastAsia="zh-CN"/>
        </w:rPr>
        <w:t>合同签订后一年或至总预算购完，两者满足其一则合同终止。</w:t>
      </w:r>
    </w:p>
    <w:p w14:paraId="4C214C47">
      <w:pPr>
        <w:pStyle w:val="48"/>
        <w:numPr>
          <w:ilvl w:val="255"/>
          <w:numId w:val="0"/>
        </w:numPr>
        <w:tabs>
          <w:tab w:val="left" w:pos="397"/>
          <w:tab w:val="left" w:pos="420"/>
        </w:tabs>
        <w:snapToGrid w:val="0"/>
        <w:spacing w:line="312" w:lineRule="auto"/>
        <w:ind w:firstLine="480" w:firstLineChars="200"/>
        <w:rPr>
          <w:rFonts w:ascii="宋体" w:hAnsi="宋体" w:cs="宋体"/>
          <w:color w:val="auto"/>
          <w:highlight w:val="none"/>
        </w:rPr>
      </w:pPr>
      <w:r>
        <w:rPr>
          <w:rFonts w:hint="eastAsia" w:ascii="宋体" w:hAnsi="宋体" w:cs="宋体"/>
          <w:color w:val="auto"/>
          <w:highlight w:val="none"/>
          <w:lang w:val="en-US" w:eastAsia="zh-CN"/>
        </w:rPr>
        <w:t>8</w:t>
      </w:r>
      <w:r>
        <w:rPr>
          <w:rFonts w:hint="eastAsia" w:ascii="宋体" w:hAnsi="宋体" w:cs="宋体"/>
          <w:color w:val="auto"/>
          <w:highlight w:val="none"/>
        </w:rPr>
        <w:t>.本项目不接受联合体投标。</w:t>
      </w:r>
    </w:p>
    <w:p w14:paraId="5598685C">
      <w:pPr>
        <w:numPr>
          <w:ilvl w:val="255"/>
          <w:numId w:val="0"/>
        </w:numPr>
        <w:snapToGrid w:val="0"/>
        <w:spacing w:line="312" w:lineRule="auto"/>
        <w:ind w:firstLine="482" w:firstLineChars="200"/>
        <w:outlineLvl w:val="1"/>
        <w:rPr>
          <w:rFonts w:ascii="宋体" w:hAnsi="宋体" w:cs="宋体"/>
          <w:b/>
          <w:bCs/>
          <w:color w:val="auto"/>
          <w:highlight w:val="none"/>
        </w:rPr>
      </w:pPr>
      <w:bookmarkStart w:id="100" w:name="_Toc20050"/>
      <w:bookmarkStart w:id="101" w:name="_Toc2474"/>
      <w:bookmarkStart w:id="102" w:name="_Toc30017"/>
      <w:bookmarkStart w:id="103" w:name="_Toc19072"/>
      <w:bookmarkStart w:id="104" w:name="_Toc26698"/>
      <w:bookmarkStart w:id="105" w:name="_Toc12876"/>
      <w:bookmarkStart w:id="106" w:name="_Toc25577"/>
      <w:bookmarkStart w:id="107" w:name="_Toc11832"/>
      <w:bookmarkStart w:id="108" w:name="_Toc8671"/>
      <w:bookmarkStart w:id="109" w:name="_Toc3550"/>
      <w:bookmarkStart w:id="110" w:name="_Toc16650"/>
      <w:bookmarkStart w:id="111" w:name="_Toc11395"/>
      <w:bookmarkStart w:id="112" w:name="_Toc22029"/>
      <w:bookmarkStart w:id="113" w:name="_Toc8407"/>
      <w:bookmarkStart w:id="114" w:name="_Toc25114"/>
      <w:bookmarkStart w:id="115" w:name="_Toc14749"/>
      <w:bookmarkStart w:id="116" w:name="_Toc3448"/>
      <w:bookmarkStart w:id="117" w:name="_Toc17737"/>
      <w:r>
        <w:rPr>
          <w:rFonts w:hint="eastAsia" w:ascii="宋体" w:hAnsi="宋体" w:cs="宋体"/>
          <w:b/>
          <w:bCs/>
          <w:color w:val="auto"/>
          <w:highlight w:val="none"/>
        </w:rPr>
        <w:t>二、申请人的资格要求</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14:paraId="2E28E3C4">
      <w:pPr>
        <w:adjustRightInd w:val="0"/>
        <w:snapToGrid w:val="0"/>
        <w:spacing w:line="312" w:lineRule="auto"/>
        <w:ind w:firstLine="480"/>
        <w:rPr>
          <w:rFonts w:hint="eastAsia" w:ascii="宋体" w:hAnsi="宋体" w:eastAsia="宋体" w:cs="宋体"/>
          <w:color w:val="auto"/>
          <w:highlight w:val="none"/>
          <w:lang w:eastAsia="zh-CN"/>
        </w:rPr>
      </w:pPr>
      <w:bookmarkStart w:id="118" w:name="_Toc29933"/>
      <w:bookmarkStart w:id="119" w:name="_Toc15990"/>
      <w:bookmarkStart w:id="120" w:name="_Toc3109"/>
      <w:bookmarkStart w:id="121" w:name="_Toc16689"/>
      <w:bookmarkStart w:id="122" w:name="_Toc11020"/>
      <w:bookmarkStart w:id="123" w:name="_Toc17140"/>
      <w:r>
        <w:rPr>
          <w:rFonts w:hint="eastAsia" w:ascii="宋体" w:hAnsi="宋体" w:cs="宋体"/>
          <w:color w:val="auto"/>
          <w:highlight w:val="none"/>
        </w:rPr>
        <w:t>1.</w:t>
      </w:r>
      <w:r>
        <w:rPr>
          <w:rFonts w:hint="eastAsia" w:ascii="宋体" w:hAnsi="宋体" w:cs="宋体"/>
          <w:color w:val="auto"/>
          <w:highlight w:val="none"/>
          <w:lang w:eastAsia="zh-CN"/>
        </w:rPr>
        <w:t>满足《龙游县国有企业采购管理办法》（龙政办发〔2021〕58号）第十二条规定：</w:t>
      </w:r>
    </w:p>
    <w:p w14:paraId="5B6F284D">
      <w:pPr>
        <w:adjustRightInd w:val="0"/>
        <w:snapToGrid w:val="0"/>
        <w:spacing w:line="312" w:lineRule="auto"/>
        <w:ind w:firstLine="480"/>
        <w:rPr>
          <w:rFonts w:ascii="宋体" w:hAnsi="宋体" w:cs="宋体"/>
          <w:color w:val="auto"/>
          <w:highlight w:val="none"/>
        </w:rPr>
      </w:pPr>
      <w:r>
        <w:rPr>
          <w:rFonts w:hint="eastAsia" w:ascii="宋体" w:hAnsi="宋体" w:cs="宋体"/>
          <w:color w:val="auto"/>
          <w:highlight w:val="none"/>
        </w:rPr>
        <w:t>1）具有独立承担民事责任的能力；</w:t>
      </w:r>
    </w:p>
    <w:p w14:paraId="7855E917">
      <w:pPr>
        <w:adjustRightInd w:val="0"/>
        <w:snapToGrid w:val="0"/>
        <w:spacing w:line="312" w:lineRule="auto"/>
        <w:ind w:firstLine="480"/>
        <w:rPr>
          <w:rFonts w:ascii="宋体" w:hAnsi="宋体" w:cs="宋体"/>
          <w:color w:val="auto"/>
          <w:highlight w:val="none"/>
        </w:rPr>
      </w:pPr>
      <w:r>
        <w:rPr>
          <w:rFonts w:hint="eastAsia" w:ascii="宋体" w:hAnsi="宋体" w:cs="宋体"/>
          <w:color w:val="auto"/>
          <w:highlight w:val="none"/>
        </w:rPr>
        <w:t>2）具有良好的商业信誉和健全的财务会计制度；</w:t>
      </w:r>
    </w:p>
    <w:p w14:paraId="4BE382F6">
      <w:pPr>
        <w:adjustRightInd w:val="0"/>
        <w:snapToGrid w:val="0"/>
        <w:spacing w:line="312" w:lineRule="auto"/>
        <w:ind w:firstLine="480"/>
        <w:rPr>
          <w:rFonts w:ascii="宋体" w:hAnsi="宋体" w:cs="宋体"/>
          <w:color w:val="auto"/>
          <w:highlight w:val="none"/>
        </w:rPr>
      </w:pPr>
      <w:r>
        <w:rPr>
          <w:rFonts w:hint="eastAsia" w:ascii="宋体" w:hAnsi="宋体" w:cs="宋体"/>
          <w:color w:val="auto"/>
          <w:highlight w:val="none"/>
        </w:rPr>
        <w:t>3）具有履行合同所必需的设备和专业技术能力；</w:t>
      </w:r>
    </w:p>
    <w:p w14:paraId="4D154D0F">
      <w:pPr>
        <w:adjustRightInd w:val="0"/>
        <w:snapToGrid w:val="0"/>
        <w:spacing w:line="312" w:lineRule="auto"/>
        <w:ind w:firstLine="480"/>
        <w:rPr>
          <w:rFonts w:ascii="宋体" w:hAnsi="宋体" w:cs="宋体"/>
          <w:color w:val="auto"/>
          <w:highlight w:val="none"/>
        </w:rPr>
      </w:pPr>
      <w:r>
        <w:rPr>
          <w:rFonts w:hint="eastAsia" w:ascii="宋体" w:hAnsi="宋体" w:cs="宋体"/>
          <w:color w:val="auto"/>
          <w:highlight w:val="none"/>
        </w:rPr>
        <w:t>4）有依法缴纳税收和社会保障资金的良好记录；</w:t>
      </w:r>
    </w:p>
    <w:p w14:paraId="42F9E6FD">
      <w:pPr>
        <w:adjustRightInd w:val="0"/>
        <w:snapToGrid w:val="0"/>
        <w:spacing w:line="312" w:lineRule="auto"/>
        <w:ind w:firstLine="480"/>
        <w:rPr>
          <w:rFonts w:ascii="宋体" w:hAnsi="宋体" w:cs="宋体"/>
          <w:color w:val="auto"/>
          <w:highlight w:val="none"/>
        </w:rPr>
      </w:pPr>
      <w:r>
        <w:rPr>
          <w:rFonts w:hint="eastAsia" w:ascii="宋体" w:hAnsi="宋体" w:cs="宋体"/>
          <w:color w:val="auto"/>
          <w:highlight w:val="none"/>
        </w:rPr>
        <w:t>5）参加</w:t>
      </w:r>
      <w:r>
        <w:rPr>
          <w:rFonts w:hint="eastAsia" w:ascii="宋体" w:hAnsi="宋体" w:cs="宋体"/>
          <w:color w:val="auto"/>
          <w:highlight w:val="none"/>
          <w:lang w:val="en-US" w:eastAsia="zh-CN"/>
        </w:rPr>
        <w:t>国企</w:t>
      </w:r>
      <w:r>
        <w:rPr>
          <w:rFonts w:hint="eastAsia" w:ascii="宋体" w:hAnsi="宋体" w:cs="宋体"/>
          <w:color w:val="auto"/>
          <w:highlight w:val="none"/>
        </w:rPr>
        <w:t>采购活动前三年内，在经营活动中没有重大违法记录；</w:t>
      </w:r>
    </w:p>
    <w:p w14:paraId="180AD802">
      <w:pPr>
        <w:adjustRightInd w:val="0"/>
        <w:snapToGrid w:val="0"/>
        <w:spacing w:line="312" w:lineRule="auto"/>
        <w:ind w:firstLine="480"/>
        <w:rPr>
          <w:rFonts w:ascii="宋体" w:hAnsi="宋体" w:cs="宋体"/>
          <w:color w:val="auto"/>
          <w:highlight w:val="none"/>
        </w:rPr>
      </w:pPr>
      <w:r>
        <w:rPr>
          <w:rFonts w:hint="eastAsia" w:ascii="宋体" w:hAnsi="宋体" w:cs="宋体"/>
          <w:color w:val="auto"/>
          <w:highlight w:val="none"/>
        </w:rPr>
        <w:t>6）法律、行政法规规定的其他条件。</w:t>
      </w:r>
    </w:p>
    <w:p w14:paraId="53728D12">
      <w:pPr>
        <w:adjustRightInd w:val="0"/>
        <w:snapToGrid w:val="0"/>
        <w:spacing w:line="312" w:lineRule="auto"/>
        <w:ind w:firstLine="480"/>
        <w:rPr>
          <w:rFonts w:ascii="宋体" w:hAnsi="宋体" w:cs="宋体"/>
          <w:color w:val="auto"/>
          <w:highlight w:val="none"/>
        </w:rPr>
      </w:pPr>
      <w:r>
        <w:rPr>
          <w:rFonts w:hint="eastAsia" w:ascii="宋体" w:hAnsi="宋体" w:cs="宋体"/>
          <w:color w:val="auto"/>
          <w:highlight w:val="none"/>
        </w:rPr>
        <w:t>2.投标人未被列入失信被执行人名单、重大税收违法案件当事人名单、政府采购严重违法失信行为记录名单，信用信息以信用中国网站（www.creditchina.gov.cn）、中国政府采购网（www.ccgp.gov.cn）公布为准。</w:t>
      </w:r>
    </w:p>
    <w:p w14:paraId="638DA2CC">
      <w:pPr>
        <w:adjustRightInd w:val="0"/>
        <w:snapToGrid w:val="0"/>
        <w:spacing w:line="312" w:lineRule="auto"/>
        <w:ind w:firstLine="480"/>
        <w:rPr>
          <w:rFonts w:ascii="宋体" w:hAnsi="宋体" w:cs="宋体"/>
          <w:color w:val="auto"/>
          <w:highlight w:val="none"/>
        </w:rPr>
      </w:pPr>
      <w:r>
        <w:rPr>
          <w:rFonts w:hint="eastAsia" w:ascii="宋体" w:hAnsi="宋体" w:cs="宋体"/>
          <w:color w:val="auto"/>
          <w:highlight w:val="none"/>
        </w:rPr>
        <w:t>3.单位负责人为同一人或者存在直接控股、管理关系的不同投标人，不得参加同一合同项下的采购活动。</w:t>
      </w:r>
    </w:p>
    <w:bookmarkEnd w:id="118"/>
    <w:bookmarkEnd w:id="119"/>
    <w:bookmarkEnd w:id="120"/>
    <w:bookmarkEnd w:id="121"/>
    <w:bookmarkEnd w:id="122"/>
    <w:bookmarkEnd w:id="123"/>
    <w:p w14:paraId="12F51F95">
      <w:pPr>
        <w:pStyle w:val="37"/>
        <w:shd w:val="clear" w:color="auto"/>
        <w:spacing w:before="0" w:beforeAutospacing="0" w:after="0" w:afterAutospacing="0" w:line="312" w:lineRule="auto"/>
        <w:ind w:firstLine="480"/>
        <w:rPr>
          <w:rFonts w:cs="宋体"/>
          <w:color w:val="auto"/>
          <w:kern w:val="2"/>
          <w:highlight w:val="none"/>
        </w:rPr>
      </w:pPr>
      <w:r>
        <w:rPr>
          <w:rFonts w:hint="eastAsia" w:cs="宋体"/>
          <w:color w:val="auto"/>
          <w:kern w:val="2"/>
          <w:highlight w:val="none"/>
        </w:rPr>
        <w:t>4.落实国企采购政策需满足的资格要求：无。</w:t>
      </w:r>
    </w:p>
    <w:p w14:paraId="3C1558BD">
      <w:pPr>
        <w:snapToGrid/>
        <w:spacing w:line="312" w:lineRule="auto"/>
        <w:ind w:firstLine="480" w:firstLineChars="200"/>
        <w:rPr>
          <w:rFonts w:ascii="宋体" w:hAnsi="宋体" w:cs="宋体"/>
          <w:color w:val="auto"/>
          <w:highlight w:val="none"/>
        </w:rPr>
      </w:pPr>
      <w:r>
        <w:rPr>
          <w:rFonts w:hint="eastAsia" w:ascii="宋体" w:hAnsi="宋体" w:cs="宋体"/>
          <w:color w:val="auto"/>
          <w:highlight w:val="none"/>
        </w:rPr>
        <w:t>5.本项目的特定资格要求：</w:t>
      </w:r>
      <w:r>
        <w:rPr>
          <w:rFonts w:hint="eastAsia" w:cs="宋体"/>
          <w:color w:val="auto"/>
          <w:kern w:val="2"/>
          <w:highlight w:val="none"/>
        </w:rPr>
        <w:t>无。</w:t>
      </w:r>
    </w:p>
    <w:p w14:paraId="13E0CD7C">
      <w:pPr>
        <w:keepNext w:val="0"/>
        <w:keepLines w:val="0"/>
        <w:pageBreakBefore w:val="0"/>
        <w:widowControl/>
        <w:numPr>
          <w:ilvl w:val="-1"/>
          <w:numId w:val="0"/>
        </w:numPr>
        <w:shd w:val="clear"/>
        <w:kinsoku/>
        <w:wordWrap/>
        <w:overflowPunct/>
        <w:topLinePunct w:val="0"/>
        <w:autoSpaceDE/>
        <w:autoSpaceDN/>
        <w:bidi w:val="0"/>
        <w:adjustRightInd w:val="0"/>
        <w:snapToGrid w:val="0"/>
        <w:spacing w:line="312" w:lineRule="auto"/>
        <w:ind w:firstLine="480" w:firstLineChars="0"/>
        <w:textAlignment w:val="auto"/>
        <w:outlineLvl w:val="9"/>
        <w:rPr>
          <w:rFonts w:hint="eastAsia" w:ascii="宋体" w:hAnsi="宋体" w:eastAsia="宋体" w:cs="宋体"/>
          <w:b/>
          <w:bCs/>
          <w:color w:val="auto"/>
          <w:highlight w:val="none"/>
        </w:rPr>
      </w:pPr>
      <w:bookmarkStart w:id="124" w:name="_Toc31197"/>
      <w:bookmarkStart w:id="125" w:name="_Toc31911"/>
      <w:bookmarkStart w:id="126" w:name="_Toc5989"/>
      <w:bookmarkStart w:id="127" w:name="_Toc14501"/>
      <w:bookmarkStart w:id="128" w:name="_Toc11147"/>
      <w:bookmarkStart w:id="129" w:name="_Toc21291"/>
      <w:bookmarkStart w:id="130" w:name="_Toc3067"/>
      <w:bookmarkStart w:id="131" w:name="_Toc29210"/>
      <w:bookmarkStart w:id="132" w:name="_Toc18468"/>
      <w:bookmarkStart w:id="133" w:name="_Toc13118"/>
      <w:bookmarkStart w:id="134" w:name="_Toc16352"/>
      <w:bookmarkStart w:id="135" w:name="_Toc10758"/>
      <w:bookmarkStart w:id="136" w:name="_Toc5447"/>
      <w:bookmarkStart w:id="137" w:name="_Toc728"/>
      <w:bookmarkStart w:id="138" w:name="_Toc17769"/>
      <w:bookmarkStart w:id="139" w:name="_Toc1765"/>
      <w:bookmarkStart w:id="140" w:name="_Toc26194"/>
      <w:bookmarkStart w:id="141" w:name="_Toc23129"/>
      <w:bookmarkStart w:id="142" w:name="_Toc32492"/>
      <w:bookmarkStart w:id="143" w:name="_Toc29791"/>
      <w:bookmarkStart w:id="144" w:name="_Toc21923"/>
      <w:bookmarkStart w:id="145" w:name="_Toc1399"/>
      <w:bookmarkStart w:id="146" w:name="_Toc20064"/>
      <w:bookmarkStart w:id="147" w:name="_Toc20310"/>
      <w:bookmarkStart w:id="148" w:name="_Toc13512"/>
      <w:bookmarkStart w:id="149" w:name="_Toc2752"/>
      <w:r>
        <w:rPr>
          <w:rFonts w:hint="eastAsia" w:ascii="宋体" w:hAnsi="宋体" w:eastAsia="宋体" w:cs="宋体"/>
          <w:b/>
          <w:bCs/>
          <w:color w:val="auto"/>
          <w:highlight w:val="none"/>
        </w:rPr>
        <w:t>三、电子评标</w:t>
      </w:r>
      <w:bookmarkEnd w:id="124"/>
      <w:bookmarkEnd w:id="125"/>
      <w:bookmarkEnd w:id="126"/>
      <w:bookmarkEnd w:id="127"/>
      <w:bookmarkEnd w:id="128"/>
      <w:bookmarkEnd w:id="129"/>
    </w:p>
    <w:p w14:paraId="3062E191">
      <w:pPr>
        <w:keepNext w:val="0"/>
        <w:keepLines w:val="0"/>
        <w:pageBreakBefore w:val="0"/>
        <w:shd w:val="clear"/>
        <w:kinsoku/>
        <w:wordWrap/>
        <w:overflowPunct/>
        <w:topLinePunct w:val="0"/>
        <w:autoSpaceDE/>
        <w:autoSpaceDN/>
        <w:bidi w:val="0"/>
        <w:spacing w:line="288"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本项目实行不见面电子招投标方式。</w:t>
      </w:r>
    </w:p>
    <w:p w14:paraId="6212B270">
      <w:pPr>
        <w:keepNext w:val="0"/>
        <w:keepLines w:val="0"/>
        <w:pageBreakBefore w:val="0"/>
        <w:widowControl/>
        <w:numPr>
          <w:ilvl w:val="255"/>
          <w:numId w:val="0"/>
        </w:numPr>
        <w:shd w:val="clear"/>
        <w:kinsoku/>
        <w:wordWrap/>
        <w:overflowPunct/>
        <w:topLinePunct w:val="0"/>
        <w:autoSpaceDE/>
        <w:autoSpaceDN/>
        <w:bidi w:val="0"/>
        <w:snapToGrid w:val="0"/>
        <w:spacing w:line="288" w:lineRule="auto"/>
        <w:ind w:firstLine="482" w:firstLineChars="200"/>
        <w:textAlignment w:val="auto"/>
        <w:outlineLvl w:val="1"/>
        <w:rPr>
          <w:rFonts w:hint="eastAsia" w:ascii="宋体" w:hAnsi="宋体" w:eastAsia="宋体" w:cs="宋体"/>
          <w:b/>
          <w:bCs/>
          <w:color w:val="auto"/>
          <w:highlight w:val="none"/>
        </w:rPr>
      </w:pPr>
      <w:bookmarkStart w:id="150" w:name="_Toc27118"/>
      <w:bookmarkStart w:id="151" w:name="_Toc21925"/>
      <w:bookmarkStart w:id="152" w:name="_Toc12358"/>
      <w:bookmarkStart w:id="153" w:name="_Toc7095"/>
      <w:bookmarkStart w:id="154" w:name="_Toc31107"/>
      <w:r>
        <w:rPr>
          <w:rFonts w:hint="eastAsia" w:ascii="宋体" w:hAnsi="宋体" w:eastAsia="宋体" w:cs="宋体"/>
          <w:b/>
          <w:bCs/>
          <w:color w:val="auto"/>
          <w:highlight w:val="none"/>
        </w:rPr>
        <w:t>四、招标文件的获取</w:t>
      </w:r>
      <w:bookmarkEnd w:id="150"/>
      <w:bookmarkEnd w:id="151"/>
      <w:bookmarkEnd w:id="152"/>
      <w:bookmarkEnd w:id="153"/>
      <w:bookmarkEnd w:id="154"/>
    </w:p>
    <w:p w14:paraId="1388AB87">
      <w:pPr>
        <w:keepNext w:val="0"/>
        <w:keepLines w:val="0"/>
        <w:pageBreakBefore w:val="0"/>
        <w:shd w:val="clear"/>
        <w:kinsoku/>
        <w:wordWrap/>
        <w:overflowPunct/>
        <w:topLinePunct w:val="0"/>
        <w:autoSpaceDE/>
        <w:autoSpaceDN/>
        <w:bidi w:val="0"/>
        <w:adjustRightInd w:val="0"/>
        <w:snapToGrid w:val="0"/>
        <w:spacing w:line="288" w:lineRule="auto"/>
        <w:ind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1、投标人按下述要求获取招标文件，如未在“衢州市阳光交易服务平台”系统内完成相关流程，引起投标无效，责任自负。</w:t>
      </w:r>
    </w:p>
    <w:p w14:paraId="2D99B67A">
      <w:pPr>
        <w:keepNext w:val="0"/>
        <w:keepLines w:val="0"/>
        <w:pageBreakBefore w:val="0"/>
        <w:shd w:val="clear"/>
        <w:kinsoku/>
        <w:wordWrap/>
        <w:overflowPunct/>
        <w:topLinePunct w:val="0"/>
        <w:autoSpaceDE/>
        <w:autoSpaceDN/>
        <w:bidi w:val="0"/>
        <w:adjustRightInd w:val="0"/>
        <w:snapToGrid w:val="0"/>
        <w:spacing w:line="288" w:lineRule="auto"/>
        <w:ind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本项目招标文件实行“衢州市阳光交易服务平台”在线申请获取招标文件，不提供纸质版招标文件。投标人获取招标文件前应先办理“衢州市阳光交易服务平台”投标人信息入库备案同时办理介质CA锁。完成介质CA锁办理预计2-3个工作日，建议各投标人合理安排办理时间。</w:t>
      </w:r>
    </w:p>
    <w:p w14:paraId="1ACA8DD4">
      <w:pPr>
        <w:keepNext w:val="0"/>
        <w:keepLines w:val="0"/>
        <w:pageBreakBefore w:val="0"/>
        <w:shd w:val="clear"/>
        <w:kinsoku/>
        <w:wordWrap/>
        <w:overflowPunct/>
        <w:topLinePunct w:val="0"/>
        <w:autoSpaceDE/>
        <w:autoSpaceDN/>
        <w:bidi w:val="0"/>
        <w:adjustRightInd w:val="0"/>
        <w:snapToGrid w:val="0"/>
        <w:spacing w:line="288" w:lineRule="auto"/>
        <w:ind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3、潜在投标人登录衢州市阳光交易服务平台（https://qzygjy.com/）办理投标人信息入库备案事宜。</w:t>
      </w:r>
    </w:p>
    <w:p w14:paraId="40E6BD7C">
      <w:pPr>
        <w:keepNext w:val="0"/>
        <w:keepLines w:val="0"/>
        <w:pageBreakBefore w:val="0"/>
        <w:shd w:val="clear"/>
        <w:kinsoku/>
        <w:wordWrap/>
        <w:overflowPunct/>
        <w:topLinePunct w:val="0"/>
        <w:autoSpaceDE/>
        <w:autoSpaceDN/>
        <w:bidi w:val="0"/>
        <w:adjustRightInd w:val="0"/>
        <w:snapToGrid w:val="0"/>
        <w:spacing w:line="288" w:lineRule="auto"/>
        <w:ind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未办理企业信息入库的投标人，根据显示界面提示免费注册，填写、上传相关主体信息，带“*”号的必填，填好后“提交”。投标人须提前申领介质CA锁及电子签章，具体操作可参考衢州市阳光交易服务平台交易</w:t>
      </w:r>
      <w:r>
        <w:rPr>
          <w:rFonts w:hint="eastAsia" w:ascii="宋体" w:hAnsi="宋体" w:cs="宋体"/>
          <w:color w:val="auto"/>
          <w:highlight w:val="none"/>
          <w:lang w:val="en-US" w:eastAsia="zh-CN"/>
        </w:rPr>
        <w:t>中标人</w:t>
      </w:r>
      <w:r>
        <w:rPr>
          <w:rFonts w:hint="eastAsia" w:ascii="宋体" w:hAnsi="宋体" w:eastAsia="宋体" w:cs="宋体"/>
          <w:color w:val="auto"/>
          <w:highlight w:val="none"/>
          <w:lang w:val="en-US" w:eastAsia="zh-CN"/>
        </w:rPr>
        <w:t>操作手册。</w:t>
      </w:r>
    </w:p>
    <w:p w14:paraId="69AE67B2">
      <w:pPr>
        <w:keepNext w:val="0"/>
        <w:keepLines w:val="0"/>
        <w:pageBreakBefore w:val="0"/>
        <w:widowControl w:val="0"/>
        <w:shd w:val="clear"/>
        <w:kinsoku/>
        <w:wordWrap/>
        <w:overflowPunct/>
        <w:topLinePunct w:val="0"/>
        <w:autoSpaceDE/>
        <w:autoSpaceDN/>
        <w:bidi w:val="0"/>
        <w:adjustRightInd w:val="0"/>
        <w:snapToGrid w:val="0"/>
        <w:spacing w:line="288" w:lineRule="auto"/>
        <w:ind w:left="480" w:leftChars="200" w:firstLine="0" w:firstLineChars="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5、CA办理：</w:t>
      </w:r>
      <w:r>
        <w:rPr>
          <w:rFonts w:hint="eastAsia" w:ascii="宋体" w:hAnsi="宋体" w:eastAsia="宋体" w:cs="宋体"/>
          <w:color w:val="auto"/>
          <w:highlight w:val="none"/>
          <w:lang w:val="en-US" w:eastAsia="zh-CN"/>
        </w:rPr>
        <w:br w:type="textWrapping"/>
      </w:r>
      <w:r>
        <w:rPr>
          <w:rFonts w:hint="eastAsia" w:ascii="宋体" w:hAnsi="宋体" w:cs="宋体"/>
          <w:color w:val="auto"/>
          <w:highlight w:val="none"/>
          <w:lang w:val="en-US" w:eastAsia="zh-CN"/>
        </w:rPr>
        <w:t>5.1</w:t>
      </w:r>
      <w:r>
        <w:rPr>
          <w:rFonts w:hint="eastAsia" w:ascii="宋体" w:hAnsi="宋体" w:eastAsia="宋体" w:cs="宋体"/>
          <w:color w:val="auto"/>
          <w:highlight w:val="none"/>
          <w:lang w:val="en-US" w:eastAsia="zh-CN"/>
        </w:rPr>
        <w:t>天谷CA：</w:t>
      </w:r>
      <w:r>
        <w:rPr>
          <w:rFonts w:hint="eastAsia" w:ascii="宋体" w:hAnsi="宋体" w:eastAsia="宋体" w:cs="宋体"/>
          <w:color w:val="auto"/>
          <w:highlight w:val="none"/>
          <w:lang w:val="en-US" w:eastAsia="zh-CN"/>
        </w:rPr>
        <w:fldChar w:fldCharType="begin"/>
      </w:r>
      <w:r>
        <w:rPr>
          <w:rFonts w:hint="eastAsia" w:ascii="宋体" w:hAnsi="宋体" w:eastAsia="宋体" w:cs="宋体"/>
          <w:color w:val="auto"/>
          <w:highlight w:val="none"/>
          <w:lang w:val="en-US" w:eastAsia="zh-CN"/>
        </w:rPr>
        <w:instrText xml:space="preserve"> HYPERLINK "http://www.tseal.cn/tcloud/common.xhtml?projId=307" \t "/home/inspur/文档\\x/_blank" </w:instrText>
      </w:r>
      <w:r>
        <w:rPr>
          <w:rFonts w:hint="eastAsia" w:ascii="宋体" w:hAnsi="宋体" w:eastAsia="宋体" w:cs="宋体"/>
          <w:color w:val="auto"/>
          <w:highlight w:val="none"/>
          <w:lang w:val="en-US" w:eastAsia="zh-CN"/>
        </w:rPr>
        <w:fldChar w:fldCharType="separate"/>
      </w:r>
      <w:r>
        <w:rPr>
          <w:rFonts w:hint="eastAsia" w:ascii="宋体" w:hAnsi="宋体" w:eastAsia="宋体" w:cs="宋体"/>
          <w:color w:val="auto"/>
          <w:highlight w:val="none"/>
          <w:lang w:val="en-US" w:eastAsia="zh-CN"/>
        </w:rPr>
        <w:t>http://www.tseal.cn/tcloud/common.xhtml?projId=307</w:t>
      </w:r>
      <w:r>
        <w:rPr>
          <w:rFonts w:hint="eastAsia" w:ascii="宋体" w:hAnsi="宋体" w:eastAsia="宋体" w:cs="宋体"/>
          <w:color w:val="auto"/>
          <w:highlight w:val="none"/>
          <w:lang w:val="en-US" w:eastAsia="zh-CN"/>
        </w:rPr>
        <w:fldChar w:fldCharType="end"/>
      </w:r>
      <w:r>
        <w:rPr>
          <w:rFonts w:hint="eastAsia" w:ascii="宋体" w:hAnsi="宋体" w:eastAsia="宋体" w:cs="宋体"/>
          <w:color w:val="auto"/>
          <w:highlight w:val="none"/>
          <w:lang w:val="en-US" w:eastAsia="zh-CN"/>
        </w:rPr>
        <w:t xml:space="preserve"> 联系电话：400-087-8198</w:t>
      </w:r>
      <w:r>
        <w:rPr>
          <w:rFonts w:hint="eastAsia" w:ascii="宋体" w:hAnsi="宋体" w:eastAsia="宋体" w:cs="宋体"/>
          <w:color w:val="auto"/>
          <w:highlight w:val="none"/>
          <w:lang w:val="en-US" w:eastAsia="zh-CN"/>
        </w:rPr>
        <w:br w:type="textWrapping"/>
      </w:r>
      <w:r>
        <w:rPr>
          <w:rFonts w:hint="eastAsia" w:ascii="宋体" w:hAnsi="宋体" w:cs="宋体"/>
          <w:color w:val="auto"/>
          <w:highlight w:val="none"/>
          <w:lang w:val="en-US" w:eastAsia="zh-CN"/>
        </w:rPr>
        <w:t>5.2</w:t>
      </w:r>
      <w:r>
        <w:rPr>
          <w:rFonts w:hint="eastAsia" w:ascii="宋体" w:hAnsi="宋体" w:eastAsia="宋体" w:cs="宋体"/>
          <w:color w:val="auto"/>
          <w:highlight w:val="none"/>
          <w:lang w:val="en-US" w:eastAsia="zh-CN"/>
        </w:rPr>
        <w:t>新点标证通：</w:t>
      </w:r>
      <w:r>
        <w:rPr>
          <w:rFonts w:hint="eastAsia" w:ascii="宋体" w:hAnsi="宋体" w:eastAsia="宋体" w:cs="宋体"/>
          <w:color w:val="auto"/>
          <w:highlight w:val="none"/>
          <w:lang w:val="en-US" w:eastAsia="zh-CN"/>
        </w:rPr>
        <w:fldChar w:fldCharType="begin"/>
      </w:r>
      <w:r>
        <w:rPr>
          <w:rFonts w:hint="eastAsia" w:ascii="宋体" w:hAnsi="宋体" w:eastAsia="宋体" w:cs="宋体"/>
          <w:color w:val="auto"/>
          <w:highlight w:val="none"/>
          <w:lang w:val="en-US" w:eastAsia="zh-CN"/>
        </w:rPr>
        <w:instrText xml:space="preserve"> HYPERLINK "https://www.ebpu.com/epbzt/index.html" \t "/home/inspur/文档\\x/_blank" </w:instrText>
      </w:r>
      <w:r>
        <w:rPr>
          <w:rFonts w:hint="eastAsia" w:ascii="宋体" w:hAnsi="宋体" w:eastAsia="宋体" w:cs="宋体"/>
          <w:color w:val="auto"/>
          <w:highlight w:val="none"/>
          <w:lang w:val="en-US" w:eastAsia="zh-CN"/>
        </w:rPr>
        <w:fldChar w:fldCharType="separate"/>
      </w:r>
      <w:r>
        <w:rPr>
          <w:rFonts w:hint="eastAsia" w:ascii="宋体" w:hAnsi="宋体" w:eastAsia="宋体" w:cs="宋体"/>
          <w:color w:val="auto"/>
          <w:highlight w:val="none"/>
          <w:lang w:val="en-US" w:eastAsia="zh-CN"/>
        </w:rPr>
        <w:t>https://www.ebpu.com/epbzt/index.html</w:t>
      </w:r>
      <w:r>
        <w:rPr>
          <w:rFonts w:hint="eastAsia" w:ascii="宋体" w:hAnsi="宋体" w:eastAsia="宋体" w:cs="宋体"/>
          <w:color w:val="auto"/>
          <w:highlight w:val="none"/>
          <w:lang w:val="en-US" w:eastAsia="zh-CN"/>
        </w:rPr>
        <w:fldChar w:fldCharType="end"/>
      </w:r>
      <w:r>
        <w:rPr>
          <w:rFonts w:hint="eastAsia" w:ascii="宋体" w:hAnsi="宋体" w:eastAsia="宋体" w:cs="宋体"/>
          <w:color w:val="auto"/>
          <w:highlight w:val="none"/>
          <w:lang w:val="en-US" w:eastAsia="zh-CN"/>
        </w:rPr>
        <w:t xml:space="preserve"> 联系电话：400-998-0000</w:t>
      </w:r>
    </w:p>
    <w:p w14:paraId="0478766C">
      <w:pPr>
        <w:keepNext w:val="0"/>
        <w:keepLines w:val="0"/>
        <w:pageBreakBefore w:val="0"/>
        <w:shd w:val="clear"/>
        <w:kinsoku/>
        <w:wordWrap/>
        <w:overflowPunct/>
        <w:topLinePunct w:val="0"/>
        <w:autoSpaceDE/>
        <w:autoSpaceDN/>
        <w:bidi w:val="0"/>
        <w:adjustRightInd w:val="0"/>
        <w:snapToGrid w:val="0"/>
        <w:spacing w:line="288" w:lineRule="auto"/>
        <w:ind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6、招标文件下载：</w:t>
      </w:r>
    </w:p>
    <w:p w14:paraId="1103AF47">
      <w:pPr>
        <w:keepNext w:val="0"/>
        <w:keepLines w:val="0"/>
        <w:pageBreakBefore w:val="0"/>
        <w:shd w:val="clear"/>
        <w:kinsoku/>
        <w:wordWrap/>
        <w:overflowPunct/>
        <w:topLinePunct w:val="0"/>
        <w:autoSpaceDE/>
        <w:autoSpaceDN/>
        <w:bidi w:val="0"/>
        <w:adjustRightInd w:val="0"/>
        <w:snapToGrid w:val="0"/>
        <w:spacing w:line="288" w:lineRule="auto"/>
        <w:ind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（1）潜在投标人登录“衢州市阳光交易服务平台”，在线申请获取招标文件(选择招标公告，进入项目,选择“投标前阶段”进入项目在获取招标文件菜单中选择项目,选择“招标文件下载”)。</w:t>
      </w:r>
    </w:p>
    <w:p w14:paraId="7F0FE5AD">
      <w:pPr>
        <w:keepNext w:val="0"/>
        <w:keepLines w:val="0"/>
        <w:pageBreakBefore w:val="0"/>
        <w:shd w:val="clear"/>
        <w:kinsoku/>
        <w:wordWrap/>
        <w:overflowPunct/>
        <w:topLinePunct w:val="0"/>
        <w:autoSpaceDE/>
        <w:autoSpaceDN/>
        <w:bidi w:val="0"/>
        <w:adjustRightInd w:val="0"/>
        <w:snapToGrid w:val="0"/>
        <w:spacing w:line="288" w:lineRule="auto"/>
        <w:ind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（2）投标文件的解密：投标人按照平台提示和招标文件的规定在30分钟内于衢州市阳光交易服务平台不见面开标大厅完成在线解密。</w:t>
      </w:r>
    </w:p>
    <w:p w14:paraId="1259ED02">
      <w:pPr>
        <w:keepNext w:val="0"/>
        <w:keepLines w:val="0"/>
        <w:pageBreakBefore w:val="0"/>
        <w:shd w:val="clear"/>
        <w:kinsoku/>
        <w:wordWrap/>
        <w:overflowPunct/>
        <w:topLinePunct w:val="0"/>
        <w:autoSpaceDE/>
        <w:autoSpaceDN/>
        <w:bidi w:val="0"/>
        <w:adjustRightInd w:val="0"/>
        <w:snapToGrid w:val="0"/>
        <w:spacing w:line="288" w:lineRule="auto"/>
        <w:ind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7、具体操作指南：详见衢州市阳光交易服务平台“办事指南-衢州市阳光交易服务平台-工程建设交易</w:t>
      </w:r>
      <w:r>
        <w:rPr>
          <w:rFonts w:hint="eastAsia" w:ascii="宋体" w:hAnsi="宋体" w:cs="宋体"/>
          <w:color w:val="auto"/>
          <w:highlight w:val="none"/>
          <w:lang w:val="en-US" w:eastAsia="zh-CN"/>
        </w:rPr>
        <w:t>中标人</w:t>
      </w:r>
      <w:r>
        <w:rPr>
          <w:rFonts w:hint="eastAsia" w:ascii="宋体" w:hAnsi="宋体" w:eastAsia="宋体" w:cs="宋体"/>
          <w:color w:val="auto"/>
          <w:highlight w:val="none"/>
          <w:lang w:val="en-US" w:eastAsia="zh-CN"/>
        </w:rPr>
        <w:t>操作手册”，如遇平台技术问题详询0570-3878007。</w:t>
      </w:r>
    </w:p>
    <w:p w14:paraId="524528B1">
      <w:pPr>
        <w:pStyle w:val="88"/>
        <w:keepNext w:val="0"/>
        <w:keepLines w:val="0"/>
        <w:pageBreakBefore w:val="0"/>
        <w:numPr>
          <w:ilvl w:val="0"/>
          <w:numId w:val="0"/>
        </w:numPr>
        <w:shd w:val="clear"/>
        <w:kinsoku/>
        <w:wordWrap/>
        <w:overflowPunct/>
        <w:topLinePunct w:val="0"/>
        <w:autoSpaceDE/>
        <w:autoSpaceDN/>
        <w:bidi w:val="0"/>
        <w:adjustRightInd w:val="0"/>
        <w:snapToGrid w:val="0"/>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投标工具</w:t>
      </w:r>
    </w:p>
    <w:p w14:paraId="79A5160D">
      <w:pPr>
        <w:keepNext w:val="0"/>
        <w:keepLines w:val="0"/>
        <w:pageBreakBefore w:val="0"/>
        <w:shd w:val="clear"/>
        <w:kinsoku/>
        <w:wordWrap/>
        <w:overflowPunct/>
        <w:topLinePunct w:val="0"/>
        <w:autoSpaceDE/>
        <w:autoSpaceDN/>
        <w:bidi w:val="0"/>
        <w:adjustRightInd w:val="0"/>
        <w:snapToGrid w:val="0"/>
        <w:spacing w:line="288" w:lineRule="auto"/>
        <w:ind w:firstLine="480"/>
        <w:jc w:val="left"/>
        <w:textAlignment w:val="auto"/>
        <w:rPr>
          <w:rFonts w:hint="eastAsia" w:ascii="宋体" w:hAnsi="宋体" w:eastAsia="宋体" w:cs="宋体"/>
          <w:color w:val="auto"/>
          <w:highlight w:val="none"/>
          <w:lang w:val="en-US" w:eastAsia="zh-CN"/>
        </w:rPr>
      </w:pPr>
      <w:bookmarkStart w:id="155" w:name="_Toc22226"/>
      <w:bookmarkStart w:id="156" w:name="_Toc15693"/>
      <w:bookmarkStart w:id="157" w:name="_Toc9357"/>
      <w:r>
        <w:rPr>
          <w:rFonts w:hint="eastAsia" w:ascii="宋体" w:hAnsi="宋体" w:eastAsia="宋体" w:cs="宋体"/>
          <w:color w:val="auto"/>
          <w:highlight w:val="none"/>
          <w:lang w:val="en-US" w:eastAsia="zh-CN"/>
        </w:rPr>
        <w:t>一标通投标制作工具，下载地址：</w:t>
      </w:r>
      <w:r>
        <w:rPr>
          <w:rFonts w:hint="eastAsia" w:ascii="宋体" w:hAnsi="宋体" w:eastAsia="宋体" w:cs="宋体"/>
          <w:color w:val="auto"/>
          <w:highlight w:val="none"/>
          <w:lang w:val="en-US" w:eastAsia="zh-CN"/>
        </w:rPr>
        <w:fldChar w:fldCharType="begin"/>
      </w:r>
      <w:r>
        <w:rPr>
          <w:rFonts w:hint="eastAsia" w:ascii="宋体" w:hAnsi="宋体" w:eastAsia="宋体" w:cs="宋体"/>
          <w:color w:val="auto"/>
          <w:highlight w:val="none"/>
          <w:lang w:val="en-US" w:eastAsia="zh-CN"/>
        </w:rPr>
        <w:instrText xml:space="preserve"> HYPERLINK "https://download.bqpoint.com/download/downloaddetail.html?SourceFrom=Ztb&amp;ZtbSoftXiaQuCode=1155&amp;ZtbSoftType=tballinclusive" \t "/home/inspur/文档\\x/_blank" </w:instrText>
      </w:r>
      <w:r>
        <w:rPr>
          <w:rFonts w:hint="eastAsia" w:ascii="宋体" w:hAnsi="宋体" w:eastAsia="宋体" w:cs="宋体"/>
          <w:color w:val="auto"/>
          <w:highlight w:val="none"/>
          <w:lang w:val="en-US" w:eastAsia="zh-CN"/>
        </w:rPr>
        <w:fldChar w:fldCharType="separate"/>
      </w:r>
      <w:r>
        <w:rPr>
          <w:rFonts w:hint="eastAsia" w:ascii="宋体" w:hAnsi="宋体" w:eastAsia="宋体" w:cs="宋体"/>
          <w:color w:val="auto"/>
          <w:highlight w:val="none"/>
          <w:lang w:val="en-US" w:eastAsia="zh-CN"/>
        </w:rPr>
        <w:t>https://download.bqpoint.com/download/downloaddetail.html?SourceFrom=Ztb&amp;ZtbSoftXiaQuCode=1155&amp;ZtbSoftType=tballinclusive</w:t>
      </w:r>
      <w:r>
        <w:rPr>
          <w:rFonts w:hint="eastAsia" w:ascii="宋体" w:hAnsi="宋体" w:eastAsia="宋体" w:cs="宋体"/>
          <w:color w:val="auto"/>
          <w:highlight w:val="none"/>
          <w:lang w:val="en-US" w:eastAsia="zh-CN"/>
        </w:rPr>
        <w:fldChar w:fldCharType="end"/>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 xml:space="preserve">联系方式，新点软件客服电话：4009980000、0570-3878007、18606516296。 </w:t>
      </w:r>
    </w:p>
    <w:p w14:paraId="1F745454">
      <w:pPr>
        <w:keepNext w:val="0"/>
        <w:keepLines w:val="0"/>
        <w:pageBreakBefore w:val="0"/>
        <w:widowControl/>
        <w:numPr>
          <w:ilvl w:val="255"/>
          <w:numId w:val="0"/>
        </w:numPr>
        <w:shd w:val="clear"/>
        <w:kinsoku/>
        <w:wordWrap/>
        <w:overflowPunct/>
        <w:topLinePunct w:val="0"/>
        <w:autoSpaceDE/>
        <w:autoSpaceDN/>
        <w:bidi w:val="0"/>
        <w:snapToGrid w:val="0"/>
        <w:spacing w:line="288" w:lineRule="auto"/>
        <w:ind w:firstLine="482" w:firstLineChars="200"/>
        <w:jc w:val="left"/>
        <w:textAlignment w:val="auto"/>
        <w:outlineLvl w:val="1"/>
        <w:rPr>
          <w:rFonts w:hint="eastAsia" w:ascii="宋体" w:hAnsi="宋体" w:eastAsia="宋体" w:cs="宋体"/>
          <w:b/>
          <w:bCs/>
          <w:color w:val="auto"/>
          <w:highlight w:val="none"/>
        </w:rPr>
      </w:pPr>
      <w:bookmarkStart w:id="158" w:name="_Toc27729"/>
      <w:bookmarkStart w:id="159" w:name="_Toc10438"/>
      <w:r>
        <w:rPr>
          <w:rFonts w:hint="eastAsia" w:ascii="宋体" w:hAnsi="宋体" w:eastAsia="宋体" w:cs="宋体"/>
          <w:b/>
          <w:bCs/>
          <w:color w:val="auto"/>
          <w:highlight w:val="none"/>
          <w:lang w:val="en-US" w:eastAsia="zh-CN"/>
        </w:rPr>
        <w:t>五</w:t>
      </w:r>
      <w:r>
        <w:rPr>
          <w:rFonts w:hint="eastAsia" w:ascii="宋体" w:hAnsi="宋体" w:eastAsia="宋体" w:cs="宋体"/>
          <w:b/>
          <w:bCs/>
          <w:color w:val="auto"/>
          <w:highlight w:val="none"/>
        </w:rPr>
        <w:t>、解密</w:t>
      </w:r>
      <w:bookmarkEnd w:id="155"/>
      <w:bookmarkEnd w:id="156"/>
      <w:bookmarkEnd w:id="157"/>
      <w:bookmarkEnd w:id="158"/>
      <w:bookmarkEnd w:id="159"/>
    </w:p>
    <w:p w14:paraId="71768C25">
      <w:pPr>
        <w:keepNext w:val="0"/>
        <w:keepLines w:val="0"/>
        <w:pageBreakBefore w:val="0"/>
        <w:shd w:val="clear"/>
        <w:kinsoku/>
        <w:wordWrap/>
        <w:overflowPunct/>
        <w:topLinePunct w:val="0"/>
        <w:autoSpaceDE/>
        <w:autoSpaceDN/>
        <w:bidi w:val="0"/>
        <w:adjustRightInd w:val="0"/>
        <w:snapToGrid w:val="0"/>
        <w:spacing w:line="288" w:lineRule="auto"/>
        <w:ind w:firstLine="48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投标文件开启时间到后，代理机构（或公证人员）宣布开始解密，30分钟内投标人应完成投标文件的解密。投标人解密方式：投标人自行登录衢州市阳光交易服务平台不见面开标大厅（https://qzygjy.com/BidOpening/bidopeninghallaction/hall/login)——投标人身份——我的项目——选择标段——待招标代理开启解密后进行解密操作投标人在规定的时间内都已完成解密，则系统自动结束解密；投标人因自身原因未在规定时间内完成解密，则默认自动放弃；（综合评估法需要、双随机删除）</w:t>
      </w:r>
    </w:p>
    <w:p w14:paraId="632705E3">
      <w:pPr>
        <w:keepNext w:val="0"/>
        <w:keepLines w:val="0"/>
        <w:pageBreakBefore w:val="0"/>
        <w:shd w:val="clear"/>
        <w:kinsoku/>
        <w:wordWrap/>
        <w:overflowPunct/>
        <w:topLinePunct w:val="0"/>
        <w:autoSpaceDE/>
        <w:autoSpaceDN/>
        <w:bidi w:val="0"/>
        <w:adjustRightInd w:val="0"/>
        <w:snapToGrid w:val="0"/>
        <w:spacing w:line="288" w:lineRule="auto"/>
        <w:ind w:firstLine="48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2、招标代理机构导入投标文件成功后进入评标流程。</w:t>
      </w:r>
    </w:p>
    <w:p w14:paraId="428202BA">
      <w:pPr>
        <w:keepNext w:val="0"/>
        <w:keepLines w:val="0"/>
        <w:pageBreakBefore w:val="0"/>
        <w:widowControl/>
        <w:numPr>
          <w:ilvl w:val="255"/>
          <w:numId w:val="0"/>
        </w:numPr>
        <w:shd w:val="clear"/>
        <w:kinsoku/>
        <w:wordWrap/>
        <w:overflowPunct/>
        <w:topLinePunct w:val="0"/>
        <w:autoSpaceDE/>
        <w:autoSpaceDN/>
        <w:bidi w:val="0"/>
        <w:snapToGrid w:val="0"/>
        <w:spacing w:line="288" w:lineRule="auto"/>
        <w:ind w:firstLine="482" w:firstLineChars="200"/>
        <w:jc w:val="left"/>
        <w:textAlignment w:val="auto"/>
        <w:outlineLvl w:val="1"/>
        <w:rPr>
          <w:rFonts w:hint="eastAsia" w:ascii="宋体" w:hAnsi="宋体" w:eastAsia="宋体" w:cs="宋体"/>
          <w:b/>
          <w:bCs/>
          <w:color w:val="auto"/>
          <w:highlight w:val="none"/>
          <w:lang w:val="en-US" w:eastAsia="zh-CN"/>
        </w:rPr>
      </w:pPr>
      <w:bookmarkStart w:id="160" w:name="_Toc23200"/>
      <w:bookmarkStart w:id="161" w:name="_Toc406"/>
      <w:r>
        <w:rPr>
          <w:rFonts w:hint="eastAsia" w:ascii="宋体" w:hAnsi="宋体" w:cs="宋体"/>
          <w:b/>
          <w:bCs/>
          <w:color w:val="auto"/>
          <w:highlight w:val="none"/>
          <w:lang w:val="en-US" w:eastAsia="zh-CN"/>
        </w:rPr>
        <w:t>六</w:t>
      </w:r>
      <w:r>
        <w:rPr>
          <w:rFonts w:hint="eastAsia" w:ascii="宋体" w:hAnsi="宋体" w:eastAsia="宋体" w:cs="宋体"/>
          <w:b/>
          <w:bCs/>
          <w:color w:val="auto"/>
          <w:highlight w:val="none"/>
          <w:lang w:val="en-US" w:eastAsia="zh-CN"/>
        </w:rPr>
        <w:t>、开标特别说明</w:t>
      </w:r>
      <w:bookmarkEnd w:id="160"/>
      <w:bookmarkEnd w:id="161"/>
    </w:p>
    <w:p w14:paraId="49D49B5A">
      <w:pPr>
        <w:pStyle w:val="88"/>
        <w:keepNext w:val="0"/>
        <w:keepLines w:val="0"/>
        <w:pageBreakBefore w:val="0"/>
        <w:widowControl/>
        <w:shd w:val="clear"/>
        <w:kinsoku/>
        <w:wordWrap/>
        <w:overflowPunct/>
        <w:topLinePunct w:val="0"/>
        <w:autoSpaceDE/>
        <w:autoSpaceDN/>
        <w:bidi w:val="0"/>
        <w:adjustRightInd w:val="0"/>
        <w:snapToGrid w:val="0"/>
        <w:spacing w:line="288"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1、开标解密使用投标人上传的电子投标文件。 </w:t>
      </w:r>
    </w:p>
    <w:p w14:paraId="4DE461D7">
      <w:pPr>
        <w:pStyle w:val="88"/>
        <w:keepNext w:val="0"/>
        <w:keepLines w:val="0"/>
        <w:pageBreakBefore w:val="0"/>
        <w:widowControl/>
        <w:shd w:val="clear"/>
        <w:kinsoku/>
        <w:wordWrap/>
        <w:overflowPunct/>
        <w:topLinePunct w:val="0"/>
        <w:autoSpaceDE/>
        <w:autoSpaceDN/>
        <w:bidi w:val="0"/>
        <w:adjustRightInd w:val="0"/>
        <w:snapToGrid w:val="0"/>
        <w:spacing w:line="288"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因投标人原因（包括投标人自主选择的CA证书、电脑环境、网络等），造成其电子投标文件未解密的，或投标文件解密了，但投标文件无法识别、读取的，视为撤销其投标文件。（综合评估法需要、双随机删除）</w:t>
      </w:r>
    </w:p>
    <w:p w14:paraId="10BBB60F">
      <w:pPr>
        <w:pStyle w:val="88"/>
        <w:keepNext w:val="0"/>
        <w:keepLines w:val="0"/>
        <w:pageBreakBefore w:val="0"/>
        <w:widowControl/>
        <w:shd w:val="clear"/>
        <w:kinsoku/>
        <w:wordWrap/>
        <w:overflowPunct/>
        <w:topLinePunct w:val="0"/>
        <w:autoSpaceDE/>
        <w:autoSpaceDN/>
        <w:bidi w:val="0"/>
        <w:adjustRightInd w:val="0"/>
        <w:snapToGrid w:val="0"/>
        <w:spacing w:line="288"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3、投标人必须使用生成电子投标文件的CA数字证书解密电子投标文件。</w:t>
      </w:r>
    </w:p>
    <w:p w14:paraId="4D93EB7D">
      <w:pPr>
        <w:keepNext w:val="0"/>
        <w:keepLines w:val="0"/>
        <w:pageBreakBefore w:val="0"/>
        <w:widowControl/>
        <w:numPr>
          <w:ilvl w:val="255"/>
          <w:numId w:val="0"/>
        </w:numPr>
        <w:kinsoku/>
        <w:wordWrap/>
        <w:overflowPunct/>
        <w:topLinePunct w:val="0"/>
        <w:autoSpaceDE/>
        <w:autoSpaceDN/>
        <w:bidi w:val="0"/>
        <w:snapToGrid w:val="0"/>
        <w:spacing w:line="288" w:lineRule="auto"/>
        <w:ind w:firstLine="482" w:firstLineChars="200"/>
        <w:jc w:val="left"/>
        <w:textAlignment w:val="auto"/>
        <w:outlineLvl w:val="1"/>
        <w:rPr>
          <w:rFonts w:ascii="宋体" w:hAnsi="宋体" w:cs="宋体"/>
          <w:b/>
          <w:bCs/>
          <w:color w:val="auto"/>
        </w:rPr>
      </w:pPr>
      <w:bookmarkStart w:id="162" w:name="_Toc7948"/>
      <w:bookmarkStart w:id="163" w:name="_Toc29394"/>
      <w:r>
        <w:rPr>
          <w:rFonts w:hint="eastAsia" w:ascii="宋体" w:hAnsi="宋体" w:cs="宋体"/>
          <w:b/>
          <w:bCs/>
          <w:color w:val="auto"/>
          <w:lang w:val="en-US" w:eastAsia="zh-CN"/>
        </w:rPr>
        <w:t>七</w:t>
      </w:r>
      <w:r>
        <w:rPr>
          <w:rFonts w:hint="eastAsia" w:ascii="宋体" w:hAnsi="宋体" w:cs="宋体"/>
          <w:b/>
          <w:bCs/>
          <w:color w:val="auto"/>
        </w:rPr>
        <w:t>、投标文件的递交</w:t>
      </w:r>
      <w:bookmarkEnd w:id="162"/>
      <w:bookmarkEnd w:id="163"/>
    </w:p>
    <w:bookmarkEnd w:id="130"/>
    <w:bookmarkEnd w:id="131"/>
    <w:bookmarkEnd w:id="132"/>
    <w:bookmarkEnd w:id="133"/>
    <w:bookmarkEnd w:id="134"/>
    <w:p w14:paraId="473B9DFF">
      <w:pPr>
        <w:pStyle w:val="88"/>
        <w:keepNext w:val="0"/>
        <w:keepLines w:val="0"/>
        <w:pageBreakBefore w:val="0"/>
        <w:kinsoku/>
        <w:wordWrap/>
        <w:overflowPunct/>
        <w:topLinePunct w:val="0"/>
        <w:autoSpaceDE/>
        <w:autoSpaceDN/>
        <w:bidi w:val="0"/>
        <w:adjustRightInd w:val="0"/>
        <w:snapToGrid w:val="0"/>
        <w:spacing w:line="288" w:lineRule="auto"/>
        <w:ind w:firstLine="480" w:firstLineChars="200"/>
        <w:textAlignment w:val="auto"/>
        <w:rPr>
          <w:rFonts w:ascii="宋体" w:hAnsi="宋体" w:cs="宋体"/>
          <w:color w:val="auto"/>
          <w:sz w:val="24"/>
          <w:szCs w:val="24"/>
        </w:rPr>
      </w:pPr>
      <w:bookmarkStart w:id="164" w:name="_Toc12476"/>
      <w:bookmarkStart w:id="165" w:name="_Toc25851"/>
      <w:bookmarkStart w:id="166" w:name="_Toc10378"/>
      <w:bookmarkStart w:id="167" w:name="_Toc12151"/>
      <w:bookmarkStart w:id="168" w:name="_Toc1057"/>
      <w:bookmarkStart w:id="169" w:name="_Toc5337"/>
      <w:bookmarkStart w:id="170" w:name="_Toc20733"/>
      <w:bookmarkStart w:id="171" w:name="_Toc15705"/>
      <w:r>
        <w:rPr>
          <w:rFonts w:hint="eastAsia" w:ascii="宋体" w:hAnsi="宋体" w:cs="宋体"/>
          <w:color w:val="auto"/>
          <w:sz w:val="24"/>
          <w:szCs w:val="24"/>
        </w:rPr>
        <w:t>1.投标文件递交截止时间（投标截止时间，下同）：</w:t>
      </w:r>
      <w:r>
        <w:rPr>
          <w:rFonts w:hint="eastAsia" w:ascii="宋体" w:hAnsi="宋体" w:cs="宋体"/>
          <w:color w:val="auto"/>
          <w:sz w:val="24"/>
          <w:szCs w:val="24"/>
          <w:lang w:eastAsia="zh-CN"/>
        </w:rPr>
        <w:t>2025年</w:t>
      </w:r>
      <w:r>
        <w:rPr>
          <w:rFonts w:hint="eastAsia" w:ascii="宋体" w:hAnsi="宋体" w:cs="宋体"/>
          <w:color w:val="auto"/>
          <w:sz w:val="24"/>
          <w:szCs w:val="24"/>
          <w:lang w:val="en-US" w:eastAsia="zh-CN"/>
        </w:rPr>
        <w:t>7</w:t>
      </w:r>
      <w:r>
        <w:rPr>
          <w:rFonts w:hint="eastAsia" w:ascii="宋体" w:hAnsi="宋体" w:cs="宋体"/>
          <w:color w:val="auto"/>
          <w:sz w:val="24"/>
          <w:szCs w:val="24"/>
          <w:lang w:eastAsia="zh-CN"/>
        </w:rPr>
        <w:t>月</w:t>
      </w:r>
      <w:r>
        <w:rPr>
          <w:rFonts w:hint="eastAsia" w:ascii="宋体" w:hAnsi="宋体" w:cs="宋体"/>
          <w:color w:val="auto"/>
          <w:sz w:val="24"/>
          <w:szCs w:val="24"/>
          <w:lang w:val="en-US" w:eastAsia="zh-CN"/>
        </w:rPr>
        <w:t>11</w:t>
      </w:r>
      <w:r>
        <w:rPr>
          <w:rFonts w:hint="eastAsia" w:ascii="宋体" w:hAnsi="宋体" w:cs="宋体"/>
          <w:color w:val="auto"/>
          <w:sz w:val="24"/>
          <w:szCs w:val="24"/>
          <w:lang w:eastAsia="zh-CN"/>
        </w:rPr>
        <w:t>日</w:t>
      </w:r>
      <w:r>
        <w:rPr>
          <w:rFonts w:hint="eastAsia" w:ascii="宋体" w:hAnsi="宋体" w:cs="宋体"/>
          <w:color w:val="auto"/>
          <w:sz w:val="24"/>
          <w:szCs w:val="24"/>
          <w:lang w:val="en-US" w:eastAsia="zh-CN"/>
        </w:rPr>
        <w:t>09</w:t>
      </w:r>
      <w:r>
        <w:rPr>
          <w:rFonts w:hint="eastAsia" w:ascii="宋体" w:hAnsi="宋体" w:cs="宋体"/>
          <w:color w:val="auto"/>
          <w:sz w:val="24"/>
          <w:szCs w:val="24"/>
        </w:rPr>
        <w:t>时30分 00 秒。</w:t>
      </w:r>
    </w:p>
    <w:p w14:paraId="6A5C1479">
      <w:pPr>
        <w:pStyle w:val="88"/>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rPr>
        <w:t>2.投标文件递交方式：电子投标文件采用网上递交的方式，上传至衢州市阳光交易服务平台（https://qzygjy.com/TPBidder/memberLogin?type=13）。</w:t>
      </w:r>
    </w:p>
    <w:p w14:paraId="3BCE8CE7">
      <w:pPr>
        <w:pStyle w:val="88"/>
        <w:keepNext w:val="0"/>
        <w:keepLines w:val="0"/>
        <w:pageBreakBefore w:val="0"/>
        <w:kinsoku/>
        <w:wordWrap/>
        <w:overflowPunct/>
        <w:topLinePunct w:val="0"/>
        <w:autoSpaceDE/>
        <w:autoSpaceDN/>
        <w:bidi w:val="0"/>
        <w:adjustRightInd w:val="0"/>
        <w:snapToGrid w:val="0"/>
        <w:spacing w:line="288"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rPr>
        <w:t>3.网上开标地点：衢州市阳光交易服务平台不见面开标大厅（网址：https://qzygjy.com/BidOpening/bidopeninghallaction/hall/login）。操作手册见官网首页下载中心。</w:t>
      </w:r>
    </w:p>
    <w:p w14:paraId="173A5632">
      <w:pPr>
        <w:keepNext w:val="0"/>
        <w:keepLines w:val="0"/>
        <w:pageBreakBefore w:val="0"/>
        <w:kinsoku/>
        <w:wordWrap/>
        <w:overflowPunct/>
        <w:topLinePunct w:val="0"/>
        <w:autoSpaceDE/>
        <w:autoSpaceDN/>
        <w:bidi w:val="0"/>
        <w:adjustRightInd w:val="0"/>
        <w:spacing w:line="288" w:lineRule="auto"/>
        <w:ind w:firstLine="482"/>
        <w:textAlignment w:val="auto"/>
        <w:outlineLvl w:val="1"/>
        <w:rPr>
          <w:rFonts w:ascii="宋体" w:hAnsi="宋体" w:cs="宋体"/>
          <w:b/>
          <w:color w:val="auto"/>
          <w:szCs w:val="21"/>
        </w:rPr>
      </w:pPr>
      <w:bookmarkStart w:id="172" w:name="_Toc24972"/>
      <w:bookmarkStart w:id="173" w:name="_Toc22315"/>
      <w:r>
        <w:rPr>
          <w:rFonts w:hint="eastAsia" w:ascii="宋体" w:hAnsi="宋体" w:cs="宋体"/>
          <w:b/>
          <w:color w:val="auto"/>
          <w:szCs w:val="21"/>
          <w:lang w:val="en-US" w:eastAsia="zh-CN"/>
        </w:rPr>
        <w:t>八</w:t>
      </w:r>
      <w:r>
        <w:rPr>
          <w:rFonts w:hint="eastAsia" w:ascii="宋体" w:hAnsi="宋体" w:cs="宋体"/>
          <w:b/>
          <w:color w:val="auto"/>
          <w:szCs w:val="21"/>
        </w:rPr>
        <w:t>、发布公告的媒介</w:t>
      </w:r>
      <w:bookmarkEnd w:id="172"/>
      <w:bookmarkEnd w:id="173"/>
    </w:p>
    <w:p w14:paraId="1C074E05">
      <w:pPr>
        <w:keepNext w:val="0"/>
        <w:keepLines w:val="0"/>
        <w:pageBreakBefore w:val="0"/>
        <w:kinsoku/>
        <w:wordWrap/>
        <w:overflowPunct/>
        <w:topLinePunct w:val="0"/>
        <w:autoSpaceDE/>
        <w:autoSpaceDN/>
        <w:bidi w:val="0"/>
        <w:adjustRightInd w:val="0"/>
        <w:spacing w:line="288" w:lineRule="auto"/>
        <w:ind w:firstLine="480"/>
        <w:textAlignment w:val="auto"/>
        <w:rPr>
          <w:rFonts w:ascii="宋体" w:hAnsi="宋体" w:cs="宋体"/>
          <w:color w:val="auto"/>
          <w:szCs w:val="21"/>
        </w:rPr>
      </w:pPr>
      <w:r>
        <w:rPr>
          <w:rFonts w:hint="eastAsia" w:ascii="宋体" w:hAnsi="宋体" w:cs="宋体"/>
          <w:color w:val="auto"/>
          <w:szCs w:val="21"/>
        </w:rPr>
        <w:t>本招标公告在“衢州市阳光交易服务平台https://qzygjy.com/”“浙江政府采购网https://zfcg.czt.zj.gov.cn/”上发布。</w:t>
      </w:r>
    </w:p>
    <w:p w14:paraId="3BE1645D">
      <w:pPr>
        <w:keepNext w:val="0"/>
        <w:keepLines w:val="0"/>
        <w:pageBreakBefore w:val="0"/>
        <w:numPr>
          <w:ilvl w:val="255"/>
          <w:numId w:val="0"/>
        </w:numPr>
        <w:kinsoku/>
        <w:wordWrap/>
        <w:overflowPunct/>
        <w:topLinePunct w:val="0"/>
        <w:autoSpaceDE/>
        <w:autoSpaceDN/>
        <w:bidi w:val="0"/>
        <w:snapToGrid w:val="0"/>
        <w:spacing w:line="288" w:lineRule="auto"/>
        <w:ind w:firstLine="482" w:firstLineChars="200"/>
        <w:textAlignment w:val="auto"/>
        <w:outlineLvl w:val="1"/>
        <w:rPr>
          <w:rFonts w:ascii="宋体" w:hAnsi="宋体" w:cs="宋体"/>
          <w:b/>
          <w:bCs/>
          <w:color w:val="auto"/>
          <w:lang w:val="zh-CN"/>
        </w:rPr>
      </w:pPr>
      <w:bookmarkStart w:id="174" w:name="_Toc9397"/>
      <w:bookmarkStart w:id="175" w:name="_Toc3426"/>
      <w:r>
        <w:rPr>
          <w:rFonts w:hint="eastAsia" w:ascii="宋体" w:hAnsi="宋体" w:cs="宋体"/>
          <w:b/>
          <w:bCs/>
          <w:color w:val="auto"/>
          <w:lang w:val="en-US" w:eastAsia="zh-CN"/>
        </w:rPr>
        <w:t>九</w:t>
      </w:r>
      <w:r>
        <w:rPr>
          <w:rFonts w:hint="eastAsia" w:ascii="宋体" w:hAnsi="宋体" w:cs="宋体"/>
          <w:b/>
          <w:bCs/>
          <w:color w:val="auto"/>
          <w:lang w:val="zh-CN"/>
        </w:rPr>
        <w:t>、公告期限</w:t>
      </w:r>
      <w:bookmarkEnd w:id="174"/>
      <w:bookmarkEnd w:id="175"/>
    </w:p>
    <w:p w14:paraId="75A1A9E9">
      <w:pPr>
        <w:keepNext w:val="0"/>
        <w:keepLines w:val="0"/>
        <w:pageBreakBefore w:val="0"/>
        <w:tabs>
          <w:tab w:val="left" w:pos="567"/>
        </w:tabs>
        <w:kinsoku/>
        <w:wordWrap/>
        <w:overflowPunct/>
        <w:topLinePunct w:val="0"/>
        <w:autoSpaceDE/>
        <w:autoSpaceDN/>
        <w:bidi w:val="0"/>
        <w:snapToGrid w:val="0"/>
        <w:spacing w:line="288" w:lineRule="auto"/>
        <w:ind w:firstLine="480"/>
        <w:textAlignment w:val="auto"/>
        <w:rPr>
          <w:rFonts w:ascii="宋体" w:hAnsi="宋体" w:cs="宋体"/>
          <w:color w:val="auto"/>
        </w:rPr>
      </w:pPr>
      <w:r>
        <w:rPr>
          <w:rFonts w:hint="eastAsia" w:ascii="宋体" w:hAnsi="宋体" w:cs="宋体"/>
          <w:color w:val="auto"/>
        </w:rPr>
        <w:t>自本公告发布之日起5个工作日。</w:t>
      </w:r>
    </w:p>
    <w:p w14:paraId="5FB6832C">
      <w:pPr>
        <w:keepNext w:val="0"/>
        <w:keepLines w:val="0"/>
        <w:pageBreakBefore w:val="0"/>
        <w:numPr>
          <w:ilvl w:val="255"/>
          <w:numId w:val="0"/>
        </w:numPr>
        <w:kinsoku/>
        <w:wordWrap/>
        <w:overflowPunct/>
        <w:topLinePunct w:val="0"/>
        <w:autoSpaceDE/>
        <w:autoSpaceDN/>
        <w:bidi w:val="0"/>
        <w:snapToGrid w:val="0"/>
        <w:spacing w:line="288" w:lineRule="auto"/>
        <w:ind w:firstLine="482" w:firstLineChars="200"/>
        <w:textAlignment w:val="auto"/>
        <w:outlineLvl w:val="1"/>
        <w:rPr>
          <w:rFonts w:ascii="宋体" w:hAnsi="宋体" w:cs="宋体"/>
          <w:b/>
          <w:bCs/>
          <w:color w:val="auto"/>
          <w:lang w:val="zh-CN"/>
        </w:rPr>
      </w:pPr>
      <w:bookmarkStart w:id="176" w:name="_Toc9236"/>
      <w:bookmarkStart w:id="177" w:name="_Toc2051"/>
      <w:r>
        <w:rPr>
          <w:rFonts w:hint="eastAsia" w:ascii="宋体" w:hAnsi="宋体" w:cs="宋体"/>
          <w:b/>
          <w:bCs/>
          <w:color w:val="auto"/>
          <w:lang w:val="en-US" w:eastAsia="zh-CN"/>
        </w:rPr>
        <w:t>十</w:t>
      </w:r>
      <w:r>
        <w:rPr>
          <w:rFonts w:hint="eastAsia" w:ascii="宋体" w:hAnsi="宋体" w:cs="宋体"/>
          <w:b/>
          <w:bCs/>
          <w:color w:val="auto"/>
          <w:lang w:val="zh-CN"/>
        </w:rPr>
        <w:t>、其他补充事宜</w:t>
      </w:r>
      <w:bookmarkEnd w:id="176"/>
      <w:bookmarkEnd w:id="177"/>
    </w:p>
    <w:p w14:paraId="392F9A53">
      <w:pPr>
        <w:keepNext w:val="0"/>
        <w:keepLines w:val="0"/>
        <w:pageBreakBefore w:val="0"/>
        <w:tabs>
          <w:tab w:val="left" w:pos="567"/>
        </w:tabs>
        <w:kinsoku/>
        <w:wordWrap/>
        <w:overflowPunct/>
        <w:topLinePunct w:val="0"/>
        <w:autoSpaceDE/>
        <w:autoSpaceDN/>
        <w:bidi w:val="0"/>
        <w:snapToGrid w:val="0"/>
        <w:spacing w:line="288" w:lineRule="auto"/>
        <w:ind w:firstLine="480"/>
        <w:textAlignment w:val="auto"/>
        <w:rPr>
          <w:rFonts w:ascii="宋体" w:hAnsi="宋体"/>
          <w:color w:val="auto"/>
        </w:rPr>
      </w:pPr>
      <w:r>
        <w:rPr>
          <w:rFonts w:hint="eastAsia" w:ascii="宋体" w:hAnsi="宋体"/>
          <w:color w:val="auto"/>
          <w:lang w:eastAsia="zh-CN"/>
        </w:rPr>
        <w:t>投标人</w:t>
      </w:r>
      <w:r>
        <w:rPr>
          <w:rFonts w:hint="eastAsia" w:ascii="宋体" w:hAnsi="宋体"/>
          <w:color w:val="auto"/>
        </w:rPr>
        <w:t>对采购人或采购代理机构的质疑答复不满意或者采购人或采购代理机构未在规定时间内作出答复的，可以在答复期满后十五个工作日内向</w:t>
      </w:r>
      <w:r>
        <w:rPr>
          <w:rFonts w:hint="eastAsia" w:ascii="宋体" w:hAnsi="宋体" w:eastAsia="宋体"/>
          <w:color w:val="auto"/>
        </w:rPr>
        <w:t>龙游县水务集团有限公司招投标分中心</w:t>
      </w:r>
      <w:r>
        <w:rPr>
          <w:rFonts w:hint="eastAsia" w:ascii="宋体" w:hAnsi="宋体"/>
          <w:bCs/>
          <w:color w:val="auto"/>
        </w:rPr>
        <w:t>投诉（联系人</w:t>
      </w:r>
      <w:r>
        <w:rPr>
          <w:rFonts w:hint="eastAsia" w:ascii="宋体" w:hAnsi="宋体"/>
          <w:bCs/>
          <w:color w:val="auto"/>
          <w:lang w:eastAsia="zh-CN"/>
        </w:rPr>
        <w:t>：</w:t>
      </w:r>
      <w:r>
        <w:rPr>
          <w:rFonts w:hint="eastAsia" w:ascii="宋体" w:hAnsi="宋体" w:eastAsia="宋体"/>
          <w:color w:val="auto"/>
        </w:rPr>
        <w:t>夏先生</w:t>
      </w:r>
      <w:r>
        <w:rPr>
          <w:rFonts w:hint="eastAsia" w:ascii="宋体" w:hAnsi="宋体"/>
          <w:bCs/>
          <w:color w:val="auto"/>
        </w:rPr>
        <w:t>，联系号码：</w:t>
      </w:r>
      <w:r>
        <w:rPr>
          <w:rFonts w:hint="eastAsia" w:ascii="宋体" w:hAnsi="宋体" w:eastAsia="宋体"/>
          <w:color w:val="auto"/>
        </w:rPr>
        <w:t>18367058222</w:t>
      </w:r>
      <w:r>
        <w:rPr>
          <w:rFonts w:hint="eastAsia" w:ascii="宋体" w:hAnsi="宋体"/>
          <w:bCs/>
          <w:color w:val="auto"/>
        </w:rPr>
        <w:t>，联系地址：</w:t>
      </w:r>
      <w:r>
        <w:rPr>
          <w:rFonts w:hint="eastAsia" w:ascii="宋体" w:hAnsi="宋体" w:eastAsia="宋体"/>
          <w:color w:val="auto"/>
        </w:rPr>
        <w:t>龙游县龙洲街道荣昌路东道35号</w:t>
      </w:r>
      <w:r>
        <w:rPr>
          <w:rFonts w:hint="eastAsia" w:ascii="宋体" w:hAnsi="宋体"/>
          <w:bCs/>
          <w:color w:val="auto"/>
        </w:rPr>
        <w:t>）</w:t>
      </w:r>
      <w:r>
        <w:rPr>
          <w:rFonts w:hint="eastAsia" w:ascii="宋体" w:hAnsi="宋体"/>
          <w:color w:val="auto"/>
        </w:rPr>
        <w:t>。</w:t>
      </w:r>
    </w:p>
    <w:p w14:paraId="6C967293">
      <w:pPr>
        <w:keepNext w:val="0"/>
        <w:keepLines w:val="0"/>
        <w:pageBreakBefore w:val="0"/>
        <w:numPr>
          <w:ilvl w:val="255"/>
          <w:numId w:val="0"/>
        </w:numPr>
        <w:kinsoku/>
        <w:wordWrap/>
        <w:overflowPunct/>
        <w:topLinePunct w:val="0"/>
        <w:autoSpaceDE/>
        <w:autoSpaceDN/>
        <w:bidi w:val="0"/>
        <w:snapToGrid w:val="0"/>
        <w:spacing w:line="288" w:lineRule="auto"/>
        <w:ind w:firstLine="482" w:firstLineChars="200"/>
        <w:textAlignment w:val="auto"/>
        <w:outlineLvl w:val="1"/>
        <w:rPr>
          <w:rFonts w:ascii="宋体" w:hAnsi="宋体" w:cs="宋体"/>
          <w:b/>
          <w:bCs/>
          <w:color w:val="auto"/>
          <w:lang w:val="zh-CN"/>
        </w:rPr>
      </w:pPr>
      <w:bookmarkStart w:id="178" w:name="_Toc20722"/>
      <w:bookmarkStart w:id="179" w:name="_Toc11043"/>
      <w:r>
        <w:rPr>
          <w:rFonts w:hint="eastAsia" w:ascii="宋体" w:hAnsi="宋体" w:cs="宋体"/>
          <w:b/>
          <w:bCs/>
          <w:color w:val="auto"/>
          <w:lang w:val="en-US" w:eastAsia="zh-CN"/>
        </w:rPr>
        <w:t>十一</w:t>
      </w:r>
      <w:r>
        <w:rPr>
          <w:rFonts w:hint="eastAsia" w:ascii="宋体" w:hAnsi="宋体" w:cs="宋体"/>
          <w:b/>
          <w:bCs/>
          <w:color w:val="auto"/>
          <w:lang w:val="zh-CN"/>
        </w:rPr>
        <w:t>、业务咨询</w:t>
      </w:r>
      <w:bookmarkEnd w:id="178"/>
      <w:bookmarkEnd w:id="179"/>
    </w:p>
    <w:p w14:paraId="0F2D38A3">
      <w:pPr>
        <w:pStyle w:val="2"/>
        <w:keepNext w:val="0"/>
        <w:keepLines w:val="0"/>
        <w:pageBreakBefore w:val="0"/>
        <w:kinsoku/>
        <w:wordWrap/>
        <w:overflowPunct/>
        <w:topLinePunct w:val="0"/>
        <w:autoSpaceDE/>
        <w:autoSpaceDN/>
        <w:bidi w:val="0"/>
        <w:spacing w:line="288" w:lineRule="auto"/>
        <w:ind w:firstLine="480"/>
        <w:textAlignment w:val="auto"/>
        <w:rPr>
          <w:rFonts w:hint="eastAsia" w:ascii="宋体" w:hAnsi="宋体" w:eastAsia="宋体"/>
          <w:color w:val="auto"/>
        </w:rPr>
      </w:pPr>
      <w:r>
        <w:rPr>
          <w:rFonts w:hint="eastAsia" w:ascii="宋体" w:hAnsi="宋体" w:eastAsia="宋体"/>
          <w:color w:val="auto"/>
        </w:rPr>
        <w:t>1.采购人信息</w:t>
      </w:r>
    </w:p>
    <w:p w14:paraId="12AFDCC0">
      <w:pPr>
        <w:pStyle w:val="2"/>
        <w:keepNext w:val="0"/>
        <w:keepLines w:val="0"/>
        <w:pageBreakBefore w:val="0"/>
        <w:kinsoku/>
        <w:wordWrap/>
        <w:overflowPunct/>
        <w:topLinePunct w:val="0"/>
        <w:autoSpaceDE/>
        <w:autoSpaceDN/>
        <w:bidi w:val="0"/>
        <w:spacing w:line="288" w:lineRule="auto"/>
        <w:ind w:firstLine="480"/>
        <w:textAlignment w:val="auto"/>
        <w:rPr>
          <w:rFonts w:hint="eastAsia" w:ascii="宋体" w:hAnsi="宋体" w:eastAsia="宋体"/>
          <w:color w:val="auto"/>
        </w:rPr>
      </w:pPr>
      <w:r>
        <w:rPr>
          <w:rFonts w:hint="eastAsia" w:ascii="宋体" w:hAnsi="宋体" w:eastAsia="宋体"/>
          <w:color w:val="auto"/>
        </w:rPr>
        <w:t xml:space="preserve">名称：浙江寰龙环境科技有限公司    </w:t>
      </w:r>
    </w:p>
    <w:p w14:paraId="7F3F61D9">
      <w:pPr>
        <w:pStyle w:val="2"/>
        <w:keepNext w:val="0"/>
        <w:keepLines w:val="0"/>
        <w:pageBreakBefore w:val="0"/>
        <w:kinsoku/>
        <w:wordWrap/>
        <w:overflowPunct/>
        <w:topLinePunct w:val="0"/>
        <w:autoSpaceDE/>
        <w:autoSpaceDN/>
        <w:bidi w:val="0"/>
        <w:spacing w:line="288" w:lineRule="auto"/>
        <w:ind w:firstLine="480"/>
        <w:textAlignment w:val="auto"/>
        <w:rPr>
          <w:rFonts w:hint="eastAsia" w:ascii="宋体" w:hAnsi="宋体" w:eastAsia="宋体"/>
          <w:color w:val="auto"/>
        </w:rPr>
      </w:pPr>
      <w:r>
        <w:rPr>
          <w:rFonts w:hint="eastAsia" w:ascii="宋体" w:hAnsi="宋体" w:eastAsia="宋体"/>
          <w:color w:val="auto"/>
        </w:rPr>
        <w:t>地址：龙游县东华街道城南工业区长兴路(西)1号</w:t>
      </w:r>
    </w:p>
    <w:p w14:paraId="4139C2C4">
      <w:pPr>
        <w:pStyle w:val="2"/>
        <w:keepNext w:val="0"/>
        <w:keepLines w:val="0"/>
        <w:pageBreakBefore w:val="0"/>
        <w:kinsoku/>
        <w:wordWrap/>
        <w:overflowPunct/>
        <w:topLinePunct w:val="0"/>
        <w:autoSpaceDE/>
        <w:autoSpaceDN/>
        <w:bidi w:val="0"/>
        <w:spacing w:line="288" w:lineRule="auto"/>
        <w:ind w:firstLine="480"/>
        <w:textAlignment w:val="auto"/>
        <w:rPr>
          <w:rFonts w:hint="eastAsia" w:ascii="宋体" w:hAnsi="宋体" w:eastAsia="宋体"/>
          <w:color w:val="auto"/>
        </w:rPr>
      </w:pPr>
      <w:r>
        <w:rPr>
          <w:rFonts w:hint="eastAsia" w:ascii="宋体" w:hAnsi="宋体" w:eastAsia="宋体"/>
          <w:color w:val="auto"/>
        </w:rPr>
        <w:t>联系人：</w:t>
      </w:r>
      <w:r>
        <w:rPr>
          <w:rFonts w:hint="eastAsia" w:ascii="宋体" w:hAnsi="宋体"/>
          <w:color w:val="auto"/>
          <w:lang w:eastAsia="zh-CN"/>
        </w:rPr>
        <w:t>王女士</w:t>
      </w:r>
      <w:r>
        <w:rPr>
          <w:rFonts w:hint="eastAsia" w:ascii="宋体" w:hAnsi="宋体" w:eastAsia="宋体"/>
          <w:color w:val="auto"/>
        </w:rPr>
        <w:t xml:space="preserve"> </w:t>
      </w:r>
    </w:p>
    <w:p w14:paraId="06ABF673">
      <w:pPr>
        <w:pStyle w:val="2"/>
        <w:keepNext w:val="0"/>
        <w:keepLines w:val="0"/>
        <w:pageBreakBefore w:val="0"/>
        <w:kinsoku/>
        <w:wordWrap/>
        <w:overflowPunct/>
        <w:topLinePunct w:val="0"/>
        <w:autoSpaceDE/>
        <w:autoSpaceDN/>
        <w:bidi w:val="0"/>
        <w:spacing w:line="288" w:lineRule="auto"/>
        <w:ind w:firstLine="480"/>
        <w:textAlignment w:val="auto"/>
        <w:rPr>
          <w:rFonts w:hint="eastAsia" w:ascii="宋体" w:hAnsi="宋体" w:eastAsia="宋体"/>
          <w:color w:val="auto"/>
          <w:lang w:eastAsia="zh-CN"/>
        </w:rPr>
      </w:pPr>
      <w:r>
        <w:rPr>
          <w:rFonts w:hint="eastAsia" w:ascii="宋体" w:hAnsi="宋体" w:eastAsia="宋体"/>
          <w:color w:val="auto"/>
        </w:rPr>
        <w:t>联系方式：</w:t>
      </w:r>
      <w:r>
        <w:rPr>
          <w:rFonts w:hint="eastAsia" w:ascii="宋体" w:hAnsi="宋体"/>
          <w:color w:val="auto"/>
          <w:lang w:eastAsia="zh-CN"/>
        </w:rPr>
        <w:t>18367068466</w:t>
      </w:r>
    </w:p>
    <w:p w14:paraId="5AF6A5B6">
      <w:pPr>
        <w:pStyle w:val="2"/>
        <w:keepNext w:val="0"/>
        <w:keepLines w:val="0"/>
        <w:pageBreakBefore w:val="0"/>
        <w:kinsoku/>
        <w:wordWrap/>
        <w:overflowPunct/>
        <w:topLinePunct w:val="0"/>
        <w:autoSpaceDE/>
        <w:autoSpaceDN/>
        <w:bidi w:val="0"/>
        <w:spacing w:line="288" w:lineRule="auto"/>
        <w:ind w:firstLine="480"/>
        <w:textAlignment w:val="auto"/>
        <w:rPr>
          <w:rFonts w:hint="eastAsia" w:ascii="宋体" w:hAnsi="宋体" w:eastAsia="宋体"/>
          <w:color w:val="auto"/>
        </w:rPr>
      </w:pPr>
    </w:p>
    <w:p w14:paraId="0FA7FA48">
      <w:pPr>
        <w:pStyle w:val="2"/>
        <w:keepNext w:val="0"/>
        <w:keepLines w:val="0"/>
        <w:pageBreakBefore w:val="0"/>
        <w:kinsoku/>
        <w:wordWrap/>
        <w:overflowPunct/>
        <w:topLinePunct w:val="0"/>
        <w:autoSpaceDE/>
        <w:autoSpaceDN/>
        <w:bidi w:val="0"/>
        <w:spacing w:line="288" w:lineRule="auto"/>
        <w:ind w:firstLine="480"/>
        <w:textAlignment w:val="auto"/>
        <w:rPr>
          <w:rFonts w:hint="eastAsia" w:ascii="宋体" w:hAnsi="宋体" w:eastAsia="宋体"/>
          <w:color w:val="auto"/>
        </w:rPr>
      </w:pPr>
      <w:r>
        <w:rPr>
          <w:rFonts w:hint="eastAsia" w:ascii="宋体" w:hAnsi="宋体" w:eastAsia="宋体"/>
          <w:color w:val="auto"/>
        </w:rPr>
        <w:t>2.采购代理机构信息</w:t>
      </w:r>
    </w:p>
    <w:p w14:paraId="4127E942">
      <w:pPr>
        <w:pStyle w:val="2"/>
        <w:keepNext w:val="0"/>
        <w:keepLines w:val="0"/>
        <w:pageBreakBefore w:val="0"/>
        <w:kinsoku/>
        <w:wordWrap/>
        <w:overflowPunct/>
        <w:topLinePunct w:val="0"/>
        <w:autoSpaceDE/>
        <w:autoSpaceDN/>
        <w:bidi w:val="0"/>
        <w:spacing w:line="288" w:lineRule="auto"/>
        <w:ind w:firstLine="480"/>
        <w:textAlignment w:val="auto"/>
        <w:rPr>
          <w:rFonts w:hint="eastAsia" w:ascii="宋体" w:hAnsi="宋体" w:eastAsia="宋体"/>
          <w:color w:val="auto"/>
        </w:rPr>
      </w:pPr>
      <w:r>
        <w:rPr>
          <w:rFonts w:hint="eastAsia" w:ascii="宋体" w:hAnsi="宋体" w:eastAsia="宋体"/>
          <w:color w:val="auto"/>
        </w:rPr>
        <w:t>名称：衢州宇信工程咨询有限公司</w:t>
      </w:r>
    </w:p>
    <w:p w14:paraId="1FB2F4EF">
      <w:pPr>
        <w:pStyle w:val="2"/>
        <w:keepNext w:val="0"/>
        <w:keepLines w:val="0"/>
        <w:pageBreakBefore w:val="0"/>
        <w:kinsoku/>
        <w:wordWrap/>
        <w:overflowPunct/>
        <w:topLinePunct w:val="0"/>
        <w:autoSpaceDE/>
        <w:autoSpaceDN/>
        <w:bidi w:val="0"/>
        <w:spacing w:line="288" w:lineRule="auto"/>
        <w:ind w:firstLine="480"/>
        <w:textAlignment w:val="auto"/>
        <w:rPr>
          <w:rFonts w:hint="eastAsia" w:ascii="宋体" w:hAnsi="宋体" w:eastAsia="宋体"/>
          <w:color w:val="auto"/>
        </w:rPr>
      </w:pPr>
      <w:r>
        <w:rPr>
          <w:rFonts w:hint="eastAsia" w:ascii="宋体" w:hAnsi="宋体" w:eastAsia="宋体"/>
          <w:color w:val="auto"/>
        </w:rPr>
        <w:t>地址：龙游县龙洲街道广和商务楼3楼306室</w:t>
      </w:r>
    </w:p>
    <w:p w14:paraId="31982BE9">
      <w:pPr>
        <w:pStyle w:val="2"/>
        <w:keepNext w:val="0"/>
        <w:keepLines w:val="0"/>
        <w:pageBreakBefore w:val="0"/>
        <w:kinsoku/>
        <w:wordWrap/>
        <w:overflowPunct/>
        <w:topLinePunct w:val="0"/>
        <w:autoSpaceDE/>
        <w:autoSpaceDN/>
        <w:bidi w:val="0"/>
        <w:spacing w:line="288" w:lineRule="auto"/>
        <w:ind w:firstLine="480"/>
        <w:textAlignment w:val="auto"/>
        <w:rPr>
          <w:rFonts w:hint="eastAsia" w:ascii="宋体" w:hAnsi="宋体" w:eastAsia="宋体"/>
          <w:color w:val="auto"/>
        </w:rPr>
      </w:pPr>
      <w:r>
        <w:rPr>
          <w:rFonts w:hint="eastAsia" w:ascii="宋体" w:hAnsi="宋体" w:eastAsia="宋体"/>
          <w:color w:val="auto"/>
        </w:rPr>
        <w:t>联系人：祝女士</w:t>
      </w:r>
    </w:p>
    <w:p w14:paraId="7DD48155">
      <w:pPr>
        <w:pStyle w:val="2"/>
        <w:keepNext w:val="0"/>
        <w:keepLines w:val="0"/>
        <w:pageBreakBefore w:val="0"/>
        <w:kinsoku/>
        <w:wordWrap/>
        <w:overflowPunct/>
        <w:topLinePunct w:val="0"/>
        <w:autoSpaceDE/>
        <w:autoSpaceDN/>
        <w:bidi w:val="0"/>
        <w:spacing w:line="288" w:lineRule="auto"/>
        <w:ind w:firstLine="480"/>
        <w:textAlignment w:val="auto"/>
        <w:rPr>
          <w:rFonts w:hint="eastAsia" w:ascii="宋体" w:hAnsi="宋体" w:eastAsia="宋体"/>
          <w:color w:val="auto"/>
        </w:rPr>
      </w:pPr>
      <w:r>
        <w:rPr>
          <w:rFonts w:hint="eastAsia" w:ascii="宋体" w:hAnsi="宋体" w:eastAsia="宋体"/>
          <w:color w:val="auto"/>
        </w:rPr>
        <w:t>联系方式：18367068335</w:t>
      </w:r>
    </w:p>
    <w:p w14:paraId="6BC18747">
      <w:pPr>
        <w:pStyle w:val="2"/>
        <w:keepNext w:val="0"/>
        <w:keepLines w:val="0"/>
        <w:pageBreakBefore w:val="0"/>
        <w:kinsoku/>
        <w:wordWrap/>
        <w:overflowPunct/>
        <w:topLinePunct w:val="0"/>
        <w:autoSpaceDE/>
        <w:autoSpaceDN/>
        <w:bidi w:val="0"/>
        <w:spacing w:line="288" w:lineRule="auto"/>
        <w:ind w:firstLine="480"/>
        <w:textAlignment w:val="auto"/>
        <w:rPr>
          <w:rFonts w:hint="eastAsia" w:ascii="宋体" w:hAnsi="宋体" w:eastAsia="宋体"/>
          <w:color w:val="auto"/>
        </w:rPr>
      </w:pPr>
    </w:p>
    <w:p w14:paraId="576FD671">
      <w:pPr>
        <w:pStyle w:val="2"/>
        <w:keepNext w:val="0"/>
        <w:keepLines w:val="0"/>
        <w:pageBreakBefore w:val="0"/>
        <w:kinsoku/>
        <w:wordWrap/>
        <w:overflowPunct/>
        <w:topLinePunct w:val="0"/>
        <w:autoSpaceDE/>
        <w:autoSpaceDN/>
        <w:bidi w:val="0"/>
        <w:spacing w:line="288" w:lineRule="auto"/>
        <w:ind w:firstLine="480"/>
        <w:textAlignment w:val="auto"/>
        <w:rPr>
          <w:rFonts w:hint="eastAsia" w:ascii="宋体" w:hAnsi="宋体" w:eastAsia="宋体"/>
          <w:color w:val="auto"/>
        </w:rPr>
      </w:pPr>
      <w:r>
        <w:rPr>
          <w:rFonts w:hint="eastAsia" w:ascii="宋体" w:hAnsi="宋体" w:eastAsia="宋体"/>
          <w:color w:val="auto"/>
        </w:rPr>
        <w:t>3.同级国企采购监督管理部门</w:t>
      </w:r>
    </w:p>
    <w:p w14:paraId="1CCAEC1D">
      <w:pPr>
        <w:pStyle w:val="2"/>
        <w:keepNext w:val="0"/>
        <w:keepLines w:val="0"/>
        <w:pageBreakBefore w:val="0"/>
        <w:kinsoku/>
        <w:wordWrap/>
        <w:overflowPunct/>
        <w:topLinePunct w:val="0"/>
        <w:autoSpaceDE/>
        <w:autoSpaceDN/>
        <w:bidi w:val="0"/>
        <w:spacing w:line="288" w:lineRule="auto"/>
        <w:ind w:firstLine="480"/>
        <w:textAlignment w:val="auto"/>
        <w:rPr>
          <w:rFonts w:hint="eastAsia" w:ascii="宋体" w:hAnsi="宋体" w:eastAsia="宋体"/>
          <w:color w:val="auto"/>
        </w:rPr>
      </w:pPr>
      <w:r>
        <w:rPr>
          <w:rFonts w:hint="eastAsia" w:ascii="宋体" w:hAnsi="宋体" w:eastAsia="宋体"/>
          <w:color w:val="auto"/>
        </w:rPr>
        <w:t>名称：龙游县水务集团有限公司招投标分中心</w:t>
      </w:r>
    </w:p>
    <w:p w14:paraId="09B80619">
      <w:pPr>
        <w:pStyle w:val="2"/>
        <w:keepNext w:val="0"/>
        <w:keepLines w:val="0"/>
        <w:pageBreakBefore w:val="0"/>
        <w:kinsoku/>
        <w:wordWrap/>
        <w:overflowPunct/>
        <w:topLinePunct w:val="0"/>
        <w:autoSpaceDE/>
        <w:autoSpaceDN/>
        <w:bidi w:val="0"/>
        <w:spacing w:line="288" w:lineRule="auto"/>
        <w:ind w:firstLine="480"/>
        <w:textAlignment w:val="auto"/>
        <w:rPr>
          <w:rFonts w:hint="eastAsia" w:ascii="宋体" w:hAnsi="宋体" w:eastAsia="宋体"/>
          <w:color w:val="auto"/>
        </w:rPr>
      </w:pPr>
      <w:r>
        <w:rPr>
          <w:rFonts w:hint="eastAsia" w:ascii="宋体" w:hAnsi="宋体" w:eastAsia="宋体"/>
          <w:color w:val="auto"/>
        </w:rPr>
        <w:t>地址：龙游县龙洲街道荣昌路东道35号</w:t>
      </w:r>
    </w:p>
    <w:p w14:paraId="7AD0822E">
      <w:pPr>
        <w:pStyle w:val="2"/>
        <w:keepNext w:val="0"/>
        <w:keepLines w:val="0"/>
        <w:pageBreakBefore w:val="0"/>
        <w:kinsoku/>
        <w:wordWrap/>
        <w:overflowPunct/>
        <w:topLinePunct w:val="0"/>
        <w:autoSpaceDE/>
        <w:autoSpaceDN/>
        <w:bidi w:val="0"/>
        <w:spacing w:line="288" w:lineRule="auto"/>
        <w:ind w:firstLine="480"/>
        <w:textAlignment w:val="auto"/>
        <w:rPr>
          <w:rFonts w:hint="eastAsia" w:ascii="宋体" w:hAnsi="宋体" w:eastAsia="宋体"/>
          <w:color w:val="auto"/>
        </w:rPr>
      </w:pPr>
      <w:r>
        <w:rPr>
          <w:rFonts w:hint="eastAsia" w:ascii="宋体" w:hAnsi="宋体" w:eastAsia="宋体"/>
          <w:color w:val="auto"/>
        </w:rPr>
        <w:t>联系人：夏先生</w:t>
      </w:r>
    </w:p>
    <w:p w14:paraId="227B25D2">
      <w:pPr>
        <w:pStyle w:val="2"/>
        <w:keepNext w:val="0"/>
        <w:keepLines w:val="0"/>
        <w:pageBreakBefore w:val="0"/>
        <w:kinsoku/>
        <w:wordWrap/>
        <w:overflowPunct/>
        <w:topLinePunct w:val="0"/>
        <w:autoSpaceDE/>
        <w:autoSpaceDN/>
        <w:bidi w:val="0"/>
        <w:spacing w:line="288" w:lineRule="auto"/>
        <w:ind w:firstLine="480"/>
        <w:textAlignment w:val="auto"/>
        <w:rPr>
          <w:rFonts w:hint="eastAsia" w:ascii="宋体" w:hAnsi="宋体" w:eastAsia="宋体"/>
          <w:color w:val="auto"/>
        </w:rPr>
      </w:pPr>
      <w:r>
        <w:rPr>
          <w:rFonts w:hint="eastAsia" w:ascii="宋体" w:hAnsi="宋体" w:eastAsia="宋体"/>
          <w:color w:val="auto"/>
        </w:rPr>
        <w:t>监督投诉方式：18367058222</w:t>
      </w:r>
    </w:p>
    <w:p w14:paraId="5ECC546B">
      <w:pPr>
        <w:widowControl/>
        <w:numPr>
          <w:ilvl w:val="255"/>
          <w:numId w:val="0"/>
        </w:numPr>
        <w:snapToGrid w:val="0"/>
        <w:spacing w:line="312" w:lineRule="auto"/>
        <w:ind w:firstLine="480" w:firstLineChars="200"/>
        <w:outlineLvl w:val="1"/>
        <w:rPr>
          <w:rFonts w:hint="eastAsia" w:ascii="宋体" w:hAnsi="宋体" w:eastAsia="宋体"/>
          <w:color w:val="auto"/>
        </w:rPr>
      </w:pPr>
    </w:p>
    <w:p w14:paraId="6F2AB0B9">
      <w:pPr>
        <w:pStyle w:val="2"/>
        <w:spacing w:line="312" w:lineRule="auto"/>
        <w:ind w:firstLine="480"/>
        <w:rPr>
          <w:rFonts w:ascii="宋体" w:hAnsi="宋体" w:cs="宋体"/>
          <w:color w:val="auto"/>
        </w:rPr>
      </w:pPr>
      <w:r>
        <w:rPr>
          <w:rFonts w:hint="eastAsia" w:ascii="宋体" w:hAnsi="宋体"/>
          <w:color w:val="auto"/>
          <w:lang w:eastAsia="zh-CN"/>
        </w:rPr>
        <w:t>2025年</w:t>
      </w:r>
      <w:r>
        <w:rPr>
          <w:rFonts w:hint="eastAsia" w:ascii="宋体" w:hAnsi="宋体"/>
          <w:color w:val="auto"/>
          <w:lang w:val="en-US" w:eastAsia="zh-CN"/>
        </w:rPr>
        <w:t>6</w:t>
      </w:r>
      <w:r>
        <w:rPr>
          <w:rFonts w:hint="eastAsia" w:ascii="宋体" w:hAnsi="宋体" w:eastAsia="宋体"/>
          <w:color w:val="auto"/>
        </w:rPr>
        <w:t>月</w:t>
      </w:r>
      <w:r>
        <w:rPr>
          <w:rFonts w:hint="eastAsia" w:ascii="宋体" w:hAnsi="宋体"/>
          <w:color w:val="auto"/>
          <w:lang w:val="en-US" w:eastAsia="zh-CN"/>
        </w:rPr>
        <w:t>19</w:t>
      </w:r>
      <w:r>
        <w:rPr>
          <w:rFonts w:hint="eastAsia" w:ascii="宋体" w:hAnsi="宋体" w:eastAsia="宋体"/>
          <w:color w:val="auto"/>
        </w:rPr>
        <w:t>日</w:t>
      </w:r>
    </w:p>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64"/>
    <w:bookmarkEnd w:id="165"/>
    <w:bookmarkEnd w:id="166"/>
    <w:bookmarkEnd w:id="167"/>
    <w:bookmarkEnd w:id="168"/>
    <w:bookmarkEnd w:id="169"/>
    <w:bookmarkEnd w:id="170"/>
    <w:bookmarkEnd w:id="171"/>
    <w:p w14:paraId="6BEDDC38">
      <w:pPr>
        <w:pStyle w:val="2"/>
        <w:spacing w:line="312" w:lineRule="auto"/>
        <w:ind w:firstLine="480"/>
        <w:rPr>
          <w:rFonts w:ascii="宋体" w:hAnsi="宋体" w:cs="宋体"/>
          <w:color w:val="auto"/>
          <w:highlight w:val="none"/>
        </w:rPr>
      </w:pPr>
      <w:bookmarkStart w:id="180" w:name="_Toc24829"/>
      <w:bookmarkStart w:id="181" w:name="_Toc18814"/>
      <w:bookmarkStart w:id="182" w:name="_Toc12646"/>
      <w:bookmarkStart w:id="183" w:name="_Toc5940"/>
      <w:bookmarkStart w:id="184" w:name="_Toc16230"/>
      <w:bookmarkStart w:id="185" w:name="_Toc26049"/>
    </w:p>
    <w:p w14:paraId="180CF6B4">
      <w:pPr>
        <w:ind w:firstLine="0" w:firstLineChars="0"/>
        <w:rPr>
          <w:rFonts w:hint="eastAsia" w:eastAsia="宋体"/>
          <w:lang w:eastAsia="zh-CN"/>
        </w:rPr>
      </w:pPr>
      <w:bookmarkStart w:id="186" w:name="_Toc6325"/>
      <w:bookmarkStart w:id="187" w:name="_Toc21210"/>
      <w:bookmarkStart w:id="188" w:name="_Toc3557"/>
      <w:bookmarkStart w:id="189" w:name="_Toc28801"/>
      <w:bookmarkStart w:id="190" w:name="_Toc30570"/>
      <w:bookmarkStart w:id="191" w:name="_Toc9562"/>
      <w:bookmarkStart w:id="192" w:name="_Toc2504"/>
      <w:bookmarkStart w:id="193" w:name="_Toc17699"/>
      <w:bookmarkStart w:id="194" w:name="_Toc26017"/>
      <w:bookmarkStart w:id="195" w:name="_Toc20710"/>
      <w:bookmarkStart w:id="196" w:name="_Toc14948"/>
      <w:bookmarkStart w:id="197" w:name="_Toc27348"/>
      <w:bookmarkStart w:id="198" w:name="_Toc16652"/>
      <w:bookmarkStart w:id="199" w:name="_Toc19320"/>
      <w:bookmarkStart w:id="200" w:name="_Toc2759"/>
      <w:bookmarkStart w:id="201" w:name="_Toc7054"/>
      <w:bookmarkStart w:id="202" w:name="_Toc9281"/>
      <w:bookmarkStart w:id="203" w:name="_Toc23533"/>
      <w:bookmarkStart w:id="204" w:name="_Toc3207"/>
      <w:bookmarkStart w:id="205" w:name="_Toc26647"/>
      <w:bookmarkStart w:id="206" w:name="_Toc13762"/>
      <w:bookmarkStart w:id="207" w:name="_Toc3742"/>
      <w:bookmarkStart w:id="208" w:name="_Toc12587"/>
      <w:bookmarkStart w:id="209" w:name="_Toc30924"/>
      <w:bookmarkStart w:id="210" w:name="_Toc29935"/>
      <w:bookmarkStart w:id="211" w:name="_Toc27038"/>
      <w:bookmarkStart w:id="212" w:name="_Toc8830"/>
      <w:bookmarkStart w:id="213" w:name="_Toc30817"/>
      <w:bookmarkStart w:id="214" w:name="_Toc24594"/>
      <w:bookmarkStart w:id="215" w:name="_Toc8894"/>
      <w:bookmarkStart w:id="216" w:name="_Toc14630"/>
      <w:bookmarkStart w:id="217" w:name="_Toc29673"/>
      <w:bookmarkStart w:id="218" w:name="_Toc22916"/>
    </w:p>
    <w:p w14:paraId="1AB2B2C4">
      <w:pPr>
        <w:pStyle w:val="2"/>
        <w:rPr>
          <w:rFonts w:hint="eastAsia" w:eastAsia="宋体"/>
          <w:lang w:eastAsia="zh-CN"/>
        </w:rPr>
      </w:pPr>
    </w:p>
    <w:p w14:paraId="3CED40F5">
      <w:pPr>
        <w:pStyle w:val="3"/>
        <w:rPr>
          <w:rFonts w:hint="eastAsia" w:eastAsia="宋体"/>
          <w:lang w:eastAsia="zh-CN"/>
        </w:rPr>
      </w:pPr>
    </w:p>
    <w:p w14:paraId="39EA3A35">
      <w:pPr>
        <w:pStyle w:val="4"/>
        <w:rPr>
          <w:rFonts w:hint="eastAsia" w:eastAsia="宋体"/>
          <w:lang w:eastAsia="zh-CN"/>
        </w:rPr>
      </w:pPr>
    </w:p>
    <w:p w14:paraId="6F791FDA">
      <w:pPr>
        <w:pStyle w:val="6"/>
        <w:rPr>
          <w:rFonts w:hint="eastAsia" w:eastAsia="宋体"/>
          <w:lang w:eastAsia="zh-CN"/>
        </w:rPr>
      </w:pPr>
    </w:p>
    <w:p w14:paraId="1A510BEA">
      <w:pPr>
        <w:pStyle w:val="8"/>
        <w:rPr>
          <w:rFonts w:hint="eastAsia" w:eastAsia="宋体"/>
          <w:lang w:eastAsia="zh-CN"/>
        </w:rPr>
      </w:pPr>
    </w:p>
    <w:p w14:paraId="186754E9">
      <w:pPr>
        <w:rPr>
          <w:rFonts w:hint="eastAsia"/>
          <w:lang w:eastAsia="zh-CN"/>
        </w:rPr>
      </w:pPr>
    </w:p>
    <w:p w14:paraId="6107EF26">
      <w:pPr>
        <w:rPr>
          <w:rFonts w:hint="eastAsia" w:eastAsia="宋体"/>
          <w:lang w:eastAsia="zh-CN"/>
        </w:rPr>
      </w:pPr>
    </w:p>
    <w:p w14:paraId="171BEB05">
      <w:pPr>
        <w:pStyle w:val="2"/>
        <w:rPr>
          <w:rFonts w:hint="eastAsia" w:eastAsia="宋体"/>
          <w:lang w:eastAsia="zh-CN"/>
        </w:rPr>
      </w:pPr>
    </w:p>
    <w:p w14:paraId="07E14C97">
      <w:pPr>
        <w:pStyle w:val="3"/>
        <w:rPr>
          <w:rFonts w:hint="eastAsia" w:eastAsia="宋体"/>
          <w:lang w:eastAsia="zh-CN"/>
        </w:rPr>
      </w:pPr>
    </w:p>
    <w:p w14:paraId="4D03CE04">
      <w:pPr>
        <w:pStyle w:val="4"/>
        <w:rPr>
          <w:rFonts w:hint="eastAsia" w:eastAsia="宋体"/>
          <w:lang w:eastAsia="zh-CN"/>
        </w:rPr>
      </w:pPr>
    </w:p>
    <w:p w14:paraId="5EB46800">
      <w:pPr>
        <w:pStyle w:val="6"/>
        <w:rPr>
          <w:rFonts w:hint="eastAsia" w:eastAsia="宋体"/>
          <w:lang w:eastAsia="zh-CN"/>
        </w:rPr>
      </w:pPr>
    </w:p>
    <w:p w14:paraId="7C3EE3C9">
      <w:pPr>
        <w:pStyle w:val="8"/>
        <w:rPr>
          <w:rFonts w:hint="eastAsia" w:eastAsia="宋体"/>
          <w:lang w:eastAsia="zh-CN"/>
        </w:rPr>
      </w:pPr>
    </w:p>
    <w:p w14:paraId="2CCC5114">
      <w:pPr>
        <w:rPr>
          <w:rFonts w:hint="eastAsia" w:eastAsia="宋体"/>
          <w:lang w:eastAsia="zh-CN"/>
        </w:rPr>
      </w:pPr>
    </w:p>
    <w:p w14:paraId="77DC3293">
      <w:pPr>
        <w:pStyle w:val="2"/>
        <w:rPr>
          <w:rFonts w:hint="eastAsia"/>
          <w:lang w:eastAsia="zh-CN"/>
        </w:rPr>
      </w:pPr>
    </w:p>
    <w:p w14:paraId="4F7EB99A">
      <w:pPr>
        <w:rPr>
          <w:rFonts w:hint="eastAsia" w:eastAsia="宋体"/>
          <w:lang w:eastAsia="zh-CN"/>
        </w:rPr>
      </w:pPr>
    </w:p>
    <w:p w14:paraId="1E387CD7">
      <w:pPr>
        <w:pStyle w:val="2"/>
        <w:rPr>
          <w:rFonts w:hint="eastAsia" w:eastAsia="宋体"/>
          <w:lang w:eastAsia="zh-CN"/>
        </w:rPr>
      </w:pPr>
    </w:p>
    <w:p w14:paraId="0533B0BD">
      <w:pPr>
        <w:pStyle w:val="3"/>
        <w:rPr>
          <w:rFonts w:hint="eastAsia" w:eastAsia="宋体"/>
          <w:lang w:eastAsia="zh-CN"/>
        </w:rPr>
      </w:pPr>
    </w:p>
    <w:p w14:paraId="394C216F">
      <w:pPr>
        <w:pStyle w:val="4"/>
        <w:rPr>
          <w:rFonts w:hint="eastAsia" w:eastAsia="宋体"/>
          <w:lang w:eastAsia="zh-CN"/>
        </w:rPr>
      </w:pPr>
    </w:p>
    <w:p w14:paraId="091CB995">
      <w:pPr>
        <w:pStyle w:val="6"/>
        <w:rPr>
          <w:rFonts w:hint="eastAsia" w:eastAsia="宋体"/>
          <w:lang w:eastAsia="zh-CN"/>
        </w:rPr>
      </w:pPr>
    </w:p>
    <w:p w14:paraId="38EBB623">
      <w:pPr>
        <w:pStyle w:val="8"/>
        <w:rPr>
          <w:rFonts w:hint="eastAsia" w:eastAsia="宋体"/>
          <w:lang w:eastAsia="zh-CN"/>
        </w:rPr>
      </w:pPr>
    </w:p>
    <w:p w14:paraId="4B657B65">
      <w:pPr>
        <w:rPr>
          <w:rFonts w:hint="eastAsia"/>
          <w:lang w:eastAsia="zh-CN"/>
        </w:rPr>
      </w:pPr>
    </w:p>
    <w:p w14:paraId="558D1917">
      <w:pPr>
        <w:rPr>
          <w:rFonts w:hint="eastAsia"/>
          <w:lang w:eastAsia="zh-CN"/>
        </w:rPr>
      </w:pPr>
    </w:p>
    <w:p w14:paraId="284DCC00">
      <w:pPr>
        <w:rPr>
          <w:rFonts w:hint="eastAsia"/>
          <w:lang w:eastAsia="zh-CN"/>
        </w:rPr>
      </w:pPr>
    </w:p>
    <w:p w14:paraId="5027FC04">
      <w:pPr>
        <w:pStyle w:val="9"/>
        <w:numPr>
          <w:ilvl w:val="0"/>
          <w:numId w:val="0"/>
        </w:numPr>
        <w:spacing w:beforeLines="0" w:afterLines="0"/>
        <w:jc w:val="center"/>
        <w:rPr>
          <w:rFonts w:ascii="宋体" w:hAnsi="宋体" w:cs="宋体"/>
          <w:color w:val="auto"/>
          <w:highlight w:val="none"/>
        </w:rPr>
      </w:pPr>
      <w:r>
        <w:rPr>
          <w:rFonts w:hint="eastAsia" w:ascii="宋体" w:hAnsi="宋体" w:cs="宋体"/>
          <w:color w:val="auto"/>
          <w:highlight w:val="none"/>
        </w:rPr>
        <w:t>第二章  投标人须知</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6E2899E3">
      <w:pPr>
        <w:pStyle w:val="10"/>
        <w:numPr>
          <w:ilvl w:val="1"/>
          <w:numId w:val="0"/>
        </w:numPr>
        <w:spacing w:beforeLines="0" w:afterLines="0"/>
        <w:rPr>
          <w:rFonts w:ascii="宋体" w:hAnsi="宋体" w:cs="宋体"/>
          <w:b/>
          <w:bCs w:val="0"/>
          <w:color w:val="auto"/>
          <w:highlight w:val="none"/>
          <w:lang w:bidi="ar"/>
        </w:rPr>
      </w:pPr>
      <w:bookmarkStart w:id="219" w:name="_Toc1237"/>
      <w:bookmarkStart w:id="220" w:name="_Toc1898"/>
      <w:bookmarkStart w:id="221" w:name="_Toc32497"/>
      <w:bookmarkStart w:id="222" w:name="_Toc31532"/>
      <w:bookmarkStart w:id="223" w:name="_Toc27365"/>
      <w:bookmarkStart w:id="224" w:name="_Toc22955"/>
      <w:bookmarkStart w:id="225" w:name="_Toc25611"/>
      <w:bookmarkStart w:id="226" w:name="_Toc20037"/>
      <w:bookmarkStart w:id="227" w:name="_Toc2093"/>
      <w:bookmarkStart w:id="228" w:name="_Toc6862"/>
      <w:bookmarkStart w:id="229" w:name="_Toc10078"/>
      <w:bookmarkStart w:id="230" w:name="_Toc2286"/>
      <w:bookmarkStart w:id="231" w:name="_Toc24970"/>
      <w:bookmarkStart w:id="232" w:name="_Toc26033"/>
      <w:bookmarkStart w:id="233" w:name="_Toc13830"/>
      <w:bookmarkStart w:id="234" w:name="_Toc25506"/>
      <w:bookmarkStart w:id="235" w:name="_Toc18954"/>
      <w:bookmarkStart w:id="236" w:name="_Toc24474"/>
      <w:bookmarkStart w:id="237" w:name="_Toc5125"/>
      <w:bookmarkStart w:id="238" w:name="_Toc1709"/>
      <w:bookmarkStart w:id="239" w:name="_Toc17538"/>
      <w:bookmarkStart w:id="240" w:name="_Toc9417"/>
      <w:bookmarkStart w:id="241" w:name="_Toc29631"/>
      <w:bookmarkStart w:id="242" w:name="_Toc1286"/>
      <w:bookmarkStart w:id="243" w:name="_Toc14813"/>
      <w:bookmarkStart w:id="244" w:name="_Toc29109"/>
      <w:bookmarkStart w:id="245" w:name="_Toc14238"/>
      <w:bookmarkStart w:id="246" w:name="_Toc16227"/>
      <w:bookmarkStart w:id="247" w:name="_Toc603"/>
      <w:bookmarkStart w:id="248" w:name="_Toc22528"/>
      <w:bookmarkStart w:id="249" w:name="_Toc7175"/>
      <w:bookmarkStart w:id="250" w:name="_Toc6943"/>
      <w:bookmarkStart w:id="251" w:name="_Toc5445"/>
      <w:bookmarkStart w:id="252" w:name="_Toc23368"/>
      <w:bookmarkStart w:id="253" w:name="_Toc5731"/>
      <w:bookmarkStart w:id="254" w:name="_Toc28757"/>
      <w:bookmarkStart w:id="255" w:name="_Toc14335"/>
      <w:bookmarkStart w:id="256" w:name="_Toc16050"/>
      <w:bookmarkStart w:id="257" w:name="_Toc18330"/>
      <w:r>
        <w:rPr>
          <w:rFonts w:hint="eastAsia" w:ascii="宋体" w:hAnsi="宋体" w:cs="宋体"/>
          <w:b/>
          <w:bCs w:val="0"/>
          <w:color w:val="auto"/>
          <w:highlight w:val="none"/>
          <w:lang w:bidi="ar"/>
        </w:rPr>
        <w:t>一、投标人须知前附表</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tbl>
      <w:tblPr>
        <w:tblStyle w:val="41"/>
        <w:tblW w:w="10000" w:type="dxa"/>
        <w:jc w:val="center"/>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2"/>
        <w:gridCol w:w="2116"/>
        <w:gridCol w:w="7202"/>
      </w:tblGrid>
      <w:tr w14:paraId="126E1686">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tcBorders>
              <w:top w:val="thinThickSmallGap" w:color="auto" w:sz="12" w:space="0"/>
            </w:tcBorders>
            <w:vAlign w:val="center"/>
          </w:tcPr>
          <w:p w14:paraId="4CB7982E">
            <w:pPr>
              <w:keepNext w:val="0"/>
              <w:keepLines w:val="0"/>
              <w:suppressLineNumbers w:val="0"/>
              <w:tabs>
                <w:tab w:val="left" w:pos="0"/>
              </w:tabs>
              <w:autoSpaceDE w:val="0"/>
              <w:autoSpaceDN w:val="0"/>
              <w:adjustRightInd w:val="0"/>
              <w:spacing w:before="0" w:beforeAutospacing="0" w:after="0" w:afterAutospacing="0" w:line="240" w:lineRule="auto"/>
              <w:ind w:left="0" w:right="0" w:firstLine="0" w:firstLineChars="0"/>
              <w:jc w:val="center"/>
              <w:rPr>
                <w:rFonts w:hint="default" w:ascii="宋体" w:hAnsi="宋体" w:cs="宋体"/>
                <w:color w:val="auto"/>
                <w:highlight w:val="none"/>
              </w:rPr>
            </w:pPr>
            <w:bookmarkStart w:id="258" w:name="_Toc361434558"/>
            <w:bookmarkStart w:id="259" w:name="_Toc22941"/>
            <w:bookmarkStart w:id="260" w:name="_Toc361434798"/>
            <w:bookmarkStart w:id="261" w:name="_Toc361434894"/>
            <w:bookmarkStart w:id="262" w:name="_Toc24118"/>
            <w:bookmarkStart w:id="263" w:name="_Toc361434459"/>
            <w:bookmarkStart w:id="264" w:name="_Toc3888"/>
            <w:bookmarkStart w:id="265" w:name="_Toc496962944"/>
            <w:bookmarkStart w:id="266" w:name="_Toc7709"/>
            <w:bookmarkStart w:id="267" w:name="_Toc1265"/>
            <w:bookmarkStart w:id="268" w:name="_Toc452528599"/>
            <w:bookmarkStart w:id="269" w:name="_Toc5990"/>
            <w:bookmarkStart w:id="270" w:name="_Toc1125"/>
            <w:bookmarkStart w:id="271" w:name="_Toc11475"/>
            <w:bookmarkStart w:id="272" w:name="_Toc7346"/>
            <w:bookmarkStart w:id="273" w:name="_Toc4691"/>
            <w:bookmarkStart w:id="274" w:name="_Toc17354"/>
            <w:bookmarkStart w:id="275" w:name="_Toc16613"/>
            <w:bookmarkStart w:id="276" w:name="_Toc361437144"/>
            <w:bookmarkStart w:id="277" w:name="_Toc21242"/>
            <w:bookmarkStart w:id="278" w:name="_Toc12616"/>
            <w:bookmarkStart w:id="279" w:name="_Toc23442"/>
            <w:bookmarkStart w:id="280" w:name="_Toc101321790"/>
            <w:bookmarkStart w:id="281" w:name="_Toc5481"/>
            <w:bookmarkStart w:id="282" w:name="_Toc30126"/>
            <w:bookmarkStart w:id="283" w:name="_Toc27406"/>
            <w:bookmarkStart w:id="284" w:name="_Toc11023"/>
            <w:bookmarkStart w:id="285" w:name="_Toc15313"/>
            <w:bookmarkStart w:id="286" w:name="_Toc27367"/>
            <w:bookmarkStart w:id="287" w:name="_Toc3923"/>
            <w:bookmarkStart w:id="288" w:name="_Toc27407"/>
            <w:bookmarkStart w:id="289" w:name="_Toc12381"/>
            <w:bookmarkStart w:id="290" w:name="_Toc25730"/>
            <w:bookmarkStart w:id="291" w:name="_Toc12403"/>
            <w:bookmarkStart w:id="292" w:name="_Toc6094"/>
            <w:bookmarkStart w:id="293" w:name="_Toc12958"/>
            <w:bookmarkStart w:id="294" w:name="_Toc31099"/>
            <w:bookmarkStart w:id="295" w:name="_Toc391298955"/>
            <w:bookmarkStart w:id="296" w:name="_Toc331"/>
            <w:bookmarkStart w:id="297" w:name="_Toc16257"/>
            <w:bookmarkStart w:id="298" w:name="_Toc19715"/>
            <w:bookmarkStart w:id="299" w:name="_Toc27241"/>
            <w:bookmarkStart w:id="300" w:name="_Toc11179"/>
            <w:bookmarkStart w:id="301" w:name="_Toc24478"/>
            <w:bookmarkStart w:id="302" w:name="_Toc4630"/>
            <w:bookmarkStart w:id="303" w:name="_Toc26063"/>
            <w:bookmarkStart w:id="304" w:name="_Toc29625"/>
            <w:bookmarkStart w:id="305" w:name="_Toc17098"/>
            <w:bookmarkStart w:id="306" w:name="_Toc28742"/>
            <w:bookmarkStart w:id="307" w:name="_Toc19731"/>
            <w:bookmarkStart w:id="308" w:name="_Toc22305"/>
            <w:bookmarkStart w:id="309" w:name="_Toc20312"/>
            <w:r>
              <w:rPr>
                <w:rFonts w:hint="eastAsia" w:ascii="宋体" w:hAnsi="宋体" w:cs="宋体"/>
                <w:color w:val="auto"/>
                <w:highlight w:val="none"/>
              </w:rPr>
              <w:t>序号</w:t>
            </w:r>
          </w:p>
        </w:tc>
        <w:tc>
          <w:tcPr>
            <w:tcW w:w="2116" w:type="dxa"/>
            <w:tcBorders>
              <w:top w:val="thinThickSmallGap" w:color="auto" w:sz="12" w:space="0"/>
            </w:tcBorders>
            <w:vAlign w:val="center"/>
          </w:tcPr>
          <w:p w14:paraId="55B848B6">
            <w:pPr>
              <w:keepNext w:val="0"/>
              <w:keepLines w:val="0"/>
              <w:suppressLineNumbers w:val="0"/>
              <w:tabs>
                <w:tab w:val="left" w:pos="0"/>
              </w:tabs>
              <w:autoSpaceDE w:val="0"/>
              <w:autoSpaceDN w:val="0"/>
              <w:adjustRightInd w:val="0"/>
              <w:spacing w:before="0" w:beforeAutospacing="0" w:after="0" w:afterAutospacing="0" w:line="240" w:lineRule="auto"/>
              <w:ind w:left="0" w:right="0" w:firstLine="0" w:firstLineChars="0"/>
              <w:jc w:val="center"/>
              <w:rPr>
                <w:rFonts w:hint="default" w:ascii="宋体" w:hAnsi="宋体" w:cs="宋体"/>
                <w:color w:val="auto"/>
                <w:highlight w:val="none"/>
              </w:rPr>
            </w:pPr>
            <w:r>
              <w:rPr>
                <w:rFonts w:hint="eastAsia" w:ascii="宋体" w:hAnsi="宋体" w:cs="宋体"/>
                <w:color w:val="auto"/>
                <w:highlight w:val="none"/>
              </w:rPr>
              <w:t>内  容</w:t>
            </w:r>
          </w:p>
        </w:tc>
        <w:tc>
          <w:tcPr>
            <w:tcW w:w="7202" w:type="dxa"/>
            <w:tcBorders>
              <w:top w:val="thinThickSmallGap" w:color="auto" w:sz="12" w:space="0"/>
            </w:tcBorders>
            <w:vAlign w:val="center"/>
          </w:tcPr>
          <w:p w14:paraId="4AC0DF25">
            <w:pPr>
              <w:keepNext w:val="0"/>
              <w:keepLines w:val="0"/>
              <w:suppressLineNumbers w:val="0"/>
              <w:tabs>
                <w:tab w:val="left" w:pos="0"/>
              </w:tabs>
              <w:spacing w:before="0" w:beforeAutospacing="0" w:after="0" w:afterAutospacing="0" w:line="240" w:lineRule="auto"/>
              <w:ind w:left="0" w:right="0" w:firstLine="0" w:firstLineChars="0"/>
              <w:rPr>
                <w:rFonts w:hint="default" w:ascii="宋体" w:hAnsi="宋体" w:cs="宋体"/>
                <w:color w:val="auto"/>
                <w:highlight w:val="none"/>
              </w:rPr>
            </w:pPr>
            <w:r>
              <w:rPr>
                <w:rFonts w:hint="eastAsia" w:ascii="宋体" w:hAnsi="宋体" w:cs="宋体"/>
                <w:color w:val="auto"/>
                <w:highlight w:val="none"/>
              </w:rPr>
              <w:t>说明与要求</w:t>
            </w:r>
          </w:p>
        </w:tc>
      </w:tr>
      <w:tr w14:paraId="7E5FD5DB">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vAlign w:val="center"/>
          </w:tcPr>
          <w:p w14:paraId="3541759A">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highlight w:val="none"/>
              </w:rPr>
            </w:pPr>
            <w:r>
              <w:rPr>
                <w:rFonts w:hint="eastAsia" w:ascii="宋体" w:hAnsi="宋体" w:cs="宋体"/>
                <w:color w:val="auto"/>
                <w:highlight w:val="none"/>
              </w:rPr>
              <w:t>1</w:t>
            </w:r>
          </w:p>
        </w:tc>
        <w:tc>
          <w:tcPr>
            <w:tcW w:w="2116" w:type="dxa"/>
            <w:vAlign w:val="center"/>
          </w:tcPr>
          <w:p w14:paraId="4E3C8D60">
            <w:pPr>
              <w:keepNext w:val="0"/>
              <w:keepLines w:val="0"/>
              <w:suppressLineNumbers w:val="0"/>
              <w:tabs>
                <w:tab w:val="left" w:pos="0"/>
              </w:tabs>
              <w:autoSpaceDE w:val="0"/>
              <w:autoSpaceDN w:val="0"/>
              <w:adjustRightInd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采购人</w:t>
            </w:r>
          </w:p>
        </w:tc>
        <w:tc>
          <w:tcPr>
            <w:tcW w:w="7202" w:type="dxa"/>
            <w:vAlign w:val="center"/>
          </w:tcPr>
          <w:p w14:paraId="20F55697">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 xml:space="preserve">名  称：浙江寰龙环境科技有限公司 </w:t>
            </w:r>
          </w:p>
          <w:p w14:paraId="3D435485">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地  址：龙游县东华街道城南工业区长兴路(西)1号</w:t>
            </w:r>
          </w:p>
          <w:p w14:paraId="50943F0F">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 xml:space="preserve">联系人：邓先生 </w:t>
            </w:r>
          </w:p>
          <w:p w14:paraId="12A23220">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联系方式：15057093660</w:t>
            </w:r>
          </w:p>
        </w:tc>
      </w:tr>
      <w:tr w14:paraId="7FDFB10A">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vAlign w:val="center"/>
          </w:tcPr>
          <w:p w14:paraId="5300D4E3">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2</w:t>
            </w:r>
          </w:p>
        </w:tc>
        <w:tc>
          <w:tcPr>
            <w:tcW w:w="2116" w:type="dxa"/>
            <w:vAlign w:val="center"/>
          </w:tcPr>
          <w:p w14:paraId="281B11C3">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采购代理机构</w:t>
            </w:r>
          </w:p>
        </w:tc>
        <w:tc>
          <w:tcPr>
            <w:tcW w:w="7202" w:type="dxa"/>
            <w:vAlign w:val="center"/>
          </w:tcPr>
          <w:p w14:paraId="2F5D9795">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 xml:space="preserve">名  称：衢州宇信工程咨询有限公司  </w:t>
            </w:r>
          </w:p>
          <w:p w14:paraId="1F16147F">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地  址：龙游县龙洲街道广和商务楼3楼306室</w:t>
            </w:r>
          </w:p>
          <w:p w14:paraId="2A0E3FE3">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联系人：祝女士</w:t>
            </w:r>
          </w:p>
          <w:p w14:paraId="6A9925AB">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联系方式：18367068335 </w:t>
            </w:r>
          </w:p>
        </w:tc>
      </w:tr>
      <w:tr w14:paraId="648ABCA2">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vAlign w:val="center"/>
          </w:tcPr>
          <w:p w14:paraId="629408BD">
            <w:pPr>
              <w:keepNext w:val="0"/>
              <w:keepLines w:val="0"/>
              <w:suppressLineNumbers w:val="0"/>
              <w:tabs>
                <w:tab w:val="left" w:pos="0"/>
              </w:tabs>
              <w:autoSpaceDE w:val="0"/>
              <w:autoSpaceDN w:val="0"/>
              <w:adjustRightInd w:val="0"/>
              <w:spacing w:before="0" w:beforeAutospacing="0" w:after="0" w:afterAutospacing="0" w:line="240" w:lineRule="auto"/>
              <w:ind w:left="0" w:right="0" w:firstLine="0" w:firstLineChars="0"/>
              <w:jc w:val="center"/>
              <w:rPr>
                <w:rFonts w:hint="eastAsia" w:ascii="宋体" w:hAnsi="宋体" w:cs="宋体"/>
                <w:color w:val="auto"/>
                <w:highlight w:val="none"/>
                <w:lang w:val="zh-CN"/>
              </w:rPr>
            </w:pPr>
            <w:r>
              <w:rPr>
                <w:rFonts w:hint="eastAsia" w:ascii="宋体" w:hAnsi="宋体" w:cs="宋体"/>
                <w:color w:val="auto"/>
                <w:highlight w:val="none"/>
                <w:lang w:val="zh-CN"/>
              </w:rPr>
              <w:t>3</w:t>
            </w:r>
          </w:p>
        </w:tc>
        <w:tc>
          <w:tcPr>
            <w:tcW w:w="2116" w:type="dxa"/>
            <w:vAlign w:val="center"/>
          </w:tcPr>
          <w:p w14:paraId="375CB26B">
            <w:pPr>
              <w:keepNext w:val="0"/>
              <w:keepLines w:val="0"/>
              <w:suppressLineNumbers w:val="0"/>
              <w:spacing w:before="0" w:beforeAutospacing="0" w:after="0" w:afterAutospacing="0" w:line="240" w:lineRule="auto"/>
              <w:ind w:left="0" w:right="0" w:firstLine="0" w:firstLineChars="0"/>
              <w:jc w:val="center"/>
              <w:rPr>
                <w:rFonts w:hint="eastAsia" w:ascii="宋体" w:hAnsi="宋体" w:cs="宋体"/>
                <w:color w:val="auto"/>
                <w:highlight w:val="none"/>
                <w:lang w:val="zh-CN"/>
              </w:rPr>
            </w:pPr>
            <w:r>
              <w:rPr>
                <w:rFonts w:hint="eastAsia" w:ascii="宋体" w:hAnsi="宋体" w:cs="宋体"/>
                <w:color w:val="auto"/>
                <w:highlight w:val="none"/>
                <w:lang w:val="zh-CN"/>
              </w:rPr>
              <w:t>预算金额</w:t>
            </w:r>
          </w:p>
        </w:tc>
        <w:tc>
          <w:tcPr>
            <w:tcW w:w="7202" w:type="dxa"/>
            <w:vAlign w:val="top"/>
          </w:tcPr>
          <w:p w14:paraId="16960DA2">
            <w:pPr>
              <w:keepNext w:val="0"/>
              <w:keepLines w:val="0"/>
              <w:suppressLineNumbers w:val="0"/>
              <w:spacing w:before="0" w:beforeAutospacing="0" w:after="0" w:afterAutospacing="0" w:line="240" w:lineRule="auto"/>
              <w:ind w:left="0" w:right="0" w:firstLine="0" w:firstLineChars="0"/>
              <w:jc w:val="left"/>
              <w:rPr>
                <w:rFonts w:hint="eastAsia" w:ascii="宋体" w:hAnsi="宋体" w:cs="宋体"/>
                <w:color w:val="auto"/>
                <w:highlight w:val="none"/>
                <w:lang w:val="zh-CN"/>
              </w:rPr>
            </w:pPr>
            <w:r>
              <w:rPr>
                <w:rFonts w:hint="eastAsia" w:ascii="宋体" w:hAnsi="宋体" w:cs="宋体"/>
                <w:color w:val="auto"/>
                <w:highlight w:val="none"/>
                <w:lang w:val="zh-CN" w:eastAsia="zh-CN"/>
              </w:rPr>
              <w:t>40万元</w:t>
            </w:r>
            <w:r>
              <w:rPr>
                <w:rFonts w:hint="eastAsia" w:ascii="宋体" w:hAnsi="宋体" w:cs="宋体"/>
                <w:color w:val="auto"/>
                <w:highlight w:val="none"/>
                <w:lang w:val="zh-CN"/>
              </w:rPr>
              <w:t>；</w:t>
            </w:r>
          </w:p>
        </w:tc>
      </w:tr>
      <w:tr w14:paraId="44DECC77">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vAlign w:val="center"/>
          </w:tcPr>
          <w:p w14:paraId="07BB841C">
            <w:pPr>
              <w:keepNext w:val="0"/>
              <w:keepLines w:val="0"/>
              <w:suppressLineNumbers w:val="0"/>
              <w:tabs>
                <w:tab w:val="left" w:pos="0"/>
              </w:tabs>
              <w:autoSpaceDE w:val="0"/>
              <w:autoSpaceDN w:val="0"/>
              <w:adjustRightInd w:val="0"/>
              <w:spacing w:before="0" w:beforeAutospacing="0" w:after="0" w:afterAutospacing="0" w:line="240" w:lineRule="auto"/>
              <w:ind w:left="0" w:right="0" w:firstLine="0" w:firstLineChars="0"/>
              <w:jc w:val="center"/>
              <w:rPr>
                <w:rFonts w:hint="eastAsia" w:ascii="宋体" w:hAnsi="宋体" w:cs="宋体"/>
                <w:color w:val="auto"/>
                <w:highlight w:val="none"/>
                <w:lang w:val="zh-CN"/>
              </w:rPr>
            </w:pPr>
            <w:r>
              <w:rPr>
                <w:rFonts w:hint="eastAsia" w:ascii="宋体" w:hAnsi="宋体" w:cs="宋体"/>
                <w:color w:val="auto"/>
                <w:highlight w:val="none"/>
                <w:lang w:val="zh-CN"/>
              </w:rPr>
              <w:t>4</w:t>
            </w:r>
          </w:p>
        </w:tc>
        <w:tc>
          <w:tcPr>
            <w:tcW w:w="2116" w:type="dxa"/>
            <w:vAlign w:val="center"/>
          </w:tcPr>
          <w:p w14:paraId="5C249AE2">
            <w:pPr>
              <w:keepNext w:val="0"/>
              <w:keepLines w:val="0"/>
              <w:pageBreakBefore w:val="0"/>
              <w:widowControl w:val="0"/>
              <w:suppressLineNumbers w:val="0"/>
              <w:tabs>
                <w:tab w:val="left" w:pos="0"/>
              </w:tabs>
              <w:kinsoku/>
              <w:wordWrap/>
              <w:overflowPunct/>
              <w:topLinePunct w:val="0"/>
              <w:autoSpaceDE w:val="0"/>
              <w:autoSpaceDN w:val="0"/>
              <w:bidi w:val="0"/>
              <w:adjustRightInd w:val="0"/>
              <w:snapToGrid/>
              <w:spacing w:before="0" w:beforeAutospacing="0" w:after="0" w:afterAutospacing="0" w:line="240" w:lineRule="auto"/>
              <w:ind w:left="0" w:leftChars="0" w:right="0" w:rightChars="0" w:firstLine="0" w:firstLineChars="0"/>
              <w:jc w:val="center"/>
              <w:textAlignment w:val="auto"/>
              <w:rPr>
                <w:rFonts w:hint="eastAsia" w:ascii="宋体" w:hAnsi="宋体" w:cs="宋体"/>
                <w:color w:val="auto"/>
                <w:highlight w:val="none"/>
                <w:lang w:val="zh-CN"/>
              </w:rPr>
            </w:pPr>
            <w:r>
              <w:rPr>
                <w:rFonts w:hint="eastAsia" w:ascii="宋体" w:hAnsi="宋体" w:eastAsia="宋体" w:cs="宋体"/>
                <w:color w:val="auto"/>
                <w:kern w:val="2"/>
                <w:sz w:val="24"/>
                <w:szCs w:val="24"/>
                <w:highlight w:val="none"/>
                <w:lang w:val="en-US" w:eastAsia="zh-CN" w:bidi="ar-SA"/>
              </w:rPr>
              <w:t>最高限价</w:t>
            </w:r>
          </w:p>
        </w:tc>
        <w:tc>
          <w:tcPr>
            <w:tcW w:w="7202" w:type="dxa"/>
            <w:vAlign w:val="center"/>
          </w:tcPr>
          <w:p w14:paraId="43827192">
            <w:pPr>
              <w:keepNext w:val="0"/>
              <w:keepLines w:val="0"/>
              <w:pageBreakBefore w:val="0"/>
              <w:widowControl w:val="0"/>
              <w:suppressLineNumbers w:val="0"/>
              <w:tabs>
                <w:tab w:val="left" w:pos="0"/>
              </w:tabs>
              <w:kinsoku/>
              <w:wordWrap/>
              <w:overflowPunct/>
              <w:topLinePunct w:val="0"/>
              <w:autoSpaceDE w:val="0"/>
              <w:autoSpaceDN w:val="0"/>
              <w:bidi w:val="0"/>
              <w:adjustRightInd w:val="0"/>
              <w:snapToGrid/>
              <w:spacing w:before="0" w:beforeAutospacing="0" w:after="0" w:afterAutospacing="0" w:line="240" w:lineRule="auto"/>
              <w:ind w:left="0" w:leftChars="0" w:right="0" w:rightChars="0" w:firstLine="0" w:firstLineChars="0"/>
              <w:jc w:val="left"/>
              <w:textAlignment w:val="auto"/>
              <w:rPr>
                <w:rFonts w:hint="eastAsia" w:ascii="宋体" w:hAnsi="宋体" w:cs="宋体"/>
                <w:color w:val="auto"/>
                <w:highlight w:val="none"/>
                <w:lang w:val="zh-CN"/>
              </w:rPr>
            </w:pPr>
            <w:r>
              <w:rPr>
                <w:rFonts w:hint="eastAsia" w:ascii="宋体" w:hAnsi="宋体" w:cs="宋体"/>
                <w:color w:val="auto"/>
                <w:highlight w:val="none"/>
                <w:lang w:val="zh-CN" w:eastAsia="zh-CN"/>
              </w:rPr>
              <w:t>40万元</w:t>
            </w:r>
            <w:r>
              <w:rPr>
                <w:rFonts w:hint="eastAsia" w:ascii="宋体" w:hAnsi="宋体" w:eastAsia="宋体" w:cs="宋体"/>
                <w:color w:val="auto"/>
                <w:kern w:val="2"/>
                <w:sz w:val="24"/>
                <w:szCs w:val="24"/>
                <w:highlight w:val="none"/>
                <w:lang w:val="zh-CN" w:eastAsia="zh-CN" w:bidi="ar-SA"/>
              </w:rPr>
              <w:t>，超过最高</w:t>
            </w:r>
            <w:r>
              <w:rPr>
                <w:rFonts w:hint="eastAsia" w:ascii="宋体" w:hAnsi="宋体" w:eastAsia="宋体" w:cs="宋体"/>
                <w:color w:val="auto"/>
                <w:kern w:val="2"/>
                <w:sz w:val="24"/>
                <w:szCs w:val="24"/>
                <w:highlight w:val="none"/>
                <w:lang w:val="en-US" w:eastAsia="zh-CN" w:bidi="ar-SA"/>
              </w:rPr>
              <w:t>单价</w:t>
            </w:r>
            <w:r>
              <w:rPr>
                <w:rFonts w:hint="eastAsia" w:ascii="宋体" w:hAnsi="宋体" w:eastAsia="宋体" w:cs="宋体"/>
                <w:color w:val="auto"/>
                <w:kern w:val="2"/>
                <w:sz w:val="24"/>
                <w:szCs w:val="24"/>
                <w:highlight w:val="none"/>
                <w:lang w:val="zh-CN" w:eastAsia="zh-CN" w:bidi="ar-SA"/>
              </w:rPr>
              <w:t>限价的投标无效</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zh-CN" w:eastAsia="zh-CN" w:bidi="ar-SA"/>
              </w:rPr>
              <w:t>注：</w:t>
            </w:r>
            <w:r>
              <w:rPr>
                <w:rFonts w:hint="eastAsia" w:ascii="宋体" w:hAnsi="宋体" w:eastAsia="宋体" w:cs="宋体"/>
                <w:color w:val="auto"/>
                <w:kern w:val="2"/>
                <w:sz w:val="24"/>
                <w:szCs w:val="24"/>
                <w:highlight w:val="none"/>
                <w:lang w:val="en-US" w:eastAsia="zh-CN" w:bidi="ar-SA"/>
              </w:rPr>
              <w:t>报价超过预算价的也作无效标处理。</w:t>
            </w:r>
          </w:p>
        </w:tc>
      </w:tr>
      <w:tr w14:paraId="1E66A356">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vAlign w:val="center"/>
          </w:tcPr>
          <w:p w14:paraId="5A29F186">
            <w:pPr>
              <w:keepNext w:val="0"/>
              <w:keepLines w:val="0"/>
              <w:suppressLineNumbers w:val="0"/>
              <w:tabs>
                <w:tab w:val="left" w:pos="0"/>
              </w:tabs>
              <w:autoSpaceDE w:val="0"/>
              <w:autoSpaceDN w:val="0"/>
              <w:adjustRightInd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5</w:t>
            </w:r>
          </w:p>
        </w:tc>
        <w:tc>
          <w:tcPr>
            <w:tcW w:w="2116" w:type="dxa"/>
            <w:vAlign w:val="center"/>
          </w:tcPr>
          <w:p w14:paraId="2A27125A">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项目名称</w:t>
            </w:r>
          </w:p>
        </w:tc>
        <w:tc>
          <w:tcPr>
            <w:tcW w:w="7202" w:type="dxa"/>
            <w:vAlign w:val="center"/>
          </w:tcPr>
          <w:p w14:paraId="04978F67">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 xml:space="preserve">商品砼事业部2025年度装载机维修保养服务采购 </w:t>
            </w:r>
          </w:p>
        </w:tc>
      </w:tr>
      <w:tr w14:paraId="47231CB6">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vAlign w:val="center"/>
          </w:tcPr>
          <w:p w14:paraId="217F4EB9">
            <w:pPr>
              <w:keepNext w:val="0"/>
              <w:keepLines w:val="0"/>
              <w:suppressLineNumbers w:val="0"/>
              <w:tabs>
                <w:tab w:val="left" w:pos="0"/>
              </w:tabs>
              <w:autoSpaceDE w:val="0"/>
              <w:autoSpaceDN w:val="0"/>
              <w:adjustRightInd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6</w:t>
            </w:r>
          </w:p>
        </w:tc>
        <w:tc>
          <w:tcPr>
            <w:tcW w:w="2116" w:type="dxa"/>
            <w:vAlign w:val="center"/>
          </w:tcPr>
          <w:p w14:paraId="57D46601">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申请人资格要求</w:t>
            </w:r>
          </w:p>
        </w:tc>
        <w:tc>
          <w:tcPr>
            <w:tcW w:w="7202" w:type="dxa"/>
            <w:vAlign w:val="center"/>
          </w:tcPr>
          <w:p w14:paraId="76508612">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详见“第一章 招标公告”。</w:t>
            </w:r>
          </w:p>
        </w:tc>
      </w:tr>
      <w:tr w14:paraId="39CB1C69">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vAlign w:val="center"/>
          </w:tcPr>
          <w:p w14:paraId="57F74805">
            <w:pPr>
              <w:keepNext w:val="0"/>
              <w:keepLines w:val="0"/>
              <w:suppressLineNumbers w:val="0"/>
              <w:tabs>
                <w:tab w:val="left" w:pos="0"/>
              </w:tabs>
              <w:autoSpaceDE w:val="0"/>
              <w:autoSpaceDN w:val="0"/>
              <w:adjustRightInd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7</w:t>
            </w:r>
          </w:p>
        </w:tc>
        <w:tc>
          <w:tcPr>
            <w:tcW w:w="2116" w:type="dxa"/>
            <w:vAlign w:val="center"/>
          </w:tcPr>
          <w:p w14:paraId="392B64A7">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获取招标文件</w:t>
            </w:r>
          </w:p>
        </w:tc>
        <w:tc>
          <w:tcPr>
            <w:tcW w:w="7202" w:type="dxa"/>
            <w:vAlign w:val="center"/>
          </w:tcPr>
          <w:p w14:paraId="57EFD6A1">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详见“第一章 招标公告”。</w:t>
            </w:r>
          </w:p>
        </w:tc>
      </w:tr>
      <w:tr w14:paraId="4717B5FA">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vAlign w:val="center"/>
          </w:tcPr>
          <w:p w14:paraId="32FDC56A">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8</w:t>
            </w:r>
          </w:p>
        </w:tc>
        <w:tc>
          <w:tcPr>
            <w:tcW w:w="2116" w:type="dxa"/>
            <w:vAlign w:val="center"/>
          </w:tcPr>
          <w:p w14:paraId="5170942B">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投标有效期</w:t>
            </w:r>
          </w:p>
        </w:tc>
        <w:tc>
          <w:tcPr>
            <w:tcW w:w="7202" w:type="dxa"/>
            <w:vAlign w:val="center"/>
          </w:tcPr>
          <w:p w14:paraId="4477C38A">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自投标截止之日起90日历天。</w:t>
            </w:r>
          </w:p>
        </w:tc>
      </w:tr>
      <w:tr w14:paraId="01C71EE4">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vAlign w:val="center"/>
          </w:tcPr>
          <w:p w14:paraId="57360E7E">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9</w:t>
            </w:r>
          </w:p>
        </w:tc>
        <w:tc>
          <w:tcPr>
            <w:tcW w:w="2116" w:type="dxa"/>
            <w:vAlign w:val="center"/>
          </w:tcPr>
          <w:p w14:paraId="6E625DD1">
            <w:pPr>
              <w:keepNext w:val="0"/>
              <w:keepLines w:val="0"/>
              <w:suppressLineNumbers w:val="0"/>
              <w:tabs>
                <w:tab w:val="left" w:pos="0"/>
              </w:tabs>
              <w:autoSpaceDE w:val="0"/>
              <w:autoSpaceDN w:val="0"/>
              <w:adjustRightInd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分包</w:t>
            </w:r>
            <w:r>
              <w:rPr>
                <w:rFonts w:hint="eastAsia" w:ascii="宋体" w:hAnsi="宋体" w:cs="宋体"/>
                <w:color w:val="auto"/>
                <w:highlight w:val="none"/>
              </w:rPr>
              <w:t>与转包</w:t>
            </w:r>
            <w:r>
              <w:rPr>
                <w:rFonts w:hint="eastAsia" w:ascii="宋体" w:hAnsi="宋体" w:cs="宋体"/>
                <w:color w:val="auto"/>
                <w:highlight w:val="none"/>
                <w:lang w:val="zh-CN"/>
              </w:rPr>
              <w:t>情况</w:t>
            </w:r>
          </w:p>
        </w:tc>
        <w:tc>
          <w:tcPr>
            <w:tcW w:w="7202" w:type="dxa"/>
            <w:vAlign w:val="center"/>
          </w:tcPr>
          <w:p w14:paraId="6B03CD8B">
            <w:pPr>
              <w:pStyle w:val="106"/>
              <w:keepNext w:val="0"/>
              <w:keepLines w:val="0"/>
              <w:suppressLineNumbers w:val="0"/>
              <w:tabs>
                <w:tab w:val="left" w:pos="768"/>
              </w:tabs>
              <w:spacing w:before="0" w:beforeAutospacing="0" w:after="0" w:afterAutospacing="0" w:line="240" w:lineRule="auto"/>
              <w:ind w:left="0" w:right="0" w:firstLine="0" w:firstLineChars="0"/>
              <w:jc w:val="left"/>
              <w:rPr>
                <w:rFonts w:hint="default"/>
                <w:color w:val="auto"/>
                <w:highlight w:val="none"/>
                <w:lang w:val="en-US"/>
              </w:rPr>
            </w:pPr>
            <w:r>
              <w:rPr>
                <w:rFonts w:hint="eastAsia"/>
                <w:color w:val="auto"/>
                <w:highlight w:val="none"/>
                <w:lang w:val="en-US"/>
              </w:rPr>
              <w:t>不允许。</w:t>
            </w:r>
          </w:p>
        </w:tc>
      </w:tr>
      <w:tr w14:paraId="5ED1CB8F">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vAlign w:val="center"/>
          </w:tcPr>
          <w:p w14:paraId="1BDA141D">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10</w:t>
            </w:r>
          </w:p>
        </w:tc>
        <w:tc>
          <w:tcPr>
            <w:tcW w:w="2116" w:type="dxa"/>
            <w:vAlign w:val="center"/>
          </w:tcPr>
          <w:p w14:paraId="03AFA0F5">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现场勘查</w:t>
            </w:r>
          </w:p>
        </w:tc>
        <w:tc>
          <w:tcPr>
            <w:tcW w:w="7202" w:type="dxa"/>
            <w:vAlign w:val="center"/>
          </w:tcPr>
          <w:p w14:paraId="5E1F474C">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不组织，投标人可自行勘察。</w:t>
            </w:r>
          </w:p>
        </w:tc>
      </w:tr>
      <w:tr w14:paraId="02D5697D">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vAlign w:val="center"/>
          </w:tcPr>
          <w:p w14:paraId="41A9091B">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11</w:t>
            </w:r>
          </w:p>
        </w:tc>
        <w:tc>
          <w:tcPr>
            <w:tcW w:w="2116" w:type="dxa"/>
            <w:vAlign w:val="center"/>
          </w:tcPr>
          <w:p w14:paraId="45A2619A">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资金来源及比例</w:t>
            </w:r>
          </w:p>
        </w:tc>
        <w:tc>
          <w:tcPr>
            <w:tcW w:w="7202" w:type="dxa"/>
            <w:vAlign w:val="center"/>
          </w:tcPr>
          <w:p w14:paraId="587B1E4D">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国有资金100%。</w:t>
            </w:r>
          </w:p>
        </w:tc>
      </w:tr>
      <w:tr w14:paraId="4889A6FE">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vAlign w:val="center"/>
          </w:tcPr>
          <w:p w14:paraId="037C06DC">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12</w:t>
            </w:r>
          </w:p>
        </w:tc>
        <w:tc>
          <w:tcPr>
            <w:tcW w:w="2116" w:type="dxa"/>
            <w:vAlign w:val="center"/>
          </w:tcPr>
          <w:p w14:paraId="3819BAE0">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答疑会</w:t>
            </w:r>
          </w:p>
        </w:tc>
        <w:tc>
          <w:tcPr>
            <w:tcW w:w="7202" w:type="dxa"/>
            <w:vAlign w:val="center"/>
          </w:tcPr>
          <w:p w14:paraId="3F8ED279">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不召开。</w:t>
            </w:r>
          </w:p>
        </w:tc>
      </w:tr>
      <w:tr w14:paraId="7E206B2D">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vAlign w:val="center"/>
          </w:tcPr>
          <w:p w14:paraId="5072134B">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13</w:t>
            </w:r>
          </w:p>
        </w:tc>
        <w:tc>
          <w:tcPr>
            <w:tcW w:w="2116" w:type="dxa"/>
            <w:vAlign w:val="center"/>
          </w:tcPr>
          <w:p w14:paraId="6E7132FD">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投标保证金</w:t>
            </w:r>
          </w:p>
        </w:tc>
        <w:tc>
          <w:tcPr>
            <w:tcW w:w="7202" w:type="dxa"/>
            <w:vAlign w:val="center"/>
          </w:tcPr>
          <w:p w14:paraId="5F1EE02B">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不收取。</w:t>
            </w:r>
          </w:p>
        </w:tc>
      </w:tr>
      <w:tr w14:paraId="22B37918">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vAlign w:val="center"/>
          </w:tcPr>
          <w:p w14:paraId="1EBC432E">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14</w:t>
            </w:r>
          </w:p>
        </w:tc>
        <w:tc>
          <w:tcPr>
            <w:tcW w:w="2116" w:type="dxa"/>
            <w:vAlign w:val="center"/>
          </w:tcPr>
          <w:p w14:paraId="19F964B1">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服务期限</w:t>
            </w:r>
          </w:p>
        </w:tc>
        <w:tc>
          <w:tcPr>
            <w:tcW w:w="7202" w:type="dxa"/>
            <w:vAlign w:val="center"/>
          </w:tcPr>
          <w:p w14:paraId="03BEC679">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合同签订后一年或至总预算购完，两者满足其一则合同终止。</w:t>
            </w:r>
          </w:p>
        </w:tc>
      </w:tr>
      <w:tr w14:paraId="5E896E29">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vAlign w:val="center"/>
          </w:tcPr>
          <w:p w14:paraId="197B9999">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15</w:t>
            </w:r>
          </w:p>
        </w:tc>
        <w:tc>
          <w:tcPr>
            <w:tcW w:w="2116" w:type="dxa"/>
            <w:vAlign w:val="center"/>
          </w:tcPr>
          <w:p w14:paraId="06AB9B23">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lang w:val="zh-CN"/>
              </w:rPr>
              <w:t>投标人对招标文件要求澄清的截止时间</w:t>
            </w:r>
          </w:p>
        </w:tc>
        <w:tc>
          <w:tcPr>
            <w:tcW w:w="7202" w:type="dxa"/>
            <w:vAlign w:val="center"/>
          </w:tcPr>
          <w:p w14:paraId="7AD95E87">
            <w:pPr>
              <w:keepNext w:val="0"/>
              <w:keepLines w:val="0"/>
              <w:suppressLineNumbers w:val="0"/>
              <w:spacing w:before="0" w:beforeAutospacing="0" w:after="0" w:afterAutospacing="0" w:line="240" w:lineRule="auto"/>
              <w:ind w:left="0" w:right="0" w:firstLine="0" w:firstLineChars="0"/>
              <w:jc w:val="left"/>
              <w:rPr>
                <w:rFonts w:hint="eastAsia" w:ascii="宋体" w:hAnsi="宋体" w:eastAsia="宋体" w:cs="宋体"/>
                <w:color w:val="auto"/>
                <w:lang w:val="zh-CN"/>
              </w:rPr>
            </w:pPr>
            <w:r>
              <w:rPr>
                <w:rFonts w:hint="eastAsia" w:ascii="宋体" w:hAnsi="宋体" w:eastAsia="宋体" w:cs="宋体"/>
                <w:color w:val="auto"/>
                <w:lang w:val="zh-CN"/>
              </w:rPr>
              <w:t>截止时间：</w:t>
            </w:r>
            <w:r>
              <w:rPr>
                <w:rFonts w:hint="eastAsia" w:ascii="宋体" w:hAnsi="宋体" w:cs="宋体"/>
                <w:color w:val="auto"/>
                <w:lang w:val="en-US" w:eastAsia="zh-CN"/>
              </w:rPr>
              <w:t>2025年6</w:t>
            </w:r>
            <w:r>
              <w:rPr>
                <w:rFonts w:hint="eastAsia" w:ascii="宋体" w:hAnsi="宋体" w:eastAsia="宋体" w:cs="宋体"/>
                <w:color w:val="auto"/>
                <w:lang w:val="zh-CN"/>
              </w:rPr>
              <w:t>月</w:t>
            </w:r>
            <w:r>
              <w:rPr>
                <w:rFonts w:hint="eastAsia" w:ascii="宋体" w:hAnsi="宋体" w:cs="宋体"/>
                <w:color w:val="auto"/>
                <w:lang w:val="en-US" w:eastAsia="zh-CN"/>
              </w:rPr>
              <w:t>26</w:t>
            </w:r>
            <w:r>
              <w:rPr>
                <w:rFonts w:hint="eastAsia" w:ascii="宋体" w:hAnsi="宋体" w:eastAsia="宋体" w:cs="宋体"/>
                <w:color w:val="auto"/>
                <w:lang w:val="zh-CN" w:eastAsia="zh-CN"/>
              </w:rPr>
              <w:t>日</w:t>
            </w:r>
            <w:r>
              <w:rPr>
                <w:rFonts w:hint="eastAsia" w:ascii="宋体" w:hAnsi="宋体" w:eastAsia="宋体" w:cs="宋体"/>
                <w:color w:val="auto"/>
                <w:lang w:val="en-US" w:eastAsia="zh-CN"/>
              </w:rPr>
              <w:t xml:space="preserve">17:00 </w:t>
            </w:r>
            <w:r>
              <w:rPr>
                <w:rFonts w:hint="eastAsia" w:ascii="宋体" w:hAnsi="宋体" w:eastAsia="宋体" w:cs="宋体"/>
                <w:color w:val="auto"/>
                <w:lang w:val="zh-CN" w:eastAsia="zh-CN"/>
              </w:rPr>
              <w:t>时</w:t>
            </w:r>
            <w:r>
              <w:rPr>
                <w:rFonts w:hint="eastAsia" w:ascii="宋体" w:hAnsi="宋体" w:eastAsia="宋体" w:cs="宋体"/>
                <w:color w:val="auto"/>
                <w:lang w:val="zh-CN"/>
              </w:rPr>
              <w:t>（投标人在截止时间以后提出的澄清招标文件的要求，</w:t>
            </w:r>
            <w:r>
              <w:rPr>
                <w:rFonts w:hint="eastAsia" w:ascii="宋体" w:hAnsi="宋体" w:eastAsia="宋体" w:cs="宋体"/>
                <w:color w:val="auto"/>
                <w:lang w:val="en-US" w:eastAsia="zh-CN"/>
              </w:rPr>
              <w:t>采购</w:t>
            </w:r>
            <w:r>
              <w:rPr>
                <w:rFonts w:hint="eastAsia" w:ascii="宋体" w:hAnsi="宋体" w:eastAsia="宋体" w:cs="宋体"/>
                <w:color w:val="auto"/>
                <w:lang w:val="zh-CN"/>
              </w:rPr>
              <w:t>人可以拒绝受理）</w:t>
            </w:r>
          </w:p>
          <w:p w14:paraId="51345FC3">
            <w:pPr>
              <w:keepNext w:val="0"/>
              <w:keepLines w:val="0"/>
              <w:suppressLineNumbers w:val="0"/>
              <w:spacing w:before="0" w:beforeAutospacing="0" w:after="0" w:afterAutospacing="0" w:line="240" w:lineRule="auto"/>
              <w:ind w:left="0" w:right="0" w:firstLine="0" w:firstLineChars="0"/>
              <w:jc w:val="left"/>
              <w:rPr>
                <w:rFonts w:hint="eastAsia" w:ascii="宋体" w:hAnsi="宋体" w:eastAsia="宋体" w:cs="宋体"/>
                <w:color w:val="auto"/>
                <w:lang w:val="zh-CN"/>
              </w:rPr>
            </w:pPr>
            <w:r>
              <w:rPr>
                <w:rFonts w:hint="eastAsia" w:ascii="宋体" w:hAnsi="宋体" w:eastAsia="宋体" w:cs="宋体"/>
                <w:color w:val="auto"/>
                <w:lang w:val="zh-CN"/>
              </w:rPr>
              <w:t>提交方式：以署名的方式送至或传真至</w:t>
            </w:r>
            <w:r>
              <w:rPr>
                <w:rFonts w:hint="eastAsia" w:ascii="宋体" w:hAnsi="宋体" w:eastAsia="宋体" w:cs="宋体"/>
                <w:color w:val="auto"/>
                <w:lang w:val="zh-CN" w:eastAsia="zh-CN"/>
              </w:rPr>
              <w:t>代理机构</w:t>
            </w:r>
            <w:r>
              <w:rPr>
                <w:rFonts w:hint="eastAsia" w:ascii="宋体" w:hAnsi="宋体" w:eastAsia="宋体" w:cs="宋体"/>
                <w:color w:val="auto"/>
                <w:lang w:val="zh-CN"/>
              </w:rPr>
              <w:t>，同时将电子版答疑问题发至：</w:t>
            </w:r>
            <w:r>
              <w:rPr>
                <w:rFonts w:hint="eastAsia" w:ascii="宋体" w:hAnsi="宋体" w:eastAsia="宋体" w:cs="宋体"/>
                <w:color w:val="auto"/>
                <w:lang w:val="zh-CN"/>
              </w:rPr>
              <w:fldChar w:fldCharType="begin"/>
            </w:r>
            <w:r>
              <w:rPr>
                <w:rFonts w:hint="eastAsia" w:ascii="宋体" w:hAnsi="宋体" w:eastAsia="宋体" w:cs="宋体"/>
                <w:color w:val="auto"/>
                <w:lang w:val="zh-CN"/>
              </w:rPr>
              <w:instrText xml:space="preserve"> HYPERLINK "mailto:724215075@qq.com。" </w:instrText>
            </w:r>
            <w:r>
              <w:rPr>
                <w:rFonts w:hint="eastAsia" w:ascii="宋体" w:hAnsi="宋体" w:eastAsia="宋体" w:cs="宋体"/>
                <w:color w:val="auto"/>
                <w:lang w:val="zh-CN"/>
              </w:rPr>
              <w:fldChar w:fldCharType="separate"/>
            </w:r>
            <w:r>
              <w:rPr>
                <w:rFonts w:hint="eastAsia" w:ascii="宋体" w:hAnsi="宋体" w:eastAsia="宋体" w:cs="宋体"/>
                <w:color w:val="auto"/>
                <w:lang w:val="en-US" w:eastAsia="zh-CN"/>
              </w:rPr>
              <w:t>951172785@qq.com</w:t>
            </w:r>
            <w:r>
              <w:rPr>
                <w:rFonts w:hint="eastAsia" w:ascii="宋体" w:hAnsi="宋体" w:eastAsia="宋体" w:cs="宋体"/>
                <w:color w:val="auto"/>
                <w:lang w:val="zh-CN"/>
              </w:rPr>
              <w:t>。</w:t>
            </w:r>
            <w:r>
              <w:rPr>
                <w:rFonts w:hint="eastAsia" w:ascii="宋体" w:hAnsi="宋体" w:eastAsia="宋体" w:cs="宋体"/>
                <w:color w:val="auto"/>
                <w:lang w:val="zh-CN"/>
              </w:rPr>
              <w:fldChar w:fldCharType="end"/>
            </w:r>
          </w:p>
          <w:p w14:paraId="30698316">
            <w:pPr>
              <w:keepNext w:val="0"/>
              <w:keepLines w:val="0"/>
              <w:suppressLineNumbers w:val="0"/>
              <w:spacing w:before="0" w:beforeAutospacing="0" w:after="0" w:afterAutospacing="0" w:line="240" w:lineRule="auto"/>
              <w:ind w:left="0" w:right="0" w:firstLine="0" w:firstLineChars="0"/>
              <w:jc w:val="left"/>
              <w:rPr>
                <w:rFonts w:hint="eastAsia" w:ascii="宋体" w:hAnsi="宋体" w:eastAsia="宋体" w:cs="宋体"/>
                <w:color w:val="auto"/>
                <w:highlight w:val="none"/>
                <w:lang w:val="en-US" w:eastAsia="zh-CN"/>
              </w:rPr>
            </w:pPr>
            <w:r>
              <w:rPr>
                <w:rFonts w:hint="eastAsia" w:ascii="宋体" w:hAnsi="宋体" w:eastAsia="宋体" w:cs="宋体"/>
                <w:color w:val="auto"/>
                <w:lang w:val="zh-CN"/>
              </w:rPr>
              <w:t>联系方式：</w:t>
            </w:r>
            <w:r>
              <w:rPr>
                <w:rFonts w:hint="eastAsia" w:ascii="宋体" w:hAnsi="宋体" w:eastAsia="宋体" w:cs="宋体"/>
                <w:color w:val="auto"/>
                <w:lang w:val="en-US" w:eastAsia="zh-CN"/>
              </w:rPr>
              <w:t xml:space="preserve">18367068335    </w:t>
            </w:r>
            <w:r>
              <w:rPr>
                <w:rFonts w:hint="eastAsia" w:ascii="宋体" w:hAnsi="宋体" w:eastAsia="宋体" w:cs="宋体"/>
                <w:color w:val="auto"/>
                <w:lang w:val="zh-CN"/>
              </w:rPr>
              <w:t>联系人：</w:t>
            </w:r>
            <w:r>
              <w:rPr>
                <w:rFonts w:hint="eastAsia" w:ascii="宋体" w:hAnsi="宋体" w:eastAsia="宋体" w:cs="宋体"/>
                <w:color w:val="auto"/>
                <w:lang w:val="en-US" w:eastAsia="zh-CN"/>
              </w:rPr>
              <w:t xml:space="preserve">祝女士     </w:t>
            </w:r>
            <w:r>
              <w:rPr>
                <w:rFonts w:hint="eastAsia" w:ascii="宋体" w:hAnsi="宋体" w:cs="宋体"/>
                <w:color w:val="auto"/>
                <w:lang w:val="en-US" w:eastAsia="zh-CN"/>
              </w:rPr>
              <w:t xml:space="preserve"> </w:t>
            </w:r>
          </w:p>
        </w:tc>
      </w:tr>
      <w:tr w14:paraId="0316AB16">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82" w:type="dxa"/>
            <w:vAlign w:val="center"/>
          </w:tcPr>
          <w:p w14:paraId="3400DB92">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16</w:t>
            </w:r>
          </w:p>
        </w:tc>
        <w:tc>
          <w:tcPr>
            <w:tcW w:w="2116" w:type="dxa"/>
            <w:vAlign w:val="center"/>
          </w:tcPr>
          <w:p w14:paraId="4F8E6D2C">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eastAsia="宋体" w:cs="宋体"/>
                <w:color w:val="auto"/>
                <w:highlight w:val="none"/>
                <w:lang w:val="zh-CN"/>
              </w:rPr>
              <w:t>招标文件澄清发出的形式</w:t>
            </w:r>
          </w:p>
        </w:tc>
        <w:tc>
          <w:tcPr>
            <w:tcW w:w="7202" w:type="dxa"/>
            <w:vAlign w:val="top"/>
          </w:tcPr>
          <w:p w14:paraId="20884DF8">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eastAsia="宋体" w:cs="宋体"/>
                <w:color w:val="auto"/>
                <w:highlight w:val="none"/>
                <w:lang w:val="en-US" w:eastAsia="zh-CN"/>
              </w:rPr>
              <w:t>采购人</w:t>
            </w:r>
            <w:r>
              <w:rPr>
                <w:rFonts w:hint="eastAsia" w:ascii="宋体" w:hAnsi="宋体" w:eastAsia="宋体" w:cs="宋体"/>
                <w:color w:val="auto"/>
                <w:highlight w:val="none"/>
                <w:lang w:val="zh-CN"/>
              </w:rPr>
              <w:t>对投标人疑问作出统一的解答，并以招标补充文件的形式发出。在</w:t>
            </w:r>
            <w:r>
              <w:rPr>
                <w:rFonts w:hint="eastAsia" w:ascii="宋体" w:hAnsi="宋体" w:cs="宋体"/>
                <w:color w:val="auto"/>
                <w:szCs w:val="21"/>
                <w:highlight w:val="none"/>
              </w:rPr>
              <w:t>“衢州市阳光交易服务平台https://qzygjy.com/”、“浙江政府采购网https://zfcg.czt.zj.gov.cn/”</w:t>
            </w:r>
            <w:r>
              <w:rPr>
                <w:rFonts w:hint="eastAsia" w:ascii="宋体" w:hAnsi="宋体" w:eastAsia="宋体" w:cs="宋体"/>
                <w:color w:val="auto"/>
                <w:highlight w:val="none"/>
                <w:lang w:val="zh-CN"/>
              </w:rPr>
              <w:t>公开发布。在开标前，投标人须随时关注网站的最新答疑信息，自行下载。</w:t>
            </w:r>
          </w:p>
        </w:tc>
      </w:tr>
      <w:tr w14:paraId="759358F6">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vAlign w:val="center"/>
          </w:tcPr>
          <w:p w14:paraId="0ABD381E">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17</w:t>
            </w:r>
          </w:p>
        </w:tc>
        <w:tc>
          <w:tcPr>
            <w:tcW w:w="2116" w:type="dxa"/>
            <w:vAlign w:val="center"/>
          </w:tcPr>
          <w:p w14:paraId="4188C9CA">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是否采用电子招标投标</w:t>
            </w:r>
          </w:p>
        </w:tc>
        <w:tc>
          <w:tcPr>
            <w:tcW w:w="7202" w:type="dxa"/>
            <w:vAlign w:val="center"/>
          </w:tcPr>
          <w:p w14:paraId="0AD48E7B">
            <w:pPr>
              <w:keepNext w:val="0"/>
              <w:keepLines w:val="0"/>
              <w:suppressLineNumbers w:val="0"/>
              <w:spacing w:before="0" w:beforeAutospacing="0" w:after="0" w:afterAutospacing="0" w:line="240" w:lineRule="auto"/>
              <w:ind w:left="0" w:right="0" w:firstLine="0" w:firstLineChars="0"/>
              <w:rPr>
                <w:rFonts w:hint="default" w:ascii="宋体" w:hAnsi="宋体" w:cs="宋体"/>
                <w:color w:val="auto"/>
                <w:highlight w:val="none"/>
                <w:lang w:val="zh-CN"/>
              </w:rPr>
            </w:pPr>
            <w:r>
              <w:rPr>
                <w:rFonts w:hint="eastAsia" w:ascii="宋体" w:hAnsi="宋体" w:cs="宋体"/>
                <w:color w:val="auto"/>
                <w:highlight w:val="none"/>
                <w:lang w:val="zh-CN"/>
              </w:rPr>
              <w:t>是；本项目实行不见面电子招投标方式。</w:t>
            </w:r>
          </w:p>
        </w:tc>
      </w:tr>
      <w:tr w14:paraId="23ACE37B">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vAlign w:val="center"/>
          </w:tcPr>
          <w:p w14:paraId="575287C0">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18</w:t>
            </w:r>
          </w:p>
        </w:tc>
        <w:tc>
          <w:tcPr>
            <w:tcW w:w="2116" w:type="dxa"/>
            <w:vAlign w:val="center"/>
          </w:tcPr>
          <w:p w14:paraId="71A10844">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构成招标文件的其他材料</w:t>
            </w:r>
          </w:p>
        </w:tc>
        <w:tc>
          <w:tcPr>
            <w:tcW w:w="7202" w:type="dxa"/>
            <w:vAlign w:val="center"/>
          </w:tcPr>
          <w:p w14:paraId="317630C3">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rPr>
              <w:t>补充（答疑、澄清）、修改（</w:t>
            </w:r>
            <w:r>
              <w:rPr>
                <w:rFonts w:hint="eastAsia" w:ascii="宋体" w:hAnsi="宋体" w:cs="宋体"/>
                <w:color w:val="auto"/>
                <w:highlight w:val="none"/>
                <w:lang w:val="zh-CN"/>
              </w:rPr>
              <w:t>更正</w:t>
            </w:r>
            <w:r>
              <w:rPr>
                <w:rFonts w:hint="eastAsia" w:ascii="宋体" w:hAnsi="宋体" w:cs="宋体"/>
                <w:color w:val="auto"/>
                <w:highlight w:val="none"/>
              </w:rPr>
              <w:t>）文件。</w:t>
            </w:r>
          </w:p>
        </w:tc>
      </w:tr>
      <w:tr w14:paraId="199E1F14">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vAlign w:val="center"/>
          </w:tcPr>
          <w:p w14:paraId="1F54EDAB">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19</w:t>
            </w:r>
          </w:p>
        </w:tc>
        <w:tc>
          <w:tcPr>
            <w:tcW w:w="2116" w:type="dxa"/>
            <w:vAlign w:val="center"/>
          </w:tcPr>
          <w:p w14:paraId="6FE12531">
            <w:pPr>
              <w:keepNext w:val="0"/>
              <w:keepLines w:val="0"/>
              <w:pageBreakBefore w:val="0"/>
              <w:widowControl w:val="0"/>
              <w:suppressLineNumbers w:val="0"/>
              <w:tabs>
                <w:tab w:val="left" w:pos="0"/>
              </w:tabs>
              <w:kinsoku/>
              <w:wordWrap/>
              <w:overflowPunct/>
              <w:topLinePunct w:val="0"/>
              <w:autoSpaceDE w:val="0"/>
              <w:autoSpaceDN w:val="0"/>
              <w:bidi w:val="0"/>
              <w:adjustRightInd w:val="0"/>
              <w:snapToGrid/>
              <w:spacing w:before="0" w:beforeAutospacing="0" w:after="0" w:afterAutospacing="0" w:line="240" w:lineRule="auto"/>
              <w:ind w:left="0" w:leftChars="0" w:right="0" w:rightChars="0" w:firstLine="0" w:firstLineChars="0"/>
              <w:jc w:val="center"/>
              <w:textAlignment w:val="auto"/>
              <w:rPr>
                <w:rFonts w:hint="default" w:ascii="宋体" w:hAnsi="宋体" w:cs="宋体"/>
                <w:color w:val="auto"/>
                <w:highlight w:val="none"/>
                <w:lang w:val="zh-CN"/>
              </w:rPr>
            </w:pPr>
            <w:r>
              <w:rPr>
                <w:rFonts w:hint="eastAsia" w:ascii="宋体" w:hAnsi="宋体" w:eastAsia="宋体" w:cs="宋体"/>
                <w:color w:val="auto"/>
                <w:kern w:val="2"/>
                <w:sz w:val="24"/>
                <w:szCs w:val="24"/>
                <w:highlight w:val="none"/>
                <w:lang w:val="en-US" w:eastAsia="zh-CN" w:bidi="ar-SA"/>
              </w:rPr>
              <w:t>投标报价</w:t>
            </w:r>
          </w:p>
        </w:tc>
        <w:tc>
          <w:tcPr>
            <w:tcW w:w="7202" w:type="dxa"/>
            <w:vAlign w:val="center"/>
          </w:tcPr>
          <w:p w14:paraId="223653AB">
            <w:pPr>
              <w:keepNext w:val="0"/>
              <w:keepLines w:val="0"/>
              <w:pageBreakBefore w:val="0"/>
              <w:widowControl w:val="0"/>
              <w:suppressLineNumbers w:val="0"/>
              <w:tabs>
                <w:tab w:val="left" w:pos="0"/>
              </w:tabs>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both"/>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1.本项目投标应以人民币报价；</w:t>
            </w:r>
          </w:p>
          <w:p w14:paraId="40FC5064">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rightChars="0" w:firstLine="0" w:firstLineChars="0"/>
              <w:jc w:val="left"/>
              <w:textAlignment w:val="auto"/>
              <w:rPr>
                <w:rFonts w:hint="default" w:ascii="宋体" w:hAnsi="宋体" w:cs="宋体"/>
                <w:color w:val="auto"/>
                <w:highlight w:val="none"/>
                <w:lang w:val="zh-CN"/>
              </w:rPr>
            </w:pPr>
            <w:r>
              <w:rPr>
                <w:rFonts w:hint="eastAsia" w:ascii="宋体" w:hAnsi="宋体" w:eastAsia="宋体" w:cs="宋体"/>
                <w:color w:val="auto"/>
                <w:kern w:val="2"/>
                <w:sz w:val="24"/>
                <w:szCs w:val="24"/>
                <w:highlight w:val="none"/>
                <w:lang w:val="zh-CN" w:eastAsia="zh-CN" w:bidi="ar-SA"/>
              </w:rPr>
              <w:t>2.</w:t>
            </w:r>
            <w:r>
              <w:rPr>
                <w:rFonts w:hint="eastAsia" w:ascii="宋体" w:hAnsi="宋体" w:eastAsia="宋体" w:cs="宋体"/>
                <w:color w:val="auto"/>
                <w:kern w:val="2"/>
                <w:sz w:val="24"/>
                <w:szCs w:val="24"/>
                <w:highlight w:val="none"/>
                <w:lang w:val="en-US" w:eastAsia="zh-CN" w:bidi="ar-SA"/>
              </w:rPr>
              <w:t>投标报价是履行合同的最终价格，报价应包括但不仅限于完成本项目所需的</w:t>
            </w:r>
            <w:r>
              <w:rPr>
                <w:rFonts w:hint="eastAsia" w:ascii="宋体" w:hAnsi="宋体" w:eastAsia="宋体" w:cs="Times New Roman"/>
                <w:color w:val="auto"/>
                <w:kern w:val="2"/>
                <w:sz w:val="24"/>
                <w:szCs w:val="24"/>
                <w:highlight w:val="none"/>
                <w:lang w:val="en-US" w:eastAsia="zh-CN" w:bidi="ar-SA"/>
              </w:rPr>
              <w:t>工时费、人工费、材料费、机械费、维修服务费、交通费、运输、劳力、利润、税收</w:t>
            </w:r>
            <w:r>
              <w:rPr>
                <w:rFonts w:hint="eastAsia" w:ascii="宋体" w:hAnsi="宋体" w:cs="宋体"/>
                <w:color w:val="auto"/>
                <w:kern w:val="2"/>
                <w:sz w:val="24"/>
                <w:szCs w:val="24"/>
                <w:highlight w:val="none"/>
                <w:lang w:val="en-US" w:eastAsia="zh-CN" w:bidi="ar-SA"/>
              </w:rPr>
              <w:t>等</w:t>
            </w:r>
            <w:r>
              <w:rPr>
                <w:rFonts w:hint="eastAsia" w:ascii="宋体" w:hAnsi="宋体" w:eastAsia="宋体" w:cs="宋体"/>
                <w:color w:val="auto"/>
                <w:kern w:val="2"/>
                <w:sz w:val="24"/>
                <w:szCs w:val="24"/>
                <w:highlight w:val="none"/>
                <w:lang w:val="en-US" w:eastAsia="zh-CN" w:bidi="ar-SA"/>
              </w:rPr>
              <w:t>政策性文件规定及合同包含的所有风险、责任等合同实施过程中的应预见和不可预见费用。本次招标数量为暂估数量，投标人在编制投标报价时应充分考虑由于实际采购量未达到该数量或超出该数量而带来的风险。</w:t>
            </w:r>
          </w:p>
        </w:tc>
      </w:tr>
      <w:tr w14:paraId="5F96B52D">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682" w:type="dxa"/>
            <w:vAlign w:val="center"/>
          </w:tcPr>
          <w:p w14:paraId="114FF7E6">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20</w:t>
            </w:r>
          </w:p>
        </w:tc>
        <w:tc>
          <w:tcPr>
            <w:tcW w:w="2116" w:type="dxa"/>
            <w:vAlign w:val="center"/>
          </w:tcPr>
          <w:p w14:paraId="0799A4C4">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投标报价次数</w:t>
            </w:r>
          </w:p>
        </w:tc>
        <w:tc>
          <w:tcPr>
            <w:tcW w:w="7202" w:type="dxa"/>
            <w:vAlign w:val="center"/>
          </w:tcPr>
          <w:p w14:paraId="7A6E39B2">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本次投标报价为一次，不得更改报价，投标人只有一次报价的机会。投标报价不得有选择性报价和附有条件，且不得高于最高限价，</w:t>
            </w:r>
            <w:r>
              <w:rPr>
                <w:rFonts w:hint="eastAsia" w:ascii="宋体" w:hAnsi="宋体" w:cs="宋体"/>
                <w:color w:val="auto"/>
                <w:highlight w:val="none"/>
                <w:lang w:val="en-US" w:eastAsia="zh-CN"/>
              </w:rPr>
              <w:t>否则，评标委员会按无效报价处理</w:t>
            </w:r>
            <w:r>
              <w:rPr>
                <w:rFonts w:hint="eastAsia" w:ascii="宋体" w:hAnsi="宋体" w:cs="宋体"/>
                <w:color w:val="auto"/>
                <w:highlight w:val="none"/>
                <w:lang w:val="zh-CN"/>
              </w:rPr>
              <w:t>。</w:t>
            </w:r>
          </w:p>
        </w:tc>
      </w:tr>
      <w:tr w14:paraId="53AB36CC">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682" w:type="dxa"/>
            <w:vAlign w:val="center"/>
          </w:tcPr>
          <w:p w14:paraId="6B2EC07D">
            <w:pPr>
              <w:keepNext w:val="0"/>
              <w:keepLines w:val="0"/>
              <w:suppressLineNumbers w:val="0"/>
              <w:spacing w:before="0" w:beforeAutospacing="0" w:after="0" w:afterAutospacing="0" w:line="240" w:lineRule="auto"/>
              <w:ind w:left="0" w:leftChars="0" w:right="0" w:rightChars="0" w:firstLine="0" w:firstLineChars="0"/>
              <w:jc w:val="center"/>
              <w:rPr>
                <w:rFonts w:hint="eastAsia" w:ascii="宋体" w:hAnsi="宋体" w:cs="宋体"/>
                <w:color w:val="auto"/>
                <w:highlight w:val="none"/>
                <w:lang w:val="zh-CN"/>
              </w:rPr>
            </w:pPr>
            <w:r>
              <w:rPr>
                <w:rFonts w:hint="eastAsia" w:ascii="宋体" w:hAnsi="宋体" w:cs="宋体"/>
                <w:color w:val="auto"/>
                <w:highlight w:val="none"/>
                <w:lang w:val="zh-CN"/>
              </w:rPr>
              <w:t>21</w:t>
            </w:r>
          </w:p>
        </w:tc>
        <w:tc>
          <w:tcPr>
            <w:tcW w:w="2116" w:type="dxa"/>
            <w:vAlign w:val="center"/>
          </w:tcPr>
          <w:p w14:paraId="5ACF5B3C">
            <w:pPr>
              <w:keepNext w:val="0"/>
              <w:keepLines w:val="0"/>
              <w:suppressLineNumbers w:val="0"/>
              <w:spacing w:before="0" w:beforeAutospacing="0" w:after="0" w:afterAutospacing="0" w:line="240" w:lineRule="auto"/>
              <w:ind w:left="0" w:leftChars="0" w:right="0" w:rightChars="0" w:firstLine="0" w:firstLineChars="0"/>
              <w:jc w:val="center"/>
              <w:rPr>
                <w:rFonts w:hint="eastAsia" w:ascii="宋体" w:hAnsi="宋体" w:cs="宋体"/>
                <w:color w:val="auto"/>
                <w:highlight w:val="none"/>
                <w:lang w:val="zh-CN"/>
              </w:rPr>
            </w:pPr>
            <w:r>
              <w:rPr>
                <w:rFonts w:hint="eastAsia" w:ascii="宋体" w:hAnsi="宋体" w:cs="宋体"/>
                <w:color w:val="auto"/>
                <w:highlight w:val="none"/>
                <w:lang w:val="zh-CN"/>
              </w:rPr>
              <w:t>投标文件</w:t>
            </w:r>
            <w:r>
              <w:rPr>
                <w:rFonts w:hint="eastAsia" w:ascii="宋体" w:hAnsi="宋体" w:cs="宋体"/>
                <w:color w:val="auto"/>
                <w:highlight w:val="none"/>
              </w:rPr>
              <w:t>份数</w:t>
            </w:r>
          </w:p>
        </w:tc>
        <w:tc>
          <w:tcPr>
            <w:tcW w:w="7202" w:type="dxa"/>
            <w:vAlign w:val="center"/>
          </w:tcPr>
          <w:p w14:paraId="2CD91E5B">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电子投标文件：加密电子投标文件一份，包括资格审查文件、资信技术文件、商务报价文件，按规定上传至衢州市阳光交易服务平台。</w:t>
            </w:r>
          </w:p>
          <w:p w14:paraId="199DF280">
            <w:pPr>
              <w:keepNext w:val="0"/>
              <w:keepLines w:val="0"/>
              <w:suppressLineNumbers w:val="0"/>
              <w:spacing w:before="0" w:beforeAutospacing="0" w:after="0" w:afterAutospacing="0" w:line="240" w:lineRule="auto"/>
              <w:ind w:left="0" w:leftChars="0" w:right="0" w:rightChars="0" w:firstLine="0" w:firstLineChars="0"/>
              <w:jc w:val="left"/>
              <w:rPr>
                <w:rFonts w:hint="eastAsia" w:ascii="宋体" w:hAnsi="宋体" w:cs="宋体"/>
                <w:color w:val="auto"/>
                <w:highlight w:val="none"/>
                <w:lang w:val="zh-CN"/>
              </w:rPr>
            </w:pPr>
            <w:r>
              <w:rPr>
                <w:rFonts w:hint="eastAsia" w:ascii="宋体" w:hAnsi="宋体" w:cs="宋体"/>
                <w:color w:val="auto"/>
                <w:highlight w:val="none"/>
                <w:lang w:val="zh-CN"/>
              </w:rPr>
              <w:t>中标人在公示结束后，提供与投标时一致的纸质投标文件</w:t>
            </w:r>
            <w:r>
              <w:rPr>
                <w:rFonts w:hint="eastAsia" w:ascii="宋体" w:hAnsi="宋体" w:cs="宋体"/>
                <w:color w:val="auto"/>
                <w:highlight w:val="none"/>
                <w:lang w:val="en-US" w:eastAsia="zh-CN"/>
              </w:rPr>
              <w:t>三</w:t>
            </w:r>
            <w:r>
              <w:rPr>
                <w:rFonts w:hint="eastAsia" w:ascii="宋体" w:hAnsi="宋体" w:cs="宋体"/>
                <w:color w:val="auto"/>
                <w:highlight w:val="none"/>
                <w:lang w:val="zh-CN"/>
              </w:rPr>
              <w:t>套。</w:t>
            </w:r>
          </w:p>
        </w:tc>
      </w:tr>
      <w:tr w14:paraId="2C01A331">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vAlign w:val="center"/>
          </w:tcPr>
          <w:p w14:paraId="1B076AD0">
            <w:pPr>
              <w:keepNext w:val="0"/>
              <w:keepLines w:val="0"/>
              <w:suppressLineNumbers w:val="0"/>
              <w:spacing w:before="0" w:beforeAutospacing="0" w:after="0" w:afterAutospacing="0" w:line="240" w:lineRule="auto"/>
              <w:ind w:left="0" w:leftChars="0" w:right="0" w:rightChars="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22</w:t>
            </w:r>
          </w:p>
        </w:tc>
        <w:tc>
          <w:tcPr>
            <w:tcW w:w="2116" w:type="dxa"/>
            <w:vAlign w:val="center"/>
          </w:tcPr>
          <w:p w14:paraId="52491EC1">
            <w:pPr>
              <w:keepNext w:val="0"/>
              <w:keepLines w:val="0"/>
              <w:suppressLineNumbers w:val="0"/>
              <w:adjustRightInd w:val="0"/>
              <w:snapToGrid w:val="0"/>
              <w:spacing w:before="0" w:beforeLines="0" w:beforeAutospacing="0" w:after="0" w:afterLines="0" w:afterAutospacing="0" w:line="240" w:lineRule="auto"/>
              <w:ind w:left="0" w:leftChars="0" w:right="0" w:rightChars="0" w:firstLine="0" w:firstLineChars="0"/>
              <w:jc w:val="center"/>
              <w:rPr>
                <w:rFonts w:hint="default" w:ascii="宋体" w:hAnsi="宋体" w:cs="宋体"/>
                <w:color w:val="auto"/>
                <w:highlight w:val="none"/>
                <w:lang w:val="zh-CN"/>
              </w:rPr>
            </w:pPr>
            <w:r>
              <w:rPr>
                <w:rFonts w:hint="eastAsia" w:ascii="宋体" w:hAnsi="宋体" w:eastAsia="宋体" w:cs="宋体"/>
                <w:color w:val="auto"/>
                <w:sz w:val="24"/>
                <w:szCs w:val="24"/>
                <w:highlight w:val="none"/>
              </w:rPr>
              <w:t>面向中小企业预留情况及小微企业报价扣除标准</w:t>
            </w:r>
          </w:p>
        </w:tc>
        <w:tc>
          <w:tcPr>
            <w:tcW w:w="7202" w:type="dxa"/>
            <w:vAlign w:val="center"/>
          </w:tcPr>
          <w:p w14:paraId="1538C11E">
            <w:pPr>
              <w:keepNext w:val="0"/>
              <w:keepLines w:val="0"/>
              <w:suppressLineNumbers w:val="0"/>
              <w:adjustRightInd w:val="0"/>
              <w:snapToGrid w:val="0"/>
              <w:spacing w:before="0" w:beforeLines="0" w:beforeAutospacing="0" w:after="0" w:afterLines="0" w:afterAutospacing="0" w:line="240" w:lineRule="auto"/>
              <w:ind w:left="0" w:right="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本项目为专门面向中小企业采购，小微企业不享受价格折扣优惠。</w:t>
            </w:r>
          </w:p>
          <w:p w14:paraId="53B28ED1">
            <w:pPr>
              <w:keepNext w:val="0"/>
              <w:keepLines w:val="0"/>
              <w:suppressLineNumbers w:val="0"/>
              <w:adjustRightInd w:val="0"/>
              <w:snapToGrid w:val="0"/>
              <w:spacing w:before="0" w:beforeLines="0" w:beforeAutospacing="0" w:after="0" w:afterLines="0" w:afterAutospacing="0" w:line="240" w:lineRule="auto"/>
              <w:ind w:left="0" w:leftChars="0" w:right="0" w:rightChars="0"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非专门面向中小企业采购项目，小微企业报价给予</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0%（工程项目为</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%)的扣除，用扣除后的价格参与评审。</w:t>
            </w:r>
          </w:p>
        </w:tc>
      </w:tr>
      <w:tr w14:paraId="5E8188BA">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682" w:type="dxa"/>
            <w:vAlign w:val="center"/>
          </w:tcPr>
          <w:p w14:paraId="0DD49BC9">
            <w:pPr>
              <w:keepNext w:val="0"/>
              <w:keepLines w:val="0"/>
              <w:suppressLineNumbers w:val="0"/>
              <w:spacing w:before="0" w:beforeAutospacing="0" w:after="0" w:afterAutospacing="0" w:line="240" w:lineRule="auto"/>
              <w:ind w:left="0" w:leftChars="0" w:right="0" w:rightChars="0" w:firstLine="0" w:firstLineChars="0"/>
              <w:jc w:val="center"/>
              <w:rPr>
                <w:rFonts w:hint="eastAsia" w:ascii="宋体" w:hAnsi="宋体" w:cs="宋体"/>
                <w:color w:val="auto"/>
                <w:highlight w:val="none"/>
                <w:lang w:val="zh-CN"/>
              </w:rPr>
            </w:pPr>
            <w:r>
              <w:rPr>
                <w:rFonts w:hint="eastAsia" w:ascii="宋体" w:hAnsi="宋体" w:cs="宋体"/>
                <w:color w:val="auto"/>
                <w:highlight w:val="none"/>
                <w:lang w:val="zh-CN"/>
              </w:rPr>
              <w:t>23</w:t>
            </w:r>
          </w:p>
        </w:tc>
        <w:tc>
          <w:tcPr>
            <w:tcW w:w="2116" w:type="dxa"/>
            <w:vAlign w:val="top"/>
          </w:tcPr>
          <w:p w14:paraId="4572C262">
            <w:pPr>
              <w:keepNext w:val="0"/>
              <w:keepLines w:val="0"/>
              <w:suppressLineNumbers w:val="0"/>
              <w:adjustRightInd w:val="0"/>
              <w:snapToGrid w:val="0"/>
              <w:spacing w:before="0" w:beforeLines="0" w:beforeAutospacing="0" w:after="0" w:afterLines="0" w:afterAutospacing="0" w:line="240" w:lineRule="auto"/>
              <w:ind w:left="0" w:leftChars="0" w:right="0" w:rightChars="0" w:firstLine="0" w:firstLineChars="0"/>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采购标的对应的中小企业划分标准所属行业</w:t>
            </w:r>
          </w:p>
        </w:tc>
        <w:tc>
          <w:tcPr>
            <w:tcW w:w="7202" w:type="dxa"/>
            <w:vAlign w:val="top"/>
          </w:tcPr>
          <w:p w14:paraId="1F8E944D">
            <w:pPr>
              <w:keepNext w:val="0"/>
              <w:keepLines w:val="0"/>
              <w:suppressLineNumbers w:val="0"/>
              <w:adjustRightInd w:val="0"/>
              <w:snapToGrid w:val="0"/>
              <w:spacing w:before="0" w:beforeLines="0" w:beforeAutospacing="0" w:after="0" w:afterLines="0" w:afterAutospacing="0" w:line="240" w:lineRule="auto"/>
              <w:ind w:left="0" w:leftChars="0" w:right="0" w:rightChars="0" w:firstLine="0" w:firstLineChars="0"/>
              <w:jc w:val="left"/>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标的</w:t>
            </w:r>
            <w:r>
              <w:rPr>
                <w:rFonts w:hint="eastAsia" w:ascii="宋体" w:hAnsi="宋体" w:eastAsia="宋体" w:cs="宋体"/>
                <w:color w:val="auto"/>
                <w:sz w:val="24"/>
                <w:szCs w:val="24"/>
                <w:highlight w:val="none"/>
                <w:u w:val="none"/>
                <w:lang w:val="zh-CN"/>
              </w:rPr>
              <w:t>：</w:t>
            </w:r>
            <w:r>
              <w:rPr>
                <w:rFonts w:hint="eastAsia" w:ascii="宋体" w:hAnsi="宋体" w:eastAsia="宋体" w:cs="宋体"/>
                <w:color w:val="auto"/>
                <w:sz w:val="24"/>
                <w:szCs w:val="24"/>
                <w:highlight w:val="none"/>
                <w:u w:val="single"/>
                <w:lang w:val="en-US" w:eastAsia="zh-CN"/>
              </w:rPr>
              <w:t>服务类</w:t>
            </w:r>
            <w:r>
              <w:rPr>
                <w:rFonts w:hint="eastAsia" w:ascii="宋体" w:hAnsi="宋体" w:eastAsia="宋体" w:cs="宋体"/>
                <w:color w:val="auto"/>
                <w:sz w:val="24"/>
                <w:szCs w:val="24"/>
                <w:highlight w:val="none"/>
                <w:lang w:val="zh-CN"/>
              </w:rPr>
              <w:t>，属于</w:t>
            </w:r>
            <w:r>
              <w:rPr>
                <w:rFonts w:hint="eastAsia" w:ascii="宋体" w:hAnsi="宋体" w:eastAsia="宋体" w:cs="宋体"/>
                <w:color w:val="auto"/>
                <w:sz w:val="24"/>
                <w:szCs w:val="24"/>
                <w:highlight w:val="none"/>
                <w:u w:val="single"/>
                <w:lang w:val="zh-CN"/>
              </w:rPr>
              <w:t xml:space="preserve"> 其他未列明 </w:t>
            </w:r>
            <w:r>
              <w:rPr>
                <w:rFonts w:hint="eastAsia" w:ascii="宋体" w:hAnsi="宋体" w:eastAsia="宋体" w:cs="宋体"/>
                <w:color w:val="auto"/>
                <w:sz w:val="24"/>
                <w:szCs w:val="24"/>
                <w:highlight w:val="none"/>
                <w:lang w:val="zh-CN"/>
              </w:rPr>
              <w:t>行业；</w:t>
            </w:r>
          </w:p>
          <w:p w14:paraId="3F7F2442">
            <w:pPr>
              <w:keepNext w:val="0"/>
              <w:keepLines w:val="0"/>
              <w:suppressLineNumbers w:val="0"/>
              <w:adjustRightInd w:val="0"/>
              <w:snapToGrid w:val="0"/>
              <w:spacing w:before="0" w:beforeLines="0" w:beforeAutospacing="0" w:after="0" w:afterLines="0" w:afterAutospacing="0" w:line="240" w:lineRule="auto"/>
              <w:ind w:left="0" w:leftChars="0" w:right="0" w:rightChars="0" w:firstLine="0" w:firstLineChars="0"/>
              <w:jc w:val="left"/>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其他未列明行业中小企业划分标准：从业人员300人以下的为中小微型企业。其中，从业人员100人及以上的为中型企业；从业人员10人及以上的为小型企业；从业人员10人以下的为微型企业。</w:t>
            </w:r>
          </w:p>
        </w:tc>
      </w:tr>
      <w:tr w14:paraId="53D221F7">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682" w:type="dxa"/>
            <w:vAlign w:val="center"/>
          </w:tcPr>
          <w:p w14:paraId="62752B3E">
            <w:pPr>
              <w:keepNext w:val="0"/>
              <w:keepLines w:val="0"/>
              <w:suppressLineNumbers w:val="0"/>
              <w:spacing w:before="0" w:beforeAutospacing="0" w:after="0" w:afterAutospacing="0" w:line="240" w:lineRule="auto"/>
              <w:ind w:left="0" w:leftChars="0" w:right="0" w:rightChars="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24</w:t>
            </w:r>
          </w:p>
        </w:tc>
        <w:tc>
          <w:tcPr>
            <w:tcW w:w="2116" w:type="dxa"/>
            <w:vAlign w:val="center"/>
          </w:tcPr>
          <w:p w14:paraId="325B0EC2">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投标截止时间</w:t>
            </w:r>
          </w:p>
        </w:tc>
        <w:tc>
          <w:tcPr>
            <w:tcW w:w="7202" w:type="dxa"/>
            <w:vAlign w:val="center"/>
          </w:tcPr>
          <w:p w14:paraId="4938D0DC">
            <w:pPr>
              <w:keepNext w:val="0"/>
              <w:keepLines w:val="0"/>
              <w:suppressLineNumbers w:val="0"/>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时  间：</w:t>
            </w:r>
            <w:r>
              <w:rPr>
                <w:rFonts w:hint="eastAsia" w:ascii="宋体" w:hAnsi="宋体" w:cs="宋体"/>
                <w:color w:val="auto"/>
                <w:highlight w:val="none"/>
                <w:lang w:val="zh-CN"/>
              </w:rPr>
              <w:t>2025年</w:t>
            </w:r>
            <w:r>
              <w:rPr>
                <w:rFonts w:hint="eastAsia" w:ascii="宋体" w:hAnsi="宋体" w:cs="宋体"/>
                <w:color w:val="auto"/>
                <w:highlight w:val="none"/>
                <w:lang w:val="en-US" w:eastAsia="zh-CN"/>
              </w:rPr>
              <w:t>7</w:t>
            </w:r>
            <w:r>
              <w:rPr>
                <w:rFonts w:hint="eastAsia" w:ascii="宋体" w:hAnsi="宋体" w:cs="宋体"/>
                <w:color w:val="auto"/>
                <w:highlight w:val="none"/>
                <w:lang w:val="zh-CN"/>
              </w:rPr>
              <w:t>月</w:t>
            </w:r>
            <w:r>
              <w:rPr>
                <w:rFonts w:hint="eastAsia" w:ascii="宋体" w:hAnsi="宋体" w:cs="宋体"/>
                <w:color w:val="auto"/>
                <w:highlight w:val="none"/>
                <w:lang w:val="en-US" w:eastAsia="zh-CN"/>
              </w:rPr>
              <w:t>11</w:t>
            </w:r>
            <w:r>
              <w:rPr>
                <w:rFonts w:hint="eastAsia" w:ascii="宋体" w:hAnsi="宋体" w:cs="宋体"/>
                <w:color w:val="auto"/>
                <w:highlight w:val="none"/>
                <w:lang w:val="zh-CN"/>
              </w:rPr>
              <w:t>日</w:t>
            </w:r>
            <w:r>
              <w:rPr>
                <w:rFonts w:hint="eastAsia" w:ascii="宋体" w:hAnsi="宋体" w:cs="宋体"/>
                <w:color w:val="auto"/>
                <w:highlight w:val="none"/>
                <w:lang w:val="en-US" w:eastAsia="zh-CN"/>
              </w:rPr>
              <w:t>09</w:t>
            </w:r>
            <w:r>
              <w:rPr>
                <w:rFonts w:hint="eastAsia" w:ascii="宋体" w:hAnsi="宋体" w:cs="宋体"/>
                <w:color w:val="auto"/>
                <w:highlight w:val="none"/>
                <w:lang w:val="zh-CN"/>
              </w:rPr>
              <w:t>:30时止</w:t>
            </w:r>
            <w:r>
              <w:rPr>
                <w:rFonts w:hint="eastAsia" w:ascii="宋体" w:hAnsi="宋体" w:eastAsia="宋体" w:cs="宋体"/>
                <w:color w:val="auto"/>
                <w:highlight w:val="none"/>
                <w:lang w:val="zh-CN"/>
              </w:rPr>
              <w:t>。</w:t>
            </w:r>
          </w:p>
        </w:tc>
      </w:tr>
      <w:tr w14:paraId="5572E136">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vAlign w:val="center"/>
          </w:tcPr>
          <w:p w14:paraId="251C0337">
            <w:pPr>
              <w:keepNext w:val="0"/>
              <w:keepLines w:val="0"/>
              <w:suppressLineNumbers w:val="0"/>
              <w:spacing w:before="0" w:beforeAutospacing="0" w:after="0" w:afterAutospacing="0" w:line="240" w:lineRule="auto"/>
              <w:ind w:left="0" w:leftChars="0" w:right="0" w:rightChars="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25</w:t>
            </w:r>
          </w:p>
        </w:tc>
        <w:tc>
          <w:tcPr>
            <w:tcW w:w="2116" w:type="dxa"/>
            <w:vAlign w:val="center"/>
          </w:tcPr>
          <w:p w14:paraId="6C443484">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开标</w:t>
            </w:r>
          </w:p>
        </w:tc>
        <w:tc>
          <w:tcPr>
            <w:tcW w:w="7202" w:type="dxa"/>
            <w:vAlign w:val="center"/>
          </w:tcPr>
          <w:p w14:paraId="5ED451F1">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开标时间：同电子投标文件上传截止时间。</w:t>
            </w:r>
          </w:p>
          <w:p w14:paraId="6BE161E3">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开标地点：衢州市公共资源交易龙游县分中心</w:t>
            </w:r>
            <w:r>
              <w:rPr>
                <w:rFonts w:hint="eastAsia" w:ascii="宋体" w:hAnsi="宋体" w:cs="宋体"/>
                <w:color w:val="auto"/>
                <w:highlight w:val="none"/>
              </w:rPr>
              <w:t>2楼</w:t>
            </w:r>
            <w:r>
              <w:rPr>
                <w:rFonts w:hint="eastAsia" w:ascii="宋体" w:hAnsi="宋体" w:cs="宋体"/>
                <w:color w:val="auto"/>
                <w:highlight w:val="none"/>
                <w:lang w:val="zh-CN"/>
              </w:rPr>
              <w:t>开标室3（龙游县龙翔路原香溢市场西侧）</w:t>
            </w:r>
          </w:p>
          <w:p w14:paraId="1B49D2E7">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开标平台：</w:t>
            </w:r>
            <w:r>
              <w:rPr>
                <w:rFonts w:hint="eastAsia" w:ascii="宋体" w:hAnsi="宋体" w:cs="宋体"/>
                <w:color w:val="auto"/>
                <w:sz w:val="24"/>
                <w:szCs w:val="24"/>
                <w:highlight w:val="none"/>
              </w:rPr>
              <w:t>衢州市阳光交易服务平台不见面开标大厅</w:t>
            </w:r>
            <w:r>
              <w:rPr>
                <w:rFonts w:hint="eastAsia" w:ascii="宋体" w:hAnsi="宋体" w:cs="宋体"/>
                <w:color w:val="auto"/>
                <w:sz w:val="24"/>
                <w:szCs w:val="24"/>
                <w:highlight w:val="none"/>
                <w:lang w:eastAsia="zh-CN"/>
              </w:rPr>
              <w:t>。</w:t>
            </w:r>
          </w:p>
        </w:tc>
      </w:tr>
      <w:tr w14:paraId="48B603AE">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vAlign w:val="center"/>
          </w:tcPr>
          <w:p w14:paraId="4D8065F8">
            <w:pPr>
              <w:keepNext w:val="0"/>
              <w:keepLines w:val="0"/>
              <w:suppressLineNumbers w:val="0"/>
              <w:spacing w:before="0" w:beforeAutospacing="0" w:after="0" w:afterAutospacing="0" w:line="240" w:lineRule="auto"/>
              <w:ind w:left="0" w:leftChars="0" w:right="0" w:rightChars="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26</w:t>
            </w:r>
          </w:p>
        </w:tc>
        <w:tc>
          <w:tcPr>
            <w:tcW w:w="2116" w:type="dxa"/>
            <w:vAlign w:val="center"/>
          </w:tcPr>
          <w:p w14:paraId="4513A027">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递交投标文件的地点</w:t>
            </w:r>
          </w:p>
        </w:tc>
        <w:tc>
          <w:tcPr>
            <w:tcW w:w="7202" w:type="dxa"/>
            <w:vAlign w:val="center"/>
          </w:tcPr>
          <w:p w14:paraId="57A84CD2">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将由投标文件制作工具制作生成的加密投标文件在投标截止时间前（以上传完成时间为准）上传至衢州市阳光交易服务平台（网址：https://qzygjy.com/)。</w:t>
            </w:r>
          </w:p>
        </w:tc>
      </w:tr>
      <w:tr w14:paraId="3F37D796">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682" w:type="dxa"/>
            <w:vAlign w:val="center"/>
          </w:tcPr>
          <w:p w14:paraId="0FCBFD5A">
            <w:pPr>
              <w:keepNext w:val="0"/>
              <w:keepLines w:val="0"/>
              <w:suppressLineNumbers w:val="0"/>
              <w:spacing w:before="0" w:beforeAutospacing="0" w:after="0" w:afterAutospacing="0" w:line="240" w:lineRule="auto"/>
              <w:ind w:left="0" w:leftChars="0" w:right="0" w:rightChars="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27</w:t>
            </w:r>
          </w:p>
        </w:tc>
        <w:tc>
          <w:tcPr>
            <w:tcW w:w="2116" w:type="dxa"/>
            <w:vAlign w:val="center"/>
          </w:tcPr>
          <w:p w14:paraId="64810EA5">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投标文件的外包装和密封要求</w:t>
            </w:r>
          </w:p>
        </w:tc>
        <w:tc>
          <w:tcPr>
            <w:tcW w:w="7202" w:type="dxa"/>
            <w:vAlign w:val="center"/>
          </w:tcPr>
          <w:p w14:paraId="0D834046">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电子招投标，无密封要求。</w:t>
            </w:r>
          </w:p>
        </w:tc>
      </w:tr>
      <w:tr w14:paraId="565DF171">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vAlign w:val="center"/>
          </w:tcPr>
          <w:p w14:paraId="0B2AF2C7">
            <w:pPr>
              <w:keepNext w:val="0"/>
              <w:keepLines w:val="0"/>
              <w:suppressLineNumbers w:val="0"/>
              <w:spacing w:before="0" w:beforeAutospacing="0" w:after="0" w:afterAutospacing="0" w:line="240" w:lineRule="auto"/>
              <w:ind w:left="0" w:leftChars="0" w:right="0" w:rightChars="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28</w:t>
            </w:r>
          </w:p>
        </w:tc>
        <w:tc>
          <w:tcPr>
            <w:tcW w:w="2116" w:type="dxa"/>
            <w:vAlign w:val="center"/>
          </w:tcPr>
          <w:p w14:paraId="1551D9DA">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投标文件封面上应载明的信息</w:t>
            </w:r>
          </w:p>
        </w:tc>
        <w:tc>
          <w:tcPr>
            <w:tcW w:w="7202" w:type="dxa"/>
            <w:vAlign w:val="center"/>
          </w:tcPr>
          <w:p w14:paraId="7D6CFB46">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详见第六章</w:t>
            </w:r>
            <w:r>
              <w:rPr>
                <w:rFonts w:hint="eastAsia" w:ascii="宋体" w:hAnsi="宋体" w:cs="宋体"/>
                <w:color w:val="auto"/>
                <w:highlight w:val="none"/>
              </w:rPr>
              <w:t xml:space="preserve"> </w:t>
            </w:r>
            <w:r>
              <w:rPr>
                <w:rFonts w:hint="eastAsia" w:ascii="宋体" w:hAnsi="宋体" w:cs="宋体"/>
                <w:color w:val="auto"/>
                <w:highlight w:val="none"/>
                <w:lang w:val="zh-CN"/>
              </w:rPr>
              <w:t>投标文件格式。</w:t>
            </w:r>
          </w:p>
        </w:tc>
      </w:tr>
      <w:tr w14:paraId="3A8AFDA8">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vAlign w:val="center"/>
          </w:tcPr>
          <w:p w14:paraId="0C58E921">
            <w:pPr>
              <w:keepNext w:val="0"/>
              <w:keepLines w:val="0"/>
              <w:suppressLineNumbers w:val="0"/>
              <w:spacing w:before="0" w:beforeAutospacing="0" w:after="0" w:afterAutospacing="0" w:line="240" w:lineRule="auto"/>
              <w:ind w:left="0" w:leftChars="0" w:right="0" w:rightChars="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29</w:t>
            </w:r>
          </w:p>
        </w:tc>
        <w:tc>
          <w:tcPr>
            <w:tcW w:w="2116" w:type="dxa"/>
            <w:vAlign w:val="center"/>
          </w:tcPr>
          <w:p w14:paraId="371E163A">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签字或盖章要求</w:t>
            </w:r>
          </w:p>
        </w:tc>
        <w:tc>
          <w:tcPr>
            <w:tcW w:w="7202" w:type="dxa"/>
            <w:vAlign w:val="center"/>
          </w:tcPr>
          <w:p w14:paraId="01E418A4">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投标文件格式文件要求投标人盖章、法定代表人（或负责人）印章的地方，投标人均应使用CA数字证书加盖投标人的单位电子印章、法定代表人（或负责人）个人电子印章。</w:t>
            </w:r>
          </w:p>
        </w:tc>
      </w:tr>
      <w:tr w14:paraId="3C6E1D99">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vAlign w:val="center"/>
          </w:tcPr>
          <w:p w14:paraId="46666772">
            <w:pPr>
              <w:keepNext w:val="0"/>
              <w:keepLines w:val="0"/>
              <w:suppressLineNumbers w:val="0"/>
              <w:spacing w:before="0" w:beforeAutospacing="0" w:after="0" w:afterAutospacing="0" w:line="240" w:lineRule="auto"/>
              <w:ind w:left="0" w:leftChars="0" w:right="0" w:rightChars="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30</w:t>
            </w:r>
          </w:p>
        </w:tc>
        <w:tc>
          <w:tcPr>
            <w:tcW w:w="2116" w:type="dxa"/>
            <w:vAlign w:val="center"/>
          </w:tcPr>
          <w:p w14:paraId="7080FF84">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是否允许提交备选投标方案</w:t>
            </w:r>
          </w:p>
        </w:tc>
        <w:tc>
          <w:tcPr>
            <w:tcW w:w="7202" w:type="dxa"/>
            <w:vAlign w:val="center"/>
          </w:tcPr>
          <w:p w14:paraId="72F6A6A8">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不允许。</w:t>
            </w:r>
          </w:p>
        </w:tc>
      </w:tr>
      <w:tr w14:paraId="7064F37B">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vAlign w:val="center"/>
          </w:tcPr>
          <w:p w14:paraId="151DF68D">
            <w:pPr>
              <w:keepNext w:val="0"/>
              <w:keepLines w:val="0"/>
              <w:suppressLineNumbers w:val="0"/>
              <w:spacing w:before="0" w:beforeAutospacing="0" w:after="0" w:afterAutospacing="0" w:line="240" w:lineRule="auto"/>
              <w:ind w:left="0" w:leftChars="0" w:right="0" w:rightChars="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31</w:t>
            </w:r>
          </w:p>
        </w:tc>
        <w:tc>
          <w:tcPr>
            <w:tcW w:w="2116" w:type="dxa"/>
            <w:vAlign w:val="center"/>
          </w:tcPr>
          <w:p w14:paraId="5BB38566">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采购方式</w:t>
            </w:r>
          </w:p>
        </w:tc>
        <w:tc>
          <w:tcPr>
            <w:tcW w:w="7202" w:type="dxa"/>
            <w:vAlign w:val="center"/>
          </w:tcPr>
          <w:p w14:paraId="1D609233">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公开招标。</w:t>
            </w:r>
          </w:p>
        </w:tc>
      </w:tr>
      <w:tr w14:paraId="0AB07F89">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vAlign w:val="center"/>
          </w:tcPr>
          <w:p w14:paraId="3960525A">
            <w:pPr>
              <w:keepNext w:val="0"/>
              <w:keepLines w:val="0"/>
              <w:suppressLineNumbers w:val="0"/>
              <w:spacing w:before="0" w:beforeAutospacing="0" w:after="0" w:afterAutospacing="0" w:line="240" w:lineRule="auto"/>
              <w:ind w:left="0" w:leftChars="0" w:right="0" w:rightChars="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32</w:t>
            </w:r>
          </w:p>
        </w:tc>
        <w:tc>
          <w:tcPr>
            <w:tcW w:w="2116" w:type="dxa"/>
            <w:vAlign w:val="center"/>
          </w:tcPr>
          <w:p w14:paraId="6FD1949D">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评标委员会的组建</w:t>
            </w:r>
          </w:p>
        </w:tc>
        <w:tc>
          <w:tcPr>
            <w:tcW w:w="7202" w:type="dxa"/>
            <w:vAlign w:val="center"/>
          </w:tcPr>
          <w:p w14:paraId="4D132AAD">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评标委员会成员构成：共</w:t>
            </w:r>
            <w:r>
              <w:rPr>
                <w:rFonts w:hint="eastAsia" w:ascii="宋体" w:hAnsi="宋体" w:cs="宋体"/>
                <w:color w:val="auto"/>
                <w:highlight w:val="none"/>
                <w:u w:val="single"/>
                <w:lang w:val="zh-CN"/>
              </w:rPr>
              <w:t xml:space="preserve"> </w:t>
            </w:r>
            <w:r>
              <w:rPr>
                <w:rFonts w:hint="eastAsia" w:ascii="宋体" w:hAnsi="宋体" w:cs="宋体"/>
                <w:color w:val="auto"/>
                <w:highlight w:val="none"/>
                <w:u w:val="single"/>
                <w:lang w:val="en-US" w:eastAsia="zh-CN"/>
              </w:rPr>
              <w:t>5</w:t>
            </w: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人（</w:t>
            </w:r>
            <w:r>
              <w:rPr>
                <w:rFonts w:hint="eastAsia" w:ascii="宋体" w:hAnsi="宋体" w:cs="宋体"/>
                <w:color w:val="auto"/>
                <w:highlight w:val="none"/>
                <w:lang w:val="en-US" w:eastAsia="zh-CN"/>
              </w:rPr>
              <w:t>5</w:t>
            </w:r>
            <w:r>
              <w:rPr>
                <w:rFonts w:hint="eastAsia" w:ascii="宋体" w:hAnsi="宋体" w:cs="宋体"/>
                <w:color w:val="auto"/>
                <w:highlight w:val="none"/>
                <w:lang w:val="zh-CN"/>
              </w:rPr>
              <w:t>人及以上单数）。</w:t>
            </w:r>
          </w:p>
          <w:p w14:paraId="54D737F3">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评标专家确定方式：按规定随机选聘。</w:t>
            </w:r>
          </w:p>
        </w:tc>
      </w:tr>
      <w:tr w14:paraId="5500E90E">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vAlign w:val="center"/>
          </w:tcPr>
          <w:p w14:paraId="02B49E24">
            <w:pPr>
              <w:keepNext w:val="0"/>
              <w:keepLines w:val="0"/>
              <w:suppressLineNumbers w:val="0"/>
              <w:spacing w:before="0" w:beforeAutospacing="0" w:after="0" w:afterAutospacing="0" w:line="240" w:lineRule="auto"/>
              <w:ind w:left="0" w:leftChars="0" w:right="0" w:rightChars="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33</w:t>
            </w:r>
          </w:p>
        </w:tc>
        <w:tc>
          <w:tcPr>
            <w:tcW w:w="2116" w:type="dxa"/>
            <w:vAlign w:val="center"/>
          </w:tcPr>
          <w:p w14:paraId="466E2583">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评审办法</w:t>
            </w:r>
          </w:p>
        </w:tc>
        <w:tc>
          <w:tcPr>
            <w:tcW w:w="7202" w:type="dxa"/>
            <w:vAlign w:val="center"/>
          </w:tcPr>
          <w:p w14:paraId="3566184F">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综合评分法。</w:t>
            </w:r>
          </w:p>
        </w:tc>
      </w:tr>
      <w:tr w14:paraId="24179A19">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682" w:type="dxa"/>
            <w:vAlign w:val="center"/>
          </w:tcPr>
          <w:p w14:paraId="5F6643B5">
            <w:pPr>
              <w:keepNext w:val="0"/>
              <w:keepLines w:val="0"/>
              <w:suppressLineNumbers w:val="0"/>
              <w:spacing w:before="0" w:beforeAutospacing="0" w:after="0" w:afterAutospacing="0" w:line="240" w:lineRule="auto"/>
              <w:ind w:left="0" w:leftChars="0" w:right="0" w:rightChars="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34</w:t>
            </w:r>
          </w:p>
        </w:tc>
        <w:tc>
          <w:tcPr>
            <w:tcW w:w="2116" w:type="dxa"/>
            <w:vAlign w:val="center"/>
          </w:tcPr>
          <w:p w14:paraId="252A7150">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确定中标人</w:t>
            </w:r>
          </w:p>
        </w:tc>
        <w:tc>
          <w:tcPr>
            <w:tcW w:w="7202" w:type="dxa"/>
            <w:vAlign w:val="center"/>
          </w:tcPr>
          <w:p w14:paraId="7D8F827F">
            <w:pPr>
              <w:keepNext w:val="0"/>
              <w:keepLines w:val="0"/>
              <w:suppressLineNumbers w:val="0"/>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kern w:val="2"/>
                <w:sz w:val="24"/>
                <w:szCs w:val="24"/>
                <w:highlight w:val="none"/>
                <w:lang w:val="zh-CN" w:eastAsia="zh-CN" w:bidi="ar-SA"/>
              </w:rPr>
              <w:t>确定1个中标人，</w:t>
            </w:r>
            <w:r>
              <w:rPr>
                <w:rFonts w:hint="eastAsia" w:ascii="宋体" w:hAnsi="宋体" w:eastAsia="宋体" w:cs="宋体"/>
                <w:color w:val="auto"/>
                <w:highlight w:val="none"/>
                <w:lang w:val="zh-CN"/>
              </w:rPr>
              <w:t>中标结果在衢州市阳光交易服务平台、浙江政府采购网公告，公告期限为 1 个工作日。</w:t>
            </w:r>
          </w:p>
        </w:tc>
      </w:tr>
      <w:tr w14:paraId="4B9BF103">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82" w:type="dxa"/>
            <w:vAlign w:val="center"/>
          </w:tcPr>
          <w:p w14:paraId="1261243C">
            <w:pPr>
              <w:keepNext w:val="0"/>
              <w:keepLines w:val="0"/>
              <w:suppressLineNumbers w:val="0"/>
              <w:spacing w:before="0" w:beforeAutospacing="0" w:after="0" w:afterAutospacing="0" w:line="240" w:lineRule="auto"/>
              <w:ind w:left="0" w:leftChars="0" w:right="0" w:rightChars="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35</w:t>
            </w:r>
          </w:p>
        </w:tc>
        <w:tc>
          <w:tcPr>
            <w:tcW w:w="2116" w:type="dxa"/>
            <w:vAlign w:val="center"/>
          </w:tcPr>
          <w:p w14:paraId="13A88411">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履约保证金的缴纳与退还</w:t>
            </w:r>
          </w:p>
        </w:tc>
        <w:tc>
          <w:tcPr>
            <w:tcW w:w="7202" w:type="dxa"/>
            <w:vAlign w:val="center"/>
          </w:tcPr>
          <w:p w14:paraId="26EB13B0">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szCs w:val="21"/>
                <w:highlight w:val="none"/>
                <w:lang w:eastAsia="zh-CN"/>
              </w:rPr>
              <w:t>壹万元</w:t>
            </w:r>
            <w:r>
              <w:rPr>
                <w:rFonts w:hint="eastAsia" w:ascii="宋体" w:hAnsi="宋体" w:eastAsia="宋体" w:cs="宋体"/>
                <w:color w:val="auto"/>
                <w:kern w:val="2"/>
                <w:sz w:val="24"/>
                <w:szCs w:val="24"/>
                <w:highlight w:val="none"/>
                <w:lang w:val="zh-CN" w:eastAsia="zh-CN" w:bidi="ar-SA"/>
              </w:rPr>
              <w:t>。中标通知书发出后合同签订前，中标人缴纳至采购人规定账户，</w:t>
            </w:r>
            <w:r>
              <w:rPr>
                <w:rFonts w:hint="eastAsia" w:ascii="宋体" w:hAnsi="宋体" w:cs="宋体"/>
                <w:color w:val="auto"/>
                <w:kern w:val="2"/>
                <w:sz w:val="24"/>
                <w:szCs w:val="24"/>
                <w:highlight w:val="none"/>
                <w:lang w:val="zh-CN" w:eastAsia="zh-CN" w:bidi="ar-SA"/>
              </w:rPr>
              <w:t>合同款付款结束且无违约责任情况下</w:t>
            </w:r>
            <w:r>
              <w:rPr>
                <w:rFonts w:hint="eastAsia" w:ascii="宋体" w:hAnsi="宋体" w:eastAsia="宋体" w:cs="宋体"/>
                <w:color w:val="auto"/>
                <w:kern w:val="2"/>
                <w:sz w:val="24"/>
                <w:szCs w:val="24"/>
                <w:highlight w:val="none"/>
                <w:lang w:val="zh-CN" w:eastAsia="zh-CN" w:bidi="ar-SA"/>
              </w:rPr>
              <w:t>30日</w:t>
            </w:r>
            <w:r>
              <w:rPr>
                <w:rFonts w:hint="eastAsia" w:ascii="宋体" w:hAnsi="宋体" w:cs="宋体"/>
                <w:color w:val="auto"/>
                <w:kern w:val="2"/>
                <w:sz w:val="24"/>
                <w:szCs w:val="24"/>
                <w:highlight w:val="none"/>
                <w:lang w:val="zh-CN" w:eastAsia="zh-CN" w:bidi="ar-SA"/>
              </w:rPr>
              <w:t>内</w:t>
            </w:r>
            <w:r>
              <w:rPr>
                <w:rFonts w:hint="eastAsia" w:ascii="宋体" w:hAnsi="宋体" w:eastAsia="宋体" w:cs="宋体"/>
                <w:color w:val="auto"/>
                <w:kern w:val="2"/>
                <w:sz w:val="24"/>
                <w:szCs w:val="24"/>
                <w:highlight w:val="none"/>
                <w:lang w:val="zh-CN" w:eastAsia="zh-CN" w:bidi="ar-SA"/>
              </w:rPr>
              <w:t>无息退还。</w:t>
            </w:r>
          </w:p>
        </w:tc>
      </w:tr>
      <w:tr w14:paraId="1B1F1922">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vAlign w:val="center"/>
          </w:tcPr>
          <w:p w14:paraId="533480FD">
            <w:pPr>
              <w:keepNext w:val="0"/>
              <w:keepLines w:val="0"/>
              <w:suppressLineNumbers w:val="0"/>
              <w:spacing w:before="0" w:beforeAutospacing="0" w:after="0" w:afterAutospacing="0" w:line="240" w:lineRule="auto"/>
              <w:ind w:left="0" w:leftChars="0" w:right="0" w:rightChars="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3</w:t>
            </w:r>
            <w:r>
              <w:rPr>
                <w:rFonts w:hint="eastAsia" w:ascii="宋体" w:hAnsi="宋体" w:cs="宋体"/>
                <w:color w:val="auto"/>
                <w:highlight w:val="none"/>
                <w:lang w:val="en-US" w:eastAsia="zh-CN"/>
              </w:rPr>
              <w:t>6</w:t>
            </w:r>
          </w:p>
        </w:tc>
        <w:tc>
          <w:tcPr>
            <w:tcW w:w="2116" w:type="dxa"/>
            <w:vAlign w:val="center"/>
          </w:tcPr>
          <w:p w14:paraId="6BB18578">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签订合同时间</w:t>
            </w:r>
          </w:p>
        </w:tc>
        <w:tc>
          <w:tcPr>
            <w:tcW w:w="7202" w:type="dxa"/>
            <w:vAlign w:val="center"/>
          </w:tcPr>
          <w:p w14:paraId="1241E4CB">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中标通知书发出后30日内</w:t>
            </w:r>
          </w:p>
        </w:tc>
      </w:tr>
      <w:tr w14:paraId="004B20CE">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vAlign w:val="center"/>
          </w:tcPr>
          <w:p w14:paraId="3FB5D389">
            <w:pPr>
              <w:keepNext w:val="0"/>
              <w:keepLines w:val="0"/>
              <w:suppressLineNumbers w:val="0"/>
              <w:spacing w:before="0" w:beforeAutospacing="0" w:after="0" w:afterAutospacing="0" w:line="240" w:lineRule="auto"/>
              <w:ind w:left="0" w:leftChars="0" w:right="0" w:rightChars="0" w:firstLine="0" w:firstLineChars="0"/>
              <w:jc w:val="center"/>
              <w:rPr>
                <w:rFonts w:hint="default" w:ascii="宋体" w:hAnsi="宋体" w:cs="宋体"/>
                <w:color w:val="auto"/>
                <w:highlight w:val="none"/>
                <w:lang w:val="zh-CN"/>
              </w:rPr>
            </w:pPr>
            <w:r>
              <w:rPr>
                <w:rFonts w:hint="eastAsia" w:ascii="宋体" w:hAnsi="宋体" w:cs="宋体"/>
                <w:color w:val="auto"/>
                <w:highlight w:val="none"/>
              </w:rPr>
              <w:t>3</w:t>
            </w:r>
            <w:r>
              <w:rPr>
                <w:rFonts w:hint="eastAsia" w:ascii="宋体" w:hAnsi="宋体" w:cs="宋体"/>
                <w:color w:val="auto"/>
                <w:highlight w:val="none"/>
                <w:lang w:val="en-US" w:eastAsia="zh-CN"/>
              </w:rPr>
              <w:t>7</w:t>
            </w:r>
          </w:p>
        </w:tc>
        <w:tc>
          <w:tcPr>
            <w:tcW w:w="2116" w:type="dxa"/>
            <w:vAlign w:val="center"/>
          </w:tcPr>
          <w:p w14:paraId="122354CB">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采购信息发布媒体</w:t>
            </w:r>
          </w:p>
        </w:tc>
        <w:tc>
          <w:tcPr>
            <w:tcW w:w="7202" w:type="dxa"/>
            <w:vAlign w:val="center"/>
          </w:tcPr>
          <w:p w14:paraId="1537AC7C">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衢州市阳光交易服务平台（https://qzygjy.com/）、浙江省政府采购网（</w:t>
            </w:r>
            <w:r>
              <w:rPr>
                <w:rFonts w:hint="default"/>
                <w:color w:val="auto"/>
                <w:highlight w:val="none"/>
              </w:rPr>
              <w:fldChar w:fldCharType="begin"/>
            </w:r>
            <w:r>
              <w:rPr>
                <w:rFonts w:hint="default"/>
                <w:color w:val="auto"/>
                <w:highlight w:val="none"/>
              </w:rPr>
              <w:instrText xml:space="preserve"> HYPERLINK "http://zfcg.czt.zj.gov.cn/" </w:instrText>
            </w:r>
            <w:r>
              <w:rPr>
                <w:rFonts w:hint="default"/>
                <w:color w:val="auto"/>
                <w:highlight w:val="none"/>
              </w:rPr>
              <w:fldChar w:fldCharType="separate"/>
            </w:r>
            <w:r>
              <w:rPr>
                <w:rFonts w:hint="eastAsia" w:ascii="宋体" w:hAnsi="宋体" w:cs="宋体"/>
                <w:color w:val="auto"/>
                <w:highlight w:val="none"/>
                <w:lang w:val="zh-CN"/>
              </w:rPr>
              <w:t>http://zfcg.czt.zj.gov.cn/</w:t>
            </w:r>
            <w:r>
              <w:rPr>
                <w:rFonts w:hint="eastAsia" w:ascii="宋体" w:hAnsi="宋体" w:cs="宋体"/>
                <w:color w:val="auto"/>
                <w:highlight w:val="none"/>
                <w:lang w:val="zh-CN"/>
              </w:rPr>
              <w:fldChar w:fldCharType="end"/>
            </w:r>
            <w:r>
              <w:rPr>
                <w:rFonts w:hint="eastAsia" w:ascii="宋体" w:hAnsi="宋体" w:cs="宋体"/>
                <w:color w:val="auto"/>
                <w:highlight w:val="none"/>
                <w:lang w:val="zh-CN"/>
              </w:rPr>
              <w:t>）</w:t>
            </w:r>
          </w:p>
        </w:tc>
      </w:tr>
      <w:tr w14:paraId="61CC387E">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vAlign w:val="center"/>
          </w:tcPr>
          <w:p w14:paraId="55BEB1C2">
            <w:pPr>
              <w:keepNext w:val="0"/>
              <w:keepLines w:val="0"/>
              <w:suppressLineNumbers w:val="0"/>
              <w:spacing w:before="0" w:beforeAutospacing="0" w:after="0" w:afterAutospacing="0" w:line="240" w:lineRule="auto"/>
              <w:ind w:left="0" w:leftChars="0" w:right="0" w:rightChars="0" w:firstLine="0" w:firstLineChars="0"/>
              <w:jc w:val="center"/>
              <w:rPr>
                <w:rFonts w:hint="eastAsia" w:ascii="宋体" w:hAnsi="宋体" w:eastAsia="宋体" w:cs="宋体"/>
                <w:color w:val="auto"/>
                <w:highlight w:val="none"/>
                <w:lang w:val="zh-CN" w:eastAsia="zh-CN"/>
              </w:rPr>
            </w:pPr>
            <w:r>
              <w:rPr>
                <w:rFonts w:hint="eastAsia" w:ascii="宋体" w:hAnsi="宋体" w:cs="宋体"/>
                <w:color w:val="auto"/>
                <w:highlight w:val="none"/>
                <w:lang w:val="en-US" w:eastAsia="zh-CN"/>
              </w:rPr>
              <w:t>38</w:t>
            </w:r>
          </w:p>
        </w:tc>
        <w:tc>
          <w:tcPr>
            <w:tcW w:w="2116" w:type="dxa"/>
            <w:vAlign w:val="center"/>
          </w:tcPr>
          <w:p w14:paraId="25BBC04D">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投标人质疑</w:t>
            </w:r>
          </w:p>
        </w:tc>
        <w:tc>
          <w:tcPr>
            <w:tcW w:w="7202" w:type="dxa"/>
            <w:vAlign w:val="center"/>
          </w:tcPr>
          <w:p w14:paraId="576175E0">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 xml:space="preserve">名称：衢州宇信工程咨询有限公司  </w:t>
            </w:r>
          </w:p>
          <w:p w14:paraId="19F7F573">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地址：龙游县龙洲街道广和商务楼3楼306室</w:t>
            </w:r>
          </w:p>
          <w:p w14:paraId="795D06D0">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质疑联系人：徐女士</w:t>
            </w:r>
          </w:p>
          <w:p w14:paraId="556D317E">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质疑联系方式：0570-7018388</w:t>
            </w:r>
          </w:p>
        </w:tc>
      </w:tr>
      <w:tr w14:paraId="12FE2D20">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vAlign w:val="center"/>
          </w:tcPr>
          <w:p w14:paraId="58B10816">
            <w:pPr>
              <w:keepNext w:val="0"/>
              <w:keepLines w:val="0"/>
              <w:suppressLineNumbers w:val="0"/>
              <w:spacing w:before="0" w:beforeAutospacing="0" w:after="0" w:afterAutospacing="0" w:line="240" w:lineRule="auto"/>
              <w:ind w:left="0" w:leftChars="0" w:right="0" w:rightChars="0" w:firstLine="0" w:firstLineChars="0"/>
              <w:jc w:val="center"/>
              <w:rPr>
                <w:rFonts w:hint="eastAsia" w:ascii="宋体" w:hAnsi="宋体" w:eastAsia="宋体" w:cs="宋体"/>
                <w:color w:val="auto"/>
                <w:highlight w:val="none"/>
                <w:lang w:val="zh-CN" w:eastAsia="zh-CN"/>
              </w:rPr>
            </w:pPr>
            <w:r>
              <w:rPr>
                <w:rFonts w:hint="eastAsia" w:ascii="宋体" w:hAnsi="宋体" w:cs="宋体"/>
                <w:color w:val="auto"/>
                <w:highlight w:val="none"/>
                <w:lang w:val="en-US" w:eastAsia="zh-CN"/>
              </w:rPr>
              <w:t>39</w:t>
            </w:r>
          </w:p>
        </w:tc>
        <w:tc>
          <w:tcPr>
            <w:tcW w:w="2116" w:type="dxa"/>
            <w:vAlign w:val="center"/>
          </w:tcPr>
          <w:p w14:paraId="6539E2EE">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投标人投诉</w:t>
            </w:r>
          </w:p>
        </w:tc>
        <w:tc>
          <w:tcPr>
            <w:tcW w:w="7202" w:type="dxa"/>
            <w:vAlign w:val="center"/>
          </w:tcPr>
          <w:p w14:paraId="02112D5E">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名称：龙游县水务集团有限公司招投标分中心</w:t>
            </w:r>
          </w:p>
          <w:p w14:paraId="25A1E0CB">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地址：龙游县龙洲街道荣昌路东道35号</w:t>
            </w:r>
          </w:p>
          <w:p w14:paraId="170B397B">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联系人：夏先生</w:t>
            </w:r>
          </w:p>
          <w:p w14:paraId="0212DB75">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监督投诉方式：18367058222</w:t>
            </w:r>
          </w:p>
        </w:tc>
      </w:tr>
      <w:tr w14:paraId="52711642">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vAlign w:val="center"/>
          </w:tcPr>
          <w:p w14:paraId="675ADFFB">
            <w:pPr>
              <w:keepNext w:val="0"/>
              <w:keepLines w:val="0"/>
              <w:suppressLineNumbers w:val="0"/>
              <w:spacing w:before="0" w:beforeAutospacing="0" w:after="0" w:afterAutospacing="0" w:line="240" w:lineRule="auto"/>
              <w:ind w:left="0" w:leftChars="0" w:right="0" w:rightChars="0" w:firstLine="0" w:firstLineChars="0"/>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40</w:t>
            </w:r>
          </w:p>
        </w:tc>
        <w:tc>
          <w:tcPr>
            <w:tcW w:w="2116" w:type="dxa"/>
            <w:vAlign w:val="center"/>
          </w:tcPr>
          <w:p w14:paraId="70270BA6">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解释权</w:t>
            </w:r>
          </w:p>
        </w:tc>
        <w:tc>
          <w:tcPr>
            <w:tcW w:w="7202" w:type="dxa"/>
            <w:vAlign w:val="center"/>
          </w:tcPr>
          <w:p w14:paraId="3D6EB298">
            <w:pPr>
              <w:keepNext w:val="0"/>
              <w:keepLines w:val="0"/>
              <w:suppressLineNumbers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本文件的解释权属于采购人</w:t>
            </w:r>
          </w:p>
        </w:tc>
      </w:tr>
    </w:tbl>
    <w:p w14:paraId="270B57C0">
      <w:pPr>
        <w:pStyle w:val="10"/>
        <w:numPr>
          <w:ilvl w:val="1"/>
          <w:numId w:val="0"/>
        </w:numPr>
        <w:spacing w:beforeLines="0" w:afterLines="0"/>
        <w:rPr>
          <w:rFonts w:ascii="宋体" w:hAnsi="宋体" w:cs="宋体"/>
          <w:b/>
          <w:bCs w:val="0"/>
          <w:color w:val="auto"/>
          <w:highlight w:val="none"/>
          <w:lang w:bidi="ar"/>
        </w:rPr>
      </w:pPr>
      <w:bookmarkStart w:id="310" w:name="_Toc3095"/>
      <w:bookmarkStart w:id="311" w:name="_Toc7393"/>
      <w:bookmarkStart w:id="312" w:name="_Toc5088"/>
      <w:bookmarkStart w:id="313" w:name="_Toc12264"/>
      <w:bookmarkStart w:id="314" w:name="_Toc19328"/>
      <w:bookmarkStart w:id="315" w:name="_Toc8910"/>
      <w:r>
        <w:rPr>
          <w:rFonts w:hint="eastAsia" w:ascii="宋体" w:hAnsi="宋体" w:cs="宋体"/>
          <w:b/>
          <w:bCs w:val="0"/>
          <w:color w:val="auto"/>
          <w:highlight w:val="none"/>
          <w:lang w:bidi="ar"/>
        </w:rPr>
        <w:t>二、总 则</w:t>
      </w:r>
      <w:bookmarkEnd w:id="310"/>
      <w:bookmarkEnd w:id="311"/>
    </w:p>
    <w:p w14:paraId="35EDAD95">
      <w:pPr>
        <w:pStyle w:val="36"/>
        <w:widowControl w:val="0"/>
        <w:numPr>
          <w:ilvl w:val="0"/>
          <w:numId w:val="3"/>
        </w:numPr>
        <w:adjustRightInd w:val="0"/>
        <w:snapToGrid w:val="0"/>
        <w:spacing w:line="312" w:lineRule="auto"/>
        <w:ind w:left="960" w:hanging="425" w:firstLineChars="0"/>
        <w:jc w:val="both"/>
        <w:rPr>
          <w:rFonts w:ascii="宋体" w:hAnsi="宋体" w:cs="宋体"/>
          <w:color w:val="auto"/>
          <w:highlight w:val="none"/>
        </w:rPr>
      </w:pPr>
      <w:r>
        <w:rPr>
          <w:rFonts w:hint="eastAsia" w:ascii="宋体" w:hAnsi="宋体" w:cs="宋体"/>
          <w:color w:val="auto"/>
          <w:highlight w:val="none"/>
        </w:rPr>
        <w:t>编制依据</w:t>
      </w:r>
    </w:p>
    <w:p w14:paraId="35E9DC20">
      <w:pPr>
        <w:pStyle w:val="36"/>
        <w:widowControl w:val="0"/>
        <w:adjustRightInd w:val="0"/>
        <w:snapToGrid w:val="0"/>
        <w:spacing w:line="312" w:lineRule="auto"/>
        <w:ind w:firstLine="480"/>
        <w:jc w:val="both"/>
        <w:rPr>
          <w:rFonts w:ascii="宋体" w:hAnsi="宋体" w:cs="宋体"/>
          <w:color w:val="auto"/>
          <w:highlight w:val="none"/>
        </w:rPr>
      </w:pPr>
      <w:r>
        <w:rPr>
          <w:rFonts w:hint="eastAsia" w:ascii="宋体" w:hAnsi="宋体" w:cs="宋体"/>
          <w:color w:val="auto"/>
          <w:highlight w:val="none"/>
        </w:rPr>
        <w:t>根据《龙游县国有企业采购管理办法》（龙政办发〔2021〕58号），参照《中华人民共和国政府采购法》《中华人民共和国政府采购法实施条例》以及政府采购有关规定，编制本招标文件。</w:t>
      </w:r>
    </w:p>
    <w:p w14:paraId="11C2A560">
      <w:pPr>
        <w:pStyle w:val="36"/>
        <w:widowControl w:val="0"/>
        <w:numPr>
          <w:ilvl w:val="0"/>
          <w:numId w:val="3"/>
        </w:numPr>
        <w:adjustRightInd w:val="0"/>
        <w:snapToGrid w:val="0"/>
        <w:spacing w:line="312" w:lineRule="auto"/>
        <w:ind w:left="960" w:hanging="425" w:firstLineChars="0"/>
        <w:jc w:val="both"/>
        <w:rPr>
          <w:rFonts w:ascii="宋体" w:hAnsi="宋体" w:cs="宋体"/>
          <w:color w:val="auto"/>
          <w:highlight w:val="none"/>
        </w:rPr>
      </w:pPr>
      <w:r>
        <w:rPr>
          <w:rFonts w:hint="eastAsia" w:ascii="宋体" w:hAnsi="宋体" w:cs="宋体"/>
          <w:color w:val="auto"/>
          <w:highlight w:val="none"/>
        </w:rPr>
        <w:t>定 义</w:t>
      </w:r>
    </w:p>
    <w:p w14:paraId="3073AC7B">
      <w:pPr>
        <w:pStyle w:val="36"/>
        <w:widowControl w:val="0"/>
        <w:numPr>
          <w:ilvl w:val="1"/>
          <w:numId w:val="3"/>
        </w:numPr>
        <w:tabs>
          <w:tab w:val="left" w:pos="171"/>
          <w:tab w:val="clear" w:pos="0"/>
        </w:tabs>
        <w:adjustRightInd w:val="0"/>
        <w:snapToGrid w:val="0"/>
        <w:spacing w:line="312" w:lineRule="auto"/>
        <w:ind w:left="0" w:firstLine="480" w:firstLineChars="200"/>
        <w:jc w:val="both"/>
        <w:rPr>
          <w:rFonts w:ascii="宋体" w:hAnsi="宋体" w:cs="宋体"/>
          <w:color w:val="auto"/>
          <w:highlight w:val="none"/>
        </w:rPr>
      </w:pPr>
      <w:r>
        <w:rPr>
          <w:rFonts w:hint="eastAsia" w:ascii="宋体" w:hAnsi="宋体" w:cs="宋体"/>
          <w:bCs/>
          <w:snapToGrid w:val="0"/>
          <w:color w:val="auto"/>
          <w:highlight w:val="none"/>
        </w:rPr>
        <w:t>采购人，是指本次采购货物或服务的购买单位。</w:t>
      </w:r>
    </w:p>
    <w:p w14:paraId="5A61CE2E">
      <w:pPr>
        <w:pStyle w:val="36"/>
        <w:widowControl w:val="0"/>
        <w:numPr>
          <w:ilvl w:val="1"/>
          <w:numId w:val="3"/>
        </w:numPr>
        <w:tabs>
          <w:tab w:val="left" w:pos="171"/>
          <w:tab w:val="clear" w:pos="0"/>
        </w:tabs>
        <w:adjustRightInd w:val="0"/>
        <w:snapToGrid w:val="0"/>
        <w:spacing w:line="312" w:lineRule="auto"/>
        <w:ind w:left="0" w:firstLine="480" w:firstLineChars="200"/>
        <w:jc w:val="both"/>
        <w:rPr>
          <w:rFonts w:ascii="宋体" w:hAnsi="宋体" w:cs="宋体"/>
          <w:color w:val="auto"/>
          <w:highlight w:val="none"/>
        </w:rPr>
      </w:pPr>
      <w:r>
        <w:rPr>
          <w:rFonts w:hint="eastAsia" w:ascii="宋体" w:hAnsi="宋体" w:cs="宋体"/>
          <w:color w:val="auto"/>
          <w:highlight w:val="none"/>
        </w:rPr>
        <w:t>投标人，是指响应招标、参加投标竞争的法人</w:t>
      </w:r>
      <w:r>
        <w:rPr>
          <w:rFonts w:hint="eastAsia" w:ascii="宋体" w:hAnsi="宋体" w:cs="宋体"/>
          <w:color w:val="auto"/>
          <w:highlight w:val="none"/>
          <w:lang w:val="en-US" w:eastAsia="zh-CN"/>
        </w:rPr>
        <w:t>或其他组织</w:t>
      </w:r>
      <w:r>
        <w:rPr>
          <w:rFonts w:hint="eastAsia" w:ascii="宋体" w:hAnsi="宋体" w:cs="宋体"/>
          <w:color w:val="auto"/>
          <w:highlight w:val="none"/>
        </w:rPr>
        <w:t>。</w:t>
      </w:r>
    </w:p>
    <w:p w14:paraId="5A61B476">
      <w:pPr>
        <w:pStyle w:val="36"/>
        <w:widowControl w:val="0"/>
        <w:numPr>
          <w:ilvl w:val="1"/>
          <w:numId w:val="3"/>
        </w:numPr>
        <w:tabs>
          <w:tab w:val="left" w:pos="171"/>
          <w:tab w:val="clear" w:pos="0"/>
        </w:tabs>
        <w:adjustRightInd w:val="0"/>
        <w:snapToGrid w:val="0"/>
        <w:spacing w:line="312" w:lineRule="auto"/>
        <w:ind w:left="0" w:firstLine="480" w:firstLineChars="200"/>
        <w:jc w:val="both"/>
        <w:rPr>
          <w:rFonts w:ascii="宋体" w:hAnsi="宋体" w:cs="宋体"/>
          <w:color w:val="auto"/>
          <w:highlight w:val="none"/>
        </w:rPr>
      </w:pPr>
      <w:r>
        <w:rPr>
          <w:rFonts w:hint="eastAsia" w:ascii="宋体" w:hAnsi="宋体" w:cs="宋体"/>
          <w:color w:val="auto"/>
          <w:highlight w:val="none"/>
        </w:rPr>
        <w:t>采购代理机构（采购组织机构），是指</w:t>
      </w:r>
      <w:r>
        <w:rPr>
          <w:rFonts w:hint="eastAsia" w:ascii="宋体" w:hAnsi="宋体" w:cs="宋体"/>
          <w:color w:val="auto"/>
          <w:highlight w:val="none"/>
          <w:shd w:val="clear" w:color="auto" w:fill="FFFFFF"/>
        </w:rPr>
        <w:t>在采购活动中根据</w:t>
      </w:r>
      <w:r>
        <w:rPr>
          <w:color w:val="auto"/>
          <w:highlight w:val="none"/>
        </w:rPr>
        <w:fldChar w:fldCharType="begin"/>
      </w:r>
      <w:r>
        <w:rPr>
          <w:color w:val="auto"/>
          <w:highlight w:val="none"/>
        </w:rPr>
        <w:instrText xml:space="preserve"> HYPERLINK "http://www.so.com/s?q=%E9%87%87%E8%B4%AD%E4%BA%BA&amp;ie=utf-8&amp;src=internal_wenda_recommend_textn" \t "https://wenda.so.com/q/_blank" </w:instrText>
      </w:r>
      <w:r>
        <w:rPr>
          <w:color w:val="auto"/>
          <w:highlight w:val="none"/>
        </w:rPr>
        <w:fldChar w:fldCharType="separate"/>
      </w:r>
      <w:r>
        <w:rPr>
          <w:rStyle w:val="46"/>
          <w:rFonts w:hint="eastAsia" w:ascii="宋体" w:hAnsi="宋体" w:cs="宋体"/>
          <w:color w:val="auto"/>
          <w:highlight w:val="none"/>
          <w:shd w:val="clear" w:color="auto" w:fill="FFFFFF"/>
        </w:rPr>
        <w:t>采购人</w:t>
      </w:r>
      <w:r>
        <w:rPr>
          <w:rStyle w:val="46"/>
          <w:rFonts w:hint="eastAsia" w:ascii="宋体" w:hAnsi="宋体" w:cs="宋体"/>
          <w:color w:val="auto"/>
          <w:highlight w:val="none"/>
          <w:shd w:val="clear" w:color="auto" w:fill="FFFFFF"/>
        </w:rPr>
        <w:fldChar w:fldCharType="end"/>
      </w:r>
      <w:r>
        <w:rPr>
          <w:rFonts w:hint="eastAsia" w:ascii="宋体" w:hAnsi="宋体" w:cs="宋体"/>
          <w:color w:val="auto"/>
          <w:highlight w:val="none"/>
          <w:shd w:val="clear" w:color="auto" w:fill="FFFFFF"/>
        </w:rPr>
        <w:t>的委托代理采购</w:t>
      </w:r>
      <w:r>
        <w:rPr>
          <w:color w:val="auto"/>
          <w:highlight w:val="none"/>
        </w:rPr>
        <w:fldChar w:fldCharType="begin"/>
      </w:r>
      <w:r>
        <w:rPr>
          <w:color w:val="auto"/>
          <w:highlight w:val="none"/>
        </w:rPr>
        <w:instrText xml:space="preserve"> HYPERLINK "http://www.so.com/s?q=%E4%BA%8B%E5%AE%9C&amp;ie=utf-8&amp;src=internal_wenda_recommend_textn" \t "https://wenda.so.com/q/_blank" </w:instrText>
      </w:r>
      <w:r>
        <w:rPr>
          <w:color w:val="auto"/>
          <w:highlight w:val="none"/>
        </w:rPr>
        <w:fldChar w:fldCharType="separate"/>
      </w:r>
      <w:r>
        <w:rPr>
          <w:rStyle w:val="46"/>
          <w:rFonts w:hint="eastAsia" w:ascii="宋体" w:hAnsi="宋体" w:cs="宋体"/>
          <w:color w:val="auto"/>
          <w:highlight w:val="none"/>
          <w:shd w:val="clear" w:color="auto" w:fill="FFFFFF"/>
        </w:rPr>
        <w:t>事宜</w:t>
      </w:r>
      <w:r>
        <w:rPr>
          <w:rStyle w:val="46"/>
          <w:rFonts w:hint="eastAsia" w:ascii="宋体" w:hAnsi="宋体" w:cs="宋体"/>
          <w:color w:val="auto"/>
          <w:highlight w:val="none"/>
          <w:shd w:val="clear" w:color="auto" w:fill="FFFFFF"/>
        </w:rPr>
        <w:fldChar w:fldCharType="end"/>
      </w:r>
      <w:r>
        <w:rPr>
          <w:rFonts w:hint="eastAsia" w:ascii="宋体" w:hAnsi="宋体" w:cs="宋体"/>
          <w:color w:val="auto"/>
          <w:highlight w:val="none"/>
          <w:shd w:val="clear" w:color="auto" w:fill="FFFFFF"/>
        </w:rPr>
        <w:t>的机构</w:t>
      </w:r>
      <w:r>
        <w:rPr>
          <w:rFonts w:hint="eastAsia" w:ascii="宋体" w:hAnsi="宋体" w:cs="宋体"/>
          <w:color w:val="auto"/>
          <w:highlight w:val="none"/>
        </w:rPr>
        <w:t>。</w:t>
      </w:r>
    </w:p>
    <w:p w14:paraId="0BCA74AA">
      <w:pPr>
        <w:pStyle w:val="36"/>
        <w:widowControl w:val="0"/>
        <w:numPr>
          <w:ilvl w:val="1"/>
          <w:numId w:val="3"/>
        </w:numPr>
        <w:tabs>
          <w:tab w:val="left" w:pos="171"/>
          <w:tab w:val="clear" w:pos="0"/>
        </w:tabs>
        <w:adjustRightInd w:val="0"/>
        <w:snapToGrid w:val="0"/>
        <w:spacing w:line="312" w:lineRule="auto"/>
        <w:ind w:left="0" w:firstLine="480" w:firstLineChars="200"/>
        <w:jc w:val="both"/>
        <w:rPr>
          <w:rFonts w:ascii="宋体" w:hAnsi="宋体" w:cs="宋体"/>
          <w:color w:val="auto"/>
          <w:highlight w:val="none"/>
        </w:rPr>
      </w:pPr>
      <w:r>
        <w:rPr>
          <w:rFonts w:hint="eastAsia" w:ascii="宋体" w:hAnsi="宋体" w:cs="宋体"/>
          <w:color w:val="auto"/>
          <w:highlight w:val="none"/>
        </w:rPr>
        <w:t>原件，是指原始件（即：资料生成时的原始形态，包括所加盖的印章、相关人员的签字笔迹等均是原始印痕、印迹和行迹）。</w:t>
      </w:r>
    </w:p>
    <w:p w14:paraId="2748DC4F">
      <w:pPr>
        <w:pStyle w:val="36"/>
        <w:widowControl w:val="0"/>
        <w:numPr>
          <w:ilvl w:val="1"/>
          <w:numId w:val="3"/>
        </w:numPr>
        <w:tabs>
          <w:tab w:val="left" w:pos="171"/>
          <w:tab w:val="clear" w:pos="0"/>
        </w:tabs>
        <w:adjustRightInd w:val="0"/>
        <w:snapToGrid w:val="0"/>
        <w:spacing w:line="312" w:lineRule="auto"/>
        <w:ind w:left="0" w:firstLine="480" w:firstLineChars="200"/>
        <w:jc w:val="both"/>
        <w:rPr>
          <w:rFonts w:ascii="宋体" w:hAnsi="宋体" w:cs="宋体"/>
          <w:color w:val="auto"/>
          <w:highlight w:val="none"/>
        </w:rPr>
      </w:pPr>
      <w:r>
        <w:rPr>
          <w:rFonts w:hint="eastAsia" w:ascii="宋体" w:hAnsi="宋体" w:cs="宋体"/>
          <w:color w:val="auto"/>
          <w:highlight w:val="none"/>
        </w:rPr>
        <w:t>书面形式，包括文字的打印或复印件、传真、信函、电传、电报、</w:t>
      </w:r>
      <w:r>
        <w:rPr>
          <w:rFonts w:hint="eastAsia" w:ascii="宋体" w:hAnsi="宋体" w:cs="宋体"/>
          <w:color w:val="auto"/>
          <w:highlight w:val="none"/>
          <w:shd w:val="clear" w:color="auto" w:fill="FFFFFF"/>
        </w:rPr>
        <w:t>电子邮件、</w:t>
      </w:r>
      <w:r>
        <w:rPr>
          <w:rFonts w:hint="eastAsia" w:ascii="宋体" w:hAnsi="宋体" w:cs="宋体"/>
          <w:color w:val="auto"/>
          <w:highlight w:val="none"/>
          <w:lang w:val="zh-CN"/>
        </w:rPr>
        <w:t>衢州市阳光交易服务平台、</w:t>
      </w:r>
      <w:r>
        <w:rPr>
          <w:rFonts w:hint="eastAsia" w:ascii="宋体" w:hAnsi="宋体" w:cs="宋体"/>
          <w:color w:val="auto"/>
          <w:highlight w:val="none"/>
        </w:rPr>
        <w:t>浙江政府采购网网站发布的公告</w:t>
      </w:r>
      <w:r>
        <w:rPr>
          <w:rFonts w:hint="eastAsia" w:ascii="宋体" w:hAnsi="宋体" w:cs="宋体"/>
          <w:color w:val="auto"/>
          <w:highlight w:val="none"/>
          <w:shd w:val="clear" w:color="auto" w:fill="FFFFFF"/>
        </w:rPr>
        <w:t>等可以有形地表现所载内容的形式。</w:t>
      </w:r>
    </w:p>
    <w:p w14:paraId="48B56AE8">
      <w:pPr>
        <w:pStyle w:val="36"/>
        <w:widowControl w:val="0"/>
        <w:numPr>
          <w:ilvl w:val="1"/>
          <w:numId w:val="3"/>
        </w:numPr>
        <w:tabs>
          <w:tab w:val="left" w:pos="171"/>
          <w:tab w:val="clear" w:pos="0"/>
        </w:tabs>
        <w:adjustRightInd w:val="0"/>
        <w:snapToGrid w:val="0"/>
        <w:spacing w:line="312" w:lineRule="auto"/>
        <w:ind w:left="0" w:firstLine="480" w:firstLineChars="200"/>
        <w:jc w:val="both"/>
        <w:rPr>
          <w:rFonts w:ascii="宋体" w:hAnsi="宋体" w:cs="宋体"/>
          <w:color w:val="auto"/>
          <w:highlight w:val="none"/>
        </w:rPr>
      </w:pPr>
      <w:r>
        <w:rPr>
          <w:rFonts w:hint="eastAsia" w:ascii="宋体" w:hAnsi="宋体" w:cs="宋体"/>
          <w:bCs/>
          <w:color w:val="auto"/>
          <w:highlight w:val="none"/>
          <w:lang w:eastAsia="zh-CN"/>
        </w:rPr>
        <w:t>投标人签章</w:t>
      </w:r>
      <w:r>
        <w:rPr>
          <w:rFonts w:hint="eastAsia" w:ascii="宋体" w:hAnsi="宋体" w:cs="宋体"/>
          <w:bCs/>
          <w:color w:val="auto"/>
          <w:highlight w:val="none"/>
        </w:rPr>
        <w:t>，</w:t>
      </w:r>
      <w:r>
        <w:rPr>
          <w:rFonts w:hint="eastAsia" w:ascii="宋体" w:hAnsi="宋体" w:cs="宋体"/>
          <w:color w:val="auto"/>
          <w:highlight w:val="none"/>
        </w:rPr>
        <w:t>是指投标人</w:t>
      </w:r>
      <w:r>
        <w:rPr>
          <w:rFonts w:hint="eastAsia" w:ascii="宋体" w:hAnsi="宋体" w:cs="宋体"/>
          <w:color w:val="auto"/>
          <w:highlight w:val="none"/>
          <w:shd w:val="clear" w:color="auto" w:fill="FFFFFF"/>
        </w:rPr>
        <w:t>用自己法定主体行为名称制作的签名印章</w:t>
      </w:r>
      <w:r>
        <w:rPr>
          <w:rFonts w:hint="eastAsia" w:ascii="宋体" w:hAnsi="宋体" w:cs="宋体"/>
          <w:color w:val="auto"/>
          <w:highlight w:val="none"/>
        </w:rPr>
        <w:t>。</w:t>
      </w:r>
      <w:r>
        <w:rPr>
          <w:rFonts w:hint="eastAsia" w:ascii="宋体" w:hAnsi="宋体" w:cs="宋体"/>
          <w:bCs/>
          <w:color w:val="auto"/>
          <w:highlight w:val="none"/>
        </w:rPr>
        <w:t>不得使用专用章（如经济合同章、投标专用章、业务专用章等）或下属单位印章代替。</w:t>
      </w:r>
    </w:p>
    <w:p w14:paraId="6625E6A1">
      <w:pPr>
        <w:pStyle w:val="36"/>
        <w:widowControl w:val="0"/>
        <w:numPr>
          <w:ilvl w:val="1"/>
          <w:numId w:val="3"/>
        </w:numPr>
        <w:tabs>
          <w:tab w:val="left" w:pos="171"/>
          <w:tab w:val="clear" w:pos="0"/>
        </w:tabs>
        <w:adjustRightInd w:val="0"/>
        <w:snapToGrid w:val="0"/>
        <w:spacing w:line="312" w:lineRule="auto"/>
        <w:ind w:left="0" w:firstLine="480" w:firstLineChars="200"/>
        <w:jc w:val="both"/>
        <w:rPr>
          <w:rFonts w:ascii="宋体" w:hAnsi="宋体" w:cs="宋体"/>
          <w:bCs/>
          <w:color w:val="auto"/>
          <w:highlight w:val="none"/>
        </w:rPr>
      </w:pPr>
      <w:r>
        <w:rPr>
          <w:rFonts w:hint="eastAsia" w:ascii="宋体" w:hAnsi="宋体" w:cs="宋体"/>
          <w:bCs/>
          <w:color w:val="auto"/>
          <w:highlight w:val="none"/>
        </w:rPr>
        <w:t>“▲”是投标人按本招标文件要求必须实质性响应的条款，有任何一项缺失或非实质性响应将取消其投标资格。</w:t>
      </w:r>
    </w:p>
    <w:p w14:paraId="76B42583">
      <w:pPr>
        <w:pStyle w:val="36"/>
        <w:widowControl w:val="0"/>
        <w:numPr>
          <w:ilvl w:val="0"/>
          <w:numId w:val="3"/>
        </w:numPr>
        <w:adjustRightInd w:val="0"/>
        <w:snapToGrid w:val="0"/>
        <w:spacing w:line="312" w:lineRule="auto"/>
        <w:ind w:left="57" w:firstLine="480" w:firstLineChars="0"/>
        <w:jc w:val="both"/>
        <w:rPr>
          <w:rFonts w:ascii="宋体" w:hAnsi="宋体" w:cs="宋体"/>
          <w:color w:val="auto"/>
          <w:highlight w:val="none"/>
        </w:rPr>
      </w:pPr>
      <w:r>
        <w:rPr>
          <w:rFonts w:hint="eastAsia" w:ascii="宋体" w:hAnsi="宋体" w:cs="宋体"/>
          <w:color w:val="auto"/>
          <w:highlight w:val="none"/>
        </w:rPr>
        <w:t>采购方式</w:t>
      </w:r>
    </w:p>
    <w:p w14:paraId="1A31922D">
      <w:pPr>
        <w:pStyle w:val="36"/>
        <w:widowControl w:val="0"/>
        <w:numPr>
          <w:ilvl w:val="1"/>
          <w:numId w:val="3"/>
        </w:numPr>
        <w:tabs>
          <w:tab w:val="left" w:pos="171"/>
          <w:tab w:val="clear" w:pos="0"/>
        </w:tabs>
        <w:adjustRightInd w:val="0"/>
        <w:snapToGrid w:val="0"/>
        <w:spacing w:line="312" w:lineRule="auto"/>
        <w:ind w:left="0" w:firstLine="480" w:firstLineChars="200"/>
        <w:jc w:val="both"/>
        <w:rPr>
          <w:rFonts w:ascii="宋体" w:hAnsi="宋体" w:cs="宋体"/>
          <w:color w:val="auto"/>
          <w:highlight w:val="none"/>
          <w:lang w:val="zh-CN"/>
        </w:rPr>
      </w:pPr>
      <w:r>
        <w:rPr>
          <w:rFonts w:hint="eastAsia" w:ascii="宋体" w:hAnsi="宋体" w:cs="宋体"/>
          <w:color w:val="auto"/>
          <w:highlight w:val="none"/>
        </w:rPr>
        <w:t>采购组织形式国企采购委托代理。</w:t>
      </w:r>
    </w:p>
    <w:p w14:paraId="23262272">
      <w:pPr>
        <w:pStyle w:val="36"/>
        <w:widowControl w:val="0"/>
        <w:numPr>
          <w:ilvl w:val="1"/>
          <w:numId w:val="3"/>
        </w:numPr>
        <w:tabs>
          <w:tab w:val="left" w:pos="171"/>
          <w:tab w:val="clear" w:pos="0"/>
        </w:tabs>
        <w:adjustRightInd w:val="0"/>
        <w:snapToGrid w:val="0"/>
        <w:spacing w:line="312" w:lineRule="auto"/>
        <w:ind w:left="0" w:firstLine="480" w:firstLineChars="200"/>
        <w:jc w:val="both"/>
        <w:rPr>
          <w:rFonts w:ascii="宋体" w:hAnsi="宋体" w:cs="宋体"/>
          <w:color w:val="auto"/>
          <w:highlight w:val="none"/>
        </w:rPr>
      </w:pPr>
      <w:r>
        <w:rPr>
          <w:rFonts w:hint="eastAsia" w:ascii="宋体" w:hAnsi="宋体" w:cs="宋体"/>
          <w:color w:val="auto"/>
          <w:highlight w:val="none"/>
          <w:lang w:val="zh-CN"/>
        </w:rPr>
        <w:t>采取</w:t>
      </w:r>
      <w:r>
        <w:rPr>
          <w:rFonts w:hint="eastAsia" w:ascii="宋体" w:hAnsi="宋体" w:cs="宋体"/>
          <w:color w:val="auto"/>
          <w:highlight w:val="none"/>
        </w:rPr>
        <w:t>公开招标采购方式。</w:t>
      </w:r>
    </w:p>
    <w:p w14:paraId="04EA3E8B">
      <w:pPr>
        <w:pStyle w:val="36"/>
        <w:widowControl w:val="0"/>
        <w:numPr>
          <w:ilvl w:val="0"/>
          <w:numId w:val="3"/>
        </w:numPr>
        <w:adjustRightInd w:val="0"/>
        <w:snapToGrid w:val="0"/>
        <w:spacing w:line="312" w:lineRule="auto"/>
        <w:ind w:left="57" w:firstLine="480" w:firstLineChars="0"/>
        <w:jc w:val="both"/>
        <w:rPr>
          <w:rFonts w:ascii="宋体" w:hAnsi="宋体" w:cs="宋体"/>
          <w:color w:val="auto"/>
          <w:highlight w:val="none"/>
        </w:rPr>
      </w:pPr>
      <w:r>
        <w:rPr>
          <w:rFonts w:hint="eastAsia" w:ascii="宋体" w:hAnsi="宋体" w:cs="宋体"/>
          <w:color w:val="auto"/>
          <w:highlight w:val="none"/>
        </w:rPr>
        <w:t>合格的投标人</w:t>
      </w:r>
    </w:p>
    <w:p w14:paraId="25EFE8AC">
      <w:pPr>
        <w:pStyle w:val="36"/>
        <w:widowControl w:val="0"/>
        <w:adjustRightInd w:val="0"/>
        <w:snapToGrid w:val="0"/>
        <w:spacing w:line="312" w:lineRule="auto"/>
        <w:ind w:firstLine="480"/>
        <w:jc w:val="both"/>
        <w:rPr>
          <w:rFonts w:ascii="宋体" w:hAnsi="宋体" w:cs="宋体"/>
          <w:color w:val="auto"/>
          <w:highlight w:val="none"/>
        </w:rPr>
      </w:pPr>
      <w:r>
        <w:rPr>
          <w:rFonts w:hint="eastAsia" w:ascii="宋体" w:hAnsi="宋体" w:cs="宋体"/>
          <w:color w:val="auto"/>
          <w:highlight w:val="none"/>
        </w:rPr>
        <w:t>合格的投标人应具备以下条件：</w:t>
      </w:r>
    </w:p>
    <w:p w14:paraId="7D1CBB76">
      <w:pPr>
        <w:pStyle w:val="36"/>
        <w:widowControl w:val="0"/>
        <w:numPr>
          <w:ilvl w:val="1"/>
          <w:numId w:val="3"/>
        </w:numPr>
        <w:tabs>
          <w:tab w:val="left" w:pos="171"/>
          <w:tab w:val="clear" w:pos="0"/>
        </w:tabs>
        <w:adjustRightInd w:val="0"/>
        <w:snapToGrid w:val="0"/>
        <w:spacing w:line="312" w:lineRule="auto"/>
        <w:ind w:left="0" w:firstLine="480" w:firstLineChars="200"/>
        <w:jc w:val="both"/>
        <w:rPr>
          <w:rFonts w:ascii="宋体" w:hAnsi="宋体" w:cs="宋体"/>
          <w:color w:val="auto"/>
          <w:highlight w:val="none"/>
        </w:rPr>
      </w:pPr>
      <w:r>
        <w:rPr>
          <w:rFonts w:hint="eastAsia" w:ascii="宋体" w:hAnsi="宋体" w:cs="宋体"/>
          <w:color w:val="auto"/>
          <w:highlight w:val="none"/>
        </w:rPr>
        <w:t>具备法律法规和本采购文件规定的资格条件；</w:t>
      </w:r>
    </w:p>
    <w:p w14:paraId="1A3297C1">
      <w:pPr>
        <w:pStyle w:val="36"/>
        <w:widowControl w:val="0"/>
        <w:numPr>
          <w:ilvl w:val="1"/>
          <w:numId w:val="3"/>
        </w:numPr>
        <w:tabs>
          <w:tab w:val="left" w:pos="171"/>
          <w:tab w:val="clear" w:pos="0"/>
        </w:tabs>
        <w:adjustRightInd w:val="0"/>
        <w:snapToGrid w:val="0"/>
        <w:spacing w:line="312" w:lineRule="auto"/>
        <w:ind w:left="0" w:firstLine="464" w:firstLineChars="200"/>
        <w:jc w:val="both"/>
        <w:rPr>
          <w:rFonts w:ascii="宋体" w:hAnsi="宋体" w:cs="宋体"/>
          <w:color w:val="auto"/>
          <w:highlight w:val="none"/>
        </w:rPr>
      </w:pPr>
      <w:r>
        <w:rPr>
          <w:rFonts w:hint="eastAsia" w:ascii="宋体" w:hAnsi="宋体" w:cs="宋体"/>
          <w:color w:val="auto"/>
          <w:spacing w:val="-4"/>
          <w:highlight w:val="none"/>
        </w:rPr>
        <w:t>不属于限制参加本项目采购活动的投标人</w:t>
      </w:r>
      <w:r>
        <w:rPr>
          <w:rFonts w:hint="eastAsia" w:ascii="宋体" w:hAnsi="宋体" w:cs="宋体"/>
          <w:color w:val="auto"/>
          <w:highlight w:val="none"/>
        </w:rPr>
        <w:t>；</w:t>
      </w:r>
    </w:p>
    <w:p w14:paraId="752CA043">
      <w:pPr>
        <w:pStyle w:val="36"/>
        <w:widowControl w:val="0"/>
        <w:numPr>
          <w:ilvl w:val="1"/>
          <w:numId w:val="3"/>
        </w:numPr>
        <w:tabs>
          <w:tab w:val="left" w:pos="171"/>
          <w:tab w:val="clear" w:pos="0"/>
        </w:tabs>
        <w:adjustRightInd w:val="0"/>
        <w:snapToGrid w:val="0"/>
        <w:spacing w:line="312" w:lineRule="auto"/>
        <w:ind w:left="0" w:firstLine="464" w:firstLineChars="200"/>
        <w:jc w:val="both"/>
        <w:rPr>
          <w:rFonts w:ascii="宋体" w:hAnsi="宋体" w:cs="宋体"/>
          <w:color w:val="auto"/>
          <w:highlight w:val="none"/>
        </w:rPr>
      </w:pPr>
      <w:r>
        <w:rPr>
          <w:rFonts w:hint="eastAsia" w:ascii="宋体" w:hAnsi="宋体" w:cs="宋体"/>
          <w:color w:val="auto"/>
          <w:spacing w:val="-4"/>
          <w:highlight w:val="none"/>
        </w:rPr>
        <w:t>按照规定</w:t>
      </w:r>
      <w:r>
        <w:rPr>
          <w:rFonts w:hint="eastAsia" w:ascii="宋体" w:hAnsi="宋体" w:cs="宋体"/>
          <w:color w:val="auto"/>
          <w:highlight w:val="none"/>
        </w:rPr>
        <w:t>获取了招标文件，属于实质性参加本次采购活动的投标人。</w:t>
      </w:r>
    </w:p>
    <w:p w14:paraId="2E979932">
      <w:pPr>
        <w:pStyle w:val="36"/>
        <w:widowControl w:val="0"/>
        <w:numPr>
          <w:ilvl w:val="0"/>
          <w:numId w:val="3"/>
        </w:numPr>
        <w:adjustRightInd w:val="0"/>
        <w:snapToGrid w:val="0"/>
        <w:spacing w:line="312" w:lineRule="auto"/>
        <w:ind w:left="57" w:firstLine="480" w:firstLineChars="0"/>
        <w:jc w:val="both"/>
        <w:rPr>
          <w:rFonts w:ascii="宋体" w:hAnsi="宋体" w:cs="宋体"/>
          <w:color w:val="auto"/>
          <w:highlight w:val="none"/>
        </w:rPr>
      </w:pPr>
      <w:r>
        <w:rPr>
          <w:rFonts w:hint="eastAsia" w:ascii="宋体" w:hAnsi="宋体" w:cs="宋体"/>
          <w:color w:val="auto"/>
          <w:highlight w:val="none"/>
        </w:rPr>
        <w:t>对投标人的限制</w:t>
      </w:r>
    </w:p>
    <w:p w14:paraId="3F0612D5">
      <w:pPr>
        <w:pStyle w:val="36"/>
        <w:widowControl w:val="0"/>
        <w:numPr>
          <w:ilvl w:val="1"/>
          <w:numId w:val="3"/>
        </w:numPr>
        <w:tabs>
          <w:tab w:val="left" w:pos="171"/>
          <w:tab w:val="clear" w:pos="0"/>
        </w:tabs>
        <w:adjustRightInd w:val="0"/>
        <w:snapToGrid w:val="0"/>
        <w:spacing w:line="312" w:lineRule="auto"/>
        <w:ind w:left="0" w:firstLine="480" w:firstLineChars="200"/>
        <w:jc w:val="both"/>
        <w:rPr>
          <w:rFonts w:ascii="宋体" w:hAnsi="宋体" w:cs="宋体"/>
          <w:color w:val="auto"/>
          <w:highlight w:val="none"/>
        </w:rPr>
      </w:pPr>
      <w:r>
        <w:rPr>
          <w:rFonts w:hint="eastAsia" w:ascii="宋体" w:hAnsi="宋体" w:cs="宋体"/>
          <w:color w:val="auto"/>
          <w:highlight w:val="none"/>
        </w:rPr>
        <w:t>拒绝不良信用记录的投标人参加本项目的采购活动。</w:t>
      </w:r>
    </w:p>
    <w:p w14:paraId="1EBDE96C">
      <w:pPr>
        <w:pStyle w:val="104"/>
        <w:widowControl w:val="0"/>
        <w:numPr>
          <w:ilvl w:val="2"/>
          <w:numId w:val="4"/>
        </w:numPr>
        <w:adjustRightInd w:val="0"/>
        <w:snapToGrid w:val="0"/>
        <w:spacing w:line="312" w:lineRule="auto"/>
        <w:ind w:left="0" w:firstLine="480" w:firstLineChars="200"/>
        <w:jc w:val="both"/>
        <w:rPr>
          <w:rFonts w:ascii="宋体" w:hAnsi="宋体" w:cs="宋体"/>
          <w:color w:val="auto"/>
          <w:sz w:val="24"/>
          <w:szCs w:val="24"/>
          <w:highlight w:val="none"/>
          <w:lang w:eastAsia="zh-CN"/>
        </w:rPr>
      </w:pPr>
      <w:r>
        <w:rPr>
          <w:rFonts w:hint="eastAsia" w:ascii="宋体" w:hAnsi="宋体" w:cs="宋体"/>
          <w:color w:val="auto"/>
          <w:sz w:val="24"/>
          <w:szCs w:val="24"/>
          <w:highlight w:val="none"/>
        </w:rPr>
        <w:t>不良信用记录</w:t>
      </w:r>
      <w:r>
        <w:rPr>
          <w:rFonts w:hint="eastAsia" w:ascii="宋体" w:hAnsi="宋体" w:cs="宋体"/>
          <w:color w:val="auto"/>
          <w:sz w:val="24"/>
          <w:szCs w:val="24"/>
          <w:highlight w:val="none"/>
          <w:lang w:eastAsia="zh-CN"/>
        </w:rPr>
        <w:t>是</w:t>
      </w:r>
      <w:r>
        <w:rPr>
          <w:rFonts w:hint="eastAsia" w:ascii="宋体" w:hAnsi="宋体" w:cs="宋体"/>
          <w:color w:val="auto"/>
          <w:sz w:val="24"/>
          <w:szCs w:val="24"/>
          <w:highlight w:val="none"/>
        </w:rPr>
        <w:t>指：</w:t>
      </w:r>
      <w:r>
        <w:rPr>
          <w:rFonts w:hint="eastAsia" w:ascii="宋体" w:hAnsi="宋体" w:cs="宋体"/>
          <w:color w:val="auto"/>
          <w:sz w:val="24"/>
          <w:szCs w:val="24"/>
          <w:highlight w:val="none"/>
          <w:lang w:eastAsia="zh-CN"/>
        </w:rPr>
        <w:t>被</w:t>
      </w:r>
      <w:r>
        <w:rPr>
          <w:rFonts w:hint="eastAsia" w:ascii="宋体" w:hAnsi="宋体" w:cs="宋体"/>
          <w:color w:val="auto"/>
          <w:sz w:val="24"/>
          <w:szCs w:val="24"/>
          <w:highlight w:val="none"/>
        </w:rPr>
        <w:t>信用中国网站（www.creditchina.gov.cn）</w:t>
      </w:r>
      <w:r>
        <w:rPr>
          <w:rFonts w:hint="eastAsia" w:ascii="宋体" w:hAnsi="宋体" w:cs="宋体"/>
          <w:color w:val="auto"/>
          <w:sz w:val="24"/>
          <w:szCs w:val="24"/>
          <w:highlight w:val="none"/>
          <w:shd w:val="clear" w:color="auto" w:fill="FFFFFF"/>
        </w:rPr>
        <w:t>列入失信被执行人、重大税收违法案件当事人名单、政府采购严重违法失信名单</w:t>
      </w:r>
      <w:r>
        <w:rPr>
          <w:rFonts w:hint="eastAsia" w:ascii="宋体" w:hAnsi="宋体" w:cs="宋体"/>
          <w:color w:val="auto"/>
          <w:sz w:val="24"/>
          <w:szCs w:val="24"/>
          <w:highlight w:val="none"/>
          <w:shd w:val="clear" w:color="auto" w:fill="FFFFFF"/>
          <w:lang w:eastAsia="zh-CN"/>
        </w:rPr>
        <w:t>的，</w:t>
      </w:r>
      <w:r>
        <w:rPr>
          <w:rFonts w:hint="eastAsia" w:ascii="宋体" w:hAnsi="宋体" w:cs="宋体"/>
          <w:color w:val="auto"/>
          <w:sz w:val="24"/>
          <w:szCs w:val="24"/>
          <w:highlight w:val="none"/>
          <w:lang w:eastAsia="zh-CN"/>
        </w:rPr>
        <w:t>被</w:t>
      </w:r>
      <w:r>
        <w:rPr>
          <w:rFonts w:hint="eastAsia" w:ascii="宋体" w:hAnsi="宋体" w:cs="宋体"/>
          <w:color w:val="auto"/>
          <w:sz w:val="24"/>
          <w:szCs w:val="24"/>
          <w:highlight w:val="none"/>
        </w:rPr>
        <w:t>中国政府采购网（www.ccgp.gov.cn）</w:t>
      </w:r>
      <w:r>
        <w:rPr>
          <w:rFonts w:hint="eastAsia" w:ascii="宋体" w:hAnsi="宋体" w:cs="宋体"/>
          <w:color w:val="auto"/>
          <w:sz w:val="24"/>
          <w:szCs w:val="24"/>
          <w:highlight w:val="none"/>
          <w:shd w:val="clear" w:color="auto" w:fill="FFFFFF"/>
        </w:rPr>
        <w:t>列入政府采购严重违法失信行为</w:t>
      </w:r>
      <w:r>
        <w:rPr>
          <w:rFonts w:hint="eastAsia" w:ascii="宋体" w:hAnsi="宋体" w:cs="宋体"/>
          <w:color w:val="auto"/>
          <w:sz w:val="24"/>
          <w:szCs w:val="24"/>
          <w:highlight w:val="none"/>
          <w:shd w:val="clear" w:color="auto" w:fill="FFFFFF"/>
          <w:lang w:eastAsia="zh-CN"/>
        </w:rPr>
        <w:t>信用</w:t>
      </w:r>
      <w:r>
        <w:rPr>
          <w:rFonts w:hint="eastAsia" w:ascii="宋体" w:hAnsi="宋体" w:cs="宋体"/>
          <w:color w:val="auto"/>
          <w:sz w:val="24"/>
          <w:szCs w:val="24"/>
          <w:highlight w:val="none"/>
          <w:shd w:val="clear" w:color="auto" w:fill="FFFFFF"/>
        </w:rPr>
        <w:t>记录名单</w:t>
      </w:r>
      <w:r>
        <w:rPr>
          <w:rFonts w:hint="eastAsia" w:ascii="宋体" w:hAnsi="宋体" w:cs="宋体"/>
          <w:color w:val="auto"/>
          <w:sz w:val="24"/>
          <w:szCs w:val="24"/>
          <w:highlight w:val="none"/>
        </w:rPr>
        <w:t>且在处罚有效期内的</w:t>
      </w:r>
      <w:r>
        <w:rPr>
          <w:rFonts w:hint="eastAsia" w:ascii="宋体" w:hAnsi="宋体" w:cs="宋体"/>
          <w:color w:val="auto"/>
          <w:sz w:val="24"/>
          <w:szCs w:val="24"/>
          <w:highlight w:val="none"/>
          <w:lang w:eastAsia="zh-CN"/>
        </w:rPr>
        <w:t>（投标截止之日追溯三年）</w:t>
      </w:r>
      <w:r>
        <w:rPr>
          <w:rFonts w:hint="eastAsia" w:ascii="宋体" w:hAnsi="宋体" w:cs="宋体"/>
          <w:color w:val="auto"/>
          <w:sz w:val="24"/>
          <w:szCs w:val="24"/>
          <w:highlight w:val="none"/>
          <w:shd w:val="clear" w:color="auto" w:fill="FFFFFF"/>
          <w:lang w:eastAsia="zh-CN"/>
        </w:rPr>
        <w:t>，</w:t>
      </w:r>
      <w:r>
        <w:rPr>
          <w:rFonts w:hint="eastAsia" w:ascii="宋体" w:hAnsi="宋体" w:cs="宋体"/>
          <w:color w:val="auto"/>
          <w:sz w:val="24"/>
          <w:szCs w:val="24"/>
          <w:highlight w:val="none"/>
          <w:lang w:eastAsia="zh-CN"/>
        </w:rPr>
        <w:t>被</w:t>
      </w:r>
      <w:r>
        <w:rPr>
          <w:rFonts w:hint="eastAsia" w:ascii="宋体" w:hAnsi="宋体" w:cs="宋体"/>
          <w:color w:val="auto"/>
          <w:sz w:val="24"/>
          <w:szCs w:val="24"/>
          <w:highlight w:val="none"/>
        </w:rPr>
        <w:t>浙江政府采购网（zfcg.czt.zj.gov.cn）</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曝光台曝光且在处罚有效期内的</w:t>
      </w:r>
      <w:r>
        <w:rPr>
          <w:rFonts w:hint="eastAsia" w:ascii="宋体" w:hAnsi="宋体" w:cs="宋体"/>
          <w:color w:val="auto"/>
          <w:sz w:val="24"/>
          <w:szCs w:val="24"/>
          <w:highlight w:val="none"/>
          <w:lang w:eastAsia="zh-CN"/>
        </w:rPr>
        <w:t>（投标截止之日追溯三年）以</w:t>
      </w:r>
      <w:r>
        <w:rPr>
          <w:rFonts w:hint="eastAsia" w:ascii="宋体" w:hAnsi="宋体" w:cs="宋体"/>
          <w:color w:val="auto"/>
          <w:sz w:val="24"/>
          <w:szCs w:val="24"/>
          <w:highlight w:val="none"/>
          <w:shd w:val="clear" w:color="auto" w:fill="FFFFFF"/>
        </w:rPr>
        <w:t>及其他不符合</w:t>
      </w:r>
      <w:r>
        <w:rPr>
          <w:rFonts w:hint="eastAsia" w:ascii="宋体" w:hAnsi="宋体" w:cs="宋体"/>
          <w:color w:val="auto"/>
          <w:sz w:val="24"/>
          <w:szCs w:val="24"/>
          <w:highlight w:val="none"/>
          <w:shd w:val="clear" w:color="auto" w:fill="FFFFFF"/>
          <w:lang w:eastAsia="zh-CN"/>
        </w:rPr>
        <w:t>《龙游县国有企业采购管理办法》（龙政办发〔2021〕58号）第十二条</w:t>
      </w:r>
      <w:r>
        <w:rPr>
          <w:rFonts w:hint="eastAsia" w:ascii="宋体" w:hAnsi="宋体" w:cs="宋体"/>
          <w:color w:val="auto"/>
          <w:sz w:val="24"/>
          <w:szCs w:val="24"/>
          <w:highlight w:val="none"/>
          <w:shd w:val="clear" w:color="auto" w:fill="FFFFFF"/>
        </w:rPr>
        <w:t>条件的</w:t>
      </w:r>
      <w:r>
        <w:rPr>
          <w:rFonts w:hint="eastAsia" w:ascii="宋体" w:hAnsi="宋体" w:cs="宋体"/>
          <w:color w:val="auto"/>
          <w:sz w:val="24"/>
          <w:szCs w:val="24"/>
          <w:highlight w:val="none"/>
          <w:shd w:val="clear" w:color="auto" w:fill="FFFFFF"/>
          <w:lang w:eastAsia="zh-CN"/>
        </w:rPr>
        <w:t>投标人。</w:t>
      </w:r>
    </w:p>
    <w:p w14:paraId="2B726C1F">
      <w:pPr>
        <w:pStyle w:val="104"/>
        <w:widowControl w:val="0"/>
        <w:numPr>
          <w:ilvl w:val="2"/>
          <w:numId w:val="4"/>
        </w:numPr>
        <w:adjustRightInd w:val="0"/>
        <w:snapToGrid w:val="0"/>
        <w:spacing w:line="312" w:lineRule="auto"/>
        <w:ind w:left="0" w:firstLine="480" w:firstLineChars="200"/>
        <w:jc w:val="both"/>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信用记录</w:t>
      </w:r>
    </w:p>
    <w:p w14:paraId="2B788322">
      <w:pPr>
        <w:pStyle w:val="36"/>
        <w:widowControl w:val="0"/>
        <w:numPr>
          <w:ilvl w:val="0"/>
          <w:numId w:val="5"/>
        </w:numPr>
        <w:adjustRightInd w:val="0"/>
        <w:snapToGrid w:val="0"/>
        <w:spacing w:line="312" w:lineRule="auto"/>
        <w:ind w:left="0" w:firstLine="480"/>
        <w:jc w:val="both"/>
        <w:rPr>
          <w:rFonts w:ascii="宋体" w:hAnsi="宋体" w:cs="宋体"/>
          <w:color w:val="auto"/>
          <w:highlight w:val="none"/>
        </w:rPr>
      </w:pPr>
      <w:r>
        <w:rPr>
          <w:rFonts w:hint="eastAsia" w:ascii="宋体" w:hAnsi="宋体" w:cs="宋体"/>
          <w:color w:val="auto"/>
          <w:highlight w:val="none"/>
        </w:rPr>
        <w:t>信用信息查询。根据《关于在政府采购活动中查询及使用信用记录有关问题的通知》（财库〔2016〕125号）的要求，通过信用中国网站（www.creditchina.gov.cn）、中国政府采购网（www.ccgp.gov.cn）、浙江政府采购网（zfcg.czt.zj.gov.cn）等渠道查询。</w:t>
      </w:r>
    </w:p>
    <w:p w14:paraId="5C7BB037">
      <w:pPr>
        <w:pStyle w:val="36"/>
        <w:widowControl w:val="0"/>
        <w:numPr>
          <w:ilvl w:val="0"/>
          <w:numId w:val="5"/>
        </w:numPr>
        <w:adjustRightInd w:val="0"/>
        <w:snapToGrid w:val="0"/>
        <w:spacing w:line="312" w:lineRule="auto"/>
        <w:ind w:left="0" w:firstLine="480"/>
        <w:jc w:val="both"/>
        <w:rPr>
          <w:rFonts w:ascii="宋体" w:hAnsi="宋体" w:cs="宋体"/>
          <w:color w:val="auto"/>
          <w:highlight w:val="none"/>
        </w:rPr>
      </w:pPr>
      <w:r>
        <w:rPr>
          <w:rFonts w:hint="eastAsia" w:ascii="宋体" w:hAnsi="宋体" w:cs="宋体"/>
          <w:color w:val="auto"/>
          <w:highlight w:val="none"/>
        </w:rPr>
        <w:t>截止时点。投标截止时间。</w:t>
      </w:r>
    </w:p>
    <w:p w14:paraId="77310825">
      <w:pPr>
        <w:pStyle w:val="36"/>
        <w:widowControl w:val="0"/>
        <w:numPr>
          <w:ilvl w:val="0"/>
          <w:numId w:val="5"/>
        </w:numPr>
        <w:adjustRightInd w:val="0"/>
        <w:snapToGrid w:val="0"/>
        <w:spacing w:line="312" w:lineRule="auto"/>
        <w:ind w:left="0" w:firstLine="480"/>
        <w:jc w:val="both"/>
        <w:rPr>
          <w:rFonts w:ascii="宋体" w:hAnsi="宋体" w:cs="宋体"/>
          <w:color w:val="auto"/>
          <w:highlight w:val="none"/>
        </w:rPr>
      </w:pPr>
      <w:r>
        <w:rPr>
          <w:rFonts w:hint="eastAsia" w:ascii="宋体" w:hAnsi="宋体" w:cs="宋体"/>
          <w:color w:val="auto"/>
          <w:highlight w:val="none"/>
        </w:rPr>
        <w:t>信用信息查询记录和证据留存的方式。采购代理机构经办人将查询网页打印与其他采购文件一并保存。</w:t>
      </w:r>
    </w:p>
    <w:p w14:paraId="3A91C9B9">
      <w:pPr>
        <w:pStyle w:val="36"/>
        <w:widowControl w:val="0"/>
        <w:numPr>
          <w:ilvl w:val="0"/>
          <w:numId w:val="5"/>
        </w:numPr>
        <w:adjustRightInd w:val="0"/>
        <w:snapToGrid w:val="0"/>
        <w:spacing w:line="312" w:lineRule="auto"/>
        <w:ind w:left="0" w:firstLine="480"/>
        <w:jc w:val="both"/>
        <w:rPr>
          <w:rFonts w:ascii="宋体" w:hAnsi="宋体" w:cs="宋体"/>
          <w:color w:val="auto"/>
          <w:highlight w:val="none"/>
        </w:rPr>
      </w:pPr>
      <w:r>
        <w:rPr>
          <w:rFonts w:hint="eastAsia" w:ascii="宋体" w:hAnsi="宋体" w:cs="宋体"/>
          <w:color w:val="auto"/>
          <w:highlight w:val="none"/>
        </w:rPr>
        <w:t>信用信息的使用规则。被列入失信被执行人、重大税收违法案件当事人名单、国企或政府采购严重违法失信行为记录名单及其他不符合《龙游县国有企业采购管理办法》（龙政办发〔2021〕58号）第十二条条件的投标人，拒绝参与本次采购活动。</w:t>
      </w:r>
    </w:p>
    <w:p w14:paraId="68267739">
      <w:pPr>
        <w:pStyle w:val="36"/>
        <w:widowControl w:val="0"/>
        <w:numPr>
          <w:ilvl w:val="1"/>
          <w:numId w:val="3"/>
        </w:numPr>
        <w:tabs>
          <w:tab w:val="left" w:pos="171"/>
          <w:tab w:val="clear" w:pos="0"/>
        </w:tabs>
        <w:adjustRightInd w:val="0"/>
        <w:snapToGrid w:val="0"/>
        <w:spacing w:line="312" w:lineRule="auto"/>
        <w:ind w:left="0" w:firstLine="480" w:firstLineChars="200"/>
        <w:jc w:val="both"/>
        <w:rPr>
          <w:rFonts w:ascii="宋体" w:hAnsi="宋体" w:cs="宋体"/>
          <w:color w:val="auto"/>
          <w:highlight w:val="none"/>
        </w:rPr>
      </w:pPr>
      <w:r>
        <w:rPr>
          <w:rFonts w:hint="eastAsia" w:ascii="宋体" w:hAnsi="宋体" w:cs="宋体"/>
          <w:color w:val="auto"/>
          <w:highlight w:val="none"/>
          <w:shd w:val="clear" w:color="auto" w:fill="FFFFFF"/>
        </w:rPr>
        <w:t>单位负责人为同一人或者存在直接控股、管理关系的不同投标人，不得参加同一合同项下的采购活动。</w:t>
      </w:r>
    </w:p>
    <w:p w14:paraId="3BFE0FF6">
      <w:pPr>
        <w:pStyle w:val="36"/>
        <w:widowControl w:val="0"/>
        <w:numPr>
          <w:ilvl w:val="1"/>
          <w:numId w:val="3"/>
        </w:numPr>
        <w:tabs>
          <w:tab w:val="left" w:pos="171"/>
          <w:tab w:val="clear" w:pos="0"/>
        </w:tabs>
        <w:adjustRightInd w:val="0"/>
        <w:snapToGrid w:val="0"/>
        <w:spacing w:line="312" w:lineRule="auto"/>
        <w:ind w:left="0" w:firstLine="480" w:firstLineChars="200"/>
        <w:jc w:val="both"/>
        <w:rPr>
          <w:rFonts w:ascii="宋体" w:hAnsi="宋体" w:cs="宋体"/>
          <w:color w:val="auto"/>
          <w:highlight w:val="none"/>
        </w:rPr>
      </w:pPr>
      <w:r>
        <w:rPr>
          <w:rFonts w:hint="eastAsia" w:ascii="宋体" w:hAnsi="宋体" w:cs="宋体"/>
          <w:color w:val="auto"/>
          <w:highlight w:val="none"/>
        </w:rPr>
        <w:t>采购活动中，采购人员及相关人员与投标人有下列利害关系之一的，应当回避：</w:t>
      </w:r>
    </w:p>
    <w:p w14:paraId="01CEDF6A">
      <w:pPr>
        <w:pStyle w:val="36"/>
        <w:widowControl w:val="0"/>
        <w:numPr>
          <w:ilvl w:val="2"/>
          <w:numId w:val="3"/>
        </w:numPr>
        <w:tabs>
          <w:tab w:val="clear" w:pos="0"/>
        </w:tabs>
        <w:adjustRightInd w:val="0"/>
        <w:snapToGrid w:val="0"/>
        <w:spacing w:line="312" w:lineRule="auto"/>
        <w:ind w:left="0" w:firstLine="480" w:firstLineChars="200"/>
        <w:jc w:val="both"/>
        <w:rPr>
          <w:rFonts w:ascii="宋体" w:hAnsi="宋体" w:cs="宋体"/>
          <w:color w:val="auto"/>
          <w:highlight w:val="none"/>
        </w:rPr>
      </w:pPr>
      <w:r>
        <w:rPr>
          <w:rFonts w:hint="eastAsia" w:ascii="宋体" w:hAnsi="宋体" w:cs="宋体"/>
          <w:color w:val="auto"/>
          <w:highlight w:val="none"/>
        </w:rPr>
        <w:t>参加采购活动前3年内与投标人存在劳动关系；</w:t>
      </w:r>
    </w:p>
    <w:p w14:paraId="042D81B9">
      <w:pPr>
        <w:pStyle w:val="36"/>
        <w:widowControl w:val="0"/>
        <w:numPr>
          <w:ilvl w:val="2"/>
          <w:numId w:val="3"/>
        </w:numPr>
        <w:tabs>
          <w:tab w:val="clear" w:pos="0"/>
        </w:tabs>
        <w:adjustRightInd w:val="0"/>
        <w:snapToGrid w:val="0"/>
        <w:spacing w:line="312" w:lineRule="auto"/>
        <w:ind w:left="0" w:firstLine="480" w:firstLineChars="200"/>
        <w:jc w:val="both"/>
        <w:rPr>
          <w:rFonts w:ascii="宋体" w:hAnsi="宋体" w:cs="宋体"/>
          <w:color w:val="auto"/>
          <w:highlight w:val="none"/>
        </w:rPr>
      </w:pPr>
      <w:r>
        <w:rPr>
          <w:rFonts w:hint="eastAsia" w:ascii="宋体" w:hAnsi="宋体" w:cs="宋体"/>
          <w:color w:val="auto"/>
          <w:highlight w:val="none"/>
        </w:rPr>
        <w:t>参加采购活动前3年内担任投标人的董事、监事；</w:t>
      </w:r>
    </w:p>
    <w:p w14:paraId="25D238DA">
      <w:pPr>
        <w:pStyle w:val="36"/>
        <w:widowControl w:val="0"/>
        <w:numPr>
          <w:ilvl w:val="2"/>
          <w:numId w:val="3"/>
        </w:numPr>
        <w:tabs>
          <w:tab w:val="clear" w:pos="0"/>
        </w:tabs>
        <w:adjustRightInd w:val="0"/>
        <w:snapToGrid w:val="0"/>
        <w:spacing w:line="312" w:lineRule="auto"/>
        <w:ind w:left="0" w:firstLine="480" w:firstLineChars="200"/>
        <w:jc w:val="both"/>
        <w:rPr>
          <w:rFonts w:ascii="宋体" w:hAnsi="宋体" w:cs="宋体"/>
          <w:color w:val="auto"/>
          <w:highlight w:val="none"/>
        </w:rPr>
      </w:pPr>
      <w:r>
        <w:rPr>
          <w:rFonts w:hint="eastAsia" w:ascii="宋体" w:hAnsi="宋体" w:cs="宋体"/>
          <w:color w:val="auto"/>
          <w:highlight w:val="none"/>
        </w:rPr>
        <w:t>参加采购活动前3年内是投标人的控股股东或者实际控制人；</w:t>
      </w:r>
    </w:p>
    <w:p w14:paraId="565EF660">
      <w:pPr>
        <w:pStyle w:val="36"/>
        <w:widowControl w:val="0"/>
        <w:numPr>
          <w:ilvl w:val="2"/>
          <w:numId w:val="3"/>
        </w:numPr>
        <w:tabs>
          <w:tab w:val="clear" w:pos="0"/>
        </w:tabs>
        <w:adjustRightInd w:val="0"/>
        <w:snapToGrid w:val="0"/>
        <w:spacing w:line="312" w:lineRule="auto"/>
        <w:ind w:left="0" w:firstLine="480" w:firstLineChars="200"/>
        <w:jc w:val="both"/>
        <w:rPr>
          <w:rFonts w:ascii="宋体" w:hAnsi="宋体" w:cs="宋体"/>
          <w:color w:val="auto"/>
          <w:highlight w:val="none"/>
        </w:rPr>
      </w:pPr>
      <w:r>
        <w:rPr>
          <w:rFonts w:hint="eastAsia" w:ascii="宋体" w:hAnsi="宋体" w:cs="宋体"/>
          <w:color w:val="auto"/>
          <w:highlight w:val="none"/>
        </w:rPr>
        <w:t>与投标人的</w:t>
      </w:r>
      <w:r>
        <w:rPr>
          <w:rFonts w:hint="eastAsia" w:ascii="宋体" w:hAnsi="宋体" w:cs="宋体"/>
          <w:color w:val="auto"/>
          <w:highlight w:val="none"/>
          <w:lang w:eastAsia="zh-CN"/>
        </w:rPr>
        <w:t>法定代表人（或负责人）</w:t>
      </w:r>
      <w:r>
        <w:rPr>
          <w:rFonts w:hint="eastAsia" w:ascii="宋体" w:hAnsi="宋体" w:cs="宋体"/>
          <w:color w:val="auto"/>
          <w:highlight w:val="none"/>
        </w:rPr>
        <w:t>或者负责人有夫妻、直系血亲、三代以内旁系血亲或者近姻亲关系；</w:t>
      </w:r>
    </w:p>
    <w:p w14:paraId="3252F3A8">
      <w:pPr>
        <w:pStyle w:val="36"/>
        <w:widowControl w:val="0"/>
        <w:numPr>
          <w:ilvl w:val="2"/>
          <w:numId w:val="3"/>
        </w:numPr>
        <w:tabs>
          <w:tab w:val="clear" w:pos="0"/>
        </w:tabs>
        <w:adjustRightInd w:val="0"/>
        <w:snapToGrid w:val="0"/>
        <w:spacing w:line="312" w:lineRule="auto"/>
        <w:ind w:left="0" w:firstLine="480" w:firstLineChars="200"/>
        <w:jc w:val="both"/>
        <w:rPr>
          <w:rFonts w:ascii="宋体" w:hAnsi="宋体" w:cs="宋体"/>
          <w:color w:val="auto"/>
          <w:highlight w:val="none"/>
        </w:rPr>
      </w:pPr>
      <w:r>
        <w:rPr>
          <w:rFonts w:hint="eastAsia" w:ascii="宋体" w:hAnsi="宋体" w:cs="宋体"/>
          <w:color w:val="auto"/>
          <w:highlight w:val="none"/>
        </w:rPr>
        <w:t>存在共同直接或间接投资设立子公司、联营企业和合营企业情况；</w:t>
      </w:r>
    </w:p>
    <w:p w14:paraId="5483F21D">
      <w:pPr>
        <w:pStyle w:val="36"/>
        <w:widowControl w:val="0"/>
        <w:numPr>
          <w:ilvl w:val="2"/>
          <w:numId w:val="3"/>
        </w:numPr>
        <w:tabs>
          <w:tab w:val="clear" w:pos="0"/>
        </w:tabs>
        <w:adjustRightInd w:val="0"/>
        <w:snapToGrid w:val="0"/>
        <w:spacing w:line="312" w:lineRule="auto"/>
        <w:ind w:left="0" w:firstLine="480" w:firstLineChars="200"/>
        <w:jc w:val="both"/>
        <w:rPr>
          <w:rFonts w:ascii="宋体" w:hAnsi="宋体" w:cs="宋体"/>
          <w:color w:val="auto"/>
          <w:highlight w:val="none"/>
        </w:rPr>
      </w:pPr>
      <w:r>
        <w:rPr>
          <w:rFonts w:hint="eastAsia" w:ascii="宋体" w:hAnsi="宋体" w:cs="宋体"/>
          <w:color w:val="auto"/>
          <w:highlight w:val="none"/>
        </w:rPr>
        <w:t>与投标人有其他可能影响采购活动公平、公正进行的关系。</w:t>
      </w:r>
    </w:p>
    <w:p w14:paraId="69813481">
      <w:pPr>
        <w:pStyle w:val="36"/>
        <w:widowControl w:val="0"/>
        <w:numPr>
          <w:ilvl w:val="1"/>
          <w:numId w:val="3"/>
        </w:numPr>
        <w:tabs>
          <w:tab w:val="left" w:pos="171"/>
          <w:tab w:val="clear" w:pos="0"/>
        </w:tabs>
        <w:adjustRightInd w:val="0"/>
        <w:snapToGrid w:val="0"/>
        <w:spacing w:line="312" w:lineRule="auto"/>
        <w:ind w:left="0" w:firstLine="480" w:firstLineChars="200"/>
        <w:jc w:val="both"/>
        <w:rPr>
          <w:rFonts w:ascii="宋体" w:hAnsi="宋体" w:cs="宋体"/>
          <w:color w:val="auto"/>
          <w:highlight w:val="none"/>
        </w:rPr>
      </w:pPr>
      <w:r>
        <w:rPr>
          <w:rFonts w:hint="eastAsia" w:ascii="宋体" w:hAnsi="宋体" w:cs="宋体"/>
          <w:color w:val="auto"/>
          <w:highlight w:val="none"/>
        </w:rPr>
        <w:t>本项目采购活动中需要依法回避的采购人员是指采购人内部负责采购项目的具体经办工作人员和直接分管采购项目的负责人，以及采购代理机构负责采购项目的具体经办工作人员和直接分管采购活动的负责人。本项目采购活动中需要依法回避的相关人员是指评审小组成员。</w:t>
      </w:r>
    </w:p>
    <w:p w14:paraId="713EE181">
      <w:pPr>
        <w:pStyle w:val="36"/>
        <w:widowControl w:val="0"/>
        <w:numPr>
          <w:ilvl w:val="1"/>
          <w:numId w:val="3"/>
        </w:numPr>
        <w:tabs>
          <w:tab w:val="left" w:pos="171"/>
          <w:tab w:val="clear" w:pos="0"/>
        </w:tabs>
        <w:adjustRightInd w:val="0"/>
        <w:snapToGrid w:val="0"/>
        <w:spacing w:line="312" w:lineRule="auto"/>
        <w:ind w:left="0" w:firstLine="480" w:firstLineChars="200"/>
        <w:jc w:val="both"/>
        <w:rPr>
          <w:rFonts w:ascii="宋体" w:hAnsi="宋体" w:cs="宋体"/>
          <w:color w:val="auto"/>
          <w:highlight w:val="none"/>
        </w:rPr>
      </w:pPr>
      <w:r>
        <w:rPr>
          <w:rFonts w:hint="eastAsia" w:ascii="宋体" w:hAnsi="宋体" w:cs="宋体"/>
          <w:color w:val="auto"/>
          <w:highlight w:val="none"/>
        </w:rPr>
        <w:t>投标人认为采购人员及相关人员与其他投标人有利害关系的，可以向采购代理机构书面提出回避申请，并说明理由。采购代理机构将及时询问被申请回避人员，有利害关系的被申请回避人员应当回避。</w:t>
      </w:r>
    </w:p>
    <w:p w14:paraId="3F0350F7">
      <w:pPr>
        <w:pStyle w:val="36"/>
        <w:widowControl w:val="0"/>
        <w:numPr>
          <w:ilvl w:val="0"/>
          <w:numId w:val="3"/>
        </w:numPr>
        <w:adjustRightInd w:val="0"/>
        <w:snapToGrid w:val="0"/>
        <w:spacing w:line="312" w:lineRule="auto"/>
        <w:ind w:left="57" w:firstLine="480" w:firstLineChars="0"/>
        <w:jc w:val="both"/>
        <w:rPr>
          <w:rFonts w:ascii="宋体" w:hAnsi="宋体" w:cs="宋体"/>
          <w:color w:val="auto"/>
          <w:highlight w:val="none"/>
        </w:rPr>
      </w:pPr>
      <w:r>
        <w:rPr>
          <w:rFonts w:hint="eastAsia" w:ascii="宋体" w:hAnsi="宋体" w:cs="宋体"/>
          <w:color w:val="auto"/>
          <w:highlight w:val="none"/>
        </w:rPr>
        <w:t>资格审查</w:t>
      </w:r>
    </w:p>
    <w:p w14:paraId="13AA1C10">
      <w:pPr>
        <w:pStyle w:val="36"/>
        <w:widowControl w:val="0"/>
        <w:adjustRightInd w:val="0"/>
        <w:snapToGrid w:val="0"/>
        <w:spacing w:line="312" w:lineRule="auto"/>
        <w:ind w:firstLine="480"/>
        <w:jc w:val="both"/>
        <w:rPr>
          <w:rFonts w:ascii="宋体" w:hAnsi="宋体" w:cs="宋体"/>
          <w:color w:val="auto"/>
          <w:highlight w:val="none"/>
        </w:rPr>
      </w:pPr>
      <w:r>
        <w:rPr>
          <w:rFonts w:hint="eastAsia" w:ascii="宋体" w:hAnsi="宋体" w:cs="宋体"/>
          <w:color w:val="auto"/>
          <w:highlight w:val="none"/>
        </w:rPr>
        <w:t>本次</w:t>
      </w:r>
      <w:r>
        <w:rPr>
          <w:rFonts w:hint="eastAsia" w:ascii="宋体" w:hAnsi="宋体" w:cs="宋体"/>
          <w:color w:val="auto"/>
          <w:highlight w:val="none"/>
          <w:lang w:val="zh-CN"/>
        </w:rPr>
        <w:t>采取</w:t>
      </w:r>
      <w:r>
        <w:rPr>
          <w:rFonts w:hint="eastAsia" w:ascii="宋体" w:hAnsi="宋体" w:cs="宋体"/>
          <w:color w:val="auto"/>
          <w:highlight w:val="none"/>
        </w:rPr>
        <w:t>资格后审，采购组织机构不保证所有</w:t>
      </w:r>
      <w:r>
        <w:rPr>
          <w:rFonts w:hint="eastAsia" w:ascii="宋体" w:hAnsi="宋体" w:cs="宋体"/>
          <w:color w:val="auto"/>
          <w:highlight w:val="none"/>
          <w:lang w:val="en-US" w:eastAsia="zh-CN"/>
        </w:rPr>
        <w:t>获取</w:t>
      </w:r>
      <w:r>
        <w:rPr>
          <w:rFonts w:hint="eastAsia" w:ascii="宋体" w:hAnsi="宋体" w:cs="宋体"/>
          <w:color w:val="auto"/>
          <w:highlight w:val="none"/>
        </w:rPr>
        <w:t>招标文件的投标人都符合合格投标人资格要求。</w:t>
      </w:r>
    </w:p>
    <w:p w14:paraId="6BACB69C">
      <w:pPr>
        <w:pStyle w:val="36"/>
        <w:widowControl w:val="0"/>
        <w:numPr>
          <w:ilvl w:val="0"/>
          <w:numId w:val="3"/>
        </w:numPr>
        <w:adjustRightInd w:val="0"/>
        <w:snapToGrid w:val="0"/>
        <w:spacing w:line="312" w:lineRule="auto"/>
        <w:ind w:left="57" w:firstLine="480" w:firstLineChars="0"/>
        <w:jc w:val="both"/>
        <w:rPr>
          <w:rFonts w:ascii="宋体" w:hAnsi="宋体" w:cs="宋体"/>
          <w:bCs/>
          <w:color w:val="auto"/>
          <w:highlight w:val="none"/>
        </w:rPr>
      </w:pPr>
      <w:r>
        <w:rPr>
          <w:rFonts w:hint="eastAsia" w:ascii="宋体" w:hAnsi="宋体" w:cs="宋体"/>
          <w:bCs/>
          <w:color w:val="auto"/>
          <w:highlight w:val="none"/>
        </w:rPr>
        <w:t>语言文字</w:t>
      </w:r>
    </w:p>
    <w:p w14:paraId="39EC30C8">
      <w:pPr>
        <w:pStyle w:val="36"/>
        <w:widowControl w:val="0"/>
        <w:numPr>
          <w:ilvl w:val="1"/>
          <w:numId w:val="3"/>
        </w:numPr>
        <w:tabs>
          <w:tab w:val="left" w:pos="171"/>
          <w:tab w:val="clear" w:pos="0"/>
        </w:tabs>
        <w:adjustRightInd w:val="0"/>
        <w:snapToGrid w:val="0"/>
        <w:spacing w:line="312" w:lineRule="auto"/>
        <w:ind w:left="0" w:firstLine="480" w:firstLineChars="200"/>
        <w:jc w:val="both"/>
        <w:rPr>
          <w:rFonts w:ascii="宋体" w:hAnsi="宋体" w:cs="宋体"/>
          <w:color w:val="auto"/>
          <w:highlight w:val="none"/>
        </w:rPr>
      </w:pPr>
      <w:r>
        <w:rPr>
          <w:rFonts w:hint="eastAsia" w:ascii="宋体" w:hAnsi="宋体" w:cs="宋体"/>
          <w:color w:val="auto"/>
          <w:highlight w:val="none"/>
          <w:lang w:eastAsia="zh-CN"/>
        </w:rPr>
        <w:t>投标文件</w:t>
      </w:r>
      <w:r>
        <w:rPr>
          <w:rFonts w:hint="eastAsia" w:ascii="宋体" w:hAnsi="宋体" w:cs="宋体"/>
          <w:color w:val="auto"/>
          <w:highlight w:val="none"/>
        </w:rPr>
        <w:t>以及投标人与采购人就有关响应事宜的所有来往函电，均应以中文汉语书写。除签名、盖章、专用名称等特殊情形外，以中文汉语以外的文字表述的</w:t>
      </w:r>
      <w:r>
        <w:rPr>
          <w:rFonts w:hint="eastAsia" w:ascii="宋体" w:hAnsi="宋体" w:cs="宋体"/>
          <w:color w:val="auto"/>
          <w:highlight w:val="none"/>
          <w:lang w:eastAsia="zh-CN"/>
        </w:rPr>
        <w:t>投标文件</w:t>
      </w:r>
      <w:r>
        <w:rPr>
          <w:rFonts w:hint="eastAsia" w:ascii="宋体" w:hAnsi="宋体" w:cs="宋体"/>
          <w:color w:val="auto"/>
          <w:highlight w:val="none"/>
        </w:rPr>
        <w:t>视同未提供。</w:t>
      </w:r>
    </w:p>
    <w:p w14:paraId="0261EBCC">
      <w:pPr>
        <w:pStyle w:val="36"/>
        <w:widowControl w:val="0"/>
        <w:numPr>
          <w:ilvl w:val="1"/>
          <w:numId w:val="3"/>
        </w:numPr>
        <w:tabs>
          <w:tab w:val="left" w:pos="171"/>
          <w:tab w:val="clear" w:pos="0"/>
        </w:tabs>
        <w:adjustRightInd w:val="0"/>
        <w:snapToGrid w:val="0"/>
        <w:spacing w:line="312" w:lineRule="auto"/>
        <w:ind w:left="0" w:firstLine="480" w:firstLineChars="200"/>
        <w:jc w:val="both"/>
        <w:rPr>
          <w:rFonts w:ascii="宋体" w:hAnsi="宋体" w:cs="宋体"/>
          <w:color w:val="auto"/>
          <w:highlight w:val="none"/>
        </w:rPr>
      </w:pPr>
      <w:r>
        <w:rPr>
          <w:rFonts w:hint="eastAsia" w:ascii="宋体" w:hAnsi="宋体" w:cs="宋体"/>
          <w:color w:val="auto"/>
          <w:highlight w:val="none"/>
        </w:rPr>
        <w:t>外文专用术语应附有中文注释。</w:t>
      </w:r>
      <w:r>
        <w:rPr>
          <w:rFonts w:hint="eastAsia" w:ascii="宋体" w:hAnsi="宋体" w:cs="宋体"/>
          <w:color w:val="auto"/>
          <w:highlight w:val="none"/>
          <w:lang w:eastAsia="zh-CN"/>
        </w:rPr>
        <w:t>投标文件</w:t>
      </w:r>
      <w:r>
        <w:rPr>
          <w:rFonts w:hint="eastAsia" w:ascii="宋体" w:hAnsi="宋体" w:cs="宋体"/>
          <w:color w:val="auto"/>
          <w:highlight w:val="none"/>
        </w:rPr>
        <w:t>及相关往来文件中有外文资料的（如质疑函、进口产品厂商授权书等），资料提供方应当将其翻译为中文，注明翻译人员姓名、工作单位、联系方式等信息，并对译文的完整性、客观性、真实性负责。</w:t>
      </w:r>
    </w:p>
    <w:p w14:paraId="6C2FBB04">
      <w:pPr>
        <w:pStyle w:val="36"/>
        <w:widowControl w:val="0"/>
        <w:numPr>
          <w:ilvl w:val="0"/>
          <w:numId w:val="3"/>
        </w:numPr>
        <w:adjustRightInd w:val="0"/>
        <w:snapToGrid w:val="0"/>
        <w:spacing w:line="312" w:lineRule="auto"/>
        <w:ind w:left="57" w:firstLine="480" w:firstLineChars="0"/>
        <w:jc w:val="both"/>
        <w:rPr>
          <w:rFonts w:ascii="宋体" w:hAnsi="宋体" w:cs="宋体"/>
          <w:color w:val="auto"/>
          <w:highlight w:val="none"/>
        </w:rPr>
      </w:pPr>
      <w:r>
        <w:rPr>
          <w:rFonts w:hint="eastAsia" w:ascii="宋体" w:hAnsi="宋体" w:cs="宋体"/>
          <w:bCs/>
          <w:color w:val="auto"/>
          <w:highlight w:val="none"/>
        </w:rPr>
        <w:t>计量单位</w:t>
      </w:r>
    </w:p>
    <w:p w14:paraId="74BA8CA0">
      <w:pPr>
        <w:pStyle w:val="36"/>
        <w:widowControl w:val="0"/>
        <w:adjustRightInd w:val="0"/>
        <w:snapToGrid w:val="0"/>
        <w:spacing w:line="312" w:lineRule="auto"/>
        <w:ind w:firstLine="480" w:firstLineChars="200"/>
        <w:jc w:val="both"/>
        <w:rPr>
          <w:rFonts w:ascii="宋体" w:hAnsi="宋体" w:cs="宋体"/>
          <w:color w:val="auto"/>
          <w:highlight w:val="none"/>
        </w:rPr>
      </w:pPr>
      <w:r>
        <w:rPr>
          <w:rFonts w:hint="eastAsia" w:ascii="宋体" w:hAnsi="宋体" w:cs="宋体"/>
          <w:color w:val="auto"/>
          <w:highlight w:val="none"/>
        </w:rPr>
        <w:t>除招标文件另有规定外，计量均应采用中华人民共和国法定计量单位；所有报价一律使用人民币，货币单位为“元”。</w:t>
      </w:r>
    </w:p>
    <w:p w14:paraId="3D5B7C74">
      <w:pPr>
        <w:pStyle w:val="36"/>
        <w:widowControl w:val="0"/>
        <w:numPr>
          <w:ilvl w:val="0"/>
          <w:numId w:val="3"/>
        </w:numPr>
        <w:adjustRightInd w:val="0"/>
        <w:snapToGrid w:val="0"/>
        <w:spacing w:line="312" w:lineRule="auto"/>
        <w:ind w:left="57" w:firstLine="480" w:firstLineChars="0"/>
        <w:jc w:val="both"/>
        <w:rPr>
          <w:rFonts w:ascii="宋体" w:hAnsi="宋体" w:cs="宋体"/>
          <w:color w:val="auto"/>
          <w:highlight w:val="none"/>
        </w:rPr>
      </w:pPr>
      <w:r>
        <w:rPr>
          <w:rFonts w:hint="eastAsia" w:ascii="宋体" w:hAnsi="宋体" w:cs="宋体"/>
          <w:color w:val="auto"/>
          <w:highlight w:val="none"/>
        </w:rPr>
        <w:t>保密</w:t>
      </w:r>
    </w:p>
    <w:p w14:paraId="431ABA68">
      <w:pPr>
        <w:pStyle w:val="36"/>
        <w:widowControl w:val="0"/>
        <w:tabs>
          <w:tab w:val="left" w:pos="0"/>
        </w:tabs>
        <w:adjustRightInd w:val="0"/>
        <w:snapToGrid w:val="0"/>
        <w:spacing w:line="312" w:lineRule="auto"/>
        <w:ind w:firstLine="480"/>
        <w:jc w:val="both"/>
        <w:rPr>
          <w:rFonts w:ascii="宋体" w:hAnsi="宋体" w:cs="宋体"/>
          <w:color w:val="auto"/>
          <w:highlight w:val="none"/>
        </w:rPr>
      </w:pPr>
      <w:r>
        <w:rPr>
          <w:rFonts w:hint="eastAsia" w:ascii="宋体" w:hAnsi="宋体" w:cs="宋体"/>
          <w:color w:val="auto"/>
          <w:highlight w:val="none"/>
        </w:rPr>
        <w:t>参与招标的当事人应对招标文件和</w:t>
      </w:r>
      <w:r>
        <w:rPr>
          <w:rFonts w:hint="eastAsia" w:ascii="宋体" w:hAnsi="宋体" w:cs="宋体"/>
          <w:color w:val="auto"/>
          <w:highlight w:val="none"/>
          <w:lang w:eastAsia="zh-CN"/>
        </w:rPr>
        <w:t>投标文件</w:t>
      </w:r>
      <w:r>
        <w:rPr>
          <w:rFonts w:hint="eastAsia" w:ascii="宋体" w:hAnsi="宋体" w:cs="宋体"/>
          <w:color w:val="auto"/>
          <w:highlight w:val="none"/>
        </w:rPr>
        <w:t>中的商业和技术等秘密保密，违者应对由此造成的后果承担法律责任。</w:t>
      </w:r>
    </w:p>
    <w:p w14:paraId="738DCEF2">
      <w:pPr>
        <w:pStyle w:val="36"/>
        <w:widowControl w:val="0"/>
        <w:numPr>
          <w:ilvl w:val="0"/>
          <w:numId w:val="3"/>
        </w:numPr>
        <w:adjustRightInd w:val="0"/>
        <w:snapToGrid w:val="0"/>
        <w:spacing w:line="312" w:lineRule="auto"/>
        <w:ind w:left="57" w:firstLine="480" w:firstLineChars="0"/>
        <w:jc w:val="both"/>
        <w:rPr>
          <w:rFonts w:ascii="宋体" w:hAnsi="宋体" w:cs="宋体"/>
          <w:color w:val="auto"/>
          <w:highlight w:val="none"/>
        </w:rPr>
      </w:pPr>
      <w:r>
        <w:rPr>
          <w:rFonts w:hint="eastAsia" w:ascii="宋体" w:hAnsi="宋体" w:cs="宋体"/>
          <w:color w:val="auto"/>
          <w:highlight w:val="none"/>
        </w:rPr>
        <w:t>投标费用</w:t>
      </w:r>
    </w:p>
    <w:p w14:paraId="48A6A8C6">
      <w:pPr>
        <w:pStyle w:val="36"/>
        <w:widowControl w:val="0"/>
        <w:adjustRightInd w:val="0"/>
        <w:snapToGrid w:val="0"/>
        <w:spacing w:line="312" w:lineRule="auto"/>
        <w:ind w:firstLine="480"/>
        <w:jc w:val="both"/>
        <w:rPr>
          <w:rFonts w:ascii="宋体" w:hAnsi="宋体" w:cs="宋体"/>
          <w:color w:val="auto"/>
          <w:highlight w:val="none"/>
        </w:rPr>
      </w:pPr>
      <w:r>
        <w:rPr>
          <w:rFonts w:hint="eastAsia" w:ascii="宋体" w:hAnsi="宋体" w:cs="宋体"/>
          <w:color w:val="auto"/>
          <w:highlight w:val="none"/>
        </w:rPr>
        <w:t>不论投标的结果如何，投标人均自行承担所有与参加本次投标有关的费用。</w:t>
      </w:r>
    </w:p>
    <w:p w14:paraId="3BE26392">
      <w:pPr>
        <w:pStyle w:val="36"/>
        <w:widowControl w:val="0"/>
        <w:numPr>
          <w:ilvl w:val="0"/>
          <w:numId w:val="3"/>
        </w:numPr>
        <w:adjustRightInd w:val="0"/>
        <w:snapToGrid w:val="0"/>
        <w:spacing w:line="312" w:lineRule="auto"/>
        <w:ind w:left="57" w:firstLine="480" w:firstLineChars="0"/>
        <w:jc w:val="both"/>
        <w:rPr>
          <w:rFonts w:ascii="宋体" w:hAnsi="宋体" w:cs="宋体"/>
          <w:color w:val="auto"/>
          <w:highlight w:val="none"/>
        </w:rPr>
      </w:pPr>
      <w:r>
        <w:rPr>
          <w:rFonts w:hint="eastAsia" w:ascii="宋体" w:hAnsi="宋体" w:cs="宋体"/>
          <w:color w:val="auto"/>
          <w:highlight w:val="none"/>
        </w:rPr>
        <w:t>投标有效期</w:t>
      </w:r>
    </w:p>
    <w:p w14:paraId="5D96F26E">
      <w:pPr>
        <w:pStyle w:val="104"/>
        <w:widowControl w:val="0"/>
        <w:numPr>
          <w:ilvl w:val="1"/>
          <w:numId w:val="6"/>
        </w:numPr>
        <w:adjustRightInd w:val="0"/>
        <w:snapToGrid w:val="0"/>
        <w:spacing w:line="312" w:lineRule="auto"/>
        <w:ind w:left="0" w:firstLine="480" w:firstLineChars="20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在投标人须知前附表规定的投标有效期内，投标文件以及其补充、承诺等部分均保持有效。</w:t>
      </w:r>
    </w:p>
    <w:p w14:paraId="1D22F118">
      <w:pPr>
        <w:pStyle w:val="104"/>
        <w:widowControl w:val="0"/>
        <w:numPr>
          <w:ilvl w:val="1"/>
          <w:numId w:val="6"/>
        </w:numPr>
        <w:adjustRightInd w:val="0"/>
        <w:snapToGrid w:val="0"/>
        <w:spacing w:line="312" w:lineRule="auto"/>
        <w:ind w:left="0" w:firstLine="480" w:firstLineChars="20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在招标文件规定的投标文件有效期满之前，如果出现特殊情况，采购人或者采购代理机构可在投标有效期内要求投标人延长有效期，要求与答复均以书面通知为准并作为招标文件和投标文件的组成部分。</w:t>
      </w:r>
    </w:p>
    <w:p w14:paraId="565D0A06">
      <w:pPr>
        <w:pStyle w:val="36"/>
        <w:widowControl w:val="0"/>
        <w:numPr>
          <w:ilvl w:val="0"/>
          <w:numId w:val="3"/>
        </w:numPr>
        <w:adjustRightInd w:val="0"/>
        <w:snapToGrid w:val="0"/>
        <w:spacing w:line="312" w:lineRule="auto"/>
        <w:ind w:left="57" w:firstLine="480" w:firstLineChars="0"/>
        <w:jc w:val="both"/>
        <w:rPr>
          <w:rFonts w:ascii="宋体" w:hAnsi="宋体" w:cs="宋体"/>
          <w:color w:val="auto"/>
          <w:highlight w:val="none"/>
        </w:rPr>
      </w:pPr>
      <w:r>
        <w:rPr>
          <w:rFonts w:hint="eastAsia" w:ascii="宋体" w:hAnsi="宋体" w:cs="宋体"/>
          <w:color w:val="auto"/>
          <w:highlight w:val="none"/>
        </w:rPr>
        <w:t>分包与转包</w:t>
      </w:r>
    </w:p>
    <w:p w14:paraId="04124FB9">
      <w:pPr>
        <w:pStyle w:val="104"/>
        <w:widowControl w:val="0"/>
        <w:tabs>
          <w:tab w:val="left" w:pos="0"/>
        </w:tabs>
        <w:adjustRightInd w:val="0"/>
        <w:snapToGrid w:val="0"/>
        <w:spacing w:line="312" w:lineRule="auto"/>
        <w:ind w:firstLine="480" w:firstLineChars="20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不允许。</w:t>
      </w:r>
    </w:p>
    <w:p w14:paraId="39685568">
      <w:pPr>
        <w:pStyle w:val="36"/>
        <w:widowControl w:val="0"/>
        <w:numPr>
          <w:ilvl w:val="0"/>
          <w:numId w:val="3"/>
        </w:numPr>
        <w:adjustRightInd w:val="0"/>
        <w:snapToGrid w:val="0"/>
        <w:spacing w:line="312" w:lineRule="auto"/>
        <w:ind w:left="57" w:firstLine="480" w:firstLineChars="0"/>
        <w:jc w:val="both"/>
        <w:rPr>
          <w:rFonts w:ascii="宋体" w:hAnsi="宋体" w:cs="宋体"/>
          <w:color w:val="auto"/>
          <w:highlight w:val="none"/>
        </w:rPr>
      </w:pPr>
      <w:r>
        <w:rPr>
          <w:rFonts w:hint="eastAsia" w:ascii="宋体" w:hAnsi="宋体" w:cs="宋体"/>
          <w:color w:val="auto"/>
          <w:highlight w:val="none"/>
          <w:lang w:eastAsia="zh-CN"/>
        </w:rPr>
        <w:t>现场勘查</w:t>
      </w:r>
    </w:p>
    <w:p w14:paraId="77A89458">
      <w:pPr>
        <w:pStyle w:val="36"/>
        <w:widowControl w:val="0"/>
        <w:adjustRightInd w:val="0"/>
        <w:snapToGrid w:val="0"/>
        <w:spacing w:line="312" w:lineRule="auto"/>
        <w:ind w:firstLine="480"/>
        <w:jc w:val="both"/>
        <w:rPr>
          <w:rFonts w:ascii="宋体" w:hAnsi="宋体" w:cs="宋体"/>
          <w:color w:val="auto"/>
          <w:highlight w:val="none"/>
        </w:rPr>
      </w:pPr>
      <w:r>
        <w:rPr>
          <w:rFonts w:hint="eastAsia" w:ascii="宋体" w:hAnsi="宋体" w:cs="宋体"/>
          <w:color w:val="auto"/>
          <w:highlight w:val="none"/>
        </w:rPr>
        <w:t>投标人自行</w:t>
      </w:r>
      <w:r>
        <w:rPr>
          <w:rFonts w:hint="eastAsia" w:ascii="宋体" w:hAnsi="宋体" w:cs="宋体"/>
          <w:color w:val="auto"/>
          <w:highlight w:val="none"/>
          <w:lang w:eastAsia="zh-CN"/>
        </w:rPr>
        <w:t>勘查现场</w:t>
      </w:r>
      <w:r>
        <w:rPr>
          <w:rFonts w:hint="eastAsia" w:ascii="宋体" w:hAnsi="宋体" w:cs="宋体"/>
          <w:color w:val="auto"/>
          <w:highlight w:val="none"/>
        </w:rPr>
        <w:t>以获取有关编制</w:t>
      </w:r>
      <w:r>
        <w:rPr>
          <w:rFonts w:hint="eastAsia" w:ascii="宋体" w:hAnsi="宋体" w:cs="宋体"/>
          <w:color w:val="auto"/>
          <w:highlight w:val="none"/>
          <w:lang w:eastAsia="zh-CN"/>
        </w:rPr>
        <w:t>投标文件</w:t>
      </w:r>
      <w:r>
        <w:rPr>
          <w:rFonts w:hint="eastAsia" w:ascii="宋体" w:hAnsi="宋体" w:cs="宋体"/>
          <w:color w:val="auto"/>
          <w:highlight w:val="none"/>
        </w:rPr>
        <w:t>和签署合同所涉及现场的资料，但需经采购人允许方可为勘察目的进入采购人的项目现场。不得因</w:t>
      </w:r>
      <w:r>
        <w:rPr>
          <w:rFonts w:hint="eastAsia" w:ascii="宋体" w:hAnsi="宋体" w:cs="宋体"/>
          <w:color w:val="auto"/>
          <w:highlight w:val="none"/>
          <w:lang w:eastAsia="zh-CN"/>
        </w:rPr>
        <w:t>勘查现场</w:t>
      </w:r>
      <w:r>
        <w:rPr>
          <w:rFonts w:hint="eastAsia" w:ascii="宋体" w:hAnsi="宋体" w:cs="宋体"/>
          <w:color w:val="auto"/>
          <w:highlight w:val="none"/>
        </w:rPr>
        <w:t>而使采购人承担有关的责任和蒙受损失，投标人应承担</w:t>
      </w:r>
      <w:r>
        <w:rPr>
          <w:rFonts w:hint="eastAsia" w:ascii="宋体" w:hAnsi="宋体" w:cs="宋体"/>
          <w:color w:val="auto"/>
          <w:highlight w:val="none"/>
          <w:lang w:eastAsia="zh-CN"/>
        </w:rPr>
        <w:t>勘查现场</w:t>
      </w:r>
      <w:r>
        <w:rPr>
          <w:rFonts w:hint="eastAsia" w:ascii="宋体" w:hAnsi="宋体" w:cs="宋体"/>
          <w:color w:val="auto"/>
          <w:highlight w:val="none"/>
        </w:rPr>
        <w:t>的责任和风险以及承担</w:t>
      </w:r>
      <w:r>
        <w:rPr>
          <w:rFonts w:hint="eastAsia" w:ascii="宋体" w:hAnsi="宋体" w:cs="宋体"/>
          <w:color w:val="auto"/>
          <w:highlight w:val="none"/>
          <w:lang w:eastAsia="zh-CN"/>
        </w:rPr>
        <w:t>勘查现场</w:t>
      </w:r>
      <w:r>
        <w:rPr>
          <w:rFonts w:hint="eastAsia" w:ascii="宋体" w:hAnsi="宋体" w:cs="宋体"/>
          <w:color w:val="auto"/>
          <w:highlight w:val="none"/>
        </w:rPr>
        <w:t>所发生的费用。</w:t>
      </w:r>
    </w:p>
    <w:p w14:paraId="782D41E9">
      <w:pPr>
        <w:pStyle w:val="36"/>
        <w:widowControl w:val="0"/>
        <w:numPr>
          <w:ilvl w:val="0"/>
          <w:numId w:val="3"/>
        </w:numPr>
        <w:adjustRightInd w:val="0"/>
        <w:snapToGrid w:val="0"/>
        <w:spacing w:line="312" w:lineRule="auto"/>
        <w:ind w:left="57" w:firstLine="480" w:firstLineChars="0"/>
        <w:jc w:val="both"/>
        <w:rPr>
          <w:rFonts w:hint="eastAsia" w:ascii="宋体" w:hAnsi="宋体" w:eastAsia="宋体" w:cs="宋体"/>
          <w:color w:val="auto"/>
          <w:highlight w:val="none"/>
        </w:rPr>
      </w:pPr>
      <w:r>
        <w:rPr>
          <w:rFonts w:hint="eastAsia" w:ascii="宋体" w:hAnsi="宋体" w:eastAsia="宋体" w:cs="宋体"/>
          <w:color w:val="auto"/>
          <w:highlight w:val="none"/>
        </w:rPr>
        <w:t>知识产权</w:t>
      </w:r>
    </w:p>
    <w:p w14:paraId="630F4852">
      <w:pPr>
        <w:pStyle w:val="36"/>
        <w:widowControl w:val="0"/>
        <w:numPr>
          <w:ilvl w:val="1"/>
          <w:numId w:val="3"/>
        </w:numPr>
        <w:tabs>
          <w:tab w:val="left" w:pos="171"/>
          <w:tab w:val="clear" w:pos="0"/>
        </w:tabs>
        <w:adjustRightInd w:val="0"/>
        <w:snapToGrid w:val="0"/>
        <w:spacing w:line="312" w:lineRule="auto"/>
        <w:ind w:left="0" w:firstLine="480" w:firstLineChars="200"/>
        <w:jc w:val="both"/>
        <w:rPr>
          <w:rFonts w:ascii="宋体" w:hAnsi="宋体" w:cs="宋体"/>
          <w:color w:val="auto"/>
          <w:highlight w:val="none"/>
        </w:rPr>
      </w:pPr>
      <w:r>
        <w:rPr>
          <w:rFonts w:hint="eastAsia" w:ascii="宋体" w:hAnsi="宋体" w:cs="宋体"/>
          <w:color w:val="auto"/>
          <w:highlight w:val="none"/>
        </w:rPr>
        <w:t>投标人应保证在本项目使用的任何产品和服务（包括部分使用）时，不会侵犯第三方</w:t>
      </w:r>
      <w:r>
        <w:rPr>
          <w:rFonts w:hint="eastAsia" w:ascii="宋体" w:hAnsi="宋体" w:cs="宋体"/>
          <w:color w:val="auto"/>
          <w:highlight w:val="none"/>
          <w:lang w:eastAsia="zh-CN"/>
        </w:rPr>
        <w:t>的</w:t>
      </w:r>
      <w:r>
        <w:rPr>
          <w:rFonts w:hint="eastAsia" w:ascii="宋体" w:hAnsi="宋体" w:cs="宋体"/>
          <w:color w:val="auto"/>
          <w:highlight w:val="none"/>
        </w:rPr>
        <w:t>专利权、商标权</w:t>
      </w:r>
      <w:r>
        <w:rPr>
          <w:rFonts w:hint="eastAsia" w:ascii="宋体" w:hAnsi="宋体" w:cs="宋体"/>
          <w:color w:val="auto"/>
          <w:highlight w:val="none"/>
          <w:lang w:eastAsia="zh-CN"/>
        </w:rPr>
        <w:t>或其他</w:t>
      </w:r>
      <w:r>
        <w:rPr>
          <w:rFonts w:hint="eastAsia" w:ascii="宋体" w:hAnsi="宋体" w:cs="宋体"/>
          <w:color w:val="auto"/>
          <w:highlight w:val="none"/>
        </w:rPr>
        <w:t>知识产权，否则因此引起的法律和经济纠纷，由投标人按其过错承担所有相关责任。</w:t>
      </w:r>
    </w:p>
    <w:p w14:paraId="08BC3239">
      <w:pPr>
        <w:pStyle w:val="36"/>
        <w:widowControl w:val="0"/>
        <w:numPr>
          <w:ilvl w:val="1"/>
          <w:numId w:val="3"/>
        </w:numPr>
        <w:tabs>
          <w:tab w:val="left" w:pos="171"/>
          <w:tab w:val="clear" w:pos="0"/>
        </w:tabs>
        <w:adjustRightInd w:val="0"/>
        <w:snapToGrid w:val="0"/>
        <w:spacing w:line="312" w:lineRule="auto"/>
        <w:ind w:left="0" w:firstLine="480" w:firstLineChars="200"/>
        <w:jc w:val="both"/>
        <w:rPr>
          <w:rFonts w:ascii="宋体" w:hAnsi="宋体" w:cs="宋体"/>
          <w:color w:val="auto"/>
          <w:highlight w:val="none"/>
        </w:rPr>
      </w:pPr>
      <w:r>
        <w:rPr>
          <w:rFonts w:hint="eastAsia" w:ascii="宋体" w:hAnsi="宋体" w:cs="宋体"/>
          <w:color w:val="auto"/>
          <w:highlight w:val="none"/>
        </w:rPr>
        <w:t>投标人为采购人在本项目中定制化的工作成果所涉知识产权归属于采购人。投标人为本项目而使用的工具、软件、系统、代码、文档、图表等知识产权及产权均归属于中标人或权利人，采购人可为本项目之目的在本合同有效期内非独占、</w:t>
      </w:r>
      <w:r>
        <w:rPr>
          <w:rFonts w:hint="eastAsia" w:ascii="宋体" w:hAnsi="宋体" w:cs="宋体"/>
          <w:color w:val="auto"/>
          <w:highlight w:val="none"/>
          <w:lang w:eastAsia="zh-CN"/>
        </w:rPr>
        <w:t>非排他性</w:t>
      </w:r>
      <w:r>
        <w:rPr>
          <w:rFonts w:hint="eastAsia" w:ascii="宋体" w:hAnsi="宋体" w:cs="宋体"/>
          <w:color w:val="auto"/>
          <w:highlight w:val="none"/>
        </w:rPr>
        <w:t>使用。</w:t>
      </w:r>
    </w:p>
    <w:p w14:paraId="0E920EAE">
      <w:pPr>
        <w:pStyle w:val="36"/>
        <w:widowControl w:val="0"/>
        <w:numPr>
          <w:ilvl w:val="1"/>
          <w:numId w:val="3"/>
        </w:numPr>
        <w:tabs>
          <w:tab w:val="left" w:pos="171"/>
          <w:tab w:val="clear" w:pos="0"/>
        </w:tabs>
        <w:adjustRightInd w:val="0"/>
        <w:snapToGrid w:val="0"/>
        <w:spacing w:line="312" w:lineRule="auto"/>
        <w:ind w:left="0" w:firstLine="480" w:firstLineChars="200"/>
        <w:jc w:val="both"/>
        <w:rPr>
          <w:rFonts w:ascii="宋体" w:hAnsi="宋体" w:cs="宋体"/>
          <w:color w:val="auto"/>
          <w:highlight w:val="none"/>
        </w:rPr>
      </w:pPr>
      <w:r>
        <w:rPr>
          <w:rFonts w:hint="eastAsia" w:ascii="宋体" w:hAnsi="宋体" w:cs="宋体"/>
          <w:color w:val="auto"/>
          <w:highlight w:val="none"/>
        </w:rPr>
        <w:t>如采用投标人所不拥有的知识产权，则在投标报价中必须包括合法获取该知识产权的相关费用。</w:t>
      </w:r>
    </w:p>
    <w:p w14:paraId="2BE45C7B">
      <w:pPr>
        <w:pStyle w:val="36"/>
        <w:widowControl w:val="0"/>
        <w:numPr>
          <w:ilvl w:val="0"/>
          <w:numId w:val="3"/>
        </w:numPr>
        <w:adjustRightInd w:val="0"/>
        <w:snapToGrid w:val="0"/>
        <w:spacing w:line="312" w:lineRule="auto"/>
        <w:ind w:left="57" w:firstLine="480" w:firstLineChars="0"/>
        <w:jc w:val="both"/>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特别说明</w:t>
      </w:r>
    </w:p>
    <w:p w14:paraId="5F671CBE">
      <w:pPr>
        <w:pStyle w:val="103"/>
        <w:ind w:firstLine="480" w:firstLineChars="200"/>
        <w:rPr>
          <w:rFonts w:ascii="宋体" w:hAnsi="宋体"/>
          <w:color w:val="auto"/>
          <w:highlight w:val="none"/>
        </w:rPr>
      </w:pPr>
      <w:r>
        <w:rPr>
          <w:rFonts w:hint="eastAsia" w:ascii="宋体" w:hAnsi="宋体"/>
          <w:color w:val="auto"/>
          <w:highlight w:val="none"/>
        </w:rPr>
        <w:t>15.1投标人应仔细阅读招标文件的所有内容，按照招标文件的要求提交投标文件，并对所提供的全部资料的真实性承担法律责任。</w:t>
      </w:r>
    </w:p>
    <w:p w14:paraId="070C9CF7">
      <w:pPr>
        <w:pStyle w:val="103"/>
        <w:ind w:firstLine="480" w:firstLineChars="200"/>
        <w:rPr>
          <w:rFonts w:ascii="宋体" w:hAnsi="宋体"/>
          <w:color w:val="auto"/>
          <w:highlight w:val="none"/>
        </w:rPr>
      </w:pPr>
      <w:r>
        <w:rPr>
          <w:rFonts w:hint="eastAsia" w:ascii="宋体" w:hAnsi="宋体"/>
          <w:color w:val="auto"/>
          <w:highlight w:val="none"/>
        </w:rPr>
        <w:t>1</w:t>
      </w:r>
      <w:r>
        <w:rPr>
          <w:rFonts w:ascii="宋体" w:hAnsi="宋体"/>
          <w:color w:val="auto"/>
          <w:highlight w:val="none"/>
        </w:rPr>
        <w:t>5.2投标人投标所使用的资格、信誉、荣誉、业绩与企业认证必须为本法人所拥有。</w:t>
      </w:r>
    </w:p>
    <w:p w14:paraId="2AE6FDD6">
      <w:pPr>
        <w:pStyle w:val="103"/>
        <w:ind w:firstLine="480" w:firstLineChars="200"/>
        <w:rPr>
          <w:rFonts w:ascii="宋体" w:hAnsi="宋体"/>
          <w:color w:val="auto"/>
          <w:highlight w:val="none"/>
        </w:rPr>
      </w:pPr>
      <w:r>
        <w:rPr>
          <w:rFonts w:hint="eastAsia" w:ascii="宋体" w:hAnsi="宋体"/>
          <w:color w:val="auto"/>
          <w:highlight w:val="none"/>
        </w:rPr>
        <w:t>15.</w:t>
      </w:r>
      <w:r>
        <w:rPr>
          <w:rFonts w:ascii="宋体" w:hAnsi="宋体"/>
          <w:color w:val="auto"/>
          <w:highlight w:val="none"/>
        </w:rPr>
        <w:t>3</w:t>
      </w:r>
      <w:r>
        <w:rPr>
          <w:rFonts w:hint="eastAsia" w:ascii="宋体" w:hAnsi="宋体"/>
          <w:color w:val="auto"/>
          <w:highlight w:val="none"/>
        </w:rPr>
        <w:t>投标人在投标活动中提供任何虚假材料,其投标无效，并报监管部门查处；中标后发现的,中标人须依照《中华人民共和国消费者权益保护法》之规定处理，且民事赔偿并不免除违法投标人的行政与刑事责任。</w:t>
      </w:r>
    </w:p>
    <w:p w14:paraId="58DE41AD">
      <w:pPr>
        <w:pStyle w:val="36"/>
        <w:numPr>
          <w:ilvl w:val="0"/>
          <w:numId w:val="3"/>
        </w:numPr>
        <w:adjustRightInd w:val="0"/>
        <w:snapToGrid w:val="0"/>
        <w:spacing w:line="312" w:lineRule="auto"/>
        <w:ind w:left="57" w:firstLine="48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采购项目需要落实的政府采购政策</w:t>
      </w:r>
    </w:p>
    <w:p w14:paraId="6FAEACF9">
      <w:pPr>
        <w:pStyle w:val="103"/>
        <w:ind w:firstLine="480"/>
        <w:rPr>
          <w:rFonts w:ascii="宋体" w:hAnsi="宋体"/>
          <w:color w:val="auto"/>
          <w:highlight w:val="none"/>
        </w:rPr>
      </w:pPr>
      <w:r>
        <w:rPr>
          <w:rFonts w:ascii="宋体" w:hAnsi="宋体"/>
          <w:color w:val="auto"/>
          <w:highlight w:val="none"/>
        </w:rPr>
        <w:t>16.1</w:t>
      </w:r>
      <w:r>
        <w:rPr>
          <w:rFonts w:hint="eastAsia" w:ascii="宋体" w:hAnsi="宋体"/>
          <w:color w:val="auto"/>
          <w:highlight w:val="none"/>
        </w:rPr>
        <w:t>支持中小企业发展</w:t>
      </w:r>
    </w:p>
    <w:p w14:paraId="6E54FE33">
      <w:pPr>
        <w:pStyle w:val="103"/>
        <w:ind w:firstLine="480"/>
        <w:rPr>
          <w:rFonts w:ascii="宋体" w:hAnsi="宋体"/>
          <w:color w:val="auto"/>
          <w:highlight w:val="none"/>
        </w:rPr>
      </w:pPr>
      <w:r>
        <w:rPr>
          <w:rFonts w:hint="eastAsia" w:ascii="宋体" w:hAnsi="宋体"/>
          <w:color w:val="auto"/>
          <w:highlight w:val="none"/>
        </w:rPr>
        <w:t>1</w:t>
      </w:r>
      <w:r>
        <w:rPr>
          <w:rFonts w:ascii="宋体" w:hAnsi="宋体"/>
          <w:color w:val="auto"/>
          <w:highlight w:val="none"/>
        </w:rPr>
        <w:t>6.1.1</w:t>
      </w:r>
      <w:r>
        <w:rPr>
          <w:rFonts w:hint="eastAsia" w:ascii="宋体" w:hAnsi="宋体"/>
          <w:color w:val="auto"/>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3A321CB1">
      <w:pPr>
        <w:pStyle w:val="103"/>
        <w:ind w:firstLine="480"/>
        <w:rPr>
          <w:rFonts w:ascii="宋体" w:hAnsi="宋体"/>
          <w:color w:val="auto"/>
          <w:highlight w:val="none"/>
        </w:rPr>
      </w:pPr>
      <w:r>
        <w:rPr>
          <w:rFonts w:hint="eastAsia" w:ascii="宋体" w:hAnsi="宋体"/>
          <w:color w:val="auto"/>
          <w:highlight w:val="none"/>
        </w:rPr>
        <w:t>符合中小企业划分标准的个体工商户，在采购活动中视同中小企业。</w:t>
      </w:r>
    </w:p>
    <w:p w14:paraId="17982846">
      <w:pPr>
        <w:pStyle w:val="103"/>
        <w:ind w:firstLine="480"/>
        <w:rPr>
          <w:rFonts w:ascii="宋体" w:hAnsi="宋体"/>
          <w:color w:val="auto"/>
          <w:highlight w:val="none"/>
        </w:rPr>
      </w:pPr>
      <w:r>
        <w:rPr>
          <w:rFonts w:hint="eastAsia" w:ascii="宋体" w:hAnsi="宋体"/>
          <w:color w:val="auto"/>
          <w:highlight w:val="none"/>
        </w:rPr>
        <w:t>1</w:t>
      </w:r>
      <w:r>
        <w:rPr>
          <w:rFonts w:ascii="宋体" w:hAnsi="宋体"/>
          <w:color w:val="auto"/>
          <w:highlight w:val="none"/>
        </w:rPr>
        <w:t>6.1.2</w:t>
      </w:r>
      <w:r>
        <w:rPr>
          <w:rFonts w:hint="eastAsia" w:ascii="宋体" w:hAnsi="宋体"/>
          <w:color w:val="auto"/>
          <w:highlight w:val="none"/>
        </w:rPr>
        <w:t>在采购活动中，投标人提供的货物、工程或者服务符合下列情形的，享受中小企业扶持政策：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4475E55E">
      <w:pPr>
        <w:pStyle w:val="103"/>
        <w:ind w:firstLine="480"/>
        <w:rPr>
          <w:rFonts w:ascii="宋体" w:hAnsi="宋体"/>
          <w:color w:val="auto"/>
          <w:highlight w:val="none"/>
        </w:rPr>
      </w:pPr>
      <w:r>
        <w:rPr>
          <w:rFonts w:hint="eastAsia" w:ascii="宋体" w:hAnsi="宋体"/>
          <w:color w:val="auto"/>
          <w:highlight w:val="none"/>
        </w:rPr>
        <w:t>在货物采购项目中，投标人提供的货物既有中小企业制造货物，也有大型企业制造货物的，不享受中小企业扶持政策。</w:t>
      </w:r>
    </w:p>
    <w:p w14:paraId="54BD8C01">
      <w:pPr>
        <w:pStyle w:val="103"/>
        <w:ind w:firstLine="480"/>
        <w:rPr>
          <w:rFonts w:ascii="宋体" w:hAnsi="宋体"/>
          <w:color w:val="auto"/>
          <w:highlight w:val="none"/>
        </w:rPr>
      </w:pPr>
      <w:r>
        <w:rPr>
          <w:rFonts w:hint="eastAsia" w:ascii="宋体" w:hAnsi="宋体"/>
          <w:color w:val="auto"/>
          <w:highlight w:val="none"/>
        </w:rPr>
        <w:t>1</w:t>
      </w:r>
      <w:r>
        <w:rPr>
          <w:rFonts w:ascii="宋体" w:hAnsi="宋体"/>
          <w:color w:val="auto"/>
          <w:highlight w:val="none"/>
        </w:rPr>
        <w:t>6.1.3</w:t>
      </w:r>
      <w:r>
        <w:rPr>
          <w:rFonts w:hint="eastAsia" w:ascii="宋体" w:hAnsi="宋体"/>
          <w:color w:val="auto"/>
          <w:highlight w:val="none"/>
        </w:rPr>
        <w:t>符合《关于促进残疾人就业政府采购政策的通知》（财库〔2017〕141号）规定的条件并提供《残疾人福利性单位声明函》的残疾人福利性单位视同小型、微型企业；</w:t>
      </w:r>
    </w:p>
    <w:p w14:paraId="0E01F360">
      <w:pPr>
        <w:pStyle w:val="103"/>
        <w:ind w:firstLine="480"/>
        <w:rPr>
          <w:rFonts w:ascii="宋体" w:hAnsi="宋体"/>
          <w:color w:val="auto"/>
          <w:highlight w:val="none"/>
        </w:rPr>
      </w:pPr>
      <w:r>
        <w:rPr>
          <w:rFonts w:hint="eastAsia" w:ascii="宋体" w:hAnsi="宋体"/>
          <w:color w:val="auto"/>
          <w:highlight w:val="none"/>
        </w:rPr>
        <w:t>1</w:t>
      </w:r>
      <w:r>
        <w:rPr>
          <w:rFonts w:ascii="宋体" w:hAnsi="宋体"/>
          <w:color w:val="auto"/>
          <w:highlight w:val="none"/>
        </w:rPr>
        <w:t>6.1.4</w:t>
      </w:r>
      <w:r>
        <w:rPr>
          <w:rFonts w:hint="eastAsia" w:ascii="宋体" w:hAnsi="宋体"/>
          <w:color w:val="auto"/>
          <w:highlight w:val="none"/>
        </w:rPr>
        <w:t>符合《关于政府采购支持监狱企业发展有关问题的通知》（财库</w:t>
      </w:r>
      <w:r>
        <w:rPr>
          <w:rFonts w:hint="eastAsia" w:ascii="宋体" w:hAnsi="宋体"/>
          <w:color w:val="auto"/>
          <w:highlight w:val="none"/>
          <w:lang w:eastAsia="zh-CN"/>
        </w:rPr>
        <w:t>〔2014〕68号</w:t>
      </w:r>
      <w:r>
        <w:rPr>
          <w:rFonts w:hint="eastAsia" w:ascii="宋体" w:hAnsi="宋体"/>
          <w:color w:val="auto"/>
          <w:highlight w:val="none"/>
        </w:rPr>
        <w:t>）规定的监狱企业并提供由省级以上监狱管理局、戒毒管理局（含新疆生产建设兵团）出具的属于监狱企业证明文件的，视同为小型、微型企业。</w:t>
      </w:r>
    </w:p>
    <w:p w14:paraId="02533E1D">
      <w:pPr>
        <w:pStyle w:val="103"/>
        <w:ind w:firstLine="480"/>
        <w:rPr>
          <w:rFonts w:ascii="宋体" w:hAnsi="宋体"/>
          <w:color w:val="auto"/>
          <w:highlight w:val="none"/>
        </w:rPr>
      </w:pPr>
      <w:r>
        <w:rPr>
          <w:rFonts w:hint="eastAsia" w:ascii="宋体" w:hAnsi="宋体"/>
          <w:color w:val="auto"/>
          <w:highlight w:val="none"/>
        </w:rPr>
        <w:t>1</w:t>
      </w:r>
      <w:r>
        <w:rPr>
          <w:rFonts w:ascii="宋体" w:hAnsi="宋体"/>
          <w:color w:val="auto"/>
          <w:highlight w:val="none"/>
        </w:rPr>
        <w:t>6.1.</w:t>
      </w:r>
      <w:r>
        <w:rPr>
          <w:rFonts w:hint="eastAsia" w:ascii="宋体" w:hAnsi="宋体"/>
          <w:color w:val="auto"/>
          <w:highlight w:val="none"/>
          <w:lang w:val="en-US" w:eastAsia="zh-CN"/>
        </w:rPr>
        <w:t>5</w:t>
      </w:r>
      <w:r>
        <w:rPr>
          <w:rFonts w:hint="eastAsia" w:ascii="宋体" w:hAnsi="宋体"/>
          <w:color w:val="auto"/>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02D374E">
      <w:pPr>
        <w:pStyle w:val="103"/>
        <w:ind w:firstLine="480"/>
        <w:rPr>
          <w:rFonts w:ascii="宋体" w:hAnsi="宋体"/>
          <w:color w:val="auto"/>
          <w:highlight w:val="none"/>
        </w:rPr>
      </w:pPr>
      <w:r>
        <w:rPr>
          <w:rFonts w:hint="eastAsia" w:ascii="宋体" w:hAnsi="宋体"/>
          <w:color w:val="auto"/>
          <w:highlight w:val="none"/>
        </w:rPr>
        <w:t>1</w:t>
      </w:r>
      <w:r>
        <w:rPr>
          <w:rFonts w:ascii="宋体" w:hAnsi="宋体"/>
          <w:color w:val="auto"/>
          <w:highlight w:val="none"/>
        </w:rPr>
        <w:t>6.1.7</w:t>
      </w:r>
      <w:r>
        <w:rPr>
          <w:rFonts w:hint="eastAsia" w:ascii="宋体" w:hAnsi="宋体"/>
          <w:color w:val="auto"/>
          <w:highlight w:val="none"/>
        </w:rPr>
        <w:t>中小企业享受扶持政策获得采购合同的，小微企业不得将合同分包给大中型企业，中型企业不得将合同分包给大型企业。</w:t>
      </w:r>
    </w:p>
    <w:p w14:paraId="0C987A8D">
      <w:pPr>
        <w:pStyle w:val="10"/>
        <w:numPr>
          <w:ilvl w:val="1"/>
          <w:numId w:val="0"/>
        </w:numPr>
        <w:spacing w:beforeLines="0" w:afterLines="0"/>
        <w:ind w:firstLine="602" w:firstLineChars="200"/>
        <w:rPr>
          <w:rFonts w:ascii="宋体" w:hAnsi="宋体" w:cs="宋体"/>
          <w:b/>
          <w:bCs w:val="0"/>
          <w:color w:val="auto"/>
          <w:highlight w:val="none"/>
          <w:lang w:bidi="ar"/>
        </w:rPr>
      </w:pPr>
      <w:bookmarkStart w:id="316" w:name="_Toc4323"/>
      <w:bookmarkStart w:id="317" w:name="_Toc2048"/>
      <w:r>
        <w:rPr>
          <w:rFonts w:hint="eastAsia" w:ascii="宋体" w:hAnsi="宋体" w:cs="宋体"/>
          <w:b/>
          <w:bCs w:val="0"/>
          <w:color w:val="auto"/>
          <w:highlight w:val="none"/>
          <w:lang w:bidi="ar"/>
        </w:rPr>
        <w:t>三、招标文件</w:t>
      </w:r>
      <w:bookmarkEnd w:id="316"/>
      <w:bookmarkEnd w:id="317"/>
    </w:p>
    <w:p w14:paraId="5DA7BFEE">
      <w:pPr>
        <w:pStyle w:val="36"/>
        <w:widowControl w:val="0"/>
        <w:numPr>
          <w:ilvl w:val="0"/>
          <w:numId w:val="3"/>
        </w:numPr>
        <w:adjustRightInd w:val="0"/>
        <w:snapToGrid w:val="0"/>
        <w:spacing w:line="312" w:lineRule="auto"/>
        <w:ind w:left="57" w:firstLine="480" w:firstLineChars="0"/>
        <w:jc w:val="both"/>
        <w:rPr>
          <w:rFonts w:ascii="宋体" w:hAnsi="宋体" w:cs="宋体"/>
          <w:color w:val="auto"/>
          <w:highlight w:val="none"/>
          <w:lang w:bidi="ar"/>
        </w:rPr>
      </w:pPr>
      <w:r>
        <w:rPr>
          <w:rFonts w:hint="eastAsia" w:ascii="宋体" w:hAnsi="宋体" w:cs="宋体"/>
          <w:color w:val="auto"/>
          <w:highlight w:val="none"/>
          <w:lang w:bidi="ar"/>
        </w:rPr>
        <w:t>招标文件的组成</w:t>
      </w:r>
    </w:p>
    <w:p w14:paraId="7058379A">
      <w:pPr>
        <w:pStyle w:val="36"/>
        <w:numPr>
          <w:ilvl w:val="1"/>
          <w:numId w:val="3"/>
        </w:numPr>
        <w:tabs>
          <w:tab w:val="left" w:pos="171"/>
          <w:tab w:val="clear" w:pos="0"/>
        </w:tabs>
        <w:adjustRightInd w:val="0"/>
        <w:spacing w:line="312" w:lineRule="auto"/>
        <w:ind w:left="0" w:firstLine="480" w:firstLineChars="200"/>
        <w:jc w:val="both"/>
        <w:rPr>
          <w:rFonts w:ascii="宋体" w:hAnsi="宋体" w:cs="宋体"/>
          <w:color w:val="auto"/>
          <w:highlight w:val="none"/>
        </w:rPr>
      </w:pPr>
      <w:r>
        <w:rPr>
          <w:rFonts w:hint="eastAsia" w:ascii="宋体" w:hAnsi="宋体" w:cs="宋体"/>
          <w:color w:val="auto"/>
          <w:highlight w:val="none"/>
        </w:rPr>
        <w:t>招标公告</w:t>
      </w:r>
    </w:p>
    <w:p w14:paraId="7A27B2F5">
      <w:pPr>
        <w:pStyle w:val="36"/>
        <w:numPr>
          <w:ilvl w:val="1"/>
          <w:numId w:val="3"/>
        </w:numPr>
        <w:tabs>
          <w:tab w:val="left" w:pos="171"/>
          <w:tab w:val="clear" w:pos="0"/>
        </w:tabs>
        <w:adjustRightInd w:val="0"/>
        <w:spacing w:line="312" w:lineRule="auto"/>
        <w:ind w:left="0" w:firstLine="480" w:firstLineChars="200"/>
        <w:jc w:val="both"/>
        <w:rPr>
          <w:rFonts w:ascii="宋体" w:hAnsi="宋体" w:cs="宋体"/>
          <w:color w:val="auto"/>
          <w:highlight w:val="none"/>
        </w:rPr>
      </w:pPr>
      <w:r>
        <w:rPr>
          <w:rFonts w:hint="eastAsia" w:ascii="宋体" w:hAnsi="宋体" w:cs="宋体"/>
          <w:color w:val="auto"/>
          <w:highlight w:val="none"/>
        </w:rPr>
        <w:t>投标须知前附表及投标须知</w:t>
      </w:r>
    </w:p>
    <w:p w14:paraId="793072BD">
      <w:pPr>
        <w:pStyle w:val="36"/>
        <w:numPr>
          <w:ilvl w:val="1"/>
          <w:numId w:val="3"/>
        </w:numPr>
        <w:tabs>
          <w:tab w:val="left" w:pos="171"/>
          <w:tab w:val="clear" w:pos="0"/>
        </w:tabs>
        <w:adjustRightInd w:val="0"/>
        <w:spacing w:line="312" w:lineRule="auto"/>
        <w:ind w:left="0" w:firstLine="480" w:firstLineChars="200"/>
        <w:jc w:val="both"/>
        <w:rPr>
          <w:rFonts w:ascii="宋体" w:hAnsi="宋体" w:cs="宋体"/>
          <w:color w:val="auto"/>
          <w:highlight w:val="none"/>
        </w:rPr>
      </w:pPr>
      <w:r>
        <w:rPr>
          <w:rFonts w:hint="eastAsia" w:ascii="宋体" w:hAnsi="宋体" w:cs="宋体"/>
          <w:color w:val="auto"/>
          <w:highlight w:val="none"/>
        </w:rPr>
        <w:t>采购内容及要求</w:t>
      </w:r>
    </w:p>
    <w:p w14:paraId="2687CB0A">
      <w:pPr>
        <w:pStyle w:val="36"/>
        <w:numPr>
          <w:ilvl w:val="1"/>
          <w:numId w:val="3"/>
        </w:numPr>
        <w:tabs>
          <w:tab w:val="left" w:pos="171"/>
          <w:tab w:val="clear" w:pos="0"/>
        </w:tabs>
        <w:adjustRightInd w:val="0"/>
        <w:spacing w:line="312" w:lineRule="auto"/>
        <w:ind w:left="0" w:firstLine="480" w:firstLineChars="200"/>
        <w:jc w:val="both"/>
        <w:rPr>
          <w:rFonts w:ascii="宋体" w:hAnsi="宋体" w:cs="宋体"/>
          <w:color w:val="auto"/>
          <w:highlight w:val="none"/>
        </w:rPr>
      </w:pPr>
      <w:r>
        <w:rPr>
          <w:rFonts w:hint="eastAsia" w:ascii="宋体" w:hAnsi="宋体" w:cs="宋体"/>
          <w:color w:val="auto"/>
          <w:highlight w:val="none"/>
        </w:rPr>
        <w:t>合同的主要条款</w:t>
      </w:r>
    </w:p>
    <w:p w14:paraId="593BBF15">
      <w:pPr>
        <w:pStyle w:val="36"/>
        <w:numPr>
          <w:ilvl w:val="1"/>
          <w:numId w:val="3"/>
        </w:numPr>
        <w:tabs>
          <w:tab w:val="left" w:pos="171"/>
          <w:tab w:val="clear" w:pos="0"/>
        </w:tabs>
        <w:adjustRightInd w:val="0"/>
        <w:spacing w:line="312" w:lineRule="auto"/>
        <w:ind w:left="0" w:firstLine="480" w:firstLineChars="200"/>
        <w:jc w:val="both"/>
        <w:rPr>
          <w:rFonts w:ascii="宋体" w:hAnsi="宋体" w:cs="宋体"/>
          <w:color w:val="auto"/>
          <w:highlight w:val="none"/>
        </w:rPr>
      </w:pPr>
      <w:r>
        <w:rPr>
          <w:rFonts w:hint="eastAsia" w:ascii="宋体" w:hAnsi="宋体" w:cs="宋体"/>
          <w:color w:val="auto"/>
          <w:highlight w:val="none"/>
        </w:rPr>
        <w:t>应提交的有关格式范例</w:t>
      </w:r>
    </w:p>
    <w:p w14:paraId="40EDE3A1">
      <w:pPr>
        <w:pStyle w:val="36"/>
        <w:numPr>
          <w:ilvl w:val="1"/>
          <w:numId w:val="3"/>
        </w:numPr>
        <w:tabs>
          <w:tab w:val="left" w:pos="171"/>
          <w:tab w:val="clear" w:pos="0"/>
        </w:tabs>
        <w:adjustRightInd w:val="0"/>
        <w:spacing w:line="312" w:lineRule="auto"/>
        <w:ind w:left="0" w:firstLine="480" w:firstLineChars="200"/>
        <w:jc w:val="both"/>
        <w:rPr>
          <w:rFonts w:ascii="宋体" w:hAnsi="宋体" w:cs="宋体"/>
          <w:color w:val="auto"/>
          <w:highlight w:val="none"/>
        </w:rPr>
      </w:pPr>
      <w:r>
        <w:rPr>
          <w:rFonts w:hint="eastAsia" w:ascii="宋体" w:hAnsi="宋体" w:cs="宋体"/>
          <w:color w:val="auto"/>
          <w:highlight w:val="none"/>
        </w:rPr>
        <w:t>评标办法及开评标程序</w:t>
      </w:r>
    </w:p>
    <w:p w14:paraId="150AC18A">
      <w:pPr>
        <w:pStyle w:val="36"/>
        <w:widowControl w:val="0"/>
        <w:numPr>
          <w:ilvl w:val="0"/>
          <w:numId w:val="3"/>
        </w:numPr>
        <w:adjustRightInd w:val="0"/>
        <w:snapToGrid w:val="0"/>
        <w:spacing w:line="312" w:lineRule="auto"/>
        <w:ind w:left="57" w:firstLine="480" w:firstLineChars="0"/>
        <w:jc w:val="both"/>
        <w:rPr>
          <w:rFonts w:ascii="宋体" w:hAnsi="宋体" w:cs="宋体"/>
          <w:color w:val="auto"/>
          <w:highlight w:val="none"/>
          <w:lang w:bidi="ar"/>
        </w:rPr>
      </w:pPr>
      <w:r>
        <w:rPr>
          <w:rFonts w:hint="eastAsia" w:ascii="宋体" w:hAnsi="宋体" w:cs="宋体"/>
          <w:color w:val="auto"/>
          <w:highlight w:val="none"/>
          <w:lang w:bidi="ar"/>
        </w:rPr>
        <w:t>招标文件的澄清及修改</w:t>
      </w:r>
    </w:p>
    <w:p w14:paraId="7414D2EC">
      <w:pPr>
        <w:pStyle w:val="36"/>
        <w:numPr>
          <w:ilvl w:val="1"/>
          <w:numId w:val="3"/>
        </w:numPr>
        <w:tabs>
          <w:tab w:val="left" w:pos="171"/>
          <w:tab w:val="clear" w:pos="0"/>
        </w:tabs>
        <w:adjustRightInd w:val="0"/>
        <w:spacing w:line="312" w:lineRule="auto"/>
        <w:ind w:left="0" w:firstLine="480" w:firstLineChars="200"/>
        <w:jc w:val="both"/>
        <w:rPr>
          <w:rFonts w:ascii="宋体" w:hAnsi="宋体" w:cs="宋体"/>
          <w:color w:val="auto"/>
          <w:highlight w:val="none"/>
          <w:lang w:bidi="ar"/>
        </w:rPr>
      </w:pPr>
      <w:r>
        <w:rPr>
          <w:rFonts w:hint="eastAsia" w:ascii="宋体" w:hAnsi="宋体" w:cs="宋体"/>
          <w:color w:val="auto"/>
          <w:highlight w:val="none"/>
          <w:lang w:bidi="ar"/>
        </w:rPr>
        <w:t>任何要求对招标文件进行澄清的投标人，均应按招标公告中规定的时间和通讯地址，以书面形式（如信件、传真等）送达招标组织人，在规定时间内未收到质疑则视为各投标人均对此无异议。招标组织人对规定时间前收到的任何质疑将在</w:t>
      </w:r>
      <w:r>
        <w:rPr>
          <w:rFonts w:hint="eastAsia" w:ascii="宋体" w:hAnsi="宋体" w:cs="宋体"/>
          <w:color w:val="auto"/>
          <w:highlight w:val="none"/>
        </w:rPr>
        <w:t>衢州市阳光交易服务平台（https://qzygjy.com/）</w:t>
      </w:r>
      <w:r>
        <w:rPr>
          <w:rFonts w:hint="eastAsia" w:ascii="宋体" w:hAnsi="宋体" w:cs="宋体"/>
          <w:color w:val="auto"/>
          <w:highlight w:val="none"/>
          <w:lang w:val="zh-CN"/>
        </w:rPr>
        <w:t>、</w:t>
      </w:r>
      <w:r>
        <w:rPr>
          <w:rFonts w:hint="eastAsia" w:ascii="宋体" w:hAnsi="宋体" w:cs="宋体"/>
          <w:color w:val="auto"/>
          <w:highlight w:val="none"/>
          <w:lang w:bidi="ar"/>
        </w:rPr>
        <w:t>浙江政府采购网（</w:t>
      </w:r>
      <w:r>
        <w:rPr>
          <w:color w:val="auto"/>
          <w:highlight w:val="none"/>
        </w:rPr>
        <w:fldChar w:fldCharType="begin"/>
      </w:r>
      <w:r>
        <w:rPr>
          <w:color w:val="auto"/>
          <w:highlight w:val="none"/>
        </w:rPr>
        <w:instrText xml:space="preserve"> HYPERLINK "http://www.zjzfcg.gov.cn" </w:instrText>
      </w:r>
      <w:r>
        <w:rPr>
          <w:color w:val="auto"/>
          <w:highlight w:val="none"/>
        </w:rPr>
        <w:fldChar w:fldCharType="separate"/>
      </w:r>
      <w:r>
        <w:rPr>
          <w:rFonts w:hint="eastAsia" w:ascii="宋体" w:hAnsi="宋体" w:cs="宋体"/>
          <w:color w:val="auto"/>
          <w:highlight w:val="none"/>
          <w:lang w:bidi="ar"/>
        </w:rPr>
        <w:t>http://zfcg.czt.zj.gov.cn/</w:t>
      </w:r>
      <w:r>
        <w:rPr>
          <w:rFonts w:hint="eastAsia" w:ascii="宋体" w:hAnsi="宋体" w:cs="宋体"/>
          <w:color w:val="auto"/>
          <w:highlight w:val="none"/>
          <w:lang w:bidi="ar"/>
        </w:rPr>
        <w:fldChar w:fldCharType="end"/>
      </w:r>
      <w:r>
        <w:rPr>
          <w:rFonts w:hint="eastAsia" w:ascii="宋体" w:hAnsi="宋体" w:cs="宋体"/>
          <w:color w:val="auto"/>
          <w:highlight w:val="none"/>
          <w:lang w:bidi="ar"/>
        </w:rPr>
        <w:t>）公布澄清，投标人自行到网上查看。无论是采购人根据需要主动对招标文件进行必要的修改或是根据投标人的要求对招标文件</w:t>
      </w:r>
      <w:r>
        <w:rPr>
          <w:rFonts w:hint="eastAsia" w:ascii="宋体" w:hAnsi="宋体" w:cs="宋体"/>
          <w:color w:val="auto"/>
          <w:highlight w:val="none"/>
          <w:lang w:eastAsia="zh-CN" w:bidi="ar"/>
        </w:rPr>
        <w:t>作出</w:t>
      </w:r>
      <w:r>
        <w:rPr>
          <w:rFonts w:hint="eastAsia" w:ascii="宋体" w:hAnsi="宋体" w:cs="宋体"/>
          <w:color w:val="auto"/>
          <w:highlight w:val="none"/>
          <w:lang w:bidi="ar"/>
        </w:rPr>
        <w:t>答复（答复中不包括问题的来源），并视为本招标文件的组成部分。</w:t>
      </w:r>
    </w:p>
    <w:p w14:paraId="2814E919">
      <w:pPr>
        <w:pStyle w:val="36"/>
        <w:numPr>
          <w:ilvl w:val="1"/>
          <w:numId w:val="3"/>
        </w:numPr>
        <w:tabs>
          <w:tab w:val="left" w:pos="171"/>
          <w:tab w:val="clear" w:pos="0"/>
        </w:tabs>
        <w:adjustRightInd w:val="0"/>
        <w:spacing w:line="312" w:lineRule="auto"/>
        <w:ind w:left="0" w:firstLine="480" w:firstLineChars="200"/>
        <w:jc w:val="both"/>
        <w:rPr>
          <w:rFonts w:ascii="宋体" w:hAnsi="宋体" w:cs="宋体"/>
          <w:color w:val="auto"/>
          <w:highlight w:val="none"/>
          <w:lang w:bidi="ar"/>
        </w:rPr>
      </w:pPr>
      <w:r>
        <w:rPr>
          <w:rFonts w:hint="eastAsia" w:ascii="宋体" w:hAnsi="宋体" w:cs="宋体"/>
          <w:color w:val="auto"/>
          <w:highlight w:val="none"/>
          <w:lang w:bidi="ar"/>
        </w:rPr>
        <w:t>因其他紧急情况影响本项目正常招标活动的，招标组织人将于投标截止日期5天前书面通知所有已</w:t>
      </w:r>
      <w:r>
        <w:rPr>
          <w:rFonts w:hint="eastAsia" w:ascii="宋体" w:hAnsi="宋体" w:cs="宋体"/>
          <w:color w:val="auto"/>
          <w:highlight w:val="none"/>
          <w:lang w:val="en-US" w:eastAsia="zh-CN" w:bidi="ar"/>
        </w:rPr>
        <w:t>获取招标文件</w:t>
      </w:r>
      <w:r>
        <w:rPr>
          <w:rFonts w:hint="eastAsia" w:ascii="宋体" w:hAnsi="宋体" w:cs="宋体"/>
          <w:color w:val="auto"/>
          <w:highlight w:val="none"/>
          <w:lang w:bidi="ar"/>
        </w:rPr>
        <w:t>的投标人。</w:t>
      </w:r>
    </w:p>
    <w:p w14:paraId="6EC2CAF3">
      <w:pPr>
        <w:pStyle w:val="36"/>
        <w:numPr>
          <w:ilvl w:val="1"/>
          <w:numId w:val="3"/>
        </w:numPr>
        <w:tabs>
          <w:tab w:val="left" w:pos="171"/>
          <w:tab w:val="clear" w:pos="0"/>
        </w:tabs>
        <w:adjustRightInd w:val="0"/>
        <w:spacing w:line="312" w:lineRule="auto"/>
        <w:ind w:left="0" w:firstLine="480" w:firstLineChars="200"/>
        <w:jc w:val="both"/>
        <w:rPr>
          <w:rFonts w:ascii="宋体" w:hAnsi="宋体" w:cs="宋体"/>
          <w:color w:val="auto"/>
          <w:highlight w:val="none"/>
          <w:lang w:bidi="ar"/>
        </w:rPr>
      </w:pPr>
      <w:r>
        <w:rPr>
          <w:rFonts w:hint="eastAsia" w:ascii="宋体" w:hAnsi="宋体" w:cs="宋体"/>
          <w:color w:val="auto"/>
          <w:highlight w:val="none"/>
          <w:lang w:bidi="ar"/>
        </w:rPr>
        <w:t>不论采购人向投标人发送的资料文件，还是投标人提出的问题，均通过</w:t>
      </w:r>
      <w:r>
        <w:rPr>
          <w:rFonts w:hint="eastAsia" w:ascii="宋体" w:hAnsi="宋体" w:cs="宋体"/>
          <w:color w:val="auto"/>
          <w:highlight w:val="none"/>
        </w:rPr>
        <w:t>衢州市阳光交易服务平台（https://qzygjy.com/）、</w:t>
      </w:r>
      <w:r>
        <w:rPr>
          <w:rFonts w:hint="eastAsia" w:ascii="宋体" w:hAnsi="宋体" w:cs="宋体"/>
          <w:color w:val="auto"/>
          <w:highlight w:val="none"/>
          <w:lang w:bidi="ar"/>
        </w:rPr>
        <w:t>浙江政府采购网（</w:t>
      </w:r>
      <w:r>
        <w:rPr>
          <w:color w:val="auto"/>
          <w:highlight w:val="none"/>
        </w:rPr>
        <w:fldChar w:fldCharType="begin"/>
      </w:r>
      <w:r>
        <w:rPr>
          <w:color w:val="auto"/>
          <w:highlight w:val="none"/>
        </w:rPr>
        <w:instrText xml:space="preserve"> HYPERLINK "http://www.zjzfcg.gov.cn" </w:instrText>
      </w:r>
      <w:r>
        <w:rPr>
          <w:color w:val="auto"/>
          <w:highlight w:val="none"/>
        </w:rPr>
        <w:fldChar w:fldCharType="separate"/>
      </w:r>
      <w:r>
        <w:rPr>
          <w:rFonts w:hint="eastAsia" w:ascii="宋体" w:hAnsi="宋体" w:cs="宋体"/>
          <w:color w:val="auto"/>
          <w:highlight w:val="none"/>
          <w:lang w:bidi="ar"/>
        </w:rPr>
        <w:t>http://zfcg.czt.zj.gov.cn/</w:t>
      </w:r>
      <w:r>
        <w:rPr>
          <w:rFonts w:hint="eastAsia" w:ascii="宋体" w:hAnsi="宋体" w:cs="宋体"/>
          <w:color w:val="auto"/>
          <w:highlight w:val="none"/>
          <w:lang w:bidi="ar"/>
        </w:rPr>
        <w:fldChar w:fldCharType="end"/>
      </w:r>
      <w:r>
        <w:rPr>
          <w:rFonts w:hint="eastAsia" w:ascii="宋体" w:hAnsi="宋体" w:cs="宋体"/>
          <w:color w:val="auto"/>
          <w:highlight w:val="none"/>
          <w:lang w:bidi="ar"/>
        </w:rPr>
        <w:t>）发布，任何口头提问及答复一律无效。</w:t>
      </w:r>
    </w:p>
    <w:p w14:paraId="37B8B048">
      <w:pPr>
        <w:pStyle w:val="36"/>
        <w:numPr>
          <w:ilvl w:val="1"/>
          <w:numId w:val="3"/>
        </w:numPr>
        <w:tabs>
          <w:tab w:val="left" w:pos="171"/>
          <w:tab w:val="clear" w:pos="0"/>
        </w:tabs>
        <w:adjustRightInd w:val="0"/>
        <w:spacing w:line="312" w:lineRule="auto"/>
        <w:ind w:left="0" w:firstLine="480" w:firstLineChars="200"/>
        <w:jc w:val="both"/>
        <w:rPr>
          <w:rFonts w:ascii="宋体" w:hAnsi="宋体" w:cs="宋体"/>
          <w:color w:val="auto"/>
          <w:highlight w:val="none"/>
          <w:lang w:bidi="ar"/>
        </w:rPr>
      </w:pPr>
      <w:r>
        <w:rPr>
          <w:rFonts w:hint="eastAsia" w:ascii="宋体" w:hAnsi="宋体" w:cs="宋体"/>
          <w:color w:val="auto"/>
          <w:highlight w:val="none"/>
          <w:lang w:bidi="ar"/>
        </w:rPr>
        <w:t>当招标文件、澄清（答疑）纪要内容相互矛盾时，以最后发出的通知（或纪要）或修改文件为准。</w:t>
      </w:r>
    </w:p>
    <w:p w14:paraId="3BE35A62">
      <w:pPr>
        <w:pStyle w:val="36"/>
        <w:numPr>
          <w:ilvl w:val="1"/>
          <w:numId w:val="3"/>
        </w:numPr>
        <w:tabs>
          <w:tab w:val="left" w:pos="171"/>
          <w:tab w:val="clear" w:pos="0"/>
        </w:tabs>
        <w:adjustRightInd w:val="0"/>
        <w:spacing w:line="312" w:lineRule="auto"/>
        <w:ind w:left="0" w:firstLine="480" w:firstLineChars="200"/>
        <w:jc w:val="both"/>
        <w:rPr>
          <w:rFonts w:ascii="宋体" w:hAnsi="宋体" w:cs="宋体"/>
          <w:color w:val="auto"/>
          <w:highlight w:val="none"/>
          <w:lang w:bidi="ar"/>
        </w:rPr>
      </w:pPr>
      <w:r>
        <w:rPr>
          <w:rFonts w:hint="eastAsia" w:ascii="宋体" w:hAnsi="宋体" w:cs="宋体"/>
          <w:color w:val="auto"/>
          <w:highlight w:val="none"/>
          <w:lang w:bidi="ar"/>
        </w:rPr>
        <w:t>若有必要，采购人将酌情延长递交投标文件的截止日期。</w:t>
      </w:r>
    </w:p>
    <w:p w14:paraId="28EEB43C">
      <w:pPr>
        <w:pStyle w:val="10"/>
        <w:numPr>
          <w:ilvl w:val="1"/>
          <w:numId w:val="0"/>
        </w:numPr>
        <w:spacing w:beforeLines="0" w:afterLines="0"/>
        <w:ind w:firstLine="602" w:firstLineChars="200"/>
        <w:rPr>
          <w:rFonts w:ascii="宋体" w:hAnsi="宋体" w:cs="宋体"/>
          <w:b/>
          <w:bCs w:val="0"/>
          <w:color w:val="auto"/>
          <w:highlight w:val="none"/>
          <w:lang w:bidi="ar"/>
        </w:rPr>
      </w:pPr>
      <w:bookmarkStart w:id="318" w:name="_Toc22621"/>
      <w:bookmarkStart w:id="319" w:name="_Toc21795"/>
      <w:r>
        <w:rPr>
          <w:rFonts w:hint="eastAsia" w:ascii="宋体" w:hAnsi="宋体" w:cs="宋体"/>
          <w:b/>
          <w:bCs w:val="0"/>
          <w:color w:val="auto"/>
          <w:highlight w:val="none"/>
          <w:lang w:bidi="ar"/>
        </w:rPr>
        <w:t>四、投标文件的编制</w:t>
      </w:r>
      <w:bookmarkEnd w:id="318"/>
      <w:bookmarkEnd w:id="319"/>
    </w:p>
    <w:p w14:paraId="40B6BF67">
      <w:pPr>
        <w:pStyle w:val="36"/>
        <w:numPr>
          <w:ilvl w:val="0"/>
          <w:numId w:val="3"/>
        </w:numPr>
        <w:adjustRightInd w:val="0"/>
        <w:spacing w:line="312" w:lineRule="auto"/>
        <w:ind w:left="57" w:firstLine="480" w:firstLineChars="0"/>
        <w:jc w:val="both"/>
        <w:rPr>
          <w:rFonts w:ascii="宋体" w:hAnsi="宋体" w:cs="宋体"/>
          <w:color w:val="auto"/>
          <w:highlight w:val="none"/>
          <w:lang w:bidi="ar"/>
        </w:rPr>
      </w:pPr>
      <w:r>
        <w:rPr>
          <w:rFonts w:hint="eastAsia" w:ascii="宋体" w:hAnsi="宋体" w:cs="宋体"/>
          <w:color w:val="auto"/>
          <w:highlight w:val="none"/>
          <w:lang w:bidi="ar"/>
        </w:rPr>
        <w:t>总体要求</w:t>
      </w:r>
    </w:p>
    <w:p w14:paraId="04B4BB47">
      <w:pPr>
        <w:pStyle w:val="36"/>
        <w:numPr>
          <w:ilvl w:val="1"/>
          <w:numId w:val="3"/>
        </w:numPr>
        <w:tabs>
          <w:tab w:val="left" w:pos="171"/>
          <w:tab w:val="clear" w:pos="0"/>
        </w:tabs>
        <w:adjustRightInd w:val="0"/>
        <w:spacing w:line="312" w:lineRule="auto"/>
        <w:ind w:left="0" w:firstLine="480" w:firstLineChars="200"/>
        <w:jc w:val="both"/>
        <w:rPr>
          <w:rFonts w:ascii="宋体" w:hAnsi="宋体" w:cs="宋体"/>
          <w:color w:val="auto"/>
          <w:highlight w:val="none"/>
          <w:lang w:bidi="ar"/>
        </w:rPr>
      </w:pPr>
      <w:r>
        <w:rPr>
          <w:rFonts w:hint="eastAsia" w:ascii="宋体" w:hAnsi="宋体" w:cs="宋体"/>
          <w:color w:val="auto"/>
          <w:highlight w:val="none"/>
          <w:lang w:bidi="ar"/>
        </w:rPr>
        <w:t>投标人应仔细阅读招标文件的所有内容，按本文件的要求提供投标文件，并保证所提供的全部资料的真实性和有效性，以使其投标文件对招标文件作出实质性响应，否则，其投标文件可能导致废标处理。</w:t>
      </w:r>
    </w:p>
    <w:p w14:paraId="05933FD2">
      <w:pPr>
        <w:pStyle w:val="36"/>
        <w:numPr>
          <w:ilvl w:val="1"/>
          <w:numId w:val="3"/>
        </w:numPr>
        <w:tabs>
          <w:tab w:val="left" w:pos="171"/>
          <w:tab w:val="clear" w:pos="0"/>
        </w:tabs>
        <w:adjustRightInd w:val="0"/>
        <w:spacing w:line="312" w:lineRule="auto"/>
        <w:ind w:left="0" w:firstLine="480" w:firstLineChars="200"/>
        <w:jc w:val="both"/>
        <w:rPr>
          <w:rFonts w:ascii="宋体" w:hAnsi="宋体" w:cs="宋体"/>
          <w:color w:val="auto"/>
          <w:highlight w:val="none"/>
          <w:lang w:bidi="ar"/>
        </w:rPr>
      </w:pPr>
      <w:r>
        <w:rPr>
          <w:rFonts w:hint="eastAsia" w:ascii="宋体" w:hAnsi="宋体" w:cs="宋体"/>
          <w:color w:val="auto"/>
          <w:highlight w:val="none"/>
          <w:lang w:bidi="ar"/>
        </w:rPr>
        <w:t>投标文件及投标人与采购有关的来往通知，函件和文件均应使用中文。</w:t>
      </w:r>
    </w:p>
    <w:p w14:paraId="07B96027">
      <w:pPr>
        <w:pStyle w:val="36"/>
        <w:numPr>
          <w:ilvl w:val="1"/>
          <w:numId w:val="3"/>
        </w:numPr>
        <w:tabs>
          <w:tab w:val="left" w:pos="171"/>
          <w:tab w:val="clear" w:pos="0"/>
        </w:tabs>
        <w:adjustRightInd w:val="0"/>
        <w:spacing w:line="312" w:lineRule="auto"/>
        <w:ind w:left="0" w:firstLine="480" w:firstLineChars="200"/>
        <w:jc w:val="both"/>
        <w:rPr>
          <w:rFonts w:ascii="宋体" w:hAnsi="宋体" w:cs="宋体"/>
          <w:color w:val="auto"/>
          <w:highlight w:val="none"/>
          <w:lang w:bidi="ar"/>
        </w:rPr>
      </w:pPr>
      <w:r>
        <w:rPr>
          <w:rFonts w:hint="eastAsia" w:ascii="宋体" w:hAnsi="宋体" w:cs="宋体"/>
          <w:color w:val="auto"/>
          <w:highlight w:val="none"/>
          <w:lang w:bidi="ar"/>
        </w:rPr>
        <w:t>投标人应按本文件中提供的文件格式、内容和要求制作投标文件。投标文件应装订成册。</w:t>
      </w:r>
    </w:p>
    <w:p w14:paraId="641DA2D8">
      <w:pPr>
        <w:pStyle w:val="36"/>
        <w:numPr>
          <w:ilvl w:val="0"/>
          <w:numId w:val="3"/>
        </w:numPr>
        <w:adjustRightInd w:val="0"/>
        <w:spacing w:line="312" w:lineRule="auto"/>
        <w:ind w:left="57" w:firstLine="480" w:firstLineChars="0"/>
        <w:jc w:val="both"/>
        <w:rPr>
          <w:rFonts w:ascii="宋体" w:hAnsi="宋体" w:cs="宋体"/>
          <w:color w:val="auto"/>
          <w:highlight w:val="none"/>
          <w:lang w:bidi="ar"/>
        </w:rPr>
      </w:pPr>
      <w:r>
        <w:rPr>
          <w:rFonts w:hint="eastAsia" w:ascii="宋体" w:hAnsi="宋体" w:cs="宋体"/>
          <w:color w:val="auto"/>
          <w:highlight w:val="none"/>
          <w:lang w:bidi="ar"/>
        </w:rPr>
        <w:t>投标文件的组成</w:t>
      </w:r>
    </w:p>
    <w:p w14:paraId="6FBE03F9">
      <w:pPr>
        <w:pStyle w:val="2"/>
        <w:tabs>
          <w:tab w:val="left" w:pos="0"/>
          <w:tab w:val="left" w:pos="993"/>
          <w:tab w:val="left" w:pos="1134"/>
        </w:tabs>
        <w:snapToGrid w:val="0"/>
        <w:spacing w:line="360" w:lineRule="auto"/>
        <w:ind w:firstLine="480" w:firstLineChars="200"/>
        <w:rPr>
          <w:rFonts w:ascii="宋体" w:hAnsi="宋体" w:cs="宋体"/>
          <w:bCs w:val="0"/>
          <w:color w:val="auto"/>
          <w:highlight w:val="none"/>
          <w:lang w:bidi="ar"/>
        </w:rPr>
      </w:pPr>
      <w:r>
        <w:rPr>
          <w:rFonts w:hint="eastAsia" w:ascii="宋体" w:hAnsi="宋体" w:cs="宋体"/>
          <w:bCs w:val="0"/>
          <w:color w:val="auto"/>
          <w:highlight w:val="none"/>
          <w:lang w:bidi="ar"/>
        </w:rPr>
        <w:t>▲投标文件由资格审查文件、资信技术文件和商务报价文件三部分组成，使用CA锁加盖投标单位电子公章及</w:t>
      </w:r>
      <w:r>
        <w:rPr>
          <w:rFonts w:hint="eastAsia" w:ascii="宋体" w:hAnsi="宋体" w:cs="宋体"/>
          <w:bCs w:val="0"/>
          <w:color w:val="auto"/>
          <w:highlight w:val="none"/>
          <w:lang w:eastAsia="zh-CN" w:bidi="ar"/>
        </w:rPr>
        <w:t>法定代表人（或负责人）</w:t>
      </w:r>
      <w:r>
        <w:rPr>
          <w:rFonts w:hint="eastAsia" w:ascii="宋体" w:hAnsi="宋体" w:cs="宋体"/>
          <w:bCs w:val="0"/>
          <w:color w:val="auto"/>
          <w:highlight w:val="none"/>
          <w:lang w:bidi="ar"/>
        </w:rPr>
        <w:t>电子签章，用投标工具生成文件格式为“已加密投标文件”的电子投标文件，并将该格式的电子投标文件成功上传至衢州市阳光交易服务平台。</w:t>
      </w:r>
    </w:p>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312"/>
    <w:bookmarkEnd w:id="313"/>
    <w:bookmarkEnd w:id="314"/>
    <w:bookmarkEnd w:id="315"/>
    <w:p w14:paraId="2ACEE717">
      <w:pPr>
        <w:pStyle w:val="36"/>
        <w:numPr>
          <w:ilvl w:val="1"/>
          <w:numId w:val="3"/>
        </w:numPr>
        <w:tabs>
          <w:tab w:val="left" w:pos="171"/>
          <w:tab w:val="clear" w:pos="0"/>
        </w:tabs>
        <w:adjustRightInd w:val="0"/>
        <w:spacing w:line="312" w:lineRule="auto"/>
        <w:ind w:firstLine="482" w:firstLineChars="200"/>
        <w:jc w:val="both"/>
        <w:rPr>
          <w:rFonts w:hint="eastAsia" w:ascii="宋体" w:hAnsi="宋体" w:eastAsia="宋体" w:cs="宋体"/>
          <w:b w:val="0"/>
          <w:bCs w:val="0"/>
          <w:color w:val="auto"/>
          <w:highlight w:val="none"/>
          <w:lang w:bidi="ar"/>
        </w:rPr>
      </w:pPr>
      <w:bookmarkStart w:id="320" w:name="_Toc677"/>
      <w:r>
        <w:rPr>
          <w:rFonts w:hint="eastAsia" w:ascii="宋体" w:hAnsi="宋体" w:cs="宋体"/>
          <w:b/>
          <w:bCs/>
          <w:color w:val="auto"/>
          <w:highlight w:val="none"/>
          <w:lang w:eastAsia="en-US" w:bidi="ar"/>
        </w:rPr>
        <w:t>▲</w:t>
      </w:r>
      <w:r>
        <w:rPr>
          <w:rFonts w:hint="eastAsia" w:ascii="宋体" w:hAnsi="宋体" w:eastAsia="宋体" w:cs="宋体"/>
          <w:b w:val="0"/>
          <w:bCs w:val="0"/>
          <w:color w:val="auto"/>
          <w:highlight w:val="none"/>
          <w:lang w:bidi="ar"/>
        </w:rPr>
        <w:t>资格审查文件</w:t>
      </w:r>
      <w:bookmarkEnd w:id="320"/>
    </w:p>
    <w:p w14:paraId="45B9F8B3">
      <w:pPr>
        <w:pStyle w:val="36"/>
        <w:numPr>
          <w:ilvl w:val="255"/>
          <w:numId w:val="0"/>
        </w:numPr>
        <w:tabs>
          <w:tab w:val="left" w:pos="171"/>
        </w:tabs>
        <w:spacing w:line="312" w:lineRule="auto"/>
        <w:ind w:firstLine="480" w:firstLineChars="200"/>
        <w:rPr>
          <w:rFonts w:ascii="宋体" w:hAnsi="宋体" w:cs="宋体"/>
          <w:color w:val="auto"/>
          <w:highlight w:val="none"/>
          <w:lang w:eastAsia="en-US" w:bidi="ar"/>
        </w:rPr>
      </w:pPr>
      <w:r>
        <w:rPr>
          <w:rFonts w:hint="eastAsia" w:ascii="宋体" w:hAnsi="宋体" w:cs="宋体"/>
          <w:color w:val="auto"/>
          <w:highlight w:val="none"/>
          <w:lang w:eastAsia="en-US" w:bidi="ar"/>
        </w:rPr>
        <w:t>包括但不限于以下内容：</w:t>
      </w:r>
    </w:p>
    <w:p w14:paraId="3CA7CDEF">
      <w:pPr>
        <w:pStyle w:val="36"/>
        <w:numPr>
          <w:ilvl w:val="255"/>
          <w:numId w:val="0"/>
        </w:numPr>
        <w:tabs>
          <w:tab w:val="left" w:pos="171"/>
        </w:tabs>
        <w:spacing w:line="312" w:lineRule="auto"/>
        <w:ind w:firstLine="480" w:firstLineChars="200"/>
        <w:rPr>
          <w:rFonts w:hint="eastAsia" w:ascii="宋体" w:hAnsi="宋体" w:eastAsia="宋体" w:cs="宋体"/>
          <w:color w:val="auto"/>
          <w:highlight w:val="none"/>
          <w:lang w:eastAsia="en-US" w:bidi="ar"/>
        </w:rPr>
      </w:pPr>
      <w:bookmarkStart w:id="321" w:name="_Toc500208474"/>
      <w:r>
        <w:rPr>
          <w:rFonts w:hint="eastAsia" w:ascii="宋体" w:hAnsi="宋体" w:eastAsia="宋体" w:cs="宋体"/>
          <w:color w:val="auto"/>
          <w:highlight w:val="none"/>
          <w:lang w:eastAsia="en-US" w:bidi="ar"/>
        </w:rPr>
        <w:t>（1）投标人基本情况表；（格式见附件1）</w:t>
      </w:r>
    </w:p>
    <w:p w14:paraId="65EC9F2F">
      <w:pPr>
        <w:pStyle w:val="36"/>
        <w:numPr>
          <w:ilvl w:val="255"/>
          <w:numId w:val="0"/>
        </w:numPr>
        <w:tabs>
          <w:tab w:val="left" w:pos="171"/>
        </w:tabs>
        <w:spacing w:line="312" w:lineRule="auto"/>
        <w:ind w:firstLine="480" w:firstLineChars="200"/>
        <w:rPr>
          <w:rFonts w:hint="eastAsia" w:ascii="宋体" w:hAnsi="宋体" w:eastAsia="宋体" w:cs="宋体"/>
          <w:color w:val="auto"/>
          <w:highlight w:val="none"/>
          <w:lang w:eastAsia="en-US" w:bidi="ar"/>
        </w:rPr>
      </w:pPr>
      <w:r>
        <w:rPr>
          <w:rFonts w:hint="eastAsia" w:ascii="宋体" w:hAnsi="宋体" w:eastAsia="宋体" w:cs="宋体"/>
          <w:color w:val="auto"/>
          <w:highlight w:val="none"/>
          <w:lang w:eastAsia="en-US" w:bidi="ar"/>
        </w:rPr>
        <w:t>（2）提供有效《营业执照》副本</w:t>
      </w:r>
      <w:r>
        <w:rPr>
          <w:rFonts w:hint="eastAsia" w:ascii="宋体" w:hAnsi="宋体" w:eastAsia="宋体" w:cs="宋体"/>
          <w:color w:val="auto"/>
          <w:highlight w:val="none"/>
          <w:lang w:val="en-US" w:eastAsia="en-US" w:bidi="ar"/>
        </w:rPr>
        <w:t>原件</w:t>
      </w:r>
      <w:r>
        <w:rPr>
          <w:rFonts w:hint="eastAsia" w:ascii="宋体" w:hAnsi="宋体" w:cs="宋体"/>
          <w:color w:val="auto"/>
          <w:highlight w:val="none"/>
          <w:lang w:val="en-US" w:eastAsia="en-US" w:bidi="ar"/>
        </w:rPr>
        <w:t>扫描件</w:t>
      </w:r>
      <w:r>
        <w:rPr>
          <w:rFonts w:hint="eastAsia" w:ascii="宋体" w:hAnsi="宋体" w:eastAsia="宋体" w:cs="宋体"/>
          <w:color w:val="auto"/>
          <w:highlight w:val="none"/>
          <w:lang w:eastAsia="en-US" w:bidi="ar"/>
        </w:rPr>
        <w:t xml:space="preserve">加盖公章编入投标文件中； </w:t>
      </w:r>
    </w:p>
    <w:p w14:paraId="24F24DAD">
      <w:pPr>
        <w:pStyle w:val="36"/>
        <w:numPr>
          <w:ilvl w:val="255"/>
          <w:numId w:val="0"/>
        </w:numPr>
        <w:tabs>
          <w:tab w:val="left" w:pos="171"/>
        </w:tabs>
        <w:spacing w:line="312" w:lineRule="auto"/>
        <w:ind w:firstLine="480" w:firstLineChars="200"/>
        <w:rPr>
          <w:rFonts w:hint="eastAsia" w:ascii="宋体" w:hAnsi="宋体" w:eastAsia="宋体" w:cs="宋体"/>
          <w:color w:val="auto"/>
          <w:highlight w:val="none"/>
          <w:lang w:eastAsia="en-US" w:bidi="ar"/>
        </w:rPr>
      </w:pPr>
      <w:r>
        <w:rPr>
          <w:rFonts w:hint="eastAsia" w:ascii="宋体" w:hAnsi="宋体" w:eastAsia="宋体" w:cs="宋体"/>
          <w:color w:val="auto"/>
          <w:highlight w:val="none"/>
          <w:lang w:eastAsia="en-US" w:bidi="ar"/>
        </w:rPr>
        <w:t>（3）符合参加国企采购活动应当具备的一般条件的承诺函；（格式见附件2）</w:t>
      </w:r>
    </w:p>
    <w:p w14:paraId="63BA1E1D">
      <w:pPr>
        <w:pStyle w:val="36"/>
        <w:numPr>
          <w:ilvl w:val="255"/>
          <w:numId w:val="0"/>
        </w:numPr>
        <w:tabs>
          <w:tab w:val="left" w:pos="171"/>
        </w:tabs>
        <w:spacing w:line="312" w:lineRule="auto"/>
        <w:ind w:firstLine="480"/>
        <w:rPr>
          <w:rFonts w:hint="eastAsia" w:ascii="宋体" w:hAnsi="宋体" w:cs="宋体"/>
          <w:color w:val="auto"/>
          <w:szCs w:val="24"/>
          <w:highlight w:val="none"/>
          <w:lang w:eastAsia="en-US" w:bidi="ar"/>
        </w:rPr>
      </w:pPr>
      <w:r>
        <w:rPr>
          <w:rFonts w:hint="eastAsia" w:ascii="宋体" w:hAnsi="宋体" w:cs="宋体"/>
          <w:color w:val="auto"/>
          <w:szCs w:val="24"/>
          <w:highlight w:val="none"/>
          <w:lang w:eastAsia="en-US" w:bidi="ar"/>
        </w:rPr>
        <w:t>（</w:t>
      </w:r>
      <w:r>
        <w:rPr>
          <w:rFonts w:hint="eastAsia" w:ascii="宋体" w:hAnsi="宋体" w:cs="宋体"/>
          <w:color w:val="auto"/>
          <w:szCs w:val="24"/>
          <w:highlight w:val="none"/>
          <w:lang w:val="en-US" w:eastAsia="en-US" w:bidi="ar"/>
        </w:rPr>
        <w:t>4</w:t>
      </w:r>
      <w:r>
        <w:rPr>
          <w:rFonts w:hint="eastAsia" w:ascii="宋体" w:hAnsi="宋体" w:cs="宋体"/>
          <w:color w:val="auto"/>
          <w:szCs w:val="24"/>
          <w:highlight w:val="none"/>
          <w:lang w:eastAsia="en-US" w:bidi="ar"/>
        </w:rPr>
        <w:t>）投标声明函；（格式见附件3）</w:t>
      </w:r>
    </w:p>
    <w:p w14:paraId="2F41CA31">
      <w:pPr>
        <w:pStyle w:val="36"/>
        <w:numPr>
          <w:ilvl w:val="255"/>
          <w:numId w:val="0"/>
        </w:numPr>
        <w:tabs>
          <w:tab w:val="left" w:pos="171"/>
        </w:tabs>
        <w:spacing w:line="312" w:lineRule="auto"/>
        <w:ind w:firstLine="480"/>
        <w:rPr>
          <w:rFonts w:hint="eastAsia" w:ascii="宋体" w:hAnsi="宋体" w:cs="宋体"/>
          <w:color w:val="auto"/>
          <w:szCs w:val="24"/>
          <w:highlight w:val="none"/>
          <w:lang w:eastAsia="en-US" w:bidi="ar"/>
        </w:rPr>
      </w:pPr>
      <w:r>
        <w:rPr>
          <w:rFonts w:hint="eastAsia" w:ascii="宋体" w:hAnsi="宋体" w:cs="宋体"/>
          <w:color w:val="auto"/>
          <w:szCs w:val="24"/>
          <w:highlight w:val="none"/>
          <w:lang w:eastAsia="en-US" w:bidi="ar"/>
        </w:rPr>
        <w:t>（</w:t>
      </w:r>
      <w:r>
        <w:rPr>
          <w:rFonts w:hint="eastAsia" w:ascii="宋体" w:hAnsi="宋体" w:cs="宋体"/>
          <w:color w:val="auto"/>
          <w:szCs w:val="24"/>
          <w:highlight w:val="none"/>
          <w:lang w:val="en-US" w:eastAsia="en-US" w:bidi="ar"/>
        </w:rPr>
        <w:t>5</w:t>
      </w:r>
      <w:r>
        <w:rPr>
          <w:rFonts w:hint="eastAsia" w:ascii="宋体" w:hAnsi="宋体" w:cs="宋体"/>
          <w:color w:val="auto"/>
          <w:szCs w:val="24"/>
          <w:highlight w:val="none"/>
          <w:lang w:eastAsia="en-US" w:bidi="ar"/>
        </w:rPr>
        <w:t>）</w:t>
      </w:r>
      <w:r>
        <w:rPr>
          <w:rFonts w:hint="eastAsia" w:ascii="宋体" w:hAnsi="宋体" w:cs="宋体"/>
          <w:color w:val="auto"/>
          <w:szCs w:val="24"/>
          <w:highlight w:val="none"/>
          <w:lang w:eastAsia="zh-CN" w:bidi="ar"/>
        </w:rPr>
        <w:t>法人（或负责人）证明</w:t>
      </w:r>
      <w:r>
        <w:rPr>
          <w:rFonts w:hint="eastAsia" w:ascii="宋体" w:hAnsi="宋体" w:cs="宋体"/>
          <w:color w:val="auto"/>
          <w:szCs w:val="24"/>
          <w:highlight w:val="none"/>
          <w:lang w:eastAsia="en-US" w:bidi="ar"/>
        </w:rPr>
        <w:t>或授权委托书；（格式见附件4）</w:t>
      </w:r>
    </w:p>
    <w:p w14:paraId="665BC189">
      <w:pPr>
        <w:pStyle w:val="36"/>
        <w:numPr>
          <w:ilvl w:val="255"/>
          <w:numId w:val="0"/>
        </w:numPr>
        <w:tabs>
          <w:tab w:val="left" w:pos="171"/>
        </w:tabs>
        <w:spacing w:line="312" w:lineRule="auto"/>
        <w:ind w:firstLine="482" w:firstLineChars="200"/>
        <w:rPr>
          <w:rFonts w:ascii="宋体" w:hAnsi="宋体" w:cs="宋体"/>
          <w:b/>
          <w:bCs/>
          <w:color w:val="auto"/>
          <w:highlight w:val="none"/>
          <w:lang w:eastAsia="en-US" w:bidi="ar"/>
        </w:rPr>
      </w:pPr>
      <w:r>
        <w:rPr>
          <w:rFonts w:hint="eastAsia" w:ascii="宋体" w:hAnsi="宋体" w:cs="宋体"/>
          <w:b/>
          <w:bCs/>
          <w:color w:val="auto"/>
          <w:highlight w:val="none"/>
          <w:lang w:eastAsia="en-US" w:bidi="ar"/>
        </w:rPr>
        <w:t>注：以上资格文件为通过式评审,如有缺少或不符合要求的,则视为资格审查不予通过。</w:t>
      </w:r>
    </w:p>
    <w:p w14:paraId="11A0B634">
      <w:pPr>
        <w:pStyle w:val="36"/>
        <w:numPr>
          <w:ilvl w:val="1"/>
          <w:numId w:val="3"/>
        </w:numPr>
        <w:tabs>
          <w:tab w:val="left" w:pos="171"/>
          <w:tab w:val="clear" w:pos="0"/>
        </w:tabs>
        <w:adjustRightInd w:val="0"/>
        <w:spacing w:line="312" w:lineRule="auto"/>
        <w:ind w:firstLine="480" w:firstLineChars="200"/>
        <w:jc w:val="both"/>
        <w:rPr>
          <w:rFonts w:hint="eastAsia" w:ascii="宋体" w:hAnsi="宋体" w:cs="宋体"/>
          <w:b w:val="0"/>
          <w:bCs w:val="0"/>
          <w:color w:val="auto"/>
          <w:highlight w:val="none"/>
          <w:lang w:eastAsia="en-US" w:bidi="ar"/>
        </w:rPr>
      </w:pPr>
      <w:r>
        <w:rPr>
          <w:rFonts w:hint="eastAsia" w:ascii="宋体" w:hAnsi="宋体" w:cs="宋体"/>
          <w:b w:val="0"/>
          <w:bCs w:val="0"/>
          <w:color w:val="auto"/>
          <w:highlight w:val="none"/>
          <w:lang w:eastAsia="en-US" w:bidi="ar"/>
        </w:rPr>
        <w:t>资信技术文件</w:t>
      </w:r>
    </w:p>
    <w:p w14:paraId="3E032DAE">
      <w:pPr>
        <w:pStyle w:val="24"/>
        <w:spacing w:line="312" w:lineRule="auto"/>
        <w:ind w:firstLine="480"/>
        <w:jc w:val="left"/>
        <w:rPr>
          <w:rFonts w:hAnsi="宋体" w:cs="宋体"/>
          <w:color w:val="auto"/>
          <w:szCs w:val="24"/>
          <w:highlight w:val="none"/>
        </w:rPr>
      </w:pPr>
      <w:r>
        <w:rPr>
          <w:rFonts w:hint="eastAsia" w:hAnsi="宋体" w:cs="宋体"/>
          <w:color w:val="auto"/>
          <w:szCs w:val="24"/>
          <w:highlight w:val="none"/>
        </w:rPr>
        <w:t>包括但不限于以下内容：</w:t>
      </w:r>
    </w:p>
    <w:p w14:paraId="5F6A75C3">
      <w:pPr>
        <w:pStyle w:val="24"/>
        <w:spacing w:line="312" w:lineRule="auto"/>
        <w:ind w:firstLine="480"/>
        <w:jc w:val="left"/>
        <w:rPr>
          <w:rFonts w:hint="eastAsia" w:hAnsi="宋体" w:cs="宋体"/>
          <w:color w:val="auto"/>
          <w:szCs w:val="20"/>
          <w:highlight w:val="none"/>
        </w:rPr>
      </w:pPr>
      <w:r>
        <w:rPr>
          <w:rFonts w:hint="eastAsia" w:ascii="宋体" w:hAnsi="宋体" w:eastAsia="宋体" w:cs="宋体"/>
          <w:color w:val="auto"/>
          <w:szCs w:val="20"/>
          <w:highlight w:val="none"/>
          <w:lang w:val="en-US" w:eastAsia="zh-CN"/>
        </w:rPr>
        <w:t>（</w:t>
      </w:r>
      <w:r>
        <w:rPr>
          <w:rFonts w:hint="eastAsia" w:hAnsi="宋体" w:cs="宋体"/>
          <w:color w:val="auto"/>
          <w:szCs w:val="20"/>
          <w:highlight w:val="none"/>
          <w:lang w:val="en-US" w:eastAsia="zh-CN"/>
        </w:rPr>
        <w:t>1</w:t>
      </w:r>
      <w:r>
        <w:rPr>
          <w:rFonts w:hint="eastAsia" w:ascii="宋体" w:hAnsi="宋体" w:eastAsia="宋体" w:cs="宋体"/>
          <w:color w:val="auto"/>
          <w:szCs w:val="20"/>
          <w:highlight w:val="none"/>
          <w:lang w:val="en-US" w:eastAsia="zh-CN"/>
        </w:rPr>
        <w:t>）</w:t>
      </w:r>
      <w:bookmarkStart w:id="322" w:name="_Toc24537"/>
      <w:bookmarkStart w:id="323" w:name="_Toc16512"/>
      <w:bookmarkStart w:id="324" w:name="_Toc17884"/>
      <w:bookmarkStart w:id="325" w:name="_Toc29404"/>
      <w:bookmarkStart w:id="326" w:name="_Toc10577"/>
      <w:r>
        <w:rPr>
          <w:rFonts w:hint="eastAsia" w:ascii="宋体" w:hAnsi="宋体" w:eastAsia="宋体" w:cs="宋体"/>
          <w:color w:val="auto"/>
          <w:szCs w:val="20"/>
          <w:highlight w:val="none"/>
          <w:lang w:val="en-US" w:eastAsia="zh-CN"/>
        </w:rPr>
        <w:t>技术偏离表；（</w:t>
      </w:r>
      <w:r>
        <w:rPr>
          <w:rFonts w:hint="eastAsia" w:hAnsi="宋体" w:cs="宋体"/>
          <w:color w:val="auto"/>
          <w:szCs w:val="20"/>
          <w:highlight w:val="none"/>
        </w:rPr>
        <w:t>格式见</w:t>
      </w:r>
      <w:r>
        <w:rPr>
          <w:rFonts w:hint="eastAsia" w:ascii="宋体" w:hAnsi="宋体" w:eastAsia="宋体" w:cs="宋体"/>
          <w:color w:val="auto"/>
          <w:szCs w:val="20"/>
          <w:highlight w:val="none"/>
          <w:lang w:val="en-US" w:eastAsia="zh-CN"/>
        </w:rPr>
        <w:t>附件</w:t>
      </w:r>
      <w:r>
        <w:rPr>
          <w:rFonts w:hint="eastAsia" w:hAnsi="宋体" w:cs="宋体"/>
          <w:color w:val="auto"/>
          <w:szCs w:val="20"/>
          <w:highlight w:val="none"/>
          <w:lang w:val="en-US" w:eastAsia="zh-CN"/>
        </w:rPr>
        <w:t>5</w:t>
      </w:r>
      <w:r>
        <w:rPr>
          <w:rFonts w:hint="eastAsia" w:ascii="宋体" w:hAnsi="宋体" w:eastAsia="宋体" w:cs="宋体"/>
          <w:color w:val="auto"/>
          <w:szCs w:val="20"/>
          <w:highlight w:val="none"/>
          <w:lang w:val="en-US" w:eastAsia="zh-CN"/>
        </w:rPr>
        <w:t>）</w:t>
      </w:r>
    </w:p>
    <w:p w14:paraId="4560AF32">
      <w:pPr>
        <w:pStyle w:val="24"/>
        <w:spacing w:line="312" w:lineRule="auto"/>
        <w:ind w:firstLine="480"/>
        <w:jc w:val="left"/>
        <w:rPr>
          <w:rFonts w:hint="eastAsia" w:hAnsi="宋体" w:cs="宋体"/>
          <w:color w:val="auto"/>
          <w:szCs w:val="20"/>
          <w:highlight w:val="none"/>
        </w:rPr>
      </w:pPr>
      <w:r>
        <w:rPr>
          <w:rFonts w:hint="eastAsia" w:hAnsi="宋体" w:cs="宋体"/>
          <w:color w:val="auto"/>
          <w:szCs w:val="20"/>
          <w:highlight w:val="none"/>
        </w:rPr>
        <w:t>（</w:t>
      </w:r>
      <w:r>
        <w:rPr>
          <w:rFonts w:hint="eastAsia" w:hAnsi="宋体" w:cs="宋体"/>
          <w:color w:val="auto"/>
          <w:szCs w:val="20"/>
          <w:highlight w:val="none"/>
          <w:lang w:val="en-US" w:eastAsia="zh-CN"/>
        </w:rPr>
        <w:t>2</w:t>
      </w:r>
      <w:r>
        <w:rPr>
          <w:rFonts w:hint="eastAsia" w:hAnsi="宋体" w:cs="宋体"/>
          <w:color w:val="auto"/>
          <w:szCs w:val="20"/>
          <w:highlight w:val="none"/>
        </w:rPr>
        <w:t>）</w:t>
      </w:r>
      <w:r>
        <w:rPr>
          <w:rFonts w:hint="eastAsia" w:ascii="宋体" w:hAnsi="宋体" w:cs="宋体"/>
          <w:color w:val="auto"/>
          <w:kern w:val="2"/>
          <w:highlight w:val="none"/>
          <w:lang w:val="en-US" w:eastAsia="zh-CN"/>
        </w:rPr>
        <w:t>维保实施</w:t>
      </w:r>
      <w:r>
        <w:rPr>
          <w:rFonts w:hint="eastAsia" w:ascii="宋体" w:hAnsi="宋体" w:eastAsia="宋体" w:cs="宋体"/>
          <w:color w:val="auto"/>
          <w:kern w:val="2"/>
          <w:highlight w:val="none"/>
        </w:rPr>
        <w:t>方案</w:t>
      </w:r>
      <w:r>
        <w:rPr>
          <w:rFonts w:hint="eastAsia" w:hAnsi="宋体" w:cs="宋体"/>
          <w:color w:val="auto"/>
          <w:highlight w:val="none"/>
          <w:lang w:val="en-US" w:eastAsia="zh-CN"/>
        </w:rPr>
        <w:t>；（格式自拟）</w:t>
      </w:r>
    </w:p>
    <w:p w14:paraId="72E732CA">
      <w:pPr>
        <w:pStyle w:val="24"/>
        <w:spacing w:line="312" w:lineRule="auto"/>
        <w:ind w:firstLine="480"/>
        <w:jc w:val="left"/>
        <w:rPr>
          <w:rFonts w:hint="eastAsia" w:hAnsi="宋体" w:cs="宋体"/>
          <w:color w:val="auto"/>
          <w:highlight w:val="none"/>
        </w:rPr>
      </w:pPr>
      <w:r>
        <w:rPr>
          <w:rFonts w:hint="eastAsia" w:hAnsi="宋体" w:cs="宋体"/>
          <w:color w:val="auto"/>
          <w:szCs w:val="20"/>
          <w:highlight w:val="none"/>
        </w:rPr>
        <w:t>（</w:t>
      </w:r>
      <w:r>
        <w:rPr>
          <w:rFonts w:hint="eastAsia" w:hAnsi="宋体" w:cs="宋体"/>
          <w:color w:val="auto"/>
          <w:szCs w:val="20"/>
          <w:highlight w:val="none"/>
          <w:lang w:val="en-US" w:eastAsia="zh-CN"/>
        </w:rPr>
        <w:t>3</w:t>
      </w:r>
      <w:r>
        <w:rPr>
          <w:rFonts w:hint="eastAsia" w:hAnsi="宋体" w:cs="宋体"/>
          <w:color w:val="auto"/>
          <w:szCs w:val="20"/>
          <w:highlight w:val="none"/>
        </w:rPr>
        <w:t>）</w:t>
      </w:r>
      <w:r>
        <w:rPr>
          <w:rFonts w:hint="eastAsia" w:ascii="宋体" w:hAnsi="宋体" w:eastAsia="宋体" w:cs="宋体"/>
          <w:color w:val="auto"/>
          <w:kern w:val="2"/>
          <w:highlight w:val="none"/>
          <w:lang w:val="zh-CN"/>
        </w:rPr>
        <w:t>售后服务</w:t>
      </w:r>
      <w:r>
        <w:rPr>
          <w:rFonts w:hint="eastAsia" w:hAnsi="宋体" w:cs="宋体"/>
          <w:color w:val="auto"/>
          <w:highlight w:val="none"/>
          <w:lang w:val="en-US" w:eastAsia="zh-CN"/>
        </w:rPr>
        <w:t>；（格式自拟）</w:t>
      </w:r>
    </w:p>
    <w:p w14:paraId="4A782895">
      <w:pPr>
        <w:pStyle w:val="24"/>
        <w:spacing w:line="312" w:lineRule="auto"/>
        <w:ind w:firstLine="480"/>
        <w:jc w:val="left"/>
        <w:rPr>
          <w:rFonts w:hint="eastAsia" w:ascii="宋体" w:hAnsi="宋体" w:eastAsia="宋体" w:cs="宋体"/>
          <w:color w:val="auto"/>
          <w:szCs w:val="20"/>
          <w:highlight w:val="none"/>
          <w:lang w:val="en-US" w:eastAsia="zh-CN"/>
        </w:rPr>
      </w:pPr>
      <w:r>
        <w:rPr>
          <w:rFonts w:hint="eastAsia" w:hAnsi="宋体" w:cs="宋体"/>
          <w:color w:val="auto"/>
          <w:szCs w:val="20"/>
          <w:highlight w:val="none"/>
        </w:rPr>
        <w:t>（</w:t>
      </w:r>
      <w:r>
        <w:rPr>
          <w:rFonts w:hint="eastAsia" w:hAnsi="宋体" w:cs="宋体"/>
          <w:color w:val="auto"/>
          <w:szCs w:val="20"/>
          <w:highlight w:val="none"/>
          <w:lang w:val="en-US" w:eastAsia="zh-CN"/>
        </w:rPr>
        <w:t>4</w:t>
      </w:r>
      <w:r>
        <w:rPr>
          <w:rFonts w:hint="eastAsia" w:hAnsi="宋体" w:cs="宋体"/>
          <w:color w:val="auto"/>
          <w:szCs w:val="20"/>
          <w:highlight w:val="none"/>
        </w:rPr>
        <w:t>）</w:t>
      </w:r>
      <w:r>
        <w:rPr>
          <w:rFonts w:hint="eastAsia" w:cs="宋体"/>
          <w:color w:val="auto"/>
          <w:szCs w:val="24"/>
          <w:highlight w:val="none"/>
        </w:rPr>
        <w:t>▲</w:t>
      </w:r>
      <w:r>
        <w:rPr>
          <w:rFonts w:hint="eastAsia" w:ascii="宋体" w:hAnsi="宋体" w:cs="宋体"/>
          <w:b w:val="0"/>
          <w:color w:val="auto"/>
          <w:sz w:val="24"/>
          <w:szCs w:val="20"/>
          <w:highlight w:val="none"/>
          <w:lang w:bidi="ar"/>
        </w:rPr>
        <w:t>商务响应承诺函</w:t>
      </w:r>
      <w:r>
        <w:rPr>
          <w:rFonts w:hint="eastAsia" w:hAnsi="宋体" w:cs="宋体"/>
          <w:color w:val="auto"/>
          <w:szCs w:val="20"/>
          <w:highlight w:val="none"/>
          <w:lang w:val="en-US" w:eastAsia="zh-CN"/>
        </w:rPr>
        <w:t>；</w:t>
      </w:r>
      <w:r>
        <w:rPr>
          <w:rFonts w:hint="eastAsia" w:ascii="宋体" w:hAnsi="宋体" w:eastAsia="宋体" w:cs="宋体"/>
          <w:color w:val="auto"/>
          <w:szCs w:val="20"/>
          <w:highlight w:val="none"/>
          <w:lang w:val="en-US" w:eastAsia="zh-CN"/>
        </w:rPr>
        <w:t>（</w:t>
      </w:r>
      <w:r>
        <w:rPr>
          <w:rFonts w:hint="eastAsia" w:hAnsi="宋体" w:cs="宋体"/>
          <w:color w:val="auto"/>
          <w:szCs w:val="20"/>
          <w:highlight w:val="none"/>
        </w:rPr>
        <w:t>格式见</w:t>
      </w:r>
      <w:r>
        <w:rPr>
          <w:rFonts w:hint="eastAsia" w:ascii="宋体" w:hAnsi="宋体" w:eastAsia="宋体" w:cs="宋体"/>
          <w:color w:val="auto"/>
          <w:szCs w:val="20"/>
          <w:highlight w:val="none"/>
          <w:lang w:val="en-US" w:eastAsia="zh-CN"/>
        </w:rPr>
        <w:t>附件</w:t>
      </w:r>
      <w:r>
        <w:rPr>
          <w:rFonts w:hint="eastAsia" w:hAnsi="宋体" w:cs="宋体"/>
          <w:color w:val="auto"/>
          <w:szCs w:val="20"/>
          <w:highlight w:val="none"/>
          <w:lang w:val="en-US" w:eastAsia="zh-CN"/>
        </w:rPr>
        <w:t>6</w:t>
      </w:r>
      <w:r>
        <w:rPr>
          <w:rFonts w:hint="eastAsia" w:ascii="宋体" w:hAnsi="宋体" w:eastAsia="宋体" w:cs="宋体"/>
          <w:color w:val="auto"/>
          <w:szCs w:val="20"/>
          <w:highlight w:val="none"/>
          <w:lang w:val="en-US" w:eastAsia="zh-CN"/>
        </w:rPr>
        <w:t>）</w:t>
      </w:r>
    </w:p>
    <w:p w14:paraId="57789E9B">
      <w:pPr>
        <w:pStyle w:val="24"/>
        <w:spacing w:line="312" w:lineRule="auto"/>
        <w:ind w:firstLine="480"/>
        <w:jc w:val="left"/>
        <w:rPr>
          <w:rFonts w:cs="宋体"/>
          <w:color w:val="auto"/>
          <w:szCs w:val="24"/>
          <w:highlight w:val="none"/>
        </w:rPr>
      </w:pPr>
      <w:r>
        <w:rPr>
          <w:rFonts w:hint="eastAsia" w:cs="宋体"/>
          <w:color w:val="auto"/>
          <w:szCs w:val="24"/>
          <w:highlight w:val="none"/>
        </w:rPr>
        <w:t>（</w:t>
      </w:r>
      <w:r>
        <w:rPr>
          <w:rFonts w:hint="eastAsia" w:cs="宋体"/>
          <w:color w:val="auto"/>
          <w:szCs w:val="24"/>
          <w:highlight w:val="none"/>
          <w:lang w:val="en-US" w:eastAsia="zh-CN"/>
        </w:rPr>
        <w:t>5</w:t>
      </w:r>
      <w:r>
        <w:rPr>
          <w:rFonts w:hint="eastAsia" w:cs="宋体"/>
          <w:color w:val="auto"/>
          <w:szCs w:val="24"/>
          <w:highlight w:val="none"/>
        </w:rPr>
        <w:t>）投标人根据第四章评标办法及评分标准3.综合评分明细表提供其余的相关评分所需资料。</w:t>
      </w:r>
    </w:p>
    <w:bookmarkEnd w:id="322"/>
    <w:bookmarkEnd w:id="323"/>
    <w:bookmarkEnd w:id="324"/>
    <w:bookmarkEnd w:id="325"/>
    <w:bookmarkEnd w:id="326"/>
    <w:p w14:paraId="56398F1E">
      <w:pPr>
        <w:pStyle w:val="36"/>
        <w:numPr>
          <w:ilvl w:val="1"/>
          <w:numId w:val="3"/>
        </w:numPr>
        <w:tabs>
          <w:tab w:val="left" w:pos="171"/>
          <w:tab w:val="clear" w:pos="0"/>
        </w:tabs>
        <w:adjustRightInd w:val="0"/>
        <w:spacing w:line="312" w:lineRule="auto"/>
        <w:ind w:firstLine="480" w:firstLineChars="200"/>
        <w:jc w:val="both"/>
        <w:rPr>
          <w:rFonts w:hint="eastAsia" w:ascii="宋体" w:hAnsi="宋体" w:eastAsia="宋体" w:cs="宋体"/>
          <w:b w:val="0"/>
          <w:bCs w:val="0"/>
          <w:color w:val="auto"/>
          <w:szCs w:val="24"/>
          <w:highlight w:val="none"/>
          <w:lang w:bidi="ar"/>
        </w:rPr>
      </w:pPr>
      <w:bookmarkStart w:id="327" w:name="_Toc10278"/>
      <w:bookmarkStart w:id="328" w:name="_Toc25916"/>
      <w:bookmarkStart w:id="329" w:name="_Toc22013"/>
      <w:r>
        <w:rPr>
          <w:rFonts w:hint="eastAsia" w:ascii="宋体" w:hAnsi="宋体" w:eastAsia="宋体" w:cs="宋体"/>
          <w:b w:val="0"/>
          <w:bCs w:val="0"/>
          <w:color w:val="auto"/>
          <w:szCs w:val="24"/>
          <w:highlight w:val="none"/>
          <w:lang w:bidi="ar"/>
        </w:rPr>
        <w:t>商务报价文件</w:t>
      </w:r>
      <w:bookmarkEnd w:id="327"/>
      <w:bookmarkEnd w:id="328"/>
      <w:bookmarkEnd w:id="329"/>
    </w:p>
    <w:p w14:paraId="5325566D">
      <w:pPr>
        <w:pStyle w:val="24"/>
        <w:spacing w:line="312" w:lineRule="auto"/>
        <w:ind w:firstLine="48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包括但不限于以下内容：</w:t>
      </w:r>
    </w:p>
    <w:p w14:paraId="5245C6B8">
      <w:pPr>
        <w:pStyle w:val="24"/>
        <w:spacing w:line="312" w:lineRule="auto"/>
        <w:ind w:firstLine="48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▲（1）开标一览表；（格式见附件7）</w:t>
      </w:r>
    </w:p>
    <w:p w14:paraId="112DF2BA">
      <w:pPr>
        <w:pStyle w:val="24"/>
        <w:spacing w:line="312" w:lineRule="auto"/>
        <w:ind w:firstLine="48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w:t>
      </w:r>
      <w:r>
        <w:rPr>
          <w:rFonts w:hint="eastAsia" w:hAnsi="宋体" w:cs="宋体"/>
          <w:color w:val="auto"/>
          <w:highlight w:val="none"/>
          <w:lang w:val="en-US" w:eastAsia="zh-CN"/>
        </w:rPr>
        <w:t>报价</w:t>
      </w:r>
      <w:bookmarkStart w:id="1351" w:name="_GoBack"/>
      <w:bookmarkEnd w:id="1351"/>
      <w:r>
        <w:rPr>
          <w:rFonts w:hint="eastAsia" w:ascii="宋体" w:hAnsi="宋体" w:eastAsia="宋体" w:cs="宋体"/>
          <w:color w:val="auto"/>
          <w:highlight w:val="none"/>
          <w:lang w:val="en-US" w:eastAsia="zh-CN"/>
        </w:rPr>
        <w:t>明细表；（格式见附件8）</w:t>
      </w:r>
    </w:p>
    <w:p w14:paraId="5D18B316">
      <w:pPr>
        <w:pStyle w:val="24"/>
        <w:spacing w:line="312" w:lineRule="auto"/>
        <w:ind w:firstLine="48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（3）提供</w:t>
      </w:r>
      <w:r>
        <w:rPr>
          <w:rFonts w:hint="eastAsia" w:ascii="宋体" w:hAnsi="宋体" w:eastAsia="宋体" w:cs="宋体"/>
          <w:color w:val="auto"/>
          <w:highlight w:val="none"/>
          <w:lang w:val="en-US" w:eastAsia="en-US"/>
        </w:rPr>
        <w:t>《中小企业声明函</w:t>
      </w:r>
      <w:r>
        <w:rPr>
          <w:rFonts w:hint="eastAsia" w:ascii="宋体" w:hAnsi="宋体" w:eastAsia="宋体" w:cs="宋体"/>
          <w:color w:val="auto"/>
          <w:highlight w:val="none"/>
          <w:lang w:val="en-US" w:eastAsia="zh-CN"/>
        </w:rPr>
        <w:t>（服务）</w:t>
      </w:r>
      <w:r>
        <w:rPr>
          <w:rFonts w:hint="eastAsia" w:ascii="宋体" w:hAnsi="宋体" w:eastAsia="宋体" w:cs="宋体"/>
          <w:color w:val="auto"/>
          <w:highlight w:val="none"/>
          <w:lang w:val="en-US" w:eastAsia="en-US"/>
        </w:rPr>
        <w:t>》</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val="en-US" w:eastAsia="en-US"/>
        </w:rPr>
        <w:t>《监狱企业声明函》</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val="en-US" w:eastAsia="en-US"/>
        </w:rPr>
        <w:t>《残疾人福利性单位声明函》（格式见附件</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lang w:val="en-US" w:eastAsia="en-US"/>
        </w:rPr>
        <w:t>）</w:t>
      </w:r>
      <w:r>
        <w:rPr>
          <w:rFonts w:hint="eastAsia" w:ascii="宋体" w:hAnsi="宋体" w:eastAsia="宋体" w:cs="宋体"/>
          <w:color w:val="auto"/>
          <w:highlight w:val="none"/>
          <w:lang w:val="en-US" w:eastAsia="zh-CN"/>
        </w:rPr>
        <w:t>；</w:t>
      </w:r>
    </w:p>
    <w:p w14:paraId="74C587BF">
      <w:pPr>
        <w:pStyle w:val="24"/>
        <w:spacing w:line="312" w:lineRule="auto"/>
        <w:ind w:firstLine="480"/>
        <w:jc w:val="left"/>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eastAsia="zh-CN"/>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val="zh-CN" w:eastAsia="zh-CN"/>
        </w:rPr>
        <w:t>）投标人承诺给予采购人的各种优惠条件（如有，优惠条件事项不能包括采购项目本身所包括涉及的采购事项。投标人不能以“赠送、赠予”等任何名义提供货物和服务以规避招标文件的约束。否则，投标人提供的投标文件将作为无效投标处理，即使中标也将取消中标资格）。</w:t>
      </w:r>
    </w:p>
    <w:bookmarkEnd w:id="321"/>
    <w:p w14:paraId="23F913FA">
      <w:pPr>
        <w:spacing w:line="312" w:lineRule="auto"/>
        <w:ind w:firstLine="480"/>
        <w:rPr>
          <w:rFonts w:ascii="宋体" w:hAnsi="宋体" w:cs="宋体"/>
          <w:b/>
          <w:bCs/>
          <w:color w:val="auto"/>
          <w:highlight w:val="none"/>
          <w:u w:val="single"/>
        </w:rPr>
      </w:pPr>
      <w:r>
        <w:rPr>
          <w:rFonts w:hint="eastAsia" w:ascii="宋体" w:hAnsi="宋体" w:cs="宋体"/>
          <w:b/>
          <w:bCs/>
          <w:color w:val="auto"/>
          <w:highlight w:val="none"/>
          <w:u w:val="single"/>
        </w:rPr>
        <w:t>注：1.以上文件组成投标文件。投标人应对招标文件</w:t>
      </w:r>
      <w:r>
        <w:rPr>
          <w:rFonts w:hint="eastAsia" w:ascii="宋体" w:hAnsi="宋体" w:cs="宋体"/>
          <w:b/>
          <w:bCs/>
          <w:color w:val="auto"/>
          <w:highlight w:val="none"/>
          <w:u w:val="single"/>
          <w:lang w:eastAsia="zh-CN"/>
        </w:rPr>
        <w:t>作出</w:t>
      </w:r>
      <w:r>
        <w:rPr>
          <w:rFonts w:hint="eastAsia" w:ascii="宋体" w:hAnsi="宋体" w:cs="宋体"/>
          <w:b/>
          <w:bCs/>
          <w:color w:val="auto"/>
          <w:highlight w:val="none"/>
          <w:u w:val="single"/>
        </w:rPr>
        <w:t>实质性响应，该项内容将作为投标的重要指标。一旦开标后，经审核确定投标资格和技术能力不能响应招标文件要求，则投标人即刻被废标或被拒绝进入商务报价阶段。</w:t>
      </w:r>
    </w:p>
    <w:p w14:paraId="76BEFE41">
      <w:pPr>
        <w:spacing w:line="312" w:lineRule="auto"/>
        <w:ind w:firstLine="480"/>
        <w:rPr>
          <w:rFonts w:ascii="宋体" w:hAnsi="宋体" w:cs="宋体"/>
          <w:b/>
          <w:bCs/>
          <w:color w:val="auto"/>
          <w:highlight w:val="none"/>
          <w:u w:val="single"/>
        </w:rPr>
      </w:pPr>
      <w:r>
        <w:rPr>
          <w:rFonts w:hint="eastAsia" w:ascii="宋体" w:hAnsi="宋体" w:cs="宋体"/>
          <w:b/>
          <w:bCs/>
          <w:color w:val="auto"/>
          <w:highlight w:val="none"/>
          <w:u w:val="single"/>
        </w:rPr>
        <w:t>2.</w:t>
      </w:r>
      <w:r>
        <w:rPr>
          <w:rFonts w:hint="eastAsia" w:ascii="宋体" w:hAnsi="宋体" w:cs="宋体"/>
          <w:b/>
          <w:bCs/>
          <w:color w:val="auto"/>
          <w:highlight w:val="none"/>
          <w:u w:val="single"/>
          <w:lang w:eastAsia="zh-CN"/>
        </w:rPr>
        <w:t>上述</w:t>
      </w:r>
      <w:r>
        <w:rPr>
          <w:rFonts w:hint="eastAsia" w:ascii="宋体" w:hAnsi="宋体" w:cs="宋体"/>
          <w:b/>
          <w:bCs/>
          <w:color w:val="auto"/>
          <w:highlight w:val="none"/>
          <w:u w:val="single"/>
        </w:rPr>
        <w:t>所需的各种证书、证件、证明、执照等证明文件扫描件上应加盖投标人的电子公章，否则相应部分不得分。</w:t>
      </w:r>
    </w:p>
    <w:p w14:paraId="39BE6A52">
      <w:pPr>
        <w:pStyle w:val="36"/>
        <w:numPr>
          <w:ilvl w:val="0"/>
          <w:numId w:val="7"/>
        </w:numPr>
        <w:adjustRightInd w:val="0"/>
        <w:spacing w:line="312" w:lineRule="auto"/>
        <w:ind w:firstLine="480" w:firstLineChars="200"/>
        <w:jc w:val="both"/>
        <w:rPr>
          <w:rFonts w:hint="eastAsia" w:ascii="宋体" w:hAnsi="宋体" w:eastAsia="宋体" w:cs="宋体"/>
          <w:color w:val="auto"/>
          <w:highlight w:val="none"/>
          <w:lang w:bidi="ar"/>
        </w:rPr>
      </w:pPr>
      <w:bookmarkStart w:id="330" w:name="_Toc361433601"/>
      <w:bookmarkStart w:id="331" w:name="_Toc327"/>
      <w:bookmarkStart w:id="332" w:name="_Toc101321796"/>
      <w:bookmarkStart w:id="333" w:name="_Toc506120410"/>
      <w:bookmarkStart w:id="334" w:name="_Toc361436980"/>
      <w:bookmarkStart w:id="335" w:name="_Toc480456307"/>
      <w:bookmarkStart w:id="336" w:name="_Toc361437572"/>
      <w:bookmarkStart w:id="337" w:name="_Toc81372954"/>
      <w:bookmarkStart w:id="338" w:name="_Toc361433695"/>
      <w:bookmarkStart w:id="339" w:name="_Toc28140"/>
      <w:bookmarkStart w:id="340" w:name="_Toc361433090"/>
      <w:bookmarkStart w:id="341" w:name="_Toc27730"/>
      <w:bookmarkStart w:id="342" w:name="_Toc31349"/>
      <w:bookmarkStart w:id="343" w:name="_Toc361434052"/>
      <w:bookmarkStart w:id="344" w:name="_Toc361433420"/>
      <w:bookmarkStart w:id="345" w:name="_Toc361433768"/>
      <w:bookmarkStart w:id="346" w:name="_Toc81372777"/>
      <w:bookmarkStart w:id="347" w:name="_Toc361433873"/>
      <w:bookmarkStart w:id="348" w:name="_Toc361432200"/>
      <w:bookmarkStart w:id="349" w:name="_Toc361434250"/>
      <w:bookmarkStart w:id="350" w:name="_Toc19"/>
      <w:bookmarkStart w:id="351" w:name="_Toc361437173"/>
      <w:bookmarkStart w:id="352" w:name="_Toc361437247"/>
      <w:bookmarkStart w:id="353" w:name="_Toc361433283"/>
      <w:bookmarkStart w:id="354" w:name="_Toc363052661"/>
      <w:bookmarkStart w:id="355" w:name="_Toc361435893"/>
      <w:bookmarkStart w:id="356" w:name="_Toc84325930"/>
      <w:bookmarkStart w:id="357" w:name="_Toc361432660"/>
      <w:bookmarkStart w:id="358" w:name="_Toc506120275"/>
      <w:r>
        <w:rPr>
          <w:rFonts w:hint="eastAsia" w:ascii="宋体" w:hAnsi="宋体" w:eastAsia="宋体" w:cs="宋体"/>
          <w:color w:val="auto"/>
          <w:highlight w:val="none"/>
          <w:lang w:bidi="ar"/>
        </w:rPr>
        <w:t>投标文件的编制</w:t>
      </w:r>
    </w:p>
    <w:p w14:paraId="109A4764">
      <w:pPr>
        <w:pStyle w:val="36"/>
        <w:numPr>
          <w:ilvl w:val="1"/>
          <w:numId w:val="8"/>
        </w:numPr>
        <w:tabs>
          <w:tab w:val="left" w:pos="171"/>
          <w:tab w:val="clear" w:pos="0"/>
        </w:tabs>
        <w:adjustRightInd w:val="0"/>
        <w:spacing w:line="312" w:lineRule="auto"/>
        <w:ind w:left="0" w:firstLine="480"/>
        <w:rPr>
          <w:rFonts w:hint="default" w:ascii="宋体" w:hAnsi="宋体" w:eastAsia="宋体" w:cs="宋体"/>
          <w:b w:val="0"/>
          <w:bCs w:val="0"/>
          <w:color w:val="auto"/>
          <w:highlight w:val="none"/>
          <w:lang w:eastAsia="zh-CN" w:bidi="ar"/>
        </w:rPr>
      </w:pPr>
      <w:r>
        <w:rPr>
          <w:rFonts w:hint="default" w:ascii="宋体" w:hAnsi="宋体" w:eastAsia="宋体" w:cs="宋体"/>
          <w:b w:val="0"/>
          <w:bCs w:val="0"/>
          <w:color w:val="auto"/>
          <w:highlight w:val="none"/>
          <w:lang w:eastAsia="zh-CN" w:bidi="ar"/>
        </w:rPr>
        <w:t>投标文件应按第六章“投标文件格式”进行编写，如有必要，可以增加附页，作为投标文件的组成部分。</w:t>
      </w:r>
    </w:p>
    <w:p w14:paraId="6C84A18C">
      <w:pPr>
        <w:pStyle w:val="36"/>
        <w:numPr>
          <w:ilvl w:val="1"/>
          <w:numId w:val="8"/>
        </w:numPr>
        <w:tabs>
          <w:tab w:val="left" w:pos="171"/>
          <w:tab w:val="clear" w:pos="0"/>
        </w:tabs>
        <w:adjustRightInd w:val="0"/>
        <w:spacing w:line="312" w:lineRule="auto"/>
        <w:ind w:left="0" w:firstLine="480"/>
        <w:rPr>
          <w:rFonts w:hint="default" w:ascii="宋体" w:hAnsi="宋体" w:eastAsia="宋体" w:cs="宋体"/>
          <w:b w:val="0"/>
          <w:bCs w:val="0"/>
          <w:color w:val="auto"/>
          <w:highlight w:val="none"/>
          <w:lang w:eastAsia="zh-CN" w:bidi="ar"/>
        </w:rPr>
      </w:pPr>
      <w:r>
        <w:rPr>
          <w:rFonts w:hint="default" w:ascii="宋体" w:hAnsi="宋体" w:eastAsia="宋体" w:cs="宋体"/>
          <w:b w:val="0"/>
          <w:bCs w:val="0"/>
          <w:color w:val="auto"/>
          <w:szCs w:val="24"/>
          <w:highlight w:val="none"/>
          <w:lang w:eastAsia="zh-CN" w:bidi="ar"/>
        </w:rPr>
        <w:t>在满足招标文件实质性要求的基础上，可以提出比招标文件要求更有利于采购人的承诺。</w:t>
      </w:r>
    </w:p>
    <w:p w14:paraId="505F5E5C">
      <w:pPr>
        <w:pStyle w:val="36"/>
        <w:numPr>
          <w:ilvl w:val="1"/>
          <w:numId w:val="8"/>
        </w:numPr>
        <w:tabs>
          <w:tab w:val="left" w:pos="171"/>
          <w:tab w:val="clear" w:pos="0"/>
        </w:tabs>
        <w:wordWrap/>
        <w:adjustRightInd w:val="0"/>
        <w:snapToGrid/>
        <w:spacing w:line="312" w:lineRule="auto"/>
        <w:ind w:left="0" w:firstLine="480" w:firstLineChars="200"/>
        <w:rPr>
          <w:rFonts w:hint="eastAsia" w:ascii="宋体" w:hAnsi="宋体" w:eastAsia="宋体" w:cs="宋体"/>
          <w:color w:val="auto"/>
          <w:szCs w:val="24"/>
          <w:highlight w:val="none"/>
          <w:lang w:bidi="ar"/>
        </w:rPr>
      </w:pPr>
      <w:r>
        <w:rPr>
          <w:rFonts w:hint="eastAsia" w:ascii="宋体" w:hAnsi="宋体" w:eastAsia="宋体" w:cs="宋体"/>
          <w:color w:val="auto"/>
          <w:highlight w:val="none"/>
          <w:lang w:bidi="ar"/>
        </w:rPr>
        <w:t>投标文件的制作要求详见本章“电子投标说明”</w:t>
      </w:r>
      <w:r>
        <w:rPr>
          <w:rFonts w:hint="eastAsia" w:ascii="宋体" w:hAnsi="宋体" w:eastAsia="宋体" w:cs="宋体"/>
          <w:color w:val="auto"/>
          <w:szCs w:val="24"/>
          <w:highlight w:val="none"/>
          <w:lang w:bidi="ar"/>
        </w:rPr>
        <w:t>。</w:t>
      </w:r>
    </w:p>
    <w:p w14:paraId="66023D56">
      <w:pPr>
        <w:pStyle w:val="36"/>
        <w:numPr>
          <w:ilvl w:val="1"/>
          <w:numId w:val="8"/>
        </w:numPr>
        <w:tabs>
          <w:tab w:val="left" w:pos="171"/>
          <w:tab w:val="clear" w:pos="0"/>
        </w:tabs>
        <w:adjustRightInd w:val="0"/>
        <w:snapToGrid/>
        <w:spacing w:line="312" w:lineRule="auto"/>
        <w:ind w:left="0" w:firstLine="480" w:firstLineChars="200"/>
        <w:rPr>
          <w:rFonts w:hint="eastAsia" w:ascii="宋体" w:hAnsi="宋体" w:eastAsia="宋体" w:cs="宋体"/>
          <w:color w:val="auto"/>
          <w:highlight w:val="none"/>
          <w:lang w:bidi="ar"/>
        </w:rPr>
      </w:pPr>
      <w:r>
        <w:rPr>
          <w:rFonts w:hint="eastAsia" w:ascii="宋体" w:hAnsi="宋体" w:eastAsia="宋体" w:cs="宋体"/>
          <w:color w:val="auto"/>
          <w:kern w:val="2"/>
          <w:szCs w:val="24"/>
          <w:highlight w:val="none"/>
          <w:lang w:bidi="ar"/>
        </w:rPr>
        <w:t>投标文件</w:t>
      </w:r>
      <w:r>
        <w:rPr>
          <w:rFonts w:hint="eastAsia" w:ascii="宋体" w:hAnsi="宋体" w:cs="宋体"/>
          <w:color w:val="auto"/>
          <w:kern w:val="2"/>
          <w:szCs w:val="24"/>
          <w:highlight w:val="none"/>
          <w:lang w:val="en-US" w:eastAsia="zh-CN" w:bidi="ar"/>
        </w:rPr>
        <w:t>中的</w:t>
      </w:r>
      <w:r>
        <w:rPr>
          <w:rFonts w:hint="eastAsia" w:ascii="宋体" w:hAnsi="宋体" w:eastAsia="宋体" w:cs="宋体"/>
          <w:color w:val="auto"/>
          <w:highlight w:val="none"/>
          <w:lang w:bidi="ar"/>
        </w:rPr>
        <w:t>资格审查文件、资信技术文件和商务报价文件</w:t>
      </w:r>
      <w:r>
        <w:rPr>
          <w:rFonts w:hint="eastAsia" w:ascii="宋体" w:hAnsi="宋体" w:eastAsia="宋体" w:cs="宋体"/>
          <w:color w:val="auto"/>
          <w:kern w:val="2"/>
          <w:szCs w:val="24"/>
          <w:highlight w:val="none"/>
          <w:lang w:bidi="ar"/>
        </w:rPr>
        <w:t>按投标文件格式文件要求投标人盖章、</w:t>
      </w:r>
      <w:r>
        <w:rPr>
          <w:rFonts w:hint="eastAsia" w:ascii="宋体" w:hAnsi="宋体" w:cs="宋体"/>
          <w:color w:val="auto"/>
          <w:kern w:val="2"/>
          <w:szCs w:val="24"/>
          <w:highlight w:val="none"/>
          <w:lang w:eastAsia="zh-CN" w:bidi="ar"/>
        </w:rPr>
        <w:t>法定代表人（或负责人）</w:t>
      </w:r>
      <w:r>
        <w:rPr>
          <w:rFonts w:hint="eastAsia" w:ascii="宋体" w:hAnsi="宋体" w:eastAsia="宋体" w:cs="宋体"/>
          <w:color w:val="auto"/>
          <w:kern w:val="2"/>
          <w:szCs w:val="24"/>
          <w:highlight w:val="none"/>
          <w:lang w:bidi="ar"/>
        </w:rPr>
        <w:t>印章的地方，投标人均应使用CA数字证书加盖投标人的单位电子印章、</w:t>
      </w:r>
      <w:r>
        <w:rPr>
          <w:rFonts w:hint="eastAsia" w:ascii="宋体" w:hAnsi="宋体" w:cs="宋体"/>
          <w:color w:val="auto"/>
          <w:kern w:val="2"/>
          <w:szCs w:val="24"/>
          <w:highlight w:val="none"/>
          <w:lang w:eastAsia="zh-CN" w:bidi="ar"/>
        </w:rPr>
        <w:t>法定代表人（或负责人）</w:t>
      </w:r>
      <w:r>
        <w:rPr>
          <w:rFonts w:hint="eastAsia" w:ascii="宋体" w:hAnsi="宋体" w:eastAsia="宋体" w:cs="宋体"/>
          <w:color w:val="auto"/>
          <w:kern w:val="2"/>
          <w:szCs w:val="24"/>
          <w:highlight w:val="none"/>
          <w:lang w:bidi="ar"/>
        </w:rPr>
        <w:t>个人电子印章，上传至衢州市阳光交易服务平台，作为投标文件正本，其余详见投标人须知前附表。</w:t>
      </w:r>
    </w:p>
    <w:p w14:paraId="7D0B2D11">
      <w:pPr>
        <w:pStyle w:val="36"/>
        <w:numPr>
          <w:ilvl w:val="0"/>
          <w:numId w:val="7"/>
        </w:numPr>
        <w:adjustRightInd w:val="0"/>
        <w:spacing w:line="312" w:lineRule="auto"/>
        <w:ind w:left="0" w:firstLine="480"/>
        <w:jc w:val="both"/>
        <w:rPr>
          <w:rFonts w:hint="eastAsia" w:ascii="宋体" w:hAnsi="宋体" w:eastAsia="宋体" w:cs="宋体"/>
          <w:color w:val="auto"/>
          <w:highlight w:val="none"/>
          <w:lang w:bidi="ar"/>
        </w:rPr>
      </w:pPr>
      <w:r>
        <w:rPr>
          <w:rFonts w:hint="eastAsia" w:ascii="宋体" w:hAnsi="宋体" w:eastAsia="宋体" w:cs="宋体"/>
          <w:color w:val="auto"/>
          <w:highlight w:val="none"/>
          <w:lang w:bidi="ar"/>
        </w:rPr>
        <w:t>投标内容填写说明</w:t>
      </w:r>
    </w:p>
    <w:p w14:paraId="2FEC5A26">
      <w:pPr>
        <w:pStyle w:val="36"/>
        <w:numPr>
          <w:ilvl w:val="1"/>
          <w:numId w:val="9"/>
        </w:numPr>
        <w:tabs>
          <w:tab w:val="left" w:pos="171"/>
          <w:tab w:val="clear" w:pos="0"/>
        </w:tabs>
        <w:adjustRightInd w:val="0"/>
        <w:spacing w:line="312" w:lineRule="auto"/>
        <w:ind w:left="0" w:firstLine="480" w:firstLineChars="200"/>
        <w:rPr>
          <w:rFonts w:hint="eastAsia" w:ascii="宋体" w:hAnsi="宋体" w:eastAsia="宋体" w:cs="宋体"/>
          <w:color w:val="auto"/>
          <w:highlight w:val="none"/>
          <w:lang w:bidi="ar"/>
        </w:rPr>
      </w:pPr>
      <w:r>
        <w:rPr>
          <w:rFonts w:hint="default" w:ascii="宋体" w:hAnsi="宋体" w:eastAsia="宋体" w:cs="宋体"/>
          <w:color w:val="auto"/>
          <w:highlight w:val="none"/>
          <w:lang w:bidi="ar"/>
        </w:rPr>
        <w:t>无相应内容可填的项应填写“无”、“未测试”、“没有相应指标”等明确的回答文字。</w:t>
      </w:r>
    </w:p>
    <w:p w14:paraId="48B209A5">
      <w:pPr>
        <w:pStyle w:val="36"/>
        <w:numPr>
          <w:ilvl w:val="1"/>
          <w:numId w:val="9"/>
        </w:numPr>
        <w:tabs>
          <w:tab w:val="left" w:pos="171"/>
          <w:tab w:val="clear" w:pos="0"/>
        </w:tabs>
        <w:adjustRightInd w:val="0"/>
        <w:spacing w:line="312" w:lineRule="auto"/>
        <w:ind w:left="0" w:firstLine="480" w:firstLineChars="200"/>
        <w:rPr>
          <w:rFonts w:hint="eastAsia" w:ascii="宋体" w:hAnsi="宋体" w:eastAsia="宋体" w:cs="宋体"/>
          <w:color w:val="auto"/>
          <w:highlight w:val="none"/>
          <w:lang w:bidi="ar"/>
        </w:rPr>
      </w:pPr>
      <w:r>
        <w:rPr>
          <w:rFonts w:hint="default" w:ascii="宋体" w:hAnsi="宋体" w:eastAsia="宋体" w:cs="宋体"/>
          <w:color w:val="auto"/>
          <w:highlight w:val="none"/>
          <w:lang w:bidi="ar"/>
        </w:rPr>
        <w:t>投标人必须保证投标文件所提供的全部资料真实可靠，并接受采购人对任何资料进一步审查的要求。</w:t>
      </w:r>
    </w:p>
    <w:p w14:paraId="5D10A817">
      <w:pPr>
        <w:pStyle w:val="36"/>
        <w:numPr>
          <w:ilvl w:val="1"/>
          <w:numId w:val="9"/>
        </w:numPr>
        <w:tabs>
          <w:tab w:val="left" w:pos="171"/>
          <w:tab w:val="clear" w:pos="0"/>
        </w:tabs>
        <w:adjustRightInd w:val="0"/>
        <w:spacing w:line="312" w:lineRule="auto"/>
        <w:ind w:left="0" w:firstLine="480" w:firstLineChars="200"/>
        <w:rPr>
          <w:rFonts w:hint="eastAsia" w:ascii="宋体" w:hAnsi="宋体" w:eastAsia="宋体" w:cs="宋体"/>
          <w:color w:val="auto"/>
          <w:highlight w:val="none"/>
          <w:lang w:bidi="ar"/>
        </w:rPr>
      </w:pPr>
      <w:r>
        <w:rPr>
          <w:rFonts w:hint="default" w:ascii="宋体" w:hAnsi="宋体" w:eastAsia="宋体" w:cs="宋体"/>
          <w:color w:val="auto"/>
          <w:highlight w:val="none"/>
          <w:lang w:bidi="ar"/>
        </w:rPr>
        <w:t>《开标一览表》为在开标仪式上唱标的内容，要求按格式填写、统一规范，不得自行增减内容。</w:t>
      </w:r>
    </w:p>
    <w:p w14:paraId="3B9CFB9F">
      <w:pPr>
        <w:pStyle w:val="36"/>
        <w:numPr>
          <w:ilvl w:val="1"/>
          <w:numId w:val="9"/>
        </w:numPr>
        <w:tabs>
          <w:tab w:val="left" w:pos="171"/>
          <w:tab w:val="clear" w:pos="0"/>
        </w:tabs>
        <w:adjustRightInd w:val="0"/>
        <w:spacing w:line="312" w:lineRule="auto"/>
        <w:ind w:left="0" w:firstLine="480" w:firstLineChars="200"/>
        <w:rPr>
          <w:rFonts w:hint="eastAsia" w:ascii="宋体" w:hAnsi="宋体" w:eastAsia="宋体" w:cs="宋体"/>
          <w:color w:val="auto"/>
          <w:highlight w:val="none"/>
          <w:lang w:bidi="ar"/>
        </w:rPr>
      </w:pPr>
      <w:r>
        <w:rPr>
          <w:rFonts w:hint="default" w:ascii="宋体" w:hAnsi="宋体" w:eastAsia="宋体" w:cs="宋体"/>
          <w:color w:val="auto"/>
          <w:highlight w:val="none"/>
          <w:lang w:bidi="ar"/>
        </w:rPr>
        <w:t>投标文件须对招标文件中的内容做出实质性、完整的响应，否则其投标将被拒绝。如果投标文件填报的内容资料不详，或没有提供招标文件中所要求的全部资料及数据，将会导致投标被拒绝。</w:t>
      </w:r>
    </w:p>
    <w:p w14:paraId="669B7286">
      <w:pPr>
        <w:pStyle w:val="36"/>
        <w:numPr>
          <w:ilvl w:val="1"/>
          <w:numId w:val="9"/>
        </w:numPr>
        <w:tabs>
          <w:tab w:val="left" w:pos="171"/>
          <w:tab w:val="clear" w:pos="0"/>
        </w:tabs>
        <w:adjustRightInd w:val="0"/>
        <w:spacing w:line="312" w:lineRule="auto"/>
        <w:ind w:left="0" w:firstLine="480" w:firstLineChars="200"/>
        <w:rPr>
          <w:rFonts w:hint="eastAsia" w:ascii="宋体" w:hAnsi="宋体" w:eastAsia="宋体" w:cs="宋体"/>
          <w:color w:val="auto"/>
          <w:highlight w:val="none"/>
          <w:lang w:bidi="ar"/>
        </w:rPr>
      </w:pPr>
      <w:r>
        <w:rPr>
          <w:rFonts w:hint="default" w:ascii="宋体" w:hAnsi="宋体" w:eastAsia="宋体" w:cs="宋体"/>
          <w:color w:val="auto"/>
          <w:highlight w:val="none"/>
          <w:lang w:bidi="ar"/>
        </w:rPr>
        <w:t>投标人已明知采购期间或之后企业将发生兼并改制，应当告知采购人可能影响采购服务项目实施或损害采购人利益的信息，必须在投标文件中予以特别说明，否则，采购人可以拒绝其投标文件。</w:t>
      </w:r>
    </w:p>
    <w:p w14:paraId="72EC227E">
      <w:pPr>
        <w:pStyle w:val="36"/>
        <w:numPr>
          <w:ilvl w:val="1"/>
          <w:numId w:val="9"/>
        </w:numPr>
        <w:tabs>
          <w:tab w:val="left" w:pos="171"/>
          <w:tab w:val="clear" w:pos="0"/>
        </w:tabs>
        <w:adjustRightInd w:val="0"/>
        <w:spacing w:line="312" w:lineRule="auto"/>
        <w:ind w:left="0" w:firstLine="480" w:firstLineChars="200"/>
        <w:rPr>
          <w:rFonts w:hint="eastAsia" w:ascii="宋体" w:hAnsi="宋体" w:eastAsia="宋体" w:cs="宋体"/>
          <w:color w:val="auto"/>
          <w:highlight w:val="none"/>
          <w:lang w:bidi="ar"/>
        </w:rPr>
      </w:pPr>
      <w:r>
        <w:rPr>
          <w:rFonts w:hint="default" w:ascii="宋体" w:hAnsi="宋体" w:eastAsia="宋体" w:cs="宋体"/>
          <w:color w:val="auto"/>
          <w:highlight w:val="none"/>
          <w:lang w:bidi="ar"/>
        </w:rPr>
        <w:t>投标文件不得涂改和增删，如有错漏必须修改，修改处须由法人或授权代表在旁边签字或盖章或加盖</w:t>
      </w:r>
      <w:r>
        <w:rPr>
          <w:rFonts w:hint="eastAsia" w:ascii="宋体" w:hAnsi="宋体" w:cs="宋体"/>
          <w:color w:val="auto"/>
          <w:highlight w:val="none"/>
          <w:lang w:eastAsia="zh-CN" w:bidi="ar"/>
        </w:rPr>
        <w:t>投标人签章</w:t>
      </w:r>
      <w:r>
        <w:rPr>
          <w:rFonts w:hint="default" w:ascii="宋体" w:hAnsi="宋体" w:eastAsia="宋体" w:cs="宋体"/>
          <w:color w:val="auto"/>
          <w:highlight w:val="none"/>
          <w:lang w:bidi="ar"/>
        </w:rPr>
        <w:t>才有效。</w:t>
      </w:r>
    </w:p>
    <w:p w14:paraId="7D509B7E">
      <w:pPr>
        <w:pStyle w:val="36"/>
        <w:numPr>
          <w:ilvl w:val="1"/>
          <w:numId w:val="9"/>
        </w:numPr>
        <w:tabs>
          <w:tab w:val="left" w:pos="171"/>
          <w:tab w:val="clear" w:pos="0"/>
        </w:tabs>
        <w:adjustRightInd w:val="0"/>
        <w:spacing w:line="312" w:lineRule="auto"/>
        <w:ind w:left="0" w:firstLine="480" w:firstLineChars="200"/>
        <w:rPr>
          <w:rFonts w:hint="eastAsia" w:ascii="宋体" w:hAnsi="宋体" w:eastAsia="宋体" w:cs="宋体"/>
          <w:color w:val="auto"/>
          <w:highlight w:val="none"/>
          <w:lang w:bidi="ar"/>
        </w:rPr>
      </w:pPr>
      <w:r>
        <w:rPr>
          <w:rFonts w:hint="default" w:ascii="宋体" w:hAnsi="宋体" w:eastAsia="宋体" w:cs="宋体"/>
          <w:color w:val="auto"/>
          <w:highlight w:val="none"/>
          <w:lang w:bidi="ar"/>
        </w:rPr>
        <w:t>由于字迹模糊或表达不清引起的后果由投标人负责。</w:t>
      </w:r>
    </w:p>
    <w:p w14:paraId="22D2BC9D">
      <w:pPr>
        <w:pStyle w:val="36"/>
        <w:numPr>
          <w:ilvl w:val="0"/>
          <w:numId w:val="7"/>
        </w:numPr>
        <w:adjustRightInd w:val="0"/>
        <w:spacing w:line="312" w:lineRule="auto"/>
        <w:ind w:left="0" w:firstLine="480"/>
        <w:jc w:val="both"/>
        <w:rPr>
          <w:rFonts w:hint="eastAsia" w:ascii="宋体" w:hAnsi="宋体" w:eastAsia="宋体" w:cs="宋体"/>
          <w:color w:val="auto"/>
          <w:highlight w:val="none"/>
          <w:lang w:bidi="ar"/>
        </w:rPr>
      </w:pPr>
      <w:r>
        <w:rPr>
          <w:rFonts w:hint="eastAsia" w:ascii="宋体" w:hAnsi="宋体" w:eastAsia="宋体" w:cs="宋体"/>
          <w:color w:val="auto"/>
          <w:highlight w:val="none"/>
          <w:lang w:bidi="ar"/>
        </w:rPr>
        <w:t>投标报价</w:t>
      </w:r>
    </w:p>
    <w:p w14:paraId="363DE514">
      <w:pPr>
        <w:pStyle w:val="36"/>
        <w:numPr>
          <w:ilvl w:val="1"/>
          <w:numId w:val="10"/>
        </w:numPr>
        <w:tabs>
          <w:tab w:val="left" w:pos="171"/>
          <w:tab w:val="clear" w:pos="0"/>
        </w:tabs>
        <w:adjustRightInd w:val="0"/>
        <w:spacing w:line="312" w:lineRule="auto"/>
        <w:ind w:firstLine="480"/>
        <w:rPr>
          <w:rFonts w:hint="eastAsia" w:ascii="Times New Roman" w:hAnsi="宋体" w:eastAsia="宋体" w:cs="宋体"/>
          <w:color w:val="auto"/>
          <w:highlight w:val="none"/>
          <w:lang w:val="zh-CN"/>
        </w:rPr>
      </w:pPr>
      <w:r>
        <w:rPr>
          <w:rFonts w:hint="eastAsia" w:ascii="Times New Roman" w:hAnsi="宋体" w:eastAsia="宋体" w:cs="宋体"/>
          <w:color w:val="auto"/>
          <w:kern w:val="2"/>
          <w:sz w:val="24"/>
          <w:szCs w:val="24"/>
          <w:highlight w:val="none"/>
          <w:lang w:val="zh-CN" w:eastAsia="zh-CN" w:bidi="ar-SA"/>
        </w:rPr>
        <w:t>投标报价是履行合同的最终价格，报价应包括但不仅限于完成本项目所需的</w:t>
      </w:r>
      <w:r>
        <w:rPr>
          <w:rFonts w:hint="eastAsia" w:hAnsi="宋体" w:cs="宋体"/>
          <w:color w:val="auto"/>
          <w:kern w:val="2"/>
          <w:sz w:val="24"/>
          <w:szCs w:val="24"/>
          <w:highlight w:val="none"/>
          <w:lang w:val="zh-CN" w:eastAsia="zh-CN" w:bidi="ar-SA"/>
        </w:rPr>
        <w:t>工时费、人工费、材料费、机械费、维修服务费、交通费、运输、劳力、利润、税收等</w:t>
      </w:r>
      <w:r>
        <w:rPr>
          <w:rFonts w:hint="eastAsia" w:ascii="Times New Roman" w:hAnsi="宋体" w:eastAsia="宋体" w:cs="宋体"/>
          <w:color w:val="auto"/>
          <w:kern w:val="2"/>
          <w:sz w:val="24"/>
          <w:szCs w:val="24"/>
          <w:highlight w:val="none"/>
          <w:lang w:val="zh-CN" w:eastAsia="zh-CN" w:bidi="ar-SA"/>
        </w:rPr>
        <w:t>政策性文件规定及合同包含的所有风险、责任等合同实施过程中的应预见和不可预见费用。本次招标数量为暂估数量，投标人在编制投标报价时应充分考虑由于实际采购量未达到该数量或超出该数量而带来的风险。</w:t>
      </w:r>
    </w:p>
    <w:p w14:paraId="07B217D4">
      <w:pPr>
        <w:pStyle w:val="36"/>
        <w:numPr>
          <w:ilvl w:val="1"/>
          <w:numId w:val="10"/>
        </w:numPr>
        <w:tabs>
          <w:tab w:val="left" w:pos="171"/>
          <w:tab w:val="clear" w:pos="0"/>
        </w:tabs>
        <w:adjustRightInd w:val="0"/>
        <w:spacing w:line="312" w:lineRule="auto"/>
        <w:ind w:left="0" w:firstLine="480" w:firstLineChars="200"/>
        <w:rPr>
          <w:rFonts w:hint="eastAsia" w:ascii="Times New Roman" w:hAnsi="宋体" w:eastAsia="宋体" w:cs="宋体"/>
          <w:b w:val="0"/>
          <w:bCs w:val="0"/>
          <w:color w:val="auto"/>
          <w:highlight w:val="none"/>
          <w:lang w:val="zh-CN" w:bidi="ar"/>
        </w:rPr>
      </w:pPr>
      <w:r>
        <w:rPr>
          <w:rFonts w:hint="eastAsia" w:ascii="宋体" w:hAnsi="宋体" w:eastAsia="宋体" w:cs="宋体"/>
          <w:b w:val="0"/>
          <w:bCs w:val="0"/>
          <w:color w:val="auto"/>
          <w:highlight w:val="none"/>
          <w:lang w:val="zh-CN" w:eastAsia="zh-CN" w:bidi="ar"/>
        </w:rPr>
        <w:t>任</w:t>
      </w:r>
      <w:r>
        <w:rPr>
          <w:rFonts w:hint="eastAsia" w:ascii="宋体" w:hAnsi="宋体" w:eastAsia="宋体" w:cs="宋体"/>
          <w:b w:val="0"/>
          <w:bCs w:val="0"/>
          <w:color w:val="auto"/>
          <w:highlight w:val="none"/>
          <w:lang w:val="zh-CN" w:bidi="ar"/>
        </w:rPr>
        <w:t>何算术性错误，采购人将按下述原则予以调整：</w:t>
      </w:r>
    </w:p>
    <w:p w14:paraId="12BBF3AC">
      <w:pPr>
        <w:spacing w:line="312" w:lineRule="auto"/>
        <w:ind w:firstLine="480"/>
        <w:rPr>
          <w:rFonts w:ascii="宋体" w:hAnsi="宋体" w:cs="宋体"/>
          <w:color w:val="auto"/>
          <w:highlight w:val="none"/>
        </w:rPr>
      </w:pPr>
      <w:r>
        <w:rPr>
          <w:rFonts w:hint="eastAsia" w:ascii="宋体" w:hAnsi="宋体" w:cs="宋体"/>
          <w:color w:val="auto"/>
          <w:highlight w:val="none"/>
        </w:rPr>
        <w:t>（1）开标时，投标文件中开标一览表（报价表）内容与投标文件中明细表内容不一致的，以开标一览表（报价表）为准；</w:t>
      </w:r>
    </w:p>
    <w:p w14:paraId="4937DAB0">
      <w:pPr>
        <w:spacing w:line="312" w:lineRule="auto"/>
        <w:ind w:firstLine="480"/>
        <w:rPr>
          <w:rFonts w:ascii="宋体" w:hAnsi="宋体" w:cs="宋体"/>
          <w:color w:val="auto"/>
          <w:highlight w:val="none"/>
        </w:rPr>
      </w:pPr>
      <w:r>
        <w:rPr>
          <w:rFonts w:hint="eastAsia" w:ascii="宋体" w:hAnsi="宋体" w:cs="宋体"/>
          <w:color w:val="auto"/>
          <w:highlight w:val="none"/>
        </w:rPr>
        <w:t>（2）投标文件的大写金额和小写金额不一致的，以大写金额为准；</w:t>
      </w:r>
    </w:p>
    <w:p w14:paraId="471139F6">
      <w:pPr>
        <w:spacing w:line="312" w:lineRule="auto"/>
        <w:ind w:firstLine="480"/>
        <w:rPr>
          <w:rFonts w:ascii="宋体" w:hAnsi="宋体" w:cs="宋体"/>
          <w:color w:val="auto"/>
          <w:highlight w:val="none"/>
        </w:rPr>
      </w:pPr>
      <w:r>
        <w:rPr>
          <w:rFonts w:hint="eastAsia" w:ascii="宋体" w:hAnsi="宋体" w:cs="宋体"/>
          <w:color w:val="auto"/>
          <w:highlight w:val="none"/>
        </w:rPr>
        <w:t>（3）单价金额小数点或百分比有明显错位的，以开标一览表的总价为准，并修改单价；</w:t>
      </w:r>
    </w:p>
    <w:p w14:paraId="07C7EC85">
      <w:pPr>
        <w:spacing w:line="312" w:lineRule="auto"/>
        <w:ind w:firstLine="480"/>
        <w:rPr>
          <w:rFonts w:ascii="宋体" w:hAnsi="宋体" w:cs="宋体"/>
          <w:color w:val="auto"/>
          <w:highlight w:val="none"/>
        </w:rPr>
      </w:pPr>
      <w:r>
        <w:rPr>
          <w:rFonts w:hint="eastAsia" w:ascii="宋体" w:hAnsi="宋体" w:cs="宋体"/>
          <w:color w:val="auto"/>
          <w:highlight w:val="none"/>
        </w:rPr>
        <w:t>（4）总价金额与按单价汇总金额不一致的，以单价金额计算结果为准；同时出现两种以上不一致的，按照前款规定的顺序修正，修正后的报价应经投标人书面确认，投标人不予确认的，其投标无效。</w:t>
      </w:r>
    </w:p>
    <w:p w14:paraId="60EB61B7">
      <w:pPr>
        <w:pStyle w:val="10"/>
        <w:numPr>
          <w:ilvl w:val="1"/>
          <w:numId w:val="0"/>
        </w:numPr>
        <w:spacing w:beforeLines="0" w:afterLines="0"/>
        <w:rPr>
          <w:rFonts w:ascii="宋体" w:hAnsi="宋体" w:cs="宋体"/>
          <w:b/>
          <w:bCs w:val="0"/>
          <w:color w:val="auto"/>
          <w:highlight w:val="none"/>
          <w:lang w:bidi="ar"/>
        </w:rPr>
      </w:pPr>
      <w:bookmarkStart w:id="359" w:name="_Toc11434"/>
      <w:bookmarkStart w:id="360" w:name="_Toc21630"/>
      <w:bookmarkStart w:id="361" w:name="_Toc27185"/>
      <w:r>
        <w:rPr>
          <w:rFonts w:hint="eastAsia" w:ascii="宋体" w:hAnsi="宋体" w:cs="宋体"/>
          <w:b/>
          <w:bCs w:val="0"/>
          <w:color w:val="auto"/>
          <w:highlight w:val="none"/>
          <w:lang w:bidi="ar"/>
        </w:rPr>
        <w:t>五、投标文件的递交</w:t>
      </w:r>
      <w:bookmarkEnd w:id="359"/>
      <w:bookmarkEnd w:id="360"/>
      <w:bookmarkEnd w:id="361"/>
    </w:p>
    <w:p w14:paraId="46C80C6F">
      <w:pPr>
        <w:pStyle w:val="36"/>
        <w:numPr>
          <w:ilvl w:val="0"/>
          <w:numId w:val="7"/>
        </w:numPr>
        <w:adjustRightInd w:val="0"/>
        <w:spacing w:line="312" w:lineRule="auto"/>
        <w:ind w:firstLine="480"/>
        <w:jc w:val="both"/>
        <w:rPr>
          <w:rFonts w:hint="eastAsia" w:ascii="宋体" w:hAnsi="宋体" w:eastAsia="宋体" w:cs="宋体"/>
          <w:color w:val="auto"/>
          <w:highlight w:val="none"/>
          <w:lang w:bidi="ar"/>
        </w:rPr>
      </w:pPr>
      <w:r>
        <w:rPr>
          <w:rFonts w:hint="eastAsia" w:ascii="宋体" w:hAnsi="宋体" w:eastAsia="宋体" w:cs="宋体"/>
          <w:color w:val="auto"/>
          <w:highlight w:val="none"/>
          <w:lang w:bidi="ar"/>
        </w:rPr>
        <w:t>递交投标文件方式和地点</w:t>
      </w:r>
    </w:p>
    <w:p w14:paraId="6D54AE97">
      <w:pPr>
        <w:pStyle w:val="30"/>
        <w:tabs>
          <w:tab w:val="right" w:leader="dot" w:pos="9060"/>
          <w:tab w:val="right" w:leader="dot" w:pos="9170"/>
          <w:tab w:val="clear" w:pos="9628"/>
        </w:tabs>
        <w:adjustRightInd w:val="0"/>
        <w:snapToGrid w:val="0"/>
        <w:spacing w:line="420" w:lineRule="exact"/>
        <w:ind w:firstLine="480"/>
        <w:jc w:val="both"/>
        <w:rPr>
          <w:rFonts w:ascii="宋体" w:hAnsi="宋体" w:eastAsia="宋体" w:cs="宋体"/>
          <w:b w:val="0"/>
          <w:bCs w:val="0"/>
          <w:caps w:val="0"/>
          <w:color w:val="auto"/>
          <w:sz w:val="24"/>
          <w:szCs w:val="24"/>
          <w:highlight w:val="none"/>
        </w:rPr>
      </w:pPr>
      <w:r>
        <w:rPr>
          <w:rFonts w:hint="eastAsia" w:ascii="宋体" w:hAnsi="宋体" w:eastAsia="宋体" w:cs="宋体"/>
          <w:b w:val="0"/>
          <w:bCs w:val="0"/>
          <w:caps w:val="0"/>
          <w:color w:val="auto"/>
          <w:sz w:val="24"/>
          <w:szCs w:val="24"/>
          <w:highlight w:val="none"/>
        </w:rPr>
        <w:t>将由投标文件制作工具制作生成的加密投标文件（.QZCGTF）在投标截止时间前（以上传完成时间为准）上传至衢州市阳光交易服务平台（https://qzygjy.com/）。</w:t>
      </w:r>
    </w:p>
    <w:p w14:paraId="1FE87CA5">
      <w:pPr>
        <w:pStyle w:val="36"/>
        <w:numPr>
          <w:ilvl w:val="0"/>
          <w:numId w:val="7"/>
        </w:numPr>
        <w:adjustRightInd w:val="0"/>
        <w:spacing w:line="312" w:lineRule="auto"/>
        <w:ind w:left="0" w:firstLine="480"/>
        <w:jc w:val="both"/>
        <w:rPr>
          <w:rFonts w:hint="eastAsia" w:ascii="宋体" w:hAnsi="宋体" w:eastAsia="宋体" w:cs="宋体"/>
          <w:color w:val="auto"/>
          <w:highlight w:val="none"/>
          <w:lang w:bidi="ar"/>
        </w:rPr>
      </w:pPr>
      <w:r>
        <w:rPr>
          <w:rFonts w:hint="eastAsia" w:ascii="宋体" w:hAnsi="宋体" w:eastAsia="宋体" w:cs="宋体"/>
          <w:color w:val="auto"/>
          <w:highlight w:val="none"/>
          <w:lang w:bidi="ar"/>
        </w:rPr>
        <w:t>递交投标文件截止期</w:t>
      </w:r>
    </w:p>
    <w:p w14:paraId="1A4A28E6">
      <w:pPr>
        <w:pStyle w:val="36"/>
        <w:numPr>
          <w:ilvl w:val="1"/>
          <w:numId w:val="11"/>
        </w:numPr>
        <w:tabs>
          <w:tab w:val="left" w:pos="171"/>
        </w:tabs>
        <w:adjustRightInd w:val="0"/>
        <w:spacing w:line="312" w:lineRule="auto"/>
        <w:ind w:left="0" w:firstLine="480" w:firstLineChars="200"/>
        <w:rPr>
          <w:rFonts w:hint="eastAsia" w:ascii="宋体" w:hAnsi="宋体" w:eastAsia="宋体" w:cs="宋体"/>
          <w:color w:val="auto"/>
          <w:szCs w:val="24"/>
          <w:highlight w:val="none"/>
          <w:lang w:val="zh-CN" w:bidi="ar"/>
        </w:rPr>
      </w:pPr>
      <w:r>
        <w:rPr>
          <w:rFonts w:hint="eastAsia" w:ascii="宋体" w:hAnsi="宋体" w:eastAsia="宋体" w:cs="宋体"/>
          <w:color w:val="auto"/>
          <w:szCs w:val="24"/>
          <w:highlight w:val="none"/>
          <w:lang w:val="zh-CN" w:bidi="ar"/>
        </w:rPr>
        <w:t>投标人应在投标人须知前附表规定的投标截止时间前递交投标文件。</w:t>
      </w:r>
    </w:p>
    <w:p w14:paraId="5F4125D0">
      <w:pPr>
        <w:pStyle w:val="36"/>
        <w:numPr>
          <w:ilvl w:val="1"/>
          <w:numId w:val="11"/>
        </w:numPr>
        <w:tabs>
          <w:tab w:val="left" w:pos="171"/>
        </w:tabs>
        <w:adjustRightInd w:val="0"/>
        <w:snapToGrid/>
        <w:spacing w:line="312" w:lineRule="auto"/>
        <w:ind w:left="0" w:firstLine="480" w:firstLineChars="200"/>
        <w:rPr>
          <w:rFonts w:hint="eastAsia" w:ascii="宋体" w:hAnsi="宋体" w:eastAsia="宋体" w:cs="宋体"/>
          <w:color w:val="auto"/>
          <w:szCs w:val="24"/>
          <w:highlight w:val="none"/>
          <w:lang w:val="zh-CN" w:bidi="ar"/>
        </w:rPr>
      </w:pPr>
      <w:r>
        <w:rPr>
          <w:rFonts w:hint="eastAsia" w:ascii="宋体" w:hAnsi="宋体" w:eastAsia="宋体" w:cs="宋体"/>
          <w:color w:val="auto"/>
          <w:szCs w:val="24"/>
          <w:highlight w:val="none"/>
          <w:lang w:val="zh-CN" w:bidi="ar"/>
        </w:rPr>
        <w:t>投标人递交投标文件的地点：见投标人须知前附表。</w:t>
      </w:r>
    </w:p>
    <w:p w14:paraId="1454F1BF">
      <w:pPr>
        <w:pStyle w:val="36"/>
        <w:numPr>
          <w:ilvl w:val="0"/>
          <w:numId w:val="7"/>
        </w:numPr>
        <w:adjustRightInd w:val="0"/>
        <w:spacing w:line="312" w:lineRule="auto"/>
        <w:ind w:left="0" w:firstLine="480"/>
        <w:jc w:val="both"/>
        <w:rPr>
          <w:rFonts w:hint="eastAsia" w:ascii="宋体" w:hAnsi="宋体" w:eastAsia="宋体" w:cs="宋体"/>
          <w:color w:val="auto"/>
          <w:highlight w:val="none"/>
          <w:lang w:bidi="ar"/>
        </w:rPr>
      </w:pPr>
      <w:r>
        <w:rPr>
          <w:rFonts w:hint="eastAsia" w:ascii="宋体" w:hAnsi="宋体" w:eastAsia="宋体" w:cs="宋体"/>
          <w:color w:val="auto"/>
          <w:highlight w:val="none"/>
          <w:lang w:bidi="ar"/>
        </w:rPr>
        <w:t>投标文件的修改和撤销</w:t>
      </w:r>
    </w:p>
    <w:p w14:paraId="25F842BF">
      <w:pPr>
        <w:pStyle w:val="36"/>
        <w:numPr>
          <w:ilvl w:val="255"/>
          <w:numId w:val="0"/>
        </w:numPr>
        <w:tabs>
          <w:tab w:val="left" w:pos="171"/>
        </w:tabs>
        <w:spacing w:line="312" w:lineRule="auto"/>
        <w:ind w:firstLine="480" w:firstLineChars="200"/>
        <w:rPr>
          <w:rFonts w:ascii="宋体" w:hAnsi="宋体" w:cs="宋体"/>
          <w:color w:val="auto"/>
          <w:highlight w:val="none"/>
          <w:lang w:bidi="ar"/>
        </w:rPr>
      </w:pPr>
      <w:r>
        <w:rPr>
          <w:rFonts w:hint="eastAsia" w:ascii="宋体" w:hAnsi="宋体"/>
          <w:color w:val="auto"/>
          <w:highlight w:val="none"/>
        </w:rPr>
        <w:t>在本章第2</w:t>
      </w:r>
      <w:r>
        <w:rPr>
          <w:rFonts w:hint="eastAsia" w:ascii="宋体" w:hAnsi="宋体"/>
          <w:color w:val="auto"/>
          <w:highlight w:val="none"/>
          <w:lang w:val="en-US" w:eastAsia="zh-CN"/>
        </w:rPr>
        <w:t>5</w:t>
      </w:r>
      <w:r>
        <w:rPr>
          <w:rFonts w:hint="eastAsia" w:ascii="宋体" w:hAnsi="宋体"/>
          <w:color w:val="auto"/>
          <w:highlight w:val="none"/>
        </w:rPr>
        <w:t>.1项规定的投标截止时间前，投标人可以修改或撤回已递交的投标文件，但应以书面形式通知采购人。</w:t>
      </w:r>
    </w:p>
    <w:p w14:paraId="64CE0333">
      <w:pPr>
        <w:pStyle w:val="10"/>
        <w:numPr>
          <w:ilvl w:val="1"/>
          <w:numId w:val="0"/>
        </w:numPr>
        <w:spacing w:beforeLines="0" w:afterLines="0"/>
        <w:rPr>
          <w:rFonts w:ascii="宋体" w:hAnsi="宋体" w:cs="宋体"/>
          <w:b/>
          <w:bCs w:val="0"/>
          <w:color w:val="auto"/>
          <w:highlight w:val="none"/>
          <w:lang w:bidi="ar"/>
        </w:rPr>
      </w:pPr>
      <w:bookmarkStart w:id="362" w:name="_Toc27266"/>
      <w:bookmarkStart w:id="363" w:name="_Toc11079"/>
      <w:bookmarkStart w:id="364" w:name="_Toc15430"/>
      <w:bookmarkStart w:id="365" w:name="_Toc20769"/>
      <w:r>
        <w:rPr>
          <w:rFonts w:hint="eastAsia" w:ascii="宋体" w:hAnsi="宋体" w:cs="宋体"/>
          <w:b/>
          <w:bCs w:val="0"/>
          <w:color w:val="auto"/>
          <w:highlight w:val="none"/>
          <w:lang w:bidi="ar"/>
        </w:rPr>
        <w:t>六、投标无效的情形</w:t>
      </w:r>
      <w:bookmarkEnd w:id="362"/>
      <w:bookmarkEnd w:id="363"/>
      <w:bookmarkEnd w:id="364"/>
    </w:p>
    <w:p w14:paraId="7D4E7D38">
      <w:pPr>
        <w:pStyle w:val="36"/>
        <w:numPr>
          <w:ilvl w:val="0"/>
          <w:numId w:val="7"/>
        </w:numPr>
        <w:adjustRightInd/>
        <w:spacing w:beforeLines="0" w:afterLines="0" w:line="312" w:lineRule="auto"/>
        <w:ind w:left="0" w:firstLine="480" w:firstLineChars="200"/>
        <w:jc w:val="both"/>
        <w:rPr>
          <w:rFonts w:hint="eastAsia" w:ascii="宋体" w:hAnsi="宋体" w:eastAsia="宋体" w:cs="宋体"/>
          <w:color w:val="auto"/>
          <w:lang w:bidi="ar"/>
        </w:rPr>
      </w:pPr>
      <w:r>
        <w:rPr>
          <w:rFonts w:hint="eastAsia" w:ascii="宋体" w:hAnsi="宋体" w:eastAsia="宋体" w:cs="宋体"/>
          <w:color w:val="auto"/>
          <w:lang w:bidi="ar"/>
        </w:rPr>
        <w:t>实质上没有响应招标文件要求的投标将被视为无效投标。投标人不得通过修正或撤销不合要求的偏离或保留从而使其投标成为实质上响应的投标。如发生下列情况之一的，其投标视为无效：</w:t>
      </w:r>
    </w:p>
    <w:p w14:paraId="1CDAA1EF">
      <w:pPr>
        <w:pStyle w:val="36"/>
        <w:numPr>
          <w:ilvl w:val="1"/>
          <w:numId w:val="12"/>
        </w:numPr>
        <w:tabs>
          <w:tab w:val="left" w:pos="171"/>
        </w:tabs>
        <w:adjustRightInd w:val="0"/>
        <w:spacing w:beforeLines="0" w:afterLines="0" w:line="312" w:lineRule="auto"/>
        <w:ind w:left="0" w:firstLine="480" w:firstLineChars="200"/>
        <w:rPr>
          <w:rFonts w:hint="eastAsia" w:ascii="宋体" w:hAnsi="宋体" w:eastAsia="宋体" w:cs="宋体"/>
          <w:color w:val="auto"/>
          <w:lang w:val="zh-CN" w:bidi="ar"/>
        </w:rPr>
      </w:pPr>
      <w:r>
        <w:rPr>
          <w:rFonts w:hint="eastAsia" w:ascii="宋体" w:hAnsi="宋体" w:eastAsia="宋体" w:cs="宋体"/>
          <w:color w:val="auto"/>
          <w:lang w:val="zh-CN" w:bidi="ar"/>
        </w:rPr>
        <w:t>投标文件逾期上传标书的；</w:t>
      </w:r>
    </w:p>
    <w:p w14:paraId="17776075">
      <w:pPr>
        <w:pStyle w:val="36"/>
        <w:numPr>
          <w:ilvl w:val="1"/>
          <w:numId w:val="12"/>
        </w:numPr>
        <w:tabs>
          <w:tab w:val="left" w:pos="171"/>
        </w:tabs>
        <w:adjustRightInd w:val="0"/>
        <w:spacing w:beforeLines="0" w:afterLines="0" w:line="312" w:lineRule="auto"/>
        <w:ind w:left="0" w:firstLine="480" w:firstLineChars="200"/>
        <w:rPr>
          <w:rFonts w:hint="eastAsia" w:ascii="宋体" w:hAnsi="宋体" w:eastAsia="宋体" w:cs="宋体"/>
          <w:color w:val="auto"/>
          <w:lang w:val="zh-CN" w:bidi="ar"/>
        </w:rPr>
      </w:pPr>
      <w:r>
        <w:rPr>
          <w:rFonts w:hint="eastAsia" w:ascii="宋体" w:hAnsi="宋体" w:eastAsia="宋体" w:cs="宋体"/>
          <w:color w:val="auto"/>
          <w:lang w:val="zh-CN" w:bidi="ar"/>
        </w:rPr>
        <w:t>不具备招标文件规</w:t>
      </w:r>
      <w:r>
        <w:rPr>
          <w:rFonts w:hint="eastAsia" w:ascii="宋体" w:hAnsi="宋体" w:cs="宋体"/>
          <w:color w:val="auto"/>
          <w:lang w:val="zh-CN" w:bidi="ar"/>
        </w:rPr>
        <w:t>定的</w:t>
      </w:r>
      <w:r>
        <w:rPr>
          <w:rFonts w:hint="eastAsia" w:ascii="宋体" w:hAnsi="宋体" w:eastAsia="宋体" w:cs="宋体"/>
          <w:color w:val="auto"/>
          <w:lang w:val="zh-CN" w:bidi="ar"/>
        </w:rPr>
        <w:t>资格要求；</w:t>
      </w:r>
    </w:p>
    <w:p w14:paraId="5C5D537A">
      <w:pPr>
        <w:pStyle w:val="36"/>
        <w:numPr>
          <w:ilvl w:val="1"/>
          <w:numId w:val="12"/>
        </w:numPr>
        <w:tabs>
          <w:tab w:val="left" w:pos="171"/>
        </w:tabs>
        <w:adjustRightInd w:val="0"/>
        <w:spacing w:beforeLines="0" w:afterLines="0" w:line="312" w:lineRule="auto"/>
        <w:ind w:firstLine="480" w:firstLineChars="200"/>
        <w:rPr>
          <w:rFonts w:hint="eastAsia" w:ascii="宋体" w:hAnsi="宋体" w:eastAsia="宋体" w:cs="宋体"/>
          <w:color w:val="auto"/>
          <w:lang w:val="zh-CN" w:bidi="ar"/>
        </w:rPr>
      </w:pPr>
      <w:r>
        <w:rPr>
          <w:rFonts w:hint="eastAsia" w:ascii="宋体" w:hAnsi="宋体" w:eastAsia="宋体" w:cs="宋体"/>
          <w:color w:val="auto"/>
          <w:lang w:val="zh-CN" w:bidi="ar"/>
        </w:rPr>
        <w:t>投标文件未按招标文件的要求加盖单位公章，或投标人的</w:t>
      </w:r>
      <w:r>
        <w:rPr>
          <w:rFonts w:hint="eastAsia" w:ascii="宋体" w:hAnsi="宋体" w:cs="宋体"/>
          <w:color w:val="auto"/>
          <w:lang w:val="zh-CN" w:bidi="ar"/>
        </w:rPr>
        <w:t>法定代表人（或负责人）</w:t>
      </w:r>
      <w:r>
        <w:rPr>
          <w:rFonts w:hint="eastAsia" w:ascii="宋体" w:hAnsi="宋体" w:eastAsia="宋体" w:cs="宋体"/>
          <w:color w:val="auto"/>
          <w:lang w:val="zh-CN" w:bidi="ar"/>
        </w:rPr>
        <w:t>未按招标文件要求签字或盖章的；</w:t>
      </w:r>
    </w:p>
    <w:p w14:paraId="42506A33">
      <w:pPr>
        <w:pStyle w:val="36"/>
        <w:numPr>
          <w:ilvl w:val="1"/>
          <w:numId w:val="12"/>
        </w:numPr>
        <w:tabs>
          <w:tab w:val="left" w:pos="171"/>
        </w:tabs>
        <w:adjustRightInd w:val="0"/>
        <w:spacing w:beforeLines="0" w:afterLines="0" w:line="312" w:lineRule="auto"/>
        <w:ind w:left="0" w:firstLine="480" w:firstLineChars="200"/>
        <w:rPr>
          <w:rFonts w:hint="eastAsia" w:ascii="宋体" w:hAnsi="宋体" w:eastAsia="宋体" w:cs="宋体"/>
          <w:color w:val="auto"/>
          <w:lang w:val="zh-CN" w:bidi="ar"/>
        </w:rPr>
      </w:pPr>
      <w:r>
        <w:rPr>
          <w:rFonts w:hint="eastAsia" w:ascii="宋体" w:hAnsi="宋体" w:eastAsia="宋体" w:cs="宋体"/>
          <w:color w:val="auto"/>
          <w:lang w:val="zh-CN" w:bidi="ar"/>
        </w:rPr>
        <w:t>招标文件中有▲处条款或▲处参数投标人未</w:t>
      </w:r>
      <w:r>
        <w:rPr>
          <w:rFonts w:hint="eastAsia" w:ascii="宋体" w:hAnsi="宋体" w:cs="宋体"/>
          <w:color w:val="auto"/>
          <w:lang w:val="zh-CN" w:bidi="ar"/>
        </w:rPr>
        <w:t>做</w:t>
      </w:r>
      <w:r>
        <w:rPr>
          <w:rFonts w:hint="eastAsia" w:ascii="宋体" w:hAnsi="宋体" w:eastAsia="宋体" w:cs="宋体"/>
          <w:color w:val="auto"/>
          <w:lang w:val="zh-CN" w:bidi="ar"/>
        </w:rPr>
        <w:t>实质性响应的；</w:t>
      </w:r>
    </w:p>
    <w:p w14:paraId="6DA457FB">
      <w:pPr>
        <w:pStyle w:val="36"/>
        <w:numPr>
          <w:ilvl w:val="1"/>
          <w:numId w:val="12"/>
        </w:numPr>
        <w:tabs>
          <w:tab w:val="left" w:pos="171"/>
        </w:tabs>
        <w:adjustRightInd w:val="0"/>
        <w:spacing w:beforeLines="0" w:afterLines="0" w:line="312" w:lineRule="auto"/>
        <w:ind w:left="0" w:firstLine="480" w:firstLineChars="200"/>
        <w:rPr>
          <w:rFonts w:hint="eastAsia" w:ascii="宋体" w:hAnsi="宋体" w:eastAsia="宋体" w:cs="宋体"/>
          <w:color w:val="auto"/>
          <w:lang w:val="zh-CN" w:bidi="ar"/>
        </w:rPr>
      </w:pPr>
      <w:r>
        <w:rPr>
          <w:rFonts w:hint="eastAsia" w:ascii="宋体" w:hAnsi="宋体" w:eastAsia="宋体" w:cs="宋体"/>
          <w:color w:val="auto"/>
          <w:lang w:val="zh-CN" w:bidi="ar"/>
        </w:rPr>
        <w:t>投标文件的实质性内容未使用中文表述、意思表述不明确、前后矛盾或者使用计量单位不符合招标文件要求的（经评标委员会认定允许其当场更正的笔误除外）；</w:t>
      </w:r>
    </w:p>
    <w:p w14:paraId="3727450F">
      <w:pPr>
        <w:pStyle w:val="36"/>
        <w:numPr>
          <w:ilvl w:val="1"/>
          <w:numId w:val="12"/>
        </w:numPr>
        <w:tabs>
          <w:tab w:val="left" w:pos="171"/>
        </w:tabs>
        <w:adjustRightInd w:val="0"/>
        <w:spacing w:beforeLines="0" w:afterLines="0" w:line="312" w:lineRule="auto"/>
        <w:ind w:left="0" w:firstLine="480" w:firstLineChars="200"/>
        <w:rPr>
          <w:rFonts w:hint="eastAsia" w:ascii="宋体" w:hAnsi="宋体" w:eastAsia="宋体" w:cs="宋体"/>
          <w:color w:val="auto"/>
          <w:lang w:val="zh-CN" w:bidi="ar"/>
        </w:rPr>
      </w:pPr>
      <w:r>
        <w:rPr>
          <w:rFonts w:hint="eastAsia" w:ascii="宋体" w:hAnsi="宋体" w:eastAsia="宋体" w:cs="宋体"/>
          <w:color w:val="auto"/>
          <w:lang w:val="zh-CN" w:bidi="ar"/>
        </w:rPr>
        <w:t>投标文件关键内容字迹模糊、无法辨认的；</w:t>
      </w:r>
    </w:p>
    <w:p w14:paraId="27AC5F01">
      <w:pPr>
        <w:pStyle w:val="36"/>
        <w:numPr>
          <w:ilvl w:val="1"/>
          <w:numId w:val="12"/>
        </w:numPr>
        <w:tabs>
          <w:tab w:val="left" w:pos="171"/>
        </w:tabs>
        <w:adjustRightInd w:val="0"/>
        <w:spacing w:beforeLines="0" w:afterLines="0" w:line="312" w:lineRule="auto"/>
        <w:ind w:left="0" w:firstLine="480" w:firstLineChars="200"/>
        <w:rPr>
          <w:rFonts w:hint="eastAsia" w:ascii="宋体" w:hAnsi="宋体" w:eastAsia="宋体" w:cs="宋体"/>
          <w:color w:val="auto"/>
          <w:lang w:val="zh-CN" w:bidi="ar"/>
        </w:rPr>
      </w:pPr>
      <w:r>
        <w:rPr>
          <w:rFonts w:hint="eastAsia" w:ascii="宋体" w:hAnsi="宋体" w:eastAsia="宋体" w:cs="宋体"/>
          <w:color w:val="auto"/>
          <w:lang w:val="zh-CN" w:bidi="ar"/>
        </w:rPr>
        <w:t>投标方案不明确，存在一个或一个以上备选（替代）投标方案的；</w:t>
      </w:r>
    </w:p>
    <w:p w14:paraId="15B9497F">
      <w:pPr>
        <w:pStyle w:val="36"/>
        <w:numPr>
          <w:ilvl w:val="1"/>
          <w:numId w:val="12"/>
        </w:numPr>
        <w:tabs>
          <w:tab w:val="left" w:pos="171"/>
        </w:tabs>
        <w:adjustRightInd w:val="0"/>
        <w:spacing w:beforeLines="0" w:afterLines="0" w:line="312" w:lineRule="auto"/>
        <w:ind w:left="0" w:firstLine="480" w:firstLineChars="200"/>
        <w:rPr>
          <w:rFonts w:hint="eastAsia" w:ascii="宋体" w:hAnsi="宋体" w:eastAsia="宋体" w:cs="宋体"/>
          <w:color w:val="auto"/>
          <w:lang w:val="zh-CN" w:bidi="ar"/>
        </w:rPr>
      </w:pPr>
      <w:r>
        <w:rPr>
          <w:rFonts w:hint="eastAsia" w:ascii="宋体" w:hAnsi="宋体" w:eastAsia="宋体" w:cs="宋体"/>
          <w:color w:val="auto"/>
          <w:lang w:val="zh-CN" w:bidi="ar"/>
        </w:rPr>
        <w:t>资信技术文件中包含本次报价的；</w:t>
      </w:r>
    </w:p>
    <w:p w14:paraId="03CE2C7D">
      <w:pPr>
        <w:pStyle w:val="36"/>
        <w:numPr>
          <w:ilvl w:val="1"/>
          <w:numId w:val="12"/>
        </w:numPr>
        <w:tabs>
          <w:tab w:val="left" w:pos="171"/>
        </w:tabs>
        <w:adjustRightInd w:val="0"/>
        <w:spacing w:beforeLines="0" w:afterLines="0" w:line="312" w:lineRule="auto"/>
        <w:ind w:left="0" w:firstLine="480" w:firstLineChars="200"/>
        <w:rPr>
          <w:rFonts w:hint="eastAsia" w:ascii="宋体" w:hAnsi="宋体" w:eastAsia="宋体" w:cs="宋体"/>
          <w:color w:val="auto"/>
          <w:lang w:val="zh-CN" w:bidi="ar"/>
        </w:rPr>
      </w:pPr>
      <w:r>
        <w:rPr>
          <w:rFonts w:hint="eastAsia" w:ascii="宋体" w:hAnsi="宋体" w:eastAsia="宋体" w:cs="宋体"/>
          <w:color w:val="auto"/>
          <w:lang w:val="zh-CN" w:bidi="ar"/>
        </w:rPr>
        <w:t>未按照招标文件标明的币种报价的；</w:t>
      </w:r>
    </w:p>
    <w:p w14:paraId="72CAF5BD">
      <w:pPr>
        <w:pStyle w:val="36"/>
        <w:numPr>
          <w:ilvl w:val="1"/>
          <w:numId w:val="12"/>
        </w:numPr>
        <w:tabs>
          <w:tab w:val="left" w:pos="171"/>
        </w:tabs>
        <w:adjustRightInd w:val="0"/>
        <w:spacing w:beforeLines="0" w:afterLines="0" w:line="312" w:lineRule="auto"/>
        <w:ind w:left="0" w:firstLine="480" w:firstLineChars="200"/>
        <w:rPr>
          <w:rFonts w:hint="eastAsia" w:ascii="宋体" w:hAnsi="宋体" w:eastAsia="宋体" w:cs="宋体"/>
          <w:color w:val="auto"/>
          <w:lang w:val="zh-CN" w:bidi="ar"/>
        </w:rPr>
      </w:pPr>
      <w:r>
        <w:rPr>
          <w:rFonts w:hint="eastAsia" w:ascii="宋体" w:hAnsi="宋体" w:eastAsia="宋体" w:cs="宋体"/>
          <w:color w:val="auto"/>
          <w:lang w:val="zh-CN" w:bidi="ar"/>
        </w:rPr>
        <w:t>投标报价具有选择性，或者开标价格与投标文件承诺的优惠（折扣）价格不一致的；</w:t>
      </w:r>
    </w:p>
    <w:p w14:paraId="3EAD488F">
      <w:pPr>
        <w:pStyle w:val="36"/>
        <w:numPr>
          <w:ilvl w:val="1"/>
          <w:numId w:val="12"/>
        </w:numPr>
        <w:tabs>
          <w:tab w:val="left" w:pos="171"/>
        </w:tabs>
        <w:adjustRightInd w:val="0"/>
        <w:spacing w:beforeLines="0" w:afterLines="0" w:line="312" w:lineRule="auto"/>
        <w:ind w:left="0" w:firstLine="480" w:firstLineChars="200"/>
        <w:rPr>
          <w:rFonts w:hint="eastAsia" w:ascii="宋体" w:hAnsi="宋体" w:eastAsia="宋体" w:cs="宋体"/>
          <w:color w:val="auto"/>
          <w:lang w:val="zh-CN" w:bidi="ar"/>
        </w:rPr>
      </w:pPr>
      <w:r>
        <w:rPr>
          <w:rFonts w:hint="eastAsia" w:ascii="宋体" w:hAnsi="宋体" w:eastAsia="宋体" w:cs="宋体"/>
          <w:color w:val="auto"/>
          <w:lang w:val="zh-CN" w:bidi="ar"/>
        </w:rPr>
        <w:t>投标报价明细表总额与开标一览表总价不一致，且高于总价5％的；</w:t>
      </w:r>
    </w:p>
    <w:p w14:paraId="7FDD6059">
      <w:pPr>
        <w:pStyle w:val="36"/>
        <w:numPr>
          <w:ilvl w:val="1"/>
          <w:numId w:val="12"/>
        </w:numPr>
        <w:tabs>
          <w:tab w:val="left" w:pos="171"/>
        </w:tabs>
        <w:adjustRightInd w:val="0"/>
        <w:spacing w:beforeLines="0" w:afterLines="0" w:line="312" w:lineRule="auto"/>
        <w:ind w:left="0" w:firstLine="480" w:firstLineChars="200"/>
        <w:rPr>
          <w:rFonts w:hint="eastAsia" w:ascii="宋体" w:hAnsi="宋体" w:eastAsia="宋体" w:cs="宋体"/>
          <w:color w:val="auto"/>
          <w:lang w:val="zh-CN" w:bidi="ar"/>
        </w:rPr>
      </w:pPr>
      <w:r>
        <w:rPr>
          <w:rFonts w:hint="eastAsia" w:ascii="宋体" w:hAnsi="宋体" w:eastAsia="宋体" w:cs="宋体"/>
          <w:color w:val="auto"/>
          <w:lang w:val="zh-CN" w:bidi="ar"/>
        </w:rPr>
        <w:t>投标人的报价明显高于其市场价或低于成本价的，该投标人不能合理说明原因并提供证明材料的；</w:t>
      </w:r>
    </w:p>
    <w:p w14:paraId="20A57E46">
      <w:pPr>
        <w:pStyle w:val="36"/>
        <w:numPr>
          <w:ilvl w:val="1"/>
          <w:numId w:val="12"/>
        </w:numPr>
        <w:tabs>
          <w:tab w:val="left" w:pos="171"/>
        </w:tabs>
        <w:adjustRightInd w:val="0"/>
        <w:spacing w:beforeLines="0" w:afterLines="0" w:line="312" w:lineRule="auto"/>
        <w:ind w:left="0" w:firstLine="480" w:firstLineChars="200"/>
        <w:rPr>
          <w:rFonts w:hint="eastAsia" w:ascii="宋体" w:hAnsi="宋体" w:eastAsia="宋体" w:cs="宋体"/>
          <w:color w:val="auto"/>
          <w:lang w:val="zh-CN" w:bidi="ar"/>
        </w:rPr>
      </w:pPr>
      <w:r>
        <w:rPr>
          <w:rFonts w:hint="eastAsia" w:ascii="宋体" w:hAnsi="宋体" w:eastAsia="宋体" w:cs="宋体"/>
          <w:color w:val="auto"/>
          <w:lang w:val="zh-CN" w:bidi="ar"/>
        </w:rPr>
        <w:t>投标报价漏项超过投标报价5%以上的或漏项超过2项及以上的，均属无效投标；</w:t>
      </w:r>
    </w:p>
    <w:p w14:paraId="66D0F31B">
      <w:pPr>
        <w:pStyle w:val="36"/>
        <w:numPr>
          <w:ilvl w:val="1"/>
          <w:numId w:val="12"/>
        </w:numPr>
        <w:tabs>
          <w:tab w:val="left" w:pos="171"/>
        </w:tabs>
        <w:adjustRightInd w:val="0"/>
        <w:spacing w:beforeLines="0" w:afterLines="0" w:line="312" w:lineRule="auto"/>
        <w:ind w:left="0" w:firstLine="480" w:firstLineChars="200"/>
        <w:rPr>
          <w:rFonts w:hint="eastAsia" w:ascii="宋体" w:hAnsi="宋体" w:eastAsia="宋体" w:cs="宋体"/>
          <w:color w:val="auto"/>
          <w:lang w:val="zh-CN" w:bidi="ar"/>
        </w:rPr>
      </w:pPr>
      <w:r>
        <w:rPr>
          <w:rFonts w:hint="eastAsia" w:ascii="宋体" w:hAnsi="宋体" w:eastAsia="宋体" w:cs="宋体"/>
          <w:color w:val="auto"/>
          <w:lang w:val="zh-CN" w:bidi="ar"/>
        </w:rPr>
        <w:t>报价超出采购预算价（最高限价）的；</w:t>
      </w:r>
    </w:p>
    <w:p w14:paraId="7EE758A3">
      <w:pPr>
        <w:pStyle w:val="36"/>
        <w:numPr>
          <w:ilvl w:val="1"/>
          <w:numId w:val="12"/>
        </w:numPr>
        <w:shd w:val="clear"/>
        <w:tabs>
          <w:tab w:val="left" w:pos="171"/>
        </w:tabs>
        <w:adjustRightInd w:val="0"/>
        <w:spacing w:line="312" w:lineRule="auto"/>
        <w:ind w:firstLine="480"/>
        <w:rPr>
          <w:rFonts w:hint="eastAsia" w:ascii="宋体" w:hAnsi="宋体" w:eastAsia="宋体" w:cs="宋体"/>
          <w:color w:val="auto"/>
          <w:highlight w:val="none"/>
          <w:lang w:val="en-US" w:eastAsia="zh-CN" w:bidi="ar"/>
        </w:rPr>
      </w:pPr>
      <w:r>
        <w:rPr>
          <w:rFonts w:hint="eastAsia" w:ascii="宋体" w:hAnsi="宋体" w:eastAsia="宋体" w:cs="宋体"/>
          <w:color w:val="auto"/>
          <w:lang w:val="zh-CN" w:bidi="ar"/>
        </w:rPr>
        <w:t>提供虚假材料谋取中标的；</w:t>
      </w:r>
    </w:p>
    <w:p w14:paraId="1BA22552">
      <w:pPr>
        <w:pStyle w:val="36"/>
        <w:numPr>
          <w:ilvl w:val="1"/>
          <w:numId w:val="12"/>
        </w:numPr>
        <w:shd w:val="clear"/>
        <w:tabs>
          <w:tab w:val="left" w:pos="171"/>
        </w:tabs>
        <w:adjustRightInd w:val="0"/>
        <w:spacing w:line="312" w:lineRule="auto"/>
        <w:ind w:firstLine="480"/>
        <w:rPr>
          <w:rFonts w:hint="eastAsia" w:ascii="宋体" w:hAnsi="宋体" w:eastAsia="宋体" w:cs="宋体"/>
          <w:color w:val="auto"/>
          <w:highlight w:val="none"/>
          <w:lang w:val="en-US" w:eastAsia="zh-CN" w:bidi="ar"/>
        </w:rPr>
      </w:pPr>
      <w:r>
        <w:rPr>
          <w:rFonts w:hint="eastAsia" w:ascii="宋体" w:hAnsi="宋体" w:eastAsia="宋体" w:cs="宋体"/>
          <w:color w:val="auto"/>
          <w:highlight w:val="none"/>
          <w:lang w:val="en-US" w:eastAsia="zh-CN" w:bidi="ar"/>
        </w:rPr>
        <w:t>为防止</w:t>
      </w:r>
      <w:r>
        <w:rPr>
          <w:rFonts w:hint="eastAsia" w:ascii="宋体" w:hAnsi="宋体" w:cs="宋体"/>
          <w:color w:val="auto"/>
          <w:highlight w:val="none"/>
          <w:lang w:val="en-US" w:eastAsia="zh-CN" w:bidi="ar"/>
        </w:rPr>
        <w:t>投标人</w:t>
      </w:r>
      <w:r>
        <w:rPr>
          <w:rFonts w:hint="eastAsia" w:ascii="宋体" w:hAnsi="宋体" w:eastAsia="宋体" w:cs="宋体"/>
          <w:color w:val="auto"/>
          <w:highlight w:val="none"/>
          <w:lang w:val="en-US" w:eastAsia="zh-CN" w:bidi="ar"/>
        </w:rPr>
        <w:t>串通投标，参与同一标项的</w:t>
      </w:r>
      <w:r>
        <w:rPr>
          <w:rFonts w:hint="eastAsia" w:ascii="宋体" w:hAnsi="宋体" w:cs="宋体"/>
          <w:color w:val="auto"/>
          <w:highlight w:val="none"/>
          <w:lang w:val="en-US" w:eastAsia="zh-CN" w:bidi="ar"/>
        </w:rPr>
        <w:t>投标人</w:t>
      </w:r>
      <w:r>
        <w:rPr>
          <w:rFonts w:hint="eastAsia" w:ascii="宋体" w:hAnsi="宋体" w:eastAsia="宋体" w:cs="宋体"/>
          <w:color w:val="auto"/>
          <w:highlight w:val="none"/>
          <w:lang w:val="en-US" w:eastAsia="zh-CN" w:bidi="ar"/>
        </w:rPr>
        <w:t>存在以下情形的，投标无效：MAC地址相同；IP地址相同；计算机硬盘序列号相同；投标文件细节错误一致且无合理解释的；</w:t>
      </w:r>
    </w:p>
    <w:p w14:paraId="70EC044C">
      <w:pPr>
        <w:pStyle w:val="36"/>
        <w:numPr>
          <w:ilvl w:val="1"/>
          <w:numId w:val="12"/>
        </w:numPr>
        <w:tabs>
          <w:tab w:val="left" w:pos="171"/>
        </w:tabs>
        <w:adjustRightInd w:val="0"/>
        <w:spacing w:beforeLines="0" w:afterLines="0" w:line="312" w:lineRule="auto"/>
        <w:ind w:left="0" w:firstLine="480" w:firstLineChars="200"/>
        <w:rPr>
          <w:rFonts w:hint="eastAsia" w:ascii="宋体" w:hAnsi="宋体" w:eastAsia="宋体" w:cs="宋体"/>
          <w:color w:val="auto"/>
          <w:lang w:val="zh-CN" w:bidi="ar"/>
        </w:rPr>
      </w:pPr>
      <w:r>
        <w:rPr>
          <w:rFonts w:hint="eastAsia" w:ascii="宋体" w:hAnsi="宋体" w:eastAsia="宋体" w:cs="宋体"/>
          <w:color w:val="auto"/>
          <w:lang w:val="zh-CN" w:bidi="ar"/>
        </w:rPr>
        <w:t>不符合法律、法规和招标文件规定的其他实质性要求的。</w:t>
      </w:r>
    </w:p>
    <w:p w14:paraId="3F0640C2">
      <w:pPr>
        <w:pStyle w:val="10"/>
        <w:numPr>
          <w:ilvl w:val="1"/>
          <w:numId w:val="0"/>
        </w:numPr>
        <w:spacing w:beforeLines="0" w:afterLines="0" w:line="312" w:lineRule="auto"/>
        <w:rPr>
          <w:rFonts w:ascii="宋体" w:hAnsi="宋体" w:cs="宋体"/>
          <w:b/>
          <w:bCs w:val="0"/>
          <w:color w:val="auto"/>
          <w:highlight w:val="none"/>
          <w:lang w:bidi="ar"/>
        </w:rPr>
      </w:pPr>
      <w:bookmarkStart w:id="366" w:name="_Toc15567"/>
      <w:bookmarkStart w:id="367" w:name="_Toc32033"/>
      <w:bookmarkStart w:id="368" w:name="_Toc8176"/>
      <w:r>
        <w:rPr>
          <w:rFonts w:hint="eastAsia" w:ascii="宋体" w:hAnsi="宋体" w:cs="宋体"/>
          <w:b/>
          <w:bCs w:val="0"/>
          <w:color w:val="auto"/>
          <w:highlight w:val="none"/>
          <w:lang w:bidi="ar"/>
        </w:rPr>
        <w:t>七、废标的情形</w:t>
      </w:r>
      <w:bookmarkEnd w:id="366"/>
      <w:bookmarkEnd w:id="367"/>
      <w:bookmarkEnd w:id="368"/>
    </w:p>
    <w:p w14:paraId="49310E59">
      <w:pPr>
        <w:pStyle w:val="36"/>
        <w:numPr>
          <w:ilvl w:val="0"/>
          <w:numId w:val="7"/>
        </w:numPr>
        <w:adjustRightInd w:val="0"/>
        <w:spacing w:line="312" w:lineRule="auto"/>
        <w:ind w:left="0" w:firstLine="480"/>
        <w:jc w:val="both"/>
        <w:rPr>
          <w:rFonts w:hint="eastAsia" w:ascii="宋体" w:hAnsi="宋体" w:eastAsia="宋体" w:cs="宋体"/>
          <w:color w:val="auto"/>
          <w:highlight w:val="none"/>
          <w:lang w:bidi="ar"/>
        </w:rPr>
      </w:pPr>
      <w:r>
        <w:rPr>
          <w:rFonts w:hint="eastAsia" w:ascii="宋体" w:hAnsi="宋体" w:eastAsia="宋体" w:cs="宋体"/>
          <w:color w:val="auto"/>
          <w:highlight w:val="none"/>
          <w:lang w:bidi="ar"/>
        </w:rPr>
        <w:t>采购中，出现下列情形之一的，应予废标，废标后，采购人将废标理由通知所有投标人：</w:t>
      </w:r>
    </w:p>
    <w:p w14:paraId="461D3E31">
      <w:pPr>
        <w:pStyle w:val="36"/>
        <w:numPr>
          <w:ilvl w:val="1"/>
          <w:numId w:val="13"/>
        </w:numPr>
        <w:tabs>
          <w:tab w:val="left" w:pos="171"/>
        </w:tabs>
        <w:adjustRightInd/>
        <w:spacing w:line="312" w:lineRule="auto"/>
        <w:ind w:left="0" w:firstLine="48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投标截止时间止提交投标文件的投标人不足3家或者对招标文件作实质性响应的投标人不足3家的；</w:t>
      </w:r>
    </w:p>
    <w:p w14:paraId="6D5D61A4">
      <w:pPr>
        <w:pStyle w:val="36"/>
        <w:numPr>
          <w:ilvl w:val="1"/>
          <w:numId w:val="13"/>
        </w:numPr>
        <w:tabs>
          <w:tab w:val="left" w:pos="171"/>
        </w:tabs>
        <w:adjustRightInd/>
        <w:spacing w:line="312" w:lineRule="auto"/>
        <w:ind w:left="0" w:firstLine="48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出现影响采购公正的违法、违规行为的；</w:t>
      </w:r>
    </w:p>
    <w:p w14:paraId="0D3C51EF">
      <w:pPr>
        <w:pStyle w:val="36"/>
        <w:numPr>
          <w:ilvl w:val="1"/>
          <w:numId w:val="13"/>
        </w:numPr>
        <w:tabs>
          <w:tab w:val="left" w:pos="171"/>
        </w:tabs>
        <w:adjustRightInd/>
        <w:spacing w:line="312" w:lineRule="auto"/>
        <w:ind w:left="0" w:firstLine="48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投标人的报价均超过了采购预算，采购人不能支付的；</w:t>
      </w:r>
    </w:p>
    <w:p w14:paraId="29AA7327">
      <w:pPr>
        <w:pStyle w:val="36"/>
        <w:numPr>
          <w:ilvl w:val="1"/>
          <w:numId w:val="13"/>
        </w:numPr>
        <w:tabs>
          <w:tab w:val="left" w:pos="171"/>
        </w:tabs>
        <w:adjustRightInd/>
        <w:spacing w:line="312" w:lineRule="auto"/>
        <w:ind w:left="0" w:firstLine="48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因重大变故，采购任务取消的。</w:t>
      </w:r>
    </w:p>
    <w:p w14:paraId="3BA5A178">
      <w:pPr>
        <w:pStyle w:val="10"/>
        <w:numPr>
          <w:ilvl w:val="1"/>
          <w:numId w:val="0"/>
        </w:numPr>
        <w:spacing w:beforeLines="0" w:afterLines="0" w:line="312" w:lineRule="auto"/>
        <w:rPr>
          <w:rFonts w:ascii="宋体" w:hAnsi="宋体" w:cs="宋体"/>
          <w:b/>
          <w:bCs w:val="0"/>
          <w:color w:val="auto"/>
          <w:highlight w:val="none"/>
          <w:lang w:bidi="ar"/>
        </w:rPr>
      </w:pPr>
      <w:bookmarkStart w:id="369" w:name="_Toc18756"/>
      <w:bookmarkStart w:id="370" w:name="_Toc5430"/>
      <w:bookmarkStart w:id="371" w:name="_Toc15562"/>
      <w:r>
        <w:rPr>
          <w:rFonts w:hint="eastAsia" w:ascii="宋体" w:hAnsi="宋体" w:cs="宋体"/>
          <w:b/>
          <w:bCs w:val="0"/>
          <w:color w:val="auto"/>
          <w:highlight w:val="none"/>
          <w:lang w:bidi="ar"/>
        </w:rPr>
        <w:t>八、开标、评标和定标</w:t>
      </w:r>
      <w:bookmarkEnd w:id="369"/>
      <w:bookmarkEnd w:id="370"/>
      <w:bookmarkEnd w:id="371"/>
    </w:p>
    <w:p w14:paraId="4DAB13A5">
      <w:pPr>
        <w:pStyle w:val="36"/>
        <w:numPr>
          <w:ilvl w:val="0"/>
          <w:numId w:val="7"/>
        </w:numPr>
        <w:adjustRightInd w:val="0"/>
        <w:spacing w:line="312" w:lineRule="auto"/>
        <w:ind w:firstLine="480" w:firstLineChars="0"/>
        <w:jc w:val="both"/>
        <w:rPr>
          <w:rFonts w:hint="eastAsia" w:ascii="宋体" w:hAnsi="宋体" w:eastAsia="宋体" w:cs="宋体"/>
          <w:color w:val="auto"/>
          <w:highlight w:val="none"/>
          <w:lang w:bidi="ar"/>
        </w:rPr>
      </w:pPr>
      <w:r>
        <w:rPr>
          <w:rFonts w:hint="eastAsia" w:ascii="宋体" w:hAnsi="宋体" w:eastAsia="宋体" w:cs="宋体"/>
          <w:color w:val="auto"/>
          <w:highlight w:val="none"/>
          <w:lang w:bidi="ar"/>
        </w:rPr>
        <w:t>开标时间、地点、参加开标会议的要求</w:t>
      </w:r>
    </w:p>
    <w:p w14:paraId="2D6BE369">
      <w:pPr>
        <w:pStyle w:val="36"/>
        <w:numPr>
          <w:ilvl w:val="1"/>
          <w:numId w:val="14"/>
        </w:numPr>
        <w:tabs>
          <w:tab w:val="left" w:pos="171"/>
        </w:tabs>
        <w:adjustRightInd/>
        <w:spacing w:line="312" w:lineRule="auto"/>
        <w:ind w:firstLine="48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开标时间：同投标截止时间。</w:t>
      </w:r>
    </w:p>
    <w:p w14:paraId="36218035">
      <w:pPr>
        <w:pStyle w:val="36"/>
        <w:numPr>
          <w:ilvl w:val="1"/>
          <w:numId w:val="14"/>
        </w:numPr>
        <w:tabs>
          <w:tab w:val="left" w:pos="171"/>
        </w:tabs>
        <w:adjustRightInd/>
        <w:spacing w:line="312" w:lineRule="auto"/>
        <w:ind w:firstLine="48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开标大厅：（https://qzygjy.com/BidOpening/bidopeninghallaction/hall/login）</w:t>
      </w:r>
    </w:p>
    <w:p w14:paraId="76AF5B3E">
      <w:pPr>
        <w:pStyle w:val="36"/>
        <w:numPr>
          <w:ilvl w:val="1"/>
          <w:numId w:val="14"/>
        </w:numPr>
        <w:tabs>
          <w:tab w:val="left" w:pos="171"/>
        </w:tabs>
        <w:adjustRightInd/>
        <w:spacing w:line="312" w:lineRule="auto"/>
        <w:ind w:firstLine="48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参加开标会议的要求</w:t>
      </w:r>
    </w:p>
    <w:p w14:paraId="67304BD8">
      <w:pPr>
        <w:pStyle w:val="36"/>
        <w:numPr>
          <w:ilvl w:val="-1"/>
          <w:numId w:val="0"/>
        </w:numPr>
        <w:tabs>
          <w:tab w:val="left" w:pos="0"/>
          <w:tab w:val="left" w:pos="171"/>
        </w:tabs>
        <w:adjustRightInd/>
        <w:spacing w:line="312" w:lineRule="auto"/>
        <w:ind w:leftChars="200" w:firstLine="0" w:firstLineChars="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开标过程中，投标人参与远程音视频交互的</w:t>
      </w:r>
      <w:r>
        <w:rPr>
          <w:rFonts w:hint="eastAsia" w:ascii="宋体" w:hAnsi="宋体" w:cs="宋体"/>
          <w:color w:val="auto"/>
          <w:highlight w:val="none"/>
          <w:lang w:eastAsia="zh-CN" w:bidi="ar"/>
        </w:rPr>
        <w:t>法定代表人（或负责人）</w:t>
      </w:r>
      <w:r>
        <w:rPr>
          <w:rFonts w:hint="eastAsia" w:ascii="宋体" w:hAnsi="宋体" w:eastAsia="宋体" w:cs="宋体"/>
          <w:color w:val="auto"/>
          <w:highlight w:val="none"/>
          <w:lang w:bidi="ar"/>
        </w:rPr>
        <w:t>或授权委托人应始终为同一人，中途不得更换，并能及时响应开标要求。投标人终端操作人员均被视为投标人法人代表或授权委托人，投标人自行承担随意更换人员所导致的一切后果。</w:t>
      </w:r>
    </w:p>
    <w:p w14:paraId="7D015332">
      <w:pPr>
        <w:pStyle w:val="36"/>
        <w:numPr>
          <w:ilvl w:val="0"/>
          <w:numId w:val="7"/>
        </w:numPr>
        <w:adjustRightInd w:val="0"/>
        <w:spacing w:line="312" w:lineRule="auto"/>
        <w:ind w:firstLine="480" w:firstLineChars="0"/>
        <w:jc w:val="both"/>
        <w:rPr>
          <w:rFonts w:hint="eastAsia" w:ascii="宋体" w:hAnsi="宋体" w:eastAsia="宋体" w:cs="宋体"/>
          <w:color w:val="auto"/>
          <w:highlight w:val="none"/>
          <w:lang w:bidi="ar"/>
        </w:rPr>
      </w:pPr>
      <w:r>
        <w:rPr>
          <w:rFonts w:hint="eastAsia" w:ascii="宋体" w:hAnsi="宋体" w:eastAsia="宋体" w:cs="宋体"/>
          <w:color w:val="auto"/>
          <w:highlight w:val="none"/>
          <w:lang w:bidi="ar"/>
        </w:rPr>
        <w:t>开标程序</w:t>
      </w:r>
    </w:p>
    <w:p w14:paraId="4D0FC316">
      <w:pPr>
        <w:pStyle w:val="36"/>
        <w:numPr>
          <w:ilvl w:val="255"/>
          <w:numId w:val="0"/>
        </w:numPr>
        <w:tabs>
          <w:tab w:val="left" w:pos="171"/>
        </w:tabs>
        <w:spacing w:line="312" w:lineRule="auto"/>
        <w:ind w:firstLine="480" w:firstLineChars="200"/>
        <w:rPr>
          <w:rFonts w:ascii="宋体" w:hAnsi="宋体" w:cs="宋体"/>
          <w:color w:val="auto"/>
          <w:highlight w:val="none"/>
          <w:lang w:bidi="ar"/>
        </w:rPr>
      </w:pPr>
      <w:r>
        <w:rPr>
          <w:rFonts w:hint="eastAsia" w:ascii="宋体" w:hAnsi="宋体" w:cs="宋体"/>
          <w:color w:val="auto"/>
          <w:highlight w:val="none"/>
          <w:lang w:bidi="ar"/>
        </w:rPr>
        <w:t>投标人须准备好加密投标文件的CA数字证书以供开标时远程解密投标文件。</w:t>
      </w:r>
    </w:p>
    <w:p w14:paraId="1AD59A5E">
      <w:pPr>
        <w:pStyle w:val="140"/>
        <w:tabs>
          <w:tab w:val="right" w:leader="dot" w:pos="8295"/>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投标截止时间</w:t>
      </w:r>
    </w:p>
    <w:p w14:paraId="25A0234A">
      <w:pPr>
        <w:pStyle w:val="143"/>
        <w:tabs>
          <w:tab w:val="right" w:leader="dot" w:pos="8295"/>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采购人（或公证处工作人员）宣布开始开标，宣布开标项目名称、采购人代表等有关人员姓名，公布在投标截止时间前受理的投标文件的投标人名称。</w:t>
      </w:r>
    </w:p>
    <w:p w14:paraId="07E0FA33">
      <w:pPr>
        <w:pStyle w:val="143"/>
        <w:tabs>
          <w:tab w:val="right" w:leader="dot" w:pos="8295"/>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（二）投标人解密</w:t>
      </w:r>
    </w:p>
    <w:p w14:paraId="194A5881">
      <w:pPr>
        <w:pStyle w:val="143"/>
        <w:widowControl w:val="0"/>
        <w:tabs>
          <w:tab w:val="right" w:leader="dot" w:pos="8295"/>
        </w:tabs>
        <w:snapToGrid w:val="0"/>
        <w:spacing w:line="312"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投标人解密时间：采购人（公证人员）宣布开始解密后30分钟以内。投标人解密方式：投标人自行登录衢州市阳光交易服务平台不见面开标大厅（</w:t>
      </w:r>
      <w:r>
        <w:rPr>
          <w:rFonts w:hint="eastAsia" w:ascii="宋体" w:hAnsi="宋体" w:cs="宋体"/>
          <w:snapToGrid w:val="0"/>
          <w:color w:val="auto"/>
          <w:spacing w:val="-6"/>
          <w:sz w:val="24"/>
          <w:szCs w:val="24"/>
          <w:highlight w:val="none"/>
        </w:rPr>
        <w:t>https://qzygjy.com/BidOpening/bidopeninghallaction/hall/login</w:t>
      </w:r>
      <w:r>
        <w:rPr>
          <w:rFonts w:hint="eastAsia" w:ascii="宋体" w:hAnsi="宋体" w:cs="宋体"/>
          <w:color w:val="auto"/>
          <w:sz w:val="24"/>
          <w:szCs w:val="24"/>
          <w:highlight w:val="none"/>
        </w:rPr>
        <w:t>)——我的项目——选择标段——待招标代理开启解密后进行解密操作。</w:t>
      </w:r>
    </w:p>
    <w:p w14:paraId="38C3DC7C">
      <w:pPr>
        <w:pStyle w:val="143"/>
        <w:tabs>
          <w:tab w:val="right" w:leader="dot" w:pos="8295"/>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（三）投标人使用生成投标文件的CA数字证书解密投标文件。</w:t>
      </w:r>
    </w:p>
    <w:p w14:paraId="2A82AA06">
      <w:pPr>
        <w:pStyle w:val="143"/>
        <w:tabs>
          <w:tab w:val="right" w:leader="dot" w:pos="8295"/>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（四）投标文件解密完成后，开标系统公布投标人名称、投标报价、</w:t>
      </w:r>
      <w:r>
        <w:rPr>
          <w:rFonts w:hint="eastAsia" w:ascii="宋体" w:hAnsi="宋体" w:cs="宋体"/>
          <w:color w:val="auto"/>
          <w:sz w:val="24"/>
          <w:szCs w:val="24"/>
          <w:highlight w:val="none"/>
          <w:lang w:eastAsia="zh-CN"/>
        </w:rPr>
        <w:t>服务期限</w:t>
      </w:r>
      <w:r>
        <w:rPr>
          <w:rFonts w:hint="eastAsia" w:ascii="宋体" w:hAnsi="宋体" w:cs="宋体"/>
          <w:color w:val="auto"/>
          <w:sz w:val="24"/>
          <w:szCs w:val="24"/>
          <w:highlight w:val="none"/>
        </w:rPr>
        <w:t>及其他内容。</w:t>
      </w:r>
    </w:p>
    <w:p w14:paraId="6655BCAC">
      <w:pPr>
        <w:pStyle w:val="143"/>
        <w:tabs>
          <w:tab w:val="right" w:leader="dot" w:pos="8295"/>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（五）投标人确认</w:t>
      </w:r>
    </w:p>
    <w:p w14:paraId="788E8839">
      <w:pPr>
        <w:pStyle w:val="143"/>
        <w:tabs>
          <w:tab w:val="right" w:leader="dot" w:pos="8295"/>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唱标完成后，投标人可通过衢州市阳光交易服务平台不见面开标大厅系统对唱标结果进行确认，未在开标结束前完成在线确认的投标人，衢州市阳光交易服务平台不见面开标大厅系统将视作自动确认。</w:t>
      </w:r>
    </w:p>
    <w:p w14:paraId="39A3EA63">
      <w:pPr>
        <w:pStyle w:val="143"/>
        <w:widowControl w:val="0"/>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人对开标过程有异议的，应通过衢州市阳光交易服务平台不见面开标大厅系统的“开标异议文字提问”按钮进行异议，采购人通过衢州市阳光交易服务平台不见面开标大厅系统文字答复，投标人提出异议的时间截止至开标结果公布后5分钟；</w:t>
      </w:r>
    </w:p>
    <w:p w14:paraId="41B9A1CB">
      <w:pPr>
        <w:pStyle w:val="143"/>
        <w:tabs>
          <w:tab w:val="right" w:leader="dot" w:pos="8295"/>
        </w:tabs>
        <w:snapToGrid w:val="0"/>
        <w:spacing w:line="312"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（六）进入评标环节，首先对解密成功的投标人进行资格审查，然后对通过资格审查的投标人进行资信技术文件评审，最后进行报价评分；</w:t>
      </w:r>
    </w:p>
    <w:p w14:paraId="4CA13389">
      <w:pPr>
        <w:pStyle w:val="143"/>
        <w:tabs>
          <w:tab w:val="right" w:leader="dot" w:pos="8295"/>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（七）评标结束后，采购人宣布中标候选人。采购人宣布开标会议结束。</w:t>
      </w:r>
    </w:p>
    <w:p w14:paraId="4A8EDB84">
      <w:pPr>
        <w:pStyle w:val="36"/>
        <w:numPr>
          <w:ilvl w:val="0"/>
          <w:numId w:val="7"/>
        </w:numPr>
        <w:adjustRightInd w:val="0"/>
        <w:spacing w:line="312" w:lineRule="auto"/>
        <w:ind w:firstLine="480" w:firstLineChars="0"/>
        <w:jc w:val="both"/>
        <w:rPr>
          <w:rFonts w:hint="eastAsia" w:ascii="宋体" w:hAnsi="宋体" w:eastAsia="宋体" w:cs="宋体"/>
          <w:color w:val="auto"/>
          <w:highlight w:val="none"/>
          <w:lang w:bidi="ar"/>
        </w:rPr>
      </w:pPr>
      <w:r>
        <w:rPr>
          <w:rFonts w:hint="eastAsia" w:ascii="宋体" w:hAnsi="宋体" w:eastAsia="宋体" w:cs="宋体"/>
          <w:color w:val="auto"/>
          <w:highlight w:val="none"/>
          <w:lang w:bidi="ar"/>
        </w:rPr>
        <w:t>开标特别说明</w:t>
      </w:r>
    </w:p>
    <w:p w14:paraId="50DE8A74">
      <w:pPr>
        <w:pStyle w:val="14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（一）开标解密使用投标人上传的电子投标文件。 </w:t>
      </w:r>
    </w:p>
    <w:p w14:paraId="64FD0C94">
      <w:pPr>
        <w:pStyle w:val="14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（二）因投标人原因（包括投标人自主选择的CA证书、投标工具等），造成其电子投标文件未解密的，或投标文件解密了，但投标文件无法识别、读取的，视为撤销其投标文件。</w:t>
      </w:r>
    </w:p>
    <w:p w14:paraId="32DEF1EA">
      <w:pPr>
        <w:pStyle w:val="14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（三）部分投标人的电子投标文件无法解密（识别、读取）的，其他投标文件的开标可以继续进行，但最终解密（识别、读取）成功的应不少于3家。</w:t>
      </w:r>
    </w:p>
    <w:p w14:paraId="78650F81">
      <w:pPr>
        <w:pStyle w:val="14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（四）投标人必须使用生成电子投标文件的CA数字证书解密电子投标文件。</w:t>
      </w:r>
    </w:p>
    <w:p w14:paraId="0E23FFD4">
      <w:pPr>
        <w:pStyle w:val="36"/>
        <w:numPr>
          <w:ilvl w:val="0"/>
          <w:numId w:val="7"/>
        </w:numPr>
        <w:adjustRightInd w:val="0"/>
        <w:spacing w:line="312" w:lineRule="auto"/>
        <w:ind w:firstLine="480" w:firstLineChars="0"/>
        <w:jc w:val="both"/>
        <w:rPr>
          <w:rFonts w:hint="eastAsia" w:ascii="宋体" w:hAnsi="宋体" w:eastAsia="宋体" w:cs="宋体"/>
          <w:color w:val="auto"/>
          <w:highlight w:val="none"/>
          <w:lang w:bidi="ar"/>
        </w:rPr>
      </w:pPr>
      <w:r>
        <w:rPr>
          <w:rFonts w:hint="eastAsia" w:ascii="宋体" w:hAnsi="宋体" w:eastAsia="宋体" w:cs="宋体"/>
          <w:color w:val="auto"/>
          <w:highlight w:val="none"/>
          <w:lang w:bidi="ar"/>
        </w:rPr>
        <w:t>评标委员会</w:t>
      </w:r>
    </w:p>
    <w:p w14:paraId="7BBDCB67">
      <w:pPr>
        <w:pStyle w:val="36"/>
        <w:numPr>
          <w:ilvl w:val="1"/>
          <w:numId w:val="15"/>
        </w:numPr>
        <w:tabs>
          <w:tab w:val="left" w:pos="171"/>
        </w:tabs>
        <w:adjustRightInd/>
        <w:spacing w:line="312" w:lineRule="auto"/>
        <w:ind w:firstLine="48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评标由采购人依法组建的评标委员会负责。评标委员会成员人数以及技术、经济等方面专家的确定方式见投标人须知前附表。</w:t>
      </w:r>
    </w:p>
    <w:p w14:paraId="6E2CDE23">
      <w:pPr>
        <w:pStyle w:val="36"/>
        <w:numPr>
          <w:ilvl w:val="1"/>
          <w:numId w:val="15"/>
        </w:numPr>
        <w:tabs>
          <w:tab w:val="left" w:pos="171"/>
        </w:tabs>
        <w:adjustRightInd/>
        <w:spacing w:line="312" w:lineRule="auto"/>
        <w:ind w:firstLine="48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评标委员会依据投标人提交的投标文件进行评审。</w:t>
      </w:r>
    </w:p>
    <w:p w14:paraId="50120E00">
      <w:pPr>
        <w:pStyle w:val="36"/>
        <w:numPr>
          <w:ilvl w:val="0"/>
          <w:numId w:val="7"/>
        </w:numPr>
        <w:adjustRightInd w:val="0"/>
        <w:spacing w:line="312" w:lineRule="auto"/>
        <w:ind w:firstLine="480" w:firstLineChars="0"/>
        <w:jc w:val="both"/>
        <w:rPr>
          <w:rFonts w:hint="eastAsia" w:ascii="宋体" w:hAnsi="宋体" w:eastAsia="宋体" w:cs="宋体"/>
          <w:color w:val="auto"/>
          <w:highlight w:val="none"/>
          <w:lang w:bidi="ar"/>
        </w:rPr>
      </w:pPr>
      <w:r>
        <w:rPr>
          <w:rFonts w:hint="eastAsia" w:ascii="宋体" w:hAnsi="宋体" w:eastAsia="宋体" w:cs="宋体"/>
          <w:color w:val="auto"/>
          <w:highlight w:val="none"/>
          <w:lang w:bidi="ar"/>
        </w:rPr>
        <w:t>评标的保密</w:t>
      </w:r>
    </w:p>
    <w:p w14:paraId="5BCA8DC1">
      <w:pPr>
        <w:pStyle w:val="36"/>
        <w:numPr>
          <w:ilvl w:val="1"/>
          <w:numId w:val="16"/>
        </w:numPr>
        <w:tabs>
          <w:tab w:val="left" w:pos="171"/>
        </w:tabs>
        <w:spacing w:line="312" w:lineRule="auto"/>
        <w:ind w:firstLine="48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评标采用保密的方式进行。</w:t>
      </w:r>
    </w:p>
    <w:p w14:paraId="0B1EEEAD">
      <w:pPr>
        <w:pStyle w:val="36"/>
        <w:numPr>
          <w:ilvl w:val="1"/>
          <w:numId w:val="16"/>
        </w:numPr>
        <w:tabs>
          <w:tab w:val="left" w:pos="171"/>
        </w:tabs>
        <w:spacing w:line="312" w:lineRule="auto"/>
        <w:ind w:firstLine="48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评标委员会成员和参与评标的有关工作人员不得透露对投标文件的评审和比较、中标候选</w:t>
      </w:r>
      <w:r>
        <w:rPr>
          <w:rFonts w:hint="eastAsia" w:ascii="宋体" w:hAnsi="宋体" w:eastAsia="宋体" w:cs="宋体"/>
          <w:color w:val="auto"/>
          <w:highlight w:val="none"/>
          <w:lang w:eastAsia="zh-CN" w:bidi="ar"/>
        </w:rPr>
        <w:t>人</w:t>
      </w:r>
      <w:r>
        <w:rPr>
          <w:rFonts w:hint="eastAsia" w:ascii="宋体" w:hAnsi="宋体" w:eastAsia="宋体" w:cs="宋体"/>
          <w:color w:val="auto"/>
          <w:highlight w:val="none"/>
          <w:lang w:bidi="ar"/>
        </w:rPr>
        <w:t>的推荐情况以及与评标有关的其他情况。</w:t>
      </w:r>
    </w:p>
    <w:p w14:paraId="14F70FA6">
      <w:pPr>
        <w:pStyle w:val="36"/>
        <w:numPr>
          <w:ilvl w:val="1"/>
          <w:numId w:val="16"/>
        </w:numPr>
        <w:tabs>
          <w:tab w:val="left" w:pos="171"/>
        </w:tabs>
        <w:spacing w:line="312" w:lineRule="auto"/>
        <w:ind w:firstLine="48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在投标文件的评审和比较、中标候选</w:t>
      </w:r>
      <w:r>
        <w:rPr>
          <w:rFonts w:hint="eastAsia" w:ascii="宋体" w:hAnsi="宋体" w:eastAsia="宋体" w:cs="宋体"/>
          <w:color w:val="auto"/>
          <w:highlight w:val="none"/>
          <w:lang w:eastAsia="zh-CN" w:bidi="ar"/>
        </w:rPr>
        <w:t>人</w:t>
      </w:r>
      <w:r>
        <w:rPr>
          <w:rFonts w:hint="eastAsia" w:ascii="宋体" w:hAnsi="宋体" w:eastAsia="宋体" w:cs="宋体"/>
          <w:color w:val="auto"/>
          <w:highlight w:val="none"/>
          <w:lang w:bidi="ar"/>
        </w:rPr>
        <w:t>推荐以及授予合同的过程中，投标人向采购人和评标委员会施加影响的任何行为，都将导致其投标被拒绝。</w:t>
      </w:r>
    </w:p>
    <w:p w14:paraId="621277A5">
      <w:pPr>
        <w:pStyle w:val="36"/>
        <w:numPr>
          <w:ilvl w:val="1"/>
          <w:numId w:val="16"/>
        </w:numPr>
        <w:tabs>
          <w:tab w:val="left" w:pos="171"/>
        </w:tabs>
        <w:spacing w:line="312" w:lineRule="auto"/>
        <w:ind w:firstLine="48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评标委员会对未中标人就评标过程以及未能中标原因不作解释。</w:t>
      </w:r>
    </w:p>
    <w:p w14:paraId="527AE5D9">
      <w:pPr>
        <w:pStyle w:val="36"/>
        <w:numPr>
          <w:ilvl w:val="1"/>
          <w:numId w:val="16"/>
        </w:numPr>
        <w:tabs>
          <w:tab w:val="left" w:pos="171"/>
        </w:tabs>
        <w:spacing w:line="312" w:lineRule="auto"/>
        <w:ind w:firstLine="48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采购人不得在中标人确定前，与投标人就投标价格、投标方案等实质性内容进行谈判。</w:t>
      </w:r>
    </w:p>
    <w:p w14:paraId="710BFE01">
      <w:pPr>
        <w:pStyle w:val="36"/>
        <w:numPr>
          <w:ilvl w:val="0"/>
          <w:numId w:val="7"/>
        </w:numPr>
        <w:adjustRightInd w:val="0"/>
        <w:spacing w:line="312" w:lineRule="auto"/>
        <w:ind w:firstLine="480" w:firstLineChars="0"/>
        <w:jc w:val="both"/>
        <w:rPr>
          <w:rFonts w:hint="eastAsia" w:ascii="宋体" w:hAnsi="宋体" w:eastAsia="宋体" w:cs="宋体"/>
          <w:color w:val="auto"/>
          <w:highlight w:val="none"/>
          <w:lang w:bidi="ar"/>
        </w:rPr>
      </w:pPr>
      <w:r>
        <w:rPr>
          <w:rFonts w:hint="eastAsia" w:ascii="宋体" w:hAnsi="宋体" w:eastAsia="宋体" w:cs="宋体"/>
          <w:color w:val="auto"/>
          <w:highlight w:val="none"/>
          <w:lang w:bidi="ar"/>
        </w:rPr>
        <w:t>评标程序</w:t>
      </w:r>
    </w:p>
    <w:p w14:paraId="2BB9BBDF">
      <w:pPr>
        <w:pStyle w:val="36"/>
        <w:numPr>
          <w:ilvl w:val="1"/>
          <w:numId w:val="17"/>
        </w:numPr>
        <w:tabs>
          <w:tab w:val="left" w:pos="171"/>
        </w:tabs>
        <w:spacing w:line="312" w:lineRule="auto"/>
        <w:ind w:firstLine="48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资格审查文件的评审。</w:t>
      </w:r>
    </w:p>
    <w:p w14:paraId="1C2E30ED">
      <w:pPr>
        <w:pStyle w:val="36"/>
        <w:numPr>
          <w:ilvl w:val="1"/>
          <w:numId w:val="17"/>
        </w:numPr>
        <w:tabs>
          <w:tab w:val="left" w:pos="171"/>
        </w:tabs>
        <w:spacing w:line="312" w:lineRule="auto"/>
        <w:ind w:firstLine="48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资信技术文件的评审。</w:t>
      </w:r>
    </w:p>
    <w:p w14:paraId="0943B2A2">
      <w:pPr>
        <w:pStyle w:val="36"/>
        <w:numPr>
          <w:ilvl w:val="0"/>
          <w:numId w:val="7"/>
        </w:numPr>
        <w:adjustRightInd w:val="0"/>
        <w:spacing w:line="312" w:lineRule="auto"/>
        <w:ind w:firstLine="480" w:firstLineChars="0"/>
        <w:jc w:val="both"/>
        <w:rPr>
          <w:rFonts w:hint="eastAsia" w:ascii="宋体" w:hAnsi="宋体" w:eastAsia="宋体" w:cs="宋体"/>
          <w:color w:val="auto"/>
          <w:highlight w:val="none"/>
          <w:lang w:bidi="ar"/>
        </w:rPr>
      </w:pPr>
      <w:r>
        <w:rPr>
          <w:rFonts w:hint="eastAsia" w:ascii="宋体" w:hAnsi="宋体" w:eastAsia="宋体" w:cs="宋体"/>
          <w:color w:val="auto"/>
          <w:highlight w:val="none"/>
          <w:lang w:bidi="ar"/>
        </w:rPr>
        <w:t>评标办法及评分标准（详见第</w:t>
      </w:r>
      <w:r>
        <w:rPr>
          <w:rFonts w:hint="eastAsia" w:ascii="宋体" w:hAnsi="宋体" w:eastAsia="宋体" w:cs="宋体"/>
          <w:color w:val="auto"/>
          <w:highlight w:val="none"/>
          <w:lang w:eastAsia="zh-CN" w:bidi="ar"/>
        </w:rPr>
        <w:t>四</w:t>
      </w:r>
      <w:r>
        <w:rPr>
          <w:rFonts w:hint="eastAsia" w:ascii="宋体" w:hAnsi="宋体" w:eastAsia="宋体" w:cs="宋体"/>
          <w:color w:val="auto"/>
          <w:highlight w:val="none"/>
          <w:lang w:bidi="ar"/>
        </w:rPr>
        <w:t>章）。</w:t>
      </w:r>
    </w:p>
    <w:p w14:paraId="09DB4792">
      <w:pPr>
        <w:pStyle w:val="36"/>
        <w:numPr>
          <w:ilvl w:val="0"/>
          <w:numId w:val="7"/>
        </w:numPr>
        <w:adjustRightInd w:val="0"/>
        <w:spacing w:line="312" w:lineRule="auto"/>
        <w:ind w:firstLine="480" w:firstLineChars="0"/>
        <w:jc w:val="both"/>
        <w:rPr>
          <w:rFonts w:hint="eastAsia" w:ascii="宋体" w:hAnsi="宋体" w:eastAsia="宋体" w:cs="宋体"/>
          <w:color w:val="auto"/>
          <w:highlight w:val="none"/>
          <w:lang w:bidi="ar"/>
        </w:rPr>
      </w:pPr>
      <w:r>
        <w:rPr>
          <w:rFonts w:hint="eastAsia" w:ascii="宋体" w:hAnsi="宋体" w:eastAsia="宋体" w:cs="宋体"/>
          <w:color w:val="auto"/>
          <w:highlight w:val="none"/>
          <w:lang w:bidi="ar"/>
        </w:rPr>
        <w:t>澄清问题的形式</w:t>
      </w:r>
    </w:p>
    <w:p w14:paraId="5D04BDBF">
      <w:pPr>
        <w:adjustRightInd w:val="0"/>
        <w:snapToGrid w:val="0"/>
        <w:spacing w:line="312" w:lineRule="auto"/>
        <w:ind w:firstLine="480"/>
        <w:rPr>
          <w:rFonts w:ascii="宋体" w:hAnsi="宋体" w:cs="宋体"/>
          <w:color w:val="auto"/>
          <w:highlight w:val="none"/>
        </w:rPr>
      </w:pPr>
      <w:r>
        <w:rPr>
          <w:rFonts w:hint="eastAsia" w:ascii="宋体" w:hAnsi="宋体" w:cs="宋体"/>
          <w:color w:val="auto"/>
          <w:highlight w:val="none"/>
        </w:rPr>
        <w:t>对投标文件中含义不明确、同类问题表述不一致或者有明显文字和计算错误的内容，评标委员会可要求投标人在评标委员会要求的时间内作出必要的澄清、说明或者补正。投标人的澄清、说明或者补正应当采用书面形式，由</w:t>
      </w:r>
      <w:r>
        <w:rPr>
          <w:rFonts w:hint="eastAsia" w:ascii="宋体" w:hAnsi="宋体" w:cs="宋体"/>
          <w:color w:val="auto"/>
          <w:highlight w:val="none"/>
          <w:lang w:eastAsia="zh-CN"/>
        </w:rPr>
        <w:t>法定代表人（或负责人）</w:t>
      </w:r>
      <w:r>
        <w:rPr>
          <w:rFonts w:hint="eastAsia" w:ascii="宋体" w:hAnsi="宋体" w:cs="宋体"/>
          <w:color w:val="auto"/>
          <w:highlight w:val="none"/>
        </w:rPr>
        <w:t>或委托代理人签字确认，并不得超出投标文件的范围或者改变投标文件的实质性内容。如投标人未在规定时间内澄清、说明、补正或拒绝澄清、说明、补正的，其投标文件按无效标处理。</w:t>
      </w:r>
    </w:p>
    <w:p w14:paraId="46395A10">
      <w:pPr>
        <w:pStyle w:val="36"/>
        <w:numPr>
          <w:ilvl w:val="0"/>
          <w:numId w:val="7"/>
        </w:numPr>
        <w:adjustRightInd w:val="0"/>
        <w:spacing w:line="312" w:lineRule="auto"/>
        <w:ind w:firstLine="480" w:firstLineChars="0"/>
        <w:jc w:val="both"/>
        <w:rPr>
          <w:rFonts w:hint="eastAsia" w:ascii="宋体" w:hAnsi="宋体" w:eastAsia="宋体" w:cs="宋体"/>
          <w:color w:val="auto"/>
          <w:highlight w:val="none"/>
          <w:lang w:bidi="ar"/>
        </w:rPr>
      </w:pPr>
      <w:r>
        <w:rPr>
          <w:rFonts w:hint="eastAsia" w:ascii="宋体" w:hAnsi="宋体" w:eastAsia="宋体" w:cs="宋体"/>
          <w:color w:val="auto"/>
          <w:highlight w:val="none"/>
          <w:lang w:bidi="ar"/>
        </w:rPr>
        <w:t>投标文件的澄清</w:t>
      </w:r>
    </w:p>
    <w:p w14:paraId="570CB054">
      <w:pPr>
        <w:pStyle w:val="36"/>
        <w:numPr>
          <w:ilvl w:val="1"/>
          <w:numId w:val="18"/>
        </w:numPr>
        <w:tabs>
          <w:tab w:val="left" w:pos="171"/>
        </w:tabs>
        <w:spacing w:line="312" w:lineRule="auto"/>
        <w:ind w:firstLine="48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为有助于投标文件的审查、评价和比较，评标委员会可以通过衢州市公共资源电子交易平台要求投标人对投标文件含义不明确的内容</w:t>
      </w:r>
      <w:r>
        <w:rPr>
          <w:rFonts w:hint="eastAsia" w:ascii="宋体" w:hAnsi="宋体" w:cs="宋体"/>
          <w:color w:val="auto"/>
          <w:highlight w:val="none"/>
          <w:lang w:eastAsia="zh-CN" w:bidi="ar"/>
        </w:rPr>
        <w:t>做</w:t>
      </w:r>
      <w:r>
        <w:rPr>
          <w:rFonts w:hint="eastAsia" w:ascii="宋体" w:hAnsi="宋体" w:eastAsia="宋体" w:cs="宋体"/>
          <w:color w:val="auto"/>
          <w:highlight w:val="none"/>
          <w:lang w:bidi="ar"/>
        </w:rPr>
        <w:t>必要的澄清或者说明。投标人通过该平台作出澄清回复，澄清回复时间不得超过在发出通知后15分钟，投标人逾期或未按要求澄清回复的，将视为不予回复或确认，评标委员会有权否决其投标。投标人通讯不畅通，导致不能及时联系的，视</w:t>
      </w:r>
      <w:r>
        <w:rPr>
          <w:rFonts w:hint="eastAsia" w:ascii="宋体" w:hAnsi="宋体" w:cs="宋体"/>
          <w:color w:val="auto"/>
          <w:highlight w:val="none"/>
          <w:lang w:eastAsia="zh-CN" w:bidi="ar"/>
        </w:rPr>
        <w:t>为</w:t>
      </w:r>
      <w:r>
        <w:rPr>
          <w:rFonts w:hint="eastAsia" w:ascii="宋体" w:hAnsi="宋体" w:eastAsia="宋体" w:cs="宋体"/>
          <w:color w:val="auto"/>
          <w:highlight w:val="none"/>
          <w:lang w:bidi="ar"/>
        </w:rPr>
        <w:t>投标人不予回复或确认。评标委员会对投标人提交的澄清、说明或补正有疑问的，可以要求投标人进一步澄清、说明或补正，直至满足评标委员会的要求。</w:t>
      </w:r>
    </w:p>
    <w:p w14:paraId="6F51011B">
      <w:pPr>
        <w:pStyle w:val="36"/>
        <w:numPr>
          <w:ilvl w:val="1"/>
          <w:numId w:val="18"/>
        </w:numPr>
        <w:tabs>
          <w:tab w:val="left" w:pos="171"/>
        </w:tabs>
        <w:spacing w:line="312" w:lineRule="auto"/>
        <w:ind w:firstLine="48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澄清将作为投标内容的一部分，投标人对投标文件的澄清或说明不得超出投标文件的范围或改变投标文件的实质性的内容。凡属于评标委员会在评标中发现的计算错误并进行核实的修改不在此列。</w:t>
      </w:r>
    </w:p>
    <w:p w14:paraId="079024C0">
      <w:pPr>
        <w:pStyle w:val="36"/>
        <w:numPr>
          <w:ilvl w:val="1"/>
          <w:numId w:val="18"/>
        </w:numPr>
        <w:tabs>
          <w:tab w:val="left" w:pos="171"/>
        </w:tabs>
        <w:spacing w:line="312" w:lineRule="auto"/>
        <w:ind w:firstLine="48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评标委员会对投标文件修正原则：用数字表示的数额与用文字表示的数额不一致时，以文字数额为准；单价与数量的乘积与总价之间不一致时，以单价为准，但单价有明显的小数点错位的，以总价为准，并修改单价。</w:t>
      </w:r>
    </w:p>
    <w:p w14:paraId="2C61705A">
      <w:pPr>
        <w:pStyle w:val="36"/>
        <w:numPr>
          <w:ilvl w:val="1"/>
          <w:numId w:val="18"/>
        </w:numPr>
        <w:tabs>
          <w:tab w:val="left" w:pos="171"/>
        </w:tabs>
        <w:spacing w:line="312" w:lineRule="auto"/>
        <w:ind w:firstLine="48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投标人拒不按照要求对投标文件进行澄清、说明或者补正的，评标委员会可以否决其投标。</w:t>
      </w:r>
    </w:p>
    <w:p w14:paraId="68675C63">
      <w:pPr>
        <w:pStyle w:val="36"/>
        <w:numPr>
          <w:ilvl w:val="0"/>
          <w:numId w:val="7"/>
        </w:numPr>
        <w:adjustRightInd w:val="0"/>
        <w:spacing w:line="312" w:lineRule="auto"/>
        <w:ind w:firstLine="480" w:firstLineChars="0"/>
        <w:jc w:val="both"/>
        <w:rPr>
          <w:rFonts w:hint="eastAsia" w:ascii="宋体" w:hAnsi="宋体" w:eastAsia="宋体" w:cs="宋体"/>
          <w:color w:val="auto"/>
          <w:highlight w:val="none"/>
          <w:lang w:bidi="ar"/>
        </w:rPr>
      </w:pPr>
      <w:r>
        <w:rPr>
          <w:rFonts w:hint="eastAsia" w:ascii="宋体" w:hAnsi="宋体" w:eastAsia="宋体" w:cs="宋体"/>
          <w:color w:val="auto"/>
          <w:highlight w:val="none"/>
          <w:lang w:bidi="ar"/>
        </w:rPr>
        <w:t>确定中标候选人</w:t>
      </w:r>
    </w:p>
    <w:p w14:paraId="5EE1BCA3">
      <w:pPr>
        <w:pStyle w:val="36"/>
        <w:numPr>
          <w:ilvl w:val="1"/>
          <w:numId w:val="19"/>
        </w:numPr>
        <w:tabs>
          <w:tab w:val="left" w:pos="171"/>
        </w:tabs>
        <w:spacing w:line="312" w:lineRule="auto"/>
        <w:ind w:firstLine="48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本次招标由评标委员会推荐中标候选人，采购人根据评标委员会的推荐结果进行最终确认。</w:t>
      </w:r>
    </w:p>
    <w:p w14:paraId="0A097512">
      <w:pPr>
        <w:pStyle w:val="36"/>
        <w:numPr>
          <w:ilvl w:val="1"/>
          <w:numId w:val="19"/>
        </w:numPr>
        <w:tabs>
          <w:tab w:val="left" w:pos="171"/>
        </w:tabs>
        <w:spacing w:line="312" w:lineRule="auto"/>
        <w:ind w:firstLine="48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评标委员会依据</w:t>
      </w:r>
      <w:r>
        <w:rPr>
          <w:rFonts w:hint="eastAsia" w:ascii="宋体" w:hAnsi="宋体" w:cs="宋体"/>
          <w:color w:val="auto"/>
          <w:highlight w:val="none"/>
          <w:lang w:eastAsia="zh-CN" w:bidi="ar"/>
        </w:rPr>
        <w:t>法律法规</w:t>
      </w:r>
      <w:r>
        <w:rPr>
          <w:rFonts w:hint="eastAsia" w:ascii="宋体" w:hAnsi="宋体" w:eastAsia="宋体" w:cs="宋体"/>
          <w:color w:val="auto"/>
          <w:highlight w:val="none"/>
          <w:lang w:bidi="ar"/>
        </w:rPr>
        <w:t>及招标文件有关规定在有效标中按投标人的综合得分（即资信技术分与商务（价格）分之和）高低进行排序，</w:t>
      </w:r>
      <w:r>
        <w:rPr>
          <w:rFonts w:hint="eastAsia" w:ascii="宋体" w:hAnsi="宋体" w:cs="宋体"/>
          <w:color w:val="auto"/>
          <w:highlight w:val="none"/>
          <w:lang w:val="en-US" w:eastAsia="zh-CN" w:bidi="ar"/>
        </w:rPr>
        <w:t>综合</w:t>
      </w:r>
      <w:r>
        <w:rPr>
          <w:rFonts w:hint="eastAsia" w:ascii="宋体" w:hAnsi="宋体" w:eastAsia="宋体" w:cs="宋体"/>
          <w:color w:val="auto"/>
          <w:highlight w:val="none"/>
          <w:lang w:bidi="ar"/>
        </w:rPr>
        <w:t>得分</w:t>
      </w:r>
      <w:r>
        <w:rPr>
          <w:rFonts w:hint="eastAsia" w:ascii="宋体" w:hAnsi="宋体" w:cs="宋体"/>
          <w:color w:val="auto"/>
          <w:highlight w:val="none"/>
          <w:lang w:val="en-US" w:eastAsia="zh-CN" w:bidi="ar"/>
        </w:rPr>
        <w:t>第</w:t>
      </w:r>
      <w:r>
        <w:rPr>
          <w:rFonts w:hint="eastAsia" w:ascii="宋体" w:hAnsi="宋体" w:eastAsia="宋体" w:cs="宋体"/>
          <w:color w:val="auto"/>
          <w:highlight w:val="none"/>
          <w:lang w:bidi="ar"/>
        </w:rPr>
        <w:t>一名的投标人推荐为第一中标候选人（综合得分相同投标总报价低的排序第一；综合得分且投标总报价相同的，</w:t>
      </w:r>
      <w:r>
        <w:rPr>
          <w:rFonts w:hint="eastAsia" w:ascii="宋体" w:hAnsi="宋体" w:cs="宋体"/>
          <w:color w:val="auto"/>
          <w:highlight w:val="none"/>
          <w:lang w:val="en-US" w:eastAsia="zh-CN" w:bidi="ar"/>
        </w:rPr>
        <w:t>通过摇号</w:t>
      </w:r>
      <w:r>
        <w:rPr>
          <w:rFonts w:hint="eastAsia" w:ascii="宋体" w:hAnsi="宋体" w:eastAsia="宋体" w:cs="宋体"/>
          <w:color w:val="auto"/>
          <w:highlight w:val="none"/>
          <w:lang w:bidi="ar"/>
        </w:rPr>
        <w:t>决定中标候选人）。</w:t>
      </w:r>
    </w:p>
    <w:p w14:paraId="53DBD0D0">
      <w:pPr>
        <w:pStyle w:val="36"/>
        <w:numPr>
          <w:ilvl w:val="1"/>
          <w:numId w:val="19"/>
        </w:numPr>
        <w:tabs>
          <w:tab w:val="left" w:pos="171"/>
        </w:tabs>
        <w:spacing w:line="312" w:lineRule="auto"/>
        <w:ind w:firstLine="48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排名第一的中标候选人放弃中标；因不可抗力提出不能履行合同或未能在规定时间内与采购人签订合同的，或者经质疑，采购人审查后，确因排名第一的候选人在本次采购活动中存在违法违规行为或其他原因使质疑成立的，采购人重新招标。</w:t>
      </w:r>
    </w:p>
    <w:p w14:paraId="18FB3DA5">
      <w:pPr>
        <w:pStyle w:val="36"/>
        <w:numPr>
          <w:ilvl w:val="1"/>
          <w:numId w:val="19"/>
        </w:numPr>
        <w:tabs>
          <w:tab w:val="left" w:pos="171"/>
        </w:tabs>
        <w:spacing w:line="312" w:lineRule="auto"/>
        <w:ind w:firstLine="48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采购人对评标结果</w:t>
      </w:r>
      <w:r>
        <w:rPr>
          <w:rFonts w:hint="eastAsia" w:ascii="宋体" w:hAnsi="宋体" w:cs="宋体"/>
          <w:color w:val="auto"/>
          <w:highlight w:val="none"/>
          <w:lang w:eastAsia="zh-CN" w:bidi="ar"/>
        </w:rPr>
        <w:t>不作</w:t>
      </w:r>
      <w:r>
        <w:rPr>
          <w:rFonts w:hint="eastAsia" w:ascii="宋体" w:hAnsi="宋体" w:eastAsia="宋体" w:cs="宋体"/>
          <w:color w:val="auto"/>
          <w:highlight w:val="none"/>
          <w:lang w:bidi="ar"/>
        </w:rPr>
        <w:t>任何解释，也不保证最低价中标。</w:t>
      </w:r>
    </w:p>
    <w:p w14:paraId="4907AC50">
      <w:pPr>
        <w:pStyle w:val="10"/>
        <w:numPr>
          <w:ilvl w:val="1"/>
          <w:numId w:val="0"/>
        </w:numPr>
        <w:spacing w:beforeLines="0" w:afterLines="0" w:line="312" w:lineRule="auto"/>
        <w:jc w:val="center"/>
        <w:rPr>
          <w:rFonts w:ascii="宋体" w:hAnsi="宋体" w:cs="宋体"/>
          <w:b/>
          <w:bCs w:val="0"/>
          <w:color w:val="auto"/>
          <w:highlight w:val="none"/>
          <w:lang w:bidi="ar"/>
        </w:rPr>
      </w:pPr>
      <w:bookmarkStart w:id="372" w:name="_Toc3432"/>
      <w:bookmarkStart w:id="373" w:name="_Toc6317"/>
      <w:bookmarkStart w:id="374" w:name="_Toc13649"/>
      <w:r>
        <w:rPr>
          <w:rFonts w:hint="eastAsia" w:ascii="宋体" w:hAnsi="宋体" w:cs="宋体"/>
          <w:b/>
          <w:bCs w:val="0"/>
          <w:color w:val="auto"/>
          <w:highlight w:val="none"/>
          <w:lang w:bidi="ar"/>
        </w:rPr>
        <w:t>九、电子投标说明</w:t>
      </w:r>
      <w:bookmarkEnd w:id="372"/>
      <w:bookmarkEnd w:id="373"/>
      <w:bookmarkEnd w:id="374"/>
    </w:p>
    <w:p w14:paraId="301DF887">
      <w:pPr>
        <w:pStyle w:val="36"/>
        <w:numPr>
          <w:ilvl w:val="0"/>
          <w:numId w:val="7"/>
        </w:numPr>
        <w:adjustRightInd w:val="0"/>
        <w:spacing w:line="312" w:lineRule="auto"/>
        <w:ind w:firstLine="480" w:firstLineChars="0"/>
        <w:jc w:val="both"/>
        <w:rPr>
          <w:rFonts w:hint="eastAsia" w:ascii="宋体" w:hAnsi="宋体" w:eastAsia="宋体" w:cs="宋体"/>
          <w:color w:val="auto"/>
          <w:highlight w:val="none"/>
          <w:lang w:bidi="ar"/>
        </w:rPr>
      </w:pPr>
      <w:r>
        <w:rPr>
          <w:rFonts w:hint="eastAsia" w:ascii="宋体" w:hAnsi="宋体" w:eastAsia="宋体" w:cs="宋体"/>
          <w:color w:val="auto"/>
          <w:highlight w:val="none"/>
          <w:lang w:bidi="ar"/>
        </w:rPr>
        <w:t>投标人应检查标书完整性和有效性，确保电子投标文件能否正常打开解密。开标时，以电子交易平台上传规定格式的电子投标文件为正本。</w:t>
      </w:r>
    </w:p>
    <w:p w14:paraId="4E6FE4EE">
      <w:pPr>
        <w:pStyle w:val="36"/>
        <w:numPr>
          <w:ilvl w:val="0"/>
          <w:numId w:val="7"/>
        </w:numPr>
        <w:adjustRightInd w:val="0"/>
        <w:spacing w:line="312" w:lineRule="auto"/>
        <w:ind w:firstLine="480" w:firstLineChars="0"/>
        <w:jc w:val="both"/>
        <w:rPr>
          <w:rFonts w:hint="eastAsia" w:ascii="宋体" w:hAnsi="宋体" w:eastAsia="宋体" w:cs="宋体"/>
          <w:color w:val="auto"/>
          <w:highlight w:val="none"/>
          <w:lang w:bidi="ar"/>
        </w:rPr>
      </w:pPr>
      <w:r>
        <w:rPr>
          <w:rFonts w:hint="eastAsia" w:ascii="宋体" w:hAnsi="宋体" w:eastAsia="宋体" w:cs="宋体"/>
          <w:color w:val="auto"/>
          <w:highlight w:val="none"/>
          <w:lang w:bidi="ar"/>
        </w:rPr>
        <w:t>投标文件相应要求盖章处应按要求使用CA加盖单位电子公章和</w:t>
      </w:r>
      <w:r>
        <w:rPr>
          <w:rFonts w:hint="eastAsia" w:ascii="宋体" w:hAnsi="宋体" w:cs="宋体"/>
          <w:color w:val="auto"/>
          <w:highlight w:val="none"/>
          <w:lang w:eastAsia="zh-CN" w:bidi="ar"/>
        </w:rPr>
        <w:t>法定代表人（或负责人）</w:t>
      </w:r>
      <w:r>
        <w:rPr>
          <w:rFonts w:hint="eastAsia" w:ascii="宋体" w:hAnsi="宋体" w:eastAsia="宋体" w:cs="宋体"/>
          <w:color w:val="auto"/>
          <w:highlight w:val="none"/>
          <w:lang w:bidi="ar"/>
        </w:rPr>
        <w:t>电子章。</w:t>
      </w:r>
    </w:p>
    <w:p w14:paraId="6DFC8A4F">
      <w:pPr>
        <w:pStyle w:val="10"/>
        <w:numPr>
          <w:ilvl w:val="1"/>
          <w:numId w:val="0"/>
        </w:numPr>
        <w:spacing w:beforeLines="0" w:afterLines="0" w:line="312" w:lineRule="auto"/>
        <w:rPr>
          <w:rFonts w:ascii="宋体" w:hAnsi="宋体" w:cs="宋体"/>
          <w:b/>
          <w:bCs w:val="0"/>
          <w:color w:val="auto"/>
          <w:highlight w:val="none"/>
          <w:lang w:bidi="ar"/>
        </w:rPr>
      </w:pPr>
      <w:bookmarkStart w:id="375" w:name="_Toc4789"/>
      <w:bookmarkStart w:id="376" w:name="_Toc10918"/>
      <w:bookmarkStart w:id="377" w:name="_Toc25673"/>
      <w:r>
        <w:rPr>
          <w:rFonts w:hint="eastAsia" w:ascii="宋体" w:hAnsi="宋体" w:cs="宋体"/>
          <w:b/>
          <w:bCs w:val="0"/>
          <w:color w:val="auto"/>
          <w:highlight w:val="none"/>
          <w:lang w:bidi="ar"/>
        </w:rPr>
        <w:t>十、纪律和监督</w:t>
      </w:r>
      <w:bookmarkEnd w:id="375"/>
      <w:bookmarkEnd w:id="376"/>
      <w:bookmarkEnd w:id="377"/>
    </w:p>
    <w:p w14:paraId="2D5F1C35">
      <w:pPr>
        <w:pStyle w:val="36"/>
        <w:numPr>
          <w:ilvl w:val="0"/>
          <w:numId w:val="7"/>
        </w:numPr>
        <w:adjustRightInd w:val="0"/>
        <w:spacing w:line="312" w:lineRule="auto"/>
        <w:ind w:firstLine="480" w:firstLineChars="0"/>
        <w:jc w:val="both"/>
        <w:rPr>
          <w:rFonts w:hint="eastAsia" w:ascii="宋体" w:hAnsi="宋体" w:eastAsia="宋体" w:cs="宋体"/>
          <w:color w:val="auto"/>
          <w:highlight w:val="none"/>
          <w:lang w:bidi="ar"/>
        </w:rPr>
      </w:pPr>
      <w:r>
        <w:rPr>
          <w:rFonts w:hint="eastAsia" w:ascii="宋体" w:hAnsi="宋体" w:cs="宋体"/>
          <w:color w:val="auto"/>
          <w:highlight w:val="none"/>
          <w:lang w:bidi="ar"/>
        </w:rPr>
        <w:t>对采购人的纪律要求</w:t>
      </w:r>
    </w:p>
    <w:p w14:paraId="7830CF66">
      <w:pPr>
        <w:wordWrap w:val="0"/>
        <w:snapToGrid w:val="0"/>
        <w:spacing w:line="312" w:lineRule="auto"/>
        <w:ind w:firstLine="480"/>
        <w:rPr>
          <w:rFonts w:ascii="宋体" w:hAnsi="宋体"/>
          <w:color w:val="auto"/>
          <w:highlight w:val="none"/>
        </w:rPr>
      </w:pPr>
      <w:r>
        <w:rPr>
          <w:rFonts w:hint="eastAsia" w:ascii="宋体" w:hAnsi="宋体"/>
          <w:color w:val="auto"/>
          <w:highlight w:val="none"/>
        </w:rPr>
        <w:t>采购人不得</w:t>
      </w:r>
      <w:r>
        <w:rPr>
          <w:rFonts w:hint="eastAsia" w:ascii="宋体" w:hAnsi="宋体"/>
          <w:color w:val="auto"/>
          <w:highlight w:val="none"/>
          <w:lang w:eastAsia="zh-CN"/>
        </w:rPr>
        <w:t>泄露</w:t>
      </w:r>
      <w:r>
        <w:rPr>
          <w:rFonts w:hint="eastAsia" w:ascii="宋体" w:hAnsi="宋体"/>
          <w:color w:val="auto"/>
          <w:highlight w:val="none"/>
        </w:rPr>
        <w:t>招标投标活动中应当保密的情况和资料，不得与投标人串通损害国家利益、社会公共利益或者他人合法权益。</w:t>
      </w:r>
    </w:p>
    <w:p w14:paraId="3A0C45A6">
      <w:pPr>
        <w:pStyle w:val="36"/>
        <w:numPr>
          <w:ilvl w:val="0"/>
          <w:numId w:val="7"/>
        </w:numPr>
        <w:adjustRightInd w:val="0"/>
        <w:spacing w:line="312" w:lineRule="auto"/>
        <w:ind w:firstLine="480" w:firstLineChars="0"/>
        <w:jc w:val="both"/>
        <w:rPr>
          <w:rFonts w:hint="eastAsia" w:ascii="宋体" w:hAnsi="宋体" w:eastAsia="宋体" w:cs="宋体"/>
          <w:color w:val="auto"/>
          <w:highlight w:val="none"/>
          <w:lang w:bidi="ar"/>
        </w:rPr>
      </w:pPr>
      <w:r>
        <w:rPr>
          <w:rFonts w:hint="eastAsia" w:ascii="宋体" w:hAnsi="宋体" w:eastAsia="宋体" w:cs="宋体"/>
          <w:color w:val="auto"/>
          <w:highlight w:val="none"/>
          <w:lang w:bidi="ar"/>
        </w:rPr>
        <w:t>对投标人的纪律要求</w:t>
      </w:r>
    </w:p>
    <w:p w14:paraId="10FE69AD">
      <w:pPr>
        <w:wordWrap w:val="0"/>
        <w:snapToGrid w:val="0"/>
        <w:spacing w:line="312" w:lineRule="auto"/>
        <w:ind w:firstLine="480"/>
        <w:rPr>
          <w:rFonts w:ascii="宋体" w:hAnsi="宋体"/>
          <w:color w:val="auto"/>
          <w:highlight w:val="none"/>
        </w:rPr>
      </w:pPr>
      <w:r>
        <w:rPr>
          <w:rFonts w:hint="eastAsia" w:ascii="宋体" w:hAnsi="宋体"/>
          <w:color w:val="auto"/>
          <w:highlight w:val="none"/>
        </w:rPr>
        <w:t>投标人不得相互串通投标或者与采购人串通投标，不得向采购人或者评标委员会成员行贿谋取中标，不得以他人名义投标或者以其他方式弄虚作假骗取中标；投标人不得以任何方式干扰、影响评标工作。</w:t>
      </w:r>
    </w:p>
    <w:p w14:paraId="053EC2EC">
      <w:pPr>
        <w:pStyle w:val="36"/>
        <w:numPr>
          <w:ilvl w:val="0"/>
          <w:numId w:val="7"/>
        </w:numPr>
        <w:adjustRightInd w:val="0"/>
        <w:spacing w:line="312" w:lineRule="auto"/>
        <w:ind w:firstLine="480" w:firstLineChars="0"/>
        <w:jc w:val="both"/>
        <w:rPr>
          <w:rFonts w:hint="eastAsia" w:ascii="宋体" w:hAnsi="宋体" w:eastAsia="宋体" w:cs="宋体"/>
          <w:color w:val="auto"/>
          <w:highlight w:val="none"/>
          <w:lang w:bidi="ar"/>
        </w:rPr>
      </w:pPr>
      <w:r>
        <w:rPr>
          <w:rFonts w:hint="eastAsia" w:ascii="宋体" w:hAnsi="宋体" w:eastAsia="宋体" w:cs="宋体"/>
          <w:color w:val="auto"/>
          <w:highlight w:val="none"/>
          <w:lang w:bidi="ar"/>
        </w:rPr>
        <w:t>对评标委员会成员的纪律要求</w:t>
      </w:r>
    </w:p>
    <w:p w14:paraId="20B38667">
      <w:pPr>
        <w:pStyle w:val="9"/>
        <w:numPr>
          <w:ilvl w:val="0"/>
          <w:numId w:val="0"/>
        </w:numPr>
        <w:spacing w:beforeLines="0" w:afterLines="0" w:line="312" w:lineRule="auto"/>
        <w:ind w:firstLine="480" w:firstLineChars="200"/>
        <w:jc w:val="left"/>
        <w:rPr>
          <w:rFonts w:ascii="宋体" w:hAnsi="宋体"/>
          <w:b w:val="0"/>
          <w:color w:val="auto"/>
          <w:sz w:val="24"/>
          <w:szCs w:val="24"/>
          <w:highlight w:val="none"/>
        </w:rPr>
      </w:pPr>
      <w:bookmarkStart w:id="378" w:name="_Toc19295"/>
      <w:bookmarkStart w:id="379" w:name="_Toc11141"/>
      <w:bookmarkStart w:id="380" w:name="_Toc5976"/>
      <w:bookmarkStart w:id="381" w:name="_Toc23966"/>
      <w:bookmarkStart w:id="382" w:name="_Toc26989"/>
      <w:r>
        <w:rPr>
          <w:rFonts w:hint="eastAsia" w:ascii="宋体" w:hAnsi="宋体"/>
          <w:b w:val="0"/>
          <w:color w:val="auto"/>
          <w:sz w:val="24"/>
          <w:szCs w:val="24"/>
          <w:highlight w:val="none"/>
        </w:rPr>
        <w:t>评标委员会成员不得收受他人的财物或者其他好处，不得向他人</w:t>
      </w:r>
      <w:r>
        <w:rPr>
          <w:rFonts w:hint="eastAsia" w:ascii="宋体" w:hAnsi="宋体"/>
          <w:b w:val="0"/>
          <w:color w:val="auto"/>
          <w:sz w:val="24"/>
          <w:szCs w:val="24"/>
          <w:highlight w:val="none"/>
          <w:lang w:eastAsia="zh-CN"/>
        </w:rPr>
        <w:t>透露</w:t>
      </w:r>
      <w:r>
        <w:rPr>
          <w:rFonts w:hint="eastAsia" w:ascii="宋体" w:hAnsi="宋体"/>
          <w:b w:val="0"/>
          <w:color w:val="auto"/>
          <w:sz w:val="24"/>
          <w:szCs w:val="24"/>
          <w:highlight w:val="none"/>
        </w:rPr>
        <w:t>对投标文件的评审和比较、中标候选人的推荐情况以及评标有关的其他情况。在评标活动中，评标委员会成员不得擅离职守，影响评标程序正常进行，不得使用第四章 评标办法及评分标准没有规定的评审因素和标准进行评标。</w:t>
      </w:r>
      <w:bookmarkEnd w:id="378"/>
      <w:bookmarkEnd w:id="379"/>
      <w:bookmarkEnd w:id="380"/>
      <w:bookmarkEnd w:id="381"/>
      <w:bookmarkEnd w:id="382"/>
    </w:p>
    <w:p w14:paraId="4D375CB3">
      <w:pPr>
        <w:pStyle w:val="36"/>
        <w:numPr>
          <w:ilvl w:val="0"/>
          <w:numId w:val="7"/>
        </w:numPr>
        <w:adjustRightInd w:val="0"/>
        <w:spacing w:line="312" w:lineRule="auto"/>
        <w:ind w:firstLine="480" w:firstLineChars="0"/>
        <w:jc w:val="both"/>
        <w:rPr>
          <w:rFonts w:hint="eastAsia" w:ascii="宋体" w:hAnsi="宋体" w:eastAsia="宋体" w:cs="宋体"/>
          <w:color w:val="auto"/>
          <w:highlight w:val="none"/>
          <w:lang w:bidi="ar"/>
        </w:rPr>
      </w:pPr>
      <w:r>
        <w:rPr>
          <w:rFonts w:hint="eastAsia" w:ascii="宋体" w:hAnsi="宋体" w:eastAsia="宋体" w:cs="宋体"/>
          <w:color w:val="auto"/>
          <w:highlight w:val="none"/>
          <w:lang w:bidi="ar"/>
        </w:rPr>
        <w:t>对与评标活动有关的工作人员的纪律要求</w:t>
      </w:r>
    </w:p>
    <w:p w14:paraId="249242B2">
      <w:pPr>
        <w:wordWrap w:val="0"/>
        <w:snapToGrid w:val="0"/>
        <w:spacing w:line="312" w:lineRule="auto"/>
        <w:ind w:firstLine="480"/>
        <w:rPr>
          <w:rFonts w:ascii="宋体" w:hAnsi="宋体"/>
          <w:color w:val="auto"/>
          <w:highlight w:val="none"/>
        </w:rPr>
      </w:pPr>
      <w:r>
        <w:rPr>
          <w:rFonts w:hint="eastAsia" w:ascii="宋体" w:hAnsi="宋体"/>
          <w:color w:val="auto"/>
          <w:highlight w:val="none"/>
        </w:rPr>
        <w:t>与评标活动有关的工作人员不得收受他人的财物或者其他好处，不得向他人</w:t>
      </w:r>
      <w:r>
        <w:rPr>
          <w:rFonts w:hint="eastAsia" w:ascii="宋体" w:hAnsi="宋体"/>
          <w:color w:val="auto"/>
          <w:highlight w:val="none"/>
          <w:lang w:eastAsia="zh-CN"/>
        </w:rPr>
        <w:t>透露</w:t>
      </w:r>
      <w:r>
        <w:rPr>
          <w:rFonts w:hint="eastAsia" w:ascii="宋体" w:hAnsi="宋体"/>
          <w:color w:val="auto"/>
          <w:highlight w:val="none"/>
        </w:rPr>
        <w:t>对投标文件的评审和比较、中标候选人的推荐情况以及评标有关的其他情况。在评标活动中，与评标活动有关的工作人员不得擅离职守，影响评标程序正常进行。</w:t>
      </w:r>
    </w:p>
    <w:p w14:paraId="1143BF5F">
      <w:pPr>
        <w:pStyle w:val="10"/>
        <w:numPr>
          <w:ilvl w:val="1"/>
          <w:numId w:val="0"/>
        </w:numPr>
        <w:spacing w:beforeLines="0" w:afterLines="0" w:line="312" w:lineRule="auto"/>
        <w:rPr>
          <w:rFonts w:ascii="宋体" w:hAnsi="宋体" w:cs="宋体"/>
          <w:b/>
          <w:bCs w:val="0"/>
          <w:color w:val="auto"/>
          <w:highlight w:val="none"/>
          <w:lang w:bidi="ar"/>
        </w:rPr>
      </w:pPr>
      <w:bookmarkStart w:id="383" w:name="_Toc15550"/>
      <w:bookmarkStart w:id="384" w:name="_Toc4621"/>
      <w:bookmarkStart w:id="385" w:name="_Toc28990"/>
      <w:r>
        <w:rPr>
          <w:rFonts w:hint="eastAsia" w:ascii="宋体" w:hAnsi="宋体" w:cs="宋体"/>
          <w:b/>
          <w:bCs w:val="0"/>
          <w:color w:val="auto"/>
          <w:highlight w:val="none"/>
          <w:lang w:bidi="ar"/>
        </w:rPr>
        <w:t>十一、质疑和投诉</w:t>
      </w:r>
      <w:bookmarkEnd w:id="383"/>
      <w:bookmarkEnd w:id="384"/>
      <w:bookmarkEnd w:id="385"/>
    </w:p>
    <w:p w14:paraId="0E52C069">
      <w:pPr>
        <w:pStyle w:val="36"/>
        <w:numPr>
          <w:ilvl w:val="0"/>
          <w:numId w:val="7"/>
        </w:numPr>
        <w:adjustRightInd w:val="0"/>
        <w:spacing w:line="312" w:lineRule="auto"/>
        <w:ind w:firstLine="480" w:firstLineChars="0"/>
        <w:jc w:val="both"/>
        <w:rPr>
          <w:rFonts w:hint="eastAsia" w:ascii="宋体" w:hAnsi="宋体" w:eastAsia="宋体" w:cs="宋体"/>
          <w:color w:val="auto"/>
          <w:highlight w:val="none"/>
          <w:lang w:bidi="ar"/>
        </w:rPr>
      </w:pPr>
      <w:r>
        <w:rPr>
          <w:rFonts w:hint="eastAsia" w:ascii="宋体" w:hAnsi="宋体" w:eastAsia="宋体" w:cs="宋体"/>
          <w:color w:val="auto"/>
          <w:highlight w:val="none"/>
          <w:lang w:bidi="ar"/>
        </w:rPr>
        <w:t>质疑提出</w:t>
      </w:r>
    </w:p>
    <w:p w14:paraId="569AD231">
      <w:pPr>
        <w:pStyle w:val="36"/>
        <w:numPr>
          <w:ilvl w:val="1"/>
          <w:numId w:val="20"/>
        </w:numPr>
        <w:tabs>
          <w:tab w:val="left" w:pos="171"/>
        </w:tabs>
        <w:spacing w:line="312" w:lineRule="auto"/>
        <w:ind w:firstLine="48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参照《中华人民共和国政府采购法》《中华人民共和国政府采购法实施条例》《政府采购质疑和投诉办法》（财政部令第94号）等有关法律法规规定。</w:t>
      </w:r>
    </w:p>
    <w:p w14:paraId="077AFEA4">
      <w:pPr>
        <w:pStyle w:val="36"/>
        <w:numPr>
          <w:ilvl w:val="1"/>
          <w:numId w:val="20"/>
        </w:numPr>
        <w:tabs>
          <w:tab w:val="left" w:pos="171"/>
        </w:tabs>
        <w:spacing w:line="312" w:lineRule="auto"/>
        <w:ind w:firstLine="48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投标人认为采购文件、采购过程和成交结果使自己的权益受到损害的，可以在知道或者应知其权益受到损害之日起7个工作日内，以书面形式向采购人、采购代理机构提出质疑。</w:t>
      </w:r>
    </w:p>
    <w:p w14:paraId="6BDA761C">
      <w:pPr>
        <w:pStyle w:val="36"/>
        <w:numPr>
          <w:ilvl w:val="1"/>
          <w:numId w:val="20"/>
        </w:numPr>
        <w:tabs>
          <w:tab w:val="left" w:pos="171"/>
        </w:tabs>
        <w:spacing w:line="312" w:lineRule="auto"/>
        <w:ind w:firstLine="48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潜在投标人已依法获取采购文件，可以对该文件提出质疑。采购人拒绝受理未提交响应文件的投标人对采购过程和中标结果</w:t>
      </w:r>
      <w:r>
        <w:rPr>
          <w:rFonts w:hint="eastAsia" w:ascii="宋体" w:hAnsi="宋体" w:cs="宋体"/>
          <w:color w:val="auto"/>
          <w:highlight w:val="none"/>
          <w:lang w:eastAsia="zh-CN" w:bidi="ar"/>
        </w:rPr>
        <w:t>质疑</w:t>
      </w:r>
      <w:r>
        <w:rPr>
          <w:rFonts w:hint="eastAsia" w:ascii="宋体" w:hAnsi="宋体" w:eastAsia="宋体" w:cs="宋体"/>
          <w:color w:val="auto"/>
          <w:highlight w:val="none"/>
          <w:lang w:bidi="ar"/>
        </w:rPr>
        <w:t>。</w:t>
      </w:r>
    </w:p>
    <w:p w14:paraId="548B9930">
      <w:pPr>
        <w:pStyle w:val="36"/>
        <w:numPr>
          <w:ilvl w:val="1"/>
          <w:numId w:val="20"/>
        </w:numPr>
        <w:tabs>
          <w:tab w:val="left" w:pos="171"/>
        </w:tabs>
        <w:spacing w:line="312" w:lineRule="auto"/>
        <w:ind w:firstLine="48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质疑提出起算日期：</w:t>
      </w:r>
    </w:p>
    <w:p w14:paraId="6DECE917">
      <w:pPr>
        <w:pStyle w:val="36"/>
        <w:numPr>
          <w:ilvl w:val="255"/>
          <w:numId w:val="0"/>
        </w:numPr>
        <w:tabs>
          <w:tab w:val="left" w:pos="171"/>
        </w:tabs>
        <w:adjustRightInd w:val="0"/>
        <w:spacing w:line="312" w:lineRule="auto"/>
        <w:ind w:firstLine="480" w:firstLineChars="200"/>
        <w:rPr>
          <w:rFonts w:ascii="宋体" w:hAnsi="宋体" w:cs="宋体"/>
          <w:color w:val="auto"/>
          <w:highlight w:val="none"/>
          <w:lang w:bidi="ar"/>
        </w:rPr>
      </w:pPr>
      <w:r>
        <w:rPr>
          <w:rFonts w:hint="eastAsia" w:ascii="宋体" w:hAnsi="宋体" w:cs="宋体"/>
          <w:color w:val="auto"/>
          <w:highlight w:val="none"/>
          <w:lang w:bidi="ar"/>
        </w:rPr>
        <w:t>对采购文件提出质疑的，自投标人获取招标文件之日起或者公告届满之日起开始计算，且应当在响应文件提交截止前24小时前提出，否则，被质疑人可不予受理。</w:t>
      </w:r>
    </w:p>
    <w:p w14:paraId="20ED9E6C">
      <w:pPr>
        <w:pStyle w:val="36"/>
        <w:numPr>
          <w:ilvl w:val="255"/>
          <w:numId w:val="0"/>
        </w:numPr>
        <w:tabs>
          <w:tab w:val="left" w:pos="171"/>
        </w:tabs>
        <w:adjustRightInd w:val="0"/>
        <w:spacing w:line="312" w:lineRule="auto"/>
        <w:ind w:firstLine="480" w:firstLineChars="200"/>
        <w:rPr>
          <w:rFonts w:ascii="宋体" w:hAnsi="宋体" w:cs="宋体"/>
          <w:color w:val="auto"/>
          <w:highlight w:val="none"/>
          <w:lang w:bidi="ar"/>
        </w:rPr>
      </w:pPr>
      <w:r>
        <w:rPr>
          <w:rFonts w:hint="eastAsia" w:ascii="宋体" w:hAnsi="宋体" w:cs="宋体"/>
          <w:color w:val="auto"/>
          <w:highlight w:val="none"/>
          <w:lang w:bidi="ar"/>
        </w:rPr>
        <w:t>对投标过程提出质疑的，质疑期限自各采购程序环节结束之日起计算。</w:t>
      </w:r>
    </w:p>
    <w:p w14:paraId="22EE6BE1">
      <w:pPr>
        <w:pStyle w:val="36"/>
        <w:numPr>
          <w:ilvl w:val="255"/>
          <w:numId w:val="0"/>
        </w:numPr>
        <w:tabs>
          <w:tab w:val="left" w:pos="171"/>
        </w:tabs>
        <w:adjustRightInd w:val="0"/>
        <w:spacing w:line="312" w:lineRule="auto"/>
        <w:ind w:firstLine="480" w:firstLineChars="200"/>
        <w:rPr>
          <w:rFonts w:ascii="宋体" w:hAnsi="宋体" w:cs="宋体"/>
          <w:color w:val="auto"/>
          <w:highlight w:val="none"/>
          <w:lang w:bidi="ar"/>
        </w:rPr>
      </w:pPr>
      <w:r>
        <w:rPr>
          <w:rFonts w:hint="eastAsia" w:ascii="宋体" w:hAnsi="宋体" w:cs="宋体"/>
          <w:color w:val="auto"/>
          <w:highlight w:val="none"/>
          <w:lang w:bidi="ar"/>
        </w:rPr>
        <w:t>对采购结果提出质疑的，质疑期限自采购结果公告之日起计算。</w:t>
      </w:r>
    </w:p>
    <w:p w14:paraId="4FF4A9F3">
      <w:pPr>
        <w:pStyle w:val="36"/>
        <w:numPr>
          <w:ilvl w:val="255"/>
          <w:numId w:val="0"/>
        </w:numPr>
        <w:tabs>
          <w:tab w:val="left" w:pos="171"/>
        </w:tabs>
        <w:adjustRightInd w:val="0"/>
        <w:spacing w:line="312" w:lineRule="auto"/>
        <w:ind w:firstLine="480" w:firstLineChars="200"/>
        <w:rPr>
          <w:rFonts w:ascii="宋体" w:hAnsi="宋体" w:cs="宋体"/>
          <w:color w:val="auto"/>
          <w:highlight w:val="none"/>
          <w:lang w:bidi="ar"/>
        </w:rPr>
      </w:pPr>
      <w:r>
        <w:rPr>
          <w:rFonts w:hint="eastAsia" w:ascii="宋体" w:hAnsi="宋体" w:cs="宋体"/>
          <w:color w:val="auto"/>
          <w:highlight w:val="none"/>
          <w:lang w:bidi="ar"/>
        </w:rPr>
        <w:t>投标人提交的质疑函应符合财政部《</w:t>
      </w:r>
      <w:r>
        <w:rPr>
          <w:color w:val="auto"/>
          <w:highlight w:val="none"/>
        </w:rPr>
        <w:fldChar w:fldCharType="begin"/>
      </w:r>
      <w:r>
        <w:rPr>
          <w:color w:val="auto"/>
          <w:highlight w:val="none"/>
        </w:rPr>
        <w:instrText xml:space="preserve"> HYPERLINK "http://www.caigou2003.com/" \t "http://www.zjzfcg.gov.cn/news/2018-02-09/_blank" </w:instrText>
      </w:r>
      <w:r>
        <w:rPr>
          <w:color w:val="auto"/>
          <w:highlight w:val="none"/>
        </w:rPr>
        <w:fldChar w:fldCharType="separate"/>
      </w:r>
      <w:r>
        <w:rPr>
          <w:rFonts w:hint="eastAsia" w:ascii="宋体" w:hAnsi="宋体" w:cs="宋体"/>
          <w:color w:val="auto"/>
          <w:highlight w:val="none"/>
          <w:lang w:bidi="ar"/>
        </w:rPr>
        <w:t>政府采购</w:t>
      </w:r>
      <w:r>
        <w:rPr>
          <w:rFonts w:hint="eastAsia" w:ascii="宋体" w:hAnsi="宋体" w:cs="宋体"/>
          <w:color w:val="auto"/>
          <w:highlight w:val="none"/>
          <w:lang w:bidi="ar"/>
        </w:rPr>
        <w:fldChar w:fldCharType="end"/>
      </w:r>
      <w:r>
        <w:rPr>
          <w:rFonts w:hint="eastAsia" w:ascii="宋体" w:hAnsi="宋体" w:cs="宋体"/>
          <w:bCs/>
          <w:color w:val="auto"/>
          <w:highlight w:val="none"/>
          <w:lang w:eastAsia="zh-CN"/>
        </w:rPr>
        <w:t>供应商</w:t>
      </w:r>
      <w:r>
        <w:rPr>
          <w:rFonts w:hint="eastAsia" w:ascii="宋体" w:hAnsi="宋体" w:cs="宋体"/>
          <w:color w:val="auto"/>
          <w:highlight w:val="none"/>
          <w:lang w:bidi="ar"/>
        </w:rPr>
        <w:t>质疑函范本》要求。</w:t>
      </w:r>
    </w:p>
    <w:p w14:paraId="614F1A60">
      <w:pPr>
        <w:pStyle w:val="36"/>
        <w:numPr>
          <w:ilvl w:val="0"/>
          <w:numId w:val="7"/>
        </w:numPr>
        <w:adjustRightInd w:val="0"/>
        <w:spacing w:line="312" w:lineRule="auto"/>
        <w:ind w:firstLine="480" w:firstLineChars="0"/>
        <w:jc w:val="both"/>
        <w:rPr>
          <w:rFonts w:hint="eastAsia" w:ascii="宋体" w:hAnsi="宋体" w:eastAsia="宋体" w:cs="宋体"/>
          <w:color w:val="auto"/>
          <w:highlight w:val="none"/>
          <w:lang w:bidi="ar"/>
        </w:rPr>
      </w:pPr>
      <w:r>
        <w:rPr>
          <w:rFonts w:hint="eastAsia" w:ascii="宋体" w:hAnsi="宋体" w:eastAsia="宋体" w:cs="宋体"/>
          <w:color w:val="auto"/>
          <w:highlight w:val="none"/>
          <w:lang w:bidi="ar"/>
        </w:rPr>
        <w:t>质疑处理</w:t>
      </w:r>
    </w:p>
    <w:p w14:paraId="2BEA16D0">
      <w:pPr>
        <w:spacing w:line="312" w:lineRule="auto"/>
        <w:ind w:firstLine="480"/>
        <w:rPr>
          <w:rFonts w:ascii="宋体" w:hAnsi="宋体" w:cs="宋体"/>
          <w:bCs/>
          <w:color w:val="auto"/>
          <w:highlight w:val="none"/>
        </w:rPr>
      </w:pPr>
      <w:r>
        <w:rPr>
          <w:rFonts w:ascii="宋体" w:hAnsi="宋体" w:cs="宋体"/>
          <w:bCs/>
          <w:color w:val="auto"/>
          <w:highlight w:val="none"/>
        </w:rPr>
        <w:t>采购人应当在收到投标人的书面质疑后7个工作日内作出答复，并以书面形式通知质疑投标人和其他与质疑处理结果有利害关系的政府采购当事人，但答复的内容不得涉及商业秘密。</w:t>
      </w:r>
    </w:p>
    <w:bookmarkEnd w:id="365"/>
    <w:p w14:paraId="6424D8FF">
      <w:pPr>
        <w:pStyle w:val="36"/>
        <w:numPr>
          <w:ilvl w:val="0"/>
          <w:numId w:val="7"/>
        </w:numPr>
        <w:adjustRightInd w:val="0"/>
        <w:spacing w:line="312" w:lineRule="auto"/>
        <w:ind w:firstLine="480" w:firstLineChars="0"/>
        <w:jc w:val="both"/>
        <w:rPr>
          <w:rFonts w:hint="eastAsia" w:ascii="宋体" w:hAnsi="宋体" w:eastAsia="宋体" w:cs="宋体"/>
          <w:color w:val="auto"/>
          <w:highlight w:val="none"/>
          <w:lang w:bidi="ar"/>
        </w:rPr>
      </w:pPr>
      <w:r>
        <w:rPr>
          <w:rFonts w:hint="eastAsia" w:ascii="宋体" w:hAnsi="宋体" w:eastAsia="宋体" w:cs="宋体"/>
          <w:color w:val="auto"/>
          <w:highlight w:val="none"/>
          <w:lang w:bidi="ar"/>
        </w:rPr>
        <w:t>投诉</w:t>
      </w:r>
    </w:p>
    <w:p w14:paraId="0A9303B3">
      <w:pPr>
        <w:spacing w:line="312" w:lineRule="auto"/>
        <w:ind w:firstLine="480"/>
        <w:rPr>
          <w:rFonts w:ascii="宋体" w:hAnsi="宋体" w:cs="宋体"/>
          <w:color w:val="auto"/>
          <w:highlight w:val="none"/>
          <w:lang w:bidi="ar"/>
        </w:rPr>
      </w:pPr>
      <w:r>
        <w:rPr>
          <w:rFonts w:hint="eastAsia" w:ascii="宋体" w:hAnsi="宋体" w:cs="宋体"/>
          <w:color w:val="auto"/>
          <w:highlight w:val="none"/>
          <w:lang w:bidi="ar"/>
        </w:rPr>
        <w:t>质疑投标人对采购人未在规定时间内作出答复的，可以在答复期满后15个工作</w:t>
      </w:r>
      <w:r>
        <w:rPr>
          <w:rFonts w:hint="eastAsia" w:ascii="宋体" w:hAnsi="宋体" w:cs="宋体"/>
          <w:color w:val="auto"/>
          <w:highlight w:val="none"/>
          <w:lang w:eastAsia="zh-CN" w:bidi="ar"/>
        </w:rPr>
        <w:t>日向龙游县水务集团有限公司招投标分中心</w:t>
      </w:r>
      <w:r>
        <w:rPr>
          <w:rFonts w:hint="eastAsia" w:ascii="宋体" w:hAnsi="宋体" w:cs="宋体"/>
          <w:color w:val="auto"/>
          <w:highlight w:val="none"/>
          <w:lang w:bidi="ar"/>
        </w:rPr>
        <w:t>投诉。若对质疑答复不满意的，应当自答复的次日起15个工作日</w:t>
      </w:r>
      <w:r>
        <w:rPr>
          <w:rFonts w:hint="eastAsia" w:ascii="宋体" w:hAnsi="宋体" w:cs="宋体"/>
          <w:color w:val="auto"/>
          <w:highlight w:val="none"/>
          <w:lang w:eastAsia="zh-CN" w:bidi="ar"/>
        </w:rPr>
        <w:t>内向龙游县水务集团有限公司招投标分中心</w:t>
      </w:r>
      <w:r>
        <w:rPr>
          <w:rFonts w:hint="eastAsia" w:ascii="宋体" w:hAnsi="宋体" w:cs="宋体"/>
          <w:color w:val="auto"/>
          <w:highlight w:val="none"/>
          <w:lang w:bidi="ar"/>
        </w:rPr>
        <w:t>投诉。</w:t>
      </w:r>
    </w:p>
    <w:p w14:paraId="40423189">
      <w:pPr>
        <w:spacing w:line="312" w:lineRule="auto"/>
        <w:ind w:firstLine="480"/>
        <w:rPr>
          <w:rFonts w:ascii="宋体" w:hAnsi="宋体" w:cs="宋体"/>
          <w:color w:val="auto"/>
          <w:highlight w:val="none"/>
          <w:lang w:bidi="ar"/>
        </w:rPr>
      </w:pPr>
      <w:r>
        <w:rPr>
          <w:rFonts w:hint="eastAsia" w:ascii="宋体" w:hAnsi="宋体" w:cs="宋体"/>
          <w:color w:val="auto"/>
          <w:highlight w:val="none"/>
          <w:lang w:bidi="ar"/>
        </w:rPr>
        <w:t>投标人提交的投诉书应参照财政部《</w:t>
      </w:r>
      <w:r>
        <w:rPr>
          <w:color w:val="auto"/>
          <w:highlight w:val="none"/>
        </w:rPr>
        <w:fldChar w:fldCharType="begin"/>
      </w:r>
      <w:r>
        <w:rPr>
          <w:color w:val="auto"/>
          <w:highlight w:val="none"/>
        </w:rPr>
        <w:instrText xml:space="preserve"> HYPERLINK "http://www.caigou2003.com/" \t "http://www.zjzfcg.gov.cn/news/2018-02-09/_blank" </w:instrText>
      </w:r>
      <w:r>
        <w:rPr>
          <w:color w:val="auto"/>
          <w:highlight w:val="none"/>
        </w:rPr>
        <w:fldChar w:fldCharType="separate"/>
      </w:r>
      <w:r>
        <w:rPr>
          <w:rFonts w:hint="eastAsia" w:ascii="宋体" w:hAnsi="宋体" w:cs="宋体"/>
          <w:color w:val="auto"/>
          <w:highlight w:val="none"/>
          <w:lang w:bidi="ar"/>
        </w:rPr>
        <w:t>政府采购</w:t>
      </w:r>
      <w:r>
        <w:rPr>
          <w:rFonts w:hint="eastAsia" w:ascii="宋体" w:hAnsi="宋体" w:cs="宋体"/>
          <w:color w:val="auto"/>
          <w:highlight w:val="none"/>
          <w:lang w:bidi="ar"/>
        </w:rPr>
        <w:fldChar w:fldCharType="end"/>
      </w:r>
      <w:r>
        <w:rPr>
          <w:rFonts w:hint="eastAsia" w:ascii="宋体" w:hAnsi="宋体" w:cs="宋体"/>
          <w:bCs/>
          <w:color w:val="auto"/>
          <w:highlight w:val="none"/>
          <w:lang w:val="en-US" w:eastAsia="zh-CN"/>
        </w:rPr>
        <w:t>供应商</w:t>
      </w:r>
      <w:r>
        <w:rPr>
          <w:rFonts w:hint="eastAsia" w:ascii="宋体" w:hAnsi="宋体" w:cs="宋体"/>
          <w:color w:val="auto"/>
          <w:highlight w:val="none"/>
          <w:lang w:bidi="ar"/>
        </w:rPr>
        <w:t>投诉书范本》要求。</w:t>
      </w:r>
    </w:p>
    <w:p w14:paraId="0251A00A">
      <w:pPr>
        <w:pStyle w:val="10"/>
        <w:numPr>
          <w:ilvl w:val="1"/>
          <w:numId w:val="0"/>
        </w:numPr>
        <w:spacing w:beforeLines="0" w:afterLines="0" w:line="312" w:lineRule="auto"/>
        <w:rPr>
          <w:rFonts w:ascii="宋体" w:hAnsi="宋体" w:cs="宋体"/>
          <w:b/>
          <w:bCs w:val="0"/>
          <w:color w:val="auto"/>
          <w:highlight w:val="none"/>
          <w:lang w:bidi="ar"/>
        </w:rPr>
      </w:pPr>
      <w:bookmarkStart w:id="386" w:name="_Toc31692"/>
      <w:bookmarkStart w:id="387" w:name="_Toc25713"/>
      <w:bookmarkStart w:id="388" w:name="_Toc32034"/>
      <w:bookmarkStart w:id="389" w:name="_Toc6965"/>
      <w:r>
        <w:rPr>
          <w:rFonts w:hint="eastAsia" w:ascii="宋体" w:hAnsi="宋体" w:cs="宋体"/>
          <w:b/>
          <w:bCs w:val="0"/>
          <w:color w:val="auto"/>
          <w:highlight w:val="none"/>
          <w:lang w:bidi="ar"/>
        </w:rPr>
        <w:t>十二、授予合同</w:t>
      </w:r>
      <w:bookmarkEnd w:id="386"/>
      <w:bookmarkEnd w:id="387"/>
      <w:bookmarkEnd w:id="388"/>
    </w:p>
    <w:p w14:paraId="1C85E0B7">
      <w:pPr>
        <w:pStyle w:val="36"/>
        <w:numPr>
          <w:ilvl w:val="0"/>
          <w:numId w:val="7"/>
        </w:numPr>
        <w:adjustRightInd w:val="0"/>
        <w:spacing w:line="312" w:lineRule="auto"/>
        <w:ind w:firstLine="480" w:firstLineChars="0"/>
        <w:jc w:val="both"/>
        <w:rPr>
          <w:rFonts w:hint="eastAsia" w:ascii="宋体" w:hAnsi="宋体" w:eastAsia="宋体" w:cs="宋体"/>
          <w:color w:val="auto"/>
          <w:highlight w:val="none"/>
          <w:lang w:bidi="ar"/>
        </w:rPr>
      </w:pPr>
      <w:r>
        <w:rPr>
          <w:rFonts w:hint="eastAsia" w:ascii="宋体" w:hAnsi="宋体" w:eastAsia="宋体" w:cs="宋体"/>
          <w:color w:val="auto"/>
          <w:highlight w:val="none"/>
          <w:lang w:bidi="ar"/>
        </w:rPr>
        <w:t>合同授予标准</w:t>
      </w:r>
    </w:p>
    <w:p w14:paraId="05A6BEA2">
      <w:pPr>
        <w:pStyle w:val="36"/>
        <w:numPr>
          <w:ilvl w:val="1"/>
          <w:numId w:val="21"/>
        </w:numPr>
        <w:tabs>
          <w:tab w:val="left" w:pos="171"/>
        </w:tabs>
        <w:spacing w:line="312" w:lineRule="auto"/>
        <w:ind w:firstLine="48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中标候选人经查有违法违规现象的，取消其中标候选资格，采购人重新招标。</w:t>
      </w:r>
    </w:p>
    <w:p w14:paraId="135654CD">
      <w:pPr>
        <w:pStyle w:val="36"/>
        <w:numPr>
          <w:ilvl w:val="1"/>
          <w:numId w:val="21"/>
        </w:numPr>
        <w:tabs>
          <w:tab w:val="left" w:pos="171"/>
        </w:tabs>
        <w:spacing w:line="312" w:lineRule="auto"/>
        <w:ind w:firstLine="48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采购人确认且备案后，确定中标人。中标结果在衢州市阳光交易服务平台、浙江政府采购网予以公布，衢州宇信工程咨询有限公司发出中标通知书。</w:t>
      </w:r>
    </w:p>
    <w:p w14:paraId="4F32F141">
      <w:pPr>
        <w:pStyle w:val="36"/>
        <w:numPr>
          <w:ilvl w:val="1"/>
          <w:numId w:val="21"/>
        </w:numPr>
        <w:tabs>
          <w:tab w:val="left" w:pos="171"/>
        </w:tabs>
        <w:spacing w:line="312" w:lineRule="auto"/>
        <w:ind w:firstLine="48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经采购人备案后，由采购人签发国企采购中标通知书。中标通知书对采购人和确认中标人均具有法律效力。中标通知书发出后，采购人改变中标结果的，或者中标人放弃中标项目的，应当依法承担法律责任。</w:t>
      </w:r>
    </w:p>
    <w:p w14:paraId="5EBA9303">
      <w:pPr>
        <w:pStyle w:val="36"/>
        <w:numPr>
          <w:ilvl w:val="1"/>
          <w:numId w:val="21"/>
        </w:numPr>
        <w:tabs>
          <w:tab w:val="left" w:pos="171"/>
        </w:tabs>
        <w:spacing w:line="312" w:lineRule="auto"/>
        <w:ind w:firstLine="48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在中标通知书发出后三十日内，中标人应按中标通知书指定的时间、地点与采购人签订合同。招标文件、中标人的投标文件及澄清文件等，均为签订合同的依据。</w:t>
      </w:r>
    </w:p>
    <w:p w14:paraId="7C5EDF08">
      <w:pPr>
        <w:pStyle w:val="36"/>
        <w:numPr>
          <w:ilvl w:val="1"/>
          <w:numId w:val="21"/>
        </w:numPr>
        <w:tabs>
          <w:tab w:val="left" w:pos="171"/>
        </w:tabs>
        <w:spacing w:line="312" w:lineRule="auto"/>
        <w:ind w:firstLine="48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采购人与中标人签署合同协议，衢州宇信工程咨询有限公司作为鉴证人共同签订（合同上请标明采购编号）。</w:t>
      </w:r>
      <w:r>
        <w:rPr>
          <w:rFonts w:hint="eastAsia" w:ascii="宋体" w:hAnsi="宋体" w:cs="宋体"/>
          <w:color w:val="auto"/>
          <w:highlight w:val="none"/>
          <w:lang w:eastAsia="zh-CN" w:bidi="ar"/>
        </w:rPr>
        <w:t>合同一式</w:t>
      </w:r>
      <w:r>
        <w:rPr>
          <w:rFonts w:hint="eastAsia" w:ascii="宋体" w:hAnsi="宋体" w:cs="宋体"/>
          <w:color w:val="auto"/>
          <w:highlight w:val="none"/>
          <w:lang w:val="en-US" w:eastAsia="zh-CN" w:bidi="ar"/>
        </w:rPr>
        <w:t>七</w:t>
      </w:r>
      <w:r>
        <w:rPr>
          <w:rFonts w:hint="eastAsia" w:ascii="宋体" w:hAnsi="宋体" w:cs="宋体"/>
          <w:color w:val="auto"/>
          <w:highlight w:val="none"/>
          <w:lang w:eastAsia="zh-CN" w:bidi="ar"/>
        </w:rPr>
        <w:t>份，采购人执</w:t>
      </w:r>
      <w:r>
        <w:rPr>
          <w:rFonts w:hint="eastAsia" w:ascii="宋体" w:hAnsi="宋体" w:cs="宋体"/>
          <w:color w:val="auto"/>
          <w:highlight w:val="none"/>
          <w:lang w:val="en-US" w:eastAsia="zh-CN" w:bidi="ar"/>
        </w:rPr>
        <w:t>三份</w:t>
      </w:r>
      <w:r>
        <w:rPr>
          <w:rFonts w:hint="eastAsia" w:ascii="宋体" w:hAnsi="宋体" w:cs="宋体"/>
          <w:color w:val="auto"/>
          <w:highlight w:val="none"/>
          <w:lang w:eastAsia="zh-CN" w:bidi="ar"/>
        </w:rPr>
        <w:t>，中标人执</w:t>
      </w:r>
      <w:r>
        <w:rPr>
          <w:rFonts w:hint="eastAsia" w:ascii="宋体" w:hAnsi="宋体" w:cs="宋体"/>
          <w:color w:val="auto"/>
          <w:highlight w:val="none"/>
          <w:lang w:val="en-US" w:eastAsia="zh-CN" w:bidi="ar"/>
        </w:rPr>
        <w:t>三份</w:t>
      </w:r>
      <w:r>
        <w:rPr>
          <w:rFonts w:hint="eastAsia" w:ascii="宋体" w:hAnsi="宋体" w:cs="宋体"/>
          <w:color w:val="auto"/>
          <w:highlight w:val="none"/>
          <w:lang w:eastAsia="zh-CN" w:bidi="ar"/>
        </w:rPr>
        <w:t>，衢州宇信工程咨询有限公司执</w:t>
      </w:r>
      <w:r>
        <w:rPr>
          <w:rFonts w:hint="eastAsia" w:ascii="宋体" w:hAnsi="宋体" w:cs="宋体"/>
          <w:color w:val="auto"/>
          <w:highlight w:val="none"/>
          <w:lang w:val="en-US" w:eastAsia="zh-CN" w:bidi="ar"/>
        </w:rPr>
        <w:t>一份</w:t>
      </w:r>
      <w:r>
        <w:rPr>
          <w:rFonts w:hint="eastAsia" w:ascii="宋体" w:hAnsi="宋体" w:cs="宋体"/>
          <w:color w:val="auto"/>
          <w:highlight w:val="none"/>
          <w:lang w:eastAsia="zh-CN" w:bidi="ar"/>
        </w:rPr>
        <w:t>。</w:t>
      </w:r>
    </w:p>
    <w:p w14:paraId="4BCB68A7">
      <w:pPr>
        <w:pStyle w:val="36"/>
        <w:numPr>
          <w:ilvl w:val="0"/>
          <w:numId w:val="7"/>
        </w:numPr>
        <w:adjustRightInd w:val="0"/>
        <w:spacing w:line="312" w:lineRule="auto"/>
        <w:ind w:firstLine="480" w:firstLineChars="0"/>
        <w:jc w:val="both"/>
        <w:rPr>
          <w:rFonts w:hint="eastAsia" w:ascii="宋体" w:hAnsi="宋体" w:eastAsia="宋体" w:cs="宋体"/>
          <w:color w:val="auto"/>
          <w:highlight w:val="none"/>
          <w:lang w:bidi="ar"/>
        </w:rPr>
      </w:pPr>
      <w:r>
        <w:rPr>
          <w:rFonts w:hint="eastAsia" w:ascii="宋体" w:hAnsi="宋体" w:eastAsia="宋体" w:cs="宋体"/>
          <w:color w:val="auto"/>
          <w:highlight w:val="none"/>
          <w:lang w:bidi="ar"/>
        </w:rPr>
        <w:t>授予</w:t>
      </w:r>
      <w:r>
        <w:rPr>
          <w:rFonts w:hint="eastAsia" w:ascii="宋体" w:hAnsi="宋体" w:cs="宋体"/>
          <w:color w:val="auto"/>
          <w:highlight w:val="none"/>
          <w:lang w:eastAsia="zh-CN" w:bidi="ar"/>
        </w:rPr>
        <w:t>合同</w:t>
      </w:r>
      <w:r>
        <w:rPr>
          <w:rFonts w:hint="eastAsia" w:ascii="宋体" w:hAnsi="宋体" w:eastAsia="宋体" w:cs="宋体"/>
          <w:color w:val="auto"/>
          <w:highlight w:val="none"/>
          <w:lang w:bidi="ar"/>
        </w:rPr>
        <w:t>变更数量的权利</w:t>
      </w:r>
    </w:p>
    <w:p w14:paraId="1784F8AB">
      <w:pPr>
        <w:adjustRightInd/>
        <w:snapToGrid/>
        <w:spacing w:line="312" w:lineRule="auto"/>
        <w:ind w:firstLine="48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采购合同履行中，采购人需要追加与合同标的相同的货物或者服务的，在不改变合同其他条款的前提下，可以与中标</w:t>
      </w:r>
      <w:r>
        <w:rPr>
          <w:rFonts w:hint="eastAsia" w:ascii="宋体" w:hAnsi="宋体" w:cs="宋体"/>
          <w:color w:val="auto"/>
          <w:sz w:val="24"/>
          <w:szCs w:val="24"/>
          <w:highlight w:val="none"/>
          <w:lang w:val="en-US" w:eastAsia="zh-CN" w:bidi="ar"/>
        </w:rPr>
        <w:t>人</w:t>
      </w:r>
      <w:r>
        <w:rPr>
          <w:rFonts w:hint="eastAsia" w:ascii="宋体" w:hAnsi="宋体" w:eastAsia="宋体" w:cs="宋体"/>
          <w:color w:val="auto"/>
          <w:sz w:val="24"/>
          <w:szCs w:val="24"/>
          <w:highlight w:val="none"/>
          <w:lang w:bidi="ar"/>
        </w:rPr>
        <w:t>协商签订补充合同，但所有补充合同的采购金额不得超过原合同采购金额的</w:t>
      </w:r>
      <w:r>
        <w:rPr>
          <w:rFonts w:hint="eastAsia" w:ascii="宋体" w:hAnsi="宋体" w:cs="宋体"/>
          <w:color w:val="auto"/>
          <w:sz w:val="24"/>
          <w:szCs w:val="24"/>
          <w:highlight w:val="none"/>
          <w:lang w:eastAsia="zh-CN" w:bidi="ar"/>
        </w:rPr>
        <w:t>10%</w:t>
      </w:r>
      <w:r>
        <w:rPr>
          <w:rFonts w:hint="eastAsia" w:ascii="宋体" w:hAnsi="宋体" w:eastAsia="宋体" w:cs="宋体"/>
          <w:color w:val="auto"/>
          <w:sz w:val="24"/>
          <w:szCs w:val="24"/>
          <w:highlight w:val="none"/>
          <w:lang w:bidi="ar"/>
        </w:rPr>
        <w:t>，该补充合同应当在原采购合同履行过程中，不得在原采购</w:t>
      </w:r>
      <w:r>
        <w:rPr>
          <w:rFonts w:hint="eastAsia" w:ascii="宋体" w:hAnsi="宋体" w:cs="宋体"/>
          <w:color w:val="auto"/>
          <w:sz w:val="24"/>
          <w:szCs w:val="24"/>
          <w:highlight w:val="none"/>
          <w:lang w:eastAsia="zh-CN" w:bidi="ar"/>
        </w:rPr>
        <w:t>所有货款支付完毕后，无违约情况</w:t>
      </w:r>
      <w:r>
        <w:rPr>
          <w:rFonts w:hint="eastAsia" w:ascii="宋体" w:hAnsi="宋体" w:eastAsia="宋体" w:cs="宋体"/>
          <w:color w:val="auto"/>
          <w:sz w:val="24"/>
          <w:szCs w:val="24"/>
          <w:highlight w:val="none"/>
          <w:lang w:bidi="ar"/>
        </w:rPr>
        <w:t>，且采购货物、工程和服务的名称、价格、履约方式、验收标准等必须与原采购合同一致。</w:t>
      </w:r>
    </w:p>
    <w:p w14:paraId="7BB55594">
      <w:pPr>
        <w:pStyle w:val="36"/>
        <w:numPr>
          <w:ilvl w:val="0"/>
          <w:numId w:val="7"/>
        </w:numPr>
        <w:adjustRightInd w:val="0"/>
        <w:spacing w:line="312" w:lineRule="auto"/>
        <w:ind w:firstLine="480" w:firstLineChars="0"/>
        <w:jc w:val="both"/>
        <w:rPr>
          <w:rFonts w:hint="eastAsia" w:ascii="宋体" w:hAnsi="宋体" w:eastAsia="宋体" w:cs="宋体"/>
          <w:color w:val="auto"/>
          <w:highlight w:val="none"/>
          <w:lang w:bidi="ar"/>
        </w:rPr>
      </w:pPr>
      <w:r>
        <w:rPr>
          <w:rFonts w:hint="eastAsia" w:ascii="宋体" w:hAnsi="宋体" w:eastAsia="宋体" w:cs="宋体"/>
          <w:color w:val="auto"/>
          <w:highlight w:val="none"/>
          <w:lang w:bidi="ar"/>
        </w:rPr>
        <w:t>本次招标合同期限及付款方式</w:t>
      </w:r>
    </w:p>
    <w:p w14:paraId="06AEBFF6">
      <w:pPr>
        <w:pStyle w:val="36"/>
        <w:numPr>
          <w:ilvl w:val="1"/>
          <w:numId w:val="22"/>
        </w:numPr>
        <w:tabs>
          <w:tab w:val="left" w:pos="171"/>
        </w:tabs>
        <w:adjustRightInd w:val="0"/>
        <w:spacing w:line="312" w:lineRule="auto"/>
        <w:ind w:firstLine="48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合作期限：详见合同条款；</w:t>
      </w:r>
    </w:p>
    <w:p w14:paraId="390450BA">
      <w:pPr>
        <w:pStyle w:val="36"/>
        <w:numPr>
          <w:ilvl w:val="1"/>
          <w:numId w:val="22"/>
        </w:numPr>
        <w:tabs>
          <w:tab w:val="left" w:pos="171"/>
        </w:tabs>
        <w:adjustRightInd w:val="0"/>
        <w:spacing w:line="312" w:lineRule="auto"/>
        <w:ind w:firstLine="48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付款方式：详见合同条款。</w:t>
      </w:r>
    </w:p>
    <w:p w14:paraId="18EE72A0">
      <w:pPr>
        <w:pStyle w:val="36"/>
        <w:numPr>
          <w:ilvl w:val="0"/>
          <w:numId w:val="7"/>
        </w:numPr>
        <w:adjustRightInd w:val="0"/>
        <w:spacing w:line="312" w:lineRule="auto"/>
        <w:ind w:firstLine="480" w:firstLineChars="0"/>
        <w:jc w:val="both"/>
        <w:rPr>
          <w:rFonts w:hint="eastAsia" w:ascii="宋体" w:hAnsi="宋体" w:eastAsia="宋体" w:cs="宋体"/>
          <w:color w:val="auto"/>
          <w:highlight w:val="none"/>
          <w:lang w:bidi="ar"/>
        </w:rPr>
      </w:pPr>
      <w:r>
        <w:rPr>
          <w:rFonts w:hint="eastAsia" w:ascii="宋体" w:hAnsi="宋体" w:eastAsia="宋体" w:cs="宋体"/>
          <w:color w:val="auto"/>
          <w:highlight w:val="none"/>
          <w:lang w:bidi="ar"/>
        </w:rPr>
        <w:t>招标代理费用</w:t>
      </w:r>
    </w:p>
    <w:p w14:paraId="0FD04C00">
      <w:pPr>
        <w:pStyle w:val="36"/>
        <w:numPr>
          <w:ilvl w:val="1"/>
          <w:numId w:val="23"/>
        </w:numPr>
        <w:tabs>
          <w:tab w:val="left" w:pos="171"/>
        </w:tabs>
        <w:spacing w:line="312" w:lineRule="auto"/>
        <w:ind w:left="0" w:firstLine="480" w:firstLineChars="200"/>
        <w:rPr>
          <w:rFonts w:hint="eastAsia" w:ascii="宋体" w:hAnsi="宋体" w:eastAsia="宋体" w:cs="宋体"/>
          <w:color w:val="auto"/>
          <w:sz w:val="24"/>
          <w:szCs w:val="24"/>
          <w:highlight w:val="none"/>
          <w:lang w:val="en-US" w:bidi="ar"/>
        </w:rPr>
      </w:pPr>
      <w:r>
        <w:rPr>
          <w:rFonts w:hint="eastAsia" w:ascii="宋体" w:hAnsi="宋体" w:eastAsia="宋体" w:cs="宋体"/>
          <w:color w:val="auto"/>
          <w:sz w:val="24"/>
          <w:szCs w:val="24"/>
          <w:highlight w:val="none"/>
          <w:lang w:val="en-US" w:eastAsia="zh-CN" w:bidi="ar"/>
        </w:rPr>
        <w:t>招标代理费总价包干合计</w:t>
      </w:r>
      <w:r>
        <w:rPr>
          <w:rFonts w:hint="eastAsia" w:ascii="宋体" w:hAnsi="宋体" w:cs="宋体"/>
          <w:color w:val="auto"/>
          <w:sz w:val="24"/>
          <w:szCs w:val="24"/>
          <w:highlight w:val="none"/>
          <w:lang w:val="en-US" w:eastAsia="zh-CN" w:bidi="ar"/>
        </w:rPr>
        <w:t>3000</w:t>
      </w:r>
      <w:r>
        <w:rPr>
          <w:rFonts w:hint="eastAsia" w:ascii="宋体" w:hAnsi="宋体" w:eastAsia="宋体" w:cs="宋体"/>
          <w:color w:val="auto"/>
          <w:sz w:val="24"/>
          <w:szCs w:val="24"/>
          <w:highlight w:val="none"/>
          <w:lang w:val="en-US" w:eastAsia="zh-CN" w:bidi="ar"/>
        </w:rPr>
        <w:t>元，</w:t>
      </w:r>
      <w:r>
        <w:rPr>
          <w:rFonts w:hint="eastAsia" w:ascii="宋体" w:hAnsi="宋体" w:eastAsia="宋体" w:cs="宋体"/>
          <w:color w:val="auto"/>
          <w:sz w:val="24"/>
          <w:szCs w:val="24"/>
          <w:highlight w:val="none"/>
          <w:lang w:val="en-US" w:bidi="ar"/>
        </w:rPr>
        <w:t>由</w:t>
      </w:r>
      <w:r>
        <w:rPr>
          <w:rFonts w:hint="eastAsia" w:ascii="宋体" w:hAnsi="宋体" w:eastAsia="宋体" w:cs="宋体"/>
          <w:color w:val="auto"/>
          <w:sz w:val="24"/>
          <w:szCs w:val="24"/>
          <w:highlight w:val="none"/>
          <w:lang w:val="en-US" w:eastAsia="zh-CN" w:bidi="ar"/>
        </w:rPr>
        <w:t>中标人支付，</w:t>
      </w:r>
      <w:r>
        <w:rPr>
          <w:rFonts w:hint="eastAsia" w:ascii="宋体" w:hAnsi="宋体" w:eastAsia="宋体" w:cs="宋体"/>
          <w:color w:val="auto"/>
          <w:sz w:val="24"/>
          <w:szCs w:val="24"/>
          <w:highlight w:val="none"/>
          <w:lang w:val="en-US" w:bidi="ar"/>
        </w:rPr>
        <w:t>在领取</w:t>
      </w:r>
      <w:r>
        <w:rPr>
          <w:rFonts w:hint="eastAsia" w:ascii="宋体" w:hAnsi="宋体" w:eastAsia="宋体" w:cs="宋体"/>
          <w:color w:val="auto"/>
          <w:sz w:val="24"/>
          <w:szCs w:val="24"/>
          <w:highlight w:val="none"/>
          <w:lang w:val="en-US" w:eastAsia="zh-CN" w:bidi="ar"/>
        </w:rPr>
        <w:t>中标</w:t>
      </w:r>
      <w:r>
        <w:rPr>
          <w:rFonts w:hint="eastAsia" w:ascii="宋体" w:hAnsi="宋体" w:eastAsia="宋体" w:cs="宋体"/>
          <w:color w:val="auto"/>
          <w:sz w:val="24"/>
          <w:szCs w:val="24"/>
          <w:highlight w:val="none"/>
          <w:lang w:val="en-US" w:bidi="ar"/>
        </w:rPr>
        <w:t>通知书时交与招标代理机构。</w:t>
      </w:r>
    </w:p>
    <w:p w14:paraId="1CB2367C">
      <w:pPr>
        <w:pStyle w:val="36"/>
        <w:numPr>
          <w:ilvl w:val="1"/>
          <w:numId w:val="23"/>
        </w:numPr>
        <w:tabs>
          <w:tab w:val="left" w:pos="171"/>
        </w:tabs>
        <w:spacing w:line="312" w:lineRule="auto"/>
        <w:ind w:left="0" w:firstLine="480" w:firstLineChars="200"/>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评委费（按实）结算，</w:t>
      </w:r>
      <w:r>
        <w:rPr>
          <w:rFonts w:hint="eastAsia" w:ascii="宋体" w:hAnsi="宋体" w:eastAsia="宋体" w:cs="宋体"/>
          <w:color w:val="auto"/>
          <w:sz w:val="24"/>
          <w:szCs w:val="24"/>
          <w:highlight w:val="none"/>
          <w:lang w:val="en-US" w:bidi="ar"/>
        </w:rPr>
        <w:t>由</w:t>
      </w:r>
      <w:r>
        <w:rPr>
          <w:rFonts w:hint="eastAsia" w:ascii="宋体" w:hAnsi="宋体" w:eastAsia="宋体" w:cs="宋体"/>
          <w:color w:val="auto"/>
          <w:sz w:val="24"/>
          <w:szCs w:val="24"/>
          <w:highlight w:val="none"/>
          <w:lang w:val="en-US" w:eastAsia="zh-CN" w:bidi="ar"/>
        </w:rPr>
        <w:t>中标人支付。</w:t>
      </w:r>
    </w:p>
    <w:p w14:paraId="5B310BD1">
      <w:pPr>
        <w:pStyle w:val="36"/>
        <w:numPr>
          <w:ilvl w:val="1"/>
          <w:numId w:val="23"/>
        </w:numPr>
        <w:tabs>
          <w:tab w:val="left" w:pos="171"/>
        </w:tabs>
        <w:spacing w:line="312" w:lineRule="auto"/>
        <w:ind w:left="0" w:firstLine="480" w:firstLineChars="200"/>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bidi="ar"/>
        </w:rPr>
        <w:t>若出现终止采购情形的，上述费用由</w:t>
      </w:r>
      <w:r>
        <w:rPr>
          <w:rFonts w:hint="eastAsia" w:ascii="宋体" w:hAnsi="宋体" w:eastAsia="宋体" w:cs="宋体"/>
          <w:color w:val="auto"/>
          <w:sz w:val="24"/>
          <w:szCs w:val="24"/>
          <w:highlight w:val="none"/>
          <w:lang w:val="en-US" w:eastAsia="zh-CN" w:bidi="ar"/>
        </w:rPr>
        <w:t>委托人</w:t>
      </w:r>
      <w:r>
        <w:rPr>
          <w:rFonts w:hint="eastAsia" w:ascii="宋体" w:hAnsi="宋体" w:eastAsia="宋体" w:cs="宋体"/>
          <w:color w:val="auto"/>
          <w:sz w:val="24"/>
          <w:szCs w:val="24"/>
          <w:highlight w:val="none"/>
          <w:lang w:bidi="ar"/>
        </w:rPr>
        <w:t>支付。</w:t>
      </w:r>
    </w:p>
    <w:p w14:paraId="69255C5F">
      <w:pPr>
        <w:pStyle w:val="10"/>
        <w:numPr>
          <w:ilvl w:val="1"/>
          <w:numId w:val="0"/>
        </w:numPr>
        <w:spacing w:beforeLines="0" w:afterLines="0" w:line="312" w:lineRule="auto"/>
        <w:rPr>
          <w:rFonts w:ascii="宋体" w:hAnsi="宋体" w:cs="宋体"/>
          <w:b/>
          <w:bCs w:val="0"/>
          <w:color w:val="auto"/>
          <w:highlight w:val="none"/>
          <w:lang w:bidi="ar"/>
        </w:rPr>
      </w:pPr>
      <w:bookmarkStart w:id="390" w:name="_Toc9651"/>
      <w:bookmarkStart w:id="391" w:name="_Toc25683"/>
      <w:bookmarkStart w:id="392" w:name="_Toc22158"/>
      <w:r>
        <w:rPr>
          <w:rFonts w:hint="eastAsia" w:ascii="宋体" w:hAnsi="宋体" w:cs="宋体"/>
          <w:b/>
          <w:bCs w:val="0"/>
          <w:color w:val="auto"/>
          <w:highlight w:val="none"/>
          <w:lang w:bidi="ar"/>
        </w:rPr>
        <w:t>十三、法律责任</w:t>
      </w:r>
      <w:bookmarkEnd w:id="390"/>
      <w:bookmarkEnd w:id="391"/>
    </w:p>
    <w:p w14:paraId="4E83E7EC">
      <w:pPr>
        <w:pStyle w:val="36"/>
        <w:numPr>
          <w:ilvl w:val="0"/>
          <w:numId w:val="7"/>
        </w:numPr>
        <w:adjustRightInd w:val="0"/>
        <w:spacing w:line="312" w:lineRule="auto"/>
        <w:ind w:left="0" w:firstLine="480" w:firstLineChars="0"/>
        <w:jc w:val="both"/>
        <w:rPr>
          <w:rFonts w:hint="eastAsia" w:ascii="宋体" w:hAnsi="宋体" w:eastAsia="宋体" w:cs="宋体"/>
          <w:color w:val="auto"/>
          <w:highlight w:val="none"/>
          <w:lang w:bidi="ar"/>
        </w:rPr>
      </w:pPr>
      <w:r>
        <w:rPr>
          <w:rFonts w:hint="eastAsia" w:ascii="宋体" w:hAnsi="宋体" w:eastAsia="宋体" w:cs="宋体"/>
          <w:color w:val="auto"/>
          <w:highlight w:val="none"/>
          <w:lang w:bidi="ar"/>
        </w:rPr>
        <w:t>投标人有下列情形之一的,处以政府采购项目中标金额千分之五以上千分之十以下的罚款,列入不良行为记录名单,在一至三年内禁止参加国企采购活动,并予以公告</w:t>
      </w:r>
      <w:r>
        <w:rPr>
          <w:rFonts w:hint="eastAsia" w:ascii="宋体" w:hAnsi="宋体" w:cs="宋体"/>
          <w:color w:val="auto"/>
          <w:highlight w:val="none"/>
          <w:lang w:eastAsia="zh-CN" w:bidi="ar"/>
        </w:rPr>
        <w:t>,具</w:t>
      </w:r>
      <w:r>
        <w:rPr>
          <w:rFonts w:hint="eastAsia" w:ascii="宋体" w:hAnsi="宋体" w:eastAsia="宋体" w:cs="宋体"/>
          <w:color w:val="auto"/>
          <w:highlight w:val="none"/>
          <w:lang w:bidi="ar"/>
        </w:rPr>
        <w:t>有违法所得的,并处没收违法所得,情节严重的,由</w:t>
      </w:r>
      <w:r>
        <w:rPr>
          <w:rFonts w:hint="eastAsia" w:ascii="宋体" w:hAnsi="宋体" w:eastAsia="宋体" w:cs="宋体"/>
          <w:color w:val="auto"/>
          <w:highlight w:val="none"/>
          <w:lang w:eastAsia="zh-CN" w:bidi="ar"/>
        </w:rPr>
        <w:t>市场监督</w:t>
      </w:r>
      <w:r>
        <w:rPr>
          <w:rFonts w:hint="eastAsia" w:ascii="宋体" w:hAnsi="宋体" w:eastAsia="宋体" w:cs="宋体"/>
          <w:color w:val="auto"/>
          <w:highlight w:val="none"/>
          <w:lang w:bidi="ar"/>
        </w:rPr>
        <w:t>管理机关吊销营业执照;构成犯罪的,依法追究刑事责任:</w:t>
      </w:r>
    </w:p>
    <w:p w14:paraId="74DF718C">
      <w:pPr>
        <w:pStyle w:val="36"/>
        <w:numPr>
          <w:ilvl w:val="1"/>
          <w:numId w:val="24"/>
        </w:numPr>
        <w:tabs>
          <w:tab w:val="left" w:pos="171"/>
        </w:tabs>
        <w:spacing w:line="312" w:lineRule="auto"/>
        <w:ind w:firstLine="48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提供虚假材料谋取中标的；</w:t>
      </w:r>
    </w:p>
    <w:p w14:paraId="7CA34496">
      <w:pPr>
        <w:pStyle w:val="36"/>
        <w:numPr>
          <w:ilvl w:val="1"/>
          <w:numId w:val="24"/>
        </w:numPr>
        <w:tabs>
          <w:tab w:val="left" w:pos="171"/>
        </w:tabs>
        <w:spacing w:line="312" w:lineRule="auto"/>
        <w:ind w:firstLine="48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采取不正当手段诋毁、排挤其他投标人的；</w:t>
      </w:r>
    </w:p>
    <w:p w14:paraId="0E379FEB">
      <w:pPr>
        <w:pStyle w:val="36"/>
        <w:numPr>
          <w:ilvl w:val="1"/>
          <w:numId w:val="24"/>
        </w:numPr>
        <w:tabs>
          <w:tab w:val="left" w:pos="171"/>
        </w:tabs>
        <w:spacing w:line="312" w:lineRule="auto"/>
        <w:ind w:firstLine="48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与采购人、采购代理机构、其他投标人恶意串通的；</w:t>
      </w:r>
    </w:p>
    <w:p w14:paraId="31DABEC9">
      <w:pPr>
        <w:pStyle w:val="36"/>
        <w:numPr>
          <w:ilvl w:val="1"/>
          <w:numId w:val="24"/>
        </w:numPr>
        <w:tabs>
          <w:tab w:val="left" w:pos="171"/>
        </w:tabs>
        <w:spacing w:line="312" w:lineRule="auto"/>
        <w:ind w:firstLine="48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向采购人、采购代理机构行贿或者提供其他不正当利益的；</w:t>
      </w:r>
    </w:p>
    <w:p w14:paraId="7B3AE8F2">
      <w:pPr>
        <w:pStyle w:val="36"/>
        <w:numPr>
          <w:ilvl w:val="1"/>
          <w:numId w:val="24"/>
        </w:numPr>
        <w:tabs>
          <w:tab w:val="left" w:pos="171"/>
        </w:tabs>
        <w:spacing w:line="312" w:lineRule="auto"/>
        <w:ind w:firstLine="48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在招标过程中与采购人进行协商谈判、不按照招标文件和中标人的投标文件订立合同,或者与采购人另行订立背离合同实质性内容的协议的；</w:t>
      </w:r>
    </w:p>
    <w:p w14:paraId="2DD243BD">
      <w:pPr>
        <w:pStyle w:val="36"/>
        <w:numPr>
          <w:ilvl w:val="1"/>
          <w:numId w:val="24"/>
        </w:numPr>
        <w:tabs>
          <w:tab w:val="left" w:pos="171"/>
        </w:tabs>
        <w:spacing w:line="312" w:lineRule="auto"/>
        <w:ind w:firstLine="48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拒绝有关部门监督检查或者提供虚假情况的。</w:t>
      </w:r>
    </w:p>
    <w:p w14:paraId="7AA51B2D">
      <w:pPr>
        <w:pStyle w:val="10"/>
        <w:numPr>
          <w:ilvl w:val="1"/>
          <w:numId w:val="0"/>
        </w:numPr>
        <w:spacing w:beforeLines="0" w:afterLines="0" w:line="312" w:lineRule="auto"/>
        <w:rPr>
          <w:rFonts w:ascii="宋体" w:hAnsi="宋体" w:cs="宋体"/>
          <w:b/>
          <w:bCs w:val="0"/>
          <w:color w:val="auto"/>
          <w:highlight w:val="none"/>
        </w:rPr>
      </w:pPr>
      <w:bookmarkStart w:id="393" w:name="_Toc14594"/>
      <w:bookmarkStart w:id="394" w:name="_Toc24411"/>
      <w:r>
        <w:rPr>
          <w:rFonts w:hint="eastAsia" w:ascii="宋体" w:hAnsi="宋体" w:cs="宋体"/>
          <w:b/>
          <w:bCs w:val="0"/>
          <w:color w:val="auto"/>
          <w:highlight w:val="none"/>
        </w:rPr>
        <w:t>十四、诚信管理</w:t>
      </w:r>
      <w:bookmarkEnd w:id="393"/>
      <w:bookmarkEnd w:id="394"/>
    </w:p>
    <w:p w14:paraId="12010B4C">
      <w:pPr>
        <w:pStyle w:val="36"/>
        <w:numPr>
          <w:ilvl w:val="0"/>
          <w:numId w:val="24"/>
        </w:numPr>
        <w:adjustRightInd w:val="0"/>
        <w:spacing w:line="500" w:lineRule="exact"/>
        <w:ind w:firstLine="480" w:firstLineChars="200"/>
        <w:jc w:val="both"/>
        <w:rPr>
          <w:rFonts w:hint="eastAsia" w:ascii="宋体" w:hAnsi="宋体" w:eastAsia="宋体" w:cs="宋体"/>
          <w:color w:val="auto"/>
          <w:highlight w:val="none"/>
          <w:lang w:bidi="ar"/>
        </w:rPr>
      </w:pPr>
      <w:r>
        <w:rPr>
          <w:rFonts w:hint="eastAsia" w:ascii="宋体" w:hAnsi="宋体" w:eastAsia="宋体" w:cs="宋体"/>
          <w:color w:val="auto"/>
          <w:highlight w:val="none"/>
          <w:lang w:bidi="ar"/>
        </w:rPr>
        <w:t>投标人有下列情形之一的，依据《关于印发浙江省政府投标人注册及诚信管理暂行办法通知》[浙财采监字〔2009〕28号]文件第三十八条和第三十九条的规定记录不良行为、黑名单及处罚。</w:t>
      </w:r>
    </w:p>
    <w:p w14:paraId="05272141">
      <w:pPr>
        <w:pStyle w:val="36"/>
        <w:numPr>
          <w:ilvl w:val="1"/>
          <w:numId w:val="24"/>
        </w:numPr>
        <w:tabs>
          <w:tab w:val="left" w:pos="171"/>
        </w:tabs>
        <w:spacing w:line="500" w:lineRule="exact"/>
        <w:ind w:firstLine="48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注册投标人有下列情形之一的，采购人或采购代理机构应按不良行为记入该注册投标人诚信档案中：</w:t>
      </w:r>
    </w:p>
    <w:p w14:paraId="066CC69B">
      <w:pPr>
        <w:adjustRightInd w:val="0"/>
        <w:snapToGrid w:val="0"/>
        <w:spacing w:line="312" w:lineRule="auto"/>
        <w:ind w:firstLine="480"/>
        <w:rPr>
          <w:rFonts w:ascii="宋体" w:hAnsi="宋体"/>
          <w:color w:val="auto"/>
          <w:highlight w:val="none"/>
        </w:rPr>
      </w:pPr>
      <w:r>
        <w:rPr>
          <w:rFonts w:hint="eastAsia" w:ascii="宋体" w:hAnsi="宋体"/>
          <w:color w:val="auto"/>
          <w:highlight w:val="none"/>
        </w:rPr>
        <w:t>（一）开标后擅自撤回采购投标文件，影响采购活动继续进行的；</w:t>
      </w:r>
    </w:p>
    <w:p w14:paraId="6A4F4C04">
      <w:pPr>
        <w:adjustRightInd w:val="0"/>
        <w:snapToGrid w:val="0"/>
        <w:spacing w:line="312" w:lineRule="auto"/>
        <w:ind w:firstLine="480"/>
        <w:rPr>
          <w:rFonts w:ascii="宋体" w:hAnsi="宋体"/>
          <w:color w:val="auto"/>
          <w:highlight w:val="none"/>
        </w:rPr>
      </w:pPr>
      <w:r>
        <w:rPr>
          <w:rFonts w:hint="eastAsia" w:ascii="宋体" w:hAnsi="宋体"/>
          <w:color w:val="auto"/>
          <w:highlight w:val="none"/>
        </w:rPr>
        <w:t>（二）中标、成交后无正当理由拒绝签订国企采购合同，或者与采购人另行订立背离合同实质内容的协议的；</w:t>
      </w:r>
    </w:p>
    <w:p w14:paraId="0E48FEA1">
      <w:pPr>
        <w:adjustRightInd w:val="0"/>
        <w:snapToGrid w:val="0"/>
        <w:spacing w:line="312" w:lineRule="auto"/>
        <w:ind w:firstLine="480"/>
        <w:rPr>
          <w:rFonts w:ascii="宋体" w:hAnsi="宋体"/>
          <w:color w:val="auto"/>
          <w:highlight w:val="none"/>
        </w:rPr>
      </w:pPr>
      <w:r>
        <w:rPr>
          <w:rFonts w:hint="eastAsia" w:ascii="宋体" w:hAnsi="宋体"/>
          <w:color w:val="auto"/>
          <w:highlight w:val="none"/>
        </w:rPr>
        <w:t>（三）无正当理由拒绝履行合同和有关承诺，或擅自变更、中止（终止）国企采购合同的；</w:t>
      </w:r>
    </w:p>
    <w:p w14:paraId="279869A8">
      <w:pPr>
        <w:adjustRightInd w:val="0"/>
        <w:snapToGrid w:val="0"/>
        <w:spacing w:line="312" w:lineRule="auto"/>
        <w:ind w:firstLine="480"/>
        <w:rPr>
          <w:rFonts w:ascii="宋体" w:hAnsi="宋体"/>
          <w:color w:val="auto"/>
          <w:highlight w:val="none"/>
        </w:rPr>
      </w:pPr>
      <w:r>
        <w:rPr>
          <w:rFonts w:hint="eastAsia" w:ascii="宋体" w:hAnsi="宋体"/>
          <w:color w:val="auto"/>
          <w:highlight w:val="none"/>
        </w:rPr>
        <w:t>（四）超过合同约定的供货（或服务）时间达10日以上的；</w:t>
      </w:r>
    </w:p>
    <w:p w14:paraId="77277C71">
      <w:pPr>
        <w:adjustRightInd w:val="0"/>
        <w:snapToGrid w:val="0"/>
        <w:spacing w:line="312" w:lineRule="auto"/>
        <w:ind w:firstLine="480"/>
        <w:rPr>
          <w:rFonts w:ascii="宋体" w:hAnsi="宋体"/>
          <w:color w:val="auto"/>
          <w:highlight w:val="none"/>
        </w:rPr>
      </w:pPr>
      <w:r>
        <w:rPr>
          <w:rFonts w:hint="eastAsia" w:ascii="宋体" w:hAnsi="宋体"/>
          <w:color w:val="auto"/>
          <w:highlight w:val="none"/>
        </w:rPr>
        <w:t>（五）中标、成交后，将国企采购合同转包或擅自分包给其他投标人的；</w:t>
      </w:r>
    </w:p>
    <w:p w14:paraId="351A8992">
      <w:pPr>
        <w:adjustRightInd w:val="0"/>
        <w:snapToGrid w:val="0"/>
        <w:spacing w:line="312" w:lineRule="auto"/>
        <w:ind w:firstLine="480"/>
        <w:rPr>
          <w:rFonts w:ascii="宋体" w:hAnsi="宋体"/>
          <w:color w:val="auto"/>
          <w:highlight w:val="none"/>
        </w:rPr>
      </w:pPr>
      <w:r>
        <w:rPr>
          <w:rFonts w:hint="eastAsia" w:ascii="宋体" w:hAnsi="宋体"/>
          <w:color w:val="auto"/>
          <w:highlight w:val="none"/>
        </w:rPr>
        <w:t>（六）提供假冒伪劣产品或走私物品的；</w:t>
      </w:r>
    </w:p>
    <w:p w14:paraId="79156942">
      <w:pPr>
        <w:adjustRightInd w:val="0"/>
        <w:snapToGrid w:val="0"/>
        <w:spacing w:line="312" w:lineRule="auto"/>
        <w:ind w:firstLine="480"/>
        <w:rPr>
          <w:rFonts w:ascii="宋体" w:hAnsi="宋体"/>
          <w:color w:val="auto"/>
          <w:highlight w:val="none"/>
        </w:rPr>
      </w:pPr>
      <w:r>
        <w:rPr>
          <w:rFonts w:hint="eastAsia" w:ascii="宋体" w:hAnsi="宋体"/>
          <w:color w:val="auto"/>
          <w:highlight w:val="none"/>
        </w:rPr>
        <w:t>（七）擅自降低产品质量等次和售后服务，或以次充好、偷工减料的；</w:t>
      </w:r>
    </w:p>
    <w:p w14:paraId="548530A9">
      <w:pPr>
        <w:adjustRightInd w:val="0"/>
        <w:snapToGrid w:val="0"/>
        <w:spacing w:line="312" w:lineRule="auto"/>
        <w:ind w:firstLine="480"/>
        <w:rPr>
          <w:rFonts w:ascii="宋体" w:hAnsi="宋体"/>
          <w:color w:val="auto"/>
          <w:highlight w:val="none"/>
        </w:rPr>
      </w:pPr>
      <w:r>
        <w:rPr>
          <w:rFonts w:hint="eastAsia" w:ascii="宋体" w:hAnsi="宋体"/>
          <w:color w:val="auto"/>
          <w:highlight w:val="none"/>
        </w:rPr>
        <w:t>（八）实际提供的有关产品性能指标和技术服务能力明显低于采购响应文件或询标、谈判时的承诺；</w:t>
      </w:r>
    </w:p>
    <w:p w14:paraId="718A738A">
      <w:pPr>
        <w:adjustRightInd w:val="0"/>
        <w:snapToGrid w:val="0"/>
        <w:spacing w:line="312" w:lineRule="auto"/>
        <w:ind w:firstLine="480"/>
        <w:rPr>
          <w:rFonts w:ascii="宋体" w:hAnsi="宋体"/>
          <w:color w:val="auto"/>
          <w:highlight w:val="none"/>
        </w:rPr>
      </w:pPr>
      <w:r>
        <w:rPr>
          <w:rFonts w:hint="eastAsia" w:ascii="宋体" w:hAnsi="宋体"/>
          <w:color w:val="auto"/>
          <w:highlight w:val="none"/>
        </w:rPr>
        <w:t>（九）在投标人库中发布的产品服务信息或在政府采购网上宣传的信息与实际明显不符，或故意误导采购人的；</w:t>
      </w:r>
    </w:p>
    <w:p w14:paraId="2BB49114">
      <w:pPr>
        <w:adjustRightInd w:val="0"/>
        <w:snapToGrid w:val="0"/>
        <w:spacing w:line="312" w:lineRule="auto"/>
        <w:ind w:firstLine="480"/>
        <w:rPr>
          <w:rFonts w:ascii="宋体" w:hAnsi="宋体"/>
          <w:color w:val="auto"/>
          <w:highlight w:val="none"/>
        </w:rPr>
      </w:pPr>
      <w:r>
        <w:rPr>
          <w:rFonts w:hint="eastAsia" w:ascii="宋体" w:hAnsi="宋体"/>
          <w:color w:val="auto"/>
          <w:highlight w:val="none"/>
        </w:rPr>
        <w:t>（十）不按规定或不及时变更投标人库中的有关信息的；</w:t>
      </w:r>
    </w:p>
    <w:p w14:paraId="3FE6450A">
      <w:pPr>
        <w:adjustRightInd w:val="0"/>
        <w:snapToGrid w:val="0"/>
        <w:spacing w:line="312" w:lineRule="auto"/>
        <w:ind w:firstLine="480"/>
        <w:rPr>
          <w:rFonts w:ascii="宋体" w:hAnsi="宋体"/>
          <w:color w:val="auto"/>
          <w:highlight w:val="none"/>
        </w:rPr>
      </w:pPr>
      <w:r>
        <w:rPr>
          <w:rFonts w:hint="eastAsia" w:ascii="宋体" w:hAnsi="宋体"/>
          <w:color w:val="auto"/>
          <w:highlight w:val="none"/>
        </w:rPr>
        <w:t>（十一）1年内在全省被质疑或投诉累计分别在20和10次以上且60%以上被驳回的，或恶意举报给采购人或采购代理机构造成损害的；</w:t>
      </w:r>
    </w:p>
    <w:p w14:paraId="63A01AFD">
      <w:pPr>
        <w:adjustRightInd w:val="0"/>
        <w:snapToGrid w:val="0"/>
        <w:spacing w:line="312" w:lineRule="auto"/>
        <w:ind w:firstLine="480"/>
        <w:rPr>
          <w:rFonts w:ascii="宋体" w:hAnsi="宋体"/>
          <w:color w:val="auto"/>
          <w:highlight w:val="none"/>
        </w:rPr>
      </w:pPr>
      <w:r>
        <w:rPr>
          <w:rFonts w:hint="eastAsia" w:ascii="宋体" w:hAnsi="宋体"/>
          <w:color w:val="auto"/>
          <w:highlight w:val="none"/>
        </w:rPr>
        <w:t>（十二）各级财政部门认定的</w:t>
      </w:r>
      <w:r>
        <w:rPr>
          <w:rFonts w:hint="eastAsia" w:ascii="宋体" w:hAnsi="宋体"/>
          <w:color w:val="auto"/>
          <w:highlight w:val="none"/>
          <w:lang w:eastAsia="zh-CN"/>
        </w:rPr>
        <w:t>其他</w:t>
      </w:r>
      <w:r>
        <w:rPr>
          <w:rFonts w:hint="eastAsia" w:ascii="宋体" w:hAnsi="宋体"/>
          <w:color w:val="auto"/>
          <w:highlight w:val="none"/>
        </w:rPr>
        <w:t>有违诚实信用的行为。</w:t>
      </w:r>
    </w:p>
    <w:p w14:paraId="5E6AA478">
      <w:pPr>
        <w:pStyle w:val="36"/>
        <w:numPr>
          <w:ilvl w:val="1"/>
          <w:numId w:val="24"/>
        </w:numPr>
        <w:tabs>
          <w:tab w:val="left" w:pos="171"/>
        </w:tabs>
        <w:spacing w:line="500" w:lineRule="exact"/>
        <w:ind w:firstLine="48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注册投标人有下列情形之一的，采购人或采购代理机构应向同级主管部门书面报告，并提请主管部门将其列入“黑名单”或者依法作出处罚；各级主管部门在依法处罚的同时，应将该情况按不良行为记入该投标人诚信档案中，同时将该投标人列入“黑名单”公开曝光：</w:t>
      </w:r>
    </w:p>
    <w:p w14:paraId="60100D8A">
      <w:pPr>
        <w:pStyle w:val="36"/>
        <w:numPr>
          <w:ilvl w:val="255"/>
          <w:numId w:val="0"/>
        </w:numPr>
        <w:tabs>
          <w:tab w:val="left" w:pos="0"/>
          <w:tab w:val="left" w:pos="171"/>
        </w:tabs>
        <w:spacing w:line="312" w:lineRule="auto"/>
        <w:ind w:firstLine="480" w:firstLineChars="200"/>
        <w:rPr>
          <w:rFonts w:ascii="宋体" w:hAnsi="宋体" w:cs="宋体"/>
          <w:color w:val="auto"/>
          <w:highlight w:val="none"/>
          <w:lang w:bidi="ar"/>
        </w:rPr>
      </w:pPr>
      <w:r>
        <w:rPr>
          <w:rFonts w:hint="eastAsia" w:ascii="宋体" w:hAnsi="宋体" w:cs="宋体"/>
          <w:color w:val="auto"/>
          <w:highlight w:val="none"/>
          <w:lang w:bidi="ar"/>
        </w:rPr>
        <w:t>（一）提供虚假材料谋取中标、成交的；</w:t>
      </w:r>
    </w:p>
    <w:p w14:paraId="526952BC">
      <w:pPr>
        <w:adjustRightInd w:val="0"/>
        <w:snapToGrid w:val="0"/>
        <w:spacing w:line="312" w:lineRule="auto"/>
        <w:ind w:firstLine="480"/>
        <w:rPr>
          <w:rFonts w:ascii="宋体" w:hAnsi="宋体"/>
          <w:color w:val="auto"/>
          <w:highlight w:val="none"/>
        </w:rPr>
      </w:pPr>
      <w:r>
        <w:rPr>
          <w:rFonts w:hint="eastAsia" w:ascii="宋体" w:hAnsi="宋体"/>
          <w:color w:val="auto"/>
          <w:highlight w:val="none"/>
        </w:rPr>
        <w:t>（二）采取不正当手段诋毁、排挤其他投标人的；</w:t>
      </w:r>
    </w:p>
    <w:p w14:paraId="169AE2E0">
      <w:pPr>
        <w:adjustRightInd w:val="0"/>
        <w:snapToGrid w:val="0"/>
        <w:spacing w:line="312" w:lineRule="auto"/>
        <w:ind w:firstLine="480"/>
        <w:rPr>
          <w:rFonts w:ascii="宋体" w:hAnsi="宋体"/>
          <w:color w:val="auto"/>
          <w:highlight w:val="none"/>
        </w:rPr>
      </w:pPr>
      <w:r>
        <w:rPr>
          <w:rFonts w:hint="eastAsia" w:ascii="宋体" w:hAnsi="宋体"/>
          <w:color w:val="auto"/>
          <w:highlight w:val="none"/>
        </w:rPr>
        <w:t>（三）与采购人、其他投标人或者采购代理机构恶意串通的；</w:t>
      </w:r>
    </w:p>
    <w:p w14:paraId="7B782A37">
      <w:pPr>
        <w:adjustRightInd w:val="0"/>
        <w:snapToGrid w:val="0"/>
        <w:spacing w:line="312" w:lineRule="auto"/>
        <w:ind w:firstLine="480"/>
        <w:rPr>
          <w:rFonts w:ascii="宋体" w:hAnsi="宋体"/>
          <w:color w:val="auto"/>
          <w:highlight w:val="none"/>
        </w:rPr>
      </w:pPr>
      <w:r>
        <w:rPr>
          <w:rFonts w:hint="eastAsia" w:ascii="宋体" w:hAnsi="宋体"/>
          <w:color w:val="auto"/>
          <w:highlight w:val="none"/>
        </w:rPr>
        <w:t>（四）向采购人、采购代理机构行贿或提供其他不正当利益，或因此被其他国家机关立案查实的；</w:t>
      </w:r>
    </w:p>
    <w:p w14:paraId="5DCD9AC3">
      <w:pPr>
        <w:adjustRightInd w:val="0"/>
        <w:snapToGrid w:val="0"/>
        <w:spacing w:line="312" w:lineRule="auto"/>
        <w:ind w:firstLine="480"/>
        <w:rPr>
          <w:rFonts w:ascii="宋体" w:hAnsi="宋体"/>
          <w:color w:val="auto"/>
          <w:highlight w:val="none"/>
        </w:rPr>
      </w:pPr>
      <w:r>
        <w:rPr>
          <w:rFonts w:hint="eastAsia" w:ascii="宋体" w:hAnsi="宋体"/>
          <w:color w:val="auto"/>
          <w:highlight w:val="none"/>
        </w:rPr>
        <w:t>（五）在招标采购过程中与采购人进行协商谈判的；</w:t>
      </w:r>
    </w:p>
    <w:p w14:paraId="64360676">
      <w:pPr>
        <w:adjustRightInd w:val="0"/>
        <w:snapToGrid w:val="0"/>
        <w:spacing w:line="312" w:lineRule="auto"/>
        <w:ind w:firstLine="480"/>
        <w:rPr>
          <w:rFonts w:ascii="宋体" w:hAnsi="宋体"/>
          <w:color w:val="auto"/>
          <w:highlight w:val="none"/>
        </w:rPr>
      </w:pPr>
      <w:r>
        <w:rPr>
          <w:rFonts w:hint="eastAsia" w:ascii="宋体" w:hAnsi="宋体"/>
          <w:color w:val="auto"/>
          <w:highlight w:val="none"/>
        </w:rPr>
        <w:t>（六）哄抬、操纵国企采购报价，或国企采购价格（包括产品及其配件、试剂、耗材等价格）明显高于市场平均价的；</w:t>
      </w:r>
    </w:p>
    <w:p w14:paraId="264B9E18">
      <w:pPr>
        <w:adjustRightInd w:val="0"/>
        <w:snapToGrid w:val="0"/>
        <w:spacing w:line="312" w:lineRule="auto"/>
        <w:ind w:firstLine="480"/>
        <w:rPr>
          <w:rFonts w:ascii="宋体" w:hAnsi="宋体"/>
          <w:color w:val="auto"/>
          <w:highlight w:val="none"/>
        </w:rPr>
      </w:pPr>
      <w:r>
        <w:rPr>
          <w:rFonts w:hint="eastAsia" w:ascii="宋体" w:hAnsi="宋体"/>
          <w:color w:val="auto"/>
          <w:highlight w:val="none"/>
        </w:rPr>
        <w:t>（七）提供虚假材料骗取注册投标人资格的；</w:t>
      </w:r>
    </w:p>
    <w:p w14:paraId="5E331232">
      <w:pPr>
        <w:adjustRightInd w:val="0"/>
        <w:snapToGrid w:val="0"/>
        <w:spacing w:line="312" w:lineRule="auto"/>
        <w:ind w:firstLine="480"/>
        <w:rPr>
          <w:rFonts w:ascii="宋体" w:hAnsi="宋体"/>
          <w:color w:val="auto"/>
          <w:highlight w:val="none"/>
        </w:rPr>
      </w:pPr>
      <w:r>
        <w:rPr>
          <w:rFonts w:hint="eastAsia" w:ascii="宋体" w:hAnsi="宋体"/>
          <w:color w:val="auto"/>
          <w:highlight w:val="none"/>
        </w:rPr>
        <w:t>（八）伪造《浙江省政府采购注册投标人信息登记表》的；</w:t>
      </w:r>
    </w:p>
    <w:p w14:paraId="0CA26662">
      <w:pPr>
        <w:adjustRightInd w:val="0"/>
        <w:snapToGrid w:val="0"/>
        <w:spacing w:line="312" w:lineRule="auto"/>
        <w:ind w:firstLine="480"/>
        <w:rPr>
          <w:rFonts w:ascii="宋体" w:hAnsi="宋体"/>
          <w:color w:val="auto"/>
          <w:highlight w:val="none"/>
        </w:rPr>
      </w:pPr>
      <w:r>
        <w:rPr>
          <w:rFonts w:hint="eastAsia" w:ascii="宋体" w:hAnsi="宋体"/>
          <w:color w:val="auto"/>
          <w:highlight w:val="none"/>
        </w:rPr>
        <w:t>（九）销售或发布</w:t>
      </w:r>
      <w:r>
        <w:rPr>
          <w:rFonts w:hint="eastAsia" w:ascii="宋体" w:hAnsi="宋体"/>
          <w:color w:val="auto"/>
          <w:highlight w:val="none"/>
          <w:lang w:eastAsia="zh-CN"/>
        </w:rPr>
        <w:t>法律法规</w:t>
      </w:r>
      <w:r>
        <w:rPr>
          <w:rFonts w:hint="eastAsia" w:ascii="宋体" w:hAnsi="宋体"/>
          <w:color w:val="auto"/>
          <w:highlight w:val="none"/>
        </w:rPr>
        <w:t>禁止销售的商品、服务和其他违法信息的；</w:t>
      </w:r>
    </w:p>
    <w:p w14:paraId="5CD02FAC">
      <w:pPr>
        <w:adjustRightInd w:val="0"/>
        <w:snapToGrid w:val="0"/>
        <w:spacing w:line="312" w:lineRule="auto"/>
        <w:ind w:firstLine="480"/>
        <w:rPr>
          <w:rFonts w:ascii="宋体" w:hAnsi="宋体"/>
          <w:color w:val="auto"/>
          <w:highlight w:val="none"/>
        </w:rPr>
      </w:pPr>
      <w:r>
        <w:rPr>
          <w:rFonts w:hint="eastAsia" w:ascii="宋体" w:hAnsi="宋体"/>
          <w:color w:val="auto"/>
          <w:highlight w:val="none"/>
        </w:rPr>
        <w:t>（十）</w:t>
      </w:r>
      <w:r>
        <w:rPr>
          <w:rFonts w:hint="eastAsia" w:ascii="宋体" w:hAnsi="宋体"/>
          <w:color w:val="auto"/>
          <w:highlight w:val="none"/>
          <w:lang w:eastAsia="zh-CN"/>
        </w:rPr>
        <w:t>其他违反法律法规</w:t>
      </w:r>
      <w:r>
        <w:rPr>
          <w:rFonts w:hint="eastAsia" w:ascii="宋体" w:hAnsi="宋体"/>
          <w:color w:val="auto"/>
          <w:highlight w:val="none"/>
        </w:rPr>
        <w:t>和政府采购管理有关规定的行为的。</w:t>
      </w:r>
    </w:p>
    <w:p w14:paraId="32EB533A">
      <w:pPr>
        <w:pStyle w:val="10"/>
        <w:numPr>
          <w:ilvl w:val="1"/>
          <w:numId w:val="0"/>
        </w:numPr>
        <w:spacing w:beforeLines="0" w:afterLines="0" w:line="312" w:lineRule="auto"/>
        <w:rPr>
          <w:rFonts w:ascii="宋体" w:hAnsi="宋体" w:cs="宋体"/>
          <w:b/>
          <w:bCs w:val="0"/>
          <w:color w:val="auto"/>
          <w:highlight w:val="none"/>
          <w:lang w:bidi="ar"/>
        </w:rPr>
      </w:pPr>
      <w:bookmarkStart w:id="395" w:name="_Toc10464"/>
      <w:bookmarkStart w:id="396" w:name="_Toc14532"/>
      <w:r>
        <w:rPr>
          <w:rFonts w:hint="eastAsia" w:ascii="宋体" w:hAnsi="宋体" w:cs="宋体"/>
          <w:b/>
          <w:bCs w:val="0"/>
          <w:color w:val="auto"/>
          <w:highlight w:val="none"/>
          <w:lang w:bidi="ar"/>
        </w:rPr>
        <w:t>十五、其他</w:t>
      </w:r>
      <w:bookmarkEnd w:id="395"/>
      <w:bookmarkEnd w:id="396"/>
    </w:p>
    <w:p w14:paraId="13B47A5C">
      <w:pPr>
        <w:pStyle w:val="36"/>
        <w:numPr>
          <w:ilvl w:val="0"/>
          <w:numId w:val="24"/>
        </w:numPr>
        <w:adjustRightInd w:val="0"/>
        <w:spacing w:line="312" w:lineRule="auto"/>
        <w:ind w:firstLine="480" w:firstLineChars="200"/>
        <w:jc w:val="both"/>
        <w:rPr>
          <w:rFonts w:hint="eastAsia" w:ascii="宋体" w:hAnsi="宋体" w:eastAsia="宋体" w:cs="宋体"/>
          <w:color w:val="auto"/>
          <w:highlight w:val="none"/>
          <w:lang w:bidi="ar"/>
        </w:rPr>
      </w:pPr>
      <w:r>
        <w:rPr>
          <w:rFonts w:hint="eastAsia" w:ascii="宋体" w:hAnsi="宋体" w:eastAsia="宋体" w:cs="宋体"/>
          <w:color w:val="auto"/>
          <w:highlight w:val="none"/>
          <w:lang w:bidi="ar"/>
        </w:rPr>
        <w:t>解释权：本招标文件是依据《</w:t>
      </w:r>
      <w:r>
        <w:rPr>
          <w:rFonts w:hint="eastAsia" w:ascii="宋体" w:hAnsi="宋体" w:cs="宋体"/>
          <w:color w:val="auto"/>
          <w:highlight w:val="none"/>
          <w:lang w:eastAsia="zh-CN" w:bidi="ar"/>
        </w:rPr>
        <w:t>中华人民共和国政府采购法</w:t>
      </w:r>
      <w:r>
        <w:rPr>
          <w:rFonts w:hint="eastAsia" w:ascii="宋体" w:hAnsi="宋体" w:eastAsia="宋体" w:cs="宋体"/>
          <w:color w:val="auto"/>
          <w:highlight w:val="none"/>
          <w:lang w:bidi="ar"/>
        </w:rPr>
        <w:t>》及有关规定编制的，解释权属采购人。</w:t>
      </w:r>
    </w:p>
    <w:p w14:paraId="5ECF2567">
      <w:pPr>
        <w:pStyle w:val="36"/>
        <w:numPr>
          <w:ilvl w:val="0"/>
          <w:numId w:val="24"/>
        </w:numPr>
        <w:adjustRightInd w:val="0"/>
        <w:spacing w:line="312" w:lineRule="auto"/>
        <w:ind w:firstLine="480" w:firstLineChars="200"/>
        <w:jc w:val="both"/>
        <w:rPr>
          <w:rFonts w:hint="eastAsia" w:ascii="宋体" w:hAnsi="宋体" w:eastAsia="宋体" w:cs="宋体"/>
          <w:color w:val="auto"/>
          <w:highlight w:val="none"/>
          <w:lang w:bidi="ar"/>
        </w:rPr>
      </w:pPr>
      <w:r>
        <w:rPr>
          <w:rFonts w:hint="eastAsia" w:ascii="宋体" w:hAnsi="宋体" w:eastAsia="宋体" w:cs="宋体"/>
          <w:color w:val="auto"/>
          <w:highlight w:val="none"/>
          <w:lang w:bidi="ar"/>
        </w:rPr>
        <w:t>联系方式：所有与招标有关的函电请按下面联系，其他任何方式或信息来源均无效。</w:t>
      </w:r>
    </w:p>
    <w:p w14:paraId="5FEB8102">
      <w:pPr>
        <w:pStyle w:val="36"/>
        <w:tabs>
          <w:tab w:val="left" w:pos="0"/>
        </w:tabs>
        <w:adjustRightInd w:val="0"/>
        <w:spacing w:line="312" w:lineRule="auto"/>
        <w:ind w:firstLine="480" w:firstLineChars="200"/>
        <w:rPr>
          <w:rFonts w:ascii="宋体" w:hAnsi="宋体" w:cs="宋体"/>
          <w:color w:val="auto"/>
          <w:highlight w:val="none"/>
          <w:lang w:bidi="ar"/>
        </w:rPr>
      </w:pPr>
      <w:r>
        <w:rPr>
          <w:rFonts w:hint="eastAsia" w:ascii="宋体" w:hAnsi="宋体" w:cs="宋体"/>
          <w:color w:val="auto"/>
          <w:highlight w:val="none"/>
          <w:lang w:bidi="ar"/>
        </w:rPr>
        <w:t>通讯地址：衢州宇信工程咨询有限公司 （龙游县龙洲街道广和商务楼3楼306室）</w:t>
      </w:r>
    </w:p>
    <w:p w14:paraId="12761D16">
      <w:pPr>
        <w:pStyle w:val="36"/>
        <w:tabs>
          <w:tab w:val="left" w:pos="0"/>
        </w:tabs>
        <w:adjustRightInd w:val="0"/>
        <w:spacing w:line="312" w:lineRule="auto"/>
        <w:ind w:firstLine="480" w:firstLineChars="200"/>
        <w:rPr>
          <w:rFonts w:ascii="宋体" w:hAnsi="宋体" w:cs="宋体"/>
          <w:color w:val="auto"/>
          <w:highlight w:val="none"/>
          <w:lang w:bidi="ar"/>
        </w:rPr>
      </w:pPr>
      <w:r>
        <w:rPr>
          <w:rFonts w:hint="eastAsia" w:ascii="宋体" w:hAnsi="宋体" w:cs="宋体"/>
          <w:color w:val="auto"/>
          <w:highlight w:val="none"/>
          <w:lang w:bidi="ar"/>
        </w:rPr>
        <w:t>项目联系人：徐女士   答疑咨询方式：0570-7018388</w:t>
      </w:r>
    </w:p>
    <w:p w14:paraId="2B0F768A">
      <w:pPr>
        <w:pStyle w:val="36"/>
        <w:tabs>
          <w:tab w:val="left" w:pos="0"/>
        </w:tabs>
        <w:adjustRightInd w:val="0"/>
        <w:spacing w:line="312" w:lineRule="auto"/>
        <w:ind w:firstLine="480" w:firstLineChars="200"/>
        <w:rPr>
          <w:rFonts w:ascii="宋体" w:hAnsi="宋体" w:cs="宋体"/>
          <w:color w:val="auto"/>
          <w:highlight w:val="none"/>
          <w:lang w:bidi="ar"/>
        </w:rPr>
      </w:pPr>
      <w:r>
        <w:rPr>
          <w:rFonts w:hint="eastAsia" w:ascii="宋体" w:hAnsi="宋体" w:cs="宋体"/>
          <w:color w:val="auto"/>
          <w:highlight w:val="none"/>
          <w:lang w:bidi="ar"/>
        </w:rPr>
        <w:t>公告网址：</w:t>
      </w:r>
      <w:r>
        <w:rPr>
          <w:rFonts w:hint="eastAsia" w:ascii="宋体" w:hAnsi="宋体" w:cs="宋体"/>
          <w:color w:val="auto"/>
          <w:szCs w:val="21"/>
          <w:highlight w:val="none"/>
        </w:rPr>
        <w:t>衢州市阳光交易服务平台https://qzygjy.com/”、“浙江政府采购网https://zfcg.czt.zj.gov.cn/”</w:t>
      </w:r>
      <w:r>
        <w:rPr>
          <w:rFonts w:hint="eastAsia" w:ascii="宋体" w:hAnsi="宋体" w:cs="宋体"/>
          <w:color w:val="auto"/>
          <w:szCs w:val="21"/>
          <w:highlight w:val="none"/>
          <w:lang w:eastAsia="zh-CN"/>
        </w:rPr>
        <w:t>。</w:t>
      </w:r>
    </w:p>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89"/>
    <w:bookmarkEnd w:id="392"/>
    <w:p w14:paraId="43027E0A">
      <w:pPr>
        <w:pStyle w:val="36"/>
        <w:tabs>
          <w:tab w:val="left" w:pos="0"/>
        </w:tabs>
        <w:adjustRightInd w:val="0"/>
        <w:spacing w:line="312" w:lineRule="auto"/>
        <w:ind w:left="480" w:leftChars="200" w:firstLine="0" w:firstLineChars="0"/>
        <w:rPr>
          <w:rFonts w:ascii="宋体" w:hAnsi="宋体" w:cs="宋体"/>
          <w:color w:val="auto"/>
          <w:highlight w:val="none"/>
          <w:lang w:bidi="ar"/>
        </w:rPr>
      </w:pPr>
    </w:p>
    <w:p w14:paraId="176D2BCA">
      <w:pPr>
        <w:pStyle w:val="36"/>
        <w:tabs>
          <w:tab w:val="left" w:pos="0"/>
        </w:tabs>
        <w:adjustRightInd w:val="0"/>
        <w:spacing w:line="312" w:lineRule="auto"/>
        <w:ind w:left="480" w:leftChars="200" w:firstLine="0" w:firstLineChars="0"/>
        <w:rPr>
          <w:rFonts w:ascii="宋体" w:hAnsi="宋体" w:cs="宋体"/>
          <w:color w:val="auto"/>
          <w:highlight w:val="none"/>
          <w:lang w:bidi="ar"/>
        </w:rPr>
      </w:pPr>
    </w:p>
    <w:p w14:paraId="418C9586">
      <w:pPr>
        <w:pStyle w:val="36"/>
        <w:tabs>
          <w:tab w:val="left" w:pos="0"/>
        </w:tabs>
        <w:adjustRightInd w:val="0"/>
        <w:spacing w:line="312" w:lineRule="auto"/>
        <w:ind w:left="480" w:leftChars="200" w:firstLine="0" w:firstLineChars="0"/>
        <w:rPr>
          <w:rFonts w:ascii="宋体" w:hAnsi="宋体" w:cs="宋体"/>
          <w:color w:val="auto"/>
          <w:highlight w:val="none"/>
          <w:lang w:bidi="ar"/>
        </w:rPr>
      </w:pPr>
    </w:p>
    <w:p w14:paraId="137C2C45">
      <w:pPr>
        <w:pStyle w:val="36"/>
        <w:tabs>
          <w:tab w:val="left" w:pos="0"/>
        </w:tabs>
        <w:adjustRightInd w:val="0"/>
        <w:spacing w:line="312" w:lineRule="auto"/>
        <w:ind w:left="480" w:leftChars="200" w:firstLine="0" w:firstLineChars="0"/>
        <w:rPr>
          <w:rFonts w:ascii="宋体" w:hAnsi="宋体" w:cs="宋体"/>
          <w:color w:val="auto"/>
          <w:highlight w:val="none"/>
          <w:lang w:bidi="ar"/>
        </w:rPr>
      </w:pPr>
    </w:p>
    <w:p w14:paraId="21A1C926">
      <w:pPr>
        <w:pStyle w:val="36"/>
        <w:tabs>
          <w:tab w:val="left" w:pos="0"/>
        </w:tabs>
        <w:adjustRightInd w:val="0"/>
        <w:spacing w:line="312" w:lineRule="auto"/>
        <w:ind w:left="480" w:leftChars="200" w:firstLine="0" w:firstLineChars="0"/>
        <w:rPr>
          <w:rFonts w:ascii="宋体" w:hAnsi="宋体" w:cs="宋体"/>
          <w:color w:val="auto"/>
          <w:highlight w:val="none"/>
          <w:lang w:bidi="ar"/>
        </w:rPr>
      </w:pPr>
    </w:p>
    <w:p w14:paraId="3E979A01">
      <w:pPr>
        <w:pStyle w:val="36"/>
        <w:tabs>
          <w:tab w:val="left" w:pos="0"/>
        </w:tabs>
        <w:adjustRightInd w:val="0"/>
        <w:spacing w:line="312" w:lineRule="auto"/>
        <w:ind w:left="480" w:leftChars="200" w:firstLine="0" w:firstLineChars="0"/>
        <w:rPr>
          <w:rFonts w:ascii="宋体" w:hAnsi="宋体" w:cs="宋体"/>
          <w:color w:val="auto"/>
          <w:highlight w:val="none"/>
          <w:lang w:bidi="ar"/>
        </w:rPr>
      </w:pPr>
    </w:p>
    <w:p w14:paraId="33FB528D">
      <w:pPr>
        <w:pStyle w:val="36"/>
        <w:tabs>
          <w:tab w:val="left" w:pos="0"/>
        </w:tabs>
        <w:adjustRightInd w:val="0"/>
        <w:spacing w:line="312" w:lineRule="auto"/>
        <w:ind w:left="480" w:leftChars="200" w:firstLine="0" w:firstLineChars="0"/>
        <w:rPr>
          <w:rFonts w:ascii="宋体" w:hAnsi="宋体" w:cs="宋体"/>
          <w:color w:val="auto"/>
          <w:highlight w:val="none"/>
          <w:lang w:bidi="ar"/>
        </w:rPr>
      </w:pPr>
    </w:p>
    <w:p w14:paraId="28F0017A">
      <w:pPr>
        <w:pStyle w:val="36"/>
        <w:tabs>
          <w:tab w:val="left" w:pos="0"/>
        </w:tabs>
        <w:adjustRightInd w:val="0"/>
        <w:spacing w:line="312" w:lineRule="auto"/>
        <w:ind w:left="480" w:leftChars="200" w:firstLine="0" w:firstLineChars="0"/>
        <w:rPr>
          <w:rFonts w:ascii="宋体" w:hAnsi="宋体" w:cs="宋体"/>
          <w:color w:val="auto"/>
          <w:highlight w:val="none"/>
          <w:lang w:bidi="ar"/>
        </w:rPr>
      </w:pPr>
    </w:p>
    <w:p w14:paraId="3EAE8FCD">
      <w:pPr>
        <w:pStyle w:val="36"/>
        <w:tabs>
          <w:tab w:val="left" w:pos="0"/>
        </w:tabs>
        <w:adjustRightInd w:val="0"/>
        <w:spacing w:line="312" w:lineRule="auto"/>
        <w:ind w:left="480" w:leftChars="200" w:firstLine="0" w:firstLineChars="0"/>
        <w:rPr>
          <w:rFonts w:ascii="宋体" w:hAnsi="宋体" w:cs="宋体"/>
          <w:color w:val="auto"/>
          <w:highlight w:val="none"/>
          <w:lang w:bidi="ar"/>
        </w:rPr>
      </w:pPr>
    </w:p>
    <w:p w14:paraId="0A2F4703">
      <w:pPr>
        <w:pStyle w:val="36"/>
        <w:tabs>
          <w:tab w:val="left" w:pos="0"/>
        </w:tabs>
        <w:adjustRightInd w:val="0"/>
        <w:spacing w:line="312" w:lineRule="auto"/>
        <w:ind w:firstLine="9840" w:firstLineChars="4100"/>
        <w:rPr>
          <w:rFonts w:ascii="宋体" w:hAnsi="宋体" w:cs="宋体"/>
          <w:color w:val="auto"/>
          <w:highlight w:val="none"/>
          <w:lang w:bidi="ar"/>
        </w:rPr>
      </w:pPr>
    </w:p>
    <w:p w14:paraId="32EF038C">
      <w:pPr>
        <w:pStyle w:val="36"/>
        <w:tabs>
          <w:tab w:val="left" w:pos="0"/>
        </w:tabs>
        <w:adjustRightInd w:val="0"/>
        <w:spacing w:line="312" w:lineRule="auto"/>
        <w:ind w:firstLine="9840" w:firstLineChars="4100"/>
        <w:rPr>
          <w:rFonts w:ascii="宋体" w:hAnsi="宋体" w:cs="宋体"/>
          <w:color w:val="auto"/>
          <w:highlight w:val="none"/>
          <w:lang w:bidi="ar"/>
        </w:rPr>
      </w:pPr>
    </w:p>
    <w:p w14:paraId="0B7D1EB8">
      <w:pPr>
        <w:pStyle w:val="36"/>
        <w:tabs>
          <w:tab w:val="left" w:pos="0"/>
        </w:tabs>
        <w:adjustRightInd w:val="0"/>
        <w:spacing w:line="312" w:lineRule="auto"/>
        <w:ind w:left="0" w:leftChars="0" w:firstLine="0" w:firstLineChars="0"/>
        <w:rPr>
          <w:rFonts w:ascii="宋体" w:hAnsi="宋体" w:cs="宋体"/>
          <w:color w:val="auto"/>
          <w:highlight w:val="none"/>
          <w:lang w:bidi="ar"/>
        </w:rPr>
      </w:pPr>
    </w:p>
    <w:p w14:paraId="5B1848F6">
      <w:pPr>
        <w:pStyle w:val="36"/>
        <w:tabs>
          <w:tab w:val="left" w:pos="0"/>
        </w:tabs>
        <w:adjustRightInd w:val="0"/>
        <w:spacing w:line="312" w:lineRule="auto"/>
        <w:ind w:firstLine="0" w:firstLineChars="0"/>
        <w:rPr>
          <w:rFonts w:hint="eastAsia" w:ascii="宋体" w:hAnsi="宋体" w:cs="宋体"/>
          <w:color w:val="auto"/>
          <w:highlight w:val="none"/>
          <w:lang w:bidi="ar"/>
        </w:rPr>
      </w:pPr>
    </w:p>
    <w:p w14:paraId="1CED0AE5">
      <w:pPr>
        <w:pStyle w:val="9"/>
        <w:numPr>
          <w:ilvl w:val="0"/>
          <w:numId w:val="25"/>
        </w:numPr>
        <w:spacing w:beforeLines="0" w:afterLines="0"/>
        <w:rPr>
          <w:color w:val="auto"/>
          <w:highlight w:val="none"/>
        </w:rPr>
      </w:pPr>
      <w:bookmarkStart w:id="397" w:name="_Toc21287"/>
      <w:r>
        <w:rPr>
          <w:rFonts w:hint="eastAsia" w:ascii="宋体" w:hAnsi="宋体" w:cs="宋体"/>
          <w:color w:val="auto"/>
          <w:highlight w:val="none"/>
        </w:rPr>
        <w:t>采购内容及要求</w:t>
      </w:r>
      <w:bookmarkEnd w:id="397"/>
    </w:p>
    <w:p w14:paraId="7F8DDA64">
      <w:pPr>
        <w:pStyle w:val="103"/>
        <w:ind w:firstLine="480"/>
        <w:rPr>
          <w:rFonts w:ascii="宋体" w:hAnsi="宋体"/>
          <w:b/>
          <w:color w:val="auto"/>
          <w:sz w:val="30"/>
          <w:szCs w:val="30"/>
          <w:highlight w:val="none"/>
        </w:rPr>
      </w:pPr>
      <w:bookmarkStart w:id="398" w:name="_Toc11162"/>
      <w:bookmarkStart w:id="399" w:name="_Toc4798"/>
      <w:bookmarkStart w:id="400" w:name="_Toc5155"/>
      <w:bookmarkStart w:id="401" w:name="_Toc23486"/>
      <w:bookmarkStart w:id="402" w:name="_Toc4414"/>
      <w:bookmarkStart w:id="403" w:name="_Toc20404"/>
      <w:bookmarkStart w:id="404" w:name="_Toc9321"/>
      <w:bookmarkStart w:id="405" w:name="_Toc24450"/>
      <w:bookmarkStart w:id="406" w:name="_Toc21387"/>
      <w:bookmarkStart w:id="407" w:name="_Toc21251"/>
      <w:bookmarkStart w:id="408" w:name="_Toc12363"/>
      <w:bookmarkStart w:id="409" w:name="_Toc17329"/>
      <w:bookmarkStart w:id="410" w:name="_Toc817"/>
      <w:bookmarkStart w:id="411" w:name="_Toc16290"/>
      <w:bookmarkStart w:id="412" w:name="_Toc24007"/>
      <w:bookmarkStart w:id="413" w:name="_Toc23481"/>
      <w:bookmarkStart w:id="414" w:name="_Toc24393"/>
      <w:bookmarkStart w:id="415" w:name="_Toc17728"/>
      <w:bookmarkStart w:id="416" w:name="_Toc12642"/>
      <w:bookmarkStart w:id="417" w:name="_Toc4941"/>
      <w:bookmarkStart w:id="418" w:name="_Toc7512"/>
      <w:bookmarkStart w:id="419" w:name="_Toc5887"/>
      <w:bookmarkStart w:id="420" w:name="_Toc10512"/>
      <w:bookmarkStart w:id="421" w:name="_Toc6989"/>
      <w:r>
        <w:rPr>
          <w:rFonts w:hint="eastAsia" w:ascii="宋体" w:hAnsi="宋体"/>
          <w:b/>
          <w:color w:val="auto"/>
          <w:sz w:val="30"/>
          <w:szCs w:val="30"/>
          <w:highlight w:val="none"/>
        </w:rPr>
        <w:t>一</w:t>
      </w:r>
      <w:r>
        <w:rPr>
          <w:rFonts w:ascii="宋体" w:hAnsi="宋体"/>
          <w:b/>
          <w:color w:val="auto"/>
          <w:sz w:val="30"/>
          <w:szCs w:val="30"/>
          <w:highlight w:val="none"/>
        </w:rPr>
        <w:t>、</w:t>
      </w:r>
      <w:r>
        <w:rPr>
          <w:rFonts w:hint="eastAsia" w:ascii="宋体" w:hAnsi="宋体"/>
          <w:b/>
          <w:color w:val="auto"/>
          <w:sz w:val="30"/>
          <w:szCs w:val="30"/>
          <w:highlight w:val="none"/>
        </w:rPr>
        <w:t>项目概况</w:t>
      </w:r>
    </w:p>
    <w:p w14:paraId="08856C04">
      <w:pPr>
        <w:pStyle w:val="103"/>
        <w:ind w:firstLine="480"/>
        <w:rPr>
          <w:rFonts w:ascii="宋体" w:hAnsi="宋体"/>
          <w:color w:val="auto"/>
          <w:highlight w:val="none"/>
        </w:rPr>
      </w:pPr>
      <w:r>
        <w:rPr>
          <w:rFonts w:hint="eastAsia" w:ascii="宋体" w:hAnsi="宋体"/>
          <w:color w:val="auto"/>
          <w:highlight w:val="none"/>
        </w:rPr>
        <w:t>为确保</w:t>
      </w:r>
      <w:r>
        <w:rPr>
          <w:rFonts w:ascii="宋体" w:hAnsi="宋体"/>
          <w:color w:val="auto"/>
          <w:highlight w:val="none"/>
        </w:rPr>
        <w:t>公司安全</w:t>
      </w:r>
      <w:r>
        <w:rPr>
          <w:rFonts w:hint="eastAsia" w:ascii="宋体" w:hAnsi="宋体"/>
          <w:color w:val="auto"/>
          <w:highlight w:val="none"/>
        </w:rPr>
        <w:t>生产需求，</w:t>
      </w:r>
      <w:r>
        <w:rPr>
          <w:rFonts w:ascii="宋体" w:hAnsi="宋体"/>
          <w:color w:val="auto"/>
          <w:highlight w:val="none"/>
        </w:rPr>
        <w:t>需要对公司铲车进行维护保养</w:t>
      </w:r>
      <w:r>
        <w:rPr>
          <w:rFonts w:hint="eastAsia" w:ascii="宋体" w:hAnsi="宋体"/>
          <w:color w:val="auto"/>
          <w:highlight w:val="none"/>
        </w:rPr>
        <w:t>，浙江寰龙环境</w:t>
      </w:r>
      <w:r>
        <w:rPr>
          <w:rFonts w:hint="eastAsia" w:ascii="宋体" w:hAnsi="宋体"/>
          <w:color w:val="auto"/>
          <w:highlight w:val="none"/>
          <w:lang w:val="en-US" w:eastAsia="zh-CN"/>
        </w:rPr>
        <w:t>科技</w:t>
      </w:r>
      <w:r>
        <w:rPr>
          <w:rFonts w:hint="eastAsia" w:ascii="宋体" w:hAnsi="宋体"/>
          <w:color w:val="auto"/>
          <w:highlight w:val="none"/>
        </w:rPr>
        <w:t>有限公司特开展</w:t>
      </w:r>
      <w:r>
        <w:rPr>
          <w:rFonts w:hint="eastAsia" w:ascii="宋体" w:hAnsi="宋体" w:cs="宋体"/>
          <w:color w:val="auto"/>
          <w:highlight w:val="none"/>
          <w:lang w:eastAsia="zh-CN"/>
        </w:rPr>
        <w:t>商品砼事业部2025年度装载机维修保养服务采购</w:t>
      </w:r>
      <w:r>
        <w:rPr>
          <w:rFonts w:hint="eastAsia" w:ascii="宋体" w:hAnsi="宋体"/>
          <w:color w:val="auto"/>
          <w:highlight w:val="none"/>
        </w:rPr>
        <w:t>的公开</w:t>
      </w:r>
      <w:r>
        <w:rPr>
          <w:rFonts w:ascii="宋体" w:hAnsi="宋体"/>
          <w:color w:val="auto"/>
          <w:highlight w:val="none"/>
        </w:rPr>
        <w:t>招标</w:t>
      </w:r>
      <w:r>
        <w:rPr>
          <w:rFonts w:hint="eastAsia" w:ascii="宋体" w:hAnsi="宋体"/>
          <w:color w:val="auto"/>
          <w:highlight w:val="none"/>
        </w:rPr>
        <w:t>活动，欢迎符合条件的</w:t>
      </w:r>
      <w:r>
        <w:rPr>
          <w:rFonts w:hint="eastAsia" w:ascii="宋体" w:hAnsi="宋体"/>
          <w:color w:val="auto"/>
          <w:highlight w:val="none"/>
          <w:lang w:eastAsia="zh-CN"/>
        </w:rPr>
        <w:t>投标人</w:t>
      </w:r>
      <w:r>
        <w:rPr>
          <w:rFonts w:hint="eastAsia" w:ascii="宋体" w:hAnsi="宋体"/>
          <w:color w:val="auto"/>
          <w:highlight w:val="none"/>
        </w:rPr>
        <w:t>前来投标。</w:t>
      </w:r>
    </w:p>
    <w:p w14:paraId="36E002D3">
      <w:pPr>
        <w:pStyle w:val="103"/>
        <w:ind w:firstLine="480"/>
        <w:rPr>
          <w:rFonts w:ascii="宋体" w:hAnsi="宋体"/>
          <w:b/>
          <w:color w:val="auto"/>
          <w:sz w:val="30"/>
          <w:szCs w:val="30"/>
          <w:highlight w:val="none"/>
        </w:rPr>
      </w:pPr>
      <w:r>
        <w:rPr>
          <w:rFonts w:hint="eastAsia" w:ascii="宋体" w:hAnsi="宋体"/>
          <w:b/>
          <w:color w:val="auto"/>
          <w:sz w:val="30"/>
          <w:szCs w:val="30"/>
          <w:highlight w:val="none"/>
        </w:rPr>
        <w:t>二、采购内容</w:t>
      </w:r>
    </w:p>
    <w:tbl>
      <w:tblPr>
        <w:tblStyle w:val="41"/>
        <w:tblW w:w="0" w:type="auto"/>
        <w:tblInd w:w="93" w:type="dxa"/>
        <w:shd w:val="clear" w:color="auto" w:fill="auto"/>
        <w:tblLayout w:type="fixed"/>
        <w:tblCellMar>
          <w:top w:w="0" w:type="dxa"/>
          <w:left w:w="108" w:type="dxa"/>
          <w:bottom w:w="0" w:type="dxa"/>
          <w:right w:w="108" w:type="dxa"/>
        </w:tblCellMar>
      </w:tblPr>
      <w:tblGrid>
        <w:gridCol w:w="753"/>
        <w:gridCol w:w="5954"/>
        <w:gridCol w:w="663"/>
        <w:gridCol w:w="725"/>
        <w:gridCol w:w="1637"/>
      </w:tblGrid>
      <w:tr w14:paraId="63EC6249">
        <w:tblPrEx>
          <w:shd w:val="clear" w:color="auto" w:fill="auto"/>
          <w:tblCellMar>
            <w:top w:w="0" w:type="dxa"/>
            <w:left w:w="108" w:type="dxa"/>
            <w:bottom w:w="0" w:type="dxa"/>
            <w:right w:w="108" w:type="dxa"/>
          </w:tblCellMar>
        </w:tblPrEx>
        <w:trPr>
          <w:trHeight w:val="1136"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10546">
            <w:pPr>
              <w:keepNext w:val="0"/>
              <w:keepLines w:val="0"/>
              <w:suppressLineNumbers w:val="0"/>
              <w:spacing w:before="0" w:beforeAutospacing="0" w:after="0" w:afterAutospacing="0" w:line="240" w:lineRule="auto"/>
              <w:ind w:left="0" w:right="0" w:firstLine="0" w:firstLineChars="0"/>
              <w:jc w:val="center"/>
              <w:textAlignment w:val="center"/>
              <w:rPr>
                <w:rFonts w:hint="default" w:ascii="宋体" w:hAnsi="宋体" w:eastAsia="宋体" w:cs="宋体"/>
                <w:color w:val="auto"/>
                <w:kern w:val="2"/>
                <w:highlight w:val="none"/>
              </w:rPr>
            </w:pPr>
            <w:r>
              <w:rPr>
                <w:rFonts w:hint="eastAsia" w:ascii="宋体" w:hAnsi="宋体" w:eastAsia="宋体" w:cs="宋体"/>
                <w:color w:val="auto"/>
                <w:highlight w:val="none"/>
                <w:lang w:bidi="ar"/>
              </w:rPr>
              <w:t>序号</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1B7A2">
            <w:pPr>
              <w:keepNext w:val="0"/>
              <w:keepLines w:val="0"/>
              <w:suppressLineNumbers w:val="0"/>
              <w:spacing w:before="0" w:beforeAutospacing="0" w:after="0" w:afterAutospacing="0" w:line="240" w:lineRule="auto"/>
              <w:ind w:left="0" w:right="0" w:firstLine="0" w:firstLineChars="0"/>
              <w:jc w:val="center"/>
              <w:textAlignment w:val="center"/>
              <w:rPr>
                <w:rFonts w:hint="default" w:ascii="宋体" w:hAnsi="宋体" w:eastAsia="宋体" w:cs="宋体"/>
                <w:color w:val="auto"/>
                <w:kern w:val="2"/>
                <w:sz w:val="22"/>
                <w:szCs w:val="22"/>
                <w:highlight w:val="none"/>
              </w:rPr>
            </w:pPr>
            <w:r>
              <w:rPr>
                <w:rFonts w:hint="eastAsia" w:ascii="宋体" w:hAnsi="宋体" w:eastAsia="宋体" w:cs="宋体"/>
                <w:color w:val="auto"/>
                <w:sz w:val="22"/>
                <w:szCs w:val="22"/>
                <w:highlight w:val="none"/>
                <w:lang w:bidi="ar"/>
              </w:rPr>
              <w:t>名称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72C45">
            <w:pPr>
              <w:keepNext w:val="0"/>
              <w:keepLines w:val="0"/>
              <w:suppressLineNumbers w:val="0"/>
              <w:spacing w:before="0" w:beforeAutospacing="0" w:after="0" w:afterAutospacing="0" w:line="240" w:lineRule="auto"/>
              <w:ind w:left="0" w:right="0" w:firstLine="0" w:firstLineChars="0"/>
              <w:jc w:val="center"/>
              <w:textAlignment w:val="center"/>
              <w:rPr>
                <w:rFonts w:hint="default" w:ascii="宋体" w:hAnsi="宋体" w:eastAsia="宋体" w:cs="宋体"/>
                <w:color w:val="auto"/>
                <w:kern w:val="2"/>
                <w:sz w:val="22"/>
                <w:szCs w:val="22"/>
                <w:highlight w:val="none"/>
              </w:rPr>
            </w:pPr>
            <w:r>
              <w:rPr>
                <w:rFonts w:hint="eastAsia" w:ascii="宋体" w:hAnsi="宋体" w:eastAsia="宋体" w:cs="宋体"/>
                <w:color w:val="auto"/>
                <w:sz w:val="22"/>
                <w:szCs w:val="22"/>
                <w:highlight w:val="none"/>
                <w:lang w:bidi="ar"/>
              </w:rPr>
              <w:t>单位</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B776A">
            <w:pPr>
              <w:keepNext w:val="0"/>
              <w:keepLines w:val="0"/>
              <w:suppressLineNumbers w:val="0"/>
              <w:spacing w:before="0" w:beforeAutospacing="0" w:after="0" w:afterAutospacing="0" w:line="240" w:lineRule="auto"/>
              <w:ind w:left="0" w:right="0" w:firstLine="0" w:firstLineChars="0"/>
              <w:jc w:val="center"/>
              <w:textAlignment w:val="center"/>
              <w:rPr>
                <w:rFonts w:hint="default" w:ascii="宋体" w:hAnsi="宋体" w:eastAsia="宋体" w:cs="宋体"/>
                <w:color w:val="auto"/>
                <w:kern w:val="2"/>
                <w:sz w:val="22"/>
                <w:szCs w:val="22"/>
                <w:highlight w:val="none"/>
              </w:rPr>
            </w:pPr>
            <w:r>
              <w:rPr>
                <w:rFonts w:hint="eastAsia" w:ascii="宋体" w:hAnsi="宋体" w:eastAsia="宋体" w:cs="宋体"/>
                <w:color w:val="auto"/>
                <w:sz w:val="22"/>
                <w:szCs w:val="22"/>
                <w:highlight w:val="none"/>
                <w:lang w:bidi="ar"/>
              </w:rPr>
              <w:t>数量</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F0FDE">
            <w:pPr>
              <w:keepNext w:val="0"/>
              <w:keepLines w:val="0"/>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最高单价限价</w:t>
            </w:r>
            <w:r>
              <w:rPr>
                <w:rFonts w:hint="eastAsia" w:ascii="宋体" w:hAnsi="宋体" w:eastAsia="宋体" w:cs="宋体"/>
                <w:b w:val="0"/>
                <w:bCs w:val="0"/>
                <w:color w:val="auto"/>
                <w:kern w:val="2"/>
                <w:sz w:val="22"/>
                <w:szCs w:val="22"/>
                <w:highlight w:val="none"/>
                <w:lang w:val="en-US" w:eastAsia="zh-CN" w:bidi="ar"/>
              </w:rPr>
              <w:t>均为含税价</w:t>
            </w:r>
          </w:p>
          <w:p w14:paraId="14E04BBA">
            <w:pPr>
              <w:keepNext w:val="0"/>
              <w:keepLines w:val="0"/>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（单位：元）</w:t>
            </w:r>
          </w:p>
        </w:tc>
      </w:tr>
      <w:tr w14:paraId="4A1D2733">
        <w:tblPrEx>
          <w:shd w:val="clear" w:color="auto" w:fill="auto"/>
          <w:tblCellMar>
            <w:top w:w="0" w:type="dxa"/>
            <w:left w:w="108" w:type="dxa"/>
            <w:bottom w:w="0" w:type="dxa"/>
            <w:right w:w="108" w:type="dxa"/>
          </w:tblCellMar>
        </w:tblPrEx>
        <w:trPr>
          <w:trHeight w:val="4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0AFCC">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BDCE9">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CH 15W-40 柴机油</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5F8F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桶</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4E15F">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E749B">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420</w:t>
            </w:r>
          </w:p>
        </w:tc>
      </w:tr>
      <w:tr w14:paraId="4A83FB9F">
        <w:tblPrEx>
          <w:shd w:val="clear" w:color="auto" w:fill="auto"/>
          <w:tblCellMar>
            <w:top w:w="0" w:type="dxa"/>
            <w:left w:w="108" w:type="dxa"/>
            <w:bottom w:w="0" w:type="dxa"/>
            <w:right w:w="108" w:type="dxa"/>
          </w:tblCellMar>
        </w:tblPrEx>
        <w:trPr>
          <w:trHeight w:val="4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5D399">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highlight w:val="none"/>
                <w:lang w:bidi="ar"/>
              </w:rPr>
            </w:pPr>
            <w:r>
              <w:rPr>
                <w:rFonts w:hint="eastAsia" w:ascii="宋体" w:hAnsi="宋体" w:eastAsia="宋体" w:cs="宋体"/>
                <w:i w:val="0"/>
                <w:iCs w:val="0"/>
                <w:color w:val="auto"/>
                <w:kern w:val="2"/>
                <w:sz w:val="24"/>
                <w:szCs w:val="24"/>
                <w:highlight w:val="none"/>
                <w:u w:val="none"/>
                <w:lang w:val="en-US" w:eastAsia="zh-CN" w:bidi="ar"/>
              </w:rPr>
              <w:t>2</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02AF8">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机油滤芯</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69E6E">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D3E0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992AE">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60</w:t>
            </w:r>
          </w:p>
        </w:tc>
      </w:tr>
      <w:tr w14:paraId="1E407A04">
        <w:tblPrEx>
          <w:shd w:val="clear" w:color="auto" w:fill="auto"/>
          <w:tblCellMar>
            <w:top w:w="0" w:type="dxa"/>
            <w:left w:w="108" w:type="dxa"/>
            <w:bottom w:w="0" w:type="dxa"/>
            <w:right w:w="108" w:type="dxa"/>
          </w:tblCellMar>
        </w:tblPrEx>
        <w:trPr>
          <w:trHeight w:val="4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40877">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highlight w:val="none"/>
                <w:lang w:bidi="ar"/>
              </w:rPr>
            </w:pPr>
            <w:r>
              <w:rPr>
                <w:rFonts w:hint="eastAsia" w:ascii="宋体" w:hAnsi="宋体" w:eastAsia="宋体" w:cs="宋体"/>
                <w:i w:val="0"/>
                <w:iCs w:val="0"/>
                <w:color w:val="auto"/>
                <w:kern w:val="2"/>
                <w:sz w:val="24"/>
                <w:szCs w:val="24"/>
                <w:highlight w:val="none"/>
                <w:u w:val="none"/>
                <w:lang w:val="en-US" w:eastAsia="zh-CN" w:bidi="ar"/>
              </w:rPr>
              <w:t>3</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45A79">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空气滤芯</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27618">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6107C">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2597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200</w:t>
            </w:r>
          </w:p>
        </w:tc>
      </w:tr>
      <w:tr w14:paraId="3C3E43E4">
        <w:tblPrEx>
          <w:shd w:val="clear" w:color="auto" w:fill="auto"/>
          <w:tblCellMar>
            <w:top w:w="0" w:type="dxa"/>
            <w:left w:w="108" w:type="dxa"/>
            <w:bottom w:w="0" w:type="dxa"/>
            <w:right w:w="108" w:type="dxa"/>
          </w:tblCellMar>
        </w:tblPrEx>
        <w:trPr>
          <w:trHeight w:val="4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30D35">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highlight w:val="none"/>
                <w:lang w:bidi="ar"/>
              </w:rPr>
            </w:pPr>
            <w:r>
              <w:rPr>
                <w:rFonts w:hint="eastAsia" w:ascii="宋体" w:hAnsi="宋体" w:eastAsia="宋体" w:cs="宋体"/>
                <w:i w:val="0"/>
                <w:iCs w:val="0"/>
                <w:color w:val="auto"/>
                <w:kern w:val="2"/>
                <w:sz w:val="24"/>
                <w:szCs w:val="24"/>
                <w:highlight w:val="none"/>
                <w:u w:val="none"/>
                <w:lang w:val="en-US" w:eastAsia="zh-CN" w:bidi="ar"/>
              </w:rPr>
              <w:t>4</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240F8">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燃油精滤</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84D76">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087DB">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B28B3">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220</w:t>
            </w:r>
          </w:p>
        </w:tc>
      </w:tr>
      <w:tr w14:paraId="3B67D5DE">
        <w:tblPrEx>
          <w:shd w:val="clear" w:color="auto" w:fill="auto"/>
          <w:tblCellMar>
            <w:top w:w="0" w:type="dxa"/>
            <w:left w:w="108" w:type="dxa"/>
            <w:bottom w:w="0" w:type="dxa"/>
            <w:right w:w="108" w:type="dxa"/>
          </w:tblCellMar>
        </w:tblPrEx>
        <w:trPr>
          <w:trHeight w:val="4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DF746">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highlight w:val="none"/>
                <w:lang w:bidi="ar"/>
              </w:rPr>
            </w:pPr>
            <w:r>
              <w:rPr>
                <w:rFonts w:hint="eastAsia" w:ascii="宋体" w:hAnsi="宋体" w:eastAsia="宋体" w:cs="宋体"/>
                <w:i w:val="0"/>
                <w:iCs w:val="0"/>
                <w:color w:val="auto"/>
                <w:kern w:val="2"/>
                <w:sz w:val="24"/>
                <w:szCs w:val="24"/>
                <w:highlight w:val="none"/>
                <w:u w:val="none"/>
                <w:lang w:val="en-US" w:eastAsia="zh-CN" w:bidi="ar"/>
              </w:rPr>
              <w:t>5</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A8793">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燃油粗滤</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C1B09">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DFD0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DF9F1">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150</w:t>
            </w:r>
          </w:p>
        </w:tc>
      </w:tr>
      <w:tr w14:paraId="09C89B9B">
        <w:tblPrEx>
          <w:shd w:val="clear" w:color="auto" w:fill="auto"/>
          <w:tblCellMar>
            <w:top w:w="0" w:type="dxa"/>
            <w:left w:w="108" w:type="dxa"/>
            <w:bottom w:w="0" w:type="dxa"/>
            <w:right w:w="108" w:type="dxa"/>
          </w:tblCellMar>
        </w:tblPrEx>
        <w:trPr>
          <w:trHeight w:val="4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FEFDD">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highlight w:val="none"/>
                <w:lang w:bidi="ar"/>
              </w:rPr>
            </w:pPr>
            <w:r>
              <w:rPr>
                <w:rFonts w:hint="eastAsia" w:ascii="宋体" w:hAnsi="宋体" w:eastAsia="宋体" w:cs="宋体"/>
                <w:i w:val="0"/>
                <w:iCs w:val="0"/>
                <w:color w:val="auto"/>
                <w:kern w:val="2"/>
                <w:sz w:val="24"/>
                <w:szCs w:val="24"/>
                <w:highlight w:val="none"/>
                <w:u w:val="none"/>
                <w:lang w:val="en-US" w:eastAsia="zh-CN" w:bidi="ar"/>
              </w:rPr>
              <w:t>6</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ECEAF">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燃油油水滤</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E502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7217B">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3F6C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150</w:t>
            </w:r>
          </w:p>
        </w:tc>
      </w:tr>
      <w:tr w14:paraId="2B9B30AC">
        <w:tblPrEx>
          <w:tblCellMar>
            <w:top w:w="0" w:type="dxa"/>
            <w:left w:w="108" w:type="dxa"/>
            <w:bottom w:w="0" w:type="dxa"/>
            <w:right w:w="108" w:type="dxa"/>
          </w:tblCellMar>
        </w:tblPrEx>
        <w:trPr>
          <w:trHeight w:val="4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4EFB9">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highlight w:val="none"/>
                <w:lang w:bidi="ar"/>
              </w:rPr>
            </w:pPr>
            <w:r>
              <w:rPr>
                <w:rFonts w:hint="eastAsia" w:ascii="宋体" w:hAnsi="宋体" w:eastAsia="宋体" w:cs="宋体"/>
                <w:i w:val="0"/>
                <w:iCs w:val="0"/>
                <w:color w:val="auto"/>
                <w:kern w:val="2"/>
                <w:sz w:val="24"/>
                <w:szCs w:val="24"/>
                <w:highlight w:val="none"/>
                <w:u w:val="none"/>
                <w:lang w:val="en-US" w:eastAsia="zh-CN" w:bidi="ar"/>
              </w:rPr>
              <w:t>7</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6E04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液力8号传动油</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B2B0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桶</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E352D">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408B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350</w:t>
            </w:r>
          </w:p>
        </w:tc>
      </w:tr>
      <w:tr w14:paraId="47F4EB3E">
        <w:tblPrEx>
          <w:tblCellMar>
            <w:top w:w="0" w:type="dxa"/>
            <w:left w:w="108" w:type="dxa"/>
            <w:bottom w:w="0" w:type="dxa"/>
            <w:right w:w="108" w:type="dxa"/>
          </w:tblCellMar>
        </w:tblPrEx>
        <w:trPr>
          <w:trHeight w:val="4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2DE85">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highlight w:val="none"/>
                <w:lang w:bidi="ar"/>
              </w:rPr>
            </w:pPr>
            <w:r>
              <w:rPr>
                <w:rFonts w:hint="eastAsia" w:ascii="宋体" w:hAnsi="宋体" w:eastAsia="宋体" w:cs="宋体"/>
                <w:i w:val="0"/>
                <w:iCs w:val="0"/>
                <w:color w:val="auto"/>
                <w:kern w:val="2"/>
                <w:sz w:val="24"/>
                <w:szCs w:val="24"/>
                <w:highlight w:val="none"/>
                <w:u w:val="none"/>
                <w:lang w:val="en-US" w:eastAsia="zh-CN" w:bidi="ar"/>
              </w:rPr>
              <w:t>8</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B0D5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变速箱滤芯</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BBB0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97FC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DB379">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120</w:t>
            </w:r>
          </w:p>
        </w:tc>
      </w:tr>
      <w:tr w14:paraId="6B78C78A">
        <w:tblPrEx>
          <w:tblCellMar>
            <w:top w:w="0" w:type="dxa"/>
            <w:left w:w="108" w:type="dxa"/>
            <w:bottom w:w="0" w:type="dxa"/>
            <w:right w:w="108" w:type="dxa"/>
          </w:tblCellMar>
        </w:tblPrEx>
        <w:trPr>
          <w:trHeight w:val="4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79625">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highlight w:val="none"/>
                <w:lang w:bidi="ar"/>
              </w:rPr>
            </w:pPr>
            <w:r>
              <w:rPr>
                <w:rFonts w:hint="eastAsia" w:ascii="宋体" w:hAnsi="宋体" w:eastAsia="宋体" w:cs="宋体"/>
                <w:i w:val="0"/>
                <w:iCs w:val="0"/>
                <w:color w:val="auto"/>
                <w:kern w:val="2"/>
                <w:sz w:val="24"/>
                <w:szCs w:val="24"/>
                <w:highlight w:val="none"/>
                <w:u w:val="none"/>
                <w:lang w:val="en-US" w:eastAsia="zh-CN" w:bidi="ar"/>
              </w:rPr>
              <w:t>9</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AD8B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液压油箱空气滤芯</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0DD95">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7D7AE">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EF01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90</w:t>
            </w:r>
          </w:p>
        </w:tc>
      </w:tr>
      <w:tr w14:paraId="3E38FFF0">
        <w:tblPrEx>
          <w:tblCellMar>
            <w:top w:w="0" w:type="dxa"/>
            <w:left w:w="108" w:type="dxa"/>
            <w:bottom w:w="0" w:type="dxa"/>
            <w:right w:w="108" w:type="dxa"/>
          </w:tblCellMar>
        </w:tblPrEx>
        <w:trPr>
          <w:trHeight w:val="4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7F87D">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highlight w:val="none"/>
                <w:lang w:bidi="ar"/>
              </w:rPr>
            </w:pPr>
            <w:r>
              <w:rPr>
                <w:rFonts w:hint="eastAsia" w:ascii="宋体" w:hAnsi="宋体" w:eastAsia="宋体" w:cs="宋体"/>
                <w:i w:val="0"/>
                <w:iCs w:val="0"/>
                <w:color w:val="auto"/>
                <w:kern w:val="2"/>
                <w:sz w:val="24"/>
                <w:szCs w:val="24"/>
                <w:highlight w:val="none"/>
                <w:u w:val="none"/>
                <w:lang w:val="en-US" w:eastAsia="zh-CN" w:bidi="ar"/>
              </w:rPr>
              <w:t>10</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74A0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空调内循环滤网</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A4F2B">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07966">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4C58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90</w:t>
            </w:r>
          </w:p>
        </w:tc>
      </w:tr>
      <w:tr w14:paraId="1500B5DB">
        <w:tblPrEx>
          <w:shd w:val="clear" w:color="auto" w:fill="auto"/>
          <w:tblCellMar>
            <w:top w:w="0" w:type="dxa"/>
            <w:left w:w="108" w:type="dxa"/>
            <w:bottom w:w="0" w:type="dxa"/>
            <w:right w:w="108" w:type="dxa"/>
          </w:tblCellMar>
        </w:tblPrEx>
        <w:trPr>
          <w:trHeight w:val="4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C7F4F">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highlight w:val="none"/>
                <w:lang w:bidi="ar"/>
              </w:rPr>
            </w:pPr>
            <w:r>
              <w:rPr>
                <w:rFonts w:hint="eastAsia" w:ascii="宋体" w:hAnsi="宋体" w:eastAsia="宋体" w:cs="宋体"/>
                <w:i w:val="0"/>
                <w:iCs w:val="0"/>
                <w:color w:val="auto"/>
                <w:kern w:val="2"/>
                <w:sz w:val="24"/>
                <w:szCs w:val="24"/>
                <w:highlight w:val="none"/>
                <w:u w:val="none"/>
                <w:lang w:val="en-US" w:eastAsia="zh-CN" w:bidi="ar"/>
              </w:rPr>
              <w:t>11</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54B8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液压油箱回油滤芯</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D6A0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E6A1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78EBD">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310</w:t>
            </w:r>
          </w:p>
        </w:tc>
      </w:tr>
      <w:tr w14:paraId="679DDADF">
        <w:tblPrEx>
          <w:shd w:val="clear" w:color="auto" w:fill="auto"/>
          <w:tblCellMar>
            <w:top w:w="0" w:type="dxa"/>
            <w:left w:w="108" w:type="dxa"/>
            <w:bottom w:w="0" w:type="dxa"/>
            <w:right w:w="108" w:type="dxa"/>
          </w:tblCellMar>
        </w:tblPrEx>
        <w:trPr>
          <w:trHeight w:val="4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1FC0F">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highlight w:val="none"/>
                <w:lang w:bidi="ar"/>
              </w:rPr>
            </w:pPr>
            <w:r>
              <w:rPr>
                <w:rFonts w:hint="eastAsia" w:ascii="宋体" w:hAnsi="宋体" w:eastAsia="宋体" w:cs="宋体"/>
                <w:i w:val="0"/>
                <w:iCs w:val="0"/>
                <w:color w:val="auto"/>
                <w:kern w:val="2"/>
                <w:sz w:val="24"/>
                <w:szCs w:val="24"/>
                <w:highlight w:val="none"/>
                <w:u w:val="none"/>
                <w:lang w:val="en-US" w:eastAsia="zh-CN" w:bidi="ar"/>
              </w:rPr>
              <w:t>12</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E382E">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46号抗磨液压油</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A8F65">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桶</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EFE29">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D5007">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350</w:t>
            </w:r>
          </w:p>
        </w:tc>
      </w:tr>
      <w:tr w14:paraId="3C0432DE">
        <w:tblPrEx>
          <w:shd w:val="clear" w:color="auto" w:fill="auto"/>
          <w:tblCellMar>
            <w:top w:w="0" w:type="dxa"/>
            <w:left w:w="108" w:type="dxa"/>
            <w:bottom w:w="0" w:type="dxa"/>
            <w:right w:w="108" w:type="dxa"/>
          </w:tblCellMar>
        </w:tblPrEx>
        <w:trPr>
          <w:trHeight w:val="4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7058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highlight w:val="none"/>
                <w:lang w:bidi="ar"/>
              </w:rPr>
            </w:pPr>
            <w:r>
              <w:rPr>
                <w:rFonts w:hint="eastAsia" w:ascii="宋体" w:hAnsi="宋体" w:eastAsia="宋体" w:cs="宋体"/>
                <w:i w:val="0"/>
                <w:iCs w:val="0"/>
                <w:color w:val="auto"/>
                <w:kern w:val="2"/>
                <w:sz w:val="24"/>
                <w:szCs w:val="24"/>
                <w:highlight w:val="none"/>
                <w:u w:val="none"/>
                <w:lang w:val="en-US" w:eastAsia="zh-CN" w:bidi="ar"/>
              </w:rPr>
              <w:t>13</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B969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85W/90齿轮油</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C67C8">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桶</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7E915">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80A9D">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380</w:t>
            </w:r>
          </w:p>
        </w:tc>
      </w:tr>
      <w:tr w14:paraId="77A166AA">
        <w:tblPrEx>
          <w:shd w:val="clear" w:color="auto" w:fill="auto"/>
          <w:tblCellMar>
            <w:top w:w="0" w:type="dxa"/>
            <w:left w:w="108" w:type="dxa"/>
            <w:bottom w:w="0" w:type="dxa"/>
            <w:right w:w="108" w:type="dxa"/>
          </w:tblCellMar>
        </w:tblPrEx>
        <w:trPr>
          <w:trHeight w:val="4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8FFA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highlight w:val="none"/>
                <w:lang w:bidi="ar"/>
              </w:rPr>
            </w:pPr>
            <w:r>
              <w:rPr>
                <w:rFonts w:hint="eastAsia" w:ascii="宋体" w:hAnsi="宋体" w:eastAsia="宋体" w:cs="宋体"/>
                <w:i w:val="0"/>
                <w:iCs w:val="0"/>
                <w:color w:val="auto"/>
                <w:kern w:val="2"/>
                <w:sz w:val="24"/>
                <w:szCs w:val="24"/>
                <w:highlight w:val="none"/>
                <w:u w:val="none"/>
                <w:lang w:val="en-US" w:eastAsia="zh-CN" w:bidi="ar"/>
              </w:rPr>
              <w:t>14</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A1266">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上铰接销</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0F477">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C2536">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927A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250</w:t>
            </w:r>
          </w:p>
        </w:tc>
      </w:tr>
      <w:tr w14:paraId="5773A26A">
        <w:tblPrEx>
          <w:tblCellMar>
            <w:top w:w="0" w:type="dxa"/>
            <w:left w:w="108" w:type="dxa"/>
            <w:bottom w:w="0" w:type="dxa"/>
            <w:right w:w="108" w:type="dxa"/>
          </w:tblCellMar>
        </w:tblPrEx>
        <w:trPr>
          <w:trHeight w:val="4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2E4D3">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highlight w:val="none"/>
                <w:lang w:bidi="ar"/>
              </w:rPr>
            </w:pPr>
            <w:r>
              <w:rPr>
                <w:rFonts w:hint="eastAsia" w:ascii="宋体" w:hAnsi="宋体" w:eastAsia="宋体" w:cs="宋体"/>
                <w:i w:val="0"/>
                <w:iCs w:val="0"/>
                <w:color w:val="auto"/>
                <w:kern w:val="2"/>
                <w:sz w:val="24"/>
                <w:szCs w:val="24"/>
                <w:highlight w:val="none"/>
                <w:u w:val="none"/>
                <w:lang w:val="en-US" w:eastAsia="zh-CN" w:bidi="ar"/>
              </w:rPr>
              <w:t>15</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DD72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下铰接销</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090EC">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FCF9D">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9B57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300</w:t>
            </w:r>
          </w:p>
        </w:tc>
      </w:tr>
      <w:tr w14:paraId="5E3B1162">
        <w:tblPrEx>
          <w:shd w:val="clear" w:color="auto" w:fill="auto"/>
          <w:tblCellMar>
            <w:top w:w="0" w:type="dxa"/>
            <w:left w:w="108" w:type="dxa"/>
            <w:bottom w:w="0" w:type="dxa"/>
            <w:right w:w="108" w:type="dxa"/>
          </w:tblCellMar>
        </w:tblPrEx>
        <w:trPr>
          <w:trHeight w:val="4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6560D">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highlight w:val="none"/>
                <w:lang w:bidi="ar"/>
              </w:rPr>
            </w:pPr>
            <w:r>
              <w:rPr>
                <w:rFonts w:hint="eastAsia" w:ascii="宋体" w:hAnsi="宋体" w:eastAsia="宋体" w:cs="宋体"/>
                <w:i w:val="0"/>
                <w:iCs w:val="0"/>
                <w:color w:val="auto"/>
                <w:kern w:val="2"/>
                <w:sz w:val="24"/>
                <w:szCs w:val="24"/>
                <w:highlight w:val="none"/>
                <w:u w:val="none"/>
                <w:lang w:val="en-US" w:eastAsia="zh-CN" w:bidi="ar"/>
              </w:rPr>
              <w:t>16</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5FB5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动臂缸车架销</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4420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C16E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45535">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550</w:t>
            </w:r>
          </w:p>
        </w:tc>
      </w:tr>
      <w:tr w14:paraId="1446AD32">
        <w:tblPrEx>
          <w:shd w:val="clear" w:color="auto" w:fill="auto"/>
          <w:tblCellMar>
            <w:top w:w="0" w:type="dxa"/>
            <w:left w:w="108" w:type="dxa"/>
            <w:bottom w:w="0" w:type="dxa"/>
            <w:right w:w="108" w:type="dxa"/>
          </w:tblCellMar>
        </w:tblPrEx>
        <w:trPr>
          <w:trHeight w:val="4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D317D">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highlight w:val="none"/>
                <w:lang w:bidi="ar"/>
              </w:rPr>
            </w:pPr>
            <w:r>
              <w:rPr>
                <w:rFonts w:hint="eastAsia" w:ascii="宋体" w:hAnsi="宋体" w:eastAsia="宋体" w:cs="宋体"/>
                <w:i w:val="0"/>
                <w:iCs w:val="0"/>
                <w:color w:val="auto"/>
                <w:kern w:val="2"/>
                <w:sz w:val="24"/>
                <w:szCs w:val="24"/>
                <w:highlight w:val="none"/>
                <w:u w:val="none"/>
                <w:lang w:val="en-US" w:eastAsia="zh-CN" w:bidi="ar"/>
              </w:rPr>
              <w:t>17</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8C9E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翻斗缸前车架销</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FF977">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F2CBD">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08D11">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360</w:t>
            </w:r>
          </w:p>
        </w:tc>
      </w:tr>
      <w:tr w14:paraId="65978137">
        <w:tblPrEx>
          <w:shd w:val="clear" w:color="auto" w:fill="auto"/>
          <w:tblCellMar>
            <w:top w:w="0" w:type="dxa"/>
            <w:left w:w="108" w:type="dxa"/>
            <w:bottom w:w="0" w:type="dxa"/>
            <w:right w:w="108" w:type="dxa"/>
          </w:tblCellMar>
        </w:tblPrEx>
        <w:trPr>
          <w:trHeight w:val="4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5052E">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highlight w:val="none"/>
                <w:lang w:bidi="ar"/>
              </w:rPr>
            </w:pPr>
            <w:r>
              <w:rPr>
                <w:rFonts w:hint="eastAsia" w:ascii="宋体" w:hAnsi="宋体" w:eastAsia="宋体" w:cs="宋体"/>
                <w:i w:val="0"/>
                <w:iCs w:val="0"/>
                <w:color w:val="auto"/>
                <w:kern w:val="2"/>
                <w:sz w:val="24"/>
                <w:szCs w:val="24"/>
                <w:highlight w:val="none"/>
                <w:u w:val="none"/>
                <w:lang w:val="en-US" w:eastAsia="zh-CN" w:bidi="ar"/>
              </w:rPr>
              <w:t>18</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8DAE6">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转向销</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B793F">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5B7E9">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3D60C">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100</w:t>
            </w:r>
          </w:p>
        </w:tc>
      </w:tr>
      <w:tr w14:paraId="30AAD45C">
        <w:tblPrEx>
          <w:tblCellMar>
            <w:top w:w="0" w:type="dxa"/>
            <w:left w:w="108" w:type="dxa"/>
            <w:bottom w:w="0" w:type="dxa"/>
            <w:right w:w="108" w:type="dxa"/>
          </w:tblCellMar>
        </w:tblPrEx>
        <w:trPr>
          <w:trHeight w:val="4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CB87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highlight w:val="none"/>
                <w:lang w:bidi="ar"/>
              </w:rPr>
            </w:pPr>
            <w:r>
              <w:rPr>
                <w:rFonts w:hint="eastAsia" w:ascii="宋体" w:hAnsi="宋体" w:eastAsia="宋体" w:cs="宋体"/>
                <w:i w:val="0"/>
                <w:iCs w:val="0"/>
                <w:color w:val="auto"/>
                <w:kern w:val="2"/>
                <w:sz w:val="24"/>
                <w:szCs w:val="24"/>
                <w:highlight w:val="none"/>
                <w:u w:val="none"/>
                <w:lang w:val="en-US" w:eastAsia="zh-CN" w:bidi="ar"/>
              </w:rPr>
              <w:t>19</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2A22F">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动臂车架销</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28D5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0A577">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5F697">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480</w:t>
            </w:r>
          </w:p>
        </w:tc>
      </w:tr>
      <w:tr w14:paraId="3B91DF9C">
        <w:tblPrEx>
          <w:shd w:val="clear" w:color="auto" w:fill="auto"/>
          <w:tblCellMar>
            <w:top w:w="0" w:type="dxa"/>
            <w:left w:w="108" w:type="dxa"/>
            <w:bottom w:w="0" w:type="dxa"/>
            <w:right w:w="108" w:type="dxa"/>
          </w:tblCellMar>
        </w:tblPrEx>
        <w:trPr>
          <w:trHeight w:val="4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EEA41">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highlight w:val="none"/>
                <w:lang w:bidi="ar"/>
              </w:rPr>
            </w:pPr>
            <w:r>
              <w:rPr>
                <w:rFonts w:hint="eastAsia" w:ascii="宋体" w:hAnsi="宋体" w:eastAsia="宋体" w:cs="宋体"/>
                <w:i w:val="0"/>
                <w:iCs w:val="0"/>
                <w:color w:val="auto"/>
                <w:kern w:val="2"/>
                <w:sz w:val="24"/>
                <w:szCs w:val="24"/>
                <w:highlight w:val="none"/>
                <w:u w:val="none"/>
                <w:lang w:val="en-US" w:eastAsia="zh-CN" w:bidi="ar"/>
              </w:rPr>
              <w:t>20</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2395E">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轴承</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988A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E2F1D">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0DAE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150</w:t>
            </w:r>
          </w:p>
        </w:tc>
      </w:tr>
      <w:tr w14:paraId="10DE2F02">
        <w:tblPrEx>
          <w:shd w:val="clear" w:color="auto" w:fill="auto"/>
          <w:tblCellMar>
            <w:top w:w="0" w:type="dxa"/>
            <w:left w:w="108" w:type="dxa"/>
            <w:bottom w:w="0" w:type="dxa"/>
            <w:right w:w="108" w:type="dxa"/>
          </w:tblCellMar>
        </w:tblPrEx>
        <w:trPr>
          <w:trHeight w:val="4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3FCFC">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highlight w:val="none"/>
                <w:lang w:bidi="ar"/>
              </w:rPr>
            </w:pPr>
            <w:r>
              <w:rPr>
                <w:rFonts w:hint="eastAsia" w:ascii="宋体" w:hAnsi="宋体" w:eastAsia="宋体" w:cs="宋体"/>
                <w:i w:val="0"/>
                <w:iCs w:val="0"/>
                <w:color w:val="auto"/>
                <w:kern w:val="2"/>
                <w:sz w:val="24"/>
                <w:szCs w:val="24"/>
                <w:highlight w:val="none"/>
                <w:u w:val="none"/>
                <w:lang w:val="en-US" w:eastAsia="zh-CN" w:bidi="ar"/>
              </w:rPr>
              <w:t>21</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57C1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衬套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5114E">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1493F">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2AEB6">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150</w:t>
            </w:r>
          </w:p>
        </w:tc>
      </w:tr>
      <w:tr w14:paraId="76B3D80D">
        <w:tblPrEx>
          <w:shd w:val="clear" w:color="auto" w:fill="auto"/>
          <w:tblCellMar>
            <w:top w:w="0" w:type="dxa"/>
            <w:left w:w="108" w:type="dxa"/>
            <w:bottom w:w="0" w:type="dxa"/>
            <w:right w:w="108" w:type="dxa"/>
          </w:tblCellMar>
        </w:tblPrEx>
        <w:trPr>
          <w:trHeight w:val="4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0C58F">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highlight w:val="none"/>
                <w:lang w:bidi="ar"/>
              </w:rPr>
            </w:pPr>
            <w:r>
              <w:rPr>
                <w:rFonts w:hint="eastAsia" w:ascii="宋体" w:hAnsi="宋体" w:eastAsia="宋体" w:cs="宋体"/>
                <w:i w:val="0"/>
                <w:iCs w:val="0"/>
                <w:color w:val="auto"/>
                <w:kern w:val="2"/>
                <w:sz w:val="24"/>
                <w:szCs w:val="24"/>
                <w:highlight w:val="none"/>
                <w:u w:val="none"/>
                <w:lang w:val="en-US" w:eastAsia="zh-CN" w:bidi="ar"/>
              </w:rPr>
              <w:t>22</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FD03B">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左右边齿</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1B307">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块</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2883F">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339F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300</w:t>
            </w:r>
          </w:p>
        </w:tc>
      </w:tr>
      <w:tr w14:paraId="79B274B4">
        <w:tblPrEx>
          <w:shd w:val="clear" w:color="auto" w:fill="auto"/>
          <w:tblCellMar>
            <w:top w:w="0" w:type="dxa"/>
            <w:left w:w="108" w:type="dxa"/>
            <w:bottom w:w="0" w:type="dxa"/>
            <w:right w:w="108" w:type="dxa"/>
          </w:tblCellMar>
        </w:tblPrEx>
        <w:trPr>
          <w:trHeight w:val="4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24611">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highlight w:val="none"/>
                <w:lang w:bidi="ar"/>
              </w:rPr>
            </w:pPr>
            <w:r>
              <w:rPr>
                <w:rFonts w:hint="eastAsia" w:ascii="宋体" w:hAnsi="宋体" w:eastAsia="宋体" w:cs="宋体"/>
                <w:i w:val="0"/>
                <w:iCs w:val="0"/>
                <w:color w:val="auto"/>
                <w:kern w:val="2"/>
                <w:sz w:val="24"/>
                <w:szCs w:val="24"/>
                <w:highlight w:val="none"/>
                <w:u w:val="none"/>
                <w:lang w:val="en-US" w:eastAsia="zh-CN" w:bidi="ar"/>
              </w:rPr>
              <w:t>23</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028F8">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半轴</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655C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2602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0903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500</w:t>
            </w:r>
          </w:p>
        </w:tc>
      </w:tr>
      <w:tr w14:paraId="131D9A11">
        <w:tblPrEx>
          <w:shd w:val="clear" w:color="auto" w:fill="auto"/>
          <w:tblCellMar>
            <w:top w:w="0" w:type="dxa"/>
            <w:left w:w="108" w:type="dxa"/>
            <w:bottom w:w="0" w:type="dxa"/>
            <w:right w:w="108" w:type="dxa"/>
          </w:tblCellMar>
        </w:tblPrEx>
        <w:trPr>
          <w:trHeight w:val="4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5438D">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highlight w:val="none"/>
                <w:lang w:bidi="ar"/>
              </w:rPr>
            </w:pPr>
            <w:r>
              <w:rPr>
                <w:rFonts w:hint="eastAsia" w:ascii="宋体" w:hAnsi="宋体" w:eastAsia="宋体" w:cs="宋体"/>
                <w:i w:val="0"/>
                <w:iCs w:val="0"/>
                <w:color w:val="auto"/>
                <w:kern w:val="2"/>
                <w:sz w:val="24"/>
                <w:szCs w:val="24"/>
                <w:highlight w:val="none"/>
                <w:u w:val="none"/>
                <w:lang w:val="en-US" w:eastAsia="zh-CN" w:bidi="ar"/>
              </w:rPr>
              <w:t>24</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DC087">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电风扇</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45F03">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B935F">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1A8E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190</w:t>
            </w:r>
          </w:p>
        </w:tc>
      </w:tr>
      <w:tr w14:paraId="38C91410">
        <w:tblPrEx>
          <w:shd w:val="clear" w:color="auto" w:fill="auto"/>
          <w:tblCellMar>
            <w:top w:w="0" w:type="dxa"/>
            <w:left w:w="108" w:type="dxa"/>
            <w:bottom w:w="0" w:type="dxa"/>
            <w:right w:w="108" w:type="dxa"/>
          </w:tblCellMar>
        </w:tblPrEx>
        <w:trPr>
          <w:trHeight w:val="4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26456">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highlight w:val="none"/>
                <w:lang w:bidi="ar"/>
              </w:rPr>
            </w:pPr>
            <w:r>
              <w:rPr>
                <w:rFonts w:hint="eastAsia" w:ascii="宋体" w:hAnsi="宋体" w:eastAsia="宋体" w:cs="宋体"/>
                <w:i w:val="0"/>
                <w:iCs w:val="0"/>
                <w:color w:val="auto"/>
                <w:kern w:val="2"/>
                <w:sz w:val="24"/>
                <w:szCs w:val="24"/>
                <w:highlight w:val="none"/>
                <w:u w:val="none"/>
                <w:lang w:val="en-US" w:eastAsia="zh-CN" w:bidi="ar"/>
              </w:rPr>
              <w:t>25</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7D02F">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蓄电池</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B9C61">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EE53D">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DDE95">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1200</w:t>
            </w:r>
          </w:p>
        </w:tc>
      </w:tr>
      <w:tr w14:paraId="1F735190">
        <w:tblPrEx>
          <w:shd w:val="clear" w:color="auto" w:fill="auto"/>
          <w:tblCellMar>
            <w:top w:w="0" w:type="dxa"/>
            <w:left w:w="108" w:type="dxa"/>
            <w:bottom w:w="0" w:type="dxa"/>
            <w:right w:w="108" w:type="dxa"/>
          </w:tblCellMar>
        </w:tblPrEx>
        <w:trPr>
          <w:trHeight w:val="4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6AB65">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highlight w:val="none"/>
                <w:lang w:bidi="ar"/>
              </w:rPr>
            </w:pPr>
            <w:r>
              <w:rPr>
                <w:rFonts w:hint="eastAsia" w:ascii="宋体" w:hAnsi="宋体" w:eastAsia="宋体" w:cs="宋体"/>
                <w:i w:val="0"/>
                <w:iCs w:val="0"/>
                <w:color w:val="auto"/>
                <w:kern w:val="2"/>
                <w:sz w:val="24"/>
                <w:szCs w:val="24"/>
                <w:highlight w:val="none"/>
                <w:u w:val="none"/>
                <w:lang w:val="en-US" w:eastAsia="zh-CN" w:bidi="ar"/>
              </w:rPr>
              <w:t>26</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6CA65">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一二级涡轮总成</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CB716">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975C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6FA7C">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2600</w:t>
            </w:r>
          </w:p>
        </w:tc>
      </w:tr>
      <w:tr w14:paraId="6B14023F">
        <w:tblPrEx>
          <w:shd w:val="clear" w:color="auto" w:fill="auto"/>
          <w:tblCellMar>
            <w:top w:w="0" w:type="dxa"/>
            <w:left w:w="108" w:type="dxa"/>
            <w:bottom w:w="0" w:type="dxa"/>
            <w:right w:w="108" w:type="dxa"/>
          </w:tblCellMar>
        </w:tblPrEx>
        <w:trPr>
          <w:trHeight w:val="4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2D91B">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highlight w:val="none"/>
                <w:lang w:bidi="ar"/>
              </w:rPr>
            </w:pPr>
            <w:r>
              <w:rPr>
                <w:rFonts w:hint="eastAsia" w:ascii="宋体" w:hAnsi="宋体" w:eastAsia="宋体" w:cs="宋体"/>
                <w:i w:val="0"/>
                <w:iCs w:val="0"/>
                <w:color w:val="auto"/>
                <w:kern w:val="2"/>
                <w:sz w:val="24"/>
                <w:szCs w:val="24"/>
                <w:highlight w:val="none"/>
                <w:u w:val="none"/>
                <w:lang w:val="en-US" w:eastAsia="zh-CN" w:bidi="ar"/>
              </w:rPr>
              <w:t>27</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52C8D">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超越离合器总成</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ED50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29F4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61AC5">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2600</w:t>
            </w:r>
          </w:p>
        </w:tc>
      </w:tr>
      <w:tr w14:paraId="31CDAE93">
        <w:tblPrEx>
          <w:tblCellMar>
            <w:top w:w="0" w:type="dxa"/>
            <w:left w:w="108" w:type="dxa"/>
            <w:bottom w:w="0" w:type="dxa"/>
            <w:right w:w="108" w:type="dxa"/>
          </w:tblCellMar>
        </w:tblPrEx>
        <w:trPr>
          <w:trHeight w:val="4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C3EFC">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highlight w:val="none"/>
                <w:lang w:bidi="ar"/>
              </w:rPr>
            </w:pPr>
            <w:r>
              <w:rPr>
                <w:rFonts w:hint="eastAsia" w:ascii="宋体" w:hAnsi="宋体" w:eastAsia="宋体" w:cs="宋体"/>
                <w:i w:val="0"/>
                <w:iCs w:val="0"/>
                <w:color w:val="auto"/>
                <w:kern w:val="2"/>
                <w:sz w:val="24"/>
                <w:szCs w:val="24"/>
                <w:highlight w:val="none"/>
                <w:u w:val="none"/>
                <w:lang w:val="en-US" w:eastAsia="zh-CN" w:bidi="ar"/>
              </w:rPr>
              <w:t>28</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F29FD">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活塞</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E5243">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套</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C1A1E">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E52FC">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1500</w:t>
            </w:r>
          </w:p>
        </w:tc>
      </w:tr>
      <w:tr w14:paraId="5DF6FAD6">
        <w:tblPrEx>
          <w:shd w:val="clear" w:color="auto" w:fill="auto"/>
          <w:tblCellMar>
            <w:top w:w="0" w:type="dxa"/>
            <w:left w:w="108" w:type="dxa"/>
            <w:bottom w:w="0" w:type="dxa"/>
            <w:right w:w="108" w:type="dxa"/>
          </w:tblCellMar>
        </w:tblPrEx>
        <w:trPr>
          <w:trHeight w:val="4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32D1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highlight w:val="none"/>
                <w:lang w:bidi="ar"/>
              </w:rPr>
            </w:pPr>
            <w:r>
              <w:rPr>
                <w:rFonts w:hint="eastAsia" w:ascii="宋体" w:hAnsi="宋体" w:eastAsia="宋体" w:cs="宋体"/>
                <w:i w:val="0"/>
                <w:iCs w:val="0"/>
                <w:color w:val="auto"/>
                <w:kern w:val="2"/>
                <w:sz w:val="24"/>
                <w:szCs w:val="24"/>
                <w:highlight w:val="none"/>
                <w:u w:val="none"/>
                <w:lang w:val="en-US" w:eastAsia="zh-CN" w:bidi="ar"/>
              </w:rPr>
              <w:t>29</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1DFC3">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空压机</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DE6B3">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03D3D">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895DD">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1500</w:t>
            </w:r>
          </w:p>
        </w:tc>
      </w:tr>
      <w:tr w14:paraId="256CF3EE">
        <w:tblPrEx>
          <w:tblCellMar>
            <w:top w:w="0" w:type="dxa"/>
            <w:left w:w="108" w:type="dxa"/>
            <w:bottom w:w="0" w:type="dxa"/>
            <w:right w:w="108" w:type="dxa"/>
          </w:tblCellMar>
        </w:tblPrEx>
        <w:trPr>
          <w:trHeight w:val="4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7015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highlight w:val="none"/>
                <w:lang w:bidi="ar"/>
              </w:rPr>
            </w:pPr>
            <w:r>
              <w:rPr>
                <w:rFonts w:hint="eastAsia" w:ascii="宋体" w:hAnsi="宋体" w:eastAsia="宋体" w:cs="宋体"/>
                <w:i w:val="0"/>
                <w:iCs w:val="0"/>
                <w:color w:val="auto"/>
                <w:kern w:val="2"/>
                <w:sz w:val="24"/>
                <w:szCs w:val="24"/>
                <w:highlight w:val="none"/>
                <w:u w:val="none"/>
                <w:lang w:val="en-US" w:eastAsia="zh-CN" w:bidi="ar"/>
              </w:rPr>
              <w:t>30</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702AE">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制动器</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47DE5">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FE6B7">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9390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800</w:t>
            </w:r>
          </w:p>
        </w:tc>
      </w:tr>
      <w:tr w14:paraId="12374CC3">
        <w:tblPrEx>
          <w:tblCellMar>
            <w:top w:w="0" w:type="dxa"/>
            <w:left w:w="108" w:type="dxa"/>
            <w:bottom w:w="0" w:type="dxa"/>
            <w:right w:w="108" w:type="dxa"/>
          </w:tblCellMar>
        </w:tblPrEx>
        <w:trPr>
          <w:trHeight w:val="4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B1DDB">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highlight w:val="none"/>
                <w:lang w:bidi="ar"/>
              </w:rPr>
            </w:pPr>
            <w:r>
              <w:rPr>
                <w:rFonts w:hint="eastAsia" w:ascii="宋体" w:hAnsi="宋体" w:eastAsia="宋体" w:cs="宋体"/>
                <w:i w:val="0"/>
                <w:iCs w:val="0"/>
                <w:color w:val="auto"/>
                <w:kern w:val="2"/>
                <w:sz w:val="24"/>
                <w:szCs w:val="24"/>
                <w:highlight w:val="none"/>
                <w:u w:val="none"/>
                <w:lang w:val="en-US" w:eastAsia="zh-CN" w:bidi="ar"/>
              </w:rPr>
              <w:t>31</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F6C3E">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加力泵</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9BF47">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D590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D008E">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600</w:t>
            </w:r>
          </w:p>
        </w:tc>
      </w:tr>
      <w:tr w14:paraId="5DAFBE5A">
        <w:tblPrEx>
          <w:shd w:val="clear" w:color="auto" w:fill="auto"/>
          <w:tblCellMar>
            <w:top w:w="0" w:type="dxa"/>
            <w:left w:w="108" w:type="dxa"/>
            <w:bottom w:w="0" w:type="dxa"/>
            <w:right w:w="108" w:type="dxa"/>
          </w:tblCellMar>
        </w:tblPrEx>
        <w:trPr>
          <w:trHeight w:val="4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40B71">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highlight w:val="none"/>
                <w:lang w:bidi="ar"/>
              </w:rPr>
            </w:pPr>
            <w:r>
              <w:rPr>
                <w:rFonts w:hint="eastAsia" w:ascii="宋体" w:hAnsi="宋体" w:eastAsia="宋体" w:cs="宋体"/>
                <w:i w:val="0"/>
                <w:iCs w:val="0"/>
                <w:color w:val="auto"/>
                <w:kern w:val="2"/>
                <w:sz w:val="24"/>
                <w:szCs w:val="24"/>
                <w:highlight w:val="none"/>
                <w:u w:val="none"/>
                <w:lang w:val="en-US" w:eastAsia="zh-CN" w:bidi="ar"/>
              </w:rPr>
              <w:t>32</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82C2D">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左右动臂油缸</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0A856">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5ED2F">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30ABE">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8500</w:t>
            </w:r>
          </w:p>
        </w:tc>
      </w:tr>
      <w:tr w14:paraId="28C0AC44">
        <w:tblPrEx>
          <w:shd w:val="clear" w:color="auto" w:fill="auto"/>
          <w:tblCellMar>
            <w:top w:w="0" w:type="dxa"/>
            <w:left w:w="108" w:type="dxa"/>
            <w:bottom w:w="0" w:type="dxa"/>
            <w:right w:w="108" w:type="dxa"/>
          </w:tblCellMar>
        </w:tblPrEx>
        <w:trPr>
          <w:trHeight w:val="4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8B72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highlight w:val="none"/>
                <w:lang w:bidi="ar"/>
              </w:rPr>
            </w:pPr>
            <w:r>
              <w:rPr>
                <w:rFonts w:hint="eastAsia" w:ascii="宋体" w:hAnsi="宋体" w:eastAsia="宋体" w:cs="宋体"/>
                <w:i w:val="0"/>
                <w:iCs w:val="0"/>
                <w:color w:val="auto"/>
                <w:kern w:val="2"/>
                <w:sz w:val="24"/>
                <w:szCs w:val="24"/>
                <w:highlight w:val="none"/>
                <w:u w:val="none"/>
                <w:lang w:val="en-US" w:eastAsia="zh-CN" w:bidi="ar"/>
              </w:rPr>
              <w:t>33</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F7151">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转向油缸</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A1008">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0CE51">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46DAF">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3000</w:t>
            </w:r>
          </w:p>
        </w:tc>
      </w:tr>
      <w:tr w14:paraId="73E7EE22">
        <w:tblPrEx>
          <w:tblCellMar>
            <w:top w:w="0" w:type="dxa"/>
            <w:left w:w="108" w:type="dxa"/>
            <w:bottom w:w="0" w:type="dxa"/>
            <w:right w:w="108" w:type="dxa"/>
          </w:tblCellMar>
        </w:tblPrEx>
        <w:trPr>
          <w:trHeight w:val="4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8BF6E">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highlight w:val="none"/>
                <w:lang w:bidi="ar"/>
              </w:rPr>
            </w:pPr>
            <w:r>
              <w:rPr>
                <w:rFonts w:hint="eastAsia" w:ascii="宋体" w:hAnsi="宋体" w:eastAsia="宋体" w:cs="宋体"/>
                <w:i w:val="0"/>
                <w:iCs w:val="0"/>
                <w:color w:val="auto"/>
                <w:kern w:val="2"/>
                <w:sz w:val="24"/>
                <w:szCs w:val="24"/>
                <w:highlight w:val="none"/>
                <w:u w:val="none"/>
                <w:lang w:val="en-US" w:eastAsia="zh-CN" w:bidi="ar"/>
              </w:rPr>
              <w:t>34</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EF06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翻斗油缸</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C224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27D49">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13493">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10000</w:t>
            </w:r>
          </w:p>
        </w:tc>
      </w:tr>
      <w:tr w14:paraId="4C7C460A">
        <w:tblPrEx>
          <w:shd w:val="clear" w:color="auto" w:fill="auto"/>
          <w:tblCellMar>
            <w:top w:w="0" w:type="dxa"/>
            <w:left w:w="108" w:type="dxa"/>
            <w:bottom w:w="0" w:type="dxa"/>
            <w:right w:w="108" w:type="dxa"/>
          </w:tblCellMar>
        </w:tblPrEx>
        <w:trPr>
          <w:trHeight w:val="4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3C64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highlight w:val="none"/>
                <w:lang w:bidi="ar"/>
              </w:rPr>
            </w:pPr>
            <w:r>
              <w:rPr>
                <w:rFonts w:hint="eastAsia" w:ascii="宋体" w:hAnsi="宋体" w:eastAsia="宋体" w:cs="宋体"/>
                <w:i w:val="0"/>
                <w:iCs w:val="0"/>
                <w:color w:val="auto"/>
                <w:kern w:val="2"/>
                <w:sz w:val="24"/>
                <w:szCs w:val="24"/>
                <w:highlight w:val="none"/>
                <w:u w:val="none"/>
                <w:lang w:val="en-US" w:eastAsia="zh-CN" w:bidi="ar"/>
              </w:rPr>
              <w:t>35</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1B15D">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喷油器</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51A4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029E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7ADCC">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2600</w:t>
            </w:r>
          </w:p>
        </w:tc>
      </w:tr>
      <w:tr w14:paraId="493D009C">
        <w:tblPrEx>
          <w:shd w:val="clear" w:color="auto" w:fill="auto"/>
          <w:tblCellMar>
            <w:top w:w="0" w:type="dxa"/>
            <w:left w:w="108" w:type="dxa"/>
            <w:bottom w:w="0" w:type="dxa"/>
            <w:right w:w="108" w:type="dxa"/>
          </w:tblCellMar>
        </w:tblPrEx>
        <w:trPr>
          <w:trHeight w:val="4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F7956">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highlight w:val="none"/>
                <w:lang w:bidi="ar"/>
              </w:rPr>
            </w:pPr>
            <w:r>
              <w:rPr>
                <w:rFonts w:hint="eastAsia" w:ascii="宋体" w:hAnsi="宋体" w:eastAsia="宋体" w:cs="宋体"/>
                <w:i w:val="0"/>
                <w:iCs w:val="0"/>
                <w:color w:val="auto"/>
                <w:kern w:val="2"/>
                <w:sz w:val="24"/>
                <w:szCs w:val="24"/>
                <w:highlight w:val="none"/>
                <w:u w:val="none"/>
                <w:lang w:val="en-US" w:eastAsia="zh-CN" w:bidi="ar"/>
              </w:rPr>
              <w:t>36</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B89F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分配阀</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375F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D28CF">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B043D">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4500</w:t>
            </w:r>
          </w:p>
        </w:tc>
      </w:tr>
      <w:tr w14:paraId="22C947F1">
        <w:tblPrEx>
          <w:shd w:val="clear" w:color="auto" w:fill="auto"/>
          <w:tblCellMar>
            <w:top w:w="0" w:type="dxa"/>
            <w:left w:w="108" w:type="dxa"/>
            <w:bottom w:w="0" w:type="dxa"/>
            <w:right w:w="108" w:type="dxa"/>
          </w:tblCellMar>
        </w:tblPrEx>
        <w:trPr>
          <w:trHeight w:val="4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B7C0C">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highlight w:val="none"/>
                <w:lang w:bidi="ar"/>
              </w:rPr>
            </w:pPr>
            <w:r>
              <w:rPr>
                <w:rFonts w:hint="eastAsia" w:ascii="宋体" w:hAnsi="宋体" w:eastAsia="宋体" w:cs="宋体"/>
                <w:i w:val="0"/>
                <w:iCs w:val="0"/>
                <w:color w:val="auto"/>
                <w:kern w:val="2"/>
                <w:sz w:val="24"/>
                <w:szCs w:val="24"/>
                <w:highlight w:val="none"/>
                <w:u w:val="none"/>
                <w:lang w:val="en-US" w:eastAsia="zh-CN" w:bidi="ar"/>
              </w:rPr>
              <w:t>37</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598DD">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转向器</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50907">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3B6AB">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46A9D">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2500</w:t>
            </w:r>
          </w:p>
        </w:tc>
      </w:tr>
      <w:tr w14:paraId="18970AE9">
        <w:tblPrEx>
          <w:shd w:val="clear" w:color="auto" w:fill="auto"/>
          <w:tblCellMar>
            <w:top w:w="0" w:type="dxa"/>
            <w:left w:w="108" w:type="dxa"/>
            <w:bottom w:w="0" w:type="dxa"/>
            <w:right w:w="108" w:type="dxa"/>
          </w:tblCellMar>
        </w:tblPrEx>
        <w:trPr>
          <w:trHeight w:val="4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F1CB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highlight w:val="none"/>
                <w:lang w:bidi="ar"/>
              </w:rPr>
            </w:pPr>
            <w:r>
              <w:rPr>
                <w:rFonts w:hint="eastAsia" w:ascii="宋体" w:hAnsi="宋体" w:eastAsia="宋体" w:cs="宋体"/>
                <w:i w:val="0"/>
                <w:iCs w:val="0"/>
                <w:color w:val="auto"/>
                <w:kern w:val="2"/>
                <w:sz w:val="24"/>
                <w:szCs w:val="24"/>
                <w:highlight w:val="none"/>
                <w:u w:val="none"/>
                <w:lang w:val="en-US" w:eastAsia="zh-CN" w:bidi="ar"/>
              </w:rPr>
              <w:t>38</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EEF17">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转向泵油管</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2B956">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CC70C">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A1641">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80</w:t>
            </w:r>
          </w:p>
        </w:tc>
      </w:tr>
      <w:tr w14:paraId="0ABE3129">
        <w:tblPrEx>
          <w:shd w:val="clear" w:color="auto" w:fill="auto"/>
          <w:tblCellMar>
            <w:top w:w="0" w:type="dxa"/>
            <w:left w:w="108" w:type="dxa"/>
            <w:bottom w:w="0" w:type="dxa"/>
            <w:right w:w="108" w:type="dxa"/>
          </w:tblCellMar>
        </w:tblPrEx>
        <w:trPr>
          <w:trHeight w:val="4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B892E">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highlight w:val="none"/>
                <w:lang w:bidi="ar"/>
              </w:rPr>
            </w:pPr>
            <w:r>
              <w:rPr>
                <w:rFonts w:hint="eastAsia" w:ascii="宋体" w:hAnsi="宋体" w:eastAsia="宋体" w:cs="宋体"/>
                <w:i w:val="0"/>
                <w:iCs w:val="0"/>
                <w:color w:val="auto"/>
                <w:kern w:val="2"/>
                <w:sz w:val="24"/>
                <w:szCs w:val="24"/>
                <w:highlight w:val="none"/>
                <w:u w:val="none"/>
                <w:lang w:val="en-US" w:eastAsia="zh-CN" w:bidi="ar"/>
              </w:rPr>
              <w:t>39</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452C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工作泵吸油管</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EBF17">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E24CE">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5D409">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180</w:t>
            </w:r>
          </w:p>
        </w:tc>
      </w:tr>
      <w:tr w14:paraId="511197BA">
        <w:tblPrEx>
          <w:shd w:val="clear" w:color="auto" w:fill="auto"/>
          <w:tblCellMar>
            <w:top w:w="0" w:type="dxa"/>
            <w:left w:w="108" w:type="dxa"/>
            <w:bottom w:w="0" w:type="dxa"/>
            <w:right w:w="108" w:type="dxa"/>
          </w:tblCellMar>
        </w:tblPrEx>
        <w:trPr>
          <w:trHeight w:val="4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9170E">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highlight w:val="none"/>
                <w:lang w:bidi="ar"/>
              </w:rPr>
            </w:pPr>
            <w:r>
              <w:rPr>
                <w:rFonts w:hint="eastAsia" w:ascii="宋体" w:hAnsi="宋体" w:eastAsia="宋体" w:cs="宋体"/>
                <w:i w:val="0"/>
                <w:iCs w:val="0"/>
                <w:color w:val="auto"/>
                <w:kern w:val="2"/>
                <w:sz w:val="24"/>
                <w:szCs w:val="24"/>
                <w:highlight w:val="none"/>
                <w:u w:val="none"/>
                <w:lang w:val="en-US" w:eastAsia="zh-CN" w:bidi="ar"/>
              </w:rPr>
              <w:t>40</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EBC56">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齿轮泵</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0140B">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3D54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0A111">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2000</w:t>
            </w:r>
          </w:p>
        </w:tc>
      </w:tr>
      <w:tr w14:paraId="5A8FEE6C">
        <w:tblPrEx>
          <w:shd w:val="clear" w:color="auto" w:fill="auto"/>
          <w:tblCellMar>
            <w:top w:w="0" w:type="dxa"/>
            <w:left w:w="108" w:type="dxa"/>
            <w:bottom w:w="0" w:type="dxa"/>
            <w:right w:w="108" w:type="dxa"/>
          </w:tblCellMar>
        </w:tblPrEx>
        <w:trPr>
          <w:trHeight w:val="4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1421C">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highlight w:val="none"/>
                <w:lang w:bidi="ar"/>
              </w:rPr>
            </w:pPr>
            <w:r>
              <w:rPr>
                <w:rFonts w:hint="eastAsia" w:ascii="宋体" w:hAnsi="宋体" w:eastAsia="宋体" w:cs="宋体"/>
                <w:i w:val="0"/>
                <w:iCs w:val="0"/>
                <w:color w:val="auto"/>
                <w:kern w:val="2"/>
                <w:sz w:val="24"/>
                <w:szCs w:val="24"/>
                <w:highlight w:val="none"/>
                <w:u w:val="none"/>
                <w:lang w:val="en-US" w:eastAsia="zh-CN" w:bidi="ar"/>
              </w:rPr>
              <w:t>41</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6AB8D">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手制动控制器</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2E5D9">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E8DFB">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D2BDE">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400</w:t>
            </w:r>
          </w:p>
        </w:tc>
      </w:tr>
      <w:tr w14:paraId="3607F5BA">
        <w:tblPrEx>
          <w:shd w:val="clear" w:color="auto" w:fill="auto"/>
          <w:tblCellMar>
            <w:top w:w="0" w:type="dxa"/>
            <w:left w:w="108" w:type="dxa"/>
            <w:bottom w:w="0" w:type="dxa"/>
            <w:right w:w="108" w:type="dxa"/>
          </w:tblCellMar>
        </w:tblPrEx>
        <w:trPr>
          <w:trHeight w:val="4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A1BF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highlight w:val="none"/>
                <w:lang w:bidi="ar"/>
              </w:rPr>
            </w:pPr>
            <w:r>
              <w:rPr>
                <w:rFonts w:hint="eastAsia" w:ascii="宋体" w:hAnsi="宋体" w:eastAsia="宋体" w:cs="宋体"/>
                <w:i w:val="0"/>
                <w:iCs w:val="0"/>
                <w:color w:val="auto"/>
                <w:kern w:val="2"/>
                <w:sz w:val="24"/>
                <w:szCs w:val="24"/>
                <w:highlight w:val="none"/>
                <w:u w:val="none"/>
                <w:lang w:val="en-US" w:eastAsia="zh-CN" w:bidi="ar"/>
              </w:rPr>
              <w:t>42</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8742F">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组合阀</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8476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EB281">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85F3B">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400</w:t>
            </w:r>
          </w:p>
        </w:tc>
      </w:tr>
      <w:tr w14:paraId="4CCD0DFE">
        <w:tblPrEx>
          <w:shd w:val="clear" w:color="auto" w:fill="auto"/>
          <w:tblCellMar>
            <w:top w:w="0" w:type="dxa"/>
            <w:left w:w="108" w:type="dxa"/>
            <w:bottom w:w="0" w:type="dxa"/>
            <w:right w:w="108" w:type="dxa"/>
          </w:tblCellMar>
        </w:tblPrEx>
        <w:trPr>
          <w:trHeight w:val="4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F910F">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highlight w:val="none"/>
                <w:lang w:bidi="ar"/>
              </w:rPr>
            </w:pPr>
            <w:r>
              <w:rPr>
                <w:rFonts w:hint="eastAsia" w:ascii="宋体" w:hAnsi="宋体" w:eastAsia="宋体" w:cs="宋体"/>
                <w:i w:val="0"/>
                <w:iCs w:val="0"/>
                <w:color w:val="auto"/>
                <w:kern w:val="2"/>
                <w:sz w:val="24"/>
                <w:szCs w:val="24"/>
                <w:highlight w:val="none"/>
                <w:u w:val="none"/>
                <w:lang w:val="en-US" w:eastAsia="zh-CN" w:bidi="ar"/>
              </w:rPr>
              <w:t>43</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22973">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工作泵</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59093">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019A1">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3EAE8">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2200</w:t>
            </w:r>
          </w:p>
        </w:tc>
      </w:tr>
      <w:tr w14:paraId="44703FE3">
        <w:tblPrEx>
          <w:shd w:val="clear" w:color="auto" w:fill="auto"/>
          <w:tblCellMar>
            <w:top w:w="0" w:type="dxa"/>
            <w:left w:w="108" w:type="dxa"/>
            <w:bottom w:w="0" w:type="dxa"/>
            <w:right w:w="108" w:type="dxa"/>
          </w:tblCellMar>
        </w:tblPrEx>
        <w:trPr>
          <w:trHeight w:val="4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9C8D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highlight w:val="none"/>
                <w:lang w:bidi="ar"/>
              </w:rPr>
            </w:pPr>
            <w:r>
              <w:rPr>
                <w:rFonts w:hint="eastAsia" w:ascii="宋体" w:hAnsi="宋体" w:eastAsia="宋体" w:cs="宋体"/>
                <w:i w:val="0"/>
                <w:iCs w:val="0"/>
                <w:color w:val="auto"/>
                <w:kern w:val="2"/>
                <w:sz w:val="24"/>
                <w:szCs w:val="24"/>
                <w:highlight w:val="none"/>
                <w:u w:val="none"/>
                <w:lang w:val="en-US" w:eastAsia="zh-CN" w:bidi="ar"/>
              </w:rPr>
              <w:t>44</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0F0A6">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油管</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DDA5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根</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E5553">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DCBC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60</w:t>
            </w:r>
          </w:p>
        </w:tc>
      </w:tr>
      <w:tr w14:paraId="4149C886">
        <w:tblPrEx>
          <w:shd w:val="clear" w:color="auto" w:fill="auto"/>
          <w:tblCellMar>
            <w:top w:w="0" w:type="dxa"/>
            <w:left w:w="108" w:type="dxa"/>
            <w:bottom w:w="0" w:type="dxa"/>
            <w:right w:w="108" w:type="dxa"/>
          </w:tblCellMar>
        </w:tblPrEx>
        <w:trPr>
          <w:trHeight w:val="4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B8E9D">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highlight w:val="none"/>
                <w:lang w:bidi="ar"/>
              </w:rPr>
            </w:pPr>
            <w:r>
              <w:rPr>
                <w:rFonts w:hint="eastAsia" w:ascii="宋体" w:hAnsi="宋体" w:eastAsia="宋体" w:cs="宋体"/>
                <w:i w:val="0"/>
                <w:iCs w:val="0"/>
                <w:color w:val="auto"/>
                <w:kern w:val="2"/>
                <w:sz w:val="24"/>
                <w:szCs w:val="24"/>
                <w:highlight w:val="none"/>
                <w:u w:val="none"/>
                <w:lang w:val="en-US" w:eastAsia="zh-CN" w:bidi="ar"/>
              </w:rPr>
              <w:t>45</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2C727">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JX1008A机滤</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5B9A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个</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7DA0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C26D7">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80</w:t>
            </w:r>
          </w:p>
        </w:tc>
      </w:tr>
      <w:tr w14:paraId="24A6F441">
        <w:tblPrEx>
          <w:tblCellMar>
            <w:top w:w="0" w:type="dxa"/>
            <w:left w:w="108" w:type="dxa"/>
            <w:bottom w:w="0" w:type="dxa"/>
            <w:right w:w="108" w:type="dxa"/>
          </w:tblCellMar>
        </w:tblPrEx>
        <w:trPr>
          <w:trHeight w:val="6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1F336">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highlight w:val="none"/>
                <w:lang w:bidi="ar"/>
              </w:rPr>
            </w:pPr>
            <w:r>
              <w:rPr>
                <w:rFonts w:hint="eastAsia" w:ascii="宋体" w:hAnsi="宋体" w:eastAsia="宋体" w:cs="宋体"/>
                <w:i w:val="0"/>
                <w:iCs w:val="0"/>
                <w:color w:val="auto"/>
                <w:kern w:val="2"/>
                <w:sz w:val="24"/>
                <w:szCs w:val="24"/>
                <w:highlight w:val="none"/>
                <w:u w:val="none"/>
                <w:lang w:val="en-US" w:eastAsia="zh-CN" w:bidi="ar"/>
              </w:rPr>
              <w:t>46</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7003E">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LKCQ28-200柴油精滤(LW180KV/200KV洛拖国3)(备件)</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04FF1">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个</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B265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B1B03">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150</w:t>
            </w:r>
          </w:p>
        </w:tc>
      </w:tr>
      <w:tr w14:paraId="09E49A1C">
        <w:tblPrEx>
          <w:shd w:val="clear" w:color="auto" w:fill="auto"/>
          <w:tblCellMar>
            <w:top w:w="0" w:type="dxa"/>
            <w:left w:w="108" w:type="dxa"/>
            <w:bottom w:w="0" w:type="dxa"/>
            <w:right w:w="108" w:type="dxa"/>
          </w:tblCellMar>
        </w:tblPrEx>
        <w:trPr>
          <w:trHeight w:val="6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33F98">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highlight w:val="none"/>
                <w:lang w:bidi="ar"/>
              </w:rPr>
            </w:pPr>
            <w:r>
              <w:rPr>
                <w:rFonts w:hint="eastAsia" w:ascii="宋体" w:hAnsi="宋体" w:eastAsia="宋体" w:cs="宋体"/>
                <w:i w:val="0"/>
                <w:iCs w:val="0"/>
                <w:color w:val="auto"/>
                <w:kern w:val="2"/>
                <w:sz w:val="24"/>
                <w:szCs w:val="24"/>
                <w:highlight w:val="none"/>
                <w:u w:val="none"/>
                <w:lang w:val="en-US" w:eastAsia="zh-CN" w:bidi="ar"/>
              </w:rPr>
              <w:t>47</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92AE1">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LKCQ28-100柴油预滤（LW180KV/200KV洛拖国3）(备件)</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908DE">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个</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6BE5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14D6D">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60</w:t>
            </w:r>
          </w:p>
        </w:tc>
      </w:tr>
      <w:tr w14:paraId="256E3CE8">
        <w:tblPrEx>
          <w:shd w:val="clear" w:color="auto" w:fill="auto"/>
          <w:tblCellMar>
            <w:top w:w="0" w:type="dxa"/>
            <w:left w:w="108" w:type="dxa"/>
            <w:bottom w:w="0" w:type="dxa"/>
            <w:right w:w="108" w:type="dxa"/>
          </w:tblCellMar>
        </w:tblPrEx>
        <w:trPr>
          <w:trHeight w:val="58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5B0C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highlight w:val="none"/>
                <w:lang w:bidi="ar"/>
              </w:rPr>
            </w:pPr>
            <w:r>
              <w:rPr>
                <w:rFonts w:hint="eastAsia" w:ascii="宋体" w:hAnsi="宋体" w:eastAsia="宋体" w:cs="宋体"/>
                <w:i w:val="0"/>
                <w:iCs w:val="0"/>
                <w:color w:val="auto"/>
                <w:kern w:val="2"/>
                <w:sz w:val="24"/>
                <w:szCs w:val="24"/>
                <w:highlight w:val="none"/>
                <w:u w:val="none"/>
                <w:lang w:val="en-US" w:eastAsia="zh-CN" w:bidi="ar"/>
              </w:rPr>
              <w:t>48</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26681">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LKCQ32B-100油水分离器(LW180KV/200KV洛拖国3)(备件)</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59A5C">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个</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923A6">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9B78B">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170</w:t>
            </w:r>
          </w:p>
        </w:tc>
      </w:tr>
      <w:tr w14:paraId="48FEB054">
        <w:tblPrEx>
          <w:shd w:val="clear" w:color="auto" w:fill="auto"/>
          <w:tblCellMar>
            <w:top w:w="0" w:type="dxa"/>
            <w:left w:w="108" w:type="dxa"/>
            <w:bottom w:w="0" w:type="dxa"/>
            <w:right w:w="108" w:type="dxa"/>
          </w:tblCellMar>
        </w:tblPrEx>
        <w:trPr>
          <w:trHeight w:val="4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A7C4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highlight w:val="none"/>
                <w:lang w:bidi="ar"/>
              </w:rPr>
            </w:pPr>
            <w:r>
              <w:rPr>
                <w:rFonts w:hint="eastAsia" w:ascii="宋体" w:hAnsi="宋体" w:eastAsia="宋体" w:cs="宋体"/>
                <w:i w:val="0"/>
                <w:iCs w:val="0"/>
                <w:color w:val="auto"/>
                <w:kern w:val="2"/>
                <w:sz w:val="24"/>
                <w:szCs w:val="24"/>
                <w:highlight w:val="none"/>
                <w:u w:val="none"/>
                <w:lang w:val="en-US" w:eastAsia="zh-CN" w:bidi="ar"/>
              </w:rPr>
              <w:t>49</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44D41">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KL2036-0300A 安全滤芯=860121136</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9E30C">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个</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1139C">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4FB36">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110</w:t>
            </w:r>
          </w:p>
        </w:tc>
      </w:tr>
      <w:tr w14:paraId="264E1BE0">
        <w:tblPrEx>
          <w:shd w:val="clear" w:color="auto" w:fill="auto"/>
          <w:tblCellMar>
            <w:top w:w="0" w:type="dxa"/>
            <w:left w:w="108" w:type="dxa"/>
            <w:bottom w:w="0" w:type="dxa"/>
            <w:right w:w="108" w:type="dxa"/>
          </w:tblCellMar>
        </w:tblPrEx>
        <w:trPr>
          <w:trHeight w:val="4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192D9">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highlight w:val="none"/>
                <w:lang w:bidi="ar"/>
              </w:rPr>
            </w:pPr>
            <w:r>
              <w:rPr>
                <w:rFonts w:hint="eastAsia" w:ascii="宋体" w:hAnsi="宋体" w:eastAsia="宋体" w:cs="宋体"/>
                <w:i w:val="0"/>
                <w:iCs w:val="0"/>
                <w:color w:val="auto"/>
                <w:kern w:val="2"/>
                <w:sz w:val="24"/>
                <w:szCs w:val="24"/>
                <w:highlight w:val="none"/>
                <w:u w:val="none"/>
                <w:lang w:val="en-US" w:eastAsia="zh-CN" w:bidi="ar"/>
              </w:rPr>
              <w:t>50</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7104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KL2036-0100 主滤芯=860121136</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BCA86">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个</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4713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15558">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80</w:t>
            </w:r>
          </w:p>
        </w:tc>
      </w:tr>
      <w:tr w14:paraId="262A9108">
        <w:tblPrEx>
          <w:shd w:val="clear" w:color="auto" w:fill="auto"/>
          <w:tblCellMar>
            <w:top w:w="0" w:type="dxa"/>
            <w:left w:w="108" w:type="dxa"/>
            <w:bottom w:w="0" w:type="dxa"/>
            <w:right w:w="108" w:type="dxa"/>
          </w:tblCellMar>
        </w:tblPrEx>
        <w:trPr>
          <w:trHeight w:val="4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E4D1C">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highlight w:val="none"/>
                <w:lang w:bidi="ar"/>
              </w:rPr>
            </w:pPr>
            <w:r>
              <w:rPr>
                <w:rFonts w:hint="eastAsia" w:ascii="宋体" w:hAnsi="宋体" w:eastAsia="宋体" w:cs="宋体"/>
                <w:i w:val="0"/>
                <w:iCs w:val="0"/>
                <w:color w:val="auto"/>
                <w:kern w:val="2"/>
                <w:sz w:val="24"/>
                <w:szCs w:val="24"/>
                <w:highlight w:val="none"/>
                <w:u w:val="none"/>
                <w:lang w:val="en-US" w:eastAsia="zh-CN" w:bidi="ar"/>
              </w:rPr>
              <w:t>51</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D94F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变速箱滤清器</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58B7C">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个</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6E245">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4ED9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120</w:t>
            </w:r>
          </w:p>
        </w:tc>
      </w:tr>
      <w:tr w14:paraId="43D0F909">
        <w:tblPrEx>
          <w:shd w:val="clear" w:color="auto" w:fill="auto"/>
          <w:tblCellMar>
            <w:top w:w="0" w:type="dxa"/>
            <w:left w:w="108" w:type="dxa"/>
            <w:bottom w:w="0" w:type="dxa"/>
            <w:right w:w="108" w:type="dxa"/>
          </w:tblCellMar>
        </w:tblPrEx>
        <w:trPr>
          <w:trHeight w:val="4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D8E5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highlight w:val="none"/>
                <w:lang w:bidi="ar"/>
              </w:rPr>
            </w:pPr>
            <w:r>
              <w:rPr>
                <w:rFonts w:hint="eastAsia" w:ascii="宋体" w:hAnsi="宋体" w:eastAsia="宋体" w:cs="宋体"/>
                <w:i w:val="0"/>
                <w:iCs w:val="0"/>
                <w:color w:val="auto"/>
                <w:kern w:val="2"/>
                <w:sz w:val="24"/>
                <w:szCs w:val="24"/>
                <w:highlight w:val="none"/>
                <w:u w:val="none"/>
                <w:lang w:val="en-US" w:eastAsia="zh-CN" w:bidi="ar"/>
              </w:rPr>
              <w:t>52</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1FFCB">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LW188/220(Z3.3.6)变矩器滤芯</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A9D3D">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个</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66327">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7779D">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80</w:t>
            </w:r>
          </w:p>
        </w:tc>
      </w:tr>
      <w:tr w14:paraId="378354AC">
        <w:tblPrEx>
          <w:shd w:val="clear" w:color="auto" w:fill="auto"/>
          <w:tblCellMar>
            <w:top w:w="0" w:type="dxa"/>
            <w:left w:w="108" w:type="dxa"/>
            <w:bottom w:w="0" w:type="dxa"/>
            <w:right w:w="108" w:type="dxa"/>
          </w:tblCellMar>
        </w:tblPrEx>
        <w:trPr>
          <w:trHeight w:val="4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3DB2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highlight w:val="none"/>
                <w:lang w:bidi="ar"/>
              </w:rPr>
            </w:pPr>
            <w:r>
              <w:rPr>
                <w:rFonts w:hint="eastAsia" w:ascii="宋体" w:hAnsi="宋体" w:eastAsia="宋体" w:cs="宋体"/>
                <w:i w:val="0"/>
                <w:iCs w:val="0"/>
                <w:color w:val="auto"/>
                <w:kern w:val="2"/>
                <w:sz w:val="24"/>
                <w:szCs w:val="24"/>
                <w:highlight w:val="none"/>
                <w:u w:val="none"/>
                <w:lang w:val="en-US" w:eastAsia="zh-CN" w:bidi="ar"/>
              </w:rPr>
              <w:t>53</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0F07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XGHL11-300×10 回油滤芯</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138F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个</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A4A9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891F8">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260</w:t>
            </w:r>
          </w:p>
        </w:tc>
      </w:tr>
      <w:tr w14:paraId="29E6F57B">
        <w:tblPrEx>
          <w:tblCellMar>
            <w:top w:w="0" w:type="dxa"/>
            <w:left w:w="108" w:type="dxa"/>
            <w:bottom w:w="0" w:type="dxa"/>
            <w:right w:w="108" w:type="dxa"/>
          </w:tblCellMar>
        </w:tblPrEx>
        <w:trPr>
          <w:trHeight w:val="4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E3CDE">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highlight w:val="none"/>
                <w:lang w:bidi="ar"/>
              </w:rPr>
            </w:pPr>
            <w:r>
              <w:rPr>
                <w:rFonts w:hint="eastAsia" w:ascii="宋体" w:hAnsi="宋体" w:eastAsia="宋体" w:cs="宋体"/>
                <w:i w:val="0"/>
                <w:iCs w:val="0"/>
                <w:color w:val="auto"/>
                <w:kern w:val="2"/>
                <w:sz w:val="24"/>
                <w:szCs w:val="24"/>
                <w:highlight w:val="none"/>
                <w:u w:val="none"/>
                <w:lang w:val="en-US" w:eastAsia="zh-CN" w:bidi="ar"/>
              </w:rPr>
              <w:t>54</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1830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D0T4制动液(800克)(SN)(备件)</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6C67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桶</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3DD4B">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3A24E">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50</w:t>
            </w:r>
          </w:p>
        </w:tc>
      </w:tr>
      <w:tr w14:paraId="7C1A4DB3">
        <w:tblPrEx>
          <w:shd w:val="clear" w:color="auto" w:fill="auto"/>
          <w:tblCellMar>
            <w:top w:w="0" w:type="dxa"/>
            <w:left w:w="108" w:type="dxa"/>
            <w:bottom w:w="0" w:type="dxa"/>
            <w:right w:w="108" w:type="dxa"/>
          </w:tblCellMar>
        </w:tblPrEx>
        <w:trPr>
          <w:trHeight w:val="4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2796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highlight w:val="none"/>
                <w:lang w:bidi="ar"/>
              </w:rPr>
            </w:pPr>
            <w:r>
              <w:rPr>
                <w:rFonts w:hint="eastAsia" w:ascii="宋体" w:hAnsi="宋体" w:eastAsia="宋体" w:cs="宋体"/>
                <w:i w:val="0"/>
                <w:iCs w:val="0"/>
                <w:color w:val="auto"/>
                <w:kern w:val="2"/>
                <w:sz w:val="24"/>
                <w:szCs w:val="24"/>
                <w:highlight w:val="none"/>
                <w:u w:val="none"/>
                <w:lang w:val="en-US" w:eastAsia="zh-CN" w:bidi="ar"/>
              </w:rPr>
              <w:t>55</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9030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徐工46#专用液压油 (18L)(备件)</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368A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桶</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4B109">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06376">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350</w:t>
            </w:r>
          </w:p>
        </w:tc>
      </w:tr>
      <w:tr w14:paraId="05B4CE28">
        <w:tblPrEx>
          <w:tblCellMar>
            <w:top w:w="0" w:type="dxa"/>
            <w:left w:w="108" w:type="dxa"/>
            <w:bottom w:w="0" w:type="dxa"/>
            <w:right w:w="108" w:type="dxa"/>
          </w:tblCellMar>
        </w:tblPrEx>
        <w:trPr>
          <w:trHeight w:val="4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BA606">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highlight w:val="none"/>
                <w:lang w:bidi="ar"/>
              </w:rPr>
            </w:pPr>
            <w:r>
              <w:rPr>
                <w:rFonts w:hint="eastAsia" w:ascii="宋体" w:hAnsi="宋体" w:eastAsia="宋体" w:cs="宋体"/>
                <w:i w:val="0"/>
                <w:iCs w:val="0"/>
                <w:color w:val="auto"/>
                <w:kern w:val="2"/>
                <w:sz w:val="24"/>
                <w:szCs w:val="24"/>
                <w:highlight w:val="none"/>
                <w:u w:val="none"/>
                <w:lang w:val="en-US" w:eastAsia="zh-CN" w:bidi="ar"/>
              </w:rPr>
              <w:t>56</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D57AE">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徐工专用齿轮油GL-5 85W/90(18L)(备件)</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7E35D">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桶</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9EDCF">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D75E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350</w:t>
            </w:r>
          </w:p>
        </w:tc>
      </w:tr>
      <w:tr w14:paraId="30B04246">
        <w:tblPrEx>
          <w:tblCellMar>
            <w:top w:w="0" w:type="dxa"/>
            <w:left w:w="108" w:type="dxa"/>
            <w:bottom w:w="0" w:type="dxa"/>
            <w:right w:w="108" w:type="dxa"/>
          </w:tblCellMar>
        </w:tblPrEx>
        <w:trPr>
          <w:trHeight w:val="4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4D963">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highlight w:val="none"/>
                <w:lang w:bidi="ar"/>
              </w:rPr>
            </w:pPr>
            <w:r>
              <w:rPr>
                <w:rFonts w:hint="eastAsia" w:ascii="宋体" w:hAnsi="宋体" w:eastAsia="宋体" w:cs="宋体"/>
                <w:i w:val="0"/>
                <w:iCs w:val="0"/>
                <w:color w:val="auto"/>
                <w:kern w:val="2"/>
                <w:sz w:val="24"/>
                <w:szCs w:val="24"/>
                <w:highlight w:val="none"/>
                <w:u w:val="none"/>
                <w:lang w:val="en-US" w:eastAsia="zh-CN" w:bidi="ar"/>
              </w:rPr>
              <w:t>57</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9A1A7">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刀板（5吨 带配套螺丝）</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0D691">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块</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66BFE">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13EE6">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750</w:t>
            </w:r>
          </w:p>
        </w:tc>
      </w:tr>
      <w:tr w14:paraId="5864A063">
        <w:tblPrEx>
          <w:tblCellMar>
            <w:top w:w="0" w:type="dxa"/>
            <w:left w:w="108" w:type="dxa"/>
            <w:bottom w:w="0" w:type="dxa"/>
            <w:right w:w="108" w:type="dxa"/>
          </w:tblCellMar>
        </w:tblPrEx>
        <w:trPr>
          <w:trHeight w:val="4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176C6">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highlight w:val="none"/>
                <w:lang w:bidi="ar"/>
              </w:rPr>
            </w:pPr>
            <w:r>
              <w:rPr>
                <w:rFonts w:hint="eastAsia" w:ascii="宋体" w:hAnsi="宋体" w:eastAsia="宋体" w:cs="宋体"/>
                <w:i w:val="0"/>
                <w:iCs w:val="0"/>
                <w:color w:val="auto"/>
                <w:kern w:val="2"/>
                <w:sz w:val="24"/>
                <w:szCs w:val="24"/>
                <w:highlight w:val="none"/>
                <w:u w:val="none"/>
                <w:lang w:val="en-US" w:eastAsia="zh-CN" w:bidi="ar"/>
              </w:rPr>
              <w:t>58</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BF0C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机油滤芯</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4E0F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11ED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0B13E">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100</w:t>
            </w:r>
          </w:p>
        </w:tc>
      </w:tr>
      <w:tr w14:paraId="30CEAAC9">
        <w:tblPrEx>
          <w:tblCellMar>
            <w:top w:w="0" w:type="dxa"/>
            <w:left w:w="108" w:type="dxa"/>
            <w:bottom w:w="0" w:type="dxa"/>
            <w:right w:w="108" w:type="dxa"/>
          </w:tblCellMar>
        </w:tblPrEx>
        <w:trPr>
          <w:trHeight w:val="4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C823C">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highlight w:val="none"/>
                <w:lang w:bidi="ar"/>
              </w:rPr>
            </w:pPr>
            <w:r>
              <w:rPr>
                <w:rFonts w:hint="eastAsia" w:ascii="宋体" w:hAnsi="宋体" w:eastAsia="宋体" w:cs="宋体"/>
                <w:i w:val="0"/>
                <w:iCs w:val="0"/>
                <w:color w:val="auto"/>
                <w:kern w:val="2"/>
                <w:sz w:val="24"/>
                <w:szCs w:val="24"/>
                <w:highlight w:val="none"/>
                <w:u w:val="none"/>
                <w:lang w:val="en-US" w:eastAsia="zh-CN" w:bidi="ar"/>
              </w:rPr>
              <w:t>59</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FA8EF">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变矩器滤芯</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7B18D">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CDF55">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1CD48">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80</w:t>
            </w:r>
          </w:p>
        </w:tc>
      </w:tr>
      <w:tr w14:paraId="26BE5314">
        <w:tblPrEx>
          <w:shd w:val="clear" w:color="auto" w:fill="auto"/>
          <w:tblCellMar>
            <w:top w:w="0" w:type="dxa"/>
            <w:left w:w="108" w:type="dxa"/>
            <w:bottom w:w="0" w:type="dxa"/>
            <w:right w:w="108" w:type="dxa"/>
          </w:tblCellMar>
        </w:tblPrEx>
        <w:trPr>
          <w:trHeight w:val="4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3FEC9">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highlight w:val="none"/>
                <w:lang w:bidi="ar"/>
              </w:rPr>
            </w:pPr>
            <w:r>
              <w:rPr>
                <w:rFonts w:hint="eastAsia" w:ascii="宋体" w:hAnsi="宋体" w:eastAsia="宋体" w:cs="宋体"/>
                <w:i w:val="0"/>
                <w:iCs w:val="0"/>
                <w:color w:val="auto"/>
                <w:kern w:val="2"/>
                <w:sz w:val="24"/>
                <w:szCs w:val="24"/>
                <w:highlight w:val="none"/>
                <w:u w:val="none"/>
                <w:lang w:val="en-US" w:eastAsia="zh-CN" w:bidi="ar"/>
              </w:rPr>
              <w:t>60</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1586B">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空调新风滤网</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CCED5">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88A0F">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213C7">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60</w:t>
            </w:r>
          </w:p>
        </w:tc>
      </w:tr>
      <w:tr w14:paraId="64A31AAD">
        <w:tblPrEx>
          <w:shd w:val="clear" w:color="auto" w:fill="auto"/>
          <w:tblCellMar>
            <w:top w:w="0" w:type="dxa"/>
            <w:left w:w="108" w:type="dxa"/>
            <w:bottom w:w="0" w:type="dxa"/>
            <w:right w:w="108" w:type="dxa"/>
          </w:tblCellMar>
        </w:tblPrEx>
        <w:trPr>
          <w:trHeight w:val="4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083D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highlight w:val="none"/>
                <w:lang w:bidi="ar"/>
              </w:rPr>
            </w:pPr>
            <w:r>
              <w:rPr>
                <w:rFonts w:hint="eastAsia" w:ascii="宋体" w:hAnsi="宋体" w:eastAsia="宋体" w:cs="宋体"/>
                <w:i w:val="0"/>
                <w:iCs w:val="0"/>
                <w:color w:val="auto"/>
                <w:kern w:val="2"/>
                <w:sz w:val="24"/>
                <w:szCs w:val="24"/>
                <w:highlight w:val="none"/>
                <w:u w:val="none"/>
                <w:lang w:val="en-US" w:eastAsia="zh-CN" w:bidi="ar"/>
              </w:rPr>
              <w:t>61</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642BD">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燃油箱吸油滤芯</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049E9">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2FD1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BD4D9">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60</w:t>
            </w:r>
          </w:p>
        </w:tc>
      </w:tr>
      <w:tr w14:paraId="42C50F63">
        <w:tblPrEx>
          <w:shd w:val="clear" w:color="auto" w:fill="auto"/>
          <w:tblCellMar>
            <w:top w:w="0" w:type="dxa"/>
            <w:left w:w="108" w:type="dxa"/>
            <w:bottom w:w="0" w:type="dxa"/>
            <w:right w:w="108" w:type="dxa"/>
          </w:tblCellMar>
        </w:tblPrEx>
        <w:trPr>
          <w:trHeight w:val="4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54A9D">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highlight w:val="none"/>
                <w:lang w:bidi="ar"/>
              </w:rPr>
            </w:pPr>
            <w:r>
              <w:rPr>
                <w:rFonts w:hint="eastAsia" w:ascii="宋体" w:hAnsi="宋体" w:eastAsia="宋体" w:cs="宋体"/>
                <w:i w:val="0"/>
                <w:iCs w:val="0"/>
                <w:color w:val="auto"/>
                <w:kern w:val="2"/>
                <w:sz w:val="24"/>
                <w:szCs w:val="24"/>
                <w:highlight w:val="none"/>
                <w:u w:val="none"/>
                <w:lang w:val="en-US" w:eastAsia="zh-CN" w:bidi="ar"/>
              </w:rPr>
              <w:t>62</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6EE66">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左边齿</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AE6E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EA71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01ECF">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270</w:t>
            </w:r>
          </w:p>
        </w:tc>
      </w:tr>
      <w:tr w14:paraId="43ED2A38">
        <w:tblPrEx>
          <w:tblCellMar>
            <w:top w:w="0" w:type="dxa"/>
            <w:left w:w="108" w:type="dxa"/>
            <w:bottom w:w="0" w:type="dxa"/>
            <w:right w:w="108" w:type="dxa"/>
          </w:tblCellMar>
        </w:tblPrEx>
        <w:trPr>
          <w:trHeight w:val="4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6CA85">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highlight w:val="none"/>
                <w:lang w:bidi="ar"/>
              </w:rPr>
            </w:pPr>
            <w:r>
              <w:rPr>
                <w:rFonts w:hint="eastAsia" w:ascii="宋体" w:hAnsi="宋体" w:eastAsia="宋体" w:cs="宋体"/>
                <w:i w:val="0"/>
                <w:iCs w:val="0"/>
                <w:color w:val="auto"/>
                <w:kern w:val="2"/>
                <w:sz w:val="24"/>
                <w:szCs w:val="24"/>
                <w:highlight w:val="none"/>
                <w:u w:val="none"/>
                <w:lang w:val="en-US" w:eastAsia="zh-CN" w:bidi="ar"/>
              </w:rPr>
              <w:t>63</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EE73F">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右边齿</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2E6CC">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0CB37">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6364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270</w:t>
            </w:r>
          </w:p>
        </w:tc>
      </w:tr>
      <w:tr w14:paraId="5CCA5B83">
        <w:tblPrEx>
          <w:tblCellMar>
            <w:top w:w="0" w:type="dxa"/>
            <w:left w:w="108" w:type="dxa"/>
            <w:bottom w:w="0" w:type="dxa"/>
            <w:right w:w="108" w:type="dxa"/>
          </w:tblCellMar>
        </w:tblPrEx>
        <w:trPr>
          <w:trHeight w:val="4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FE7E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highlight w:val="none"/>
                <w:lang w:bidi="ar"/>
              </w:rPr>
            </w:pPr>
            <w:r>
              <w:rPr>
                <w:rFonts w:hint="eastAsia" w:ascii="宋体" w:hAnsi="宋体" w:eastAsia="宋体" w:cs="宋体"/>
                <w:i w:val="0"/>
                <w:iCs w:val="0"/>
                <w:color w:val="auto"/>
                <w:kern w:val="2"/>
                <w:sz w:val="24"/>
                <w:szCs w:val="24"/>
                <w:highlight w:val="none"/>
                <w:u w:val="none"/>
                <w:lang w:val="en-US" w:eastAsia="zh-CN" w:bidi="ar"/>
              </w:rPr>
              <w:t>64</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35326">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斗齿</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B9A1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BFBE5">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47499">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190</w:t>
            </w:r>
          </w:p>
        </w:tc>
      </w:tr>
      <w:tr w14:paraId="7E698809">
        <w:tblPrEx>
          <w:tblCellMar>
            <w:top w:w="0" w:type="dxa"/>
            <w:left w:w="108" w:type="dxa"/>
            <w:bottom w:w="0" w:type="dxa"/>
            <w:right w:w="108" w:type="dxa"/>
          </w:tblCellMar>
        </w:tblPrEx>
        <w:trPr>
          <w:trHeight w:val="4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E4EE6">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highlight w:val="none"/>
                <w:lang w:bidi="ar"/>
              </w:rPr>
            </w:pPr>
            <w:r>
              <w:rPr>
                <w:rFonts w:hint="eastAsia" w:ascii="宋体" w:hAnsi="宋体" w:eastAsia="宋体" w:cs="宋体"/>
                <w:i w:val="0"/>
                <w:iCs w:val="0"/>
                <w:color w:val="auto"/>
                <w:kern w:val="2"/>
                <w:sz w:val="24"/>
                <w:szCs w:val="24"/>
                <w:highlight w:val="none"/>
                <w:u w:val="none"/>
                <w:lang w:val="en-US" w:eastAsia="zh-CN" w:bidi="ar"/>
              </w:rPr>
              <w:t>65</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C2988">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轮胎  23.5-25-18</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3D6C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9DAB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9A5BB">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4950</w:t>
            </w:r>
          </w:p>
        </w:tc>
      </w:tr>
      <w:tr w14:paraId="478097FA">
        <w:tblPrEx>
          <w:shd w:val="clear" w:color="auto" w:fill="auto"/>
          <w:tblCellMar>
            <w:top w:w="0" w:type="dxa"/>
            <w:left w:w="108" w:type="dxa"/>
            <w:bottom w:w="0" w:type="dxa"/>
            <w:right w:w="108" w:type="dxa"/>
          </w:tblCellMar>
        </w:tblPrEx>
        <w:trPr>
          <w:trHeight w:val="4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89FB3">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highlight w:val="none"/>
                <w:lang w:bidi="ar"/>
              </w:rPr>
            </w:pPr>
            <w:r>
              <w:rPr>
                <w:rFonts w:hint="eastAsia" w:ascii="宋体" w:hAnsi="宋体" w:eastAsia="宋体" w:cs="宋体"/>
                <w:i w:val="0"/>
                <w:iCs w:val="0"/>
                <w:color w:val="auto"/>
                <w:kern w:val="2"/>
                <w:sz w:val="24"/>
                <w:szCs w:val="24"/>
                <w:highlight w:val="none"/>
                <w:u w:val="none"/>
                <w:lang w:val="en-US" w:eastAsia="zh-CN" w:bidi="ar"/>
              </w:rPr>
              <w:t>66</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AAB5F">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刀板（6吨配套螺丝）</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B2031">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块</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056C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4B8C1">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2200</w:t>
            </w:r>
          </w:p>
        </w:tc>
      </w:tr>
      <w:tr w14:paraId="56D893A1">
        <w:tblPrEx>
          <w:shd w:val="clear" w:color="auto" w:fill="auto"/>
          <w:tblCellMar>
            <w:top w:w="0" w:type="dxa"/>
            <w:left w:w="108" w:type="dxa"/>
            <w:bottom w:w="0" w:type="dxa"/>
            <w:right w:w="108" w:type="dxa"/>
          </w:tblCellMar>
        </w:tblPrEx>
        <w:trPr>
          <w:trHeight w:val="4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E4F0B">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highlight w:val="none"/>
                <w:lang w:bidi="ar"/>
              </w:rPr>
            </w:pPr>
            <w:r>
              <w:rPr>
                <w:rFonts w:hint="eastAsia" w:ascii="宋体" w:hAnsi="宋体" w:eastAsia="宋体" w:cs="宋体"/>
                <w:i w:val="0"/>
                <w:iCs w:val="0"/>
                <w:color w:val="auto"/>
                <w:kern w:val="2"/>
                <w:sz w:val="24"/>
                <w:szCs w:val="24"/>
                <w:highlight w:val="none"/>
                <w:u w:val="none"/>
                <w:lang w:val="en-US" w:eastAsia="zh-CN" w:bidi="ar"/>
              </w:rPr>
              <w:t>67</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34307">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保养工时费</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D35EC">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台</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37CE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3396B">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300</w:t>
            </w:r>
          </w:p>
        </w:tc>
      </w:tr>
      <w:tr w14:paraId="36C8B548">
        <w:tblPrEx>
          <w:shd w:val="clear" w:color="auto" w:fill="auto"/>
          <w:tblCellMar>
            <w:top w:w="0" w:type="dxa"/>
            <w:left w:w="108" w:type="dxa"/>
            <w:bottom w:w="0" w:type="dxa"/>
            <w:right w:w="108" w:type="dxa"/>
          </w:tblCellMar>
        </w:tblPrEx>
        <w:trPr>
          <w:trHeight w:val="4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A399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68</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8C40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制动控制器</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5E07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7C1C1">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66DBB">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550</w:t>
            </w:r>
          </w:p>
        </w:tc>
      </w:tr>
      <w:tr w14:paraId="4DDB548A">
        <w:tblPrEx>
          <w:shd w:val="clear" w:color="auto" w:fill="auto"/>
          <w:tblCellMar>
            <w:top w:w="0" w:type="dxa"/>
            <w:left w:w="108" w:type="dxa"/>
            <w:bottom w:w="0" w:type="dxa"/>
            <w:right w:w="108" w:type="dxa"/>
          </w:tblCellMar>
        </w:tblPrEx>
        <w:trPr>
          <w:trHeight w:val="4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05258">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69</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FFFF6">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更换刹车片</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C6FBD">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片</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0C7FB">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B2BFB">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350</w:t>
            </w:r>
          </w:p>
        </w:tc>
      </w:tr>
      <w:tr w14:paraId="5EA28A63">
        <w:tblPrEx>
          <w:tblCellMar>
            <w:top w:w="0" w:type="dxa"/>
            <w:left w:w="108" w:type="dxa"/>
            <w:bottom w:w="0" w:type="dxa"/>
            <w:right w:w="108" w:type="dxa"/>
          </w:tblCellMar>
        </w:tblPrEx>
        <w:trPr>
          <w:trHeight w:val="4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F7D4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70</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38461">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更换液压油管</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EA507">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米</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4512F">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EDC01">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90</w:t>
            </w:r>
          </w:p>
        </w:tc>
      </w:tr>
      <w:tr w14:paraId="336F64F4">
        <w:tblPrEx>
          <w:shd w:val="clear" w:color="auto" w:fill="auto"/>
          <w:tblCellMar>
            <w:top w:w="0" w:type="dxa"/>
            <w:left w:w="108" w:type="dxa"/>
            <w:bottom w:w="0" w:type="dxa"/>
            <w:right w:w="108" w:type="dxa"/>
          </w:tblCellMar>
        </w:tblPrEx>
        <w:trPr>
          <w:trHeight w:val="4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7ABEB">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71</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D0F05">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更换水箱</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6D4E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26DEB">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163E3">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2800</w:t>
            </w:r>
          </w:p>
        </w:tc>
      </w:tr>
      <w:tr w14:paraId="101D76CD">
        <w:tblPrEx>
          <w:tblCellMar>
            <w:top w:w="0" w:type="dxa"/>
            <w:left w:w="108" w:type="dxa"/>
            <w:bottom w:w="0" w:type="dxa"/>
            <w:right w:w="108" w:type="dxa"/>
          </w:tblCellMar>
        </w:tblPrEx>
        <w:trPr>
          <w:trHeight w:val="4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B9495">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72</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CE1AC">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防冻液（10L）</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BD2C9">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桶</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75A1F">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3F5A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100</w:t>
            </w:r>
          </w:p>
        </w:tc>
      </w:tr>
      <w:tr w14:paraId="5CAA109A">
        <w:tblPrEx>
          <w:shd w:val="clear" w:color="auto" w:fill="auto"/>
          <w:tblCellMar>
            <w:top w:w="0" w:type="dxa"/>
            <w:left w:w="108" w:type="dxa"/>
            <w:bottom w:w="0" w:type="dxa"/>
            <w:right w:w="108" w:type="dxa"/>
          </w:tblCellMar>
        </w:tblPrEx>
        <w:trPr>
          <w:trHeight w:val="4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7BA4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73</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E51FD">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空调加氟利昂</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25508">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台</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062BB">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6BA9B">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600</w:t>
            </w:r>
          </w:p>
        </w:tc>
      </w:tr>
      <w:tr w14:paraId="37F2CB9B">
        <w:tblPrEx>
          <w:shd w:val="clear" w:color="auto" w:fill="auto"/>
          <w:tblCellMar>
            <w:top w:w="0" w:type="dxa"/>
            <w:left w:w="108" w:type="dxa"/>
            <w:bottom w:w="0" w:type="dxa"/>
            <w:right w:w="108" w:type="dxa"/>
          </w:tblCellMar>
        </w:tblPrEx>
        <w:trPr>
          <w:trHeight w:val="4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9C3FD">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74</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91E15">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检修电路</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D3F4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台</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3D4D7">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91031">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500</w:t>
            </w:r>
          </w:p>
        </w:tc>
      </w:tr>
      <w:tr w14:paraId="174D4FCD">
        <w:tblPrEx>
          <w:shd w:val="clear" w:color="auto" w:fill="auto"/>
          <w:tblCellMar>
            <w:top w:w="0" w:type="dxa"/>
            <w:left w:w="108" w:type="dxa"/>
            <w:bottom w:w="0" w:type="dxa"/>
            <w:right w:w="108" w:type="dxa"/>
          </w:tblCellMar>
        </w:tblPrEx>
        <w:trPr>
          <w:trHeight w:val="4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B9476">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75</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35D2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启动器</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E0E48">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台</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559DD">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3C3A3">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1700</w:t>
            </w:r>
          </w:p>
        </w:tc>
      </w:tr>
      <w:tr w14:paraId="0F1ADF1C">
        <w:tblPrEx>
          <w:shd w:val="clear" w:color="auto" w:fill="auto"/>
          <w:tblCellMar>
            <w:top w:w="0" w:type="dxa"/>
            <w:left w:w="108" w:type="dxa"/>
            <w:bottom w:w="0" w:type="dxa"/>
            <w:right w:w="108" w:type="dxa"/>
          </w:tblCellMar>
        </w:tblPrEx>
        <w:trPr>
          <w:trHeight w:val="4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C56C9">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76</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13B28">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灯泡</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17D9D">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2E5E3">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55D3C">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50</w:t>
            </w:r>
          </w:p>
        </w:tc>
      </w:tr>
      <w:tr w14:paraId="14B92C91">
        <w:tblPrEx>
          <w:tblCellMar>
            <w:top w:w="0" w:type="dxa"/>
            <w:left w:w="108" w:type="dxa"/>
            <w:bottom w:w="0" w:type="dxa"/>
            <w:right w:w="108" w:type="dxa"/>
          </w:tblCellMar>
        </w:tblPrEx>
        <w:trPr>
          <w:trHeight w:val="4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9F22B">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77</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7E78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更换全车电路</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296C1">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台</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AB5A8">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DB098">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3500</w:t>
            </w:r>
          </w:p>
        </w:tc>
      </w:tr>
      <w:tr w14:paraId="74B67D7C">
        <w:tblPrEx>
          <w:tblCellMar>
            <w:top w:w="0" w:type="dxa"/>
            <w:left w:w="108" w:type="dxa"/>
            <w:bottom w:w="0" w:type="dxa"/>
            <w:right w:w="108" w:type="dxa"/>
          </w:tblCellMar>
        </w:tblPrEx>
        <w:trPr>
          <w:trHeight w:val="4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D9FF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78</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8FF13">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更换发动机线路</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BFE35">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台</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AED4F">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BB2D7">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2000</w:t>
            </w:r>
          </w:p>
        </w:tc>
      </w:tr>
      <w:tr w14:paraId="1982C23E">
        <w:tblPrEx>
          <w:shd w:val="clear" w:color="auto" w:fill="auto"/>
          <w:tblCellMar>
            <w:top w:w="0" w:type="dxa"/>
            <w:left w:w="108" w:type="dxa"/>
            <w:bottom w:w="0" w:type="dxa"/>
            <w:right w:w="108" w:type="dxa"/>
          </w:tblCellMar>
        </w:tblPrEx>
        <w:trPr>
          <w:trHeight w:val="4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9A71C">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79</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D849C">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6吨铲车双面刀板1套(二块)含2 套螺丝</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CC5AF">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套</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28E53">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5DD63">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4400</w:t>
            </w:r>
          </w:p>
        </w:tc>
      </w:tr>
      <w:tr w14:paraId="74A2A3C9">
        <w:tblPrEx>
          <w:tblCellMar>
            <w:top w:w="0" w:type="dxa"/>
            <w:left w:w="108" w:type="dxa"/>
            <w:bottom w:w="0" w:type="dxa"/>
            <w:right w:w="108" w:type="dxa"/>
          </w:tblCellMar>
        </w:tblPrEx>
        <w:trPr>
          <w:trHeight w:val="4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A2CF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80</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DBA7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6 吨铲车轮胎 26.5-25-24(含内外胎：要求提供原厂轮胎品牌）</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B4775">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套</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4FF5C">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D9B2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12000</w:t>
            </w:r>
          </w:p>
        </w:tc>
      </w:tr>
      <w:tr w14:paraId="389CDCDB">
        <w:tblPrEx>
          <w:shd w:val="clear" w:color="auto" w:fill="auto"/>
          <w:tblCellMar>
            <w:top w:w="0" w:type="dxa"/>
            <w:left w:w="108" w:type="dxa"/>
            <w:bottom w:w="0" w:type="dxa"/>
            <w:right w:w="108" w:type="dxa"/>
          </w:tblCellMar>
        </w:tblPrEx>
        <w:trPr>
          <w:trHeight w:val="4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69236">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81</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2A9A1">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润滑脂（15L/桶）</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3C42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桶</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DBD1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8427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260</w:t>
            </w:r>
          </w:p>
        </w:tc>
      </w:tr>
      <w:tr w14:paraId="534C45A7">
        <w:tblPrEx>
          <w:tblCellMar>
            <w:top w:w="0" w:type="dxa"/>
            <w:left w:w="108" w:type="dxa"/>
            <w:bottom w:w="0" w:type="dxa"/>
            <w:right w:w="108" w:type="dxa"/>
          </w:tblCellMar>
        </w:tblPrEx>
        <w:trPr>
          <w:trHeight w:val="4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3DEA6">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82</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8983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4"/>
                <w:szCs w:val="24"/>
                <w:highlight w:val="none"/>
                <w:lang w:eastAsia="zh-CN" w:bidi="ar"/>
              </w:rPr>
            </w:pPr>
            <w:r>
              <w:rPr>
                <w:rFonts w:hint="eastAsia" w:ascii="宋体" w:hAnsi="宋体" w:eastAsia="宋体" w:cs="宋体"/>
                <w:i w:val="0"/>
                <w:iCs w:val="0"/>
                <w:color w:val="auto"/>
                <w:kern w:val="2"/>
                <w:sz w:val="24"/>
                <w:szCs w:val="24"/>
                <w:highlight w:val="none"/>
                <w:u w:val="none"/>
                <w:lang w:val="en-US" w:eastAsia="zh-CN" w:bidi="ar"/>
              </w:rPr>
              <w:t>补胎（5-6吨装载机）</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8AE6C">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次</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0C2A1">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D0C6C">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650</w:t>
            </w:r>
          </w:p>
        </w:tc>
      </w:tr>
      <w:tr w14:paraId="59E06ADD">
        <w:tblPrEx>
          <w:shd w:val="clear" w:color="auto" w:fill="auto"/>
          <w:tblCellMar>
            <w:top w:w="0" w:type="dxa"/>
            <w:left w:w="108" w:type="dxa"/>
            <w:bottom w:w="0" w:type="dxa"/>
            <w:right w:w="108" w:type="dxa"/>
          </w:tblCellMar>
        </w:tblPrEx>
        <w:trPr>
          <w:trHeight w:val="4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AA71C">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83</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28AD5">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大灯总成</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0FE4C">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sz w:val="24"/>
                <w:szCs w:val="24"/>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套</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08D2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kern w:val="2"/>
                <w:sz w:val="24"/>
                <w:szCs w:val="24"/>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66F4C">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kern w:val="2"/>
                <w:sz w:val="24"/>
                <w:szCs w:val="24"/>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1200</w:t>
            </w:r>
          </w:p>
        </w:tc>
      </w:tr>
      <w:tr w14:paraId="270CEB90">
        <w:tblPrEx>
          <w:tblCellMar>
            <w:top w:w="0" w:type="dxa"/>
            <w:left w:w="108" w:type="dxa"/>
            <w:bottom w:w="0" w:type="dxa"/>
            <w:right w:w="108" w:type="dxa"/>
          </w:tblCellMar>
        </w:tblPrEx>
        <w:trPr>
          <w:trHeight w:val="4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682AB">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84</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2CEC8">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尾灯总成</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DE9B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sz w:val="24"/>
                <w:szCs w:val="24"/>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套</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C6FC1">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kern w:val="2"/>
                <w:sz w:val="24"/>
                <w:szCs w:val="24"/>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2</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0B80E">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kern w:val="2"/>
                <w:sz w:val="24"/>
                <w:szCs w:val="24"/>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600</w:t>
            </w:r>
          </w:p>
        </w:tc>
      </w:tr>
      <w:tr w14:paraId="32F1BAAF">
        <w:tblPrEx>
          <w:tblCellMar>
            <w:top w:w="0" w:type="dxa"/>
            <w:left w:w="108" w:type="dxa"/>
            <w:bottom w:w="0" w:type="dxa"/>
            <w:right w:w="108" w:type="dxa"/>
          </w:tblCellMar>
        </w:tblPrEx>
        <w:trPr>
          <w:trHeight w:val="4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9B55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85</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3738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前轮差速器总成</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4E09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sz w:val="24"/>
                <w:szCs w:val="24"/>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套</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C624F">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kern w:val="2"/>
                <w:sz w:val="24"/>
                <w:szCs w:val="24"/>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25AB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kern w:val="2"/>
                <w:sz w:val="24"/>
                <w:szCs w:val="24"/>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9500</w:t>
            </w:r>
          </w:p>
        </w:tc>
      </w:tr>
      <w:tr w14:paraId="03F4B51C">
        <w:tblPrEx>
          <w:tblCellMar>
            <w:top w:w="0" w:type="dxa"/>
            <w:left w:w="108" w:type="dxa"/>
            <w:bottom w:w="0" w:type="dxa"/>
            <w:right w:w="108" w:type="dxa"/>
          </w:tblCellMar>
        </w:tblPrEx>
        <w:trPr>
          <w:trHeight w:val="4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61B08">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86</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8C7BB">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后轮差速器总成</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7EC3B">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sz w:val="24"/>
                <w:szCs w:val="24"/>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套</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53061">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kern w:val="2"/>
                <w:sz w:val="24"/>
                <w:szCs w:val="24"/>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4C679">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kern w:val="2"/>
                <w:sz w:val="24"/>
                <w:szCs w:val="24"/>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12000</w:t>
            </w:r>
          </w:p>
        </w:tc>
      </w:tr>
      <w:tr w14:paraId="1DA8A114">
        <w:tblPrEx>
          <w:shd w:val="clear" w:color="auto" w:fill="auto"/>
          <w:tblCellMar>
            <w:top w:w="0" w:type="dxa"/>
            <w:left w:w="108" w:type="dxa"/>
            <w:bottom w:w="0" w:type="dxa"/>
            <w:right w:w="108" w:type="dxa"/>
          </w:tblCellMar>
        </w:tblPrEx>
        <w:trPr>
          <w:trHeight w:val="4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0EA2E">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87</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2AACF">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发动机清洗（进机油）</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E2289">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sz w:val="24"/>
                <w:szCs w:val="24"/>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次</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00ECB">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kern w:val="2"/>
                <w:sz w:val="24"/>
                <w:szCs w:val="24"/>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41ED5">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kern w:val="2"/>
                <w:sz w:val="24"/>
                <w:szCs w:val="24"/>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2000</w:t>
            </w:r>
          </w:p>
        </w:tc>
      </w:tr>
      <w:tr w14:paraId="6EF9BD7A">
        <w:tblPrEx>
          <w:shd w:val="clear" w:color="auto" w:fill="auto"/>
          <w:tblCellMar>
            <w:top w:w="0" w:type="dxa"/>
            <w:left w:w="108" w:type="dxa"/>
            <w:bottom w:w="0" w:type="dxa"/>
            <w:right w:w="108" w:type="dxa"/>
          </w:tblCellMar>
        </w:tblPrEx>
        <w:trPr>
          <w:trHeight w:val="4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E5F0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88</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6CA41">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燃油计量阀(BOSCH)</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A67D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sz w:val="24"/>
                <w:szCs w:val="24"/>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4AFC3">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kern w:val="2"/>
                <w:sz w:val="24"/>
                <w:szCs w:val="24"/>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262D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kern w:val="2"/>
                <w:sz w:val="24"/>
                <w:szCs w:val="24"/>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750</w:t>
            </w:r>
          </w:p>
        </w:tc>
      </w:tr>
      <w:tr w14:paraId="7F1081D6">
        <w:tblPrEx>
          <w:shd w:val="clear" w:color="auto" w:fill="auto"/>
          <w:tblCellMar>
            <w:top w:w="0" w:type="dxa"/>
            <w:left w:w="108" w:type="dxa"/>
            <w:bottom w:w="0" w:type="dxa"/>
            <w:right w:w="108" w:type="dxa"/>
          </w:tblCellMar>
        </w:tblPrEx>
        <w:trPr>
          <w:trHeight w:val="4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7162C">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89</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FA78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主刀版（6吨装载机）</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962A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sz w:val="24"/>
                <w:szCs w:val="24"/>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块</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DCE08">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kern w:val="2"/>
                <w:sz w:val="24"/>
                <w:szCs w:val="24"/>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565D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kern w:val="2"/>
                <w:sz w:val="24"/>
                <w:szCs w:val="24"/>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7500</w:t>
            </w:r>
          </w:p>
        </w:tc>
      </w:tr>
      <w:tr w14:paraId="71418006">
        <w:tblPrEx>
          <w:shd w:val="clear" w:color="auto" w:fill="auto"/>
          <w:tblCellMar>
            <w:top w:w="0" w:type="dxa"/>
            <w:left w:w="108" w:type="dxa"/>
            <w:bottom w:w="0" w:type="dxa"/>
            <w:right w:w="108" w:type="dxa"/>
          </w:tblCellMar>
        </w:tblPrEx>
        <w:trPr>
          <w:trHeight w:val="4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AB56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90</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4989E">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臂架修复</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8A98B">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sz w:val="24"/>
                <w:szCs w:val="24"/>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次</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8F9C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kern w:val="2"/>
                <w:sz w:val="24"/>
                <w:szCs w:val="24"/>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3E4D8">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kern w:val="2"/>
                <w:sz w:val="24"/>
                <w:szCs w:val="24"/>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3000</w:t>
            </w:r>
          </w:p>
        </w:tc>
      </w:tr>
      <w:tr w14:paraId="19394618">
        <w:tblPrEx>
          <w:shd w:val="clear" w:color="auto" w:fill="auto"/>
          <w:tblCellMar>
            <w:top w:w="0" w:type="dxa"/>
            <w:left w:w="108" w:type="dxa"/>
            <w:bottom w:w="0" w:type="dxa"/>
            <w:right w:w="108" w:type="dxa"/>
          </w:tblCellMar>
        </w:tblPrEx>
        <w:trPr>
          <w:trHeight w:val="4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55DD5">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91</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32A57">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轮胎轴承更换</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9E19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sz w:val="24"/>
                <w:szCs w:val="24"/>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次</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6E67C">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kern w:val="2"/>
                <w:sz w:val="24"/>
                <w:szCs w:val="24"/>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EA37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kern w:val="2"/>
                <w:sz w:val="24"/>
                <w:szCs w:val="24"/>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1800</w:t>
            </w:r>
          </w:p>
        </w:tc>
      </w:tr>
      <w:tr w14:paraId="4D84A791">
        <w:tblPrEx>
          <w:shd w:val="clear" w:color="auto" w:fill="auto"/>
          <w:tblCellMar>
            <w:top w:w="0" w:type="dxa"/>
            <w:left w:w="108" w:type="dxa"/>
            <w:bottom w:w="0" w:type="dxa"/>
            <w:right w:w="108" w:type="dxa"/>
          </w:tblCellMar>
        </w:tblPrEx>
        <w:trPr>
          <w:trHeight w:val="4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71D1C">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92</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49779">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刀板更换</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7CC8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sz w:val="24"/>
                <w:szCs w:val="24"/>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次</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E83C1">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kern w:val="2"/>
                <w:sz w:val="24"/>
                <w:szCs w:val="24"/>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8C52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kern w:val="2"/>
                <w:sz w:val="24"/>
                <w:szCs w:val="24"/>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600</w:t>
            </w:r>
          </w:p>
        </w:tc>
      </w:tr>
      <w:tr w14:paraId="5F798D1D">
        <w:tblPrEx>
          <w:shd w:val="clear" w:color="auto" w:fill="auto"/>
          <w:tblCellMar>
            <w:top w:w="0" w:type="dxa"/>
            <w:left w:w="108" w:type="dxa"/>
            <w:bottom w:w="0" w:type="dxa"/>
            <w:right w:w="108" w:type="dxa"/>
          </w:tblCellMar>
        </w:tblPrEx>
        <w:trPr>
          <w:trHeight w:val="4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841CF">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93</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8900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涡轮增压器总成</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56AA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sz w:val="24"/>
                <w:szCs w:val="24"/>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套</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D7907">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kern w:val="2"/>
                <w:sz w:val="24"/>
                <w:szCs w:val="24"/>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FB4E7">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kern w:val="2"/>
                <w:sz w:val="24"/>
                <w:szCs w:val="24"/>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6500</w:t>
            </w:r>
          </w:p>
        </w:tc>
      </w:tr>
      <w:tr w14:paraId="070FDBB3">
        <w:tblPrEx>
          <w:shd w:val="clear" w:color="auto" w:fill="auto"/>
          <w:tblCellMar>
            <w:top w:w="0" w:type="dxa"/>
            <w:left w:w="108" w:type="dxa"/>
            <w:bottom w:w="0" w:type="dxa"/>
            <w:right w:w="108" w:type="dxa"/>
          </w:tblCellMar>
        </w:tblPrEx>
        <w:trPr>
          <w:trHeight w:val="4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429DD">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94</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F8D1E">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变矩器维修</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40EAB">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sz w:val="24"/>
                <w:szCs w:val="24"/>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次</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1C16D">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kern w:val="2"/>
                <w:sz w:val="24"/>
                <w:szCs w:val="24"/>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8862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kern w:val="2"/>
                <w:sz w:val="24"/>
                <w:szCs w:val="24"/>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3700</w:t>
            </w:r>
          </w:p>
        </w:tc>
      </w:tr>
      <w:tr w14:paraId="2CAC51A8">
        <w:tblPrEx>
          <w:shd w:val="clear" w:color="auto" w:fill="auto"/>
          <w:tblCellMar>
            <w:top w:w="0" w:type="dxa"/>
            <w:left w:w="108" w:type="dxa"/>
            <w:bottom w:w="0" w:type="dxa"/>
            <w:right w:w="108" w:type="dxa"/>
          </w:tblCellMar>
        </w:tblPrEx>
        <w:trPr>
          <w:trHeight w:val="4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9830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95</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DD189">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变矩器总成</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8EB1F">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sz w:val="24"/>
                <w:szCs w:val="24"/>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套</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DBC2B">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kern w:val="2"/>
                <w:sz w:val="24"/>
                <w:szCs w:val="24"/>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1FCC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kern w:val="2"/>
                <w:sz w:val="24"/>
                <w:szCs w:val="24"/>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9500</w:t>
            </w:r>
          </w:p>
        </w:tc>
      </w:tr>
      <w:tr w14:paraId="58ABD87F">
        <w:tblPrEx>
          <w:shd w:val="clear" w:color="auto" w:fill="auto"/>
          <w:tblCellMar>
            <w:top w:w="0" w:type="dxa"/>
            <w:left w:w="108" w:type="dxa"/>
            <w:bottom w:w="0" w:type="dxa"/>
            <w:right w:w="108" w:type="dxa"/>
          </w:tblCellMar>
        </w:tblPrEx>
        <w:trPr>
          <w:trHeight w:val="4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A4BBC">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96</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E75C9">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铲斗修补（2厘米铁板）</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A37F9">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sz w:val="24"/>
                <w:szCs w:val="24"/>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次</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A9B1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kern w:val="2"/>
                <w:sz w:val="24"/>
                <w:szCs w:val="24"/>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990C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kern w:val="2"/>
                <w:sz w:val="24"/>
                <w:szCs w:val="24"/>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1700</w:t>
            </w:r>
          </w:p>
        </w:tc>
      </w:tr>
      <w:tr w14:paraId="1BEA2C96">
        <w:tblPrEx>
          <w:shd w:val="clear" w:color="auto" w:fill="auto"/>
          <w:tblCellMar>
            <w:top w:w="0" w:type="dxa"/>
            <w:left w:w="108" w:type="dxa"/>
            <w:bottom w:w="0" w:type="dxa"/>
            <w:right w:w="108" w:type="dxa"/>
          </w:tblCellMar>
        </w:tblPrEx>
        <w:trPr>
          <w:trHeight w:val="4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1D64E">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97</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527B9">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制动液更换</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C6E59">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sz w:val="24"/>
                <w:szCs w:val="24"/>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次</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3D186">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kern w:val="2"/>
                <w:sz w:val="24"/>
                <w:szCs w:val="24"/>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7A83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kern w:val="2"/>
                <w:sz w:val="24"/>
                <w:szCs w:val="24"/>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500</w:t>
            </w:r>
          </w:p>
        </w:tc>
      </w:tr>
    </w:tbl>
    <w:p w14:paraId="7BC41BC2">
      <w:pPr>
        <w:pStyle w:val="103"/>
        <w:ind w:firstLine="480"/>
        <w:rPr>
          <w:rFonts w:ascii="宋体" w:hAnsi="宋体"/>
          <w:color w:val="auto"/>
          <w:highlight w:val="none"/>
        </w:rPr>
      </w:pPr>
      <w:r>
        <w:rPr>
          <w:rFonts w:hint="eastAsia" w:ascii="宋体" w:hAnsi="宋体"/>
          <w:b/>
          <w:bCs/>
          <w:color w:val="auto"/>
          <w:highlight w:val="none"/>
        </w:rPr>
        <w:t>注：</w:t>
      </w:r>
      <w:r>
        <w:rPr>
          <w:rFonts w:hint="eastAsia" w:ascii="宋体" w:hAnsi="宋体"/>
          <w:color w:val="auto"/>
          <w:highlight w:val="none"/>
        </w:rPr>
        <w:t>（1）保养工时费为保养项目专用费用，其余项目无工时费。</w:t>
      </w:r>
    </w:p>
    <w:p w14:paraId="7E9F18C0">
      <w:pPr>
        <w:pStyle w:val="103"/>
        <w:ind w:firstLine="480"/>
        <w:rPr>
          <w:rFonts w:ascii="宋体" w:hAnsi="宋体"/>
          <w:b/>
          <w:color w:val="auto"/>
          <w:highlight w:val="none"/>
        </w:rPr>
      </w:pPr>
      <w:r>
        <w:rPr>
          <w:rFonts w:hint="eastAsia" w:ascii="宋体" w:hAnsi="宋体"/>
          <w:b/>
          <w:color w:val="auto"/>
          <w:highlight w:val="none"/>
        </w:rPr>
        <w:t>（2）项目及</w:t>
      </w:r>
      <w:r>
        <w:rPr>
          <w:rFonts w:ascii="宋体" w:hAnsi="宋体"/>
          <w:b/>
          <w:color w:val="auto"/>
          <w:highlight w:val="none"/>
        </w:rPr>
        <w:t>具体数量</w:t>
      </w:r>
      <w:r>
        <w:rPr>
          <w:rFonts w:hint="eastAsia" w:ascii="宋体" w:hAnsi="宋体"/>
          <w:b/>
          <w:color w:val="auto"/>
          <w:highlight w:val="none"/>
        </w:rPr>
        <w:t>按采购人实际需求计算，结算金额以实际</w:t>
      </w:r>
      <w:r>
        <w:rPr>
          <w:rFonts w:hint="eastAsia" w:ascii="宋体" w:hAnsi="宋体"/>
          <w:b/>
          <w:color w:val="auto"/>
          <w:highlight w:val="none"/>
          <w:u w:val="single"/>
        </w:rPr>
        <w:t>项目</w:t>
      </w:r>
      <w:r>
        <w:rPr>
          <w:rFonts w:hint="eastAsia" w:ascii="宋体" w:hAnsi="宋体" w:eastAsia="宋体"/>
          <w:b/>
          <w:color w:val="auto"/>
          <w:highlight w:val="none"/>
          <w:u w:val="none"/>
        </w:rPr>
        <w:t>数量</w:t>
      </w:r>
      <w:r>
        <w:rPr>
          <w:rFonts w:hint="eastAsia" w:ascii="宋体" w:hAnsi="宋体" w:eastAsia="宋体" w:cstheme="minorBidi"/>
          <w:b/>
          <w:color w:val="auto"/>
          <w:highlight w:val="none"/>
          <w:u w:val="none"/>
        </w:rPr>
        <w:t>×</w:t>
      </w:r>
      <w:r>
        <w:rPr>
          <w:rFonts w:hint="eastAsia" w:ascii="宋体" w:hAnsi="宋体" w:eastAsia="宋体"/>
          <w:b/>
          <w:color w:val="auto"/>
          <w:highlight w:val="none"/>
          <w:u w:val="none"/>
        </w:rPr>
        <w:t>投标单</w:t>
      </w:r>
      <w:r>
        <w:rPr>
          <w:rFonts w:hint="eastAsia" w:ascii="宋体" w:hAnsi="宋体"/>
          <w:b/>
          <w:color w:val="auto"/>
          <w:highlight w:val="none"/>
          <w:u w:val="single"/>
        </w:rPr>
        <w:t>价</w:t>
      </w:r>
      <w:r>
        <w:rPr>
          <w:rFonts w:hint="eastAsia" w:ascii="宋体" w:hAnsi="宋体"/>
          <w:b/>
          <w:color w:val="auto"/>
          <w:highlight w:val="none"/>
        </w:rPr>
        <w:t>为准。</w:t>
      </w:r>
    </w:p>
    <w:p w14:paraId="5F3E2D35">
      <w:pPr>
        <w:pStyle w:val="103"/>
        <w:ind w:firstLine="480"/>
        <w:rPr>
          <w:rFonts w:ascii="宋体" w:hAnsi="宋体"/>
          <w:color w:val="auto"/>
          <w:highlight w:val="none"/>
        </w:rPr>
      </w:pPr>
      <w:r>
        <w:rPr>
          <w:rFonts w:hint="eastAsia" w:ascii="宋体" w:hAnsi="宋体"/>
          <w:b w:val="0"/>
          <w:bCs w:val="0"/>
          <w:color w:val="auto"/>
          <w:highlight w:val="none"/>
        </w:rPr>
        <w:t>（3）</w:t>
      </w:r>
      <w:r>
        <w:rPr>
          <w:rFonts w:hint="eastAsia" w:ascii="宋体" w:hAnsi="宋体"/>
          <w:b w:val="0"/>
          <w:bCs w:val="0"/>
          <w:color w:val="auto"/>
          <w:highlight w:val="none"/>
          <w:u w:val="single"/>
        </w:rPr>
        <w:t>投标单价</w:t>
      </w:r>
      <w:r>
        <w:rPr>
          <w:rFonts w:ascii="宋体" w:hAnsi="宋体"/>
          <w:b w:val="0"/>
          <w:bCs w:val="0"/>
          <w:color w:val="auto"/>
          <w:highlight w:val="none"/>
          <w:u w:val="single"/>
        </w:rPr>
        <w:t>不能超过</w:t>
      </w:r>
      <w:r>
        <w:rPr>
          <w:rFonts w:hint="eastAsia" w:ascii="宋体" w:hAnsi="宋体"/>
          <w:b w:val="0"/>
          <w:bCs w:val="0"/>
          <w:color w:val="auto"/>
          <w:highlight w:val="none"/>
          <w:u w:val="single"/>
        </w:rPr>
        <w:t>上述</w:t>
      </w:r>
      <w:r>
        <w:rPr>
          <w:rFonts w:ascii="宋体" w:hAnsi="宋体"/>
          <w:b w:val="0"/>
          <w:bCs w:val="0"/>
          <w:color w:val="auto"/>
          <w:highlight w:val="none"/>
          <w:u w:val="single"/>
        </w:rPr>
        <w:t>最高单价</w:t>
      </w:r>
      <w:r>
        <w:rPr>
          <w:rFonts w:hint="eastAsia" w:ascii="宋体" w:hAnsi="宋体"/>
          <w:b w:val="0"/>
          <w:bCs w:val="0"/>
          <w:color w:val="auto"/>
          <w:highlight w:val="none"/>
          <w:u w:val="single"/>
          <w:lang w:val="en-US" w:eastAsia="zh-CN"/>
        </w:rPr>
        <w:t>限价</w:t>
      </w:r>
      <w:r>
        <w:rPr>
          <w:rFonts w:ascii="宋体" w:hAnsi="宋体"/>
          <w:b w:val="0"/>
          <w:bCs w:val="0"/>
          <w:color w:val="auto"/>
          <w:highlight w:val="none"/>
          <w:u w:val="single"/>
        </w:rPr>
        <w:t>，否则按</w:t>
      </w:r>
      <w:r>
        <w:rPr>
          <w:rFonts w:hint="eastAsia" w:ascii="宋体" w:hAnsi="宋体"/>
          <w:b w:val="0"/>
          <w:bCs w:val="0"/>
          <w:color w:val="auto"/>
          <w:highlight w:val="none"/>
          <w:u w:val="single"/>
        </w:rPr>
        <w:t>废标</w:t>
      </w:r>
      <w:r>
        <w:rPr>
          <w:rFonts w:ascii="宋体" w:hAnsi="宋体"/>
          <w:b w:val="0"/>
          <w:bCs w:val="0"/>
          <w:color w:val="auto"/>
          <w:highlight w:val="none"/>
          <w:u w:val="single"/>
        </w:rPr>
        <w:t>处理</w:t>
      </w:r>
      <w:r>
        <w:rPr>
          <w:rFonts w:ascii="宋体" w:hAnsi="宋体"/>
          <w:b w:val="0"/>
          <w:bCs w:val="0"/>
          <w:color w:val="auto"/>
          <w:highlight w:val="none"/>
        </w:rPr>
        <w:t>。</w:t>
      </w:r>
      <w:r>
        <w:rPr>
          <w:rFonts w:hint="eastAsia" w:ascii="宋体" w:hAnsi="宋体"/>
          <w:b w:val="0"/>
          <w:bCs w:val="0"/>
          <w:color w:val="auto"/>
          <w:highlight w:val="none"/>
        </w:rPr>
        <w:t>单价已包含</w:t>
      </w:r>
      <w:r>
        <w:rPr>
          <w:rFonts w:hint="eastAsia" w:ascii="宋体" w:hAnsi="宋体"/>
          <w:color w:val="auto"/>
          <w:highlight w:val="none"/>
        </w:rPr>
        <w:t>可能发生的所有费用,包括工时费、人工费、材料费、机械费、维修服务费、交通费、运输、劳力、利润、税收</w:t>
      </w:r>
      <w:r>
        <w:rPr>
          <w:rFonts w:hint="eastAsia" w:ascii="宋体" w:hAnsi="宋体"/>
          <w:color w:val="auto"/>
          <w:highlight w:val="none"/>
          <w:lang w:val="en-US" w:eastAsia="zh-CN"/>
        </w:rPr>
        <w:t>及管理费</w:t>
      </w:r>
      <w:r>
        <w:rPr>
          <w:rFonts w:hint="eastAsia" w:ascii="宋体" w:hAnsi="宋体"/>
          <w:color w:val="auto"/>
          <w:highlight w:val="none"/>
        </w:rPr>
        <w:t>等以及所有有关的管理成本；必要的保险费用、各项税金等一切费用,如有漏项，视同已包含在其项目中，单价不做调整。</w:t>
      </w:r>
    </w:p>
    <w:p w14:paraId="2F14CF64">
      <w:pPr>
        <w:pStyle w:val="103"/>
        <w:ind w:firstLine="480"/>
        <w:rPr>
          <w:rFonts w:ascii="宋体" w:hAns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）实际产生的项目不在上述表格内的，其单价以</w:t>
      </w:r>
      <w:r>
        <w:rPr>
          <w:rFonts w:hint="eastAsia" w:ascii="宋体" w:hAnsi="宋体"/>
          <w:color w:val="auto"/>
          <w:highlight w:val="none"/>
          <w:lang w:eastAsia="zh-CN"/>
        </w:rPr>
        <w:t>投标人</w:t>
      </w:r>
      <w:r>
        <w:rPr>
          <w:rFonts w:hint="eastAsia" w:ascii="宋体" w:hAnsi="宋体"/>
          <w:color w:val="auto"/>
          <w:highlight w:val="none"/>
        </w:rPr>
        <w:t>结合市场价经与采购人商定后的价格为准。合同履行期间，不能因材料、人工等因素的上涨进行调价。</w:t>
      </w:r>
      <w:r>
        <w:rPr>
          <w:rFonts w:hint="eastAsia" w:ascii="宋体" w:hAnsi="宋体"/>
          <w:color w:val="auto"/>
          <w:highlight w:val="none"/>
          <w:lang w:eastAsia="zh-CN"/>
        </w:rPr>
        <w:t>投标人</w:t>
      </w:r>
      <w:r>
        <w:rPr>
          <w:rFonts w:hint="eastAsia" w:ascii="宋体" w:hAnsi="宋体"/>
          <w:color w:val="auto"/>
          <w:highlight w:val="none"/>
        </w:rPr>
        <w:t>在报价中须充分考虑可能承担的报价风险。</w:t>
      </w:r>
    </w:p>
    <w:p w14:paraId="7986B33A">
      <w:pPr>
        <w:pStyle w:val="103"/>
        <w:ind w:firstLine="480"/>
        <w:rPr>
          <w:rFonts w:ascii="宋体" w:hAnsi="宋体"/>
          <w:b/>
          <w:color w:val="auto"/>
          <w:sz w:val="30"/>
          <w:szCs w:val="30"/>
          <w:highlight w:val="none"/>
        </w:rPr>
      </w:pPr>
      <w:r>
        <w:rPr>
          <w:rFonts w:hint="eastAsia" w:ascii="宋体" w:hAnsi="宋体"/>
          <w:b/>
          <w:color w:val="auto"/>
          <w:sz w:val="30"/>
          <w:szCs w:val="30"/>
          <w:highlight w:val="none"/>
        </w:rPr>
        <w:t>三、商务要求</w:t>
      </w:r>
    </w:p>
    <w:p w14:paraId="24055B3E">
      <w:pPr>
        <w:autoSpaceDE w:val="0"/>
        <w:autoSpaceDN w:val="0"/>
        <w:adjustRightInd w:val="0"/>
        <w:spacing w:line="400" w:lineRule="exact"/>
        <w:ind w:firstLine="48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服务期限</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合同签订后一年或至总预算购完，两者满足其一则合同终止。</w:t>
      </w:r>
    </w:p>
    <w:p w14:paraId="24C2D2AF">
      <w:pPr>
        <w:autoSpaceDE w:val="0"/>
        <w:autoSpaceDN w:val="0"/>
        <w:adjustRightInd w:val="0"/>
        <w:spacing w:line="400" w:lineRule="exact"/>
        <w:ind w:firstLine="48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2.履约保证金：</w:t>
      </w:r>
      <w:r>
        <w:rPr>
          <w:rFonts w:hint="eastAsia" w:ascii="宋体" w:hAnsi="宋体" w:cs="宋体"/>
          <w:color w:val="auto"/>
          <w:szCs w:val="21"/>
          <w:highlight w:val="none"/>
          <w:lang w:eastAsia="zh-CN"/>
        </w:rPr>
        <w:t>壹万元</w:t>
      </w:r>
      <w:r>
        <w:rPr>
          <w:rFonts w:hint="eastAsia" w:ascii="宋体" w:hAnsi="宋体" w:eastAsia="宋体" w:cs="宋体"/>
          <w:color w:val="auto"/>
          <w:szCs w:val="21"/>
          <w:highlight w:val="none"/>
          <w:lang w:val="en-US" w:eastAsia="zh-CN"/>
        </w:rPr>
        <w:t>。中标通知书发出后合同签订前，中标人缴纳至采购人规定账户，</w:t>
      </w:r>
      <w:r>
        <w:rPr>
          <w:rFonts w:hint="eastAsia" w:ascii="宋体" w:hAnsi="宋体" w:cs="宋体"/>
          <w:color w:val="auto"/>
          <w:kern w:val="2"/>
          <w:sz w:val="24"/>
          <w:szCs w:val="21"/>
          <w:highlight w:val="none"/>
          <w:lang w:val="en-US" w:eastAsia="zh-CN" w:bidi="ar-SA"/>
        </w:rPr>
        <w:t>合同款付款结束且无违约责任情况下30日内无息退还</w:t>
      </w:r>
      <w:r>
        <w:rPr>
          <w:rFonts w:hint="eastAsia" w:ascii="宋体" w:hAnsi="宋体" w:eastAsia="宋体" w:cs="宋体"/>
          <w:color w:val="auto"/>
          <w:kern w:val="2"/>
          <w:sz w:val="24"/>
          <w:szCs w:val="21"/>
          <w:highlight w:val="none"/>
          <w:lang w:val="en-US" w:eastAsia="zh-CN" w:bidi="ar-SA"/>
        </w:rPr>
        <w:t>。</w:t>
      </w:r>
    </w:p>
    <w:p w14:paraId="06A22140">
      <w:pPr>
        <w:pStyle w:val="103"/>
        <w:ind w:firstLine="480"/>
        <w:rPr>
          <w:rFonts w:hint="default" w:ascii="宋体" w:hAnsi="宋体" w:eastAsia="宋体"/>
          <w:color w:val="auto"/>
          <w:highlight w:val="none"/>
          <w:lang w:val="en-US" w:eastAsia="zh-CN"/>
        </w:rPr>
      </w:pPr>
      <w:r>
        <w:rPr>
          <w:rFonts w:hint="eastAsia" w:ascii="宋体" w:hAnsi="宋体" w:eastAsia="宋体"/>
          <w:color w:val="auto"/>
          <w:highlight w:val="none"/>
          <w:lang w:val="en-US" w:eastAsia="zh-CN"/>
        </w:rPr>
        <w:t>3.售后服务</w:t>
      </w:r>
    </w:p>
    <w:p w14:paraId="773AECB9">
      <w:pPr>
        <w:pStyle w:val="103"/>
        <w:ind w:firstLine="480"/>
        <w:rPr>
          <w:rFonts w:hint="eastAsia" w:ascii="宋体" w:hAnsi="宋体" w:eastAsia="宋体"/>
          <w:color w:val="auto"/>
          <w:highlight w:val="none"/>
        </w:rPr>
      </w:pPr>
      <w:r>
        <w:rPr>
          <w:rFonts w:hint="eastAsia" w:ascii="宋体" w:hAnsi="宋体" w:eastAsia="宋体"/>
          <w:color w:val="auto"/>
          <w:highlight w:val="none"/>
          <w:lang w:eastAsia="zh-CN"/>
        </w:rPr>
        <w:t>3</w:t>
      </w:r>
      <w:r>
        <w:rPr>
          <w:rFonts w:hint="eastAsia" w:ascii="宋体" w:hAnsi="宋体" w:eastAsia="宋体"/>
          <w:color w:val="auto"/>
          <w:highlight w:val="none"/>
          <w:lang w:val="en-US" w:eastAsia="zh-CN"/>
        </w:rPr>
        <w:t>.1</w:t>
      </w:r>
      <w:r>
        <w:rPr>
          <w:rFonts w:hint="eastAsia" w:ascii="宋体" w:hAnsi="宋体" w:eastAsia="宋体"/>
          <w:color w:val="auto"/>
          <w:highlight w:val="none"/>
          <w:lang w:eastAsia="zh-CN"/>
        </w:rPr>
        <w:t>中标人</w:t>
      </w:r>
      <w:r>
        <w:rPr>
          <w:rFonts w:hint="eastAsia" w:ascii="宋体" w:hAnsi="宋体" w:eastAsia="宋体"/>
          <w:color w:val="auto"/>
          <w:highlight w:val="none"/>
        </w:rPr>
        <w:t>收到采购人通知的3小时内前往采购人指定地点，负责对采购人装载机提供维修服务</w:t>
      </w:r>
      <w:r>
        <w:rPr>
          <w:rFonts w:hint="eastAsia" w:ascii="宋体" w:hAnsi="宋体"/>
          <w:color w:val="auto"/>
          <w:highlight w:val="none"/>
          <w:lang w:eastAsia="zh-CN"/>
        </w:rPr>
        <w:t>，</w:t>
      </w:r>
      <w:r>
        <w:rPr>
          <w:rFonts w:hint="eastAsia" w:ascii="宋体" w:hAnsi="宋体"/>
          <w:color w:val="auto"/>
          <w:highlight w:val="none"/>
          <w:lang w:val="en-US" w:eastAsia="zh-CN"/>
        </w:rPr>
        <w:t>如中标人未在规定3小时内到达</w:t>
      </w:r>
      <w:r>
        <w:rPr>
          <w:rFonts w:hint="eastAsia" w:ascii="宋体" w:hAnsi="宋体" w:eastAsia="宋体"/>
          <w:color w:val="auto"/>
          <w:highlight w:val="none"/>
        </w:rPr>
        <w:t>采购人指定地点</w:t>
      </w:r>
      <w:r>
        <w:rPr>
          <w:rFonts w:hint="eastAsia" w:ascii="宋体" w:hAnsi="宋体"/>
          <w:color w:val="auto"/>
          <w:highlight w:val="none"/>
          <w:lang w:val="en-US" w:eastAsia="zh-CN"/>
        </w:rPr>
        <w:t>，采购人有权每次从合同款中扣1000元/次作为违约金</w:t>
      </w:r>
      <w:r>
        <w:rPr>
          <w:rFonts w:hint="eastAsia" w:ascii="宋体" w:hAnsi="宋体" w:eastAsia="宋体"/>
          <w:color w:val="auto"/>
          <w:highlight w:val="none"/>
        </w:rPr>
        <w:t>。包括大修、小修、保养和事故应急维修，及维修配件、材料提供等。</w:t>
      </w:r>
    </w:p>
    <w:p w14:paraId="034ED8B4">
      <w:pPr>
        <w:pStyle w:val="103"/>
        <w:ind w:firstLine="480"/>
        <w:rPr>
          <w:rFonts w:hint="eastAsia" w:ascii="宋体" w:hAnsi="宋体" w:eastAsia="宋体"/>
          <w:color w:val="auto"/>
          <w:highlight w:val="none"/>
          <w:u w:val="none"/>
        </w:rPr>
      </w:pPr>
      <w:r>
        <w:rPr>
          <w:rFonts w:hint="eastAsia" w:ascii="宋体" w:hAnsi="宋体" w:eastAsia="宋体"/>
          <w:color w:val="auto"/>
          <w:highlight w:val="none"/>
          <w:u w:val="none"/>
          <w:lang w:eastAsia="zh-CN"/>
        </w:rPr>
        <w:t>3</w:t>
      </w:r>
      <w:r>
        <w:rPr>
          <w:rFonts w:hint="eastAsia" w:ascii="宋体" w:hAnsi="宋体" w:eastAsia="宋体"/>
          <w:color w:val="auto"/>
          <w:highlight w:val="none"/>
          <w:u w:val="none"/>
          <w:lang w:val="en-US" w:eastAsia="zh-CN"/>
        </w:rPr>
        <w:t>.2</w:t>
      </w:r>
      <w:r>
        <w:rPr>
          <w:rFonts w:hint="eastAsia" w:ascii="宋体" w:hAnsi="宋体" w:eastAsia="宋体"/>
          <w:color w:val="auto"/>
          <w:highlight w:val="none"/>
          <w:u w:val="none"/>
        </w:rPr>
        <w:t>每次维修保养过程中换下的废油归</w:t>
      </w:r>
      <w:r>
        <w:rPr>
          <w:rFonts w:hint="eastAsia" w:ascii="宋体" w:hAnsi="宋体"/>
          <w:color w:val="auto"/>
          <w:highlight w:val="none"/>
          <w:u w:val="none"/>
          <w:lang w:val="en-US" w:eastAsia="zh-CN"/>
        </w:rPr>
        <w:t>中标人</w:t>
      </w:r>
      <w:r>
        <w:rPr>
          <w:rFonts w:hint="eastAsia" w:ascii="宋体" w:hAnsi="宋体" w:eastAsia="宋体"/>
          <w:color w:val="auto"/>
          <w:highlight w:val="none"/>
          <w:u w:val="none"/>
        </w:rPr>
        <w:t>自行处置。</w:t>
      </w:r>
    </w:p>
    <w:p w14:paraId="5F5E42E0">
      <w:pPr>
        <w:pStyle w:val="103"/>
        <w:ind w:firstLine="480"/>
        <w:rPr>
          <w:rFonts w:hint="eastAsia" w:ascii="宋体" w:hAnsi="宋体" w:eastAsia="宋体"/>
          <w:color w:val="auto"/>
          <w:highlight w:val="none"/>
        </w:rPr>
      </w:pPr>
      <w:r>
        <w:rPr>
          <w:rFonts w:hint="eastAsia" w:ascii="宋体" w:hAnsi="宋体" w:eastAsia="宋体"/>
          <w:color w:val="auto"/>
          <w:highlight w:val="none"/>
          <w:lang w:eastAsia="zh-CN"/>
        </w:rPr>
        <w:t>3</w:t>
      </w:r>
      <w:r>
        <w:rPr>
          <w:rFonts w:hint="eastAsia" w:ascii="宋体" w:hAnsi="宋体" w:eastAsia="宋体"/>
          <w:color w:val="auto"/>
          <w:highlight w:val="none"/>
          <w:lang w:val="en-US" w:eastAsia="zh-CN"/>
        </w:rPr>
        <w:t>.3</w:t>
      </w:r>
      <w:r>
        <w:rPr>
          <w:rFonts w:hint="eastAsia" w:ascii="宋体" w:hAnsi="宋体" w:eastAsia="宋体"/>
          <w:color w:val="auto"/>
          <w:highlight w:val="none"/>
          <w:lang w:eastAsia="zh-CN"/>
        </w:rPr>
        <w:t>中标人</w:t>
      </w:r>
      <w:r>
        <w:rPr>
          <w:rFonts w:hint="eastAsia" w:ascii="宋体" w:hAnsi="宋体" w:eastAsia="宋体"/>
          <w:color w:val="auto"/>
          <w:highlight w:val="none"/>
        </w:rPr>
        <w:t>提供所需配件，采购人负责对</w:t>
      </w:r>
      <w:r>
        <w:rPr>
          <w:rFonts w:hint="eastAsia" w:ascii="宋体" w:hAnsi="宋体"/>
          <w:color w:val="auto"/>
          <w:highlight w:val="none"/>
          <w:lang w:eastAsia="zh-CN"/>
        </w:rPr>
        <w:t>投标人</w:t>
      </w:r>
      <w:r>
        <w:rPr>
          <w:rFonts w:hint="eastAsia" w:ascii="宋体" w:hAnsi="宋体" w:eastAsia="宋体"/>
          <w:color w:val="auto"/>
          <w:highlight w:val="none"/>
        </w:rPr>
        <w:t>提供的配件进行验收，</w:t>
      </w:r>
      <w:r>
        <w:rPr>
          <w:rFonts w:hint="eastAsia" w:ascii="宋体" w:hAnsi="宋体"/>
          <w:color w:val="auto"/>
          <w:highlight w:val="none"/>
          <w:lang w:eastAsia="zh-CN"/>
        </w:rPr>
        <w:t>投标人</w:t>
      </w:r>
      <w:r>
        <w:rPr>
          <w:rFonts w:hint="eastAsia" w:ascii="宋体" w:hAnsi="宋体" w:eastAsia="宋体"/>
          <w:color w:val="auto"/>
          <w:highlight w:val="none"/>
        </w:rPr>
        <w:t>须严格按照甲方装载机品牌提供原厂配套合格配件。</w:t>
      </w:r>
    </w:p>
    <w:p w14:paraId="4E994F09">
      <w:pPr>
        <w:pStyle w:val="103"/>
        <w:ind w:firstLine="480"/>
        <w:rPr>
          <w:rFonts w:hint="eastAsia" w:ascii="宋体" w:hAnsi="宋体" w:eastAsia="宋体"/>
          <w:color w:val="auto"/>
          <w:highlight w:val="none"/>
        </w:rPr>
      </w:pPr>
      <w:r>
        <w:rPr>
          <w:rFonts w:hint="eastAsia" w:ascii="宋体" w:hAnsi="宋体" w:eastAsia="宋体"/>
          <w:color w:val="auto"/>
          <w:highlight w:val="none"/>
          <w:lang w:eastAsia="zh-CN"/>
        </w:rPr>
        <w:t>3</w:t>
      </w:r>
      <w:r>
        <w:rPr>
          <w:rFonts w:hint="eastAsia" w:ascii="宋体" w:hAnsi="宋体" w:eastAsia="宋体"/>
          <w:color w:val="auto"/>
          <w:highlight w:val="none"/>
          <w:lang w:val="en-US" w:eastAsia="zh-CN"/>
        </w:rPr>
        <w:t>.4</w:t>
      </w:r>
      <w:r>
        <w:rPr>
          <w:rFonts w:hint="eastAsia" w:ascii="宋体" w:hAnsi="宋体" w:eastAsia="宋体"/>
          <w:color w:val="auto"/>
          <w:highlight w:val="none"/>
          <w:lang w:eastAsia="zh-CN"/>
        </w:rPr>
        <w:t>中标人</w:t>
      </w:r>
      <w:r>
        <w:rPr>
          <w:rFonts w:hint="eastAsia" w:ascii="宋体" w:hAnsi="宋体" w:eastAsia="宋体"/>
          <w:color w:val="auto"/>
          <w:highlight w:val="none"/>
        </w:rPr>
        <w:t>对维修过的项目，更换过的配件承诺从验收之日起</w:t>
      </w:r>
      <w:r>
        <w:rPr>
          <w:rFonts w:hint="eastAsia" w:ascii="宋体" w:hAnsi="宋体"/>
          <w:color w:val="auto"/>
          <w:highlight w:val="none"/>
          <w:lang w:val="en-US" w:eastAsia="zh-CN"/>
        </w:rPr>
        <w:t>维保期为6个月</w:t>
      </w:r>
      <w:r>
        <w:rPr>
          <w:rFonts w:hint="eastAsia" w:ascii="宋体" w:hAnsi="宋体" w:eastAsia="宋体"/>
          <w:color w:val="auto"/>
          <w:highlight w:val="none"/>
        </w:rPr>
        <w:t>(</w:t>
      </w:r>
      <w:r>
        <w:rPr>
          <w:rFonts w:hint="eastAsia" w:ascii="宋体" w:hAnsi="宋体"/>
          <w:color w:val="auto"/>
          <w:highlight w:val="none"/>
          <w:lang w:val="en-US" w:eastAsia="zh-CN"/>
        </w:rPr>
        <w:t>易损件及保养</w:t>
      </w:r>
      <w:r>
        <w:rPr>
          <w:rFonts w:hint="eastAsia" w:ascii="宋体" w:hAnsi="宋体" w:eastAsia="宋体"/>
          <w:color w:val="auto"/>
          <w:highlight w:val="none"/>
        </w:rPr>
        <w:t>除外）。如</w:t>
      </w:r>
      <w:r>
        <w:rPr>
          <w:rFonts w:hint="eastAsia" w:ascii="宋体" w:hAnsi="宋体"/>
          <w:color w:val="auto"/>
          <w:highlight w:val="none"/>
          <w:lang w:eastAsia="zh-CN"/>
        </w:rPr>
        <w:t>维保期</w:t>
      </w:r>
      <w:r>
        <w:rPr>
          <w:rFonts w:hint="eastAsia" w:ascii="宋体" w:hAnsi="宋体" w:eastAsia="宋体"/>
          <w:color w:val="auto"/>
          <w:highlight w:val="none"/>
        </w:rPr>
        <w:t>内出现质量问题，</w:t>
      </w:r>
      <w:r>
        <w:rPr>
          <w:rFonts w:hint="eastAsia" w:ascii="宋体" w:hAnsi="宋体"/>
          <w:color w:val="auto"/>
          <w:highlight w:val="none"/>
          <w:lang w:eastAsia="zh-CN"/>
        </w:rPr>
        <w:t>投标人</w:t>
      </w:r>
      <w:r>
        <w:rPr>
          <w:rFonts w:hint="eastAsia" w:ascii="宋体" w:hAnsi="宋体" w:eastAsia="宋体"/>
          <w:color w:val="auto"/>
          <w:highlight w:val="none"/>
        </w:rPr>
        <w:t>无偿返修。</w:t>
      </w:r>
    </w:p>
    <w:p w14:paraId="5301AA69">
      <w:pPr>
        <w:pStyle w:val="103"/>
        <w:ind w:firstLine="480"/>
        <w:rPr>
          <w:rFonts w:hint="eastAsia" w:ascii="宋体" w:hAnsi="宋体" w:eastAsia="宋体"/>
          <w:color w:val="auto"/>
          <w:highlight w:val="none"/>
        </w:rPr>
      </w:pPr>
      <w:r>
        <w:rPr>
          <w:rFonts w:hint="eastAsia" w:ascii="宋体" w:hAnsi="宋体" w:eastAsia="宋体"/>
          <w:color w:val="auto"/>
          <w:highlight w:val="none"/>
          <w:lang w:eastAsia="zh-CN"/>
        </w:rPr>
        <w:t>3</w:t>
      </w:r>
      <w:r>
        <w:rPr>
          <w:rFonts w:hint="eastAsia" w:ascii="宋体" w:hAnsi="宋体" w:eastAsia="宋体"/>
          <w:color w:val="auto"/>
          <w:highlight w:val="none"/>
          <w:lang w:val="en-US" w:eastAsia="zh-CN"/>
        </w:rPr>
        <w:t>.5</w:t>
      </w:r>
      <w:r>
        <w:rPr>
          <w:rFonts w:hint="eastAsia" w:ascii="宋体" w:hAnsi="宋体" w:eastAsia="宋体"/>
          <w:color w:val="auto"/>
          <w:highlight w:val="none"/>
        </w:rPr>
        <w:t>在</w:t>
      </w:r>
      <w:r>
        <w:rPr>
          <w:rFonts w:hint="eastAsia" w:ascii="宋体" w:hAnsi="宋体"/>
          <w:color w:val="auto"/>
          <w:highlight w:val="none"/>
          <w:lang w:eastAsia="zh-CN"/>
        </w:rPr>
        <w:t>维保期</w:t>
      </w:r>
      <w:r>
        <w:rPr>
          <w:rFonts w:hint="eastAsia" w:ascii="宋体" w:hAnsi="宋体" w:eastAsia="宋体"/>
          <w:color w:val="auto"/>
          <w:highlight w:val="none"/>
        </w:rPr>
        <w:t>内，</w:t>
      </w:r>
      <w:r>
        <w:rPr>
          <w:rFonts w:hint="eastAsia" w:ascii="宋体" w:hAnsi="宋体"/>
          <w:color w:val="auto"/>
          <w:highlight w:val="none"/>
          <w:lang w:val="en-US" w:eastAsia="zh-CN"/>
        </w:rPr>
        <w:t>中标人</w:t>
      </w:r>
      <w:r>
        <w:rPr>
          <w:rFonts w:hint="eastAsia" w:ascii="宋体" w:hAnsi="宋体" w:eastAsia="宋体"/>
          <w:color w:val="auto"/>
          <w:highlight w:val="none"/>
        </w:rPr>
        <w:t>应对货物出现的质量及安全问题负责处理解决并承担一切费用。</w:t>
      </w:r>
    </w:p>
    <w:p w14:paraId="0821B1B4">
      <w:pPr>
        <w:pStyle w:val="103"/>
        <w:ind w:firstLine="480"/>
        <w:rPr>
          <w:rFonts w:hint="eastAsia" w:ascii="宋体" w:hAnsi="宋体" w:eastAsia="宋体"/>
          <w:b w:val="0"/>
          <w:color w:val="auto"/>
          <w:sz w:val="24"/>
          <w:szCs w:val="24"/>
          <w:highlight w:val="none"/>
        </w:rPr>
      </w:pPr>
      <w:r>
        <w:rPr>
          <w:rFonts w:hint="eastAsia" w:ascii="宋体" w:hAnsi="宋体" w:eastAsia="宋体"/>
          <w:b w:val="0"/>
          <w:color w:val="auto"/>
          <w:sz w:val="24"/>
          <w:szCs w:val="24"/>
          <w:highlight w:val="none"/>
          <w:lang w:eastAsia="zh-CN"/>
        </w:rPr>
        <w:t>4</w:t>
      </w:r>
      <w:r>
        <w:rPr>
          <w:rFonts w:hint="eastAsia" w:ascii="宋体" w:hAnsi="宋体" w:eastAsia="宋体"/>
          <w:b w:val="0"/>
          <w:color w:val="auto"/>
          <w:sz w:val="24"/>
          <w:szCs w:val="24"/>
          <w:highlight w:val="none"/>
          <w:lang w:val="en-US" w:eastAsia="zh-CN"/>
        </w:rPr>
        <w:t>.</w:t>
      </w:r>
      <w:r>
        <w:rPr>
          <w:rFonts w:hint="eastAsia" w:ascii="宋体" w:hAnsi="宋体" w:eastAsia="宋体"/>
          <w:b w:val="0"/>
          <w:color w:val="auto"/>
          <w:sz w:val="24"/>
          <w:szCs w:val="24"/>
          <w:highlight w:val="none"/>
        </w:rPr>
        <w:t>付款方式</w:t>
      </w:r>
    </w:p>
    <w:p w14:paraId="49E9DDA5">
      <w:pPr>
        <w:pStyle w:val="103"/>
        <w:ind w:firstLine="480"/>
        <w:rPr>
          <w:rFonts w:hint="eastAsia" w:ascii="宋体" w:hAnsi="宋体" w:eastAsia="宋体"/>
          <w:color w:val="auto"/>
          <w:highlight w:val="none"/>
        </w:rPr>
      </w:pPr>
      <w:r>
        <w:rPr>
          <w:rFonts w:hint="eastAsia" w:ascii="宋体" w:hAnsi="宋体" w:eastAsia="宋体"/>
          <w:color w:val="auto"/>
          <w:highlight w:val="none"/>
        </w:rPr>
        <w:t>月结方式，</w:t>
      </w:r>
      <w:r>
        <w:rPr>
          <w:rFonts w:hint="eastAsia" w:ascii="宋体" w:hAnsi="宋体" w:eastAsia="宋体"/>
          <w:color w:val="auto"/>
          <w:highlight w:val="none"/>
          <w:lang w:eastAsia="zh-CN"/>
        </w:rPr>
        <w:t>中标人</w:t>
      </w:r>
      <w:r>
        <w:rPr>
          <w:rFonts w:hint="eastAsia" w:ascii="宋体" w:hAnsi="宋体" w:eastAsia="宋体"/>
          <w:color w:val="auto"/>
          <w:highlight w:val="none"/>
        </w:rPr>
        <w:t>凭采购人签字后的维修、保养清单作为结算依据，经与采购人双方核对无误后，</w:t>
      </w:r>
      <w:r>
        <w:rPr>
          <w:rFonts w:hint="eastAsia" w:ascii="宋体" w:hAnsi="宋体"/>
          <w:color w:val="auto"/>
          <w:highlight w:val="none"/>
          <w:lang w:eastAsia="zh-CN"/>
        </w:rPr>
        <w:t>投标人</w:t>
      </w:r>
      <w:r>
        <w:rPr>
          <w:rFonts w:hint="eastAsia" w:ascii="宋体" w:hAnsi="宋体" w:eastAsia="宋体"/>
          <w:color w:val="auto"/>
          <w:highlight w:val="none"/>
        </w:rPr>
        <w:t>提供增值税专用发票，采购人在收到增值税专用发票后的60日内支付款项。如</w:t>
      </w:r>
      <w:r>
        <w:rPr>
          <w:rFonts w:hint="eastAsia" w:ascii="宋体" w:hAnsi="宋体" w:eastAsia="宋体"/>
          <w:color w:val="auto"/>
          <w:highlight w:val="none"/>
          <w:lang w:eastAsia="zh-CN"/>
        </w:rPr>
        <w:t>中标人</w:t>
      </w:r>
      <w:r>
        <w:rPr>
          <w:rFonts w:hint="eastAsia" w:ascii="宋体" w:hAnsi="宋体" w:eastAsia="宋体"/>
          <w:color w:val="auto"/>
          <w:highlight w:val="none"/>
        </w:rPr>
        <w:t>不按期办理对帐结算手续或未提供增值税专用发票,采购人将不予办理付款事宜,因此而造成损失的由</w:t>
      </w:r>
      <w:r>
        <w:rPr>
          <w:rFonts w:hint="eastAsia" w:ascii="宋体" w:hAnsi="宋体"/>
          <w:color w:val="auto"/>
          <w:highlight w:val="none"/>
          <w:lang w:eastAsia="zh-CN"/>
        </w:rPr>
        <w:t>投标人</w:t>
      </w:r>
      <w:r>
        <w:rPr>
          <w:rFonts w:hint="eastAsia" w:ascii="宋体" w:hAnsi="宋体" w:eastAsia="宋体"/>
          <w:color w:val="auto"/>
          <w:highlight w:val="none"/>
        </w:rPr>
        <w:t>自行承担。</w:t>
      </w:r>
    </w:p>
    <w:bookmarkEnd w:id="398"/>
    <w:bookmarkEnd w:id="399"/>
    <w:bookmarkEnd w:id="400"/>
    <w:bookmarkEnd w:id="401"/>
    <w:p w14:paraId="50F5F3BB">
      <w:pPr>
        <w:bidi w:val="0"/>
        <w:rPr>
          <w:rFonts w:hint="eastAsia"/>
          <w:color w:val="auto"/>
          <w:highlight w:val="none"/>
        </w:rPr>
      </w:pPr>
    </w:p>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14:paraId="1BA741F0">
      <w:pPr>
        <w:pStyle w:val="36"/>
        <w:widowControl w:val="0"/>
        <w:numPr>
          <w:ilvl w:val="255"/>
          <w:numId w:val="0"/>
        </w:numPr>
        <w:adjustRightInd w:val="0"/>
        <w:snapToGrid w:val="0"/>
        <w:spacing w:line="312" w:lineRule="auto"/>
        <w:jc w:val="both"/>
        <w:rPr>
          <w:rFonts w:cs="宋体"/>
          <w:snapToGrid w:val="0"/>
          <w:color w:val="auto"/>
          <w:sz w:val="22"/>
          <w:szCs w:val="22"/>
          <w:highlight w:val="none"/>
        </w:rPr>
      </w:pPr>
      <w:bookmarkStart w:id="422" w:name="_Toc18000"/>
      <w:bookmarkStart w:id="423" w:name="_Toc11839"/>
    </w:p>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422"/>
    <w:bookmarkEnd w:id="423"/>
    <w:p w14:paraId="5DA0284F">
      <w:pPr>
        <w:pStyle w:val="9"/>
        <w:numPr>
          <w:ilvl w:val="0"/>
          <w:numId w:val="0"/>
        </w:numPr>
        <w:spacing w:before="312" w:after="312" w:line="288" w:lineRule="auto"/>
        <w:jc w:val="center"/>
        <w:rPr>
          <w:rFonts w:ascii="宋体" w:hAnsi="宋体" w:cs="宋体"/>
          <w:color w:val="auto"/>
          <w:highlight w:val="none"/>
          <w:lang w:val="zh-CN"/>
        </w:rPr>
      </w:pPr>
      <w:bookmarkStart w:id="424" w:name="_Toc17090"/>
      <w:bookmarkStart w:id="425" w:name="_Toc2726"/>
      <w:bookmarkStart w:id="426" w:name="_Toc10546"/>
      <w:bookmarkStart w:id="427" w:name="_Toc21569"/>
      <w:bookmarkStart w:id="428" w:name="_Toc7305"/>
      <w:bookmarkStart w:id="429" w:name="_Toc31750"/>
      <w:bookmarkStart w:id="430" w:name="_Toc7285"/>
      <w:bookmarkStart w:id="431" w:name="_Toc16142"/>
      <w:bookmarkStart w:id="432" w:name="_Toc25941"/>
      <w:bookmarkStart w:id="433" w:name="_Toc10333"/>
      <w:bookmarkStart w:id="434" w:name="_Toc28986"/>
      <w:bookmarkStart w:id="435" w:name="_Toc2165"/>
      <w:bookmarkStart w:id="436" w:name="_Toc6334"/>
      <w:bookmarkStart w:id="437" w:name="_Toc13539"/>
      <w:bookmarkStart w:id="438" w:name="_Toc19025"/>
      <w:bookmarkStart w:id="439" w:name="_Toc30205"/>
      <w:bookmarkStart w:id="440" w:name="_Toc295"/>
      <w:bookmarkStart w:id="441" w:name="_Toc25661"/>
      <w:bookmarkStart w:id="442" w:name="_Toc27793"/>
      <w:bookmarkStart w:id="443" w:name="_Toc32545"/>
      <w:bookmarkStart w:id="444" w:name="_Toc10430"/>
      <w:bookmarkStart w:id="445" w:name="_Toc13464"/>
      <w:bookmarkStart w:id="446" w:name="_Toc9028"/>
      <w:bookmarkStart w:id="447" w:name="_Toc848"/>
      <w:bookmarkStart w:id="448" w:name="_Toc11926"/>
      <w:bookmarkStart w:id="449" w:name="_Toc12676"/>
      <w:bookmarkStart w:id="450" w:name="_Toc13753"/>
      <w:bookmarkStart w:id="451" w:name="_Toc24232"/>
      <w:bookmarkStart w:id="452" w:name="_Toc10724"/>
      <w:bookmarkStart w:id="453" w:name="_Toc18254"/>
      <w:bookmarkStart w:id="454" w:name="_Toc24682"/>
      <w:bookmarkStart w:id="455" w:name="_Toc5985"/>
      <w:bookmarkStart w:id="456" w:name="_Toc2124"/>
      <w:bookmarkStart w:id="457" w:name="_Toc25560"/>
      <w:bookmarkStart w:id="458" w:name="_Toc391298963"/>
      <w:bookmarkStart w:id="459" w:name="_Toc27295"/>
      <w:bookmarkStart w:id="460" w:name="_Toc19613"/>
      <w:bookmarkStart w:id="461" w:name="_Toc19099"/>
      <w:bookmarkStart w:id="462" w:name="_Toc3828"/>
      <w:bookmarkStart w:id="463" w:name="_Toc10368"/>
      <w:r>
        <w:rPr>
          <w:rFonts w:hint="eastAsia" w:ascii="宋体" w:hAnsi="宋体" w:cs="宋体"/>
          <w:color w:val="auto"/>
          <w:highlight w:val="none"/>
        </w:rPr>
        <w:t xml:space="preserve">第四章 </w:t>
      </w:r>
      <w:r>
        <w:rPr>
          <w:rFonts w:hint="eastAsia" w:ascii="宋体" w:hAnsi="宋体" w:cs="宋体"/>
          <w:color w:val="auto"/>
          <w:highlight w:val="none"/>
          <w:lang w:val="zh-CN"/>
        </w:rPr>
        <w:t>评标办法及评分标准</w:t>
      </w:r>
      <w:bookmarkEnd w:id="424"/>
      <w:bookmarkEnd w:id="425"/>
      <w:bookmarkEnd w:id="426"/>
      <w:bookmarkEnd w:id="427"/>
      <w:bookmarkEnd w:id="428"/>
      <w:bookmarkEnd w:id="429"/>
      <w:bookmarkEnd w:id="430"/>
      <w:bookmarkEnd w:id="431"/>
      <w:bookmarkEnd w:id="432"/>
      <w:bookmarkEnd w:id="433"/>
      <w:bookmarkEnd w:id="434"/>
      <w:bookmarkStart w:id="464" w:name="_Toc356371472"/>
      <w:bookmarkStart w:id="465" w:name="_Toc12892"/>
    </w:p>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64"/>
    <w:bookmarkEnd w:id="465"/>
    <w:p w14:paraId="336DCF60">
      <w:pPr>
        <w:widowControl/>
        <w:spacing w:line="288" w:lineRule="auto"/>
        <w:ind w:firstLine="482"/>
        <w:outlineLvl w:val="1"/>
        <w:rPr>
          <w:rFonts w:ascii="宋体" w:hAnsi="宋体" w:cs="宋体"/>
          <w:b/>
          <w:bCs/>
          <w:color w:val="auto"/>
          <w:highlight w:val="none"/>
        </w:rPr>
      </w:pPr>
      <w:bookmarkStart w:id="466" w:name="_Toc18561"/>
      <w:bookmarkStart w:id="467" w:name="_Toc4678"/>
      <w:bookmarkStart w:id="468" w:name="_Toc10787"/>
      <w:bookmarkStart w:id="469" w:name="_Toc22354"/>
      <w:bookmarkStart w:id="470" w:name="_Toc563"/>
      <w:bookmarkStart w:id="471" w:name="_Toc2719"/>
      <w:bookmarkStart w:id="472" w:name="_Toc16242"/>
      <w:bookmarkStart w:id="473" w:name="_Toc19997"/>
      <w:bookmarkStart w:id="474" w:name="_Toc8527"/>
      <w:bookmarkStart w:id="475" w:name="_Toc642"/>
      <w:bookmarkStart w:id="476" w:name="_Toc11090"/>
      <w:bookmarkStart w:id="477" w:name="_Toc23856"/>
      <w:bookmarkStart w:id="478" w:name="_Toc9754"/>
      <w:bookmarkStart w:id="479" w:name="_Toc18392"/>
      <w:bookmarkStart w:id="480" w:name="_Toc32429"/>
      <w:bookmarkStart w:id="481" w:name="_Toc18027"/>
      <w:bookmarkStart w:id="482" w:name="_Toc7475"/>
      <w:bookmarkStart w:id="483" w:name="_Toc15322"/>
      <w:bookmarkStart w:id="484" w:name="_Toc344208599"/>
      <w:bookmarkStart w:id="485" w:name="_Toc17851"/>
      <w:bookmarkStart w:id="486" w:name="_Toc6732"/>
      <w:bookmarkStart w:id="487" w:name="_Toc16765"/>
      <w:bookmarkStart w:id="488" w:name="_Toc2839"/>
      <w:bookmarkStart w:id="489" w:name="_Toc6078"/>
      <w:bookmarkStart w:id="490" w:name="_Toc25353"/>
      <w:bookmarkStart w:id="491" w:name="_Toc18789"/>
      <w:bookmarkStart w:id="492" w:name="_Toc25720"/>
      <w:bookmarkStart w:id="493" w:name="_Toc17848"/>
      <w:bookmarkStart w:id="494" w:name="_Toc32485"/>
      <w:bookmarkStart w:id="495" w:name="_Toc434"/>
      <w:bookmarkStart w:id="496" w:name="_Toc23629"/>
      <w:bookmarkStart w:id="497" w:name="_Toc13528"/>
      <w:bookmarkStart w:id="498" w:name="_Toc12706"/>
      <w:bookmarkStart w:id="499" w:name="_Toc21158"/>
      <w:bookmarkStart w:id="500" w:name="_Toc26376"/>
      <w:bookmarkStart w:id="501" w:name="_Toc24093"/>
      <w:bookmarkStart w:id="502" w:name="_Toc11538"/>
      <w:bookmarkStart w:id="503" w:name="_Toc15196"/>
      <w:bookmarkStart w:id="504" w:name="_Toc13104"/>
      <w:bookmarkStart w:id="505" w:name="_Toc27554"/>
      <w:bookmarkStart w:id="506" w:name="_Toc4470"/>
      <w:bookmarkStart w:id="507" w:name="_Toc14588"/>
      <w:bookmarkStart w:id="508" w:name="_Toc22689"/>
      <w:bookmarkStart w:id="509" w:name="_Toc150404637"/>
      <w:bookmarkStart w:id="510" w:name="_Toc17852"/>
      <w:bookmarkStart w:id="511" w:name="_Toc2393"/>
      <w:bookmarkStart w:id="512" w:name="_Toc22934"/>
      <w:bookmarkStart w:id="513" w:name="_Toc24868"/>
      <w:bookmarkStart w:id="514" w:name="_Toc317671872"/>
      <w:bookmarkStart w:id="515" w:name="_Toc7153"/>
      <w:bookmarkStart w:id="516" w:name="_Toc7653"/>
      <w:bookmarkStart w:id="517" w:name="_Toc12737"/>
      <w:bookmarkStart w:id="518" w:name="_Toc4752"/>
      <w:bookmarkStart w:id="519" w:name="_Toc599"/>
      <w:bookmarkStart w:id="520" w:name="_Toc16260"/>
      <w:bookmarkStart w:id="521" w:name="_Toc23253"/>
      <w:bookmarkStart w:id="522" w:name="_Toc31419"/>
      <w:bookmarkStart w:id="523" w:name="_Toc2268"/>
      <w:bookmarkStart w:id="524" w:name="_Toc22538"/>
      <w:bookmarkStart w:id="525" w:name="_Toc32666"/>
      <w:bookmarkStart w:id="526" w:name="_Toc21988"/>
      <w:bookmarkStart w:id="527" w:name="_Toc25138"/>
      <w:bookmarkStart w:id="528" w:name="_Toc5861"/>
      <w:bookmarkStart w:id="529" w:name="_Toc16212"/>
      <w:bookmarkStart w:id="530" w:name="_Toc26937"/>
      <w:bookmarkStart w:id="531" w:name="_Toc8768"/>
      <w:bookmarkStart w:id="532" w:name="_Toc7869"/>
      <w:bookmarkStart w:id="533" w:name="_Toc22407"/>
      <w:bookmarkStart w:id="534" w:name="_Toc10747"/>
      <w:bookmarkStart w:id="535" w:name="_Toc27764"/>
      <w:bookmarkStart w:id="536" w:name="_Toc4125"/>
      <w:bookmarkStart w:id="537" w:name="_Toc22791"/>
      <w:bookmarkStart w:id="538" w:name="_Toc27779"/>
      <w:bookmarkStart w:id="539" w:name="_Toc32546"/>
      <w:bookmarkStart w:id="540" w:name="_Toc25940"/>
      <w:bookmarkStart w:id="541" w:name="_Toc25369"/>
      <w:bookmarkStart w:id="542" w:name="_Toc11262"/>
      <w:bookmarkStart w:id="543" w:name="_Toc10661"/>
      <w:bookmarkStart w:id="544" w:name="_Toc17310"/>
      <w:bookmarkStart w:id="545" w:name="_Toc6901"/>
      <w:bookmarkStart w:id="546" w:name="_Toc11499"/>
      <w:bookmarkStart w:id="547" w:name="_Toc9653"/>
      <w:bookmarkStart w:id="548" w:name="_Toc27760"/>
      <w:bookmarkStart w:id="549" w:name="_Toc25648"/>
      <w:r>
        <w:rPr>
          <w:rFonts w:hint="eastAsia" w:ascii="宋体" w:hAnsi="宋体" w:cs="宋体"/>
          <w:b/>
          <w:bCs/>
          <w:color w:val="auto"/>
          <w:highlight w:val="none"/>
        </w:rPr>
        <w:t>一、总 则</w:t>
      </w:r>
      <w:bookmarkEnd w:id="466"/>
      <w:bookmarkEnd w:id="467"/>
      <w:bookmarkEnd w:id="468"/>
      <w:bookmarkEnd w:id="469"/>
      <w:bookmarkEnd w:id="470"/>
      <w:bookmarkEnd w:id="471"/>
      <w:bookmarkEnd w:id="472"/>
    </w:p>
    <w:p w14:paraId="1DED2522">
      <w:pPr>
        <w:widowControl/>
        <w:spacing w:line="288" w:lineRule="auto"/>
        <w:ind w:firstLine="480"/>
        <w:rPr>
          <w:rFonts w:ascii="宋体" w:hAnsi="宋体" w:cs="宋体"/>
          <w:color w:val="auto"/>
          <w:highlight w:val="none"/>
        </w:rPr>
      </w:pPr>
      <w:r>
        <w:rPr>
          <w:rFonts w:hint="eastAsia" w:ascii="宋体" w:hAnsi="宋体" w:cs="宋体"/>
          <w:color w:val="auto"/>
          <w:highlight w:val="none"/>
        </w:rPr>
        <w:t>1.为公正、公平、科学地选择中标人，参照《中华人民共和国政府采购法》《中华人民共和国政府采购法实施条例》以及政府采购有关规定，并结合本项目的实际情况，制定本办法。</w:t>
      </w:r>
    </w:p>
    <w:p w14:paraId="25960764">
      <w:pPr>
        <w:widowControl/>
        <w:spacing w:line="288" w:lineRule="auto"/>
        <w:ind w:firstLine="480"/>
        <w:rPr>
          <w:rFonts w:ascii="宋体" w:hAnsi="宋体" w:cs="宋体"/>
          <w:color w:val="auto"/>
          <w:highlight w:val="none"/>
        </w:rPr>
      </w:pPr>
      <w:r>
        <w:rPr>
          <w:rFonts w:hint="eastAsia" w:ascii="宋体" w:hAnsi="宋体" w:cs="宋体"/>
          <w:color w:val="auto"/>
          <w:highlight w:val="none"/>
        </w:rPr>
        <w:t>2.评标工作由采购组织机构负责组织，具体评标事务由评标委员会负责。</w:t>
      </w:r>
    </w:p>
    <w:p w14:paraId="4A558ECF">
      <w:pPr>
        <w:widowControl/>
        <w:spacing w:line="288" w:lineRule="auto"/>
        <w:ind w:firstLine="480"/>
        <w:rPr>
          <w:rFonts w:ascii="宋体" w:hAnsi="宋体" w:cs="宋体"/>
          <w:color w:val="auto"/>
          <w:highlight w:val="none"/>
        </w:rPr>
      </w:pPr>
      <w:r>
        <w:rPr>
          <w:rFonts w:hint="eastAsia" w:ascii="宋体" w:hAnsi="宋体" w:cs="宋体"/>
          <w:color w:val="auto"/>
          <w:highlight w:val="none"/>
        </w:rPr>
        <w:t>3.评标委员会评价投标文件的响应性，对于投标人而言，除评标委员会要求其澄清、说明或者更正而提供的资料外，仅依据投标文件本身的内容，不寻求其他外部证据。如投标人提交的资质证明或其他内容不齐全，由此造成的后果由投标人自己负责。</w:t>
      </w:r>
    </w:p>
    <w:p w14:paraId="0C5CFB79">
      <w:pPr>
        <w:widowControl/>
        <w:spacing w:line="288" w:lineRule="auto"/>
        <w:ind w:firstLine="480"/>
        <w:rPr>
          <w:rFonts w:ascii="宋体" w:hAnsi="宋体" w:cs="宋体"/>
          <w:color w:val="auto"/>
          <w:highlight w:val="none"/>
        </w:rPr>
      </w:pPr>
      <w:r>
        <w:rPr>
          <w:rFonts w:hint="eastAsia" w:ascii="宋体" w:hAnsi="宋体" w:cs="宋体"/>
          <w:color w:val="auto"/>
          <w:highlight w:val="none"/>
        </w:rPr>
        <w:t>4.本项目评标采用不公开方式进行，评标过程独立、保密。投标人非法干预评标过程的行为将导致其投标文件作为无效处理。</w:t>
      </w:r>
    </w:p>
    <w:p w14:paraId="39C8644F">
      <w:pPr>
        <w:widowControl/>
        <w:spacing w:line="288" w:lineRule="auto"/>
        <w:ind w:firstLine="480"/>
        <w:rPr>
          <w:rFonts w:ascii="宋体" w:hAnsi="宋体" w:cs="宋体"/>
          <w:color w:val="auto"/>
          <w:highlight w:val="none"/>
        </w:rPr>
      </w:pPr>
      <w:r>
        <w:rPr>
          <w:rFonts w:hint="eastAsia" w:ascii="宋体" w:hAnsi="宋体" w:cs="宋体"/>
          <w:color w:val="auto"/>
          <w:highlight w:val="none"/>
        </w:rPr>
        <w:t>5.本项目评标采用不公开方式进行。</w:t>
      </w:r>
    </w:p>
    <w:p w14:paraId="75217E1A">
      <w:pPr>
        <w:widowControl/>
        <w:spacing w:line="288" w:lineRule="auto"/>
        <w:ind w:firstLine="480"/>
        <w:rPr>
          <w:rFonts w:ascii="宋体" w:hAnsi="宋体" w:cs="宋体"/>
          <w:color w:val="auto"/>
          <w:highlight w:val="none"/>
        </w:rPr>
      </w:pPr>
      <w:r>
        <w:rPr>
          <w:rFonts w:hint="eastAsia" w:ascii="宋体" w:hAnsi="宋体" w:cs="宋体"/>
          <w:color w:val="auto"/>
          <w:highlight w:val="none"/>
        </w:rPr>
        <w:t>6.本项目评审采用综合评分法。</w:t>
      </w:r>
    </w:p>
    <w:p w14:paraId="4DC9BE26">
      <w:pPr>
        <w:widowControl/>
        <w:spacing w:line="288" w:lineRule="auto"/>
        <w:ind w:firstLine="482"/>
        <w:outlineLvl w:val="1"/>
        <w:rPr>
          <w:rFonts w:ascii="宋体" w:hAnsi="宋体" w:cs="宋体"/>
          <w:b/>
          <w:bCs/>
          <w:color w:val="auto"/>
          <w:highlight w:val="none"/>
        </w:rPr>
      </w:pPr>
      <w:bookmarkStart w:id="550" w:name="_Toc30483"/>
      <w:bookmarkStart w:id="551" w:name="_Toc30301"/>
      <w:bookmarkStart w:id="552" w:name="_Toc32578"/>
      <w:bookmarkStart w:id="553" w:name="_Toc11084"/>
      <w:bookmarkStart w:id="554" w:name="_Toc7240"/>
      <w:bookmarkStart w:id="555" w:name="_Toc3110"/>
      <w:bookmarkStart w:id="556" w:name="_Toc32218"/>
      <w:bookmarkStart w:id="557" w:name="_Toc14481"/>
      <w:r>
        <w:rPr>
          <w:rFonts w:hint="eastAsia" w:ascii="宋体" w:hAnsi="宋体" w:cs="宋体"/>
          <w:b/>
          <w:bCs/>
          <w:color w:val="auto"/>
          <w:highlight w:val="none"/>
        </w:rPr>
        <w:t>二、组建评标委员会</w:t>
      </w:r>
      <w:bookmarkEnd w:id="550"/>
      <w:bookmarkEnd w:id="551"/>
      <w:bookmarkEnd w:id="552"/>
      <w:bookmarkEnd w:id="553"/>
      <w:bookmarkEnd w:id="554"/>
      <w:bookmarkEnd w:id="555"/>
      <w:bookmarkEnd w:id="556"/>
      <w:bookmarkEnd w:id="557"/>
    </w:p>
    <w:p w14:paraId="1077866F">
      <w:pPr>
        <w:widowControl/>
        <w:spacing w:line="288" w:lineRule="auto"/>
        <w:ind w:firstLine="480"/>
        <w:rPr>
          <w:rFonts w:ascii="宋体" w:hAnsi="宋体" w:cs="宋体"/>
          <w:color w:val="auto"/>
          <w:highlight w:val="none"/>
        </w:rPr>
      </w:pPr>
      <w:r>
        <w:rPr>
          <w:rFonts w:hint="eastAsia" w:ascii="宋体" w:hAnsi="宋体" w:cs="宋体"/>
          <w:color w:val="auto"/>
          <w:highlight w:val="none"/>
        </w:rPr>
        <w:t>1.采购人将根据相关规定和采购项目的特点由采购人和技术、经济等方面专家组成评标委员会，评标委员会成员人数见投标人须知前附表。</w:t>
      </w:r>
    </w:p>
    <w:p w14:paraId="5BAD8832">
      <w:pPr>
        <w:widowControl/>
        <w:spacing w:line="288" w:lineRule="auto"/>
        <w:ind w:firstLine="480"/>
        <w:rPr>
          <w:rFonts w:ascii="宋体" w:hAnsi="宋体" w:cs="宋体"/>
          <w:color w:val="auto"/>
          <w:highlight w:val="none"/>
        </w:rPr>
      </w:pPr>
      <w:r>
        <w:rPr>
          <w:rFonts w:hint="eastAsia" w:ascii="宋体" w:hAnsi="宋体" w:cs="宋体"/>
          <w:color w:val="auto"/>
          <w:highlight w:val="none"/>
        </w:rPr>
        <w:t>2.除依法组建的评标委员会成员以外，其他任何人不得参加或者替代评审。</w:t>
      </w:r>
    </w:p>
    <w:p w14:paraId="54D14C83">
      <w:pPr>
        <w:widowControl/>
        <w:spacing w:line="288" w:lineRule="auto"/>
        <w:ind w:firstLine="482"/>
        <w:outlineLvl w:val="1"/>
        <w:rPr>
          <w:rFonts w:ascii="宋体" w:hAnsi="宋体" w:cs="宋体"/>
          <w:b/>
          <w:bCs/>
          <w:color w:val="auto"/>
          <w:highlight w:val="none"/>
        </w:rPr>
      </w:pPr>
      <w:bookmarkStart w:id="558" w:name="_Toc32495"/>
      <w:bookmarkStart w:id="559" w:name="_Toc435"/>
      <w:bookmarkStart w:id="560" w:name="_Toc19557"/>
      <w:bookmarkStart w:id="561" w:name="_Toc11485"/>
      <w:bookmarkStart w:id="562" w:name="_Toc15937"/>
      <w:bookmarkStart w:id="563" w:name="_Toc27947"/>
      <w:bookmarkStart w:id="564" w:name="_Toc9591"/>
      <w:bookmarkStart w:id="565" w:name="_Toc31190"/>
      <w:r>
        <w:rPr>
          <w:rFonts w:hint="eastAsia" w:ascii="宋体" w:hAnsi="宋体" w:cs="宋体"/>
          <w:b/>
          <w:bCs/>
          <w:color w:val="auto"/>
          <w:highlight w:val="none"/>
        </w:rPr>
        <w:t>三、评标原则</w:t>
      </w:r>
      <w:bookmarkEnd w:id="558"/>
      <w:bookmarkEnd w:id="559"/>
      <w:bookmarkEnd w:id="560"/>
      <w:bookmarkEnd w:id="561"/>
      <w:bookmarkEnd w:id="562"/>
      <w:bookmarkEnd w:id="563"/>
      <w:bookmarkEnd w:id="564"/>
      <w:bookmarkEnd w:id="565"/>
    </w:p>
    <w:p w14:paraId="635C1EEA">
      <w:pPr>
        <w:widowControl/>
        <w:spacing w:line="288" w:lineRule="auto"/>
        <w:ind w:firstLine="480"/>
        <w:rPr>
          <w:rFonts w:ascii="宋体" w:hAnsi="宋体" w:cs="宋体"/>
          <w:color w:val="auto"/>
          <w:highlight w:val="none"/>
        </w:rPr>
      </w:pPr>
      <w:r>
        <w:rPr>
          <w:rFonts w:hint="eastAsia" w:ascii="宋体" w:hAnsi="宋体" w:cs="宋体"/>
          <w:color w:val="auto"/>
          <w:highlight w:val="none"/>
        </w:rPr>
        <w:t>1.公正、客观、审慎的原则。</w:t>
      </w:r>
    </w:p>
    <w:p w14:paraId="5ACAB14C">
      <w:pPr>
        <w:widowControl/>
        <w:spacing w:line="288" w:lineRule="auto"/>
        <w:ind w:firstLine="480"/>
        <w:rPr>
          <w:rFonts w:ascii="宋体" w:hAnsi="宋体" w:cs="宋体"/>
          <w:color w:val="auto"/>
          <w:highlight w:val="none"/>
        </w:rPr>
      </w:pPr>
      <w:r>
        <w:rPr>
          <w:rFonts w:hint="eastAsia" w:ascii="宋体" w:hAnsi="宋体" w:cs="宋体"/>
          <w:color w:val="auto"/>
          <w:highlight w:val="none"/>
        </w:rPr>
        <w:t>2.严格保密原则。评标委员会及有关工作人员不得私下与投标人接触。采购人或采购组织机构对评审结果不作任何说明和解释，也不回答任何提问。</w:t>
      </w:r>
    </w:p>
    <w:p w14:paraId="607847A1">
      <w:pPr>
        <w:widowControl/>
        <w:spacing w:line="288" w:lineRule="auto"/>
        <w:ind w:firstLine="480"/>
        <w:rPr>
          <w:rFonts w:ascii="宋体" w:hAnsi="宋体" w:cs="宋体"/>
          <w:color w:val="auto"/>
          <w:highlight w:val="none"/>
        </w:rPr>
      </w:pPr>
      <w:r>
        <w:rPr>
          <w:rFonts w:hint="eastAsia" w:ascii="宋体" w:hAnsi="宋体" w:cs="宋体"/>
          <w:color w:val="auto"/>
          <w:highlight w:val="none"/>
        </w:rPr>
        <w:t>3.独立评审原则。任何单位和个人不得干扰、影响评审的正常进行。</w:t>
      </w:r>
    </w:p>
    <w:p w14:paraId="5A41ED28">
      <w:pPr>
        <w:widowControl/>
        <w:spacing w:line="288" w:lineRule="auto"/>
        <w:ind w:firstLine="480"/>
        <w:rPr>
          <w:rFonts w:ascii="宋体" w:hAnsi="宋体" w:cs="宋体"/>
          <w:color w:val="auto"/>
          <w:highlight w:val="none"/>
        </w:rPr>
      </w:pPr>
      <w:r>
        <w:rPr>
          <w:rFonts w:hint="eastAsia" w:ascii="宋体" w:hAnsi="宋体" w:cs="宋体"/>
          <w:color w:val="auto"/>
          <w:highlight w:val="none"/>
        </w:rPr>
        <w:t>4.严格遵守评标方法。根据采购文件规定的评审程序、评审方法进行评审，不带任何倾向性和启发性。</w:t>
      </w:r>
    </w:p>
    <w:p w14:paraId="54543919">
      <w:pPr>
        <w:widowControl/>
        <w:spacing w:line="288" w:lineRule="auto"/>
        <w:ind w:firstLine="482"/>
        <w:outlineLvl w:val="1"/>
        <w:rPr>
          <w:rFonts w:ascii="宋体" w:hAnsi="宋体" w:cs="宋体"/>
          <w:b/>
          <w:bCs/>
          <w:color w:val="auto"/>
          <w:highlight w:val="none"/>
        </w:rPr>
      </w:pPr>
      <w:bookmarkStart w:id="566" w:name="_Toc29039"/>
      <w:bookmarkStart w:id="567" w:name="_Toc22823"/>
      <w:bookmarkStart w:id="568" w:name="_Toc3517"/>
      <w:bookmarkStart w:id="569" w:name="_Toc4890"/>
      <w:bookmarkStart w:id="570" w:name="_Toc29520"/>
      <w:bookmarkStart w:id="571" w:name="_Toc11069"/>
      <w:bookmarkStart w:id="572" w:name="_Toc10524"/>
      <w:bookmarkStart w:id="573" w:name="_Toc27639"/>
      <w:r>
        <w:rPr>
          <w:rFonts w:hint="eastAsia" w:ascii="宋体" w:hAnsi="宋体" w:cs="宋体"/>
          <w:b/>
          <w:bCs/>
          <w:color w:val="auto"/>
          <w:highlight w:val="none"/>
        </w:rPr>
        <w:t>四、评标委员会履行下列职责</w:t>
      </w:r>
      <w:bookmarkEnd w:id="566"/>
      <w:bookmarkEnd w:id="567"/>
      <w:bookmarkEnd w:id="568"/>
      <w:bookmarkEnd w:id="569"/>
      <w:bookmarkEnd w:id="570"/>
      <w:bookmarkEnd w:id="571"/>
      <w:bookmarkEnd w:id="572"/>
      <w:bookmarkEnd w:id="573"/>
    </w:p>
    <w:p w14:paraId="4F3430A6">
      <w:pPr>
        <w:widowControl/>
        <w:spacing w:line="288" w:lineRule="auto"/>
        <w:ind w:firstLine="480"/>
        <w:rPr>
          <w:rFonts w:ascii="宋体" w:hAnsi="宋体" w:cs="宋体"/>
          <w:color w:val="auto"/>
          <w:highlight w:val="none"/>
        </w:rPr>
      </w:pPr>
      <w:r>
        <w:rPr>
          <w:rFonts w:hint="eastAsia" w:ascii="宋体" w:hAnsi="宋体" w:cs="宋体"/>
          <w:color w:val="auto"/>
          <w:highlight w:val="none"/>
        </w:rPr>
        <w:t>1.熟悉和理解招标文件；</w:t>
      </w:r>
    </w:p>
    <w:p w14:paraId="5E81A874">
      <w:pPr>
        <w:widowControl/>
        <w:spacing w:line="288" w:lineRule="auto"/>
        <w:ind w:firstLine="480"/>
        <w:rPr>
          <w:rFonts w:ascii="宋体" w:hAnsi="宋体" w:cs="宋体"/>
          <w:color w:val="auto"/>
          <w:highlight w:val="none"/>
        </w:rPr>
      </w:pPr>
      <w:r>
        <w:rPr>
          <w:rFonts w:hint="eastAsia" w:ascii="宋体" w:hAnsi="宋体" w:cs="宋体"/>
          <w:color w:val="auto"/>
          <w:highlight w:val="none"/>
        </w:rPr>
        <w:t>2.审查投标人投标文件等是否满足招标文件要求，并作出评价；</w:t>
      </w:r>
    </w:p>
    <w:p w14:paraId="3F66AF2F">
      <w:pPr>
        <w:widowControl/>
        <w:spacing w:line="288" w:lineRule="auto"/>
        <w:ind w:firstLine="480"/>
        <w:rPr>
          <w:rFonts w:ascii="宋体" w:hAnsi="宋体" w:cs="宋体"/>
          <w:color w:val="auto"/>
          <w:highlight w:val="none"/>
        </w:rPr>
      </w:pPr>
      <w:r>
        <w:rPr>
          <w:rFonts w:hint="eastAsia" w:ascii="宋体" w:hAnsi="宋体" w:cs="宋体"/>
          <w:color w:val="auto"/>
          <w:highlight w:val="none"/>
        </w:rPr>
        <w:t>3.根据需要要求采购人对招标文件作出解释；根据需要要求投标人对投标文件有关事项作出澄清、说明或者更正；</w:t>
      </w:r>
    </w:p>
    <w:p w14:paraId="521F2E6E">
      <w:pPr>
        <w:widowControl/>
        <w:spacing w:line="288" w:lineRule="auto"/>
        <w:ind w:firstLine="480"/>
        <w:rPr>
          <w:rFonts w:ascii="宋体" w:hAnsi="宋体" w:cs="宋体"/>
          <w:color w:val="auto"/>
          <w:highlight w:val="none"/>
        </w:rPr>
      </w:pPr>
      <w:r>
        <w:rPr>
          <w:rFonts w:hint="eastAsia" w:ascii="宋体" w:hAnsi="宋体" w:cs="宋体"/>
          <w:color w:val="auto"/>
          <w:highlight w:val="none"/>
        </w:rPr>
        <w:t>4.推荐中标候选人，或者受采购人委托确定中标人；</w:t>
      </w:r>
    </w:p>
    <w:p w14:paraId="17EE873F">
      <w:pPr>
        <w:widowControl/>
        <w:spacing w:line="288" w:lineRule="auto"/>
        <w:ind w:firstLine="480"/>
        <w:rPr>
          <w:rFonts w:ascii="宋体" w:hAnsi="宋体" w:cs="宋体"/>
          <w:color w:val="auto"/>
          <w:highlight w:val="none"/>
        </w:rPr>
      </w:pPr>
      <w:r>
        <w:rPr>
          <w:rFonts w:hint="eastAsia" w:ascii="宋体" w:hAnsi="宋体" w:cs="宋体"/>
          <w:color w:val="auto"/>
          <w:highlight w:val="none"/>
        </w:rPr>
        <w:t>5.起草评标报告并进行签署；</w:t>
      </w:r>
    </w:p>
    <w:p w14:paraId="33797416">
      <w:pPr>
        <w:widowControl/>
        <w:spacing w:line="288" w:lineRule="auto"/>
        <w:ind w:firstLine="480"/>
        <w:rPr>
          <w:rFonts w:ascii="宋体" w:hAnsi="宋体" w:cs="宋体"/>
          <w:color w:val="auto"/>
          <w:highlight w:val="none"/>
        </w:rPr>
      </w:pPr>
      <w:r>
        <w:rPr>
          <w:rFonts w:hint="eastAsia" w:ascii="宋体" w:hAnsi="宋体" w:cs="宋体"/>
          <w:color w:val="auto"/>
          <w:highlight w:val="none"/>
        </w:rPr>
        <w:t>6.向采购人、监督部门报告非法干预评标工作的行为；</w:t>
      </w:r>
    </w:p>
    <w:p w14:paraId="7D66D0B7">
      <w:pPr>
        <w:widowControl/>
        <w:spacing w:line="288" w:lineRule="auto"/>
        <w:ind w:firstLine="480"/>
        <w:rPr>
          <w:rFonts w:ascii="宋体" w:hAnsi="宋体" w:cs="宋体"/>
          <w:color w:val="auto"/>
          <w:highlight w:val="none"/>
        </w:rPr>
      </w:pPr>
      <w:r>
        <w:rPr>
          <w:rFonts w:hint="eastAsia" w:ascii="宋体" w:hAnsi="宋体" w:cs="宋体"/>
          <w:color w:val="auto"/>
          <w:highlight w:val="none"/>
        </w:rPr>
        <w:t>7.</w:t>
      </w:r>
      <w:r>
        <w:rPr>
          <w:rFonts w:hint="eastAsia" w:ascii="宋体" w:hAnsi="宋体" w:cs="宋体"/>
          <w:color w:val="auto"/>
          <w:highlight w:val="none"/>
          <w:lang w:eastAsia="zh-CN"/>
        </w:rPr>
        <w:t>法律法规</w:t>
      </w:r>
      <w:r>
        <w:rPr>
          <w:rFonts w:hint="eastAsia" w:ascii="宋体" w:hAnsi="宋体" w:cs="宋体"/>
          <w:color w:val="auto"/>
          <w:highlight w:val="none"/>
        </w:rPr>
        <w:t>和规章规定的其他职责。</w:t>
      </w:r>
    </w:p>
    <w:p w14:paraId="2DD17352">
      <w:pPr>
        <w:widowControl/>
        <w:spacing w:line="288" w:lineRule="auto"/>
        <w:ind w:firstLine="482"/>
        <w:outlineLvl w:val="1"/>
        <w:rPr>
          <w:rFonts w:ascii="宋体" w:hAnsi="宋体" w:cs="宋体"/>
          <w:b/>
          <w:bCs/>
          <w:color w:val="auto"/>
          <w:highlight w:val="none"/>
        </w:rPr>
      </w:pPr>
      <w:bookmarkStart w:id="574" w:name="_Toc22056"/>
      <w:bookmarkStart w:id="575" w:name="_Toc454"/>
      <w:bookmarkStart w:id="576" w:name="_Toc2770"/>
      <w:bookmarkStart w:id="577" w:name="_Toc12162"/>
      <w:bookmarkStart w:id="578" w:name="_Toc26645"/>
      <w:bookmarkStart w:id="579" w:name="_Toc9300"/>
      <w:bookmarkStart w:id="580" w:name="_Toc11071"/>
      <w:bookmarkStart w:id="581" w:name="_Toc24565"/>
      <w:r>
        <w:rPr>
          <w:rFonts w:hint="eastAsia" w:ascii="宋体" w:hAnsi="宋体" w:cs="宋体"/>
          <w:b/>
          <w:bCs/>
          <w:color w:val="auto"/>
          <w:highlight w:val="none"/>
        </w:rPr>
        <w:t>五、评标工作纪律</w:t>
      </w:r>
      <w:bookmarkEnd w:id="574"/>
      <w:bookmarkEnd w:id="575"/>
      <w:bookmarkEnd w:id="576"/>
      <w:bookmarkEnd w:id="577"/>
      <w:bookmarkEnd w:id="578"/>
      <w:bookmarkEnd w:id="579"/>
      <w:bookmarkEnd w:id="580"/>
      <w:bookmarkEnd w:id="581"/>
    </w:p>
    <w:p w14:paraId="7D6A7299">
      <w:pPr>
        <w:widowControl/>
        <w:spacing w:line="288" w:lineRule="auto"/>
        <w:ind w:firstLine="480"/>
        <w:rPr>
          <w:rFonts w:ascii="宋体" w:hAnsi="宋体" w:cs="宋体"/>
          <w:color w:val="auto"/>
          <w:highlight w:val="none"/>
        </w:rPr>
      </w:pPr>
      <w:r>
        <w:rPr>
          <w:rFonts w:hint="eastAsia" w:ascii="宋体" w:hAnsi="宋体" w:cs="宋体"/>
          <w:color w:val="auto"/>
          <w:highlight w:val="none"/>
        </w:rPr>
        <w:t>评标委员会成员要严格遵守评标纪律、保密、回避等相关规定，依法独立履行评标职责，客观、公正、审慎参与评标工作；</w:t>
      </w:r>
    </w:p>
    <w:p w14:paraId="3C816049">
      <w:pPr>
        <w:widowControl/>
        <w:spacing w:line="288" w:lineRule="auto"/>
        <w:ind w:firstLine="480"/>
        <w:rPr>
          <w:rFonts w:ascii="宋体" w:hAnsi="宋体" w:cs="宋体"/>
          <w:color w:val="auto"/>
          <w:highlight w:val="none"/>
        </w:rPr>
      </w:pPr>
      <w:r>
        <w:rPr>
          <w:rFonts w:hint="eastAsia" w:ascii="宋体" w:hAnsi="宋体" w:cs="宋体"/>
          <w:color w:val="auto"/>
          <w:highlight w:val="none"/>
        </w:rPr>
        <w:t>1.严格遵守评标时间，因突发情况确实不能按时参加评标的，应事先告知招标组织机构；</w:t>
      </w:r>
    </w:p>
    <w:p w14:paraId="1F1ADFD9">
      <w:pPr>
        <w:widowControl/>
        <w:spacing w:line="288" w:lineRule="auto"/>
        <w:ind w:firstLine="480"/>
        <w:rPr>
          <w:rFonts w:ascii="宋体" w:hAnsi="宋体" w:cs="宋体"/>
          <w:color w:val="auto"/>
          <w:highlight w:val="none"/>
        </w:rPr>
      </w:pPr>
      <w:r>
        <w:rPr>
          <w:rFonts w:hint="eastAsia" w:ascii="宋体" w:hAnsi="宋体" w:cs="宋体"/>
          <w:color w:val="auto"/>
          <w:highlight w:val="none"/>
        </w:rPr>
        <w:t>2.服从招标组织机构的现场管理，主动出示身份证明，进入评标区域后应主动寄存移动通讯工具；</w:t>
      </w:r>
    </w:p>
    <w:p w14:paraId="1291BEA8">
      <w:pPr>
        <w:widowControl/>
        <w:spacing w:line="288" w:lineRule="auto"/>
        <w:ind w:firstLine="480"/>
        <w:rPr>
          <w:rFonts w:ascii="宋体" w:hAnsi="宋体" w:cs="宋体"/>
          <w:color w:val="auto"/>
          <w:highlight w:val="none"/>
        </w:rPr>
      </w:pPr>
      <w:r>
        <w:rPr>
          <w:rFonts w:hint="eastAsia" w:ascii="宋体" w:hAnsi="宋体" w:cs="宋体"/>
          <w:color w:val="auto"/>
          <w:highlight w:val="none"/>
        </w:rPr>
        <w:t>3.与投标人或评标委员会其他成员存在利害关系的，要主动回避，自觉签订《国企采购评审人员廉洁自律承诺书》；</w:t>
      </w:r>
    </w:p>
    <w:p w14:paraId="7BC37372">
      <w:pPr>
        <w:widowControl/>
        <w:spacing w:line="288" w:lineRule="auto"/>
        <w:ind w:firstLine="480"/>
        <w:rPr>
          <w:rFonts w:ascii="宋体" w:hAnsi="宋体" w:cs="宋体"/>
          <w:color w:val="auto"/>
          <w:highlight w:val="none"/>
        </w:rPr>
      </w:pPr>
      <w:r>
        <w:rPr>
          <w:rFonts w:hint="eastAsia" w:ascii="宋体" w:hAnsi="宋体" w:cs="宋体"/>
          <w:color w:val="auto"/>
          <w:highlight w:val="none"/>
        </w:rPr>
        <w:t>4.保持评标现场安静，不在评标现场随意走动，因发生不可预见情况确需与外界联系或暂时离开评标现场的，应向现场监督员说明情况，征得同意后在监控区域内进行相关活动，并应接受相关工作人员的监督；</w:t>
      </w:r>
    </w:p>
    <w:p w14:paraId="227BA8FD">
      <w:pPr>
        <w:widowControl/>
        <w:spacing w:line="288" w:lineRule="auto"/>
        <w:ind w:firstLine="480"/>
        <w:rPr>
          <w:rFonts w:ascii="宋体" w:hAnsi="宋体" w:cs="宋体"/>
          <w:color w:val="auto"/>
          <w:highlight w:val="none"/>
        </w:rPr>
      </w:pPr>
      <w:r>
        <w:rPr>
          <w:rFonts w:hint="eastAsia" w:ascii="宋体" w:hAnsi="宋体" w:cs="宋体"/>
          <w:color w:val="auto"/>
          <w:highlight w:val="none"/>
        </w:rPr>
        <w:t>5.自觉遵守职业道德，尊重采购人代表和投标人代表，配合招标组织机构回答投标人代表提出的有关异议；</w:t>
      </w:r>
    </w:p>
    <w:p w14:paraId="0E045BE6">
      <w:pPr>
        <w:widowControl/>
        <w:spacing w:line="288" w:lineRule="auto"/>
        <w:ind w:firstLine="480"/>
        <w:rPr>
          <w:rFonts w:ascii="宋体" w:hAnsi="宋体" w:cs="宋体"/>
          <w:color w:val="auto"/>
          <w:highlight w:val="none"/>
        </w:rPr>
      </w:pPr>
      <w:r>
        <w:rPr>
          <w:rFonts w:hint="eastAsia" w:ascii="宋体" w:hAnsi="宋体" w:cs="宋体"/>
          <w:color w:val="auto"/>
          <w:highlight w:val="none"/>
        </w:rPr>
        <w:t>6.不得将评标过程、结果和投标人的商业秘密透露给任何单位和个人。未公告评标结果前不准泄露评标结果，不准将评标资料带出会场；</w:t>
      </w:r>
    </w:p>
    <w:p w14:paraId="6F70B2E4">
      <w:pPr>
        <w:widowControl/>
        <w:spacing w:line="288" w:lineRule="auto"/>
        <w:ind w:firstLine="480"/>
        <w:rPr>
          <w:rFonts w:ascii="宋体" w:hAnsi="宋体" w:cs="宋体"/>
          <w:color w:val="auto"/>
          <w:highlight w:val="none"/>
        </w:rPr>
      </w:pPr>
      <w:r>
        <w:rPr>
          <w:rFonts w:hint="eastAsia" w:ascii="宋体" w:hAnsi="宋体" w:cs="宋体"/>
          <w:color w:val="auto"/>
          <w:highlight w:val="none"/>
        </w:rPr>
        <w:t>7.评标过程中，</w:t>
      </w:r>
      <w:r>
        <w:rPr>
          <w:rFonts w:hint="eastAsia" w:ascii="宋体" w:hAnsi="宋体" w:cs="宋体"/>
          <w:color w:val="auto"/>
          <w:highlight w:val="none"/>
          <w:lang w:eastAsia="zh-CN"/>
        </w:rPr>
        <w:t>涉及相关</w:t>
      </w:r>
      <w:r>
        <w:rPr>
          <w:rFonts w:hint="eastAsia" w:ascii="宋体" w:hAnsi="宋体" w:cs="宋体"/>
          <w:color w:val="auto"/>
          <w:highlight w:val="none"/>
        </w:rPr>
        <w:t>法律法规不清楚之处的，由采购监管部门或请示权威部门作出法定解释，</w:t>
      </w:r>
      <w:r>
        <w:rPr>
          <w:rFonts w:hint="eastAsia" w:ascii="宋体" w:hAnsi="宋体" w:cs="宋体"/>
          <w:color w:val="auto"/>
          <w:highlight w:val="none"/>
          <w:lang w:eastAsia="zh-CN"/>
        </w:rPr>
        <w:t>涉及</w:t>
      </w:r>
      <w:r>
        <w:rPr>
          <w:rFonts w:hint="eastAsia" w:ascii="宋体" w:hAnsi="宋体" w:cs="宋体"/>
          <w:color w:val="auto"/>
          <w:highlight w:val="none"/>
        </w:rPr>
        <w:t>招标文件的由采购人和采购代理机构负责解释。</w:t>
      </w:r>
    </w:p>
    <w:p w14:paraId="7547CE37">
      <w:pPr>
        <w:widowControl/>
        <w:spacing w:line="288" w:lineRule="auto"/>
        <w:ind w:firstLine="482"/>
        <w:outlineLvl w:val="1"/>
        <w:rPr>
          <w:rFonts w:ascii="宋体" w:hAnsi="宋体" w:cs="宋体"/>
          <w:b/>
          <w:bCs/>
          <w:color w:val="auto"/>
          <w:highlight w:val="none"/>
        </w:rPr>
      </w:pPr>
      <w:bookmarkStart w:id="582" w:name="_Toc19330"/>
      <w:bookmarkStart w:id="583" w:name="_Toc32538"/>
      <w:bookmarkStart w:id="584" w:name="_Toc12597"/>
      <w:bookmarkStart w:id="585" w:name="_Toc274"/>
      <w:bookmarkStart w:id="586" w:name="_Toc24507"/>
      <w:bookmarkStart w:id="587" w:name="_Toc19074"/>
      <w:bookmarkStart w:id="588" w:name="_Toc24116"/>
      <w:bookmarkStart w:id="589" w:name="_Toc10354"/>
      <w:r>
        <w:rPr>
          <w:rFonts w:hint="eastAsia" w:ascii="宋体" w:hAnsi="宋体" w:cs="宋体"/>
          <w:b/>
          <w:bCs/>
          <w:color w:val="auto"/>
          <w:highlight w:val="none"/>
        </w:rPr>
        <w:t>六、评标程序</w:t>
      </w:r>
      <w:bookmarkEnd w:id="582"/>
      <w:bookmarkEnd w:id="583"/>
      <w:bookmarkEnd w:id="584"/>
      <w:bookmarkEnd w:id="585"/>
      <w:bookmarkEnd w:id="586"/>
      <w:bookmarkEnd w:id="587"/>
      <w:bookmarkEnd w:id="588"/>
      <w:bookmarkEnd w:id="589"/>
    </w:p>
    <w:p w14:paraId="453FE912">
      <w:pPr>
        <w:widowControl/>
        <w:spacing w:line="288" w:lineRule="auto"/>
        <w:ind w:firstLine="480"/>
        <w:rPr>
          <w:rFonts w:ascii="宋体" w:hAnsi="宋体" w:cs="宋体"/>
          <w:color w:val="auto"/>
          <w:highlight w:val="none"/>
        </w:rPr>
      </w:pPr>
      <w:r>
        <w:rPr>
          <w:rFonts w:hint="eastAsia" w:ascii="宋体" w:hAnsi="宋体" w:cs="宋体"/>
          <w:color w:val="auto"/>
          <w:highlight w:val="none"/>
        </w:rPr>
        <w:t>1.推选评标委员会组长，优先资深专家担任组长，采购人代表不得担任组长。</w:t>
      </w:r>
    </w:p>
    <w:p w14:paraId="77B7E788">
      <w:pPr>
        <w:widowControl/>
        <w:spacing w:line="288" w:lineRule="auto"/>
        <w:ind w:firstLine="480"/>
        <w:rPr>
          <w:rFonts w:ascii="宋体" w:hAnsi="宋体" w:cs="宋体"/>
          <w:color w:val="auto"/>
          <w:highlight w:val="none"/>
        </w:rPr>
      </w:pPr>
      <w:r>
        <w:rPr>
          <w:rFonts w:hint="eastAsia" w:ascii="宋体" w:hAnsi="宋体" w:cs="宋体"/>
          <w:color w:val="auto"/>
          <w:highlight w:val="none"/>
        </w:rPr>
        <w:t>2.评标委员会正式评审前，应当对采购文件进行熟悉和理解，内容主要包括采购文件中投标人资格</w:t>
      </w:r>
      <w:r>
        <w:rPr>
          <w:rFonts w:hint="eastAsia" w:ascii="宋体" w:hAnsi="宋体" w:cs="宋体"/>
          <w:color w:val="auto"/>
          <w:highlight w:val="none"/>
          <w:lang w:eastAsia="zh-CN"/>
        </w:rPr>
        <w:t>资质</w:t>
      </w:r>
      <w:r>
        <w:rPr>
          <w:rFonts w:hint="eastAsia" w:ascii="宋体" w:hAnsi="宋体" w:cs="宋体"/>
          <w:color w:val="auto"/>
          <w:highlight w:val="none"/>
        </w:rPr>
        <w:t>要求、采购项目技术、服务和商务要求、评审方法以及可能涉及签订采购合同的内容等。</w:t>
      </w:r>
    </w:p>
    <w:p w14:paraId="32423542">
      <w:pPr>
        <w:spacing w:line="288" w:lineRule="auto"/>
        <w:ind w:firstLine="480"/>
        <w:rPr>
          <w:rFonts w:ascii="宋体" w:hAnsi="宋体" w:cs="宋体"/>
          <w:color w:val="auto"/>
          <w:highlight w:val="none"/>
        </w:rPr>
      </w:pPr>
      <w:r>
        <w:rPr>
          <w:rFonts w:hint="eastAsia" w:ascii="宋体" w:hAnsi="宋体" w:cs="宋体"/>
          <w:color w:val="auto"/>
          <w:highlight w:val="none"/>
        </w:rPr>
        <w:t>3.评标程序：资格性审查→符合性审查→资信技术评审→报价评审→得分汇总→编写评审报告。</w:t>
      </w:r>
    </w:p>
    <w:p w14:paraId="7F0E137F">
      <w:pPr>
        <w:widowControl/>
        <w:spacing w:line="288" w:lineRule="auto"/>
        <w:ind w:firstLine="480"/>
        <w:rPr>
          <w:rFonts w:ascii="宋体" w:hAnsi="宋体" w:cs="宋体"/>
          <w:color w:val="auto"/>
          <w:highlight w:val="none"/>
        </w:rPr>
      </w:pPr>
      <w:r>
        <w:rPr>
          <w:rFonts w:hint="eastAsia" w:ascii="宋体" w:hAnsi="宋体" w:cs="宋体"/>
          <w:color w:val="auto"/>
          <w:highlight w:val="none"/>
        </w:rPr>
        <w:t>4.资格性审查</w:t>
      </w:r>
    </w:p>
    <w:p w14:paraId="57CE65F9">
      <w:pPr>
        <w:widowControl/>
        <w:spacing w:line="288" w:lineRule="auto"/>
        <w:ind w:firstLine="480"/>
        <w:rPr>
          <w:rFonts w:ascii="宋体" w:hAnsi="宋体" w:cs="宋体"/>
          <w:color w:val="auto"/>
          <w:highlight w:val="none"/>
        </w:rPr>
      </w:pPr>
      <w:r>
        <w:rPr>
          <w:rFonts w:hint="eastAsia" w:ascii="宋体" w:hAnsi="宋体" w:cs="宋体"/>
          <w:color w:val="auto"/>
          <w:highlight w:val="none"/>
        </w:rPr>
        <w:t>4.1.评标委员会应依据法律法规和本招标文件的规定对投标人资格进行审查。审查内容包</w:t>
      </w:r>
    </w:p>
    <w:p w14:paraId="4055464B">
      <w:pPr>
        <w:widowControl/>
        <w:spacing w:line="288" w:lineRule="auto"/>
        <w:ind w:left="0" w:leftChars="0" w:firstLine="0" w:firstLineChars="0"/>
        <w:rPr>
          <w:rFonts w:ascii="宋体" w:hAnsi="宋体" w:cs="宋体"/>
          <w:color w:val="auto"/>
          <w:highlight w:val="none"/>
        </w:rPr>
      </w:pPr>
      <w:r>
        <w:rPr>
          <w:rFonts w:hint="eastAsia" w:ascii="宋体" w:hAnsi="宋体" w:cs="宋体"/>
          <w:color w:val="auto"/>
          <w:highlight w:val="none"/>
        </w:rPr>
        <w:t>括：</w:t>
      </w:r>
    </w:p>
    <w:p w14:paraId="26BA05AF">
      <w:pPr>
        <w:widowControl/>
        <w:spacing w:line="288" w:lineRule="auto"/>
        <w:ind w:firstLine="480"/>
        <w:rPr>
          <w:rFonts w:ascii="宋体" w:hAnsi="宋体" w:cs="宋体"/>
          <w:color w:val="auto"/>
          <w:highlight w:val="none"/>
        </w:rPr>
      </w:pPr>
      <w:r>
        <w:rPr>
          <w:rFonts w:hint="eastAsia" w:ascii="宋体" w:hAnsi="宋体" w:cs="宋体"/>
          <w:color w:val="auto"/>
          <w:highlight w:val="none"/>
        </w:rPr>
        <w:t>(1)是否属于禁止参加投标的投标人；</w:t>
      </w:r>
    </w:p>
    <w:p w14:paraId="4C994C9D">
      <w:pPr>
        <w:widowControl/>
        <w:spacing w:line="288" w:lineRule="auto"/>
        <w:ind w:firstLine="480"/>
        <w:rPr>
          <w:rFonts w:ascii="宋体" w:hAnsi="宋体" w:cs="宋体"/>
          <w:color w:val="auto"/>
          <w:highlight w:val="none"/>
        </w:rPr>
      </w:pPr>
      <w:r>
        <w:rPr>
          <w:rFonts w:hint="eastAsia" w:ascii="宋体" w:hAnsi="宋体" w:cs="宋体"/>
          <w:color w:val="auto"/>
          <w:highlight w:val="none"/>
        </w:rPr>
        <w:t>(2)是否按照规定要求提供资格性证明材料；</w:t>
      </w:r>
    </w:p>
    <w:p w14:paraId="473F88DB">
      <w:pPr>
        <w:widowControl/>
        <w:spacing w:line="288" w:lineRule="auto"/>
        <w:ind w:firstLine="480"/>
        <w:rPr>
          <w:rFonts w:ascii="宋体" w:hAnsi="宋体" w:cs="宋体"/>
          <w:color w:val="auto"/>
          <w:highlight w:val="none"/>
        </w:rPr>
      </w:pPr>
      <w:r>
        <w:rPr>
          <w:rFonts w:hint="eastAsia" w:ascii="宋体" w:hAnsi="宋体" w:cs="宋体"/>
          <w:color w:val="auto"/>
          <w:highlight w:val="none"/>
        </w:rPr>
        <w:t>(3)法律法规规定的其他资格条件。</w:t>
      </w:r>
    </w:p>
    <w:p w14:paraId="017F787C">
      <w:pPr>
        <w:widowControl/>
        <w:spacing w:line="288" w:lineRule="auto"/>
        <w:ind w:firstLine="480"/>
        <w:rPr>
          <w:rFonts w:ascii="宋体" w:hAnsi="宋体" w:cs="宋体"/>
          <w:color w:val="auto"/>
          <w:highlight w:val="none"/>
        </w:rPr>
      </w:pPr>
      <w:r>
        <w:rPr>
          <w:rFonts w:hint="eastAsia" w:ascii="宋体" w:hAnsi="宋体" w:cs="宋体"/>
          <w:color w:val="auto"/>
          <w:highlight w:val="none"/>
        </w:rPr>
        <w:t>4.2.经资格审查不符合招标文件要求的投标文件，即终止其参与投标资格。不符合的理由由投标人在</w:t>
      </w:r>
      <w:r>
        <w:rPr>
          <w:rFonts w:hint="eastAsia" w:ascii="宋体" w:hAnsi="宋体" w:cs="宋体"/>
          <w:color w:val="auto"/>
          <w:highlight w:val="none"/>
          <w:lang w:val="en-US" w:eastAsia="zh-CN"/>
        </w:rPr>
        <w:t>系统上</w:t>
      </w:r>
      <w:r>
        <w:rPr>
          <w:rFonts w:hint="eastAsia" w:ascii="宋体" w:hAnsi="宋体" w:cs="宋体"/>
          <w:color w:val="auto"/>
          <w:highlight w:val="none"/>
        </w:rPr>
        <w:t>确认，投标人拒绝确认的不影响评标委员会作出的不合格裁定。</w:t>
      </w:r>
    </w:p>
    <w:p w14:paraId="7723C385">
      <w:pPr>
        <w:widowControl/>
        <w:spacing w:line="288" w:lineRule="auto"/>
        <w:ind w:firstLine="480"/>
        <w:rPr>
          <w:rFonts w:ascii="宋体" w:hAnsi="宋体" w:cs="宋体"/>
          <w:color w:val="auto"/>
          <w:highlight w:val="none"/>
        </w:rPr>
      </w:pPr>
      <w:r>
        <w:rPr>
          <w:rFonts w:hint="eastAsia" w:ascii="宋体" w:hAnsi="宋体" w:cs="宋体"/>
          <w:color w:val="auto"/>
          <w:highlight w:val="none"/>
        </w:rPr>
        <w:t>5.符合性审查</w:t>
      </w:r>
    </w:p>
    <w:p w14:paraId="14865E5E">
      <w:pPr>
        <w:widowControl/>
        <w:spacing w:line="288" w:lineRule="auto"/>
        <w:ind w:firstLine="480"/>
        <w:rPr>
          <w:rFonts w:ascii="宋体" w:hAnsi="宋体" w:cs="宋体"/>
          <w:color w:val="auto"/>
          <w:highlight w:val="none"/>
        </w:rPr>
      </w:pPr>
      <w:r>
        <w:rPr>
          <w:rFonts w:hint="eastAsia" w:ascii="宋体" w:hAnsi="宋体" w:cs="宋体"/>
          <w:color w:val="auto"/>
          <w:highlight w:val="none"/>
        </w:rPr>
        <w:t>5.1.评标委员会根据本招标文件的规定，对资格符合投标人的投标文件进行审查，以认定其是否满足本招标文件的实质性要求。符合性审查事项仅限于本招标文件的明确规定，评标委员会不得臆测符合性审查事项。经符合性审查未实质性响应招标文件要求，以投标无效处理。</w:t>
      </w:r>
    </w:p>
    <w:p w14:paraId="5B7A780D">
      <w:pPr>
        <w:widowControl/>
        <w:spacing w:line="288" w:lineRule="auto"/>
        <w:ind w:firstLine="480"/>
        <w:rPr>
          <w:rFonts w:ascii="宋体" w:hAnsi="宋体" w:cs="宋体"/>
          <w:color w:val="auto"/>
          <w:highlight w:val="none"/>
        </w:rPr>
      </w:pPr>
      <w:r>
        <w:rPr>
          <w:rFonts w:hint="eastAsia" w:ascii="宋体" w:hAnsi="宋体" w:cs="宋体"/>
          <w:color w:val="auto"/>
          <w:highlight w:val="none"/>
        </w:rPr>
        <w:t>未实质性响应的理由由投标人在</w:t>
      </w:r>
      <w:r>
        <w:rPr>
          <w:rFonts w:hint="eastAsia" w:ascii="宋体" w:hAnsi="宋体" w:cs="宋体"/>
          <w:color w:val="auto"/>
          <w:highlight w:val="none"/>
          <w:lang w:val="en-US" w:eastAsia="zh-CN"/>
        </w:rPr>
        <w:t>系统里</w:t>
      </w:r>
      <w:r>
        <w:rPr>
          <w:rFonts w:hint="eastAsia" w:ascii="宋体" w:hAnsi="宋体" w:cs="宋体"/>
          <w:color w:val="auto"/>
          <w:highlight w:val="none"/>
        </w:rPr>
        <w:t>确认。投标人拒绝确认的不影响评标委员会作出的不合格裁定。评标委员会不再进行后续评审。</w:t>
      </w:r>
    </w:p>
    <w:p w14:paraId="021748A6">
      <w:pPr>
        <w:widowControl/>
        <w:spacing w:line="288" w:lineRule="auto"/>
        <w:ind w:firstLine="480"/>
        <w:rPr>
          <w:rFonts w:ascii="宋体" w:hAnsi="宋体" w:cs="宋体"/>
          <w:color w:val="auto"/>
          <w:highlight w:val="none"/>
        </w:rPr>
      </w:pPr>
      <w:r>
        <w:rPr>
          <w:rFonts w:hint="eastAsia" w:ascii="宋体" w:hAnsi="宋体" w:cs="宋体"/>
          <w:color w:val="auto"/>
          <w:highlight w:val="none"/>
        </w:rPr>
        <w:t>5.2.如果确定投标人无资格履行合同，其投标将被拒绝。</w:t>
      </w:r>
    </w:p>
    <w:p w14:paraId="1DE65955">
      <w:pPr>
        <w:widowControl/>
        <w:spacing w:line="288" w:lineRule="auto"/>
        <w:ind w:firstLine="480"/>
        <w:rPr>
          <w:rFonts w:ascii="宋体" w:hAnsi="宋体" w:cs="宋体"/>
          <w:color w:val="auto"/>
          <w:highlight w:val="none"/>
        </w:rPr>
      </w:pPr>
      <w:r>
        <w:rPr>
          <w:rFonts w:hint="eastAsia" w:ascii="宋体" w:hAnsi="宋体" w:cs="宋体"/>
          <w:color w:val="auto"/>
          <w:highlight w:val="none"/>
        </w:rPr>
        <w:t>6.投标文件评审</w:t>
      </w:r>
    </w:p>
    <w:p w14:paraId="5EE1D3E3">
      <w:pPr>
        <w:widowControl/>
        <w:spacing w:line="288" w:lineRule="auto"/>
        <w:ind w:firstLine="480"/>
        <w:rPr>
          <w:rFonts w:ascii="宋体" w:hAnsi="宋体" w:cs="宋体"/>
          <w:color w:val="auto"/>
          <w:highlight w:val="none"/>
        </w:rPr>
      </w:pPr>
      <w:r>
        <w:rPr>
          <w:rFonts w:hint="eastAsia" w:ascii="宋体" w:hAnsi="宋体" w:cs="宋体"/>
          <w:color w:val="auto"/>
          <w:highlight w:val="none"/>
        </w:rPr>
        <w:t>评标委员会应当按照本招标文件中规定的评标方法和评分标准，对有效的投标文件进行技术、服务、商务等方面评估，综合比较与评价。详见本章第十条。</w:t>
      </w:r>
    </w:p>
    <w:p w14:paraId="4B6EC2A1">
      <w:pPr>
        <w:widowControl/>
        <w:spacing w:line="288" w:lineRule="auto"/>
        <w:ind w:firstLine="482"/>
        <w:jc w:val="left"/>
        <w:outlineLvl w:val="1"/>
        <w:rPr>
          <w:rFonts w:ascii="宋体" w:hAnsi="宋体" w:cs="宋体"/>
          <w:b/>
          <w:bCs/>
          <w:color w:val="auto"/>
          <w:highlight w:val="none"/>
        </w:rPr>
      </w:pPr>
      <w:bookmarkStart w:id="590" w:name="_Toc26135"/>
      <w:bookmarkStart w:id="591" w:name="_Toc8858"/>
      <w:bookmarkStart w:id="592" w:name="_Toc15658"/>
      <w:bookmarkStart w:id="593" w:name="_Toc21780"/>
      <w:bookmarkStart w:id="594" w:name="_Toc17989"/>
      <w:bookmarkStart w:id="595" w:name="_Toc28964"/>
      <w:bookmarkStart w:id="596" w:name="_Toc19913"/>
      <w:bookmarkStart w:id="597" w:name="_Toc18962"/>
      <w:r>
        <w:rPr>
          <w:rFonts w:hint="eastAsia" w:ascii="宋体" w:hAnsi="宋体" w:cs="宋体"/>
          <w:b/>
          <w:bCs/>
          <w:color w:val="auto"/>
          <w:highlight w:val="none"/>
        </w:rPr>
        <w:t>七、澄清、说明或修正</w:t>
      </w:r>
      <w:bookmarkEnd w:id="590"/>
      <w:bookmarkEnd w:id="591"/>
      <w:bookmarkEnd w:id="592"/>
      <w:bookmarkEnd w:id="593"/>
      <w:bookmarkEnd w:id="594"/>
      <w:bookmarkEnd w:id="595"/>
      <w:bookmarkEnd w:id="596"/>
      <w:bookmarkEnd w:id="597"/>
    </w:p>
    <w:p w14:paraId="4D6A690E">
      <w:pPr>
        <w:widowControl/>
        <w:spacing w:line="288" w:lineRule="auto"/>
        <w:ind w:firstLine="480"/>
        <w:rPr>
          <w:rFonts w:ascii="宋体" w:hAnsi="宋体" w:cs="宋体"/>
          <w:color w:val="auto"/>
          <w:highlight w:val="none"/>
        </w:rPr>
      </w:pPr>
      <w:r>
        <w:rPr>
          <w:rFonts w:hint="eastAsia" w:ascii="宋体" w:hAnsi="宋体" w:cs="宋体"/>
          <w:color w:val="auto"/>
          <w:highlight w:val="none"/>
        </w:rPr>
        <w:t>1.在评审过程中，投标文件实质性符合招标文件要求的前提下，评标委员会对投标文件中含义不明确、同类问题表述不一致或者有明显文字和计算错误的内容，评标委员会可以要求相关投标人作出必要的澄清、说明或修正。但不得超出招标文件的范围，不得以此让投标人实质改变投标文件的内容，不得影响公平竞争和投标文件的效力。澄清、说明或修正内容是投标文件的组成部分。</w:t>
      </w:r>
    </w:p>
    <w:p w14:paraId="2AB40CD6">
      <w:pPr>
        <w:widowControl/>
        <w:spacing w:line="288" w:lineRule="auto"/>
        <w:ind w:firstLine="480"/>
        <w:rPr>
          <w:rFonts w:ascii="宋体" w:hAnsi="宋体" w:cs="宋体"/>
          <w:color w:val="auto"/>
          <w:highlight w:val="none"/>
        </w:rPr>
      </w:pPr>
      <w:r>
        <w:rPr>
          <w:rFonts w:hint="eastAsia" w:ascii="宋体" w:hAnsi="宋体" w:cs="宋体"/>
          <w:color w:val="auto"/>
          <w:highlight w:val="none"/>
        </w:rPr>
        <w:t>2.投标文件报价出现前后不一致的，按照下列规定修正：</w:t>
      </w:r>
    </w:p>
    <w:p w14:paraId="16B322F9">
      <w:pPr>
        <w:widowControl/>
        <w:spacing w:line="288" w:lineRule="auto"/>
        <w:ind w:firstLine="480"/>
        <w:rPr>
          <w:rFonts w:ascii="宋体" w:hAnsi="宋体" w:cs="宋体"/>
          <w:color w:val="auto"/>
          <w:highlight w:val="none"/>
        </w:rPr>
      </w:pPr>
      <w:r>
        <w:rPr>
          <w:rFonts w:hint="eastAsia" w:ascii="宋体" w:hAnsi="宋体" w:cs="宋体"/>
          <w:color w:val="auto"/>
          <w:highlight w:val="none"/>
        </w:rPr>
        <w:t>2.1.开标时，投标文件中</w:t>
      </w:r>
      <w:r>
        <w:rPr>
          <w:rFonts w:hint="eastAsia" w:ascii="宋体" w:hAnsi="宋体" w:cs="宋体"/>
          <w:color w:val="auto"/>
          <w:highlight w:val="none"/>
          <w:lang w:eastAsia="zh-CN"/>
        </w:rPr>
        <w:t>开标一览表</w:t>
      </w:r>
      <w:r>
        <w:rPr>
          <w:rFonts w:hint="eastAsia" w:ascii="宋体" w:hAnsi="宋体" w:cs="宋体"/>
          <w:color w:val="auto"/>
          <w:highlight w:val="none"/>
        </w:rPr>
        <w:t>内容与投标文件中</w:t>
      </w:r>
      <w:r>
        <w:rPr>
          <w:rFonts w:hint="eastAsia" w:ascii="宋体" w:hAnsi="宋体" w:cs="宋体"/>
          <w:color w:val="auto"/>
          <w:highlight w:val="none"/>
          <w:lang w:val="en-US" w:eastAsia="zh-CN"/>
        </w:rPr>
        <w:t>清单</w:t>
      </w:r>
      <w:r>
        <w:rPr>
          <w:rFonts w:hint="eastAsia" w:ascii="宋体" w:hAnsi="宋体" w:cs="宋体"/>
          <w:color w:val="auto"/>
          <w:highlight w:val="none"/>
        </w:rPr>
        <w:t>明细表内容不一致的，以</w:t>
      </w:r>
      <w:r>
        <w:rPr>
          <w:rFonts w:hint="eastAsia" w:ascii="宋体" w:hAnsi="宋体" w:cs="宋体"/>
          <w:color w:val="auto"/>
          <w:highlight w:val="none"/>
          <w:lang w:eastAsia="zh-CN"/>
        </w:rPr>
        <w:t>开标一览表</w:t>
      </w:r>
      <w:r>
        <w:rPr>
          <w:rFonts w:hint="eastAsia" w:ascii="宋体" w:hAnsi="宋体" w:cs="宋体"/>
          <w:color w:val="auto"/>
          <w:highlight w:val="none"/>
        </w:rPr>
        <w:t>为准；</w:t>
      </w:r>
    </w:p>
    <w:p w14:paraId="1EF11014">
      <w:pPr>
        <w:widowControl/>
        <w:spacing w:line="288" w:lineRule="auto"/>
        <w:ind w:firstLine="480"/>
        <w:rPr>
          <w:rFonts w:ascii="宋体" w:hAnsi="宋体" w:cs="宋体"/>
          <w:color w:val="auto"/>
          <w:highlight w:val="none"/>
        </w:rPr>
      </w:pPr>
      <w:r>
        <w:rPr>
          <w:rFonts w:hint="eastAsia" w:ascii="宋体" w:hAnsi="宋体" w:cs="宋体"/>
          <w:color w:val="auto"/>
          <w:highlight w:val="none"/>
        </w:rPr>
        <w:t>2.2投标文件的大写金额和小写金额不一致的，以大写金额为准；</w:t>
      </w:r>
    </w:p>
    <w:p w14:paraId="53646EE5">
      <w:pPr>
        <w:widowControl/>
        <w:spacing w:line="288" w:lineRule="auto"/>
        <w:ind w:firstLine="480"/>
        <w:rPr>
          <w:rFonts w:ascii="宋体" w:hAnsi="宋体" w:cs="宋体"/>
          <w:color w:val="auto"/>
          <w:highlight w:val="none"/>
        </w:rPr>
      </w:pPr>
      <w:r>
        <w:rPr>
          <w:rFonts w:hint="eastAsia" w:ascii="宋体" w:hAnsi="宋体" w:cs="宋体"/>
          <w:color w:val="auto"/>
          <w:highlight w:val="none"/>
        </w:rPr>
        <w:t>2.3单价金额小数点或百分比有明显错位的，以</w:t>
      </w:r>
      <w:r>
        <w:rPr>
          <w:rFonts w:hint="eastAsia" w:ascii="宋体" w:hAnsi="宋体" w:cs="宋体"/>
          <w:color w:val="auto"/>
          <w:highlight w:val="none"/>
          <w:lang w:eastAsia="zh-CN"/>
        </w:rPr>
        <w:t>开标一览表</w:t>
      </w:r>
      <w:r>
        <w:rPr>
          <w:rFonts w:hint="eastAsia" w:ascii="宋体" w:hAnsi="宋体" w:cs="宋体"/>
          <w:color w:val="auto"/>
          <w:highlight w:val="none"/>
        </w:rPr>
        <w:t>的总价为准，并修改单价；</w:t>
      </w:r>
    </w:p>
    <w:p w14:paraId="1B868212">
      <w:pPr>
        <w:widowControl/>
        <w:spacing w:line="288" w:lineRule="auto"/>
        <w:ind w:firstLine="480"/>
        <w:rPr>
          <w:rFonts w:ascii="宋体" w:hAnsi="宋体" w:cs="宋体"/>
          <w:color w:val="auto"/>
          <w:highlight w:val="none"/>
        </w:rPr>
      </w:pPr>
      <w:r>
        <w:rPr>
          <w:rFonts w:hint="eastAsia" w:ascii="宋体" w:hAnsi="宋体" w:cs="宋体"/>
          <w:color w:val="auto"/>
          <w:highlight w:val="none"/>
        </w:rPr>
        <w:t>2.4总价金额与按单价汇总金额不一致的，以单价金额计算结果为准；同时出现两种以上不一致的，按照前款规定的顺序修正，修正后的报价应经投标人书面确认，投标人不予确认的，其投标无效。</w:t>
      </w:r>
    </w:p>
    <w:p w14:paraId="2D9AAA01">
      <w:pPr>
        <w:widowControl/>
        <w:spacing w:line="288" w:lineRule="auto"/>
        <w:ind w:firstLine="480"/>
        <w:rPr>
          <w:rFonts w:ascii="宋体" w:hAnsi="宋体" w:cs="宋体"/>
          <w:color w:val="auto"/>
          <w:highlight w:val="none"/>
        </w:rPr>
      </w:pPr>
      <w:r>
        <w:rPr>
          <w:rFonts w:hint="eastAsia" w:ascii="宋体" w:hAnsi="宋体" w:cs="宋体"/>
          <w:color w:val="auto"/>
          <w:highlight w:val="none"/>
        </w:rPr>
        <w:t>2.5.对不同语言文本投标文件的解释发生异议的，以中文文本为准。</w:t>
      </w:r>
    </w:p>
    <w:p w14:paraId="0ADAAFC6">
      <w:pPr>
        <w:widowControl/>
        <w:spacing w:line="288" w:lineRule="auto"/>
        <w:ind w:firstLine="480"/>
        <w:rPr>
          <w:rFonts w:ascii="宋体" w:hAnsi="宋体" w:cs="宋体"/>
          <w:color w:val="auto"/>
          <w:highlight w:val="none"/>
        </w:rPr>
      </w:pPr>
      <w:r>
        <w:rPr>
          <w:rFonts w:hint="eastAsia" w:ascii="宋体" w:hAnsi="宋体" w:cs="宋体"/>
          <w:color w:val="auto"/>
          <w:highlight w:val="none"/>
        </w:rPr>
        <w:t>出现本条第2.3项规定情形，单价汇总金额比总价金额高，且超过最高限价的，其投标文件应作为无效投标处理；单价汇总金额比总价金额高，但未超过采购预算或者本项目最高限价的，应以单价汇总金额作为价格评分依据。</w:t>
      </w:r>
    </w:p>
    <w:p w14:paraId="2C6364B6">
      <w:pPr>
        <w:widowControl/>
        <w:spacing w:line="288" w:lineRule="auto"/>
        <w:ind w:firstLine="480"/>
        <w:rPr>
          <w:rFonts w:ascii="宋体" w:hAnsi="宋体" w:cs="宋体"/>
          <w:color w:val="auto"/>
          <w:highlight w:val="none"/>
        </w:rPr>
      </w:pPr>
      <w:r>
        <w:rPr>
          <w:rFonts w:hint="eastAsia" w:ascii="宋体" w:hAnsi="宋体" w:cs="宋体"/>
          <w:color w:val="auto"/>
          <w:highlight w:val="none"/>
        </w:rPr>
        <w:t>3.澄清说明答复函须由投标人</w:t>
      </w:r>
      <w:r>
        <w:rPr>
          <w:rFonts w:hint="eastAsia" w:ascii="宋体" w:hAnsi="宋体" w:cs="宋体"/>
          <w:color w:val="auto"/>
          <w:highlight w:val="none"/>
          <w:lang w:eastAsia="zh-CN"/>
        </w:rPr>
        <w:t>法定代表人（或负责人）</w:t>
      </w:r>
      <w:r>
        <w:rPr>
          <w:rFonts w:hint="eastAsia" w:ascii="宋体" w:hAnsi="宋体" w:cs="宋体"/>
          <w:color w:val="auto"/>
          <w:highlight w:val="none"/>
        </w:rPr>
        <w:t>或授权代理人签字和盖章。如果投标人不接受对其错误的更正，其投标将被拒绝。</w:t>
      </w:r>
    </w:p>
    <w:p w14:paraId="78C2CC13">
      <w:pPr>
        <w:widowControl/>
        <w:spacing w:line="288" w:lineRule="auto"/>
        <w:ind w:firstLine="480"/>
        <w:rPr>
          <w:rFonts w:ascii="宋体" w:hAnsi="宋体" w:cs="宋体"/>
          <w:color w:val="auto"/>
          <w:highlight w:val="none"/>
        </w:rPr>
      </w:pPr>
      <w:r>
        <w:rPr>
          <w:rFonts w:hint="eastAsia" w:ascii="宋体" w:hAnsi="宋体" w:cs="宋体"/>
          <w:color w:val="auto"/>
          <w:highlight w:val="none"/>
        </w:rPr>
        <w:t>4.请投标人在评审期间保持电话畅通，如未及时接听电话，视为放弃澄清、说明或补正的权利，视同默认采购结果，事后不得对采购相关人员、采购过程及结果提出异议。放弃澄清、说明或补正的责任由投标人自行负担。</w:t>
      </w:r>
    </w:p>
    <w:p w14:paraId="0A859190">
      <w:pPr>
        <w:widowControl/>
        <w:spacing w:line="288" w:lineRule="auto"/>
        <w:ind w:firstLine="482" w:firstLineChars="0"/>
        <w:jc w:val="left"/>
        <w:outlineLvl w:val="1"/>
        <w:rPr>
          <w:rFonts w:ascii="宋体" w:hAnsi="宋体" w:cs="宋体"/>
          <w:b/>
          <w:bCs/>
          <w:color w:val="auto"/>
          <w:highlight w:val="none"/>
        </w:rPr>
      </w:pPr>
      <w:bookmarkStart w:id="598" w:name="_Toc31374"/>
      <w:bookmarkStart w:id="599" w:name="_Toc24689"/>
      <w:bookmarkStart w:id="600" w:name="_Toc15675"/>
      <w:bookmarkStart w:id="601" w:name="_Toc3836"/>
      <w:bookmarkStart w:id="602" w:name="_Toc20944"/>
      <w:bookmarkStart w:id="603" w:name="_Toc31038"/>
      <w:bookmarkStart w:id="604" w:name="_Toc28123"/>
      <w:r>
        <w:rPr>
          <w:rFonts w:hint="eastAsia" w:ascii="宋体" w:hAnsi="宋体" w:cs="宋体"/>
          <w:b/>
          <w:bCs/>
          <w:color w:val="auto"/>
          <w:highlight w:val="none"/>
        </w:rPr>
        <w:t>八、推荐中标候选人</w:t>
      </w:r>
      <w:bookmarkEnd w:id="598"/>
      <w:bookmarkEnd w:id="599"/>
      <w:bookmarkEnd w:id="600"/>
      <w:bookmarkEnd w:id="601"/>
      <w:bookmarkEnd w:id="602"/>
      <w:bookmarkEnd w:id="603"/>
      <w:bookmarkEnd w:id="604"/>
    </w:p>
    <w:p w14:paraId="59E1FDE4">
      <w:pPr>
        <w:pStyle w:val="36"/>
        <w:numPr>
          <w:ilvl w:val="-1"/>
          <w:numId w:val="0"/>
        </w:numPr>
        <w:tabs>
          <w:tab w:val="left" w:pos="0"/>
          <w:tab w:val="left" w:pos="171"/>
        </w:tabs>
        <w:spacing w:line="312" w:lineRule="auto"/>
        <w:ind w:leftChars="0" w:firstLine="480" w:firstLineChars="200"/>
        <w:rPr>
          <w:rFonts w:hint="eastAsia" w:ascii="宋体" w:hAnsi="宋体" w:eastAsia="宋体" w:cs="宋体"/>
          <w:color w:val="auto"/>
          <w:highlight w:val="none"/>
          <w:lang w:bidi="ar"/>
        </w:rPr>
      </w:pPr>
      <w:bookmarkStart w:id="605" w:name="_Toc30774"/>
      <w:bookmarkStart w:id="606" w:name="_Toc27231"/>
      <w:bookmarkStart w:id="607" w:name="_Toc1659"/>
      <w:bookmarkStart w:id="608" w:name="_Toc29148"/>
      <w:r>
        <w:rPr>
          <w:rFonts w:hint="eastAsia" w:ascii="宋体" w:hAnsi="宋体" w:eastAsia="宋体" w:cs="宋体"/>
          <w:color w:val="auto"/>
          <w:highlight w:val="none"/>
          <w:lang w:bidi="ar"/>
        </w:rPr>
        <w:t>评标委员会依据</w:t>
      </w:r>
      <w:r>
        <w:rPr>
          <w:rFonts w:hint="eastAsia" w:ascii="宋体" w:hAnsi="宋体" w:cs="宋体"/>
          <w:color w:val="auto"/>
          <w:highlight w:val="none"/>
          <w:lang w:eastAsia="zh-CN" w:bidi="ar"/>
        </w:rPr>
        <w:t>法律法规</w:t>
      </w:r>
      <w:r>
        <w:rPr>
          <w:rFonts w:hint="eastAsia" w:ascii="宋体" w:hAnsi="宋体" w:eastAsia="宋体" w:cs="宋体"/>
          <w:color w:val="auto"/>
          <w:highlight w:val="none"/>
          <w:lang w:bidi="ar"/>
        </w:rPr>
        <w:t>及招标文件有关规定在有效标中按投标人的综合得分（即资信技术分与商务（价格）分之和）高低进行排序，综合</w:t>
      </w:r>
      <w:r>
        <w:rPr>
          <w:rFonts w:hint="eastAsia" w:ascii="宋体" w:hAnsi="宋体" w:cs="宋体"/>
          <w:color w:val="auto"/>
          <w:highlight w:val="none"/>
          <w:lang w:val="en-US" w:eastAsia="zh-CN" w:bidi="ar"/>
        </w:rPr>
        <w:t>得分第</w:t>
      </w:r>
      <w:r>
        <w:rPr>
          <w:rFonts w:hint="eastAsia" w:ascii="宋体" w:hAnsi="宋体" w:eastAsia="宋体" w:cs="宋体"/>
          <w:color w:val="auto"/>
          <w:highlight w:val="none"/>
          <w:lang w:bidi="ar"/>
        </w:rPr>
        <w:t>一名的投标人推荐为第一中标候选人（综合得分相同投标总报价低的排序第一；综合得分且投标总报价相同的，</w:t>
      </w:r>
      <w:r>
        <w:rPr>
          <w:rFonts w:hint="eastAsia" w:ascii="宋体" w:hAnsi="宋体" w:cs="宋体"/>
          <w:color w:val="auto"/>
          <w:highlight w:val="none"/>
          <w:lang w:val="en-US" w:eastAsia="zh-CN" w:bidi="ar"/>
        </w:rPr>
        <w:t>通过摇号</w:t>
      </w:r>
      <w:r>
        <w:rPr>
          <w:rFonts w:hint="eastAsia" w:ascii="宋体" w:hAnsi="宋体" w:eastAsia="宋体" w:cs="宋体"/>
          <w:color w:val="auto"/>
          <w:highlight w:val="none"/>
          <w:lang w:bidi="ar"/>
        </w:rPr>
        <w:t>决定中标候选人）。</w:t>
      </w:r>
    </w:p>
    <w:bookmarkEnd w:id="605"/>
    <w:bookmarkEnd w:id="606"/>
    <w:bookmarkEnd w:id="607"/>
    <w:bookmarkEnd w:id="608"/>
    <w:p w14:paraId="612BBB0C">
      <w:pPr>
        <w:widowControl/>
        <w:spacing w:line="288" w:lineRule="auto"/>
        <w:ind w:firstLine="482"/>
        <w:jc w:val="left"/>
        <w:outlineLvl w:val="1"/>
        <w:rPr>
          <w:rFonts w:ascii="宋体" w:hAnsi="宋体" w:cs="宋体"/>
          <w:b/>
          <w:bCs/>
          <w:color w:val="auto"/>
          <w:highlight w:val="none"/>
        </w:rPr>
      </w:pPr>
      <w:bookmarkStart w:id="609" w:name="_Toc21303"/>
      <w:bookmarkStart w:id="610" w:name="_Toc6952"/>
      <w:bookmarkStart w:id="611" w:name="_Toc28343"/>
      <w:bookmarkStart w:id="612" w:name="_Toc28577"/>
      <w:bookmarkStart w:id="613" w:name="_Toc31388"/>
      <w:bookmarkStart w:id="614" w:name="_Toc32121"/>
      <w:bookmarkStart w:id="615" w:name="_Toc8019"/>
      <w:bookmarkStart w:id="616" w:name="_Toc26554"/>
      <w:r>
        <w:rPr>
          <w:rFonts w:hint="eastAsia" w:ascii="宋体" w:hAnsi="宋体" w:cs="宋体"/>
          <w:b/>
          <w:bCs/>
          <w:color w:val="auto"/>
          <w:highlight w:val="none"/>
        </w:rPr>
        <w:t>九、评审报告</w:t>
      </w:r>
      <w:bookmarkEnd w:id="609"/>
      <w:bookmarkEnd w:id="610"/>
      <w:bookmarkEnd w:id="611"/>
      <w:bookmarkEnd w:id="612"/>
      <w:bookmarkEnd w:id="613"/>
      <w:bookmarkEnd w:id="614"/>
      <w:bookmarkEnd w:id="615"/>
      <w:bookmarkEnd w:id="616"/>
    </w:p>
    <w:p w14:paraId="47D27812">
      <w:pPr>
        <w:widowControl/>
        <w:spacing w:line="288" w:lineRule="auto"/>
        <w:ind w:firstLine="480" w:firstLineChars="0"/>
        <w:rPr>
          <w:rFonts w:ascii="宋体" w:hAnsi="宋体" w:cs="宋体"/>
          <w:color w:val="auto"/>
          <w:highlight w:val="none"/>
        </w:rPr>
      </w:pPr>
      <w:r>
        <w:rPr>
          <w:rFonts w:hint="eastAsia" w:ascii="宋体" w:hAnsi="宋体" w:cs="宋体"/>
          <w:color w:val="auto"/>
          <w:highlight w:val="none"/>
        </w:rPr>
        <w:t>评标委员会编写评标报告，并提出</w:t>
      </w:r>
      <w:r>
        <w:rPr>
          <w:rFonts w:hint="eastAsia" w:ascii="宋体" w:hAnsi="宋体" w:eastAsia="宋体" w:cs="宋体"/>
          <w:color w:val="auto"/>
          <w:highlight w:val="none"/>
          <w:lang w:bidi="ar"/>
        </w:rPr>
        <w:t>综合</w:t>
      </w:r>
      <w:r>
        <w:rPr>
          <w:rFonts w:hint="eastAsia" w:ascii="宋体" w:hAnsi="宋体" w:cs="宋体"/>
          <w:color w:val="auto"/>
          <w:highlight w:val="none"/>
        </w:rPr>
        <w:t>得分由高到低排序名单及理由，评标报告由评标委员会成员签字。</w:t>
      </w:r>
    </w:p>
    <w:p w14:paraId="46CC76C2">
      <w:pPr>
        <w:widowControl/>
        <w:spacing w:line="288" w:lineRule="auto"/>
        <w:ind w:firstLine="482"/>
        <w:outlineLvl w:val="1"/>
        <w:rPr>
          <w:rFonts w:ascii="宋体" w:hAnsi="宋体" w:cs="宋体"/>
          <w:color w:val="auto"/>
          <w:highlight w:val="none"/>
        </w:rPr>
      </w:pPr>
      <w:bookmarkStart w:id="617" w:name="_Toc10669"/>
      <w:bookmarkStart w:id="618" w:name="_Toc27030"/>
      <w:bookmarkStart w:id="619" w:name="_Toc26325"/>
      <w:bookmarkStart w:id="620" w:name="_Toc2725"/>
      <w:bookmarkStart w:id="621" w:name="_Toc29832"/>
      <w:bookmarkStart w:id="622" w:name="_Toc27897"/>
      <w:bookmarkStart w:id="623" w:name="_Toc23612"/>
      <w:bookmarkStart w:id="624" w:name="_Toc10667"/>
      <w:r>
        <w:rPr>
          <w:rFonts w:hint="eastAsia" w:ascii="宋体" w:hAnsi="宋体" w:cs="宋体"/>
          <w:b/>
          <w:bCs/>
          <w:color w:val="auto"/>
          <w:highlight w:val="none"/>
        </w:rPr>
        <w:t>十、评标细则及标准</w:t>
      </w:r>
      <w:bookmarkEnd w:id="617"/>
      <w:bookmarkEnd w:id="618"/>
      <w:bookmarkEnd w:id="619"/>
      <w:bookmarkEnd w:id="620"/>
      <w:bookmarkEnd w:id="621"/>
      <w:bookmarkEnd w:id="622"/>
      <w:bookmarkEnd w:id="623"/>
      <w:bookmarkEnd w:id="624"/>
    </w:p>
    <w:p w14:paraId="3FC1E192">
      <w:pPr>
        <w:widowControl/>
        <w:spacing w:line="288" w:lineRule="auto"/>
        <w:ind w:firstLine="480"/>
        <w:outlineLvl w:val="1"/>
        <w:rPr>
          <w:rFonts w:ascii="宋体" w:hAnsi="宋体" w:cs="宋体"/>
          <w:color w:val="auto"/>
          <w:highlight w:val="none"/>
        </w:rPr>
      </w:pPr>
      <w:bookmarkStart w:id="625" w:name="_Toc20443"/>
      <w:bookmarkStart w:id="626" w:name="_Toc27516"/>
      <w:bookmarkStart w:id="627" w:name="_Toc6098"/>
      <w:bookmarkStart w:id="628" w:name="_Toc25326"/>
      <w:bookmarkStart w:id="629" w:name="_Toc1914"/>
      <w:bookmarkStart w:id="630" w:name="_Toc18818"/>
      <w:bookmarkStart w:id="631" w:name="_Toc8212"/>
      <w:bookmarkStart w:id="632" w:name="_Toc22648"/>
      <w:r>
        <w:rPr>
          <w:rFonts w:hint="eastAsia" w:ascii="宋体" w:hAnsi="宋体" w:cs="宋体"/>
          <w:color w:val="auto"/>
          <w:highlight w:val="none"/>
        </w:rPr>
        <w:t>1.评标委员会成员根据本办法，对有效的投标文件进行商务、技术等方面评估，综合比较与评价，由各成员独立评分，打分时保留小数1位，每人一份评分表，并签名。在汇总得分时，如果发现某一单项评分超过评分细则规定的分值范围，则该份评分表无效。</w:t>
      </w:r>
      <w:bookmarkEnd w:id="625"/>
      <w:bookmarkEnd w:id="626"/>
      <w:bookmarkEnd w:id="627"/>
      <w:bookmarkEnd w:id="628"/>
      <w:bookmarkEnd w:id="629"/>
      <w:bookmarkEnd w:id="630"/>
      <w:bookmarkEnd w:id="631"/>
      <w:bookmarkEnd w:id="632"/>
    </w:p>
    <w:p w14:paraId="2A9B18AB">
      <w:pPr>
        <w:widowControl/>
        <w:spacing w:line="288" w:lineRule="auto"/>
        <w:ind w:left="0" w:right="120" w:firstLine="480" w:firstLineChars="200"/>
        <w:rPr>
          <w:rFonts w:ascii="宋体" w:hAnsi="宋体" w:cs="宋体"/>
          <w:color w:val="auto"/>
          <w:highlight w:val="none"/>
        </w:rPr>
      </w:pPr>
      <w:r>
        <w:rPr>
          <w:rFonts w:hint="eastAsia" w:ascii="宋体" w:hAnsi="宋体" w:cs="宋体"/>
          <w:color w:val="auto"/>
          <w:highlight w:val="none"/>
        </w:rPr>
        <w:t>2.加权汇总每项评分因素的得分，得出每个有效投标人的总分。投标人</w:t>
      </w:r>
      <w:r>
        <w:rPr>
          <w:rFonts w:hint="eastAsia" w:ascii="宋体" w:hAnsi="宋体" w:cs="宋体"/>
          <w:color w:val="auto"/>
          <w:highlight w:val="none"/>
          <w:lang w:val="en-US" w:eastAsia="zh-CN"/>
        </w:rPr>
        <w:t>资信技术</w:t>
      </w:r>
      <w:r>
        <w:rPr>
          <w:rFonts w:hint="eastAsia" w:ascii="宋体" w:hAnsi="宋体" w:cs="宋体"/>
          <w:color w:val="auto"/>
          <w:highlight w:val="none"/>
        </w:rPr>
        <w:t>部分最终得分为各成员的有效评分的算术平均值。计算时保留小数二位（第三位四舍五入）。</w:t>
      </w:r>
    </w:p>
    <w:p w14:paraId="783DF02F">
      <w:pPr>
        <w:widowControl/>
        <w:spacing w:line="288" w:lineRule="auto"/>
        <w:ind w:firstLine="480"/>
        <w:rPr>
          <w:rFonts w:ascii="宋体" w:hAnsi="宋体" w:cs="宋体"/>
          <w:color w:val="auto"/>
          <w:highlight w:val="none"/>
        </w:rPr>
      </w:pPr>
      <w:r>
        <w:rPr>
          <w:rFonts w:hint="eastAsia" w:ascii="宋体" w:hAnsi="宋体" w:cs="宋体"/>
          <w:color w:val="auto"/>
          <w:highlight w:val="none"/>
        </w:rPr>
        <w:t>3.综合评分明细表</w:t>
      </w:r>
    </w:p>
    <w:tbl>
      <w:tblPr>
        <w:tblStyle w:val="41"/>
        <w:tblW w:w="5566" w:type="pct"/>
        <w:jc w:val="center"/>
        <w:shd w:val="clear" w:color="auto" w:fill="auto"/>
        <w:tblLayout w:type="autofit"/>
        <w:tblCellMar>
          <w:top w:w="0" w:type="dxa"/>
          <w:left w:w="0" w:type="dxa"/>
          <w:bottom w:w="0" w:type="dxa"/>
          <w:right w:w="0" w:type="dxa"/>
        </w:tblCellMar>
      </w:tblPr>
      <w:tblGrid>
        <w:gridCol w:w="844"/>
        <w:gridCol w:w="1543"/>
        <w:gridCol w:w="7571"/>
        <w:gridCol w:w="918"/>
      </w:tblGrid>
      <w:tr w14:paraId="6A616FC6">
        <w:tblPrEx>
          <w:shd w:val="clear" w:color="auto" w:fill="auto"/>
        </w:tblPrEx>
        <w:trPr>
          <w:trHeight w:val="23" w:hRule="atLeast"/>
          <w:jc w:val="center"/>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1878353F">
            <w:pPr>
              <w:keepNext w:val="0"/>
              <w:keepLines w:val="0"/>
              <w:widowControl/>
              <w:suppressLineNumbers w:val="0"/>
              <w:spacing w:before="0" w:beforeAutospacing="0" w:after="0" w:afterAutospacing="0" w:line="360" w:lineRule="auto"/>
              <w:ind w:left="0" w:right="0" w:firstLine="0" w:firstLineChars="0"/>
              <w:jc w:val="center"/>
              <w:textAlignment w:val="center"/>
              <w:rPr>
                <w:rFonts w:hint="eastAsia" w:ascii="宋体" w:hAnsi="宋体" w:eastAsia="宋体" w:cs="宋体"/>
                <w:i w:val="0"/>
                <w:color w:val="auto"/>
                <w:sz w:val="22"/>
                <w:szCs w:val="22"/>
                <w:highlight w:val="none"/>
                <w:u w:val="none"/>
              </w:rPr>
            </w:pPr>
            <w:bookmarkStart w:id="633" w:name="_Toc31916"/>
            <w:bookmarkStart w:id="634" w:name="_Toc30484"/>
            <w:bookmarkStart w:id="635" w:name="_Toc359856829"/>
            <w:bookmarkStart w:id="636" w:name="_Toc6722"/>
            <w:bookmarkStart w:id="637" w:name="_Toc19830"/>
            <w:bookmarkStart w:id="638" w:name="_Toc11595"/>
            <w:bookmarkStart w:id="639" w:name="_Toc27410"/>
            <w:bookmarkStart w:id="640" w:name="_Toc8340"/>
            <w:bookmarkStart w:id="641" w:name="_Toc3215"/>
            <w:bookmarkStart w:id="642" w:name="_Toc10327"/>
            <w:bookmarkStart w:id="643" w:name="_Toc356371476"/>
            <w:bookmarkStart w:id="644" w:name="_Toc14256"/>
            <w:r>
              <w:rPr>
                <w:rFonts w:hint="eastAsia" w:ascii="宋体" w:hAnsi="宋体" w:eastAsia="宋体" w:cs="宋体"/>
                <w:i w:val="0"/>
                <w:color w:val="auto"/>
                <w:kern w:val="0"/>
                <w:sz w:val="22"/>
                <w:szCs w:val="22"/>
                <w:highlight w:val="none"/>
                <w:u w:val="none"/>
                <w:lang w:val="en-US" w:eastAsia="zh-CN" w:bidi="ar"/>
              </w:rPr>
              <w:t>序号</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7737DF9E">
            <w:pPr>
              <w:keepNext w:val="0"/>
              <w:keepLines w:val="0"/>
              <w:widowControl/>
              <w:suppressLineNumbers w:val="0"/>
              <w:spacing w:before="0" w:beforeAutospacing="0" w:after="0" w:afterAutospacing="0" w:line="360" w:lineRule="auto"/>
              <w:ind w:left="0" w:right="0" w:firstLine="0" w:firstLineChars="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评分项目</w:t>
            </w:r>
          </w:p>
        </w:tc>
        <w:tc>
          <w:tcPr>
            <w:tcW w:w="3480" w:type="pct"/>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7135A178">
            <w:pPr>
              <w:keepNext w:val="0"/>
              <w:keepLines w:val="0"/>
              <w:widowControl/>
              <w:suppressLineNumbers w:val="0"/>
              <w:spacing w:before="0" w:beforeAutospacing="0" w:after="0" w:afterAutospacing="0" w:line="360" w:lineRule="auto"/>
              <w:ind w:left="0" w:right="0" w:firstLine="0" w:firstLineChars="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评分细则</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6D47D44F">
            <w:pPr>
              <w:keepNext w:val="0"/>
              <w:keepLines w:val="0"/>
              <w:widowControl/>
              <w:suppressLineNumbers w:val="0"/>
              <w:spacing w:before="0" w:beforeAutospacing="0" w:after="0" w:afterAutospacing="0" w:line="360" w:lineRule="auto"/>
              <w:ind w:left="0" w:right="0" w:firstLine="0" w:firstLineChars="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分值</w:t>
            </w:r>
          </w:p>
        </w:tc>
      </w:tr>
      <w:tr w14:paraId="2E75BE68">
        <w:tblPrEx>
          <w:tblCellMar>
            <w:top w:w="0" w:type="dxa"/>
            <w:left w:w="0" w:type="dxa"/>
            <w:bottom w:w="0" w:type="dxa"/>
            <w:right w:w="0" w:type="dxa"/>
          </w:tblCellMar>
        </w:tblPrEx>
        <w:trPr>
          <w:trHeight w:val="23" w:hRule="atLeast"/>
          <w:jc w:val="center"/>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0AEDA6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5AD4FC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1"/>
              <w:rPr>
                <w:rFonts w:hint="eastAsia" w:ascii="宋体" w:hAnsi="宋体" w:eastAsia="宋体" w:cs="宋体"/>
                <w:color w:val="auto"/>
                <w:highlight w:val="none"/>
              </w:rPr>
            </w:pPr>
            <w:bookmarkStart w:id="645" w:name="_Toc988"/>
            <w:r>
              <w:rPr>
                <w:rFonts w:hint="eastAsia" w:ascii="宋体" w:hAnsi="宋体" w:eastAsia="宋体" w:cs="宋体"/>
                <w:color w:val="auto"/>
                <w:highlight w:val="none"/>
                <w:lang w:val="en-US" w:eastAsia="zh-CN"/>
              </w:rPr>
              <w:t>报价分</w:t>
            </w:r>
            <w:bookmarkEnd w:id="645"/>
          </w:p>
        </w:tc>
        <w:tc>
          <w:tcPr>
            <w:tcW w:w="3480" w:type="pct"/>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3A2DDB25">
            <w:pPr>
              <w:keepNext w:val="0"/>
              <w:keepLines w:val="0"/>
              <w:widowControl/>
              <w:suppressLineNumbers w:val="0"/>
              <w:spacing w:before="0" w:beforeAutospacing="0" w:after="0" w:afterAutospacing="0" w:line="240" w:lineRule="auto"/>
              <w:ind w:left="0" w:right="0" w:firstLine="0" w:firstLineChars="0"/>
              <w:jc w:val="left"/>
              <w:outlineLvl w:val="1"/>
              <w:rPr>
                <w:rFonts w:hint="eastAsia" w:ascii="宋体" w:hAnsi="宋体" w:eastAsia="宋体" w:cs="宋体"/>
                <w:color w:val="auto"/>
                <w:highlight w:val="none"/>
                <w:lang w:val="en-US" w:eastAsia="zh-CN"/>
              </w:rPr>
            </w:pPr>
            <w:bookmarkStart w:id="646" w:name="_Toc16944"/>
            <w:r>
              <w:rPr>
                <w:rFonts w:hint="eastAsia" w:ascii="宋体" w:hAnsi="宋体" w:eastAsia="宋体" w:cs="宋体"/>
                <w:color w:val="auto"/>
                <w:highlight w:val="none"/>
                <w:lang w:val="en-US" w:eastAsia="zh-CN"/>
              </w:rPr>
              <w:t>本次报价采用单价报价。本项目以有效报价的单价报价</w:t>
            </w:r>
            <w:r>
              <w:rPr>
                <w:rFonts w:hint="eastAsia" w:ascii="宋体" w:hAnsi="宋体" w:cs="宋体"/>
                <w:color w:val="auto"/>
                <w:highlight w:val="none"/>
                <w:lang w:val="en-US" w:eastAsia="zh-CN"/>
              </w:rPr>
              <w:t>合计的</w:t>
            </w:r>
            <w:r>
              <w:rPr>
                <w:rFonts w:hint="eastAsia" w:ascii="宋体" w:hAnsi="宋体" w:eastAsia="宋体" w:cs="宋体"/>
                <w:color w:val="auto"/>
                <w:highlight w:val="none"/>
                <w:lang w:val="en-US" w:eastAsia="zh-CN"/>
              </w:rPr>
              <w:t>最低报价为评标基准价，其价格分为满分。其他投标人的价格分按照下列公式计算：报价得分=（评标基准价/投标报价）×85%×100，报价金额超过</w:t>
            </w:r>
            <w:r>
              <w:rPr>
                <w:rFonts w:hint="eastAsia" w:ascii="宋体" w:hAnsi="宋体" w:cs="宋体"/>
                <w:color w:val="auto"/>
                <w:highlight w:val="none"/>
                <w:lang w:val="en-US" w:eastAsia="zh-CN"/>
              </w:rPr>
              <w:t>单价</w:t>
            </w:r>
            <w:r>
              <w:rPr>
                <w:rFonts w:hint="eastAsia" w:ascii="宋体" w:hAnsi="宋体" w:eastAsia="宋体" w:cs="宋体"/>
                <w:color w:val="auto"/>
                <w:highlight w:val="none"/>
                <w:lang w:val="en-US" w:eastAsia="zh-CN"/>
              </w:rPr>
              <w:t>最高限价的，为无效</w:t>
            </w:r>
            <w:r>
              <w:rPr>
                <w:rFonts w:hint="eastAsia" w:ascii="宋体" w:hAnsi="宋体" w:cs="宋体"/>
                <w:color w:val="auto"/>
                <w:highlight w:val="none"/>
                <w:lang w:val="en-US" w:eastAsia="zh-CN"/>
              </w:rPr>
              <w:t>报价</w:t>
            </w:r>
            <w:r>
              <w:rPr>
                <w:rFonts w:hint="eastAsia" w:ascii="宋体" w:hAnsi="宋体" w:eastAsia="宋体" w:cs="宋体"/>
                <w:color w:val="auto"/>
                <w:highlight w:val="none"/>
                <w:lang w:val="en-US" w:eastAsia="zh-CN"/>
              </w:rPr>
              <w:t>文件。</w:t>
            </w:r>
            <w:bookmarkEnd w:id="646"/>
          </w:p>
          <w:p w14:paraId="0C833283">
            <w:pPr>
              <w:keepNext w:val="0"/>
              <w:keepLines w:val="0"/>
              <w:widowControl/>
              <w:suppressLineNumbers w:val="0"/>
              <w:spacing w:before="0" w:beforeAutospacing="0" w:after="0" w:afterAutospacing="0" w:line="240" w:lineRule="auto"/>
              <w:ind w:left="0" w:right="0" w:firstLine="0" w:firstLineChars="0"/>
              <w:jc w:val="left"/>
              <w:outlineLvl w:val="1"/>
              <w:rPr>
                <w:rFonts w:hint="eastAsia" w:ascii="宋体" w:hAnsi="宋体" w:eastAsia="宋体" w:cs="宋体"/>
                <w:color w:val="auto"/>
                <w:kern w:val="2"/>
                <w:highlight w:val="none"/>
                <w:lang w:bidi="ar"/>
              </w:rPr>
            </w:pPr>
            <w:r>
              <w:rPr>
                <w:rFonts w:hint="eastAsia" w:ascii="宋体" w:hAnsi="宋体" w:eastAsia="宋体" w:cs="宋体"/>
                <w:color w:val="auto"/>
                <w:kern w:val="2"/>
                <w:highlight w:val="none"/>
                <w:lang w:bidi="ar"/>
              </w:rPr>
              <w:t>注：①参与评审的价格=投标报价×[1-小微企业扣除优惠值</w:t>
            </w:r>
            <w:r>
              <w:rPr>
                <w:rFonts w:hint="eastAsia" w:ascii="宋体" w:hAnsi="宋体" w:eastAsia="宋体" w:cs="宋体"/>
                <w:color w:val="auto"/>
                <w:kern w:val="2"/>
                <w:highlight w:val="none"/>
                <w:lang w:val="en-US" w:eastAsia="zh-CN" w:bidi="ar"/>
              </w:rPr>
              <w:t>1</w:t>
            </w:r>
            <w:r>
              <w:rPr>
                <w:rFonts w:hint="eastAsia" w:ascii="宋体" w:hAnsi="宋体" w:eastAsia="宋体" w:cs="宋体"/>
                <w:color w:val="auto"/>
                <w:kern w:val="2"/>
                <w:highlight w:val="none"/>
                <w:lang w:bidi="ar"/>
              </w:rPr>
              <w:t>0％（如有）]</w:t>
            </w:r>
          </w:p>
          <w:p w14:paraId="4038BBF6">
            <w:pPr>
              <w:keepNext w:val="0"/>
              <w:keepLines w:val="0"/>
              <w:widowControl/>
              <w:suppressLineNumbers w:val="0"/>
              <w:spacing w:before="0" w:beforeAutospacing="0" w:after="0" w:afterAutospacing="0" w:line="240" w:lineRule="auto"/>
              <w:ind w:left="0" w:right="0" w:firstLine="0" w:firstLineChars="0"/>
              <w:jc w:val="left"/>
              <w:outlineLvl w:val="1"/>
              <w:rPr>
                <w:rFonts w:hint="eastAsia" w:ascii="宋体" w:hAnsi="宋体" w:eastAsia="宋体" w:cs="宋体"/>
                <w:color w:val="auto"/>
                <w:highlight w:val="none"/>
                <w:lang w:val="en-US" w:eastAsia="zh-CN"/>
              </w:rPr>
            </w:pPr>
            <w:r>
              <w:rPr>
                <w:rFonts w:hint="eastAsia" w:ascii="宋体" w:hAnsi="宋体" w:eastAsia="宋体" w:cs="宋体"/>
                <w:color w:val="auto"/>
                <w:kern w:val="2"/>
                <w:highlight w:val="none"/>
                <w:lang w:bidi="ar"/>
              </w:rPr>
              <w:t>②若本项目所有</w:t>
            </w:r>
            <w:r>
              <w:rPr>
                <w:rFonts w:hint="eastAsia" w:ascii="宋体" w:hAnsi="宋体" w:cs="宋体"/>
                <w:color w:val="auto"/>
                <w:kern w:val="2"/>
                <w:highlight w:val="none"/>
                <w:lang w:eastAsia="zh-CN" w:bidi="ar"/>
              </w:rPr>
              <w:t>投标人</w:t>
            </w:r>
            <w:r>
              <w:rPr>
                <w:rFonts w:hint="eastAsia" w:ascii="宋体" w:hAnsi="宋体" w:eastAsia="宋体" w:cs="宋体"/>
                <w:color w:val="auto"/>
                <w:kern w:val="2"/>
                <w:highlight w:val="none"/>
                <w:lang w:bidi="ar"/>
              </w:rPr>
              <w:t>均属小型、微型企业或监狱企业或残疾人福利性单位的，按原报价进行评审。</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0F7D6C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1"/>
              <w:rPr>
                <w:rFonts w:hint="eastAsia" w:ascii="宋体" w:hAnsi="宋体" w:eastAsia="宋体" w:cs="宋体"/>
                <w:color w:val="auto"/>
                <w:highlight w:val="none"/>
                <w:lang w:val="en-US" w:eastAsia="zh-CN"/>
              </w:rPr>
            </w:pPr>
            <w:bookmarkStart w:id="647" w:name="_Toc5082"/>
            <w:r>
              <w:rPr>
                <w:rFonts w:hint="eastAsia" w:ascii="宋体" w:hAnsi="宋体" w:eastAsia="宋体" w:cs="宋体"/>
                <w:color w:val="auto"/>
                <w:highlight w:val="none"/>
                <w:lang w:val="en-US" w:eastAsia="zh-CN"/>
              </w:rPr>
              <w:t>0-</w:t>
            </w:r>
            <w:r>
              <w:rPr>
                <w:rFonts w:hint="eastAsia" w:ascii="宋体" w:hAnsi="宋体" w:cs="宋体"/>
                <w:color w:val="auto"/>
                <w:highlight w:val="none"/>
                <w:lang w:val="en-US" w:eastAsia="zh-CN"/>
              </w:rPr>
              <w:t>85</w:t>
            </w:r>
            <w:r>
              <w:rPr>
                <w:rFonts w:hint="eastAsia" w:ascii="宋体" w:hAnsi="宋体" w:eastAsia="宋体" w:cs="宋体"/>
                <w:color w:val="auto"/>
                <w:highlight w:val="none"/>
                <w:lang w:val="en-US" w:eastAsia="zh-CN"/>
              </w:rPr>
              <w:t>分</w:t>
            </w:r>
            <w:bookmarkEnd w:id="647"/>
          </w:p>
        </w:tc>
      </w:tr>
      <w:tr w14:paraId="3722FBCB">
        <w:tblPrEx>
          <w:tblCellMar>
            <w:top w:w="0" w:type="dxa"/>
            <w:left w:w="0" w:type="dxa"/>
            <w:bottom w:w="0" w:type="dxa"/>
            <w:right w:w="0" w:type="dxa"/>
          </w:tblCellMar>
        </w:tblPrEx>
        <w:trPr>
          <w:trHeight w:val="1996" w:hRule="atLeast"/>
          <w:jc w:val="center"/>
        </w:trPr>
        <w:tc>
          <w:tcPr>
            <w:tcW w:w="388" w:type="pct"/>
            <w:tcBorders>
              <w:top w:val="single" w:color="000000" w:sz="4" w:space="0"/>
              <w:left w:val="single" w:color="000000" w:sz="4" w:space="0"/>
              <w:right w:val="single" w:color="000000" w:sz="4" w:space="0"/>
            </w:tcBorders>
            <w:shd w:val="clear" w:color="auto" w:fill="auto"/>
            <w:noWrap w:val="0"/>
            <w:tcMar>
              <w:top w:w="12" w:type="dxa"/>
              <w:left w:w="12" w:type="dxa"/>
              <w:right w:w="12" w:type="dxa"/>
            </w:tcMar>
            <w:vAlign w:val="center"/>
          </w:tcPr>
          <w:p w14:paraId="641840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1"/>
              <w:rPr>
                <w:rFonts w:hint="default" w:ascii="宋体" w:hAnsi="宋体" w:eastAsia="宋体" w:cs="宋体"/>
                <w:color w:val="auto"/>
                <w:highlight w:val="none"/>
                <w:lang w:val="en-US" w:eastAsia="zh-CN"/>
              </w:rPr>
            </w:pPr>
          </w:p>
          <w:p w14:paraId="068C2E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1"/>
              <w:rPr>
                <w:rFonts w:hint="eastAsia" w:ascii="宋体" w:hAnsi="宋体" w:eastAsia="宋体" w:cs="宋体"/>
                <w:color w:val="auto"/>
                <w:highlight w:val="none"/>
                <w:lang w:val="en-US" w:eastAsia="zh-CN"/>
              </w:rPr>
            </w:pPr>
            <w:bookmarkStart w:id="648" w:name="_Toc18874"/>
            <w:r>
              <w:rPr>
                <w:rFonts w:hint="eastAsia" w:ascii="宋体" w:hAnsi="宋体" w:cs="宋体"/>
                <w:color w:val="auto"/>
                <w:highlight w:val="none"/>
                <w:lang w:val="en-US" w:eastAsia="zh-CN"/>
              </w:rPr>
              <w:t>2</w:t>
            </w:r>
            <w:bookmarkEnd w:id="648"/>
          </w:p>
        </w:tc>
        <w:tc>
          <w:tcPr>
            <w:tcW w:w="709" w:type="pct"/>
            <w:tcBorders>
              <w:top w:val="single" w:color="000000" w:sz="4" w:space="0"/>
              <w:left w:val="single" w:color="000000" w:sz="4" w:space="0"/>
              <w:right w:val="single" w:color="000000" w:sz="4" w:space="0"/>
            </w:tcBorders>
            <w:shd w:val="clear" w:color="auto" w:fill="auto"/>
            <w:noWrap w:val="0"/>
            <w:tcMar>
              <w:top w:w="12" w:type="dxa"/>
              <w:left w:w="12" w:type="dxa"/>
              <w:right w:w="12" w:type="dxa"/>
            </w:tcMar>
            <w:vAlign w:val="center"/>
          </w:tcPr>
          <w:p w14:paraId="66CC4AED">
            <w:pPr>
              <w:keepNext w:val="0"/>
              <w:keepLines w:val="0"/>
              <w:widowControl/>
              <w:suppressLineNumbers w:val="0"/>
              <w:autoSpaceDE/>
              <w:spacing w:before="0" w:beforeAutospacing="0" w:after="0" w:afterAutospacing="0" w:line="240" w:lineRule="auto"/>
              <w:ind w:left="0" w:right="0" w:firstLine="0" w:firstLineChars="0"/>
              <w:jc w:val="center"/>
              <w:outlineLvl w:val="1"/>
              <w:rPr>
                <w:rFonts w:hint="eastAsia" w:ascii="宋体" w:hAnsi="宋体" w:eastAsia="宋体" w:cs="宋体"/>
                <w:color w:val="auto"/>
                <w:highlight w:val="none"/>
                <w:lang w:val="en-US" w:eastAsia="zh-CN"/>
              </w:rPr>
            </w:pPr>
            <w:r>
              <w:rPr>
                <w:rFonts w:hint="eastAsia" w:ascii="宋体" w:hAnsi="宋体" w:eastAsia="宋体" w:cs="宋体"/>
                <w:color w:val="auto"/>
                <w:kern w:val="2"/>
                <w:highlight w:val="none"/>
              </w:rPr>
              <w:t>保养维修人员</w:t>
            </w:r>
          </w:p>
        </w:tc>
        <w:tc>
          <w:tcPr>
            <w:tcW w:w="3480" w:type="pct"/>
            <w:tcBorders>
              <w:top w:val="single" w:color="000000" w:sz="4" w:space="0"/>
              <w:left w:val="single" w:color="000000" w:sz="4" w:space="0"/>
              <w:right w:val="single" w:color="000000" w:sz="4" w:space="0"/>
            </w:tcBorders>
            <w:shd w:val="clear" w:color="auto" w:fill="auto"/>
            <w:noWrap w:val="0"/>
            <w:tcMar>
              <w:top w:w="12" w:type="dxa"/>
              <w:left w:w="12" w:type="dxa"/>
              <w:right w:w="12" w:type="dxa"/>
            </w:tcMar>
            <w:vAlign w:val="center"/>
          </w:tcPr>
          <w:p w14:paraId="1FAD513B">
            <w:pPr>
              <w:keepNext w:val="0"/>
              <w:keepLines w:val="0"/>
              <w:widowControl/>
              <w:suppressLineNumbers w:val="0"/>
              <w:autoSpaceDE/>
              <w:spacing w:before="0" w:beforeAutospacing="0" w:after="0" w:afterAutospacing="0" w:line="240" w:lineRule="auto"/>
              <w:ind w:left="0" w:right="0" w:firstLine="0" w:firstLineChars="0"/>
              <w:jc w:val="left"/>
              <w:outlineLvl w:val="1"/>
              <w:rPr>
                <w:rFonts w:hint="eastAsia" w:ascii="宋体" w:hAnsi="宋体" w:eastAsia="宋体" w:cs="宋体"/>
                <w:color w:val="auto"/>
                <w:kern w:val="2"/>
                <w:highlight w:val="none"/>
              </w:rPr>
            </w:pPr>
            <w:r>
              <w:rPr>
                <w:rFonts w:hint="eastAsia" w:ascii="宋体" w:hAnsi="宋体" w:cs="宋体"/>
                <w:strike w:val="0"/>
                <w:color w:val="auto"/>
                <w:kern w:val="2"/>
                <w:highlight w:val="none"/>
                <w:lang w:val="en-US" w:eastAsia="zh-CN"/>
              </w:rPr>
              <w:t>投标人拟投入</w:t>
            </w:r>
            <w:r>
              <w:rPr>
                <w:rFonts w:hint="eastAsia" w:ascii="宋体" w:hAnsi="宋体" w:eastAsia="宋体" w:cs="宋体"/>
                <w:color w:val="auto"/>
                <w:kern w:val="2"/>
                <w:highlight w:val="none"/>
              </w:rPr>
              <w:t>保养维修人员</w:t>
            </w:r>
            <w:r>
              <w:rPr>
                <w:rFonts w:hint="eastAsia" w:ascii="宋体" w:hAnsi="宋体" w:eastAsia="宋体" w:cs="宋体"/>
                <w:color w:val="auto"/>
                <w:kern w:val="2"/>
                <w:highlight w:val="none"/>
                <w:lang w:val="en-US" w:eastAsia="zh-CN"/>
              </w:rPr>
              <w:t>具</w:t>
            </w:r>
            <w:r>
              <w:rPr>
                <w:rFonts w:hint="eastAsia" w:ascii="宋体" w:hAnsi="宋体" w:eastAsia="宋体" w:cs="宋体"/>
                <w:color w:val="auto"/>
                <w:kern w:val="2"/>
                <w:highlight w:val="none"/>
              </w:rPr>
              <w:t>有技师（国家职业资格二级）或“汽车维修工（修理工）”证书的，每人得1分，最高得2分；保养维修人员从事保养维修行业2年及以上的，每人得0.5分，最高得1分。</w:t>
            </w:r>
          </w:p>
          <w:p w14:paraId="7E3070DC">
            <w:pPr>
              <w:keepNext w:val="0"/>
              <w:keepLines w:val="0"/>
              <w:widowControl/>
              <w:suppressLineNumbers w:val="0"/>
              <w:spacing w:before="0" w:beforeAutospacing="0" w:after="0" w:afterAutospacing="0" w:line="240" w:lineRule="auto"/>
              <w:ind w:left="0" w:right="0" w:firstLine="0" w:firstLineChars="0"/>
              <w:outlineLvl w:val="1"/>
              <w:rPr>
                <w:rFonts w:hint="eastAsia" w:ascii="宋体" w:hAnsi="宋体" w:eastAsia="宋体" w:cs="宋体"/>
                <w:color w:val="auto"/>
                <w:highlight w:val="none"/>
                <w:lang w:val="en-US" w:eastAsia="zh-CN"/>
              </w:rPr>
            </w:pPr>
            <w:r>
              <w:rPr>
                <w:rFonts w:hint="eastAsia" w:ascii="宋体" w:hAnsi="宋体" w:eastAsia="宋体" w:cs="宋体"/>
                <w:color w:val="auto"/>
                <w:kern w:val="2"/>
                <w:highlight w:val="none"/>
                <w:lang w:val="en-US" w:eastAsia="zh-CN"/>
              </w:rPr>
              <w:t>注：</w:t>
            </w:r>
            <w:r>
              <w:rPr>
                <w:rFonts w:hint="eastAsia" w:ascii="宋体" w:hAnsi="宋体" w:eastAsia="宋体" w:cs="宋体"/>
                <w:color w:val="auto"/>
                <w:sz w:val="24"/>
                <w:highlight w:val="none"/>
              </w:rPr>
              <w:t>需</w:t>
            </w:r>
            <w:r>
              <w:rPr>
                <w:rFonts w:hint="eastAsia" w:ascii="宋体" w:hAnsi="宋体" w:eastAsia="宋体" w:cs="宋体"/>
                <w:color w:val="auto"/>
                <w:kern w:val="2"/>
                <w:sz w:val="24"/>
                <w:highlight w:val="none"/>
              </w:rPr>
              <w:t>提供相关证书</w:t>
            </w:r>
            <w:r>
              <w:rPr>
                <w:rFonts w:hint="eastAsia" w:ascii="宋体" w:hAnsi="宋体" w:eastAsia="宋体" w:cs="宋体"/>
                <w:color w:val="auto"/>
                <w:kern w:val="2"/>
                <w:highlight w:val="none"/>
                <w:lang w:val="en-US" w:eastAsia="zh-CN"/>
              </w:rPr>
              <w:t>原件扫描件</w:t>
            </w:r>
            <w:r>
              <w:rPr>
                <w:rFonts w:hint="eastAsia" w:ascii="宋体" w:hAnsi="宋体" w:eastAsia="宋体" w:cs="宋体"/>
                <w:color w:val="auto"/>
                <w:kern w:val="2"/>
                <w:highlight w:val="none"/>
              </w:rPr>
              <w:t>，</w:t>
            </w:r>
            <w:r>
              <w:rPr>
                <w:rFonts w:hint="eastAsia" w:ascii="宋体" w:hAnsi="宋体" w:eastAsia="宋体" w:cs="宋体"/>
                <w:color w:val="auto"/>
                <w:kern w:val="2"/>
                <w:sz w:val="24"/>
                <w:highlight w:val="none"/>
              </w:rPr>
              <w:t>人员经验证明以劳动合同</w:t>
            </w:r>
            <w:r>
              <w:rPr>
                <w:rFonts w:hint="eastAsia" w:ascii="宋体" w:hAnsi="宋体" w:eastAsia="宋体" w:cs="宋体"/>
                <w:color w:val="auto"/>
                <w:kern w:val="2"/>
                <w:highlight w:val="none"/>
                <w:lang w:val="en-US" w:eastAsia="zh-CN"/>
              </w:rPr>
              <w:t>原件扫描件</w:t>
            </w:r>
            <w:r>
              <w:rPr>
                <w:rFonts w:hint="eastAsia" w:ascii="宋体" w:hAnsi="宋体" w:cs="宋体"/>
                <w:color w:val="auto"/>
                <w:kern w:val="2"/>
                <w:highlight w:val="none"/>
                <w:lang w:val="en-US" w:eastAsia="zh-CN"/>
              </w:rPr>
              <w:t>为准</w:t>
            </w:r>
            <w:r>
              <w:rPr>
                <w:rFonts w:hint="eastAsia" w:ascii="宋体" w:hAnsi="宋体" w:eastAsia="宋体" w:cs="宋体"/>
                <w:color w:val="auto"/>
                <w:kern w:val="2"/>
                <w:highlight w:val="none"/>
              </w:rPr>
              <w:t>，</w:t>
            </w:r>
            <w:r>
              <w:rPr>
                <w:rFonts w:hint="eastAsia" w:ascii="宋体" w:hAnsi="宋体" w:eastAsia="宋体" w:cs="宋体"/>
                <w:color w:val="auto"/>
                <w:kern w:val="2"/>
                <w:sz w:val="24"/>
                <w:highlight w:val="none"/>
              </w:rPr>
              <w:t>同时需提供人员在</w:t>
            </w:r>
            <w:r>
              <w:rPr>
                <w:rFonts w:hint="eastAsia" w:ascii="宋体" w:hAnsi="宋体" w:eastAsia="宋体" w:cs="宋体"/>
                <w:color w:val="auto"/>
                <w:kern w:val="2"/>
                <w:sz w:val="24"/>
                <w:highlight w:val="none"/>
                <w:lang w:val="en-US" w:eastAsia="zh-CN"/>
              </w:rPr>
              <w:t>本</w:t>
            </w:r>
            <w:r>
              <w:rPr>
                <w:rFonts w:hint="eastAsia" w:ascii="宋体" w:hAnsi="宋体" w:eastAsia="宋体" w:cs="宋体"/>
                <w:color w:val="auto"/>
                <w:kern w:val="2"/>
                <w:sz w:val="24"/>
                <w:highlight w:val="none"/>
              </w:rPr>
              <w:t>单位</w:t>
            </w:r>
            <w:r>
              <w:rPr>
                <w:rFonts w:hint="eastAsia" w:ascii="宋体" w:hAnsi="宋体" w:eastAsia="宋体" w:cs="宋体"/>
                <w:color w:val="auto"/>
                <w:kern w:val="2"/>
                <w:sz w:val="24"/>
                <w:highlight w:val="none"/>
                <w:lang w:val="en-US" w:eastAsia="zh-CN"/>
              </w:rPr>
              <w:t>投标截止时间前</w:t>
            </w:r>
            <w:r>
              <w:rPr>
                <w:rFonts w:hint="eastAsia" w:ascii="宋体" w:hAnsi="宋体" w:eastAsia="宋体" w:cs="宋体"/>
                <w:color w:val="auto"/>
                <w:kern w:val="2"/>
                <w:sz w:val="24"/>
                <w:highlight w:val="none"/>
              </w:rPr>
              <w:t>3</w:t>
            </w:r>
            <w:r>
              <w:rPr>
                <w:rFonts w:hint="eastAsia" w:ascii="宋体" w:hAnsi="宋体" w:eastAsia="宋体" w:cs="宋体"/>
                <w:color w:val="auto"/>
                <w:kern w:val="2"/>
                <w:sz w:val="24"/>
                <w:highlight w:val="none"/>
                <w:lang w:val="en-US" w:eastAsia="zh-CN"/>
              </w:rPr>
              <w:t>个</w:t>
            </w:r>
            <w:r>
              <w:rPr>
                <w:rFonts w:hint="eastAsia" w:ascii="宋体" w:hAnsi="宋体" w:eastAsia="宋体" w:cs="宋体"/>
                <w:color w:val="auto"/>
                <w:kern w:val="2"/>
                <w:sz w:val="24"/>
                <w:highlight w:val="none"/>
              </w:rPr>
              <w:t>月</w:t>
            </w:r>
            <w:r>
              <w:rPr>
                <w:rFonts w:hint="eastAsia" w:ascii="宋体" w:hAnsi="宋体" w:eastAsia="宋体" w:cs="宋体"/>
                <w:color w:val="auto"/>
                <w:kern w:val="2"/>
                <w:sz w:val="24"/>
                <w:highlight w:val="none"/>
                <w:lang w:val="en-US" w:eastAsia="zh-CN"/>
              </w:rPr>
              <w:t>的</w:t>
            </w:r>
            <w:r>
              <w:rPr>
                <w:rFonts w:hint="eastAsia" w:ascii="宋体" w:hAnsi="宋体" w:eastAsia="宋体" w:cs="宋体"/>
                <w:color w:val="auto"/>
                <w:kern w:val="2"/>
                <w:sz w:val="24"/>
                <w:highlight w:val="none"/>
              </w:rPr>
              <w:t>连续缴纳社保证明</w:t>
            </w:r>
            <w:r>
              <w:rPr>
                <w:rFonts w:hint="eastAsia" w:ascii="宋体" w:hAnsi="宋体" w:eastAsia="宋体" w:cs="宋体"/>
                <w:color w:val="auto"/>
                <w:kern w:val="2"/>
                <w:highlight w:val="none"/>
                <w:lang w:val="en-US" w:eastAsia="zh-CN"/>
              </w:rPr>
              <w:t>原件扫描件</w:t>
            </w:r>
            <w:r>
              <w:rPr>
                <w:rFonts w:hint="eastAsia" w:ascii="宋体" w:hAnsi="宋体" w:eastAsia="宋体" w:cs="宋体"/>
                <w:color w:val="auto"/>
                <w:kern w:val="2"/>
                <w:sz w:val="24"/>
                <w:highlight w:val="none"/>
              </w:rPr>
              <w:t>，否则不得分。</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3E8803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1"/>
              <w:rPr>
                <w:rFonts w:hint="eastAsia" w:ascii="宋体" w:hAnsi="宋体" w:eastAsia="宋体" w:cs="宋体"/>
                <w:strike/>
                <w:color w:val="auto"/>
                <w:highlight w:val="none"/>
                <w:lang w:val="en-US" w:eastAsia="zh-CN"/>
              </w:rPr>
            </w:pPr>
          </w:p>
          <w:p w14:paraId="01ADD4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1"/>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0-3分</w:t>
            </w:r>
          </w:p>
        </w:tc>
      </w:tr>
      <w:tr w14:paraId="0B0EC157">
        <w:tblPrEx>
          <w:tblCellMar>
            <w:top w:w="0" w:type="dxa"/>
            <w:left w:w="0" w:type="dxa"/>
            <w:bottom w:w="0" w:type="dxa"/>
            <w:right w:w="0" w:type="dxa"/>
          </w:tblCellMar>
        </w:tblPrEx>
        <w:trPr>
          <w:trHeight w:val="23" w:hRule="atLeast"/>
          <w:jc w:val="center"/>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114FC5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1"/>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3</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6BF49393">
            <w:pPr>
              <w:keepNext w:val="0"/>
              <w:keepLines w:val="0"/>
              <w:widowControl/>
              <w:suppressLineNumbers w:val="0"/>
              <w:autoSpaceDE/>
              <w:spacing w:before="0" w:beforeAutospacing="0" w:after="0" w:afterAutospacing="0" w:line="240" w:lineRule="auto"/>
              <w:ind w:left="0" w:right="0" w:firstLine="0" w:firstLineChars="0"/>
              <w:jc w:val="center"/>
              <w:outlineLvl w:val="1"/>
              <w:rPr>
                <w:rFonts w:hint="eastAsia" w:ascii="宋体" w:hAnsi="宋体" w:eastAsia="宋体" w:cs="宋体"/>
                <w:color w:val="auto"/>
                <w:highlight w:val="none"/>
                <w:lang w:val="en-US" w:eastAsia="zh-CN"/>
              </w:rPr>
            </w:pPr>
            <w:r>
              <w:rPr>
                <w:rFonts w:hint="eastAsia" w:ascii="宋体" w:hAnsi="宋体" w:cs="宋体"/>
                <w:color w:val="auto"/>
                <w:kern w:val="2"/>
                <w:highlight w:val="none"/>
                <w:lang w:val="en-US" w:eastAsia="zh-CN"/>
              </w:rPr>
              <w:t>维保实施</w:t>
            </w:r>
            <w:r>
              <w:rPr>
                <w:rFonts w:hint="eastAsia" w:ascii="宋体" w:hAnsi="宋体" w:eastAsia="宋体" w:cs="宋体"/>
                <w:color w:val="auto"/>
                <w:kern w:val="2"/>
                <w:highlight w:val="none"/>
              </w:rPr>
              <w:t>方案</w:t>
            </w:r>
          </w:p>
        </w:tc>
        <w:tc>
          <w:tcPr>
            <w:tcW w:w="3480" w:type="pct"/>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0B85BE9E">
            <w:pPr>
              <w:keepNext w:val="0"/>
              <w:keepLines w:val="0"/>
              <w:widowControl/>
              <w:suppressLineNumbers w:val="0"/>
              <w:autoSpaceDE/>
              <w:spacing w:before="0" w:beforeAutospacing="0" w:after="0" w:afterAutospacing="0" w:line="240" w:lineRule="auto"/>
              <w:ind w:left="0" w:right="0" w:firstLine="0" w:firstLineChars="0"/>
              <w:jc w:val="left"/>
              <w:outlineLvl w:val="1"/>
              <w:rPr>
                <w:rFonts w:hint="eastAsia" w:ascii="宋体" w:hAnsi="宋体" w:eastAsia="宋体" w:cs="宋体"/>
                <w:color w:val="auto"/>
                <w:highlight w:val="none"/>
                <w:lang w:val="en-US" w:eastAsia="zh-CN"/>
              </w:rPr>
            </w:pPr>
            <w:r>
              <w:rPr>
                <w:rFonts w:hint="eastAsia" w:ascii="宋体" w:hAnsi="宋体" w:eastAsia="宋体" w:cs="宋体"/>
                <w:color w:val="auto"/>
                <w:kern w:val="2"/>
                <w:highlight w:val="none"/>
              </w:rPr>
              <w:t>根据投标人提供的</w:t>
            </w:r>
            <w:r>
              <w:rPr>
                <w:rFonts w:hint="eastAsia" w:ascii="宋体" w:hAnsi="宋体" w:cs="宋体"/>
                <w:color w:val="auto"/>
                <w:kern w:val="2"/>
                <w:highlight w:val="none"/>
                <w:lang w:val="en-US" w:eastAsia="zh-CN"/>
              </w:rPr>
              <w:t>维保实施</w:t>
            </w:r>
            <w:r>
              <w:rPr>
                <w:rFonts w:hint="eastAsia" w:ascii="宋体" w:hAnsi="宋体" w:eastAsia="宋体" w:cs="宋体"/>
                <w:color w:val="auto"/>
                <w:kern w:val="2"/>
                <w:highlight w:val="none"/>
              </w:rPr>
              <w:t>方案介绍，分别从维修保养方案（大修、小修、保养），应急事故维修处理方案，配件采购方案，原厂配件承诺及完成时间等方面进行</w:t>
            </w:r>
            <w:r>
              <w:rPr>
                <w:rFonts w:hint="eastAsia" w:ascii="宋体" w:hAnsi="宋体" w:cs="宋体"/>
                <w:color w:val="auto"/>
                <w:kern w:val="2"/>
                <w:highlight w:val="none"/>
                <w:lang w:eastAsia="zh-CN"/>
              </w:rPr>
              <w:t>综合打分</w:t>
            </w:r>
            <w:r>
              <w:rPr>
                <w:rFonts w:hint="eastAsia" w:ascii="宋体" w:hAnsi="宋体" w:eastAsia="宋体" w:cs="宋体"/>
                <w:color w:val="auto"/>
                <w:kern w:val="2"/>
                <w:highlight w:val="none"/>
              </w:rPr>
              <w:t>，最高得3分。</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2BA417B1">
            <w:pPr>
              <w:keepNext w:val="0"/>
              <w:keepLines w:val="0"/>
              <w:widowControl/>
              <w:suppressLineNumbers w:val="0"/>
              <w:autoSpaceDE/>
              <w:spacing w:before="0" w:beforeAutospacing="0" w:after="0" w:afterAutospacing="0" w:line="240" w:lineRule="auto"/>
              <w:ind w:left="0" w:right="0" w:firstLine="0" w:firstLineChars="0"/>
              <w:jc w:val="center"/>
              <w:outlineLvl w:val="1"/>
              <w:rPr>
                <w:rFonts w:hint="eastAsia" w:ascii="宋体" w:hAnsi="宋体" w:eastAsia="宋体" w:cs="宋体"/>
                <w:color w:val="auto"/>
                <w:highlight w:val="none"/>
                <w:lang w:val="en-US" w:eastAsia="zh-CN"/>
              </w:rPr>
            </w:pPr>
            <w:r>
              <w:rPr>
                <w:rFonts w:hint="eastAsia" w:ascii="宋体" w:hAnsi="宋体" w:eastAsia="宋体" w:cs="宋体"/>
                <w:color w:val="auto"/>
                <w:kern w:val="2"/>
                <w:highlight w:val="none"/>
              </w:rPr>
              <w:t>0-3分</w:t>
            </w:r>
          </w:p>
        </w:tc>
      </w:tr>
      <w:tr w14:paraId="01948C53">
        <w:tblPrEx>
          <w:shd w:val="clear" w:color="auto" w:fill="auto"/>
          <w:tblCellMar>
            <w:top w:w="0" w:type="dxa"/>
            <w:left w:w="0" w:type="dxa"/>
            <w:bottom w:w="0" w:type="dxa"/>
            <w:right w:w="0" w:type="dxa"/>
          </w:tblCellMar>
        </w:tblPrEx>
        <w:trPr>
          <w:trHeight w:val="23" w:hRule="atLeast"/>
          <w:jc w:val="center"/>
        </w:trPr>
        <w:tc>
          <w:tcPr>
            <w:tcW w:w="388" w:type="pct"/>
            <w:vMerge w:val="restart"/>
            <w:tcBorders>
              <w:top w:val="single" w:color="000000" w:sz="4" w:space="0"/>
              <w:left w:val="single" w:color="000000" w:sz="4" w:space="0"/>
              <w:right w:val="single" w:color="000000" w:sz="4" w:space="0"/>
            </w:tcBorders>
            <w:shd w:val="clear" w:color="auto" w:fill="auto"/>
            <w:noWrap w:val="0"/>
            <w:tcMar>
              <w:top w:w="12" w:type="dxa"/>
              <w:left w:w="12" w:type="dxa"/>
              <w:right w:w="12" w:type="dxa"/>
            </w:tcMar>
            <w:vAlign w:val="center"/>
          </w:tcPr>
          <w:p w14:paraId="440A39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1"/>
              <w:rPr>
                <w:rFonts w:hint="eastAsia" w:ascii="宋体" w:hAnsi="宋体" w:cs="宋体"/>
                <w:color w:val="auto"/>
                <w:highlight w:val="none"/>
                <w:lang w:val="en-US" w:eastAsia="zh-CN"/>
              </w:rPr>
            </w:pPr>
            <w:bookmarkStart w:id="649" w:name="_Toc23348"/>
          </w:p>
          <w:p w14:paraId="103E84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1"/>
              <w:rPr>
                <w:rFonts w:hint="eastAsia" w:ascii="宋体" w:hAnsi="宋体" w:cs="宋体"/>
                <w:color w:val="auto"/>
                <w:highlight w:val="none"/>
                <w:lang w:val="en-US" w:eastAsia="zh-CN"/>
              </w:rPr>
            </w:pPr>
            <w:r>
              <w:rPr>
                <w:rFonts w:hint="eastAsia" w:ascii="宋体" w:hAnsi="宋体" w:cs="宋体"/>
                <w:color w:val="auto"/>
                <w:highlight w:val="none"/>
                <w:lang w:val="en-US" w:eastAsia="zh-CN"/>
              </w:rPr>
              <w:t>4</w:t>
            </w:r>
            <w:bookmarkEnd w:id="649"/>
          </w:p>
          <w:p w14:paraId="1903F0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1"/>
              <w:rPr>
                <w:rFonts w:hint="default" w:ascii="宋体" w:hAnsi="宋体" w:eastAsia="宋体" w:cs="宋体"/>
                <w:color w:val="auto"/>
                <w:highlight w:val="none"/>
                <w:lang w:val="en-US" w:eastAsia="zh-CN"/>
              </w:rPr>
            </w:pPr>
          </w:p>
          <w:p w14:paraId="4923E0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1"/>
              <w:rPr>
                <w:rFonts w:hint="eastAsia" w:ascii="宋体" w:hAnsi="宋体" w:cs="宋体"/>
                <w:color w:val="auto"/>
                <w:highlight w:val="none"/>
                <w:lang w:val="en-US" w:eastAsia="zh-CN"/>
              </w:rPr>
            </w:pPr>
          </w:p>
        </w:tc>
        <w:tc>
          <w:tcPr>
            <w:tcW w:w="709" w:type="pct"/>
            <w:vMerge w:val="restart"/>
            <w:tcBorders>
              <w:top w:val="single" w:color="000000" w:sz="4" w:space="0"/>
              <w:left w:val="single" w:color="000000" w:sz="4" w:space="0"/>
              <w:right w:val="single" w:color="000000" w:sz="4" w:space="0"/>
            </w:tcBorders>
            <w:shd w:val="clear" w:color="auto" w:fill="auto"/>
            <w:noWrap w:val="0"/>
            <w:tcMar>
              <w:top w:w="12" w:type="dxa"/>
              <w:left w:w="12" w:type="dxa"/>
              <w:right w:w="12" w:type="dxa"/>
            </w:tcMar>
            <w:vAlign w:val="center"/>
          </w:tcPr>
          <w:p w14:paraId="529639D5">
            <w:pPr>
              <w:keepNext w:val="0"/>
              <w:keepLines w:val="0"/>
              <w:widowControl/>
              <w:suppressLineNumbers w:val="0"/>
              <w:spacing w:before="0" w:beforeAutospacing="0" w:after="0" w:afterAutospacing="0" w:line="240" w:lineRule="auto"/>
              <w:ind w:left="0" w:right="0" w:firstLine="0" w:firstLineChars="0"/>
              <w:jc w:val="center"/>
              <w:outlineLvl w:val="1"/>
              <w:rPr>
                <w:rFonts w:hint="eastAsia" w:ascii="宋体" w:hAnsi="宋体" w:eastAsia="宋体" w:cs="宋体"/>
                <w:color w:val="auto"/>
                <w:highlight w:val="none"/>
                <w:lang w:val="en-US" w:eastAsia="zh-CN"/>
              </w:rPr>
            </w:pPr>
            <w:r>
              <w:rPr>
                <w:rFonts w:hint="eastAsia" w:ascii="宋体" w:hAnsi="宋体" w:eastAsia="宋体" w:cs="宋体"/>
                <w:color w:val="auto"/>
                <w:kern w:val="2"/>
                <w:highlight w:val="none"/>
                <w:lang w:val="en-US"/>
              </w:rPr>
              <w:t>售后服务</w:t>
            </w:r>
          </w:p>
        </w:tc>
        <w:tc>
          <w:tcPr>
            <w:tcW w:w="3480" w:type="pct"/>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39755234">
            <w:pPr>
              <w:keepNext w:val="0"/>
              <w:keepLines w:val="0"/>
              <w:widowControl/>
              <w:suppressLineNumbers w:val="0"/>
              <w:spacing w:before="0" w:beforeAutospacing="0" w:after="0" w:afterAutospacing="0" w:line="240" w:lineRule="auto"/>
              <w:ind w:left="0" w:right="0" w:firstLine="0" w:firstLineChars="0"/>
              <w:jc w:val="left"/>
              <w:outlineLvl w:val="1"/>
              <w:rPr>
                <w:rFonts w:hint="eastAsia" w:ascii="宋体" w:hAnsi="宋体" w:eastAsia="宋体" w:cs="宋体"/>
                <w:color w:val="auto"/>
                <w:highlight w:val="none"/>
                <w:lang w:val="en-US" w:eastAsia="zh-CN"/>
              </w:rPr>
            </w:pPr>
            <w:r>
              <w:rPr>
                <w:rFonts w:hint="eastAsia" w:ascii="宋体" w:hAnsi="宋体" w:eastAsia="宋体" w:cs="宋体"/>
                <w:color w:val="auto"/>
                <w:kern w:val="2"/>
                <w:highlight w:val="none"/>
              </w:rPr>
              <w:t>评标委员会根据投标人的售后服务方案（免费换货期限、保修范围、</w:t>
            </w:r>
            <w:r>
              <w:rPr>
                <w:rFonts w:hint="eastAsia" w:ascii="宋体" w:hAnsi="宋体" w:cs="宋体"/>
                <w:color w:val="auto"/>
                <w:kern w:val="2"/>
                <w:highlight w:val="none"/>
                <w:lang w:eastAsia="zh-CN"/>
              </w:rPr>
              <w:t>维保期</w:t>
            </w:r>
            <w:r>
              <w:rPr>
                <w:rFonts w:hint="eastAsia" w:ascii="宋体" w:hAnsi="宋体" w:eastAsia="宋体" w:cs="宋体"/>
                <w:color w:val="auto"/>
                <w:kern w:val="2"/>
                <w:highlight w:val="none"/>
              </w:rPr>
              <w:t>外服务承诺、</w:t>
            </w:r>
            <w:r>
              <w:rPr>
                <w:rFonts w:hint="eastAsia" w:ascii="宋体" w:hAnsi="宋体" w:cs="宋体"/>
                <w:color w:val="auto"/>
                <w:kern w:val="2"/>
                <w:highlight w:val="none"/>
                <w:lang w:eastAsia="zh-CN"/>
              </w:rPr>
              <w:t>维保期</w:t>
            </w:r>
            <w:r>
              <w:rPr>
                <w:rFonts w:hint="eastAsia" w:ascii="宋体" w:hAnsi="宋体" w:eastAsia="宋体" w:cs="宋体"/>
                <w:color w:val="auto"/>
                <w:kern w:val="2"/>
                <w:highlight w:val="none"/>
              </w:rPr>
              <w:t>满后维修服务费用等）</w:t>
            </w:r>
            <w:r>
              <w:rPr>
                <w:rFonts w:hint="eastAsia" w:ascii="宋体" w:hAnsi="宋体" w:cs="宋体"/>
                <w:color w:val="auto"/>
                <w:kern w:val="2"/>
                <w:highlight w:val="none"/>
                <w:lang w:eastAsia="zh-CN"/>
              </w:rPr>
              <w:t>综合打分</w:t>
            </w:r>
            <w:r>
              <w:rPr>
                <w:rFonts w:hint="eastAsia" w:ascii="宋体" w:hAnsi="宋体" w:eastAsia="宋体" w:cs="宋体"/>
                <w:color w:val="auto"/>
                <w:kern w:val="2"/>
                <w:highlight w:val="none"/>
              </w:rPr>
              <w:t>，最高得</w:t>
            </w:r>
            <w:r>
              <w:rPr>
                <w:rFonts w:hint="eastAsia" w:ascii="宋体" w:hAnsi="宋体" w:cs="宋体"/>
                <w:color w:val="auto"/>
                <w:kern w:val="2"/>
                <w:highlight w:val="none"/>
                <w:lang w:val="en-US" w:eastAsia="zh-CN"/>
              </w:rPr>
              <w:t>4</w:t>
            </w:r>
            <w:r>
              <w:rPr>
                <w:rFonts w:hint="eastAsia" w:ascii="宋体" w:hAnsi="宋体" w:eastAsia="宋体" w:cs="宋体"/>
                <w:color w:val="auto"/>
                <w:kern w:val="2"/>
                <w:highlight w:val="none"/>
              </w:rPr>
              <w:t>分。</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460900AD">
            <w:pPr>
              <w:keepNext w:val="0"/>
              <w:keepLines w:val="0"/>
              <w:widowControl/>
              <w:suppressLineNumbers w:val="0"/>
              <w:spacing w:before="0" w:beforeAutospacing="0" w:after="0" w:afterAutospacing="0" w:line="240" w:lineRule="auto"/>
              <w:ind w:left="0" w:right="0" w:firstLine="0" w:firstLineChars="0"/>
              <w:jc w:val="center"/>
              <w:outlineLvl w:val="1"/>
              <w:rPr>
                <w:rFonts w:hint="eastAsia" w:ascii="宋体" w:hAnsi="宋体" w:eastAsia="宋体" w:cs="宋体"/>
                <w:color w:val="auto"/>
                <w:highlight w:val="none"/>
                <w:lang w:val="en-US" w:eastAsia="zh-CN"/>
              </w:rPr>
            </w:pPr>
            <w:r>
              <w:rPr>
                <w:rFonts w:hint="eastAsia" w:ascii="宋体" w:hAnsi="宋体" w:eastAsia="宋体" w:cs="宋体"/>
                <w:color w:val="auto"/>
                <w:kern w:val="2"/>
                <w:highlight w:val="none"/>
              </w:rPr>
              <w:t>0-</w:t>
            </w:r>
            <w:r>
              <w:rPr>
                <w:rFonts w:hint="eastAsia" w:ascii="宋体" w:hAnsi="宋体" w:cs="宋体"/>
                <w:color w:val="auto"/>
                <w:kern w:val="2"/>
                <w:highlight w:val="none"/>
                <w:lang w:val="en-US" w:eastAsia="zh-CN"/>
              </w:rPr>
              <w:t>4</w:t>
            </w:r>
            <w:r>
              <w:rPr>
                <w:rFonts w:hint="eastAsia" w:ascii="宋体" w:hAnsi="宋体" w:eastAsia="宋体" w:cs="宋体"/>
                <w:color w:val="auto"/>
                <w:kern w:val="2"/>
                <w:highlight w:val="none"/>
              </w:rPr>
              <w:t>分</w:t>
            </w:r>
          </w:p>
        </w:tc>
      </w:tr>
      <w:tr w14:paraId="7371A6AD">
        <w:tblPrEx>
          <w:shd w:val="clear" w:color="auto" w:fill="auto"/>
          <w:tblCellMar>
            <w:top w:w="0" w:type="dxa"/>
            <w:left w:w="0" w:type="dxa"/>
            <w:bottom w:w="0" w:type="dxa"/>
            <w:right w:w="0" w:type="dxa"/>
          </w:tblCellMar>
        </w:tblPrEx>
        <w:trPr>
          <w:trHeight w:val="548" w:hRule="atLeast"/>
          <w:jc w:val="center"/>
        </w:trPr>
        <w:tc>
          <w:tcPr>
            <w:tcW w:w="388" w:type="pct"/>
            <w:vMerge w:val="continue"/>
            <w:tcBorders>
              <w:left w:val="single" w:color="000000" w:sz="4" w:space="0"/>
              <w:right w:val="single" w:color="000000" w:sz="4" w:space="0"/>
            </w:tcBorders>
            <w:shd w:val="clear" w:color="auto" w:fill="auto"/>
            <w:noWrap w:val="0"/>
            <w:tcMar>
              <w:top w:w="12" w:type="dxa"/>
              <w:left w:w="12" w:type="dxa"/>
              <w:right w:w="12" w:type="dxa"/>
            </w:tcMar>
            <w:vAlign w:val="center"/>
          </w:tcPr>
          <w:p w14:paraId="048E76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1"/>
              <w:rPr>
                <w:rFonts w:hint="default" w:ascii="宋体" w:hAnsi="宋体" w:eastAsia="宋体" w:cs="宋体"/>
                <w:color w:val="auto"/>
                <w:highlight w:val="none"/>
                <w:lang w:val="en-US" w:eastAsia="zh-CN"/>
              </w:rPr>
            </w:pPr>
          </w:p>
        </w:tc>
        <w:tc>
          <w:tcPr>
            <w:tcW w:w="709" w:type="pct"/>
            <w:vMerge w:val="continue"/>
            <w:tcBorders>
              <w:left w:val="single" w:color="000000" w:sz="4" w:space="0"/>
              <w:right w:val="single" w:color="000000" w:sz="4" w:space="0"/>
            </w:tcBorders>
            <w:shd w:val="clear" w:color="auto" w:fill="auto"/>
            <w:noWrap w:val="0"/>
            <w:tcMar>
              <w:top w:w="12" w:type="dxa"/>
              <w:left w:w="12" w:type="dxa"/>
              <w:right w:w="12" w:type="dxa"/>
            </w:tcMar>
            <w:vAlign w:val="center"/>
          </w:tcPr>
          <w:p w14:paraId="56D7AA31">
            <w:pPr>
              <w:keepNext w:val="0"/>
              <w:keepLines w:val="0"/>
              <w:widowControl/>
              <w:suppressLineNumbers w:val="0"/>
              <w:spacing w:before="0" w:beforeAutospacing="0" w:after="0" w:afterAutospacing="0" w:line="240" w:lineRule="auto"/>
              <w:ind w:left="0" w:right="0" w:firstLine="0" w:firstLineChars="0"/>
              <w:jc w:val="left"/>
              <w:outlineLvl w:val="1"/>
              <w:rPr>
                <w:rFonts w:hint="eastAsia" w:ascii="宋体" w:hAnsi="宋体" w:eastAsia="宋体" w:cs="宋体"/>
                <w:color w:val="auto"/>
                <w:highlight w:val="none"/>
                <w:lang w:val="en-US" w:eastAsia="zh-CN"/>
              </w:rPr>
            </w:pPr>
          </w:p>
        </w:tc>
        <w:tc>
          <w:tcPr>
            <w:tcW w:w="3480" w:type="pct"/>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5E852178">
            <w:pPr>
              <w:keepNext w:val="0"/>
              <w:keepLines w:val="0"/>
              <w:widowControl/>
              <w:suppressLineNumbers w:val="0"/>
              <w:spacing w:before="0" w:beforeAutospacing="0" w:after="0" w:afterAutospacing="0" w:line="240" w:lineRule="auto"/>
              <w:ind w:left="0" w:right="0" w:firstLine="0" w:firstLineChars="0"/>
              <w:jc w:val="left"/>
              <w:outlineLvl w:val="1"/>
              <w:rPr>
                <w:rFonts w:hint="eastAsia" w:ascii="宋体" w:hAnsi="宋体" w:cs="宋体"/>
                <w:color w:val="auto"/>
                <w:kern w:val="2"/>
                <w:highlight w:val="none"/>
                <w:lang w:eastAsia="zh-CN"/>
              </w:rPr>
            </w:pPr>
            <w:r>
              <w:rPr>
                <w:rFonts w:hint="eastAsia" w:ascii="宋体" w:hAnsi="宋体" w:cs="宋体"/>
                <w:color w:val="auto"/>
                <w:kern w:val="2"/>
                <w:highlight w:val="none"/>
                <w:lang w:eastAsia="zh-CN"/>
              </w:rPr>
              <w:t>维保期</w:t>
            </w:r>
            <w:r>
              <w:rPr>
                <w:rFonts w:hint="eastAsia" w:ascii="宋体" w:hAnsi="宋体" w:eastAsia="宋体" w:cs="宋体"/>
                <w:color w:val="auto"/>
                <w:kern w:val="2"/>
                <w:highlight w:val="none"/>
              </w:rPr>
              <w:t>：在满足招标文件基础上（维修过的项目，配件承诺</w:t>
            </w:r>
            <w:r>
              <w:rPr>
                <w:rFonts w:hint="eastAsia" w:ascii="宋体" w:hAnsi="宋体" w:cs="宋体"/>
                <w:color w:val="auto"/>
                <w:kern w:val="2"/>
                <w:highlight w:val="none"/>
                <w:lang w:eastAsia="zh-CN"/>
              </w:rPr>
              <w:t>维保期</w:t>
            </w:r>
            <w:r>
              <w:rPr>
                <w:rFonts w:hint="eastAsia" w:ascii="宋体" w:hAnsi="宋体" w:cs="宋体"/>
                <w:color w:val="auto"/>
                <w:kern w:val="2"/>
                <w:highlight w:val="none"/>
                <w:lang w:val="en-US" w:eastAsia="zh-CN"/>
              </w:rPr>
              <w:t>6个月</w:t>
            </w:r>
            <w:r>
              <w:rPr>
                <w:rFonts w:hint="eastAsia" w:ascii="宋体" w:hAnsi="宋体" w:eastAsia="宋体" w:cs="宋体"/>
                <w:color w:val="auto"/>
                <w:kern w:val="2"/>
                <w:highlight w:val="none"/>
              </w:rPr>
              <w:t>），延长3个月的得1.5分，延长6个月的得3分</w:t>
            </w:r>
            <w:r>
              <w:rPr>
                <w:rFonts w:hint="eastAsia" w:ascii="宋体" w:hAnsi="宋体" w:cs="宋体"/>
                <w:color w:val="auto"/>
                <w:kern w:val="2"/>
                <w:highlight w:val="none"/>
                <w:lang w:eastAsia="zh-CN"/>
              </w:rPr>
              <w:t>。</w:t>
            </w:r>
          </w:p>
          <w:p w14:paraId="19935D30">
            <w:pPr>
              <w:keepNext w:val="0"/>
              <w:keepLines w:val="0"/>
              <w:widowControl/>
              <w:suppressLineNumbers w:val="0"/>
              <w:spacing w:before="0" w:beforeAutospacing="0" w:after="0" w:afterAutospacing="0" w:line="240" w:lineRule="auto"/>
              <w:ind w:left="0" w:right="0" w:firstLine="0" w:firstLineChars="0"/>
              <w:jc w:val="left"/>
              <w:outlineLvl w:val="1"/>
              <w:rPr>
                <w:rFonts w:hint="eastAsia" w:ascii="宋体" w:hAnsi="宋体" w:cs="宋体"/>
                <w:color w:val="auto"/>
                <w:kern w:val="2"/>
                <w:highlight w:val="none"/>
                <w:lang w:val="en-US" w:eastAsia="zh-CN"/>
              </w:rPr>
            </w:pPr>
            <w:r>
              <w:rPr>
                <w:rFonts w:hint="eastAsia" w:ascii="宋体" w:hAnsi="宋体" w:eastAsia="宋体" w:cs="宋体"/>
                <w:color w:val="auto"/>
                <w:kern w:val="2"/>
                <w:highlight w:val="none"/>
                <w:lang w:val="en-US" w:eastAsia="zh-CN"/>
              </w:rPr>
              <w:t>注：</w:t>
            </w:r>
            <w:r>
              <w:rPr>
                <w:rFonts w:hint="eastAsia" w:ascii="宋体" w:hAnsi="宋体" w:eastAsia="宋体" w:cs="宋体"/>
                <w:color w:val="auto"/>
                <w:kern w:val="2"/>
                <w:highlight w:val="none"/>
              </w:rPr>
              <w:t>须提供</w:t>
            </w:r>
            <w:r>
              <w:rPr>
                <w:rFonts w:hint="eastAsia" w:ascii="宋体" w:hAnsi="宋体" w:cs="宋体"/>
                <w:color w:val="auto"/>
                <w:kern w:val="2"/>
                <w:highlight w:val="none"/>
                <w:lang w:val="en-US" w:eastAsia="zh-CN"/>
              </w:rPr>
              <w:t>维保期承诺函原件扫描件</w:t>
            </w:r>
            <w:r>
              <w:rPr>
                <w:rFonts w:hint="eastAsia" w:ascii="宋体" w:hAnsi="宋体" w:eastAsia="宋体" w:cs="宋体"/>
                <w:color w:val="auto"/>
                <w:kern w:val="2"/>
                <w:highlight w:val="none"/>
                <w:lang w:eastAsia="zh-CN"/>
              </w:rPr>
              <w:t>，</w:t>
            </w:r>
            <w:r>
              <w:rPr>
                <w:rFonts w:hint="eastAsia" w:ascii="宋体" w:hAnsi="宋体" w:eastAsia="宋体" w:cs="宋体"/>
                <w:color w:val="auto"/>
                <w:kern w:val="2"/>
                <w:highlight w:val="none"/>
                <w:lang w:val="en-US" w:eastAsia="zh-CN"/>
              </w:rPr>
              <w:t>否则不得分</w:t>
            </w:r>
            <w:r>
              <w:rPr>
                <w:rFonts w:hint="eastAsia" w:ascii="宋体" w:hAnsi="宋体" w:eastAsia="宋体" w:cs="宋体"/>
                <w:color w:val="auto"/>
                <w:kern w:val="2"/>
                <w:highlight w:val="none"/>
              </w:rPr>
              <w:t>。</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2FF64D93">
            <w:pPr>
              <w:keepNext w:val="0"/>
              <w:keepLines w:val="0"/>
              <w:widowControl/>
              <w:suppressLineNumbers w:val="0"/>
              <w:spacing w:before="0" w:beforeAutospacing="0" w:after="0" w:afterAutospacing="0" w:line="240" w:lineRule="auto"/>
              <w:ind w:left="0" w:right="0" w:firstLine="0" w:firstLineChars="0"/>
              <w:jc w:val="center"/>
              <w:outlineLvl w:val="1"/>
              <w:rPr>
                <w:rFonts w:hint="eastAsia" w:ascii="宋体" w:hAnsi="宋体" w:eastAsia="宋体" w:cs="宋体"/>
                <w:color w:val="auto"/>
                <w:highlight w:val="none"/>
                <w:lang w:val="en-US" w:eastAsia="zh-CN"/>
              </w:rPr>
            </w:pPr>
            <w:r>
              <w:rPr>
                <w:rFonts w:hint="eastAsia" w:ascii="宋体" w:hAnsi="宋体" w:eastAsia="宋体" w:cs="宋体"/>
                <w:color w:val="auto"/>
                <w:kern w:val="2"/>
                <w:highlight w:val="none"/>
              </w:rPr>
              <w:t>0-3分</w:t>
            </w:r>
          </w:p>
        </w:tc>
      </w:tr>
      <w:tr w14:paraId="4E91BF75">
        <w:tblPrEx>
          <w:shd w:val="clear" w:color="auto" w:fill="auto"/>
          <w:tblCellMar>
            <w:top w:w="0" w:type="dxa"/>
            <w:left w:w="0" w:type="dxa"/>
            <w:bottom w:w="0" w:type="dxa"/>
            <w:right w:w="0" w:type="dxa"/>
          </w:tblCellMar>
        </w:tblPrEx>
        <w:trPr>
          <w:trHeight w:val="548" w:hRule="atLeast"/>
          <w:jc w:val="center"/>
        </w:trPr>
        <w:tc>
          <w:tcPr>
            <w:tcW w:w="388" w:type="pct"/>
            <w:vMerge w:val="continue"/>
            <w:tcBorders>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1AA79B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1"/>
              <w:rPr>
                <w:rFonts w:hint="eastAsia" w:ascii="宋体" w:hAnsi="宋体" w:cs="宋体"/>
                <w:color w:val="auto"/>
                <w:highlight w:val="none"/>
                <w:lang w:val="en-US" w:eastAsia="zh-CN"/>
              </w:rPr>
            </w:pPr>
          </w:p>
        </w:tc>
        <w:tc>
          <w:tcPr>
            <w:tcW w:w="709" w:type="pct"/>
            <w:vMerge w:val="continue"/>
            <w:tcBorders>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70DD0CB3">
            <w:pPr>
              <w:keepNext w:val="0"/>
              <w:keepLines w:val="0"/>
              <w:widowControl/>
              <w:suppressLineNumbers w:val="0"/>
              <w:spacing w:before="0" w:beforeAutospacing="0" w:after="0" w:afterAutospacing="0" w:line="240" w:lineRule="auto"/>
              <w:ind w:left="0" w:right="0" w:firstLine="0" w:firstLineChars="0"/>
              <w:jc w:val="left"/>
              <w:outlineLvl w:val="1"/>
              <w:rPr>
                <w:rFonts w:hint="eastAsia" w:ascii="宋体" w:hAnsi="宋体" w:eastAsia="宋体" w:cs="宋体"/>
                <w:color w:val="auto"/>
                <w:highlight w:val="none"/>
                <w:lang w:val="en-US" w:eastAsia="zh-CN"/>
              </w:rPr>
            </w:pPr>
          </w:p>
        </w:tc>
        <w:tc>
          <w:tcPr>
            <w:tcW w:w="3480" w:type="pct"/>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787BC138">
            <w:pPr>
              <w:keepNext w:val="0"/>
              <w:keepLines w:val="0"/>
              <w:widowControl/>
              <w:numPr>
                <w:ilvl w:val="-1"/>
                <w:numId w:val="0"/>
              </w:numPr>
              <w:suppressLineNumbers w:val="0"/>
              <w:spacing w:before="0" w:beforeAutospacing="0" w:after="0" w:afterAutospacing="0" w:line="240" w:lineRule="auto"/>
              <w:ind w:left="0" w:right="0" w:firstLine="0" w:firstLineChars="0"/>
              <w:jc w:val="left"/>
              <w:outlineLvl w:val="1"/>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响应时间：投标人承诺在</w:t>
            </w:r>
            <w:r>
              <w:rPr>
                <w:rFonts w:hint="eastAsia" w:ascii="宋体" w:hAnsi="宋体" w:eastAsia="宋体" w:cs="宋体"/>
                <w:color w:val="auto"/>
                <w:highlight w:val="none"/>
              </w:rPr>
              <w:t>收到</w:t>
            </w:r>
            <w:r>
              <w:rPr>
                <w:rFonts w:hint="eastAsia" w:ascii="宋体" w:hAnsi="宋体" w:cs="宋体"/>
                <w:color w:val="auto"/>
                <w:highlight w:val="none"/>
                <w:lang w:val="en-US" w:eastAsia="zh-CN"/>
              </w:rPr>
              <w:t>采购人</w:t>
            </w:r>
            <w:r>
              <w:rPr>
                <w:rFonts w:hint="eastAsia" w:ascii="宋体" w:hAnsi="宋体" w:eastAsia="宋体" w:cs="宋体"/>
                <w:color w:val="auto"/>
                <w:highlight w:val="none"/>
              </w:rPr>
              <w:t>通知的</w:t>
            </w:r>
            <w:r>
              <w:rPr>
                <w:rFonts w:hint="eastAsia" w:ascii="宋体" w:hAnsi="宋体" w:eastAsia="宋体" w:cs="宋体"/>
                <w:color w:val="auto"/>
                <w:highlight w:val="none"/>
                <w:lang w:val="en-US" w:eastAsia="zh-CN"/>
              </w:rPr>
              <w:t>1小时内</w:t>
            </w:r>
            <w:r>
              <w:rPr>
                <w:rFonts w:hint="eastAsia" w:ascii="宋体" w:hAnsi="宋体" w:eastAsia="宋体" w:cs="宋体"/>
                <w:color w:val="auto"/>
                <w:highlight w:val="none"/>
              </w:rPr>
              <w:t>前往</w:t>
            </w:r>
            <w:r>
              <w:rPr>
                <w:rFonts w:hint="eastAsia" w:ascii="宋体" w:hAnsi="宋体" w:cs="宋体"/>
                <w:color w:val="auto"/>
                <w:highlight w:val="none"/>
                <w:lang w:val="en-US" w:eastAsia="zh-CN"/>
              </w:rPr>
              <w:t>采购人</w:t>
            </w:r>
            <w:r>
              <w:rPr>
                <w:rFonts w:hint="eastAsia" w:ascii="宋体" w:hAnsi="宋体" w:eastAsia="宋体" w:cs="宋体"/>
                <w:color w:val="auto"/>
                <w:highlight w:val="none"/>
              </w:rPr>
              <w:t>指定地点</w:t>
            </w:r>
            <w:r>
              <w:rPr>
                <w:rFonts w:hint="eastAsia" w:ascii="宋体" w:hAnsi="宋体" w:eastAsia="宋体" w:cs="宋体"/>
                <w:color w:val="auto"/>
                <w:highlight w:val="none"/>
                <w:lang w:val="en-US" w:eastAsia="zh-CN"/>
              </w:rPr>
              <w:t>的得2分，承诺在2小时内</w:t>
            </w:r>
            <w:r>
              <w:rPr>
                <w:rFonts w:hint="eastAsia" w:ascii="宋体" w:hAnsi="宋体" w:eastAsia="宋体" w:cs="宋体"/>
                <w:color w:val="auto"/>
                <w:highlight w:val="none"/>
              </w:rPr>
              <w:t>前往</w:t>
            </w:r>
            <w:r>
              <w:rPr>
                <w:rFonts w:hint="eastAsia" w:ascii="宋体" w:hAnsi="宋体" w:cs="宋体"/>
                <w:color w:val="auto"/>
                <w:highlight w:val="none"/>
                <w:lang w:val="en-US" w:eastAsia="zh-CN"/>
              </w:rPr>
              <w:t>采购人</w:t>
            </w:r>
            <w:r>
              <w:rPr>
                <w:rFonts w:hint="eastAsia" w:ascii="宋体" w:hAnsi="宋体" w:eastAsia="宋体" w:cs="宋体"/>
                <w:color w:val="auto"/>
                <w:highlight w:val="none"/>
              </w:rPr>
              <w:t>指定地点</w:t>
            </w:r>
            <w:r>
              <w:rPr>
                <w:rFonts w:hint="eastAsia" w:ascii="宋体" w:hAnsi="宋体" w:eastAsia="宋体" w:cs="宋体"/>
                <w:color w:val="auto"/>
                <w:highlight w:val="none"/>
                <w:lang w:val="en-US" w:eastAsia="zh-CN"/>
              </w:rPr>
              <w:t xml:space="preserve">的得1分，其他不得分。                         </w:t>
            </w:r>
          </w:p>
          <w:p w14:paraId="5CE193EB">
            <w:pPr>
              <w:keepNext w:val="0"/>
              <w:keepLines w:val="0"/>
              <w:widowControl/>
              <w:numPr>
                <w:ilvl w:val="-1"/>
                <w:numId w:val="0"/>
              </w:numPr>
              <w:suppressLineNumbers w:val="0"/>
              <w:spacing w:before="0" w:beforeAutospacing="0" w:after="0" w:afterAutospacing="0" w:line="240" w:lineRule="auto"/>
              <w:ind w:left="0" w:right="0" w:firstLine="0" w:firstLineChars="0"/>
              <w:jc w:val="left"/>
              <w:outlineLvl w:val="1"/>
              <w:rPr>
                <w:rFonts w:hint="eastAsia" w:ascii="宋体" w:hAnsi="宋体" w:eastAsia="宋体" w:cs="宋体"/>
                <w:color w:val="auto"/>
                <w:highlight w:val="none"/>
                <w:lang w:val="en-US" w:eastAsia="zh-CN"/>
              </w:rPr>
            </w:pPr>
            <w:r>
              <w:rPr>
                <w:rFonts w:hint="eastAsia" w:ascii="宋体" w:hAnsi="宋体" w:eastAsia="宋体" w:cs="宋体"/>
                <w:color w:val="auto"/>
                <w:kern w:val="2"/>
                <w:highlight w:val="none"/>
                <w:lang w:val="en-US" w:eastAsia="zh-CN"/>
              </w:rPr>
              <w:t>注：</w:t>
            </w:r>
            <w:r>
              <w:rPr>
                <w:rFonts w:hint="eastAsia" w:ascii="宋体" w:hAnsi="宋体" w:eastAsia="宋体" w:cs="宋体"/>
                <w:color w:val="auto"/>
                <w:kern w:val="2"/>
                <w:highlight w:val="none"/>
              </w:rPr>
              <w:t>须提供</w:t>
            </w:r>
            <w:r>
              <w:rPr>
                <w:rFonts w:hint="eastAsia" w:ascii="宋体" w:hAnsi="宋体" w:eastAsia="宋体" w:cs="宋体"/>
                <w:color w:val="auto"/>
                <w:kern w:val="2"/>
                <w:highlight w:val="none"/>
                <w:lang w:val="en-US" w:eastAsia="zh-CN"/>
              </w:rPr>
              <w:t>承诺函原件扫描件</w:t>
            </w:r>
            <w:r>
              <w:rPr>
                <w:rFonts w:hint="eastAsia" w:ascii="宋体" w:hAnsi="宋体" w:eastAsia="宋体" w:cs="宋体"/>
                <w:color w:val="auto"/>
                <w:kern w:val="2"/>
                <w:highlight w:val="none"/>
                <w:lang w:eastAsia="zh-CN"/>
              </w:rPr>
              <w:t>，</w:t>
            </w:r>
            <w:r>
              <w:rPr>
                <w:rFonts w:hint="eastAsia" w:ascii="宋体" w:hAnsi="宋体" w:eastAsia="宋体" w:cs="宋体"/>
                <w:color w:val="auto"/>
                <w:kern w:val="2"/>
                <w:highlight w:val="none"/>
                <w:lang w:val="en-US" w:eastAsia="zh-CN"/>
              </w:rPr>
              <w:t>否则不得分</w:t>
            </w:r>
            <w:r>
              <w:rPr>
                <w:rFonts w:hint="eastAsia" w:ascii="宋体" w:hAnsi="宋体" w:eastAsia="宋体" w:cs="宋体"/>
                <w:color w:val="auto"/>
                <w:kern w:val="2"/>
                <w:highlight w:val="none"/>
              </w:rPr>
              <w:t>。</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03E08116">
            <w:pPr>
              <w:keepNext w:val="0"/>
              <w:keepLines w:val="0"/>
              <w:widowControl/>
              <w:suppressLineNumbers w:val="0"/>
              <w:spacing w:before="0" w:beforeAutospacing="0" w:after="0" w:afterAutospacing="0" w:line="240" w:lineRule="auto"/>
              <w:ind w:left="0" w:right="0" w:firstLine="0" w:firstLineChars="0"/>
              <w:jc w:val="center"/>
              <w:outlineLvl w:val="1"/>
              <w:rPr>
                <w:rFonts w:hint="eastAsia" w:ascii="宋体" w:hAnsi="宋体" w:eastAsia="宋体" w:cs="宋体"/>
                <w:color w:val="auto"/>
                <w:highlight w:val="none"/>
                <w:lang w:val="en-US" w:eastAsia="zh-CN"/>
              </w:rPr>
            </w:pPr>
            <w:r>
              <w:rPr>
                <w:rFonts w:hint="eastAsia" w:ascii="宋体" w:hAnsi="宋体" w:eastAsia="宋体" w:cs="宋体"/>
                <w:color w:val="auto"/>
                <w:kern w:val="2"/>
                <w:highlight w:val="none"/>
              </w:rPr>
              <w:t>0-</w:t>
            </w:r>
            <w:r>
              <w:rPr>
                <w:rFonts w:hint="eastAsia" w:ascii="宋体" w:hAnsi="宋体" w:cs="宋体"/>
                <w:color w:val="auto"/>
                <w:kern w:val="2"/>
                <w:highlight w:val="none"/>
                <w:lang w:val="en-US" w:eastAsia="zh-CN"/>
              </w:rPr>
              <w:t>2</w:t>
            </w:r>
            <w:r>
              <w:rPr>
                <w:rFonts w:hint="eastAsia" w:ascii="宋体" w:hAnsi="宋体" w:eastAsia="宋体" w:cs="宋体"/>
                <w:color w:val="auto"/>
                <w:kern w:val="2"/>
                <w:highlight w:val="none"/>
              </w:rPr>
              <w:t>分</w:t>
            </w:r>
          </w:p>
        </w:tc>
      </w:tr>
      <w:tr w14:paraId="777FF8D1">
        <w:tblPrEx>
          <w:tblCellMar>
            <w:top w:w="0" w:type="dxa"/>
            <w:left w:w="0" w:type="dxa"/>
            <w:bottom w:w="0" w:type="dxa"/>
            <w:right w:w="0" w:type="dxa"/>
          </w:tblCellMar>
        </w:tblPrEx>
        <w:trPr>
          <w:trHeight w:val="534" w:hRule="atLeast"/>
          <w:jc w:val="center"/>
        </w:trPr>
        <w:tc>
          <w:tcPr>
            <w:tcW w:w="4577" w:type="pct"/>
            <w:gridSpan w:val="3"/>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5BF304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1"/>
              <w:rPr>
                <w:rFonts w:hint="eastAsia" w:ascii="宋体" w:hAnsi="宋体" w:eastAsia="宋体" w:cs="宋体"/>
                <w:color w:val="auto"/>
                <w:highlight w:val="none"/>
                <w:lang w:val="en-US" w:eastAsia="zh-CN"/>
              </w:rPr>
            </w:pPr>
            <w:bookmarkStart w:id="650" w:name="_Toc21652"/>
            <w:r>
              <w:rPr>
                <w:rFonts w:hint="eastAsia" w:ascii="宋体" w:hAnsi="宋体" w:eastAsia="宋体" w:cs="宋体"/>
                <w:color w:val="auto"/>
                <w:highlight w:val="none"/>
                <w:lang w:val="en-US" w:eastAsia="zh-CN"/>
              </w:rPr>
              <w:t>合计</w:t>
            </w:r>
            <w:bookmarkEnd w:id="650"/>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340242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1"/>
              <w:rPr>
                <w:rFonts w:hint="eastAsia" w:ascii="宋体" w:hAnsi="宋体" w:eastAsia="宋体" w:cs="宋体"/>
                <w:color w:val="auto"/>
                <w:highlight w:val="none"/>
                <w:lang w:val="en-US" w:eastAsia="zh-CN"/>
              </w:rPr>
            </w:pPr>
            <w:bookmarkStart w:id="651" w:name="_Toc25490"/>
            <w:r>
              <w:rPr>
                <w:rFonts w:hint="eastAsia" w:ascii="宋体" w:hAnsi="宋体" w:eastAsia="宋体" w:cs="宋体"/>
                <w:color w:val="auto"/>
                <w:highlight w:val="none"/>
                <w:lang w:val="en-US" w:eastAsia="zh-CN"/>
              </w:rPr>
              <w:t>100分</w:t>
            </w:r>
            <w:bookmarkEnd w:id="651"/>
          </w:p>
        </w:tc>
      </w:tr>
      <w:bookmarkEnd w:id="451"/>
      <w:bookmarkEnd w:id="452"/>
      <w:bookmarkEnd w:id="453"/>
      <w:bookmarkEnd w:id="454"/>
      <w:bookmarkEnd w:id="455"/>
      <w:bookmarkEnd w:id="456"/>
      <w:bookmarkEnd w:id="457"/>
      <w:bookmarkEnd w:id="458"/>
      <w:bookmarkEnd w:id="459"/>
      <w:bookmarkEnd w:id="460"/>
      <w:bookmarkEnd w:id="461"/>
      <w:bookmarkEnd w:id="462"/>
      <w:bookmarkEnd w:id="463"/>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633"/>
      <w:bookmarkEnd w:id="634"/>
      <w:bookmarkEnd w:id="635"/>
      <w:bookmarkEnd w:id="636"/>
      <w:bookmarkEnd w:id="637"/>
      <w:bookmarkEnd w:id="638"/>
      <w:bookmarkEnd w:id="639"/>
      <w:bookmarkEnd w:id="640"/>
      <w:bookmarkEnd w:id="641"/>
      <w:bookmarkEnd w:id="642"/>
      <w:bookmarkEnd w:id="643"/>
      <w:bookmarkEnd w:id="644"/>
    </w:tbl>
    <w:p w14:paraId="36A764AA">
      <w:pPr>
        <w:widowControl/>
        <w:spacing w:line="288" w:lineRule="auto"/>
        <w:ind w:firstLine="482"/>
        <w:outlineLvl w:val="1"/>
        <w:rPr>
          <w:rFonts w:ascii="宋体" w:hAnsi="宋体" w:cs="宋体"/>
          <w:b/>
          <w:bCs/>
          <w:color w:val="auto"/>
          <w:highlight w:val="none"/>
        </w:rPr>
      </w:pPr>
      <w:bookmarkStart w:id="652" w:name="_Toc15014"/>
      <w:bookmarkStart w:id="653" w:name="_Toc18665"/>
      <w:bookmarkStart w:id="654" w:name="_Toc20090"/>
      <w:bookmarkStart w:id="655" w:name="_Toc18589"/>
      <w:bookmarkStart w:id="656" w:name="_Toc13063"/>
      <w:bookmarkStart w:id="657" w:name="_Toc21063"/>
      <w:bookmarkStart w:id="658" w:name="_Toc5433"/>
      <w:bookmarkStart w:id="659" w:name="_Toc7613"/>
      <w:bookmarkStart w:id="660" w:name="_Toc29206"/>
      <w:bookmarkStart w:id="661" w:name="_Toc23988"/>
      <w:bookmarkStart w:id="662" w:name="_Toc9996"/>
      <w:bookmarkStart w:id="663" w:name="_Toc29819"/>
      <w:bookmarkStart w:id="664" w:name="_Toc12891"/>
      <w:bookmarkStart w:id="665" w:name="_Toc19280"/>
      <w:bookmarkStart w:id="666" w:name="_Toc28717"/>
      <w:bookmarkStart w:id="667" w:name="_Toc29904"/>
      <w:bookmarkStart w:id="668" w:name="_Toc7339"/>
      <w:bookmarkStart w:id="669" w:name="_Toc19763"/>
      <w:bookmarkStart w:id="670" w:name="_Toc29100"/>
      <w:bookmarkStart w:id="671" w:name="_Toc29008"/>
      <w:bookmarkStart w:id="672" w:name="_Toc20999"/>
      <w:bookmarkStart w:id="673" w:name="_Toc4505"/>
      <w:bookmarkStart w:id="674" w:name="_Toc2114"/>
      <w:bookmarkStart w:id="675" w:name="_Toc3721"/>
      <w:bookmarkStart w:id="676" w:name="_Toc19057"/>
      <w:bookmarkStart w:id="677" w:name="_Toc2522"/>
      <w:bookmarkStart w:id="678" w:name="_Toc23598"/>
      <w:bookmarkStart w:id="679" w:name="_Toc11297"/>
      <w:bookmarkStart w:id="680" w:name="_Toc24157"/>
      <w:bookmarkStart w:id="681" w:name="_Toc9400"/>
      <w:bookmarkStart w:id="682" w:name="_Toc16468"/>
      <w:bookmarkStart w:id="683" w:name="_Toc22478"/>
      <w:bookmarkStart w:id="684" w:name="_Toc18889"/>
      <w:bookmarkStart w:id="685" w:name="_Toc1170"/>
      <w:bookmarkStart w:id="686" w:name="_Toc16940"/>
      <w:bookmarkStart w:id="687" w:name="_Toc30669"/>
      <w:bookmarkStart w:id="688" w:name="_Toc21134"/>
      <w:bookmarkStart w:id="689" w:name="_Toc32294"/>
      <w:bookmarkStart w:id="690" w:name="_Toc1518"/>
      <w:bookmarkStart w:id="691" w:name="_Toc2034"/>
      <w:bookmarkStart w:id="692" w:name="_Toc23144"/>
      <w:bookmarkStart w:id="693" w:name="_Toc23997"/>
      <w:bookmarkStart w:id="694" w:name="_Toc12295"/>
      <w:bookmarkStart w:id="695" w:name="_Toc31129"/>
      <w:bookmarkStart w:id="696" w:name="_Toc347443768"/>
      <w:bookmarkStart w:id="697" w:name="_Toc391298964"/>
      <w:r>
        <w:rPr>
          <w:rFonts w:hint="eastAsia" w:ascii="宋体" w:hAnsi="宋体" w:cs="宋体"/>
          <w:b/>
          <w:bCs/>
          <w:color w:val="auto"/>
          <w:highlight w:val="none"/>
        </w:rPr>
        <w:t>十一、投标人不得有下列情形</w:t>
      </w:r>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p>
    <w:p w14:paraId="4C13808B">
      <w:pPr>
        <w:widowControl/>
        <w:spacing w:line="288" w:lineRule="auto"/>
        <w:ind w:firstLine="480"/>
        <w:rPr>
          <w:rFonts w:ascii="宋体" w:hAnsi="宋体" w:cs="宋体"/>
          <w:color w:val="auto"/>
          <w:highlight w:val="none"/>
        </w:rPr>
      </w:pPr>
      <w:r>
        <w:rPr>
          <w:rFonts w:hint="eastAsia" w:ascii="宋体" w:hAnsi="宋体" w:cs="宋体"/>
          <w:color w:val="auto"/>
          <w:highlight w:val="none"/>
        </w:rPr>
        <w:t>投标人有下列情形之一的，处以采购项目中标金额千分之五以上千分之十以下的罚款，列入不良行为记录名单，在一至三年内禁止参加采购活动，并予以公告，有违法所得的，并处没收违法所得,情节严重的，由工商行政管理机关吊销营业执照，构成犯罪的，依法追究刑事责任。同时将取消中标资格或者认定中标无效。</w:t>
      </w:r>
    </w:p>
    <w:p w14:paraId="13EA1AC2">
      <w:pPr>
        <w:widowControl/>
        <w:spacing w:line="288" w:lineRule="auto"/>
        <w:ind w:firstLine="480"/>
        <w:rPr>
          <w:rFonts w:ascii="宋体" w:hAnsi="宋体" w:cs="宋体"/>
          <w:color w:val="auto"/>
          <w:highlight w:val="none"/>
        </w:rPr>
      </w:pPr>
      <w:r>
        <w:rPr>
          <w:rFonts w:hint="eastAsia" w:ascii="宋体" w:hAnsi="宋体" w:cs="宋体"/>
          <w:color w:val="auto"/>
          <w:highlight w:val="none"/>
        </w:rPr>
        <w:t>1.提供虚假材料谋取中标；</w:t>
      </w:r>
    </w:p>
    <w:p w14:paraId="3E7B384E">
      <w:pPr>
        <w:widowControl/>
        <w:spacing w:line="288" w:lineRule="auto"/>
        <w:ind w:firstLine="480"/>
        <w:rPr>
          <w:rFonts w:ascii="宋体" w:hAnsi="宋体" w:cs="宋体"/>
          <w:color w:val="auto"/>
          <w:highlight w:val="none"/>
        </w:rPr>
      </w:pPr>
      <w:r>
        <w:rPr>
          <w:rFonts w:hint="eastAsia" w:ascii="宋体" w:hAnsi="宋体" w:cs="宋体"/>
          <w:color w:val="auto"/>
          <w:highlight w:val="none"/>
        </w:rPr>
        <w:t>2.采取不正当手段诋毁、排挤其他投标人；</w:t>
      </w:r>
    </w:p>
    <w:p w14:paraId="19FFDFDE">
      <w:pPr>
        <w:widowControl/>
        <w:spacing w:line="288" w:lineRule="auto"/>
        <w:ind w:firstLine="480"/>
        <w:rPr>
          <w:rFonts w:ascii="宋体" w:hAnsi="宋体" w:cs="宋体"/>
          <w:color w:val="auto"/>
          <w:highlight w:val="none"/>
        </w:rPr>
      </w:pPr>
      <w:r>
        <w:rPr>
          <w:rFonts w:hint="eastAsia" w:ascii="宋体" w:hAnsi="宋体" w:cs="宋体"/>
          <w:color w:val="auto"/>
          <w:highlight w:val="none"/>
        </w:rPr>
        <w:t>3.与采购人、其他投标人恶意串通；</w:t>
      </w:r>
    </w:p>
    <w:p w14:paraId="09154A61">
      <w:pPr>
        <w:widowControl/>
        <w:spacing w:line="288" w:lineRule="auto"/>
        <w:ind w:firstLine="480"/>
        <w:rPr>
          <w:rFonts w:ascii="宋体" w:hAnsi="宋体" w:cs="宋体"/>
          <w:color w:val="auto"/>
          <w:highlight w:val="none"/>
        </w:rPr>
      </w:pPr>
      <w:r>
        <w:rPr>
          <w:rFonts w:hint="eastAsia" w:ascii="宋体" w:hAnsi="宋体" w:cs="宋体"/>
          <w:color w:val="auto"/>
          <w:highlight w:val="none"/>
        </w:rPr>
        <w:t>4.向采购人、评标小组成员行贿或者提供其他不正当利益；</w:t>
      </w:r>
    </w:p>
    <w:p w14:paraId="0E58449E">
      <w:pPr>
        <w:widowControl/>
        <w:spacing w:line="288" w:lineRule="auto"/>
        <w:ind w:firstLine="480"/>
        <w:rPr>
          <w:rFonts w:ascii="宋体" w:hAnsi="宋体" w:cs="宋体"/>
          <w:color w:val="auto"/>
          <w:highlight w:val="none"/>
        </w:rPr>
      </w:pPr>
      <w:r>
        <w:rPr>
          <w:rFonts w:hint="eastAsia" w:ascii="宋体" w:hAnsi="宋体" w:cs="宋体"/>
          <w:color w:val="auto"/>
          <w:highlight w:val="none"/>
        </w:rPr>
        <w:t>5.在招标过程中与采购人进行协商谈判；</w:t>
      </w:r>
    </w:p>
    <w:p w14:paraId="6331BF85">
      <w:pPr>
        <w:widowControl/>
        <w:spacing w:line="288" w:lineRule="auto"/>
        <w:ind w:firstLine="480"/>
        <w:rPr>
          <w:rFonts w:ascii="宋体" w:hAnsi="宋体" w:cs="宋体"/>
          <w:color w:val="auto"/>
          <w:highlight w:val="none"/>
        </w:rPr>
      </w:pPr>
      <w:r>
        <w:rPr>
          <w:rFonts w:hint="eastAsia" w:ascii="宋体" w:hAnsi="宋体" w:cs="宋体"/>
          <w:color w:val="auto"/>
          <w:highlight w:val="none"/>
        </w:rPr>
        <w:t>6.中标人无正当理由拖延或者不与采购人签订采购合同；</w:t>
      </w:r>
    </w:p>
    <w:p w14:paraId="6E960883">
      <w:pPr>
        <w:widowControl/>
        <w:spacing w:line="288" w:lineRule="auto"/>
        <w:ind w:firstLine="480"/>
        <w:rPr>
          <w:rFonts w:ascii="宋体" w:hAnsi="宋体" w:cs="宋体"/>
          <w:color w:val="auto"/>
          <w:highlight w:val="none"/>
        </w:rPr>
      </w:pPr>
      <w:r>
        <w:rPr>
          <w:rFonts w:hint="eastAsia" w:ascii="宋体" w:hAnsi="宋体" w:cs="宋体"/>
          <w:color w:val="auto"/>
          <w:highlight w:val="none"/>
        </w:rPr>
        <w:t>7.未按照采购文件确定的事项签订采购合同；</w:t>
      </w:r>
    </w:p>
    <w:p w14:paraId="06016ED4">
      <w:pPr>
        <w:widowControl/>
        <w:spacing w:line="288" w:lineRule="auto"/>
        <w:ind w:firstLine="480"/>
        <w:rPr>
          <w:rFonts w:ascii="宋体" w:hAnsi="宋体" w:cs="宋体"/>
          <w:color w:val="auto"/>
          <w:highlight w:val="none"/>
        </w:rPr>
      </w:pPr>
      <w:r>
        <w:rPr>
          <w:rFonts w:hint="eastAsia" w:ascii="宋体" w:hAnsi="宋体" w:cs="宋体"/>
          <w:color w:val="auto"/>
          <w:highlight w:val="none"/>
        </w:rPr>
        <w:t>8.将采购合同转包或者违规分包；</w:t>
      </w:r>
    </w:p>
    <w:p w14:paraId="44AF9D9F">
      <w:pPr>
        <w:widowControl/>
        <w:spacing w:line="288" w:lineRule="auto"/>
        <w:ind w:firstLine="480"/>
        <w:rPr>
          <w:rFonts w:ascii="宋体" w:hAnsi="宋体" w:cs="宋体"/>
          <w:color w:val="auto"/>
          <w:highlight w:val="none"/>
        </w:rPr>
      </w:pPr>
      <w:r>
        <w:rPr>
          <w:rFonts w:hint="eastAsia" w:ascii="宋体" w:hAnsi="宋体" w:cs="宋体"/>
          <w:color w:val="auto"/>
          <w:highlight w:val="none"/>
        </w:rPr>
        <w:t>9.提供假冒伪劣产品；</w:t>
      </w:r>
    </w:p>
    <w:p w14:paraId="69D3F9C6">
      <w:pPr>
        <w:widowControl/>
        <w:spacing w:line="288" w:lineRule="auto"/>
        <w:ind w:firstLine="480"/>
        <w:rPr>
          <w:rFonts w:ascii="宋体" w:hAnsi="宋体" w:cs="宋体"/>
          <w:color w:val="auto"/>
          <w:highlight w:val="none"/>
        </w:rPr>
      </w:pPr>
      <w:r>
        <w:rPr>
          <w:rFonts w:hint="eastAsia" w:ascii="宋体" w:hAnsi="宋体" w:cs="宋体"/>
          <w:color w:val="auto"/>
          <w:highlight w:val="none"/>
        </w:rPr>
        <w:t>10.擅自变更、中止或者终止采购合同；</w:t>
      </w:r>
    </w:p>
    <w:p w14:paraId="64E7530E">
      <w:pPr>
        <w:widowControl/>
        <w:spacing w:line="288" w:lineRule="auto"/>
        <w:ind w:firstLine="480"/>
        <w:rPr>
          <w:rFonts w:ascii="宋体" w:hAnsi="宋体" w:cs="宋体"/>
          <w:color w:val="auto"/>
          <w:highlight w:val="none"/>
        </w:rPr>
      </w:pPr>
      <w:r>
        <w:rPr>
          <w:rFonts w:hint="eastAsia" w:ascii="宋体" w:hAnsi="宋体" w:cs="宋体"/>
          <w:color w:val="auto"/>
          <w:highlight w:val="none"/>
        </w:rPr>
        <w:t>11.拒绝有关部门的监督检查或者向监督检查部门提供虚假情况；</w:t>
      </w:r>
    </w:p>
    <w:p w14:paraId="055D8D8B">
      <w:pPr>
        <w:widowControl/>
        <w:spacing w:line="288" w:lineRule="auto"/>
        <w:ind w:firstLine="480"/>
        <w:rPr>
          <w:rFonts w:ascii="宋体" w:hAnsi="宋体" w:cs="宋体"/>
          <w:color w:val="auto"/>
          <w:highlight w:val="none"/>
        </w:rPr>
      </w:pPr>
      <w:r>
        <w:rPr>
          <w:rFonts w:hint="eastAsia" w:ascii="宋体" w:hAnsi="宋体" w:cs="宋体"/>
          <w:color w:val="auto"/>
          <w:highlight w:val="none"/>
        </w:rPr>
        <w:t>12.法律法规规定的其他情形。</w:t>
      </w:r>
    </w:p>
    <w:p w14:paraId="0E11B188">
      <w:pPr>
        <w:widowControl/>
        <w:spacing w:line="288" w:lineRule="auto"/>
        <w:ind w:firstLine="482"/>
        <w:outlineLvl w:val="1"/>
        <w:rPr>
          <w:rFonts w:ascii="宋体" w:hAnsi="宋体" w:cs="宋体"/>
          <w:b/>
          <w:bCs/>
          <w:color w:val="auto"/>
          <w:highlight w:val="none"/>
        </w:rPr>
      </w:pPr>
      <w:bookmarkStart w:id="698" w:name="_Toc21651"/>
      <w:bookmarkStart w:id="699" w:name="_Toc22989"/>
      <w:bookmarkStart w:id="700" w:name="_Toc4873"/>
      <w:bookmarkStart w:id="701" w:name="_Toc12829"/>
      <w:bookmarkStart w:id="702" w:name="_Toc16516"/>
      <w:bookmarkStart w:id="703" w:name="_Toc15843"/>
      <w:bookmarkStart w:id="704" w:name="_Toc4304"/>
      <w:bookmarkStart w:id="705" w:name="_Toc32341"/>
      <w:bookmarkStart w:id="706" w:name="_Toc4226"/>
      <w:bookmarkStart w:id="707" w:name="_Toc32296"/>
      <w:bookmarkStart w:id="708" w:name="_Toc16522"/>
      <w:bookmarkStart w:id="709" w:name="_Toc10181"/>
      <w:bookmarkStart w:id="710" w:name="_Toc8750"/>
      <w:bookmarkStart w:id="711" w:name="_Toc2041"/>
      <w:bookmarkStart w:id="712" w:name="_Toc20449"/>
      <w:bookmarkStart w:id="713" w:name="_Toc11628"/>
      <w:bookmarkStart w:id="714" w:name="_Toc18036"/>
      <w:bookmarkStart w:id="715" w:name="_Toc4296"/>
      <w:bookmarkStart w:id="716" w:name="_Toc9063"/>
      <w:bookmarkStart w:id="717" w:name="_Toc20601"/>
      <w:bookmarkStart w:id="718" w:name="_Toc21777"/>
      <w:bookmarkStart w:id="719" w:name="_Toc29580"/>
      <w:bookmarkStart w:id="720" w:name="_Toc20072"/>
      <w:bookmarkStart w:id="721" w:name="_Toc31870"/>
      <w:bookmarkStart w:id="722" w:name="_Toc19558"/>
      <w:bookmarkStart w:id="723" w:name="_Toc30885"/>
      <w:bookmarkStart w:id="724" w:name="_Toc30728"/>
      <w:bookmarkStart w:id="725" w:name="_Toc19855"/>
      <w:bookmarkStart w:id="726" w:name="_Toc6548"/>
      <w:bookmarkStart w:id="727" w:name="_Toc8601"/>
      <w:bookmarkStart w:id="728" w:name="_Toc17389"/>
      <w:bookmarkStart w:id="729" w:name="_Toc29636"/>
      <w:bookmarkStart w:id="730" w:name="_Toc6048"/>
      <w:bookmarkStart w:id="731" w:name="_Toc14056"/>
      <w:bookmarkStart w:id="732" w:name="_Toc851"/>
      <w:bookmarkStart w:id="733" w:name="_Toc25321"/>
      <w:bookmarkStart w:id="734" w:name="_Toc552"/>
      <w:bookmarkStart w:id="735" w:name="_Toc631"/>
      <w:bookmarkStart w:id="736" w:name="_Toc23017"/>
      <w:bookmarkStart w:id="737" w:name="_Toc2473"/>
      <w:bookmarkStart w:id="738" w:name="_Toc6024"/>
      <w:bookmarkStart w:id="739" w:name="_Toc12259"/>
      <w:bookmarkStart w:id="740" w:name="_Toc24586"/>
      <w:bookmarkStart w:id="741" w:name="_Toc9039"/>
      <w:bookmarkStart w:id="742" w:name="_Toc21968"/>
      <w:bookmarkStart w:id="743" w:name="_Toc11211"/>
      <w:r>
        <w:rPr>
          <w:rFonts w:hint="eastAsia" w:ascii="宋体" w:hAnsi="宋体" w:cs="宋体"/>
          <w:b/>
          <w:bCs/>
          <w:color w:val="auto"/>
          <w:highlight w:val="none"/>
        </w:rPr>
        <w:t>十二、串通投标情形</w:t>
      </w:r>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p>
    <w:p w14:paraId="7137B95C">
      <w:pPr>
        <w:widowControl/>
        <w:spacing w:line="288" w:lineRule="auto"/>
        <w:ind w:firstLine="480"/>
        <w:rPr>
          <w:rFonts w:ascii="宋体" w:hAnsi="宋体" w:cs="宋体"/>
          <w:color w:val="auto"/>
          <w:highlight w:val="none"/>
        </w:rPr>
      </w:pPr>
      <w:r>
        <w:rPr>
          <w:rFonts w:hint="eastAsia" w:ascii="宋体" w:hAnsi="宋体" w:cs="宋体"/>
          <w:color w:val="auto"/>
          <w:highlight w:val="none"/>
        </w:rPr>
        <w:t>招标采购中，有下列情形之一的，视为投标人串通投标，其投标无效：</w:t>
      </w:r>
    </w:p>
    <w:p w14:paraId="53A8EDAE">
      <w:pPr>
        <w:widowControl/>
        <w:spacing w:line="288" w:lineRule="auto"/>
        <w:ind w:firstLine="480"/>
        <w:rPr>
          <w:rFonts w:ascii="宋体" w:hAnsi="宋体" w:cs="宋体"/>
          <w:color w:val="auto"/>
          <w:highlight w:val="none"/>
        </w:rPr>
      </w:pPr>
      <w:r>
        <w:rPr>
          <w:rFonts w:hint="eastAsia" w:ascii="宋体" w:hAnsi="宋体" w:cs="宋体"/>
          <w:color w:val="auto"/>
          <w:highlight w:val="none"/>
        </w:rPr>
        <w:t>1.不同投标人的投标文件由同一单位或者个人编制；</w:t>
      </w:r>
    </w:p>
    <w:p w14:paraId="098C84CB">
      <w:pPr>
        <w:widowControl/>
        <w:spacing w:line="288" w:lineRule="auto"/>
        <w:ind w:firstLine="480"/>
        <w:rPr>
          <w:rFonts w:ascii="宋体" w:hAnsi="宋体" w:cs="宋体"/>
          <w:color w:val="auto"/>
          <w:highlight w:val="none"/>
        </w:rPr>
      </w:pPr>
      <w:r>
        <w:rPr>
          <w:rFonts w:hint="eastAsia" w:ascii="宋体" w:hAnsi="宋体" w:cs="宋体"/>
          <w:color w:val="auto"/>
          <w:highlight w:val="none"/>
        </w:rPr>
        <w:t>2.不同投标人委托同一单位或者个人办理投标事宜；</w:t>
      </w:r>
    </w:p>
    <w:p w14:paraId="1C6FE601">
      <w:pPr>
        <w:widowControl/>
        <w:spacing w:line="288" w:lineRule="auto"/>
        <w:ind w:firstLine="480"/>
        <w:rPr>
          <w:rFonts w:ascii="宋体" w:hAnsi="宋体" w:cs="宋体"/>
          <w:color w:val="auto"/>
          <w:highlight w:val="none"/>
        </w:rPr>
      </w:pPr>
      <w:r>
        <w:rPr>
          <w:rFonts w:hint="eastAsia" w:ascii="宋体" w:hAnsi="宋体" w:cs="宋体"/>
          <w:color w:val="auto"/>
          <w:highlight w:val="none"/>
        </w:rPr>
        <w:t>3.不同投标人的投标文件载明的项目管理成员或者联系人员为同一人；</w:t>
      </w:r>
    </w:p>
    <w:p w14:paraId="41941D76">
      <w:pPr>
        <w:widowControl/>
        <w:spacing w:line="288" w:lineRule="auto"/>
        <w:ind w:firstLine="480"/>
        <w:rPr>
          <w:rFonts w:ascii="宋体" w:hAnsi="宋体" w:cs="宋体"/>
          <w:color w:val="auto"/>
          <w:highlight w:val="none"/>
        </w:rPr>
      </w:pPr>
      <w:r>
        <w:rPr>
          <w:rFonts w:hint="eastAsia" w:ascii="宋体" w:hAnsi="宋体" w:cs="宋体"/>
          <w:color w:val="auto"/>
          <w:highlight w:val="none"/>
        </w:rPr>
        <w:t>4.不同投标人的投标文件异常一致或者投标报价呈规律性差异；</w:t>
      </w:r>
    </w:p>
    <w:p w14:paraId="5D7CA533">
      <w:pPr>
        <w:widowControl/>
        <w:spacing w:line="288" w:lineRule="auto"/>
        <w:ind w:firstLine="480"/>
        <w:rPr>
          <w:rFonts w:hint="eastAsia" w:ascii="宋体" w:hAnsi="宋体" w:cs="宋体"/>
          <w:color w:val="auto"/>
          <w:highlight w:val="none"/>
        </w:rPr>
      </w:pPr>
      <w:r>
        <w:rPr>
          <w:rFonts w:hint="eastAsia" w:ascii="宋体" w:hAnsi="宋体" w:cs="宋体"/>
          <w:color w:val="auto"/>
          <w:highlight w:val="none"/>
        </w:rPr>
        <w:t>5.不同投标人的投标文件相互</w:t>
      </w:r>
      <w:r>
        <w:rPr>
          <w:rFonts w:hint="eastAsia" w:ascii="宋体" w:hAnsi="宋体" w:cs="宋体"/>
          <w:color w:val="auto"/>
          <w:highlight w:val="none"/>
          <w:lang w:val="en-US" w:eastAsia="zh-CN"/>
        </w:rPr>
        <w:t>上传</w:t>
      </w:r>
      <w:r>
        <w:rPr>
          <w:rFonts w:hint="eastAsia" w:ascii="宋体" w:hAnsi="宋体" w:cs="宋体"/>
          <w:color w:val="auto"/>
          <w:highlight w:val="none"/>
        </w:rPr>
        <w:t>。</w:t>
      </w:r>
      <w:bookmarkEnd w:id="696"/>
      <w:bookmarkEnd w:id="697"/>
      <w:bookmarkStart w:id="744" w:name="_Toc18870"/>
      <w:bookmarkStart w:id="745" w:name="_Toc10"/>
      <w:bookmarkStart w:id="746" w:name="_Toc19304"/>
      <w:bookmarkStart w:id="747" w:name="_Toc27395"/>
      <w:bookmarkStart w:id="748" w:name="_Toc2346"/>
      <w:bookmarkStart w:id="749" w:name="_Toc31476"/>
      <w:bookmarkStart w:id="750" w:name="_Toc32471"/>
      <w:bookmarkStart w:id="751" w:name="_Toc25156"/>
      <w:bookmarkStart w:id="752" w:name="_Toc13948"/>
      <w:bookmarkStart w:id="753" w:name="_Toc19268"/>
      <w:bookmarkStart w:id="754" w:name="_Toc6786"/>
      <w:bookmarkStart w:id="755" w:name="_Toc6295"/>
      <w:bookmarkStart w:id="756" w:name="_Toc30553"/>
      <w:bookmarkStart w:id="757" w:name="_Toc29727"/>
      <w:bookmarkStart w:id="758" w:name="_Toc24952"/>
      <w:bookmarkStart w:id="759" w:name="_Toc21758"/>
      <w:bookmarkStart w:id="760" w:name="_Toc12019"/>
      <w:bookmarkStart w:id="761" w:name="_Toc29233"/>
      <w:bookmarkStart w:id="762" w:name="_Toc10123"/>
      <w:bookmarkStart w:id="763" w:name="_Toc14386"/>
      <w:bookmarkStart w:id="764" w:name="_Toc21055"/>
      <w:bookmarkStart w:id="765" w:name="_Toc12079"/>
      <w:bookmarkStart w:id="766" w:name="_Toc18436"/>
      <w:bookmarkStart w:id="767" w:name="_Toc12338"/>
      <w:bookmarkStart w:id="768" w:name="_Toc4116"/>
      <w:bookmarkStart w:id="769" w:name="_Toc5424"/>
      <w:bookmarkStart w:id="770" w:name="_Toc22487"/>
      <w:bookmarkStart w:id="771" w:name="_Toc15825"/>
      <w:bookmarkStart w:id="772" w:name="_Toc19009"/>
      <w:bookmarkStart w:id="773" w:name="_Toc23764"/>
      <w:bookmarkStart w:id="774" w:name="_Toc11924"/>
      <w:bookmarkStart w:id="775" w:name="_Toc2753"/>
      <w:bookmarkStart w:id="776" w:name="_Toc18455"/>
      <w:bookmarkStart w:id="777" w:name="_Toc22692"/>
      <w:bookmarkStart w:id="778" w:name="_Toc9891"/>
      <w:bookmarkStart w:id="779" w:name="_Toc15963"/>
      <w:bookmarkStart w:id="780" w:name="_Toc10388"/>
      <w:bookmarkStart w:id="781" w:name="_Toc11540"/>
      <w:bookmarkStart w:id="782" w:name="_Toc6811"/>
      <w:bookmarkStart w:id="783" w:name="_Toc27434"/>
      <w:bookmarkStart w:id="784" w:name="_Toc7563"/>
      <w:bookmarkStart w:id="785" w:name="_Toc3583"/>
      <w:bookmarkStart w:id="786" w:name="_Toc20951"/>
      <w:bookmarkStart w:id="787" w:name="_Toc8221"/>
      <w:bookmarkStart w:id="788" w:name="_Toc3409"/>
      <w:bookmarkStart w:id="789" w:name="_Toc3385"/>
      <w:bookmarkStart w:id="790" w:name="_Toc10485"/>
      <w:bookmarkStart w:id="791" w:name="_Toc21350"/>
      <w:bookmarkStart w:id="792" w:name="_Toc22259"/>
      <w:bookmarkStart w:id="793" w:name="_Toc6998"/>
      <w:bookmarkStart w:id="794" w:name="_Toc10740"/>
      <w:bookmarkStart w:id="795" w:name="_Toc9181"/>
      <w:bookmarkStart w:id="796" w:name="_Toc11472"/>
      <w:bookmarkStart w:id="797" w:name="_Toc19257"/>
      <w:bookmarkStart w:id="798" w:name="_Toc21613"/>
      <w:bookmarkStart w:id="799" w:name="_Toc2605"/>
      <w:bookmarkStart w:id="800" w:name="_Toc245"/>
      <w:bookmarkStart w:id="801" w:name="_Toc391298965"/>
      <w:bookmarkStart w:id="802" w:name="_Toc11107"/>
      <w:bookmarkStart w:id="803" w:name="_Toc23998"/>
      <w:bookmarkStart w:id="804" w:name="_Toc10670"/>
      <w:bookmarkStart w:id="805" w:name="_Toc15295"/>
      <w:bookmarkStart w:id="806" w:name="_Toc32257"/>
      <w:bookmarkStart w:id="807" w:name="_Toc662"/>
      <w:bookmarkStart w:id="808" w:name="_Toc1556"/>
      <w:bookmarkStart w:id="809" w:name="_Toc25656"/>
      <w:bookmarkStart w:id="810" w:name="_Toc3375"/>
      <w:bookmarkStart w:id="811" w:name="_Toc9609"/>
      <w:bookmarkStart w:id="812" w:name="_Toc7009"/>
      <w:bookmarkStart w:id="813" w:name="_Toc26456"/>
      <w:bookmarkStart w:id="814" w:name="_Toc16056"/>
    </w:p>
    <w:p w14:paraId="070B2E72">
      <w:pPr>
        <w:pStyle w:val="30"/>
        <w:rPr>
          <w:rFonts w:hint="eastAsia" w:ascii="宋体" w:hAnsi="宋体" w:cs="宋体"/>
          <w:color w:val="auto"/>
          <w:highlight w:val="none"/>
        </w:rPr>
      </w:pPr>
    </w:p>
    <w:p w14:paraId="02326408">
      <w:pPr>
        <w:widowControl/>
        <w:spacing w:line="288" w:lineRule="auto"/>
        <w:ind w:firstLine="480"/>
        <w:rPr>
          <w:rFonts w:hint="eastAsia" w:ascii="宋体" w:hAnsi="宋体" w:cs="宋体"/>
          <w:color w:val="auto"/>
          <w:highlight w:val="none"/>
          <w:lang w:val="zh-CN"/>
        </w:rPr>
      </w:pPr>
    </w:p>
    <w:p w14:paraId="77A04A14">
      <w:pPr>
        <w:pStyle w:val="2"/>
        <w:rPr>
          <w:rFonts w:hint="eastAsia"/>
          <w:color w:val="auto"/>
          <w:highlight w:val="none"/>
          <w:lang w:val="zh-CN"/>
        </w:rPr>
      </w:pPr>
    </w:p>
    <w:p w14:paraId="3B93580C">
      <w:pPr>
        <w:pStyle w:val="9"/>
        <w:numPr>
          <w:ilvl w:val="0"/>
          <w:numId w:val="0"/>
        </w:numPr>
        <w:spacing w:before="312" w:after="312"/>
        <w:jc w:val="center"/>
        <w:rPr>
          <w:rFonts w:hint="eastAsia" w:ascii="宋体" w:hAnsi="宋体" w:cs="宋体"/>
          <w:color w:val="auto"/>
          <w:highlight w:val="none"/>
          <w:lang w:val="zh-CN"/>
        </w:rPr>
      </w:pPr>
      <w:bookmarkStart w:id="815" w:name="_Toc26302"/>
    </w:p>
    <w:p w14:paraId="0294C4CA">
      <w:pPr>
        <w:rPr>
          <w:rFonts w:hint="eastAsia" w:ascii="宋体" w:hAnsi="宋体" w:cs="宋体"/>
          <w:color w:val="auto"/>
          <w:highlight w:val="none"/>
          <w:lang w:val="zh-CN"/>
        </w:rPr>
      </w:pPr>
    </w:p>
    <w:p w14:paraId="69FC9180">
      <w:pPr>
        <w:pStyle w:val="2"/>
        <w:rPr>
          <w:rFonts w:hint="eastAsia" w:ascii="宋体" w:hAnsi="宋体" w:cs="宋体"/>
          <w:color w:val="auto"/>
          <w:highlight w:val="none"/>
          <w:lang w:val="zh-CN"/>
        </w:rPr>
      </w:pPr>
    </w:p>
    <w:p w14:paraId="5D558FEA">
      <w:pPr>
        <w:pStyle w:val="3"/>
        <w:rPr>
          <w:rFonts w:hint="eastAsia"/>
          <w:lang w:val="zh-CN"/>
        </w:rPr>
      </w:pPr>
    </w:p>
    <w:p w14:paraId="5BB1CBDE">
      <w:pPr>
        <w:pStyle w:val="9"/>
        <w:numPr>
          <w:ilvl w:val="0"/>
          <w:numId w:val="0"/>
        </w:numPr>
        <w:spacing w:before="312" w:after="312"/>
        <w:jc w:val="center"/>
        <w:rPr>
          <w:rFonts w:hint="eastAsia" w:ascii="宋体" w:hAnsi="宋体" w:cs="宋体"/>
          <w:color w:val="auto"/>
          <w:highlight w:val="none"/>
          <w:lang w:val="zh-CN"/>
        </w:rPr>
      </w:pPr>
    </w:p>
    <w:p w14:paraId="73D419FD">
      <w:pPr>
        <w:rPr>
          <w:rFonts w:hint="eastAsia"/>
          <w:color w:val="auto"/>
          <w:highlight w:val="none"/>
          <w:lang w:val="zh-CN"/>
        </w:rPr>
      </w:pPr>
    </w:p>
    <w:p w14:paraId="507F6936">
      <w:pPr>
        <w:pStyle w:val="9"/>
        <w:numPr>
          <w:ilvl w:val="0"/>
          <w:numId w:val="0"/>
        </w:numPr>
        <w:spacing w:before="312" w:after="312"/>
        <w:jc w:val="center"/>
        <w:rPr>
          <w:rFonts w:ascii="宋体" w:hAnsi="宋体"/>
          <w:bCs/>
          <w:color w:val="auto"/>
          <w:sz w:val="32"/>
          <w:szCs w:val="32"/>
          <w:highlight w:val="none"/>
        </w:rPr>
      </w:pPr>
      <w:r>
        <w:rPr>
          <w:rFonts w:hint="eastAsia" w:ascii="宋体" w:hAnsi="宋体" w:cs="宋体"/>
          <w:color w:val="auto"/>
          <w:highlight w:val="none"/>
          <w:lang w:val="zh-CN"/>
        </w:rPr>
        <w:t xml:space="preserve">第五章  </w:t>
      </w:r>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Start w:id="816" w:name="_Toc25963"/>
      <w:bookmarkStart w:id="817" w:name="_Toc29250"/>
      <w:bookmarkStart w:id="818" w:name="_Toc24583"/>
      <w:bookmarkStart w:id="819" w:name="_Toc7361"/>
      <w:bookmarkStart w:id="820" w:name="_Toc3065"/>
      <w:bookmarkStart w:id="821" w:name="_Toc12620"/>
      <w:bookmarkStart w:id="822" w:name="_Toc12950"/>
      <w:bookmarkStart w:id="823" w:name="_Toc19483"/>
      <w:bookmarkStart w:id="824" w:name="_Toc20389"/>
      <w:bookmarkStart w:id="825" w:name="_Toc32036"/>
      <w:bookmarkStart w:id="826" w:name="_Toc32577"/>
      <w:bookmarkStart w:id="827" w:name="_Toc7962"/>
      <w:bookmarkStart w:id="828" w:name="_Toc10444"/>
      <w:bookmarkStart w:id="829" w:name="_Toc10276"/>
      <w:bookmarkStart w:id="830" w:name="_Toc6903"/>
      <w:bookmarkStart w:id="831" w:name="_Toc17425"/>
      <w:bookmarkStart w:id="832" w:name="_Toc17266"/>
      <w:bookmarkStart w:id="833" w:name="_Toc9250"/>
      <w:bookmarkStart w:id="834" w:name="_Toc20673"/>
      <w:bookmarkStart w:id="835" w:name="_Toc8633"/>
      <w:bookmarkStart w:id="836" w:name="_Toc11201"/>
      <w:r>
        <w:rPr>
          <w:color w:val="auto"/>
          <w:highlight w:val="none"/>
        </w:rPr>
        <w:t>合同条款及格式</w:t>
      </w:r>
      <w:bookmarkEnd w:id="815"/>
    </w:p>
    <w:p w14:paraId="349C7A73">
      <w:pPr>
        <w:ind w:firstLine="0" w:firstLineChars="0"/>
        <w:rPr>
          <w:rFonts w:ascii="宋体" w:hAnsi="宋体"/>
          <w:b/>
          <w:bCs/>
          <w:color w:val="auto"/>
          <w:kern w:val="0"/>
          <w:sz w:val="72"/>
          <w:szCs w:val="72"/>
          <w:highlight w:val="none"/>
        </w:rPr>
      </w:pPr>
      <w:bookmarkStart w:id="837" w:name="_Toc80157776"/>
      <w:bookmarkStart w:id="838" w:name="_Toc2375"/>
      <w:bookmarkStart w:id="839" w:name="_Toc2988"/>
      <w:bookmarkStart w:id="840" w:name="_Toc28685"/>
      <w:bookmarkStart w:id="841" w:name="_Toc22009"/>
      <w:bookmarkStart w:id="842" w:name="_Toc25530"/>
      <w:bookmarkStart w:id="843" w:name="_Toc13985"/>
      <w:bookmarkStart w:id="844" w:name="_Toc16627"/>
      <w:bookmarkStart w:id="845" w:name="_Toc25691"/>
      <w:bookmarkStart w:id="846" w:name="_Toc31703"/>
      <w:bookmarkStart w:id="847" w:name="_Toc18785"/>
      <w:bookmarkStart w:id="848" w:name="_Toc28792"/>
      <w:bookmarkStart w:id="849" w:name="_Toc84325982"/>
      <w:bookmarkStart w:id="850" w:name="_Toc30463"/>
      <w:bookmarkStart w:id="851" w:name="_Toc9086"/>
      <w:bookmarkStart w:id="852" w:name="_Toc3667"/>
      <w:bookmarkStart w:id="853" w:name="_Toc16586"/>
      <w:bookmarkStart w:id="854" w:name="_Toc31326"/>
      <w:bookmarkStart w:id="855" w:name="_Toc30991"/>
      <w:bookmarkStart w:id="856" w:name="_Toc8199"/>
      <w:bookmarkStart w:id="857" w:name="_Toc24158"/>
      <w:bookmarkStart w:id="858" w:name="_Toc7230"/>
      <w:bookmarkStart w:id="859" w:name="_Toc18678"/>
      <w:bookmarkStart w:id="860" w:name="_Toc10223"/>
      <w:bookmarkStart w:id="861" w:name="_Toc6502"/>
      <w:bookmarkStart w:id="862" w:name="_Toc5287"/>
      <w:bookmarkStart w:id="863" w:name="_Toc9121"/>
      <w:bookmarkStart w:id="864" w:name="_Toc11132"/>
      <w:bookmarkStart w:id="865" w:name="_Toc81372965"/>
      <w:bookmarkStart w:id="866" w:name="_Toc9100"/>
      <w:bookmarkStart w:id="867" w:name="_Toc20014"/>
      <w:bookmarkStart w:id="868" w:name="_Toc81372788"/>
      <w:bookmarkStart w:id="869" w:name="_Toc6249"/>
      <w:bookmarkStart w:id="870" w:name="_Toc5891"/>
    </w:p>
    <w:p w14:paraId="11B03D37">
      <w:pPr>
        <w:ind w:firstLine="1446"/>
        <w:jc w:val="center"/>
        <w:rPr>
          <w:rFonts w:ascii="宋体" w:hAnsi="宋体"/>
          <w:b/>
          <w:bCs/>
          <w:color w:val="auto"/>
          <w:kern w:val="0"/>
          <w:sz w:val="72"/>
          <w:szCs w:val="72"/>
          <w:highlight w:val="none"/>
        </w:rPr>
      </w:pPr>
    </w:p>
    <w:p w14:paraId="52882EBA">
      <w:pPr>
        <w:ind w:firstLine="1446"/>
        <w:jc w:val="center"/>
        <w:rPr>
          <w:rFonts w:ascii="宋体" w:hAnsi="宋体"/>
          <w:b/>
          <w:bCs/>
          <w:color w:val="auto"/>
          <w:kern w:val="0"/>
          <w:sz w:val="72"/>
          <w:szCs w:val="72"/>
          <w:highlight w:val="none"/>
        </w:rPr>
      </w:pPr>
    </w:p>
    <w:p w14:paraId="46AE5632">
      <w:pPr>
        <w:pStyle w:val="9"/>
        <w:numPr>
          <w:ilvl w:val="255"/>
          <w:numId w:val="0"/>
        </w:numPr>
        <w:spacing w:before="312" w:after="312"/>
        <w:ind w:left="432"/>
        <w:outlineLvl w:val="1"/>
        <w:rPr>
          <w:color w:val="auto"/>
          <w:sz w:val="72"/>
          <w:szCs w:val="72"/>
          <w:highlight w:val="none"/>
        </w:rPr>
      </w:pPr>
      <w:bookmarkStart w:id="871" w:name="_Toc28071"/>
      <w:bookmarkStart w:id="872" w:name="_Toc11713"/>
      <w:bookmarkStart w:id="873" w:name="_Toc18832"/>
      <w:bookmarkStart w:id="874" w:name="_Toc7466"/>
      <w:bookmarkStart w:id="875" w:name="_Toc13813"/>
      <w:bookmarkStart w:id="876" w:name="_Toc2265"/>
      <w:bookmarkStart w:id="877" w:name="_Toc26965"/>
      <w:bookmarkStart w:id="878" w:name="_Toc21224"/>
      <w:bookmarkStart w:id="879" w:name="_Toc6633"/>
      <w:r>
        <w:rPr>
          <w:rFonts w:hint="eastAsia"/>
          <w:color w:val="auto"/>
          <w:sz w:val="72"/>
          <w:szCs w:val="72"/>
          <w:highlight w:val="none"/>
        </w:rPr>
        <w:t>采 购 合 同</w:t>
      </w:r>
      <w:bookmarkEnd w:id="871"/>
      <w:bookmarkEnd w:id="872"/>
      <w:bookmarkEnd w:id="873"/>
      <w:bookmarkEnd w:id="874"/>
      <w:bookmarkEnd w:id="875"/>
      <w:bookmarkEnd w:id="876"/>
      <w:bookmarkEnd w:id="877"/>
      <w:bookmarkEnd w:id="878"/>
      <w:bookmarkEnd w:id="879"/>
    </w:p>
    <w:p w14:paraId="0D8B1EE8">
      <w:pPr>
        <w:ind w:firstLine="482"/>
        <w:rPr>
          <w:rFonts w:ascii="宋体" w:hAnsi="宋体"/>
          <w:color w:val="auto"/>
          <w:highlight w:val="none"/>
        </w:rPr>
      </w:pPr>
      <w:r>
        <w:rPr>
          <w:rFonts w:hint="eastAsia" w:ascii="宋体" w:hAnsi="宋体"/>
          <w:b/>
          <w:color w:val="auto"/>
          <w:highlight w:val="none"/>
        </w:rPr>
        <w:t xml:space="preserve"> </w:t>
      </w:r>
    </w:p>
    <w:p w14:paraId="74A6E466">
      <w:pPr>
        <w:ind w:firstLine="482"/>
        <w:rPr>
          <w:rFonts w:ascii="宋体" w:hAnsi="宋体"/>
          <w:color w:val="auto"/>
          <w:highlight w:val="none"/>
        </w:rPr>
      </w:pPr>
      <w:r>
        <w:rPr>
          <w:rFonts w:hint="eastAsia" w:ascii="宋体" w:hAnsi="宋体"/>
          <w:b/>
          <w:color w:val="auto"/>
          <w:highlight w:val="none"/>
        </w:rPr>
        <w:t xml:space="preserve">               </w:t>
      </w:r>
    </w:p>
    <w:p w14:paraId="7879D97E">
      <w:pPr>
        <w:ind w:firstLine="482"/>
        <w:rPr>
          <w:rFonts w:ascii="宋体" w:hAnsi="宋体"/>
          <w:color w:val="auto"/>
          <w:highlight w:val="none"/>
        </w:rPr>
      </w:pPr>
      <w:r>
        <w:rPr>
          <w:rFonts w:hint="eastAsia" w:ascii="宋体" w:hAnsi="宋体"/>
          <w:b/>
          <w:color w:val="auto"/>
          <w:highlight w:val="none"/>
        </w:rPr>
        <w:t xml:space="preserve">                                            合同编号：</w:t>
      </w:r>
      <w:r>
        <w:rPr>
          <w:rFonts w:hint="eastAsia" w:ascii="宋体" w:hAnsi="宋体"/>
          <w:b/>
          <w:color w:val="auto"/>
          <w:highlight w:val="none"/>
          <w:u w:val="single"/>
        </w:rPr>
        <w:t xml:space="preserve">             </w:t>
      </w:r>
    </w:p>
    <w:p w14:paraId="07E26582">
      <w:pPr>
        <w:ind w:firstLine="480"/>
        <w:rPr>
          <w:rFonts w:ascii="宋体" w:hAnsi="宋体"/>
          <w:color w:val="auto"/>
          <w:highlight w:val="none"/>
        </w:rPr>
      </w:pPr>
    </w:p>
    <w:p w14:paraId="24D10102">
      <w:pPr>
        <w:ind w:firstLine="480"/>
        <w:rPr>
          <w:rFonts w:ascii="宋体" w:hAnsi="宋体"/>
          <w:color w:val="auto"/>
          <w:highlight w:val="none"/>
        </w:rPr>
      </w:pPr>
    </w:p>
    <w:p w14:paraId="6228DF61">
      <w:pPr>
        <w:ind w:firstLine="960" w:firstLineChars="400"/>
        <w:rPr>
          <w:rFonts w:ascii="宋体" w:hAnsi="宋体"/>
          <w:color w:val="auto"/>
          <w:highlight w:val="none"/>
        </w:rPr>
      </w:pPr>
      <w:r>
        <w:rPr>
          <w:rFonts w:hint="eastAsia" w:ascii="宋体" w:hAnsi="宋体"/>
          <w:color w:val="auto"/>
          <w:highlight w:val="none"/>
        </w:rPr>
        <w:t>项目名称：</w:t>
      </w:r>
      <w:r>
        <w:rPr>
          <w:rFonts w:hint="eastAsia" w:ascii="宋体" w:hAnsi="宋体"/>
          <w:color w:val="auto"/>
          <w:highlight w:val="none"/>
          <w:u w:val="single"/>
        </w:rPr>
        <w:t xml:space="preserve">                                         </w:t>
      </w:r>
    </w:p>
    <w:p w14:paraId="6091D341">
      <w:pPr>
        <w:snapToGrid w:val="0"/>
        <w:spacing w:before="119" w:line="272" w:lineRule="atLeast"/>
        <w:ind w:left="958" w:firstLine="480"/>
        <w:rPr>
          <w:rFonts w:ascii="宋体" w:hAnsi="宋体"/>
          <w:color w:val="auto"/>
          <w:highlight w:val="none"/>
        </w:rPr>
      </w:pPr>
      <w:r>
        <w:rPr>
          <w:rFonts w:hint="eastAsia" w:ascii="宋体" w:hAnsi="宋体"/>
          <w:color w:val="auto"/>
          <w:highlight w:val="none"/>
        </w:rPr>
        <w:t xml:space="preserve"> </w:t>
      </w:r>
    </w:p>
    <w:p w14:paraId="6AE61E86">
      <w:pPr>
        <w:snapToGrid w:val="0"/>
        <w:spacing w:before="119" w:line="272" w:lineRule="atLeast"/>
        <w:ind w:firstLine="0" w:firstLineChars="0"/>
        <w:rPr>
          <w:rFonts w:ascii="宋体" w:hAnsi="宋体"/>
          <w:color w:val="auto"/>
          <w:highlight w:val="none"/>
        </w:rPr>
      </w:pPr>
    </w:p>
    <w:p w14:paraId="73770B9F">
      <w:pPr>
        <w:snapToGrid w:val="0"/>
        <w:spacing w:before="119" w:line="272" w:lineRule="atLeast"/>
        <w:ind w:firstLine="480"/>
        <w:rPr>
          <w:rFonts w:ascii="宋体" w:hAnsi="宋体"/>
          <w:color w:val="auto"/>
          <w:highlight w:val="none"/>
        </w:rPr>
      </w:pPr>
    </w:p>
    <w:p w14:paraId="1272E199">
      <w:pPr>
        <w:snapToGrid w:val="0"/>
        <w:spacing w:before="119" w:line="272" w:lineRule="atLeast"/>
        <w:ind w:firstLine="960" w:firstLineChars="400"/>
        <w:rPr>
          <w:rFonts w:ascii="宋体" w:hAnsi="宋体"/>
          <w:color w:val="auto"/>
          <w:highlight w:val="none"/>
        </w:rPr>
      </w:pPr>
      <w:r>
        <w:rPr>
          <w:rFonts w:hint="eastAsia" w:ascii="宋体" w:hAnsi="宋体"/>
          <w:color w:val="auto"/>
          <w:highlight w:val="none"/>
        </w:rPr>
        <w:t>采购人：</w:t>
      </w:r>
      <w:r>
        <w:rPr>
          <w:rFonts w:hint="eastAsia" w:ascii="宋体" w:hAnsi="宋体"/>
          <w:color w:val="auto"/>
          <w:highlight w:val="none"/>
          <w:u w:val="single"/>
        </w:rPr>
        <w:t xml:space="preserve">                                  </w:t>
      </w:r>
      <w:r>
        <w:rPr>
          <w:rFonts w:hint="eastAsia" w:ascii="宋体" w:hAnsi="宋体"/>
          <w:color w:val="auto"/>
          <w:highlight w:val="none"/>
        </w:rPr>
        <w:t xml:space="preserve">（以下称甲方）　　　   　  　  </w:t>
      </w:r>
    </w:p>
    <w:p w14:paraId="24B1FC86">
      <w:pPr>
        <w:snapToGrid w:val="0"/>
        <w:spacing w:before="119" w:line="272" w:lineRule="atLeast"/>
        <w:ind w:firstLine="960" w:firstLineChars="400"/>
        <w:rPr>
          <w:rFonts w:hint="eastAsia" w:ascii="宋体" w:hAnsi="宋体"/>
          <w:color w:val="auto"/>
          <w:highlight w:val="none"/>
        </w:rPr>
      </w:pPr>
    </w:p>
    <w:p w14:paraId="59467C32">
      <w:pPr>
        <w:snapToGrid w:val="0"/>
        <w:spacing w:before="119" w:line="272" w:lineRule="atLeast"/>
        <w:ind w:firstLine="960" w:firstLineChars="400"/>
        <w:rPr>
          <w:rFonts w:ascii="宋体" w:hAnsi="宋体"/>
          <w:color w:val="auto"/>
          <w:highlight w:val="none"/>
        </w:rPr>
      </w:pPr>
      <w:r>
        <w:rPr>
          <w:rFonts w:hint="eastAsia" w:ascii="宋体" w:hAnsi="宋体"/>
          <w:color w:val="auto"/>
          <w:highlight w:val="none"/>
        </w:rPr>
        <w:t>中标人：</w:t>
      </w:r>
      <w:r>
        <w:rPr>
          <w:rFonts w:hint="eastAsia" w:ascii="宋体" w:hAnsi="宋体"/>
          <w:color w:val="auto"/>
          <w:highlight w:val="none"/>
          <w:u w:val="single"/>
        </w:rPr>
        <w:t xml:space="preserve">                                  </w:t>
      </w:r>
      <w:r>
        <w:rPr>
          <w:rFonts w:hint="eastAsia" w:ascii="宋体" w:hAnsi="宋体"/>
          <w:color w:val="auto"/>
          <w:highlight w:val="none"/>
        </w:rPr>
        <w:t>（以下称乙方）　</w:t>
      </w:r>
    </w:p>
    <w:p w14:paraId="00A822B8">
      <w:pPr>
        <w:snapToGrid w:val="0"/>
        <w:spacing w:before="119" w:line="272" w:lineRule="atLeast"/>
        <w:ind w:left="958" w:firstLine="480"/>
        <w:rPr>
          <w:rFonts w:ascii="宋体" w:hAnsi="宋体"/>
          <w:color w:val="auto"/>
          <w:highlight w:val="none"/>
        </w:rPr>
      </w:pPr>
      <w:r>
        <w:rPr>
          <w:rFonts w:hint="eastAsia" w:ascii="宋体" w:hAnsi="宋体"/>
          <w:color w:val="auto"/>
          <w:highlight w:val="none"/>
        </w:rPr>
        <w:t xml:space="preserve">　　  　     </w:t>
      </w:r>
    </w:p>
    <w:p w14:paraId="510887DD">
      <w:pPr>
        <w:snapToGrid w:val="0"/>
        <w:spacing w:before="119" w:line="272" w:lineRule="atLeast"/>
        <w:ind w:left="958" w:firstLine="480"/>
        <w:jc w:val="center"/>
        <w:rPr>
          <w:rFonts w:ascii="宋体" w:hAnsi="宋体"/>
          <w:color w:val="auto"/>
          <w:highlight w:val="none"/>
        </w:rPr>
      </w:pPr>
    </w:p>
    <w:p w14:paraId="13D694FC">
      <w:pPr>
        <w:pStyle w:val="33"/>
        <w:ind w:left="0"/>
        <w:rPr>
          <w:color w:val="auto"/>
          <w:highlight w:val="none"/>
        </w:rPr>
      </w:pPr>
    </w:p>
    <w:p w14:paraId="30170CBA">
      <w:pPr>
        <w:ind w:firstLine="480"/>
        <w:rPr>
          <w:color w:val="auto"/>
          <w:highlight w:val="none"/>
        </w:rPr>
      </w:pPr>
    </w:p>
    <w:p w14:paraId="6AB0FF8B">
      <w:pPr>
        <w:ind w:firstLine="480"/>
        <w:rPr>
          <w:color w:val="auto"/>
          <w:highlight w:val="none"/>
        </w:rPr>
      </w:pPr>
    </w:p>
    <w:p w14:paraId="7989C21A">
      <w:pPr>
        <w:snapToGrid w:val="0"/>
        <w:spacing w:before="119" w:line="272" w:lineRule="atLeast"/>
        <w:ind w:left="958" w:firstLine="480"/>
        <w:jc w:val="center"/>
        <w:rPr>
          <w:rFonts w:ascii="宋体" w:hAnsi="宋体"/>
          <w:color w:val="auto"/>
          <w:highlight w:val="none"/>
        </w:rPr>
      </w:pPr>
    </w:p>
    <w:p w14:paraId="34219940">
      <w:pPr>
        <w:snapToGrid w:val="0"/>
        <w:spacing w:before="119" w:line="272" w:lineRule="atLeast"/>
        <w:ind w:firstLine="1200" w:firstLineChars="500"/>
        <w:rPr>
          <w:rFonts w:ascii="宋体" w:hAnsi="宋体"/>
          <w:color w:val="auto"/>
          <w:highlight w:val="none"/>
        </w:rPr>
      </w:pPr>
      <w:r>
        <w:rPr>
          <w:rFonts w:hint="eastAsia" w:ascii="宋体" w:hAnsi="宋体"/>
          <w:color w:val="auto"/>
          <w:highlight w:val="none"/>
        </w:rPr>
        <w:t>签署地点：</w:t>
      </w:r>
      <w:r>
        <w:rPr>
          <w:rFonts w:hint="eastAsia" w:ascii="宋体" w:hAnsi="宋体"/>
          <w:color w:val="auto"/>
          <w:highlight w:val="none"/>
          <w:u w:val="single"/>
        </w:rPr>
        <w:t xml:space="preserve">                                         </w:t>
      </w:r>
    </w:p>
    <w:p w14:paraId="1567EC0F">
      <w:pPr>
        <w:snapToGrid w:val="0"/>
        <w:spacing w:before="119" w:line="272" w:lineRule="atLeast"/>
        <w:ind w:left="958" w:firstLine="480"/>
        <w:rPr>
          <w:rFonts w:ascii="宋体" w:hAnsi="宋体"/>
          <w:color w:val="auto"/>
          <w:highlight w:val="none"/>
        </w:rPr>
      </w:pPr>
    </w:p>
    <w:p w14:paraId="6A651142">
      <w:pPr>
        <w:snapToGrid w:val="0"/>
        <w:spacing w:before="119" w:line="272" w:lineRule="atLeast"/>
        <w:ind w:firstLine="1200" w:firstLineChars="500"/>
        <w:rPr>
          <w:rFonts w:ascii="宋体" w:hAnsi="宋体"/>
          <w:color w:val="auto"/>
          <w:highlight w:val="none"/>
        </w:rPr>
      </w:pPr>
      <w:r>
        <w:rPr>
          <w:rFonts w:hint="eastAsia" w:ascii="宋体" w:hAnsi="宋体"/>
          <w:color w:val="auto"/>
          <w:highlight w:val="none"/>
        </w:rPr>
        <w:t>签署日期：</w:t>
      </w:r>
      <w:r>
        <w:rPr>
          <w:rFonts w:hint="eastAsia" w:ascii="宋体" w:hAnsi="宋体"/>
          <w:color w:val="auto"/>
          <w:highlight w:val="none"/>
          <w:u w:val="single"/>
        </w:rPr>
        <w:t xml:space="preserve">                                         </w:t>
      </w:r>
    </w:p>
    <w:p w14:paraId="74C2C0CD">
      <w:pPr>
        <w:spacing w:line="312" w:lineRule="auto"/>
        <w:ind w:firstLine="480"/>
        <w:rPr>
          <w:rFonts w:ascii="宋体" w:hAnsi="宋体" w:cs="宋体"/>
          <w:color w:val="auto"/>
          <w:highlight w:val="none"/>
          <w:lang w:bidi="ar"/>
        </w:rPr>
      </w:pPr>
    </w:p>
    <w:p w14:paraId="6EDFA65F">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after="438" w:afterLines="100" w:line="312" w:lineRule="auto"/>
        <w:ind w:leftChars="0"/>
        <w:jc w:val="center"/>
        <w:textAlignment w:val="auto"/>
        <w:rPr>
          <w:rFonts w:hint="eastAsia" w:ascii="微软简标宋" w:hAnsi="微软简标宋" w:eastAsia="微软简标宋" w:cs="微软简标宋"/>
          <w:color w:val="auto"/>
          <w:sz w:val="44"/>
          <w:szCs w:val="44"/>
          <w:highlight w:val="none"/>
          <w:lang w:eastAsia="zh-CN"/>
        </w:rPr>
      </w:pPr>
      <w:r>
        <w:rPr>
          <w:rFonts w:hint="eastAsia" w:ascii="微软简标宋" w:hAnsi="微软简标宋" w:eastAsia="微软简标宋" w:cs="微软简标宋"/>
          <w:color w:val="auto"/>
          <w:spacing w:val="85"/>
          <w:sz w:val="44"/>
          <w:szCs w:val="44"/>
          <w:highlight w:val="none"/>
          <w:lang w:eastAsia="zh-CN"/>
        </w:rPr>
        <w:t>国有企业采购合</w:t>
      </w:r>
      <w:r>
        <w:rPr>
          <w:rFonts w:hint="eastAsia" w:ascii="微软简标宋" w:hAnsi="微软简标宋" w:eastAsia="微软简标宋" w:cs="微软简标宋"/>
          <w:color w:val="auto"/>
          <w:sz w:val="44"/>
          <w:szCs w:val="44"/>
          <w:highlight w:val="none"/>
          <w:lang w:eastAsia="zh-CN"/>
        </w:rPr>
        <w:t>同</w:t>
      </w:r>
    </w:p>
    <w:p w14:paraId="77D0DD1F">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  购  人：</w:t>
      </w:r>
      <w:r>
        <w:rPr>
          <w:rFonts w:hint="eastAsia" w:ascii="宋体" w:hAnsi="宋体"/>
          <w:color w:val="auto"/>
          <w:sz w:val="24"/>
          <w:szCs w:val="24"/>
          <w:highlight w:val="none"/>
          <w:u w:val="single"/>
          <w:lang w:bidi="ar"/>
        </w:rPr>
        <w:t xml:space="preserve">                 </w:t>
      </w:r>
      <w:r>
        <w:rPr>
          <w:rFonts w:hint="eastAsia" w:ascii="宋体" w:hAnsi="宋体" w:eastAsia="宋体" w:cs="宋体"/>
          <w:color w:val="auto"/>
          <w:sz w:val="24"/>
          <w:szCs w:val="24"/>
          <w:highlight w:val="none"/>
        </w:rPr>
        <w:t>（以下简称甲方）</w:t>
      </w:r>
    </w:p>
    <w:p w14:paraId="45500637">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中</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lang w:eastAsia="zh-CN"/>
        </w:rPr>
        <w:t>标</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lang w:eastAsia="zh-CN"/>
        </w:rPr>
        <w:t>人</w:t>
      </w:r>
      <w:r>
        <w:rPr>
          <w:rFonts w:hint="eastAsia" w:ascii="宋体" w:hAnsi="宋体" w:eastAsia="宋体" w:cs="宋体"/>
          <w:color w:val="auto"/>
          <w:sz w:val="24"/>
          <w:szCs w:val="24"/>
          <w:highlight w:val="none"/>
        </w:rPr>
        <w:t>：</w:t>
      </w:r>
      <w:r>
        <w:rPr>
          <w:rFonts w:hint="eastAsia" w:ascii="宋体" w:hAnsi="宋体"/>
          <w:color w:val="auto"/>
          <w:sz w:val="24"/>
          <w:szCs w:val="24"/>
          <w:highlight w:val="none"/>
          <w:u w:val="single"/>
          <w:lang w:bidi="ar"/>
        </w:rPr>
        <w:t xml:space="preserve">                 </w:t>
      </w:r>
      <w:r>
        <w:rPr>
          <w:rFonts w:hint="eastAsia" w:ascii="宋体" w:hAnsi="宋体" w:eastAsia="宋体" w:cs="宋体"/>
          <w:color w:val="auto"/>
          <w:sz w:val="24"/>
          <w:szCs w:val="24"/>
          <w:highlight w:val="none"/>
        </w:rPr>
        <w:t>（以下简称乙方）</w:t>
      </w:r>
    </w:p>
    <w:p w14:paraId="78ED9444">
      <w:pPr>
        <w:spacing w:line="312" w:lineRule="auto"/>
        <w:ind w:firstLine="480"/>
        <w:rPr>
          <w:rFonts w:ascii="宋体" w:hAnsi="宋体"/>
          <w:color w:val="auto"/>
          <w:highlight w:val="none"/>
        </w:rPr>
      </w:pPr>
      <w:r>
        <w:rPr>
          <w:rFonts w:hint="eastAsia" w:ascii="宋体" w:hAnsi="宋体"/>
          <w:color w:val="auto"/>
          <w:highlight w:val="none"/>
          <w:lang w:bidi="ar"/>
        </w:rPr>
        <w:t>根据</w:t>
      </w:r>
      <w:r>
        <w:rPr>
          <w:rFonts w:hint="eastAsia" w:ascii="宋体" w:hAnsi="宋体"/>
          <w:color w:val="auto"/>
          <w:highlight w:val="none"/>
          <w:u w:val="single"/>
          <w:lang w:bidi="ar"/>
        </w:rPr>
        <w:t xml:space="preserve">                 </w:t>
      </w:r>
      <w:r>
        <w:rPr>
          <w:rFonts w:hint="eastAsia" w:ascii="宋体" w:hAnsi="宋体"/>
          <w:color w:val="auto"/>
          <w:highlight w:val="none"/>
          <w:lang w:bidi="ar"/>
        </w:rPr>
        <w:t>（项目编号：</w:t>
      </w:r>
      <w:r>
        <w:rPr>
          <w:rFonts w:hint="eastAsia" w:ascii="宋体" w:hAnsi="宋体"/>
          <w:color w:val="auto"/>
          <w:highlight w:val="none"/>
          <w:u w:val="single"/>
          <w:lang w:bidi="ar"/>
        </w:rPr>
        <w:t xml:space="preserve">             </w:t>
      </w:r>
      <w:r>
        <w:rPr>
          <w:rFonts w:hint="eastAsia" w:ascii="宋体" w:hAnsi="宋体"/>
          <w:color w:val="auto"/>
          <w:highlight w:val="none"/>
          <w:lang w:bidi="ar"/>
        </w:rPr>
        <w:t>）的采购结果，按照《中华人民共和国政府采购法》、《中华人民共和国民法典》的规定，</w:t>
      </w:r>
      <w:r>
        <w:rPr>
          <w:rFonts w:hint="eastAsia" w:ascii="宋体" w:hAnsi="宋体"/>
          <w:color w:val="auto"/>
          <w:kern w:val="28"/>
          <w:highlight w:val="none"/>
          <w:lang w:bidi="ar"/>
        </w:rPr>
        <w:t>经双方协商，</w:t>
      </w:r>
      <w:r>
        <w:rPr>
          <w:rFonts w:hint="eastAsia" w:ascii="宋体" w:hAnsi="宋体"/>
          <w:color w:val="auto"/>
          <w:highlight w:val="none"/>
          <w:lang w:bidi="ar"/>
        </w:rPr>
        <w:t>本着平等互利和诚实信用的原则，</w:t>
      </w:r>
      <w:r>
        <w:rPr>
          <w:rFonts w:hint="eastAsia" w:ascii="宋体" w:hAnsi="宋体"/>
          <w:color w:val="auto"/>
          <w:kern w:val="28"/>
          <w:highlight w:val="none"/>
          <w:lang w:bidi="ar"/>
        </w:rPr>
        <w:t>一致同意签订本合同如下</w:t>
      </w:r>
      <w:r>
        <w:rPr>
          <w:rFonts w:hint="eastAsia" w:ascii="宋体" w:hAnsi="宋体"/>
          <w:color w:val="auto"/>
          <w:highlight w:val="none"/>
          <w:lang w:bidi="ar"/>
        </w:rPr>
        <w:t>：</w:t>
      </w:r>
    </w:p>
    <w:p w14:paraId="0684C15E">
      <w:pPr>
        <w:spacing w:line="312" w:lineRule="auto"/>
        <w:ind w:firstLine="480"/>
        <w:outlineLvl w:val="1"/>
        <w:rPr>
          <w:rFonts w:ascii="宋体" w:hAnsi="宋体"/>
          <w:b/>
          <w:bCs w:val="0"/>
          <w:color w:val="auto"/>
          <w:highlight w:val="none"/>
        </w:rPr>
      </w:pPr>
      <w:bookmarkStart w:id="880" w:name="_Toc24611"/>
      <w:bookmarkStart w:id="881" w:name="_Toc9167"/>
      <w:bookmarkStart w:id="882" w:name="_Toc29064"/>
      <w:bookmarkStart w:id="883" w:name="_Toc9486"/>
      <w:bookmarkStart w:id="884" w:name="_Toc1140"/>
      <w:bookmarkStart w:id="885" w:name="_Toc32309"/>
      <w:r>
        <w:rPr>
          <w:rFonts w:hint="eastAsia" w:ascii="宋体" w:hAnsi="宋体"/>
          <w:b/>
          <w:bCs w:val="0"/>
          <w:color w:val="auto"/>
          <w:highlight w:val="none"/>
          <w:lang w:bidi="ar"/>
        </w:rPr>
        <w:t>一、合同文件组成</w:t>
      </w:r>
      <w:bookmarkEnd w:id="880"/>
      <w:bookmarkEnd w:id="881"/>
      <w:bookmarkEnd w:id="882"/>
      <w:bookmarkEnd w:id="883"/>
      <w:bookmarkEnd w:id="884"/>
      <w:bookmarkEnd w:id="885"/>
    </w:p>
    <w:p w14:paraId="27604BB6">
      <w:pPr>
        <w:pStyle w:val="37"/>
        <w:widowControl w:val="0"/>
        <w:spacing w:before="0" w:beforeAutospacing="0" w:after="0" w:afterAutospacing="0" w:line="312" w:lineRule="auto"/>
        <w:ind w:firstLine="480" w:firstLineChars="200"/>
        <w:rPr>
          <w:bCs/>
          <w:color w:val="auto"/>
          <w:kern w:val="2"/>
          <w:highlight w:val="none"/>
        </w:rPr>
      </w:pPr>
      <w:r>
        <w:rPr>
          <w:rFonts w:hint="eastAsia"/>
          <w:bCs/>
          <w:color w:val="auto"/>
          <w:kern w:val="2"/>
          <w:highlight w:val="none"/>
          <w:lang w:bidi="ar"/>
        </w:rPr>
        <w:t>（1）本合同及附件</w:t>
      </w:r>
    </w:p>
    <w:p w14:paraId="1230B0E9">
      <w:pPr>
        <w:pStyle w:val="37"/>
        <w:widowControl w:val="0"/>
        <w:spacing w:before="0" w:beforeAutospacing="0" w:after="0" w:afterAutospacing="0" w:line="312" w:lineRule="auto"/>
        <w:ind w:firstLine="480" w:firstLineChars="200"/>
        <w:rPr>
          <w:bCs/>
          <w:color w:val="auto"/>
          <w:kern w:val="2"/>
          <w:highlight w:val="none"/>
        </w:rPr>
      </w:pPr>
      <w:r>
        <w:rPr>
          <w:rFonts w:hint="eastAsia"/>
          <w:bCs/>
          <w:color w:val="auto"/>
          <w:kern w:val="2"/>
          <w:highlight w:val="none"/>
          <w:lang w:bidi="ar"/>
        </w:rPr>
        <w:t>（2）</w:t>
      </w:r>
      <w:r>
        <w:rPr>
          <w:rFonts w:hint="eastAsia"/>
          <w:bCs/>
          <w:color w:val="auto"/>
          <w:kern w:val="2"/>
          <w:highlight w:val="none"/>
          <w:lang w:val="en-US" w:eastAsia="zh-CN" w:bidi="ar"/>
        </w:rPr>
        <w:t>中标</w:t>
      </w:r>
      <w:r>
        <w:rPr>
          <w:rFonts w:hint="eastAsia"/>
          <w:bCs/>
          <w:color w:val="auto"/>
          <w:kern w:val="2"/>
          <w:highlight w:val="none"/>
          <w:lang w:bidi="ar"/>
        </w:rPr>
        <w:t>通知书</w:t>
      </w:r>
    </w:p>
    <w:p w14:paraId="0BE621E2">
      <w:pPr>
        <w:pStyle w:val="37"/>
        <w:widowControl w:val="0"/>
        <w:spacing w:before="0" w:beforeAutospacing="0" w:after="0" w:afterAutospacing="0" w:line="312" w:lineRule="auto"/>
        <w:ind w:firstLine="480" w:firstLineChars="200"/>
        <w:rPr>
          <w:bCs/>
          <w:color w:val="auto"/>
          <w:kern w:val="2"/>
          <w:highlight w:val="none"/>
        </w:rPr>
      </w:pPr>
      <w:r>
        <w:rPr>
          <w:rFonts w:hint="eastAsia"/>
          <w:bCs/>
          <w:color w:val="auto"/>
          <w:kern w:val="2"/>
          <w:highlight w:val="none"/>
          <w:lang w:bidi="ar"/>
        </w:rPr>
        <w:t>（3）</w:t>
      </w:r>
      <w:r>
        <w:rPr>
          <w:rFonts w:hint="eastAsia"/>
          <w:bCs/>
          <w:color w:val="auto"/>
          <w:kern w:val="2"/>
          <w:highlight w:val="none"/>
          <w:lang w:val="en-US" w:eastAsia="zh-CN" w:bidi="ar"/>
        </w:rPr>
        <w:t>投标</w:t>
      </w:r>
      <w:r>
        <w:rPr>
          <w:rFonts w:hint="eastAsia"/>
          <w:bCs/>
          <w:color w:val="auto"/>
          <w:kern w:val="2"/>
          <w:highlight w:val="none"/>
          <w:lang w:bidi="ar"/>
        </w:rPr>
        <w:t>文件及其附件</w:t>
      </w:r>
    </w:p>
    <w:p w14:paraId="15275B2F">
      <w:pPr>
        <w:pStyle w:val="37"/>
        <w:widowControl w:val="0"/>
        <w:spacing w:before="0" w:beforeAutospacing="0" w:after="0" w:afterAutospacing="0" w:line="312" w:lineRule="auto"/>
        <w:ind w:firstLine="480" w:firstLineChars="200"/>
        <w:rPr>
          <w:bCs/>
          <w:color w:val="auto"/>
          <w:kern w:val="2"/>
          <w:highlight w:val="none"/>
        </w:rPr>
      </w:pPr>
      <w:r>
        <w:rPr>
          <w:rFonts w:hint="eastAsia"/>
          <w:bCs/>
          <w:color w:val="auto"/>
          <w:kern w:val="2"/>
          <w:highlight w:val="none"/>
          <w:lang w:bidi="ar"/>
        </w:rPr>
        <w:t>（4）</w:t>
      </w:r>
      <w:r>
        <w:rPr>
          <w:rFonts w:hint="eastAsia"/>
          <w:bCs/>
          <w:color w:val="auto"/>
          <w:kern w:val="2"/>
          <w:highlight w:val="none"/>
          <w:lang w:val="en-US" w:eastAsia="zh-CN" w:bidi="ar"/>
        </w:rPr>
        <w:t>招标</w:t>
      </w:r>
      <w:r>
        <w:rPr>
          <w:rFonts w:hint="eastAsia"/>
          <w:bCs/>
          <w:color w:val="auto"/>
          <w:kern w:val="2"/>
          <w:highlight w:val="none"/>
          <w:lang w:bidi="ar"/>
        </w:rPr>
        <w:t>文件</w:t>
      </w:r>
    </w:p>
    <w:p w14:paraId="5AE32E6E">
      <w:pPr>
        <w:pStyle w:val="37"/>
        <w:widowControl w:val="0"/>
        <w:spacing w:before="0" w:beforeAutospacing="0" w:after="0" w:afterAutospacing="0" w:line="312" w:lineRule="auto"/>
        <w:ind w:firstLine="480" w:firstLineChars="200"/>
        <w:rPr>
          <w:rFonts w:hint="default" w:eastAsia="宋体"/>
          <w:bCs/>
          <w:color w:val="auto"/>
          <w:kern w:val="2"/>
          <w:highlight w:val="none"/>
          <w:lang w:val="en-US" w:eastAsia="zh-CN"/>
        </w:rPr>
      </w:pPr>
      <w:r>
        <w:rPr>
          <w:rFonts w:hint="eastAsia"/>
          <w:bCs/>
          <w:color w:val="auto"/>
          <w:kern w:val="2"/>
          <w:highlight w:val="none"/>
          <w:lang w:bidi="ar"/>
        </w:rPr>
        <w:t>（5）</w:t>
      </w:r>
      <w:r>
        <w:rPr>
          <w:rFonts w:hint="eastAsia"/>
          <w:bCs/>
          <w:color w:val="auto"/>
          <w:kern w:val="2"/>
          <w:highlight w:val="none"/>
          <w:lang w:val="en-US" w:eastAsia="zh-CN" w:bidi="ar"/>
        </w:rPr>
        <w:t>澄清、修改文件</w:t>
      </w:r>
    </w:p>
    <w:p w14:paraId="50C3D49C">
      <w:pPr>
        <w:pStyle w:val="37"/>
        <w:widowControl w:val="0"/>
        <w:spacing w:before="0" w:beforeAutospacing="0" w:after="0" w:afterAutospacing="0" w:line="312" w:lineRule="auto"/>
        <w:ind w:firstLine="480" w:firstLineChars="200"/>
        <w:rPr>
          <w:bCs/>
          <w:color w:val="auto"/>
          <w:kern w:val="2"/>
          <w:highlight w:val="none"/>
        </w:rPr>
      </w:pPr>
      <w:r>
        <w:rPr>
          <w:rFonts w:hint="eastAsia"/>
          <w:bCs/>
          <w:color w:val="auto"/>
          <w:kern w:val="2"/>
          <w:highlight w:val="none"/>
          <w:lang w:bidi="ar"/>
        </w:rPr>
        <w:t>在合同订立及履行过程中形成的与本合同有关的文件均构成合同文件组成部分。</w:t>
      </w:r>
    </w:p>
    <w:p w14:paraId="76329B2D">
      <w:pPr>
        <w:pStyle w:val="37"/>
        <w:widowControl w:val="0"/>
        <w:spacing w:before="0" w:beforeAutospacing="0" w:after="0" w:afterAutospacing="0" w:line="312" w:lineRule="auto"/>
        <w:ind w:firstLine="480" w:firstLineChars="200"/>
        <w:rPr>
          <w:bCs/>
          <w:color w:val="auto"/>
          <w:kern w:val="2"/>
          <w:highlight w:val="none"/>
        </w:rPr>
      </w:pPr>
      <w:r>
        <w:rPr>
          <w:rFonts w:hint="eastAsia"/>
          <w:bCs/>
          <w:color w:val="auto"/>
          <w:kern w:val="2"/>
          <w:highlight w:val="none"/>
          <w:lang w:bidi="ar"/>
        </w:rPr>
        <w:t>上述各项合同文件包括合同当事人就该项合同文件所</w:t>
      </w:r>
      <w:r>
        <w:rPr>
          <w:rFonts w:hint="eastAsia"/>
          <w:bCs/>
          <w:color w:val="auto"/>
          <w:kern w:val="2"/>
          <w:highlight w:val="none"/>
          <w:lang w:eastAsia="zh-CN" w:bidi="ar"/>
        </w:rPr>
        <w:t>做出</w:t>
      </w:r>
      <w:r>
        <w:rPr>
          <w:rFonts w:hint="eastAsia"/>
          <w:bCs/>
          <w:color w:val="auto"/>
          <w:kern w:val="2"/>
          <w:highlight w:val="none"/>
          <w:lang w:bidi="ar"/>
        </w:rPr>
        <w:t>的补充和修改，属于同</w:t>
      </w:r>
      <w:r>
        <w:rPr>
          <w:rFonts w:hint="eastAsia"/>
          <w:bCs/>
          <w:color w:val="auto"/>
          <w:kern w:val="2"/>
          <w:highlight w:val="none"/>
          <w:lang w:eastAsia="zh-CN" w:bidi="ar"/>
        </w:rPr>
        <w:t>一项</w:t>
      </w:r>
      <w:r>
        <w:rPr>
          <w:rFonts w:hint="eastAsia"/>
          <w:bCs/>
          <w:color w:val="auto"/>
          <w:kern w:val="2"/>
          <w:highlight w:val="none"/>
          <w:lang w:bidi="ar"/>
        </w:rPr>
        <w:t>内容的文件，以最新签署的为准。</w:t>
      </w:r>
    </w:p>
    <w:p w14:paraId="1F9AB379">
      <w:pPr>
        <w:keepNext w:val="0"/>
        <w:keepLines w:val="0"/>
        <w:pageBreakBefore w:val="0"/>
        <w:kinsoku/>
        <w:wordWrap/>
        <w:overflowPunct/>
        <w:topLinePunct w:val="0"/>
        <w:autoSpaceDE/>
        <w:autoSpaceDN/>
        <w:bidi w:val="0"/>
        <w:spacing w:line="312" w:lineRule="auto"/>
        <w:ind w:firstLine="480"/>
        <w:textAlignment w:val="auto"/>
        <w:outlineLvl w:val="1"/>
        <w:rPr>
          <w:rFonts w:hint="eastAsia" w:ascii="宋体" w:hAnsi="宋体" w:eastAsia="宋体" w:cstheme="minorBidi"/>
          <w:b/>
          <w:bCs w:val="0"/>
          <w:color w:val="auto"/>
          <w:highlight w:val="none"/>
          <w:lang w:val="en-US" w:eastAsia="zh-CN" w:bidi="ar"/>
        </w:rPr>
      </w:pPr>
      <w:bookmarkStart w:id="886" w:name="_Toc6677"/>
      <w:bookmarkStart w:id="887" w:name="_Toc1478"/>
      <w:bookmarkStart w:id="888" w:name="_Toc9432"/>
      <w:bookmarkStart w:id="889" w:name="_Toc6418"/>
      <w:bookmarkStart w:id="890" w:name="_Toc20221"/>
      <w:bookmarkStart w:id="891" w:name="_Toc28478"/>
      <w:bookmarkStart w:id="892" w:name="_Toc25485"/>
      <w:bookmarkStart w:id="893" w:name="_Toc25410"/>
      <w:bookmarkStart w:id="894" w:name="_Toc21819"/>
      <w:r>
        <w:rPr>
          <w:rFonts w:hint="eastAsia" w:ascii="宋体" w:hAnsi="宋体" w:eastAsia="宋体"/>
          <w:b/>
          <w:bCs w:val="0"/>
          <w:color w:val="auto"/>
          <w:szCs w:val="24"/>
          <w:highlight w:val="none"/>
          <w:lang w:val="en-US" w:eastAsia="zh-CN" w:bidi="ar"/>
        </w:rPr>
        <w:t>二</w:t>
      </w:r>
      <w:bookmarkEnd w:id="886"/>
      <w:bookmarkEnd w:id="887"/>
      <w:bookmarkStart w:id="895" w:name="_Toc15367"/>
      <w:bookmarkStart w:id="896" w:name="_Toc31212"/>
      <w:r>
        <w:rPr>
          <w:rFonts w:hint="eastAsia" w:ascii="宋体" w:hAnsi="宋体" w:eastAsia="宋体"/>
          <w:b/>
          <w:bCs w:val="0"/>
          <w:color w:val="auto"/>
          <w:szCs w:val="24"/>
          <w:highlight w:val="none"/>
          <w:lang w:val="en-US" w:eastAsia="zh-CN" w:bidi="ar"/>
        </w:rPr>
        <w:t>、</w:t>
      </w:r>
      <w:r>
        <w:rPr>
          <w:rFonts w:hint="eastAsia" w:ascii="宋体" w:hAnsi="宋体" w:eastAsia="宋体" w:cstheme="minorBidi"/>
          <w:b/>
          <w:bCs w:val="0"/>
          <w:color w:val="auto"/>
          <w:highlight w:val="none"/>
          <w:lang w:val="en-US" w:eastAsia="zh-CN" w:bidi="ar"/>
        </w:rPr>
        <w:t>合同金额及付款方式</w:t>
      </w:r>
      <w:bookmarkEnd w:id="888"/>
    </w:p>
    <w:bookmarkEnd w:id="895"/>
    <w:bookmarkEnd w:id="896"/>
    <w:p w14:paraId="40B641FF">
      <w:pPr>
        <w:spacing w:line="312" w:lineRule="auto"/>
        <w:ind w:firstLine="480" w:firstLineChars="200"/>
        <w:outlineLvl w:val="9"/>
        <w:rPr>
          <w:rFonts w:ascii="宋体" w:hAnsi="宋体"/>
          <w:b/>
          <w:bCs/>
          <w:color w:val="auto"/>
          <w:highlight w:val="none"/>
        </w:rPr>
      </w:pPr>
      <w:r>
        <w:rPr>
          <w:rFonts w:hint="eastAsia" w:ascii="宋体" w:hAnsi="宋体" w:eastAsia="宋体" w:cs="宋体"/>
          <w:i w:val="0"/>
          <w:iCs w:val="0"/>
          <w:color w:val="auto"/>
          <w:sz w:val="24"/>
          <w:szCs w:val="24"/>
          <w:highlight w:val="none"/>
          <w:lang w:val="en-US" w:eastAsia="zh-CN"/>
        </w:rPr>
        <w:t>本合同金额为（大写）：</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lang w:val="en-US" w:eastAsia="zh-CN"/>
        </w:rPr>
        <w:t>元，（小写）￥：</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lang w:val="en-US" w:eastAsia="zh-CN"/>
        </w:rPr>
        <w:t>元人民币</w:t>
      </w:r>
      <w:r>
        <w:rPr>
          <w:rFonts w:hint="eastAsia" w:ascii="宋体" w:hAnsi="宋体" w:cs="宋体"/>
          <w:i w:val="0"/>
          <w:iCs w:val="0"/>
          <w:color w:val="auto"/>
          <w:sz w:val="24"/>
          <w:szCs w:val="24"/>
          <w:highlight w:val="none"/>
          <w:lang w:val="en-US" w:eastAsia="zh-CN"/>
        </w:rPr>
        <w:t>。</w:t>
      </w:r>
      <w:bookmarkStart w:id="897" w:name="_Toc31891"/>
      <w:r>
        <w:rPr>
          <w:rFonts w:hint="eastAsia" w:ascii="宋体" w:hAnsi="宋体" w:cs="宋体"/>
          <w:i w:val="0"/>
          <w:iCs w:val="0"/>
          <w:color w:val="auto"/>
          <w:sz w:val="24"/>
          <w:szCs w:val="24"/>
          <w:highlight w:val="none"/>
          <w:lang w:val="en-US" w:eastAsia="zh-CN"/>
        </w:rPr>
        <w:t>结算</w:t>
      </w:r>
      <w:r>
        <w:rPr>
          <w:rFonts w:hint="eastAsia" w:ascii="宋体" w:hAnsi="宋体" w:cs="宋体"/>
          <w:color w:val="auto"/>
          <w:highlight w:val="none"/>
        </w:rPr>
        <w:t>单价</w:t>
      </w:r>
      <w:r>
        <w:rPr>
          <w:rFonts w:hint="eastAsia" w:ascii="宋体" w:hAnsi="宋体" w:cs="宋体"/>
          <w:color w:val="auto"/>
          <w:highlight w:val="none"/>
          <w:lang w:val="en-US" w:eastAsia="zh-CN"/>
        </w:rPr>
        <w:t>清单如</w:t>
      </w:r>
      <w:r>
        <w:rPr>
          <w:rFonts w:hint="eastAsia" w:ascii="宋体" w:hAnsi="宋体" w:cs="宋体"/>
          <w:i w:val="0"/>
          <w:iCs w:val="0"/>
          <w:color w:val="auto"/>
          <w:sz w:val="24"/>
          <w:szCs w:val="24"/>
          <w:highlight w:val="none"/>
          <w:u w:val="none"/>
          <w:lang w:val="en-US" w:eastAsia="zh-CN"/>
        </w:rPr>
        <w:t>下：</w:t>
      </w:r>
    </w:p>
    <w:tbl>
      <w:tblPr>
        <w:tblStyle w:val="41"/>
        <w:tblW w:w="0" w:type="auto"/>
        <w:jc w:val="center"/>
        <w:tblLayout w:type="fixed"/>
        <w:tblCellMar>
          <w:top w:w="0" w:type="dxa"/>
          <w:left w:w="108" w:type="dxa"/>
          <w:bottom w:w="0" w:type="dxa"/>
          <w:right w:w="108" w:type="dxa"/>
        </w:tblCellMar>
      </w:tblPr>
      <w:tblGrid>
        <w:gridCol w:w="753"/>
        <w:gridCol w:w="5592"/>
        <w:gridCol w:w="625"/>
        <w:gridCol w:w="729"/>
        <w:gridCol w:w="1701"/>
      </w:tblGrid>
      <w:tr w14:paraId="598DE2C4">
        <w:tblPrEx>
          <w:tblCellMar>
            <w:top w:w="0" w:type="dxa"/>
            <w:left w:w="108" w:type="dxa"/>
            <w:bottom w:w="0" w:type="dxa"/>
            <w:right w:w="108" w:type="dxa"/>
          </w:tblCellMar>
        </w:tblPrEx>
        <w:trPr>
          <w:trHeight w:val="620" w:hRule="atLeast"/>
          <w:tblHeader/>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2036D">
            <w:pPr>
              <w:keepNext w:val="0"/>
              <w:keepLines w:val="0"/>
              <w:suppressLineNumbers w:val="0"/>
              <w:spacing w:before="0" w:beforeAutospacing="0" w:after="0" w:afterAutospacing="0"/>
              <w:ind w:left="0" w:right="0" w:firstLine="0" w:firstLineChars="0"/>
              <w:jc w:val="center"/>
              <w:textAlignment w:val="center"/>
              <w:rPr>
                <w:rFonts w:hint="default" w:ascii="宋体" w:hAnsi="宋体" w:eastAsia="宋体" w:cs="宋体"/>
                <w:b/>
                <w:bCs/>
                <w:color w:val="auto"/>
                <w:kern w:val="2"/>
                <w:highlight w:val="none"/>
              </w:rPr>
            </w:pPr>
            <w:r>
              <w:rPr>
                <w:rFonts w:hint="eastAsia" w:ascii="宋体" w:hAnsi="宋体" w:eastAsia="宋体" w:cs="宋体"/>
                <w:b/>
                <w:bCs/>
                <w:color w:val="auto"/>
                <w:highlight w:val="none"/>
                <w:lang w:bidi="ar"/>
              </w:rPr>
              <w:t>序号</w:t>
            </w:r>
          </w:p>
        </w:tc>
        <w:tc>
          <w:tcPr>
            <w:tcW w:w="5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ECDD3">
            <w:pPr>
              <w:keepNext w:val="0"/>
              <w:keepLines w:val="0"/>
              <w:suppressLineNumbers w:val="0"/>
              <w:spacing w:before="0" w:beforeAutospacing="0" w:after="0" w:afterAutospacing="0"/>
              <w:ind w:left="0" w:right="0" w:firstLine="0" w:firstLineChars="0"/>
              <w:jc w:val="center"/>
              <w:textAlignment w:val="center"/>
              <w:rPr>
                <w:rFonts w:hint="default" w:ascii="宋体" w:hAnsi="宋体" w:eastAsia="宋体" w:cs="宋体"/>
                <w:b/>
                <w:bCs/>
                <w:color w:val="auto"/>
                <w:kern w:val="2"/>
                <w:sz w:val="22"/>
                <w:szCs w:val="22"/>
                <w:highlight w:val="none"/>
              </w:rPr>
            </w:pPr>
            <w:r>
              <w:rPr>
                <w:rFonts w:hint="eastAsia" w:ascii="宋体" w:hAnsi="宋体" w:eastAsia="宋体" w:cs="宋体"/>
                <w:b/>
                <w:bCs/>
                <w:color w:val="auto"/>
                <w:sz w:val="22"/>
                <w:szCs w:val="22"/>
                <w:highlight w:val="none"/>
                <w:lang w:bidi="ar"/>
              </w:rPr>
              <w:t>名称</w:t>
            </w: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DC084">
            <w:pPr>
              <w:keepNext w:val="0"/>
              <w:keepLines w:val="0"/>
              <w:suppressLineNumbers w:val="0"/>
              <w:spacing w:before="0" w:beforeAutospacing="0" w:after="0" w:afterAutospacing="0"/>
              <w:ind w:left="0" w:right="0" w:firstLine="0" w:firstLineChars="0"/>
              <w:jc w:val="center"/>
              <w:textAlignment w:val="center"/>
              <w:rPr>
                <w:rFonts w:hint="default" w:ascii="宋体" w:hAnsi="宋体" w:eastAsia="宋体" w:cs="宋体"/>
                <w:b/>
                <w:bCs/>
                <w:color w:val="auto"/>
                <w:kern w:val="2"/>
                <w:sz w:val="22"/>
                <w:szCs w:val="22"/>
                <w:highlight w:val="none"/>
              </w:rPr>
            </w:pPr>
            <w:r>
              <w:rPr>
                <w:rFonts w:hint="eastAsia" w:ascii="宋体" w:hAnsi="宋体" w:eastAsia="宋体" w:cs="宋体"/>
                <w:b/>
                <w:bCs/>
                <w:color w:val="auto"/>
                <w:sz w:val="22"/>
                <w:szCs w:val="22"/>
                <w:highlight w:val="none"/>
                <w:lang w:bidi="ar"/>
              </w:rPr>
              <w:t>单位</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ED121">
            <w:pPr>
              <w:keepNext w:val="0"/>
              <w:keepLines w:val="0"/>
              <w:suppressLineNumbers w:val="0"/>
              <w:spacing w:before="0" w:beforeAutospacing="0" w:after="0" w:afterAutospacing="0"/>
              <w:ind w:left="0" w:right="0" w:firstLine="0" w:firstLineChars="0"/>
              <w:jc w:val="center"/>
              <w:textAlignment w:val="center"/>
              <w:rPr>
                <w:rFonts w:hint="default" w:ascii="宋体" w:hAnsi="宋体" w:eastAsia="宋体" w:cs="宋体"/>
                <w:b/>
                <w:bCs/>
                <w:color w:val="auto"/>
                <w:kern w:val="2"/>
                <w:sz w:val="22"/>
                <w:szCs w:val="22"/>
                <w:highlight w:val="none"/>
              </w:rPr>
            </w:pPr>
            <w:r>
              <w:rPr>
                <w:rFonts w:hint="eastAsia" w:ascii="宋体" w:hAnsi="宋体" w:eastAsia="宋体" w:cs="宋体"/>
                <w:b/>
                <w:bCs/>
                <w:color w:val="auto"/>
                <w:sz w:val="22"/>
                <w:szCs w:val="22"/>
                <w:highlight w:val="none"/>
                <w:lang w:bidi="ar"/>
              </w:rPr>
              <w:t>数量</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6FDBF">
            <w:pPr>
              <w:keepNext w:val="0"/>
              <w:keepLines w:val="0"/>
              <w:suppressLineNumbers w:val="0"/>
              <w:spacing w:before="0" w:beforeAutospacing="0" w:after="0" w:afterAutospacing="0"/>
              <w:ind w:left="0" w:right="0" w:firstLine="0" w:firstLineChars="0"/>
              <w:jc w:val="center"/>
              <w:textAlignment w:val="center"/>
              <w:rPr>
                <w:rFonts w:hint="default" w:ascii="宋体" w:hAnsi="宋体" w:eastAsia="宋体" w:cs="宋体"/>
                <w:b/>
                <w:bCs/>
                <w:color w:val="auto"/>
                <w:sz w:val="22"/>
                <w:szCs w:val="22"/>
                <w:highlight w:val="none"/>
                <w:lang w:bidi="ar"/>
              </w:rPr>
            </w:pPr>
            <w:r>
              <w:rPr>
                <w:rFonts w:hint="eastAsia" w:ascii="宋体" w:hAnsi="宋体" w:eastAsia="宋体" w:cs="宋体"/>
                <w:b/>
                <w:bCs/>
                <w:color w:val="auto"/>
                <w:sz w:val="22"/>
                <w:szCs w:val="22"/>
                <w:highlight w:val="none"/>
                <w:lang w:val="en-US" w:eastAsia="zh-CN" w:bidi="ar"/>
              </w:rPr>
              <w:t>结算</w:t>
            </w:r>
            <w:r>
              <w:rPr>
                <w:rFonts w:hint="eastAsia" w:ascii="宋体" w:hAnsi="宋体" w:eastAsia="宋体" w:cs="宋体"/>
                <w:b/>
                <w:bCs/>
                <w:color w:val="auto"/>
                <w:sz w:val="22"/>
                <w:szCs w:val="22"/>
                <w:highlight w:val="none"/>
                <w:lang w:bidi="ar"/>
              </w:rPr>
              <w:t>单价（元）</w:t>
            </w:r>
          </w:p>
        </w:tc>
      </w:tr>
      <w:tr w14:paraId="5E679439">
        <w:tblPrEx>
          <w:tblCellMar>
            <w:top w:w="0" w:type="dxa"/>
            <w:left w:w="108" w:type="dxa"/>
            <w:bottom w:w="0" w:type="dxa"/>
            <w:right w:w="108" w:type="dxa"/>
          </w:tblCellMar>
        </w:tblPrEx>
        <w:trPr>
          <w:trHeight w:val="40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382BD">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5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6C92D">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CH 15W-40 柴机油</w:t>
            </w: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90208">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桶</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E688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5A34F">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434D94B5">
        <w:tblPrEx>
          <w:tblCellMar>
            <w:top w:w="0" w:type="dxa"/>
            <w:left w:w="108" w:type="dxa"/>
            <w:bottom w:w="0" w:type="dxa"/>
            <w:right w:w="108" w:type="dxa"/>
          </w:tblCellMar>
        </w:tblPrEx>
        <w:trPr>
          <w:trHeight w:val="40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5049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highlight w:val="none"/>
                <w:lang w:bidi="ar"/>
              </w:rPr>
            </w:pPr>
            <w:r>
              <w:rPr>
                <w:rFonts w:hint="eastAsia" w:ascii="宋体" w:hAnsi="宋体" w:eastAsia="宋体" w:cs="宋体"/>
                <w:i w:val="0"/>
                <w:iCs w:val="0"/>
                <w:color w:val="auto"/>
                <w:kern w:val="2"/>
                <w:sz w:val="24"/>
                <w:szCs w:val="24"/>
                <w:highlight w:val="none"/>
                <w:u w:val="none"/>
                <w:lang w:val="en-US" w:eastAsia="zh-CN" w:bidi="ar"/>
              </w:rPr>
              <w:t>2</w:t>
            </w:r>
          </w:p>
        </w:tc>
        <w:tc>
          <w:tcPr>
            <w:tcW w:w="5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8F57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机油滤芯</w:t>
            </w: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7A81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176D5">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3230F">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1D2D4E8D">
        <w:tblPrEx>
          <w:tblCellMar>
            <w:top w:w="0" w:type="dxa"/>
            <w:left w:w="108" w:type="dxa"/>
            <w:bottom w:w="0" w:type="dxa"/>
            <w:right w:w="108" w:type="dxa"/>
          </w:tblCellMar>
        </w:tblPrEx>
        <w:trPr>
          <w:trHeight w:val="40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5FEF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highlight w:val="none"/>
                <w:lang w:bidi="ar"/>
              </w:rPr>
            </w:pPr>
            <w:r>
              <w:rPr>
                <w:rFonts w:hint="eastAsia" w:ascii="宋体" w:hAnsi="宋体" w:eastAsia="宋体" w:cs="宋体"/>
                <w:i w:val="0"/>
                <w:iCs w:val="0"/>
                <w:color w:val="auto"/>
                <w:kern w:val="2"/>
                <w:sz w:val="24"/>
                <w:szCs w:val="24"/>
                <w:highlight w:val="none"/>
                <w:u w:val="none"/>
                <w:lang w:val="en-US" w:eastAsia="zh-CN" w:bidi="ar"/>
              </w:rPr>
              <w:t>3</w:t>
            </w:r>
          </w:p>
        </w:tc>
        <w:tc>
          <w:tcPr>
            <w:tcW w:w="5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7CFD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空气滤芯</w:t>
            </w: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FCCF9">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6D9AC">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D7FAC">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2B5AF49C">
        <w:tblPrEx>
          <w:tblCellMar>
            <w:top w:w="0" w:type="dxa"/>
            <w:left w:w="108" w:type="dxa"/>
            <w:bottom w:w="0" w:type="dxa"/>
            <w:right w:w="108" w:type="dxa"/>
          </w:tblCellMar>
        </w:tblPrEx>
        <w:trPr>
          <w:trHeight w:val="40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0FB85">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highlight w:val="none"/>
                <w:lang w:bidi="ar"/>
              </w:rPr>
            </w:pPr>
            <w:r>
              <w:rPr>
                <w:rFonts w:hint="eastAsia" w:ascii="宋体" w:hAnsi="宋体" w:eastAsia="宋体" w:cs="宋体"/>
                <w:i w:val="0"/>
                <w:iCs w:val="0"/>
                <w:color w:val="auto"/>
                <w:kern w:val="2"/>
                <w:sz w:val="24"/>
                <w:szCs w:val="24"/>
                <w:highlight w:val="none"/>
                <w:u w:val="none"/>
                <w:lang w:val="en-US" w:eastAsia="zh-CN" w:bidi="ar"/>
              </w:rPr>
              <w:t>4</w:t>
            </w:r>
          </w:p>
        </w:tc>
        <w:tc>
          <w:tcPr>
            <w:tcW w:w="5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372AD">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燃油精滤</w:t>
            </w: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ED5F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27FC9">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E5E70">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33D0F0BA">
        <w:tblPrEx>
          <w:tblCellMar>
            <w:top w:w="0" w:type="dxa"/>
            <w:left w:w="108" w:type="dxa"/>
            <w:bottom w:w="0" w:type="dxa"/>
            <w:right w:w="108" w:type="dxa"/>
          </w:tblCellMar>
        </w:tblPrEx>
        <w:trPr>
          <w:trHeight w:val="40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CC5EE">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highlight w:val="none"/>
                <w:lang w:bidi="ar"/>
              </w:rPr>
            </w:pPr>
            <w:r>
              <w:rPr>
                <w:rFonts w:hint="eastAsia" w:ascii="宋体" w:hAnsi="宋体" w:eastAsia="宋体" w:cs="宋体"/>
                <w:i w:val="0"/>
                <w:iCs w:val="0"/>
                <w:color w:val="auto"/>
                <w:kern w:val="2"/>
                <w:sz w:val="24"/>
                <w:szCs w:val="24"/>
                <w:highlight w:val="none"/>
                <w:u w:val="none"/>
                <w:lang w:val="en-US" w:eastAsia="zh-CN" w:bidi="ar"/>
              </w:rPr>
              <w:t>5</w:t>
            </w:r>
          </w:p>
        </w:tc>
        <w:tc>
          <w:tcPr>
            <w:tcW w:w="5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8EEA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燃油粗滤</w:t>
            </w: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AC3FC">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14556">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C452D">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40169098">
        <w:tblPrEx>
          <w:tblCellMar>
            <w:top w:w="0" w:type="dxa"/>
            <w:left w:w="108" w:type="dxa"/>
            <w:bottom w:w="0" w:type="dxa"/>
            <w:right w:w="108" w:type="dxa"/>
          </w:tblCellMar>
        </w:tblPrEx>
        <w:trPr>
          <w:trHeight w:val="40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66E7D">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highlight w:val="none"/>
                <w:lang w:bidi="ar"/>
              </w:rPr>
            </w:pPr>
            <w:r>
              <w:rPr>
                <w:rFonts w:hint="eastAsia" w:ascii="宋体" w:hAnsi="宋体" w:eastAsia="宋体" w:cs="宋体"/>
                <w:i w:val="0"/>
                <w:iCs w:val="0"/>
                <w:color w:val="auto"/>
                <w:kern w:val="2"/>
                <w:sz w:val="24"/>
                <w:szCs w:val="24"/>
                <w:highlight w:val="none"/>
                <w:u w:val="none"/>
                <w:lang w:val="en-US" w:eastAsia="zh-CN" w:bidi="ar"/>
              </w:rPr>
              <w:t>6</w:t>
            </w:r>
          </w:p>
        </w:tc>
        <w:tc>
          <w:tcPr>
            <w:tcW w:w="5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D6F2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燃油油水滤</w:t>
            </w: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B9265">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9DD9E">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D89F1">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64E937D3">
        <w:tblPrEx>
          <w:tblCellMar>
            <w:top w:w="0" w:type="dxa"/>
            <w:left w:w="108" w:type="dxa"/>
            <w:bottom w:w="0" w:type="dxa"/>
            <w:right w:w="108" w:type="dxa"/>
          </w:tblCellMar>
        </w:tblPrEx>
        <w:trPr>
          <w:trHeight w:val="40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E07E1">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highlight w:val="none"/>
                <w:lang w:bidi="ar"/>
              </w:rPr>
            </w:pPr>
            <w:r>
              <w:rPr>
                <w:rFonts w:hint="eastAsia" w:ascii="宋体" w:hAnsi="宋体" w:eastAsia="宋体" w:cs="宋体"/>
                <w:i w:val="0"/>
                <w:iCs w:val="0"/>
                <w:color w:val="auto"/>
                <w:kern w:val="2"/>
                <w:sz w:val="24"/>
                <w:szCs w:val="24"/>
                <w:highlight w:val="none"/>
                <w:u w:val="none"/>
                <w:lang w:val="en-US" w:eastAsia="zh-CN" w:bidi="ar"/>
              </w:rPr>
              <w:t>7</w:t>
            </w:r>
          </w:p>
        </w:tc>
        <w:tc>
          <w:tcPr>
            <w:tcW w:w="5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454E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液力8号传动油</w:t>
            </w: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8B647">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桶</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7FF96">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41F1B">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54C0E078">
        <w:tblPrEx>
          <w:tblCellMar>
            <w:top w:w="0" w:type="dxa"/>
            <w:left w:w="108" w:type="dxa"/>
            <w:bottom w:w="0" w:type="dxa"/>
            <w:right w:w="108" w:type="dxa"/>
          </w:tblCellMar>
        </w:tblPrEx>
        <w:trPr>
          <w:trHeight w:val="40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D40E3">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highlight w:val="none"/>
                <w:lang w:bidi="ar"/>
              </w:rPr>
            </w:pPr>
            <w:r>
              <w:rPr>
                <w:rFonts w:hint="eastAsia" w:ascii="宋体" w:hAnsi="宋体" w:eastAsia="宋体" w:cs="宋体"/>
                <w:i w:val="0"/>
                <w:iCs w:val="0"/>
                <w:color w:val="auto"/>
                <w:kern w:val="2"/>
                <w:sz w:val="24"/>
                <w:szCs w:val="24"/>
                <w:highlight w:val="none"/>
                <w:u w:val="none"/>
                <w:lang w:val="en-US" w:eastAsia="zh-CN" w:bidi="ar"/>
              </w:rPr>
              <w:t>8</w:t>
            </w:r>
          </w:p>
        </w:tc>
        <w:tc>
          <w:tcPr>
            <w:tcW w:w="5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8140D">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变速箱滤芯</w:t>
            </w: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68E83">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581B7">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9B8BA">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566F1657">
        <w:tblPrEx>
          <w:tblCellMar>
            <w:top w:w="0" w:type="dxa"/>
            <w:left w:w="108" w:type="dxa"/>
            <w:bottom w:w="0" w:type="dxa"/>
            <w:right w:w="108" w:type="dxa"/>
          </w:tblCellMar>
        </w:tblPrEx>
        <w:trPr>
          <w:trHeight w:val="40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933A9">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highlight w:val="none"/>
                <w:lang w:bidi="ar"/>
              </w:rPr>
            </w:pPr>
            <w:r>
              <w:rPr>
                <w:rFonts w:hint="eastAsia" w:ascii="宋体" w:hAnsi="宋体" w:eastAsia="宋体" w:cs="宋体"/>
                <w:i w:val="0"/>
                <w:iCs w:val="0"/>
                <w:color w:val="auto"/>
                <w:kern w:val="2"/>
                <w:sz w:val="24"/>
                <w:szCs w:val="24"/>
                <w:highlight w:val="none"/>
                <w:u w:val="none"/>
                <w:lang w:val="en-US" w:eastAsia="zh-CN" w:bidi="ar"/>
              </w:rPr>
              <w:t>9</w:t>
            </w:r>
          </w:p>
        </w:tc>
        <w:tc>
          <w:tcPr>
            <w:tcW w:w="5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BD1B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液压油箱空气滤芯</w:t>
            </w: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C91FD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36FB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CF67B">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1852F517">
        <w:tblPrEx>
          <w:tblCellMar>
            <w:top w:w="0" w:type="dxa"/>
            <w:left w:w="108" w:type="dxa"/>
            <w:bottom w:w="0" w:type="dxa"/>
            <w:right w:w="108" w:type="dxa"/>
          </w:tblCellMar>
        </w:tblPrEx>
        <w:trPr>
          <w:trHeight w:val="40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0096E">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highlight w:val="none"/>
                <w:lang w:bidi="ar"/>
              </w:rPr>
            </w:pPr>
            <w:r>
              <w:rPr>
                <w:rFonts w:hint="eastAsia" w:ascii="宋体" w:hAnsi="宋体" w:eastAsia="宋体" w:cs="宋体"/>
                <w:i w:val="0"/>
                <w:iCs w:val="0"/>
                <w:color w:val="auto"/>
                <w:kern w:val="2"/>
                <w:sz w:val="24"/>
                <w:szCs w:val="24"/>
                <w:highlight w:val="none"/>
                <w:u w:val="none"/>
                <w:lang w:val="en-US" w:eastAsia="zh-CN" w:bidi="ar"/>
              </w:rPr>
              <w:t>10</w:t>
            </w:r>
          </w:p>
        </w:tc>
        <w:tc>
          <w:tcPr>
            <w:tcW w:w="5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A729B9">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空调内循环滤网</w:t>
            </w: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E6658">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342B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2DAEF">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18711AFD">
        <w:tblPrEx>
          <w:tblCellMar>
            <w:top w:w="0" w:type="dxa"/>
            <w:left w:w="108" w:type="dxa"/>
            <w:bottom w:w="0" w:type="dxa"/>
            <w:right w:w="108" w:type="dxa"/>
          </w:tblCellMar>
        </w:tblPrEx>
        <w:trPr>
          <w:trHeight w:val="40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F74F3">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highlight w:val="none"/>
                <w:lang w:bidi="ar"/>
              </w:rPr>
            </w:pPr>
            <w:r>
              <w:rPr>
                <w:rFonts w:hint="eastAsia" w:ascii="宋体" w:hAnsi="宋体" w:eastAsia="宋体" w:cs="宋体"/>
                <w:i w:val="0"/>
                <w:iCs w:val="0"/>
                <w:color w:val="auto"/>
                <w:kern w:val="2"/>
                <w:sz w:val="24"/>
                <w:szCs w:val="24"/>
                <w:highlight w:val="none"/>
                <w:u w:val="none"/>
                <w:lang w:val="en-US" w:eastAsia="zh-CN" w:bidi="ar"/>
              </w:rPr>
              <w:t>11</w:t>
            </w:r>
          </w:p>
        </w:tc>
        <w:tc>
          <w:tcPr>
            <w:tcW w:w="5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1779E8">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液压油箱回油滤芯</w:t>
            </w: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A1EB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BF00B9">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550BC">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0916DDB9">
        <w:tblPrEx>
          <w:tblCellMar>
            <w:top w:w="0" w:type="dxa"/>
            <w:left w:w="108" w:type="dxa"/>
            <w:bottom w:w="0" w:type="dxa"/>
            <w:right w:w="108" w:type="dxa"/>
          </w:tblCellMar>
        </w:tblPrEx>
        <w:trPr>
          <w:trHeight w:val="40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58DEE">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highlight w:val="none"/>
                <w:lang w:bidi="ar"/>
              </w:rPr>
            </w:pPr>
            <w:r>
              <w:rPr>
                <w:rFonts w:hint="eastAsia" w:ascii="宋体" w:hAnsi="宋体" w:eastAsia="宋体" w:cs="宋体"/>
                <w:i w:val="0"/>
                <w:iCs w:val="0"/>
                <w:color w:val="auto"/>
                <w:kern w:val="2"/>
                <w:sz w:val="24"/>
                <w:szCs w:val="24"/>
                <w:highlight w:val="none"/>
                <w:u w:val="none"/>
                <w:lang w:val="en-US" w:eastAsia="zh-CN" w:bidi="ar"/>
              </w:rPr>
              <w:t>12</w:t>
            </w:r>
          </w:p>
        </w:tc>
        <w:tc>
          <w:tcPr>
            <w:tcW w:w="5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7E559">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46号抗磨液压油</w:t>
            </w: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8149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桶</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CB636">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65002">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182214CB">
        <w:tblPrEx>
          <w:tblCellMar>
            <w:top w:w="0" w:type="dxa"/>
            <w:left w:w="108" w:type="dxa"/>
            <w:bottom w:w="0" w:type="dxa"/>
            <w:right w:w="108" w:type="dxa"/>
          </w:tblCellMar>
        </w:tblPrEx>
        <w:trPr>
          <w:trHeight w:val="40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D6281">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highlight w:val="none"/>
                <w:lang w:bidi="ar"/>
              </w:rPr>
            </w:pPr>
            <w:r>
              <w:rPr>
                <w:rFonts w:hint="eastAsia" w:ascii="宋体" w:hAnsi="宋体" w:eastAsia="宋体" w:cs="宋体"/>
                <w:i w:val="0"/>
                <w:iCs w:val="0"/>
                <w:color w:val="auto"/>
                <w:kern w:val="2"/>
                <w:sz w:val="24"/>
                <w:szCs w:val="24"/>
                <w:highlight w:val="none"/>
                <w:u w:val="none"/>
                <w:lang w:val="en-US" w:eastAsia="zh-CN" w:bidi="ar"/>
              </w:rPr>
              <w:t>13</w:t>
            </w:r>
          </w:p>
        </w:tc>
        <w:tc>
          <w:tcPr>
            <w:tcW w:w="5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63292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85W/90齿轮油</w:t>
            </w: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95DEF">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桶</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82D9C">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ADB3B">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35C74CBE">
        <w:tblPrEx>
          <w:tblCellMar>
            <w:top w:w="0" w:type="dxa"/>
            <w:left w:w="108" w:type="dxa"/>
            <w:bottom w:w="0" w:type="dxa"/>
            <w:right w:w="108" w:type="dxa"/>
          </w:tblCellMar>
        </w:tblPrEx>
        <w:trPr>
          <w:trHeight w:val="40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D782E">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highlight w:val="none"/>
                <w:lang w:bidi="ar"/>
              </w:rPr>
            </w:pPr>
            <w:r>
              <w:rPr>
                <w:rFonts w:hint="eastAsia" w:ascii="宋体" w:hAnsi="宋体" w:eastAsia="宋体" w:cs="宋体"/>
                <w:i w:val="0"/>
                <w:iCs w:val="0"/>
                <w:color w:val="auto"/>
                <w:kern w:val="2"/>
                <w:sz w:val="24"/>
                <w:szCs w:val="24"/>
                <w:highlight w:val="none"/>
                <w:u w:val="none"/>
                <w:lang w:val="en-US" w:eastAsia="zh-CN" w:bidi="ar"/>
              </w:rPr>
              <w:t>14</w:t>
            </w:r>
          </w:p>
        </w:tc>
        <w:tc>
          <w:tcPr>
            <w:tcW w:w="5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DBA3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上铰接销</w:t>
            </w: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A118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237B1">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E1BCDB">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0AE73691">
        <w:tblPrEx>
          <w:tblCellMar>
            <w:top w:w="0" w:type="dxa"/>
            <w:left w:w="108" w:type="dxa"/>
            <w:bottom w:w="0" w:type="dxa"/>
            <w:right w:w="108" w:type="dxa"/>
          </w:tblCellMar>
        </w:tblPrEx>
        <w:trPr>
          <w:trHeight w:val="40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50351">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highlight w:val="none"/>
                <w:lang w:bidi="ar"/>
              </w:rPr>
            </w:pPr>
            <w:r>
              <w:rPr>
                <w:rFonts w:hint="eastAsia" w:ascii="宋体" w:hAnsi="宋体" w:eastAsia="宋体" w:cs="宋体"/>
                <w:i w:val="0"/>
                <w:iCs w:val="0"/>
                <w:color w:val="auto"/>
                <w:kern w:val="2"/>
                <w:sz w:val="24"/>
                <w:szCs w:val="24"/>
                <w:highlight w:val="none"/>
                <w:u w:val="none"/>
                <w:lang w:val="en-US" w:eastAsia="zh-CN" w:bidi="ar"/>
              </w:rPr>
              <w:t>15</w:t>
            </w:r>
          </w:p>
        </w:tc>
        <w:tc>
          <w:tcPr>
            <w:tcW w:w="5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11415">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下铰接销</w:t>
            </w: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49BE1">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1AE09">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141EE">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1D01B38B">
        <w:tblPrEx>
          <w:tblCellMar>
            <w:top w:w="0" w:type="dxa"/>
            <w:left w:w="108" w:type="dxa"/>
            <w:bottom w:w="0" w:type="dxa"/>
            <w:right w:w="108" w:type="dxa"/>
          </w:tblCellMar>
        </w:tblPrEx>
        <w:trPr>
          <w:trHeight w:val="40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50625">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highlight w:val="none"/>
                <w:lang w:bidi="ar"/>
              </w:rPr>
            </w:pPr>
            <w:r>
              <w:rPr>
                <w:rFonts w:hint="eastAsia" w:ascii="宋体" w:hAnsi="宋体" w:eastAsia="宋体" w:cs="宋体"/>
                <w:i w:val="0"/>
                <w:iCs w:val="0"/>
                <w:color w:val="auto"/>
                <w:kern w:val="2"/>
                <w:sz w:val="24"/>
                <w:szCs w:val="24"/>
                <w:highlight w:val="none"/>
                <w:u w:val="none"/>
                <w:lang w:val="en-US" w:eastAsia="zh-CN" w:bidi="ar"/>
              </w:rPr>
              <w:t>16</w:t>
            </w:r>
          </w:p>
        </w:tc>
        <w:tc>
          <w:tcPr>
            <w:tcW w:w="5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FAF48C">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动臂缸车架销</w:t>
            </w: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F84CD">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06C93">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0CCEA2">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06350A40">
        <w:tblPrEx>
          <w:tblCellMar>
            <w:top w:w="0" w:type="dxa"/>
            <w:left w:w="108" w:type="dxa"/>
            <w:bottom w:w="0" w:type="dxa"/>
            <w:right w:w="108" w:type="dxa"/>
          </w:tblCellMar>
        </w:tblPrEx>
        <w:trPr>
          <w:trHeight w:val="40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4EB6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highlight w:val="none"/>
                <w:lang w:bidi="ar"/>
              </w:rPr>
            </w:pPr>
            <w:r>
              <w:rPr>
                <w:rFonts w:hint="eastAsia" w:ascii="宋体" w:hAnsi="宋体" w:eastAsia="宋体" w:cs="宋体"/>
                <w:i w:val="0"/>
                <w:iCs w:val="0"/>
                <w:color w:val="auto"/>
                <w:kern w:val="2"/>
                <w:sz w:val="24"/>
                <w:szCs w:val="24"/>
                <w:highlight w:val="none"/>
                <w:u w:val="none"/>
                <w:lang w:val="en-US" w:eastAsia="zh-CN" w:bidi="ar"/>
              </w:rPr>
              <w:t>17</w:t>
            </w:r>
          </w:p>
        </w:tc>
        <w:tc>
          <w:tcPr>
            <w:tcW w:w="5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4B1B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翻斗缸前车架销</w:t>
            </w: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D8AD3">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4F8AF">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6B5FB">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377F0D8F">
        <w:tblPrEx>
          <w:tblCellMar>
            <w:top w:w="0" w:type="dxa"/>
            <w:left w:w="108" w:type="dxa"/>
            <w:bottom w:w="0" w:type="dxa"/>
            <w:right w:w="108" w:type="dxa"/>
          </w:tblCellMar>
        </w:tblPrEx>
        <w:trPr>
          <w:trHeight w:val="40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0525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highlight w:val="none"/>
                <w:lang w:bidi="ar"/>
              </w:rPr>
            </w:pPr>
            <w:r>
              <w:rPr>
                <w:rFonts w:hint="eastAsia" w:ascii="宋体" w:hAnsi="宋体" w:eastAsia="宋体" w:cs="宋体"/>
                <w:i w:val="0"/>
                <w:iCs w:val="0"/>
                <w:color w:val="auto"/>
                <w:kern w:val="2"/>
                <w:sz w:val="24"/>
                <w:szCs w:val="24"/>
                <w:highlight w:val="none"/>
                <w:u w:val="none"/>
                <w:lang w:val="en-US" w:eastAsia="zh-CN" w:bidi="ar"/>
              </w:rPr>
              <w:t>18</w:t>
            </w:r>
          </w:p>
        </w:tc>
        <w:tc>
          <w:tcPr>
            <w:tcW w:w="5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CE301">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转向销</w:t>
            </w: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DD21F8">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E4CD33">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029E0">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5C978030">
        <w:tblPrEx>
          <w:tblCellMar>
            <w:top w:w="0" w:type="dxa"/>
            <w:left w:w="108" w:type="dxa"/>
            <w:bottom w:w="0" w:type="dxa"/>
            <w:right w:w="108" w:type="dxa"/>
          </w:tblCellMar>
        </w:tblPrEx>
        <w:trPr>
          <w:trHeight w:val="40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EC626">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highlight w:val="none"/>
                <w:lang w:bidi="ar"/>
              </w:rPr>
            </w:pPr>
            <w:r>
              <w:rPr>
                <w:rFonts w:hint="eastAsia" w:ascii="宋体" w:hAnsi="宋体" w:eastAsia="宋体" w:cs="宋体"/>
                <w:i w:val="0"/>
                <w:iCs w:val="0"/>
                <w:color w:val="auto"/>
                <w:kern w:val="2"/>
                <w:sz w:val="24"/>
                <w:szCs w:val="24"/>
                <w:highlight w:val="none"/>
                <w:u w:val="none"/>
                <w:lang w:val="en-US" w:eastAsia="zh-CN" w:bidi="ar"/>
              </w:rPr>
              <w:t>19</w:t>
            </w:r>
          </w:p>
        </w:tc>
        <w:tc>
          <w:tcPr>
            <w:tcW w:w="5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2746F">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动臂车架销</w:t>
            </w: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437DB">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FAFDF">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B7A37">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1304C395">
        <w:tblPrEx>
          <w:tblCellMar>
            <w:top w:w="0" w:type="dxa"/>
            <w:left w:w="108" w:type="dxa"/>
            <w:bottom w:w="0" w:type="dxa"/>
            <w:right w:w="108" w:type="dxa"/>
          </w:tblCellMar>
        </w:tblPrEx>
        <w:trPr>
          <w:trHeight w:val="40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725C6">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highlight w:val="none"/>
                <w:lang w:bidi="ar"/>
              </w:rPr>
            </w:pPr>
            <w:r>
              <w:rPr>
                <w:rFonts w:hint="eastAsia" w:ascii="宋体" w:hAnsi="宋体" w:eastAsia="宋体" w:cs="宋体"/>
                <w:i w:val="0"/>
                <w:iCs w:val="0"/>
                <w:color w:val="auto"/>
                <w:kern w:val="2"/>
                <w:sz w:val="24"/>
                <w:szCs w:val="24"/>
                <w:highlight w:val="none"/>
                <w:u w:val="none"/>
                <w:lang w:val="en-US" w:eastAsia="zh-CN" w:bidi="ar"/>
              </w:rPr>
              <w:t>20</w:t>
            </w:r>
          </w:p>
        </w:tc>
        <w:tc>
          <w:tcPr>
            <w:tcW w:w="5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3F6B15">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轴承</w:t>
            </w: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CC0FB">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7793B1">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A7204F">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7700CF8B">
        <w:tblPrEx>
          <w:tblCellMar>
            <w:top w:w="0" w:type="dxa"/>
            <w:left w:w="108" w:type="dxa"/>
            <w:bottom w:w="0" w:type="dxa"/>
            <w:right w:w="108" w:type="dxa"/>
          </w:tblCellMar>
        </w:tblPrEx>
        <w:trPr>
          <w:trHeight w:val="40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88D89">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highlight w:val="none"/>
                <w:lang w:bidi="ar"/>
              </w:rPr>
            </w:pPr>
            <w:r>
              <w:rPr>
                <w:rFonts w:hint="eastAsia" w:ascii="宋体" w:hAnsi="宋体" w:eastAsia="宋体" w:cs="宋体"/>
                <w:i w:val="0"/>
                <w:iCs w:val="0"/>
                <w:color w:val="auto"/>
                <w:kern w:val="2"/>
                <w:sz w:val="24"/>
                <w:szCs w:val="24"/>
                <w:highlight w:val="none"/>
                <w:u w:val="none"/>
                <w:lang w:val="en-US" w:eastAsia="zh-CN" w:bidi="ar"/>
              </w:rPr>
              <w:t>21</w:t>
            </w:r>
          </w:p>
        </w:tc>
        <w:tc>
          <w:tcPr>
            <w:tcW w:w="5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0D12F">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衬套</w:t>
            </w: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3FB4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B343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01CBC">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7BC3D9A5">
        <w:tblPrEx>
          <w:tblCellMar>
            <w:top w:w="0" w:type="dxa"/>
            <w:left w:w="108" w:type="dxa"/>
            <w:bottom w:w="0" w:type="dxa"/>
            <w:right w:w="108" w:type="dxa"/>
          </w:tblCellMar>
        </w:tblPrEx>
        <w:trPr>
          <w:trHeight w:val="40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86639">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highlight w:val="none"/>
                <w:lang w:bidi="ar"/>
              </w:rPr>
            </w:pPr>
            <w:r>
              <w:rPr>
                <w:rFonts w:hint="eastAsia" w:ascii="宋体" w:hAnsi="宋体" w:eastAsia="宋体" w:cs="宋体"/>
                <w:i w:val="0"/>
                <w:iCs w:val="0"/>
                <w:color w:val="auto"/>
                <w:kern w:val="2"/>
                <w:sz w:val="24"/>
                <w:szCs w:val="24"/>
                <w:highlight w:val="none"/>
                <w:u w:val="none"/>
                <w:lang w:val="en-US" w:eastAsia="zh-CN" w:bidi="ar"/>
              </w:rPr>
              <w:t>22</w:t>
            </w:r>
          </w:p>
        </w:tc>
        <w:tc>
          <w:tcPr>
            <w:tcW w:w="5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02A85">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左右边齿</w:t>
            </w: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68A2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块</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97FF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B3876">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017DDFAD">
        <w:tblPrEx>
          <w:tblCellMar>
            <w:top w:w="0" w:type="dxa"/>
            <w:left w:w="108" w:type="dxa"/>
            <w:bottom w:w="0" w:type="dxa"/>
            <w:right w:w="108" w:type="dxa"/>
          </w:tblCellMar>
        </w:tblPrEx>
        <w:trPr>
          <w:trHeight w:val="40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5602E">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highlight w:val="none"/>
                <w:lang w:bidi="ar"/>
              </w:rPr>
            </w:pPr>
            <w:r>
              <w:rPr>
                <w:rFonts w:hint="eastAsia" w:ascii="宋体" w:hAnsi="宋体" w:eastAsia="宋体" w:cs="宋体"/>
                <w:i w:val="0"/>
                <w:iCs w:val="0"/>
                <w:color w:val="auto"/>
                <w:kern w:val="2"/>
                <w:sz w:val="24"/>
                <w:szCs w:val="24"/>
                <w:highlight w:val="none"/>
                <w:u w:val="none"/>
                <w:lang w:val="en-US" w:eastAsia="zh-CN" w:bidi="ar"/>
              </w:rPr>
              <w:t>23</w:t>
            </w:r>
          </w:p>
        </w:tc>
        <w:tc>
          <w:tcPr>
            <w:tcW w:w="5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573D5">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半轴</w:t>
            </w: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A441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F19BB">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4AB629">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226E7DF2">
        <w:tblPrEx>
          <w:tblCellMar>
            <w:top w:w="0" w:type="dxa"/>
            <w:left w:w="108" w:type="dxa"/>
            <w:bottom w:w="0" w:type="dxa"/>
            <w:right w:w="108" w:type="dxa"/>
          </w:tblCellMar>
        </w:tblPrEx>
        <w:trPr>
          <w:trHeight w:val="40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88E66">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highlight w:val="none"/>
                <w:lang w:bidi="ar"/>
              </w:rPr>
            </w:pPr>
            <w:r>
              <w:rPr>
                <w:rFonts w:hint="eastAsia" w:ascii="宋体" w:hAnsi="宋体" w:eastAsia="宋体" w:cs="宋体"/>
                <w:i w:val="0"/>
                <w:iCs w:val="0"/>
                <w:color w:val="auto"/>
                <w:kern w:val="2"/>
                <w:sz w:val="24"/>
                <w:szCs w:val="24"/>
                <w:highlight w:val="none"/>
                <w:u w:val="none"/>
                <w:lang w:val="en-US" w:eastAsia="zh-CN" w:bidi="ar"/>
              </w:rPr>
              <w:t>24</w:t>
            </w:r>
          </w:p>
        </w:tc>
        <w:tc>
          <w:tcPr>
            <w:tcW w:w="5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B7B0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电风扇</w:t>
            </w: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91CB81">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8AEB8">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CBCCA">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34E3509A">
        <w:tblPrEx>
          <w:tblCellMar>
            <w:top w:w="0" w:type="dxa"/>
            <w:left w:w="108" w:type="dxa"/>
            <w:bottom w:w="0" w:type="dxa"/>
            <w:right w:w="108" w:type="dxa"/>
          </w:tblCellMar>
        </w:tblPrEx>
        <w:trPr>
          <w:trHeight w:val="40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C335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highlight w:val="none"/>
                <w:lang w:bidi="ar"/>
              </w:rPr>
            </w:pPr>
            <w:r>
              <w:rPr>
                <w:rFonts w:hint="eastAsia" w:ascii="宋体" w:hAnsi="宋体" w:eastAsia="宋体" w:cs="宋体"/>
                <w:i w:val="0"/>
                <w:iCs w:val="0"/>
                <w:color w:val="auto"/>
                <w:kern w:val="2"/>
                <w:sz w:val="24"/>
                <w:szCs w:val="24"/>
                <w:highlight w:val="none"/>
                <w:u w:val="none"/>
                <w:lang w:val="en-US" w:eastAsia="zh-CN" w:bidi="ar"/>
              </w:rPr>
              <w:t>25</w:t>
            </w:r>
          </w:p>
        </w:tc>
        <w:tc>
          <w:tcPr>
            <w:tcW w:w="5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5024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蓄电池</w:t>
            </w: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F4AF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117C2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3B393">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3AB5E4A5">
        <w:tblPrEx>
          <w:tblCellMar>
            <w:top w:w="0" w:type="dxa"/>
            <w:left w:w="108" w:type="dxa"/>
            <w:bottom w:w="0" w:type="dxa"/>
            <w:right w:w="108" w:type="dxa"/>
          </w:tblCellMar>
        </w:tblPrEx>
        <w:trPr>
          <w:trHeight w:val="40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02108">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highlight w:val="none"/>
                <w:lang w:bidi="ar"/>
              </w:rPr>
            </w:pPr>
            <w:r>
              <w:rPr>
                <w:rFonts w:hint="eastAsia" w:ascii="宋体" w:hAnsi="宋体" w:eastAsia="宋体" w:cs="宋体"/>
                <w:i w:val="0"/>
                <w:iCs w:val="0"/>
                <w:color w:val="auto"/>
                <w:kern w:val="2"/>
                <w:sz w:val="24"/>
                <w:szCs w:val="24"/>
                <w:highlight w:val="none"/>
                <w:u w:val="none"/>
                <w:lang w:val="en-US" w:eastAsia="zh-CN" w:bidi="ar"/>
              </w:rPr>
              <w:t>26</w:t>
            </w:r>
          </w:p>
        </w:tc>
        <w:tc>
          <w:tcPr>
            <w:tcW w:w="5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B18FE">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一二级涡轮总成</w:t>
            </w: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32819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80296">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24317">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4A54E28B">
        <w:tblPrEx>
          <w:tblCellMar>
            <w:top w:w="0" w:type="dxa"/>
            <w:left w:w="108" w:type="dxa"/>
            <w:bottom w:w="0" w:type="dxa"/>
            <w:right w:w="108" w:type="dxa"/>
          </w:tblCellMar>
        </w:tblPrEx>
        <w:trPr>
          <w:trHeight w:val="40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D7B2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highlight w:val="none"/>
                <w:lang w:bidi="ar"/>
              </w:rPr>
            </w:pPr>
            <w:r>
              <w:rPr>
                <w:rFonts w:hint="eastAsia" w:ascii="宋体" w:hAnsi="宋体" w:eastAsia="宋体" w:cs="宋体"/>
                <w:i w:val="0"/>
                <w:iCs w:val="0"/>
                <w:color w:val="auto"/>
                <w:kern w:val="2"/>
                <w:sz w:val="24"/>
                <w:szCs w:val="24"/>
                <w:highlight w:val="none"/>
                <w:u w:val="none"/>
                <w:lang w:val="en-US" w:eastAsia="zh-CN" w:bidi="ar"/>
              </w:rPr>
              <w:t>27</w:t>
            </w:r>
          </w:p>
        </w:tc>
        <w:tc>
          <w:tcPr>
            <w:tcW w:w="5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B23B9">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超越离合器总成</w:t>
            </w: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35338">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73D59">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AD91A">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63528712">
        <w:tblPrEx>
          <w:tblCellMar>
            <w:top w:w="0" w:type="dxa"/>
            <w:left w:w="108" w:type="dxa"/>
            <w:bottom w:w="0" w:type="dxa"/>
            <w:right w:w="108" w:type="dxa"/>
          </w:tblCellMar>
        </w:tblPrEx>
        <w:trPr>
          <w:trHeight w:val="40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CC20B">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highlight w:val="none"/>
                <w:lang w:bidi="ar"/>
              </w:rPr>
            </w:pPr>
            <w:r>
              <w:rPr>
                <w:rFonts w:hint="eastAsia" w:ascii="宋体" w:hAnsi="宋体" w:eastAsia="宋体" w:cs="宋体"/>
                <w:i w:val="0"/>
                <w:iCs w:val="0"/>
                <w:color w:val="auto"/>
                <w:kern w:val="2"/>
                <w:sz w:val="24"/>
                <w:szCs w:val="24"/>
                <w:highlight w:val="none"/>
                <w:u w:val="none"/>
                <w:lang w:val="en-US" w:eastAsia="zh-CN" w:bidi="ar"/>
              </w:rPr>
              <w:t>28</w:t>
            </w:r>
          </w:p>
        </w:tc>
        <w:tc>
          <w:tcPr>
            <w:tcW w:w="5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35B7C">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活塞</w:t>
            </w: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65EB3">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套</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B5E61">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9BEB8">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46C40A9F">
        <w:tblPrEx>
          <w:tblCellMar>
            <w:top w:w="0" w:type="dxa"/>
            <w:left w:w="108" w:type="dxa"/>
            <w:bottom w:w="0" w:type="dxa"/>
            <w:right w:w="108" w:type="dxa"/>
          </w:tblCellMar>
        </w:tblPrEx>
        <w:trPr>
          <w:trHeight w:val="40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A88CB">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highlight w:val="none"/>
                <w:lang w:bidi="ar"/>
              </w:rPr>
            </w:pPr>
            <w:r>
              <w:rPr>
                <w:rFonts w:hint="eastAsia" w:ascii="宋体" w:hAnsi="宋体" w:eastAsia="宋体" w:cs="宋体"/>
                <w:i w:val="0"/>
                <w:iCs w:val="0"/>
                <w:color w:val="auto"/>
                <w:kern w:val="2"/>
                <w:sz w:val="24"/>
                <w:szCs w:val="24"/>
                <w:highlight w:val="none"/>
                <w:u w:val="none"/>
                <w:lang w:val="en-US" w:eastAsia="zh-CN" w:bidi="ar"/>
              </w:rPr>
              <w:t>29</w:t>
            </w:r>
          </w:p>
        </w:tc>
        <w:tc>
          <w:tcPr>
            <w:tcW w:w="5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8525F">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空压机</w:t>
            </w: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3BB5F">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76019">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8D2C9">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0A3E3412">
        <w:tblPrEx>
          <w:tblCellMar>
            <w:top w:w="0" w:type="dxa"/>
            <w:left w:w="108" w:type="dxa"/>
            <w:bottom w:w="0" w:type="dxa"/>
            <w:right w:w="108" w:type="dxa"/>
          </w:tblCellMar>
        </w:tblPrEx>
        <w:trPr>
          <w:trHeight w:val="40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F91C8">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highlight w:val="none"/>
                <w:lang w:bidi="ar"/>
              </w:rPr>
            </w:pPr>
            <w:r>
              <w:rPr>
                <w:rFonts w:hint="eastAsia" w:ascii="宋体" w:hAnsi="宋体" w:eastAsia="宋体" w:cs="宋体"/>
                <w:i w:val="0"/>
                <w:iCs w:val="0"/>
                <w:color w:val="auto"/>
                <w:kern w:val="2"/>
                <w:sz w:val="24"/>
                <w:szCs w:val="24"/>
                <w:highlight w:val="none"/>
                <w:u w:val="none"/>
                <w:lang w:val="en-US" w:eastAsia="zh-CN" w:bidi="ar"/>
              </w:rPr>
              <w:t>30</w:t>
            </w:r>
          </w:p>
        </w:tc>
        <w:tc>
          <w:tcPr>
            <w:tcW w:w="5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D58C65">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制动器</w:t>
            </w: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8C73C">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855291">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4CD79">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73760458">
        <w:tblPrEx>
          <w:tblCellMar>
            <w:top w:w="0" w:type="dxa"/>
            <w:left w:w="108" w:type="dxa"/>
            <w:bottom w:w="0" w:type="dxa"/>
            <w:right w:w="108" w:type="dxa"/>
          </w:tblCellMar>
        </w:tblPrEx>
        <w:trPr>
          <w:trHeight w:val="40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875AB">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highlight w:val="none"/>
                <w:lang w:bidi="ar"/>
              </w:rPr>
            </w:pPr>
            <w:r>
              <w:rPr>
                <w:rFonts w:hint="eastAsia" w:ascii="宋体" w:hAnsi="宋体" w:eastAsia="宋体" w:cs="宋体"/>
                <w:i w:val="0"/>
                <w:iCs w:val="0"/>
                <w:color w:val="auto"/>
                <w:kern w:val="2"/>
                <w:sz w:val="24"/>
                <w:szCs w:val="24"/>
                <w:highlight w:val="none"/>
                <w:u w:val="none"/>
                <w:lang w:val="en-US" w:eastAsia="zh-CN" w:bidi="ar"/>
              </w:rPr>
              <w:t>31</w:t>
            </w:r>
          </w:p>
        </w:tc>
        <w:tc>
          <w:tcPr>
            <w:tcW w:w="5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475B8E">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加力泵</w:t>
            </w: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E3AE7">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E1D3E">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CB2C5">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4CF2AA71">
        <w:tblPrEx>
          <w:tblCellMar>
            <w:top w:w="0" w:type="dxa"/>
            <w:left w:w="108" w:type="dxa"/>
            <w:bottom w:w="0" w:type="dxa"/>
            <w:right w:w="108" w:type="dxa"/>
          </w:tblCellMar>
        </w:tblPrEx>
        <w:trPr>
          <w:trHeight w:val="40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B70C7">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highlight w:val="none"/>
                <w:lang w:bidi="ar"/>
              </w:rPr>
            </w:pPr>
            <w:r>
              <w:rPr>
                <w:rFonts w:hint="eastAsia" w:ascii="宋体" w:hAnsi="宋体" w:eastAsia="宋体" w:cs="宋体"/>
                <w:i w:val="0"/>
                <w:iCs w:val="0"/>
                <w:color w:val="auto"/>
                <w:kern w:val="2"/>
                <w:sz w:val="24"/>
                <w:szCs w:val="24"/>
                <w:highlight w:val="none"/>
                <w:u w:val="none"/>
                <w:lang w:val="en-US" w:eastAsia="zh-CN" w:bidi="ar"/>
              </w:rPr>
              <w:t>32</w:t>
            </w:r>
          </w:p>
        </w:tc>
        <w:tc>
          <w:tcPr>
            <w:tcW w:w="5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203D8">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左右动臂油缸</w:t>
            </w: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6897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71BC9">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5CF00">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3CEB01C5">
        <w:tblPrEx>
          <w:tblCellMar>
            <w:top w:w="0" w:type="dxa"/>
            <w:left w:w="108" w:type="dxa"/>
            <w:bottom w:w="0" w:type="dxa"/>
            <w:right w:w="108" w:type="dxa"/>
          </w:tblCellMar>
        </w:tblPrEx>
        <w:trPr>
          <w:trHeight w:val="40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4C581">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highlight w:val="none"/>
                <w:lang w:bidi="ar"/>
              </w:rPr>
            </w:pPr>
            <w:r>
              <w:rPr>
                <w:rFonts w:hint="eastAsia" w:ascii="宋体" w:hAnsi="宋体" w:eastAsia="宋体" w:cs="宋体"/>
                <w:i w:val="0"/>
                <w:iCs w:val="0"/>
                <w:color w:val="auto"/>
                <w:kern w:val="2"/>
                <w:sz w:val="24"/>
                <w:szCs w:val="24"/>
                <w:highlight w:val="none"/>
                <w:u w:val="none"/>
                <w:lang w:val="en-US" w:eastAsia="zh-CN" w:bidi="ar"/>
              </w:rPr>
              <w:t>33</w:t>
            </w:r>
          </w:p>
        </w:tc>
        <w:tc>
          <w:tcPr>
            <w:tcW w:w="5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9BE68">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转向油缸</w:t>
            </w: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6CAC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88025">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96F0B">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2E8C8501">
        <w:tblPrEx>
          <w:tblCellMar>
            <w:top w:w="0" w:type="dxa"/>
            <w:left w:w="108" w:type="dxa"/>
            <w:bottom w:w="0" w:type="dxa"/>
            <w:right w:w="108" w:type="dxa"/>
          </w:tblCellMar>
        </w:tblPrEx>
        <w:trPr>
          <w:trHeight w:val="40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E4EB1">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highlight w:val="none"/>
                <w:lang w:bidi="ar"/>
              </w:rPr>
            </w:pPr>
            <w:r>
              <w:rPr>
                <w:rFonts w:hint="eastAsia" w:ascii="宋体" w:hAnsi="宋体" w:eastAsia="宋体" w:cs="宋体"/>
                <w:i w:val="0"/>
                <w:iCs w:val="0"/>
                <w:color w:val="auto"/>
                <w:kern w:val="2"/>
                <w:sz w:val="24"/>
                <w:szCs w:val="24"/>
                <w:highlight w:val="none"/>
                <w:u w:val="none"/>
                <w:lang w:val="en-US" w:eastAsia="zh-CN" w:bidi="ar"/>
              </w:rPr>
              <w:t>34</w:t>
            </w:r>
          </w:p>
        </w:tc>
        <w:tc>
          <w:tcPr>
            <w:tcW w:w="5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15E75">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翻斗油缸</w:t>
            </w: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C2A9E">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77A58">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C999F">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387346C5">
        <w:tblPrEx>
          <w:tblCellMar>
            <w:top w:w="0" w:type="dxa"/>
            <w:left w:w="108" w:type="dxa"/>
            <w:bottom w:w="0" w:type="dxa"/>
            <w:right w:w="108" w:type="dxa"/>
          </w:tblCellMar>
        </w:tblPrEx>
        <w:trPr>
          <w:trHeight w:val="40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FA01F">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highlight w:val="none"/>
                <w:lang w:bidi="ar"/>
              </w:rPr>
            </w:pPr>
            <w:r>
              <w:rPr>
                <w:rFonts w:hint="eastAsia" w:ascii="宋体" w:hAnsi="宋体" w:eastAsia="宋体" w:cs="宋体"/>
                <w:i w:val="0"/>
                <w:iCs w:val="0"/>
                <w:color w:val="auto"/>
                <w:kern w:val="2"/>
                <w:sz w:val="24"/>
                <w:szCs w:val="24"/>
                <w:highlight w:val="none"/>
                <w:u w:val="none"/>
                <w:lang w:val="en-US" w:eastAsia="zh-CN" w:bidi="ar"/>
              </w:rPr>
              <w:t>35</w:t>
            </w:r>
          </w:p>
        </w:tc>
        <w:tc>
          <w:tcPr>
            <w:tcW w:w="5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6FDCB">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喷油器</w:t>
            </w: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51359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043A3">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CBDF2">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678FF207">
        <w:tblPrEx>
          <w:tblCellMar>
            <w:top w:w="0" w:type="dxa"/>
            <w:left w:w="108" w:type="dxa"/>
            <w:bottom w:w="0" w:type="dxa"/>
            <w:right w:w="108" w:type="dxa"/>
          </w:tblCellMar>
        </w:tblPrEx>
        <w:trPr>
          <w:trHeight w:val="40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BB08C">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highlight w:val="none"/>
                <w:lang w:bidi="ar"/>
              </w:rPr>
            </w:pPr>
            <w:r>
              <w:rPr>
                <w:rFonts w:hint="eastAsia" w:ascii="宋体" w:hAnsi="宋体" w:eastAsia="宋体" w:cs="宋体"/>
                <w:i w:val="0"/>
                <w:iCs w:val="0"/>
                <w:color w:val="auto"/>
                <w:kern w:val="2"/>
                <w:sz w:val="24"/>
                <w:szCs w:val="24"/>
                <w:highlight w:val="none"/>
                <w:u w:val="none"/>
                <w:lang w:val="en-US" w:eastAsia="zh-CN" w:bidi="ar"/>
              </w:rPr>
              <w:t>36</w:t>
            </w:r>
          </w:p>
        </w:tc>
        <w:tc>
          <w:tcPr>
            <w:tcW w:w="5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FDBB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分配阀</w:t>
            </w: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CEA96">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C0EE1">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EDE4B">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5AA61F6B">
        <w:tblPrEx>
          <w:tblCellMar>
            <w:top w:w="0" w:type="dxa"/>
            <w:left w:w="108" w:type="dxa"/>
            <w:bottom w:w="0" w:type="dxa"/>
            <w:right w:w="108" w:type="dxa"/>
          </w:tblCellMar>
        </w:tblPrEx>
        <w:trPr>
          <w:trHeight w:val="40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BCDE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highlight w:val="none"/>
                <w:lang w:bidi="ar"/>
              </w:rPr>
            </w:pPr>
            <w:r>
              <w:rPr>
                <w:rFonts w:hint="eastAsia" w:ascii="宋体" w:hAnsi="宋体" w:eastAsia="宋体" w:cs="宋体"/>
                <w:i w:val="0"/>
                <w:iCs w:val="0"/>
                <w:color w:val="auto"/>
                <w:kern w:val="2"/>
                <w:sz w:val="24"/>
                <w:szCs w:val="24"/>
                <w:highlight w:val="none"/>
                <w:u w:val="none"/>
                <w:lang w:val="en-US" w:eastAsia="zh-CN" w:bidi="ar"/>
              </w:rPr>
              <w:t>37</w:t>
            </w:r>
          </w:p>
        </w:tc>
        <w:tc>
          <w:tcPr>
            <w:tcW w:w="5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03FC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转向器</w:t>
            </w: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D8D1D">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C4C1E">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A0AE7">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625D804B">
        <w:tblPrEx>
          <w:tblCellMar>
            <w:top w:w="0" w:type="dxa"/>
            <w:left w:w="108" w:type="dxa"/>
            <w:bottom w:w="0" w:type="dxa"/>
            <w:right w:w="108" w:type="dxa"/>
          </w:tblCellMar>
        </w:tblPrEx>
        <w:trPr>
          <w:trHeight w:val="40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AE94C">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highlight w:val="none"/>
                <w:lang w:bidi="ar"/>
              </w:rPr>
            </w:pPr>
            <w:r>
              <w:rPr>
                <w:rFonts w:hint="eastAsia" w:ascii="宋体" w:hAnsi="宋体" w:eastAsia="宋体" w:cs="宋体"/>
                <w:i w:val="0"/>
                <w:iCs w:val="0"/>
                <w:color w:val="auto"/>
                <w:kern w:val="2"/>
                <w:sz w:val="24"/>
                <w:szCs w:val="24"/>
                <w:highlight w:val="none"/>
                <w:u w:val="none"/>
                <w:lang w:val="en-US" w:eastAsia="zh-CN" w:bidi="ar"/>
              </w:rPr>
              <w:t>38</w:t>
            </w:r>
          </w:p>
        </w:tc>
        <w:tc>
          <w:tcPr>
            <w:tcW w:w="5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E6288">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转向泵油管</w:t>
            </w: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6C5FF">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62D83">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CB9CA9">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6829A3FD">
        <w:tblPrEx>
          <w:tblCellMar>
            <w:top w:w="0" w:type="dxa"/>
            <w:left w:w="108" w:type="dxa"/>
            <w:bottom w:w="0" w:type="dxa"/>
            <w:right w:w="108" w:type="dxa"/>
          </w:tblCellMar>
        </w:tblPrEx>
        <w:trPr>
          <w:trHeight w:val="40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4E52F">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highlight w:val="none"/>
                <w:lang w:bidi="ar"/>
              </w:rPr>
            </w:pPr>
            <w:r>
              <w:rPr>
                <w:rFonts w:hint="eastAsia" w:ascii="宋体" w:hAnsi="宋体" w:eastAsia="宋体" w:cs="宋体"/>
                <w:i w:val="0"/>
                <w:iCs w:val="0"/>
                <w:color w:val="auto"/>
                <w:kern w:val="2"/>
                <w:sz w:val="24"/>
                <w:szCs w:val="24"/>
                <w:highlight w:val="none"/>
                <w:u w:val="none"/>
                <w:lang w:val="en-US" w:eastAsia="zh-CN" w:bidi="ar"/>
              </w:rPr>
              <w:t>39</w:t>
            </w:r>
          </w:p>
        </w:tc>
        <w:tc>
          <w:tcPr>
            <w:tcW w:w="5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50A8E">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工作泵吸油管</w:t>
            </w: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690EC">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F9305">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C6C03">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5CB3624D">
        <w:tblPrEx>
          <w:tblCellMar>
            <w:top w:w="0" w:type="dxa"/>
            <w:left w:w="108" w:type="dxa"/>
            <w:bottom w:w="0" w:type="dxa"/>
            <w:right w:w="108" w:type="dxa"/>
          </w:tblCellMar>
        </w:tblPrEx>
        <w:trPr>
          <w:trHeight w:val="40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1A55E">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highlight w:val="none"/>
                <w:lang w:bidi="ar"/>
              </w:rPr>
            </w:pPr>
            <w:r>
              <w:rPr>
                <w:rFonts w:hint="eastAsia" w:ascii="宋体" w:hAnsi="宋体" w:eastAsia="宋体" w:cs="宋体"/>
                <w:i w:val="0"/>
                <w:iCs w:val="0"/>
                <w:color w:val="auto"/>
                <w:kern w:val="2"/>
                <w:sz w:val="24"/>
                <w:szCs w:val="24"/>
                <w:highlight w:val="none"/>
                <w:u w:val="none"/>
                <w:lang w:val="en-US" w:eastAsia="zh-CN" w:bidi="ar"/>
              </w:rPr>
              <w:t>40</w:t>
            </w:r>
          </w:p>
        </w:tc>
        <w:tc>
          <w:tcPr>
            <w:tcW w:w="5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F50C5">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齿轮泵</w:t>
            </w: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D664E">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7D53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9A6E8">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69E905A2">
        <w:tblPrEx>
          <w:tblCellMar>
            <w:top w:w="0" w:type="dxa"/>
            <w:left w:w="108" w:type="dxa"/>
            <w:bottom w:w="0" w:type="dxa"/>
            <w:right w:w="108" w:type="dxa"/>
          </w:tblCellMar>
        </w:tblPrEx>
        <w:trPr>
          <w:trHeight w:val="40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354D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highlight w:val="none"/>
                <w:lang w:bidi="ar"/>
              </w:rPr>
            </w:pPr>
            <w:r>
              <w:rPr>
                <w:rFonts w:hint="eastAsia" w:ascii="宋体" w:hAnsi="宋体" w:eastAsia="宋体" w:cs="宋体"/>
                <w:i w:val="0"/>
                <w:iCs w:val="0"/>
                <w:color w:val="auto"/>
                <w:kern w:val="2"/>
                <w:sz w:val="24"/>
                <w:szCs w:val="24"/>
                <w:highlight w:val="none"/>
                <w:u w:val="none"/>
                <w:lang w:val="en-US" w:eastAsia="zh-CN" w:bidi="ar"/>
              </w:rPr>
              <w:t>41</w:t>
            </w:r>
          </w:p>
        </w:tc>
        <w:tc>
          <w:tcPr>
            <w:tcW w:w="5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D06E9">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手制动控制器</w:t>
            </w: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4AC16">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39ED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46123">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147C18B6">
        <w:tblPrEx>
          <w:tblCellMar>
            <w:top w:w="0" w:type="dxa"/>
            <w:left w:w="108" w:type="dxa"/>
            <w:bottom w:w="0" w:type="dxa"/>
            <w:right w:w="108" w:type="dxa"/>
          </w:tblCellMar>
        </w:tblPrEx>
        <w:trPr>
          <w:trHeight w:val="40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E755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highlight w:val="none"/>
                <w:lang w:bidi="ar"/>
              </w:rPr>
            </w:pPr>
            <w:r>
              <w:rPr>
                <w:rFonts w:hint="eastAsia" w:ascii="宋体" w:hAnsi="宋体" w:eastAsia="宋体" w:cs="宋体"/>
                <w:i w:val="0"/>
                <w:iCs w:val="0"/>
                <w:color w:val="auto"/>
                <w:kern w:val="2"/>
                <w:sz w:val="24"/>
                <w:szCs w:val="24"/>
                <w:highlight w:val="none"/>
                <w:u w:val="none"/>
                <w:lang w:val="en-US" w:eastAsia="zh-CN" w:bidi="ar"/>
              </w:rPr>
              <w:t>42</w:t>
            </w:r>
          </w:p>
        </w:tc>
        <w:tc>
          <w:tcPr>
            <w:tcW w:w="5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B76D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组合阀</w:t>
            </w: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2A799">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F1C21">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61D7C">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6ECBDE90">
        <w:tblPrEx>
          <w:tblCellMar>
            <w:top w:w="0" w:type="dxa"/>
            <w:left w:w="108" w:type="dxa"/>
            <w:bottom w:w="0" w:type="dxa"/>
            <w:right w:w="108" w:type="dxa"/>
          </w:tblCellMar>
        </w:tblPrEx>
        <w:trPr>
          <w:trHeight w:val="40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FA7FF">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highlight w:val="none"/>
                <w:lang w:bidi="ar"/>
              </w:rPr>
            </w:pPr>
            <w:r>
              <w:rPr>
                <w:rFonts w:hint="eastAsia" w:ascii="宋体" w:hAnsi="宋体" w:eastAsia="宋体" w:cs="宋体"/>
                <w:i w:val="0"/>
                <w:iCs w:val="0"/>
                <w:color w:val="auto"/>
                <w:kern w:val="2"/>
                <w:sz w:val="24"/>
                <w:szCs w:val="24"/>
                <w:highlight w:val="none"/>
                <w:u w:val="none"/>
                <w:lang w:val="en-US" w:eastAsia="zh-CN" w:bidi="ar"/>
              </w:rPr>
              <w:t>43</w:t>
            </w:r>
          </w:p>
        </w:tc>
        <w:tc>
          <w:tcPr>
            <w:tcW w:w="5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E4AA1">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工作泵</w:t>
            </w: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95528">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00355">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8D7601">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7813497C">
        <w:tblPrEx>
          <w:tblCellMar>
            <w:top w:w="0" w:type="dxa"/>
            <w:left w:w="108" w:type="dxa"/>
            <w:bottom w:w="0" w:type="dxa"/>
            <w:right w:w="108" w:type="dxa"/>
          </w:tblCellMar>
        </w:tblPrEx>
        <w:trPr>
          <w:trHeight w:val="40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776B8">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highlight w:val="none"/>
                <w:lang w:bidi="ar"/>
              </w:rPr>
            </w:pPr>
            <w:r>
              <w:rPr>
                <w:rFonts w:hint="eastAsia" w:ascii="宋体" w:hAnsi="宋体" w:eastAsia="宋体" w:cs="宋体"/>
                <w:i w:val="0"/>
                <w:iCs w:val="0"/>
                <w:color w:val="auto"/>
                <w:kern w:val="2"/>
                <w:sz w:val="24"/>
                <w:szCs w:val="24"/>
                <w:highlight w:val="none"/>
                <w:u w:val="none"/>
                <w:lang w:val="en-US" w:eastAsia="zh-CN" w:bidi="ar"/>
              </w:rPr>
              <w:t>44</w:t>
            </w:r>
          </w:p>
        </w:tc>
        <w:tc>
          <w:tcPr>
            <w:tcW w:w="5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09B9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油管</w:t>
            </w: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D2D15">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根</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BEEE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AB9A6">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4246864C">
        <w:tblPrEx>
          <w:tblCellMar>
            <w:top w:w="0" w:type="dxa"/>
            <w:left w:w="108" w:type="dxa"/>
            <w:bottom w:w="0" w:type="dxa"/>
            <w:right w:w="108" w:type="dxa"/>
          </w:tblCellMar>
        </w:tblPrEx>
        <w:trPr>
          <w:trHeight w:val="40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6526D">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highlight w:val="none"/>
                <w:lang w:bidi="ar"/>
              </w:rPr>
            </w:pPr>
            <w:r>
              <w:rPr>
                <w:rFonts w:hint="eastAsia" w:ascii="宋体" w:hAnsi="宋体" w:eastAsia="宋体" w:cs="宋体"/>
                <w:i w:val="0"/>
                <w:iCs w:val="0"/>
                <w:color w:val="auto"/>
                <w:kern w:val="2"/>
                <w:sz w:val="24"/>
                <w:szCs w:val="24"/>
                <w:highlight w:val="none"/>
                <w:u w:val="none"/>
                <w:lang w:val="en-US" w:eastAsia="zh-CN" w:bidi="ar"/>
              </w:rPr>
              <w:t>45</w:t>
            </w:r>
          </w:p>
        </w:tc>
        <w:tc>
          <w:tcPr>
            <w:tcW w:w="5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CA618">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JX1008A机滤</w:t>
            </w: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A5BA6">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个</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57F2D">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05117">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3F70347A">
        <w:tblPrEx>
          <w:tblCellMar>
            <w:top w:w="0" w:type="dxa"/>
            <w:left w:w="108" w:type="dxa"/>
            <w:bottom w:w="0" w:type="dxa"/>
            <w:right w:w="108" w:type="dxa"/>
          </w:tblCellMar>
        </w:tblPrEx>
        <w:trPr>
          <w:trHeight w:val="64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DE933">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highlight w:val="none"/>
                <w:lang w:bidi="ar"/>
              </w:rPr>
            </w:pPr>
            <w:r>
              <w:rPr>
                <w:rFonts w:hint="eastAsia" w:ascii="宋体" w:hAnsi="宋体" w:eastAsia="宋体" w:cs="宋体"/>
                <w:i w:val="0"/>
                <w:iCs w:val="0"/>
                <w:color w:val="auto"/>
                <w:kern w:val="2"/>
                <w:sz w:val="24"/>
                <w:szCs w:val="24"/>
                <w:highlight w:val="none"/>
                <w:u w:val="none"/>
                <w:lang w:val="en-US" w:eastAsia="zh-CN" w:bidi="ar"/>
              </w:rPr>
              <w:t>46</w:t>
            </w:r>
          </w:p>
        </w:tc>
        <w:tc>
          <w:tcPr>
            <w:tcW w:w="5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D34F6">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LKCQ28-200柴油精滤(LW180KV/200KV洛拖国3)(备件)</w:t>
            </w: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ADED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个</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D6EA1">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75ED0">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039D30ED">
        <w:tblPrEx>
          <w:tblCellMar>
            <w:top w:w="0" w:type="dxa"/>
            <w:left w:w="108" w:type="dxa"/>
            <w:bottom w:w="0" w:type="dxa"/>
            <w:right w:w="108" w:type="dxa"/>
          </w:tblCellMar>
        </w:tblPrEx>
        <w:trPr>
          <w:trHeight w:val="60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08EB7">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highlight w:val="none"/>
                <w:lang w:bidi="ar"/>
              </w:rPr>
            </w:pPr>
            <w:r>
              <w:rPr>
                <w:rFonts w:hint="eastAsia" w:ascii="宋体" w:hAnsi="宋体" w:eastAsia="宋体" w:cs="宋体"/>
                <w:i w:val="0"/>
                <w:iCs w:val="0"/>
                <w:color w:val="auto"/>
                <w:kern w:val="2"/>
                <w:sz w:val="24"/>
                <w:szCs w:val="24"/>
                <w:highlight w:val="none"/>
                <w:u w:val="none"/>
                <w:lang w:val="en-US" w:eastAsia="zh-CN" w:bidi="ar"/>
              </w:rPr>
              <w:t>47</w:t>
            </w:r>
          </w:p>
        </w:tc>
        <w:tc>
          <w:tcPr>
            <w:tcW w:w="5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089F8">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LKCQ28-100柴油预滤（LW180KV/200KV洛拖国3）(备件)</w:t>
            </w: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89DF8">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个</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D27C9">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A1784">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72FF526B">
        <w:tblPrEx>
          <w:tblCellMar>
            <w:top w:w="0" w:type="dxa"/>
            <w:left w:w="108" w:type="dxa"/>
            <w:bottom w:w="0" w:type="dxa"/>
            <w:right w:w="108" w:type="dxa"/>
          </w:tblCellMar>
        </w:tblPrEx>
        <w:trPr>
          <w:trHeight w:val="58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5D2B3">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highlight w:val="none"/>
                <w:lang w:bidi="ar"/>
              </w:rPr>
            </w:pPr>
            <w:r>
              <w:rPr>
                <w:rFonts w:hint="eastAsia" w:ascii="宋体" w:hAnsi="宋体" w:eastAsia="宋体" w:cs="宋体"/>
                <w:i w:val="0"/>
                <w:iCs w:val="0"/>
                <w:color w:val="auto"/>
                <w:kern w:val="2"/>
                <w:sz w:val="24"/>
                <w:szCs w:val="24"/>
                <w:highlight w:val="none"/>
                <w:u w:val="none"/>
                <w:lang w:val="en-US" w:eastAsia="zh-CN" w:bidi="ar"/>
              </w:rPr>
              <w:t>48</w:t>
            </w:r>
          </w:p>
        </w:tc>
        <w:tc>
          <w:tcPr>
            <w:tcW w:w="5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9A3DB">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LKCQ32B-100油水分离器(LW180KV/200KV洛拖国3)(备件)</w:t>
            </w: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7B77B3">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个</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AEE36B">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D6F1A">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48E58CD7">
        <w:tblPrEx>
          <w:tblCellMar>
            <w:top w:w="0" w:type="dxa"/>
            <w:left w:w="108" w:type="dxa"/>
            <w:bottom w:w="0" w:type="dxa"/>
            <w:right w:w="108" w:type="dxa"/>
          </w:tblCellMar>
        </w:tblPrEx>
        <w:trPr>
          <w:trHeight w:val="40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F17E1">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highlight w:val="none"/>
                <w:lang w:bidi="ar"/>
              </w:rPr>
            </w:pPr>
            <w:r>
              <w:rPr>
                <w:rFonts w:hint="eastAsia" w:ascii="宋体" w:hAnsi="宋体" w:eastAsia="宋体" w:cs="宋体"/>
                <w:i w:val="0"/>
                <w:iCs w:val="0"/>
                <w:color w:val="auto"/>
                <w:kern w:val="2"/>
                <w:sz w:val="24"/>
                <w:szCs w:val="24"/>
                <w:highlight w:val="none"/>
                <w:u w:val="none"/>
                <w:lang w:val="en-US" w:eastAsia="zh-CN" w:bidi="ar"/>
              </w:rPr>
              <w:t>49</w:t>
            </w:r>
          </w:p>
        </w:tc>
        <w:tc>
          <w:tcPr>
            <w:tcW w:w="5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9FC6D">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KL2036-0300A 安全滤芯=860121136</w:t>
            </w: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056EF">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个</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21823">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4DD8FA">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6E18D0D9">
        <w:tblPrEx>
          <w:tblCellMar>
            <w:top w:w="0" w:type="dxa"/>
            <w:left w:w="108" w:type="dxa"/>
            <w:bottom w:w="0" w:type="dxa"/>
            <w:right w:w="108" w:type="dxa"/>
          </w:tblCellMar>
        </w:tblPrEx>
        <w:trPr>
          <w:trHeight w:val="40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5EDD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highlight w:val="none"/>
                <w:lang w:bidi="ar"/>
              </w:rPr>
            </w:pPr>
            <w:r>
              <w:rPr>
                <w:rFonts w:hint="eastAsia" w:ascii="宋体" w:hAnsi="宋体" w:eastAsia="宋体" w:cs="宋体"/>
                <w:i w:val="0"/>
                <w:iCs w:val="0"/>
                <w:color w:val="auto"/>
                <w:kern w:val="2"/>
                <w:sz w:val="24"/>
                <w:szCs w:val="24"/>
                <w:highlight w:val="none"/>
                <w:u w:val="none"/>
                <w:lang w:val="en-US" w:eastAsia="zh-CN" w:bidi="ar"/>
              </w:rPr>
              <w:t>50</w:t>
            </w:r>
          </w:p>
        </w:tc>
        <w:tc>
          <w:tcPr>
            <w:tcW w:w="5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1468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KL2036-0100 主滤芯=860121136</w:t>
            </w: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4D489">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个</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17825">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1F848">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7F44B94A">
        <w:tblPrEx>
          <w:tblCellMar>
            <w:top w:w="0" w:type="dxa"/>
            <w:left w:w="108" w:type="dxa"/>
            <w:bottom w:w="0" w:type="dxa"/>
            <w:right w:w="108" w:type="dxa"/>
          </w:tblCellMar>
        </w:tblPrEx>
        <w:trPr>
          <w:trHeight w:val="40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718D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highlight w:val="none"/>
                <w:lang w:bidi="ar"/>
              </w:rPr>
            </w:pPr>
            <w:r>
              <w:rPr>
                <w:rFonts w:hint="eastAsia" w:ascii="宋体" w:hAnsi="宋体" w:eastAsia="宋体" w:cs="宋体"/>
                <w:i w:val="0"/>
                <w:iCs w:val="0"/>
                <w:color w:val="auto"/>
                <w:kern w:val="2"/>
                <w:sz w:val="24"/>
                <w:szCs w:val="24"/>
                <w:highlight w:val="none"/>
                <w:u w:val="none"/>
                <w:lang w:val="en-US" w:eastAsia="zh-CN" w:bidi="ar"/>
              </w:rPr>
              <w:t>51</w:t>
            </w:r>
          </w:p>
        </w:tc>
        <w:tc>
          <w:tcPr>
            <w:tcW w:w="5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06968">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变速箱滤清器</w:t>
            </w: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BDB25">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个</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8D856">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5D656A">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2A48315F">
        <w:tblPrEx>
          <w:tblCellMar>
            <w:top w:w="0" w:type="dxa"/>
            <w:left w:w="108" w:type="dxa"/>
            <w:bottom w:w="0" w:type="dxa"/>
            <w:right w:w="108" w:type="dxa"/>
          </w:tblCellMar>
        </w:tblPrEx>
        <w:trPr>
          <w:trHeight w:val="40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BDBC6">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highlight w:val="none"/>
                <w:lang w:bidi="ar"/>
              </w:rPr>
            </w:pPr>
            <w:r>
              <w:rPr>
                <w:rFonts w:hint="eastAsia" w:ascii="宋体" w:hAnsi="宋体" w:eastAsia="宋体" w:cs="宋体"/>
                <w:i w:val="0"/>
                <w:iCs w:val="0"/>
                <w:color w:val="auto"/>
                <w:kern w:val="2"/>
                <w:sz w:val="24"/>
                <w:szCs w:val="24"/>
                <w:highlight w:val="none"/>
                <w:u w:val="none"/>
                <w:lang w:val="en-US" w:eastAsia="zh-CN" w:bidi="ar"/>
              </w:rPr>
              <w:t>52</w:t>
            </w:r>
          </w:p>
        </w:tc>
        <w:tc>
          <w:tcPr>
            <w:tcW w:w="5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D9C75">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LW188/220(Z3.3.6)变矩器滤芯</w:t>
            </w: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B68F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个</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199DE">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FAA30">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1B01E6A9">
        <w:tblPrEx>
          <w:tblCellMar>
            <w:top w:w="0" w:type="dxa"/>
            <w:left w:w="108" w:type="dxa"/>
            <w:bottom w:w="0" w:type="dxa"/>
            <w:right w:w="108" w:type="dxa"/>
          </w:tblCellMar>
        </w:tblPrEx>
        <w:trPr>
          <w:trHeight w:val="40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2235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highlight w:val="none"/>
                <w:lang w:bidi="ar"/>
              </w:rPr>
            </w:pPr>
            <w:r>
              <w:rPr>
                <w:rFonts w:hint="eastAsia" w:ascii="宋体" w:hAnsi="宋体" w:eastAsia="宋体" w:cs="宋体"/>
                <w:i w:val="0"/>
                <w:iCs w:val="0"/>
                <w:color w:val="auto"/>
                <w:kern w:val="2"/>
                <w:sz w:val="24"/>
                <w:szCs w:val="24"/>
                <w:highlight w:val="none"/>
                <w:u w:val="none"/>
                <w:lang w:val="en-US" w:eastAsia="zh-CN" w:bidi="ar"/>
              </w:rPr>
              <w:t>53</w:t>
            </w:r>
          </w:p>
        </w:tc>
        <w:tc>
          <w:tcPr>
            <w:tcW w:w="5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0A515">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XGHL11-300×10 回油滤芯</w:t>
            </w: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8F8F3">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个</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0F105">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12CEF">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46263FE4">
        <w:tblPrEx>
          <w:tblCellMar>
            <w:top w:w="0" w:type="dxa"/>
            <w:left w:w="108" w:type="dxa"/>
            <w:bottom w:w="0" w:type="dxa"/>
            <w:right w:w="108" w:type="dxa"/>
          </w:tblCellMar>
        </w:tblPrEx>
        <w:trPr>
          <w:trHeight w:val="40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B8FC7">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highlight w:val="none"/>
                <w:lang w:bidi="ar"/>
              </w:rPr>
            </w:pPr>
            <w:r>
              <w:rPr>
                <w:rFonts w:hint="eastAsia" w:ascii="宋体" w:hAnsi="宋体" w:eastAsia="宋体" w:cs="宋体"/>
                <w:i w:val="0"/>
                <w:iCs w:val="0"/>
                <w:color w:val="auto"/>
                <w:kern w:val="2"/>
                <w:sz w:val="24"/>
                <w:szCs w:val="24"/>
                <w:highlight w:val="none"/>
                <w:u w:val="none"/>
                <w:lang w:val="en-US" w:eastAsia="zh-CN" w:bidi="ar"/>
              </w:rPr>
              <w:t>54</w:t>
            </w:r>
          </w:p>
        </w:tc>
        <w:tc>
          <w:tcPr>
            <w:tcW w:w="5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7D4E0C">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D0T4制动液(800克)(SN)(备件)</w:t>
            </w: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2B3CE">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桶</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DADB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8B5B8">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0C95AA3B">
        <w:tblPrEx>
          <w:tblCellMar>
            <w:top w:w="0" w:type="dxa"/>
            <w:left w:w="108" w:type="dxa"/>
            <w:bottom w:w="0" w:type="dxa"/>
            <w:right w:w="108" w:type="dxa"/>
          </w:tblCellMar>
        </w:tblPrEx>
        <w:trPr>
          <w:trHeight w:val="40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8DA7C">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highlight w:val="none"/>
                <w:lang w:bidi="ar"/>
              </w:rPr>
            </w:pPr>
            <w:r>
              <w:rPr>
                <w:rFonts w:hint="eastAsia" w:ascii="宋体" w:hAnsi="宋体" w:eastAsia="宋体" w:cs="宋体"/>
                <w:i w:val="0"/>
                <w:iCs w:val="0"/>
                <w:color w:val="auto"/>
                <w:kern w:val="2"/>
                <w:sz w:val="24"/>
                <w:szCs w:val="24"/>
                <w:highlight w:val="none"/>
                <w:u w:val="none"/>
                <w:lang w:val="en-US" w:eastAsia="zh-CN" w:bidi="ar"/>
              </w:rPr>
              <w:t>55</w:t>
            </w:r>
          </w:p>
        </w:tc>
        <w:tc>
          <w:tcPr>
            <w:tcW w:w="5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03ACB">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徐工46#专用液压油 (18L)(备件)</w:t>
            </w: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0B379">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桶</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559DC">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7ADE22">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05B76057">
        <w:tblPrEx>
          <w:tblCellMar>
            <w:top w:w="0" w:type="dxa"/>
            <w:left w:w="108" w:type="dxa"/>
            <w:bottom w:w="0" w:type="dxa"/>
            <w:right w:w="108" w:type="dxa"/>
          </w:tblCellMar>
        </w:tblPrEx>
        <w:trPr>
          <w:trHeight w:val="40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3D75C">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highlight w:val="none"/>
                <w:lang w:bidi="ar"/>
              </w:rPr>
            </w:pPr>
            <w:r>
              <w:rPr>
                <w:rFonts w:hint="eastAsia" w:ascii="宋体" w:hAnsi="宋体" w:eastAsia="宋体" w:cs="宋体"/>
                <w:i w:val="0"/>
                <w:iCs w:val="0"/>
                <w:color w:val="auto"/>
                <w:kern w:val="2"/>
                <w:sz w:val="24"/>
                <w:szCs w:val="24"/>
                <w:highlight w:val="none"/>
                <w:u w:val="none"/>
                <w:lang w:val="en-US" w:eastAsia="zh-CN" w:bidi="ar"/>
              </w:rPr>
              <w:t>56</w:t>
            </w:r>
          </w:p>
        </w:tc>
        <w:tc>
          <w:tcPr>
            <w:tcW w:w="5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0AC11">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徐工专用齿轮油GL-5 85W/90(18L)(备件)</w:t>
            </w: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D58A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桶</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719B8">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ED7D3">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2A3CE32F">
        <w:tblPrEx>
          <w:tblCellMar>
            <w:top w:w="0" w:type="dxa"/>
            <w:left w:w="108" w:type="dxa"/>
            <w:bottom w:w="0" w:type="dxa"/>
            <w:right w:w="108" w:type="dxa"/>
          </w:tblCellMar>
        </w:tblPrEx>
        <w:trPr>
          <w:trHeight w:val="40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10C8E">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highlight w:val="none"/>
                <w:lang w:bidi="ar"/>
              </w:rPr>
            </w:pPr>
            <w:r>
              <w:rPr>
                <w:rFonts w:hint="eastAsia" w:ascii="宋体" w:hAnsi="宋体" w:eastAsia="宋体" w:cs="宋体"/>
                <w:i w:val="0"/>
                <w:iCs w:val="0"/>
                <w:color w:val="auto"/>
                <w:kern w:val="2"/>
                <w:sz w:val="24"/>
                <w:szCs w:val="24"/>
                <w:highlight w:val="none"/>
                <w:u w:val="none"/>
                <w:lang w:val="en-US" w:eastAsia="zh-CN" w:bidi="ar"/>
              </w:rPr>
              <w:t>57</w:t>
            </w:r>
          </w:p>
        </w:tc>
        <w:tc>
          <w:tcPr>
            <w:tcW w:w="5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4DE5B">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刀板（5吨 带配套螺丝）</w:t>
            </w: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29B2B">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块</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33AF5">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7E617">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660E9F4B">
        <w:tblPrEx>
          <w:tblCellMar>
            <w:top w:w="0" w:type="dxa"/>
            <w:left w:w="108" w:type="dxa"/>
            <w:bottom w:w="0" w:type="dxa"/>
            <w:right w:w="108" w:type="dxa"/>
          </w:tblCellMar>
        </w:tblPrEx>
        <w:trPr>
          <w:trHeight w:val="40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7F5F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highlight w:val="none"/>
                <w:lang w:bidi="ar"/>
              </w:rPr>
            </w:pPr>
            <w:r>
              <w:rPr>
                <w:rFonts w:hint="eastAsia" w:ascii="宋体" w:hAnsi="宋体" w:eastAsia="宋体" w:cs="宋体"/>
                <w:i w:val="0"/>
                <w:iCs w:val="0"/>
                <w:color w:val="auto"/>
                <w:kern w:val="2"/>
                <w:sz w:val="24"/>
                <w:szCs w:val="24"/>
                <w:highlight w:val="none"/>
                <w:u w:val="none"/>
                <w:lang w:val="en-US" w:eastAsia="zh-CN" w:bidi="ar"/>
              </w:rPr>
              <w:t>58</w:t>
            </w:r>
          </w:p>
        </w:tc>
        <w:tc>
          <w:tcPr>
            <w:tcW w:w="5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A2E6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机油滤芯</w:t>
            </w: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E7E6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9206D">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E9F31">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065B7936">
        <w:tblPrEx>
          <w:tblCellMar>
            <w:top w:w="0" w:type="dxa"/>
            <w:left w:w="108" w:type="dxa"/>
            <w:bottom w:w="0" w:type="dxa"/>
            <w:right w:w="108" w:type="dxa"/>
          </w:tblCellMar>
        </w:tblPrEx>
        <w:trPr>
          <w:trHeight w:val="40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C564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highlight w:val="none"/>
                <w:lang w:bidi="ar"/>
              </w:rPr>
            </w:pPr>
            <w:r>
              <w:rPr>
                <w:rFonts w:hint="eastAsia" w:ascii="宋体" w:hAnsi="宋体" w:eastAsia="宋体" w:cs="宋体"/>
                <w:i w:val="0"/>
                <w:iCs w:val="0"/>
                <w:color w:val="auto"/>
                <w:kern w:val="2"/>
                <w:sz w:val="24"/>
                <w:szCs w:val="24"/>
                <w:highlight w:val="none"/>
                <w:u w:val="none"/>
                <w:lang w:val="en-US" w:eastAsia="zh-CN" w:bidi="ar"/>
              </w:rPr>
              <w:t>59</w:t>
            </w:r>
          </w:p>
        </w:tc>
        <w:tc>
          <w:tcPr>
            <w:tcW w:w="5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B21E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变矩器滤芯</w:t>
            </w: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29C9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7C04D9">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98D6D">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5199CB2D">
        <w:tblPrEx>
          <w:tblCellMar>
            <w:top w:w="0" w:type="dxa"/>
            <w:left w:w="108" w:type="dxa"/>
            <w:bottom w:w="0" w:type="dxa"/>
            <w:right w:w="108" w:type="dxa"/>
          </w:tblCellMar>
        </w:tblPrEx>
        <w:trPr>
          <w:trHeight w:val="40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C8CF5">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highlight w:val="none"/>
                <w:lang w:bidi="ar"/>
              </w:rPr>
            </w:pPr>
            <w:r>
              <w:rPr>
                <w:rFonts w:hint="eastAsia" w:ascii="宋体" w:hAnsi="宋体" w:eastAsia="宋体" w:cs="宋体"/>
                <w:i w:val="0"/>
                <w:iCs w:val="0"/>
                <w:color w:val="auto"/>
                <w:kern w:val="2"/>
                <w:sz w:val="24"/>
                <w:szCs w:val="24"/>
                <w:highlight w:val="none"/>
                <w:u w:val="none"/>
                <w:lang w:val="en-US" w:eastAsia="zh-CN" w:bidi="ar"/>
              </w:rPr>
              <w:t>60</w:t>
            </w:r>
          </w:p>
        </w:tc>
        <w:tc>
          <w:tcPr>
            <w:tcW w:w="5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E3873">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空调新风滤网</w:t>
            </w: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F86C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9699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4E6FC">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2B5C46A5">
        <w:tblPrEx>
          <w:tblCellMar>
            <w:top w:w="0" w:type="dxa"/>
            <w:left w:w="108" w:type="dxa"/>
            <w:bottom w:w="0" w:type="dxa"/>
            <w:right w:w="108" w:type="dxa"/>
          </w:tblCellMar>
        </w:tblPrEx>
        <w:trPr>
          <w:trHeight w:val="40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6BAA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highlight w:val="none"/>
                <w:lang w:bidi="ar"/>
              </w:rPr>
            </w:pPr>
            <w:r>
              <w:rPr>
                <w:rFonts w:hint="eastAsia" w:ascii="宋体" w:hAnsi="宋体" w:eastAsia="宋体" w:cs="宋体"/>
                <w:i w:val="0"/>
                <w:iCs w:val="0"/>
                <w:color w:val="auto"/>
                <w:kern w:val="2"/>
                <w:sz w:val="24"/>
                <w:szCs w:val="24"/>
                <w:highlight w:val="none"/>
                <w:u w:val="none"/>
                <w:lang w:val="en-US" w:eastAsia="zh-CN" w:bidi="ar"/>
              </w:rPr>
              <w:t>61</w:t>
            </w:r>
          </w:p>
        </w:tc>
        <w:tc>
          <w:tcPr>
            <w:tcW w:w="5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E6DF6">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燃油箱吸油滤芯</w:t>
            </w: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D77D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165A1">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EDB79">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7EBD876F">
        <w:tblPrEx>
          <w:tblCellMar>
            <w:top w:w="0" w:type="dxa"/>
            <w:left w:w="108" w:type="dxa"/>
            <w:bottom w:w="0" w:type="dxa"/>
            <w:right w:w="108" w:type="dxa"/>
          </w:tblCellMar>
        </w:tblPrEx>
        <w:trPr>
          <w:trHeight w:val="40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CC3A8">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highlight w:val="none"/>
                <w:lang w:bidi="ar"/>
              </w:rPr>
            </w:pPr>
            <w:r>
              <w:rPr>
                <w:rFonts w:hint="eastAsia" w:ascii="宋体" w:hAnsi="宋体" w:eastAsia="宋体" w:cs="宋体"/>
                <w:i w:val="0"/>
                <w:iCs w:val="0"/>
                <w:color w:val="auto"/>
                <w:kern w:val="2"/>
                <w:sz w:val="24"/>
                <w:szCs w:val="24"/>
                <w:highlight w:val="none"/>
                <w:u w:val="none"/>
                <w:lang w:val="en-US" w:eastAsia="zh-CN" w:bidi="ar"/>
              </w:rPr>
              <w:t>62</w:t>
            </w:r>
          </w:p>
        </w:tc>
        <w:tc>
          <w:tcPr>
            <w:tcW w:w="5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DCD1F">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左边齿</w:t>
            </w: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1402D">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DD808">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A01BD">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19C848AE">
        <w:tblPrEx>
          <w:tblCellMar>
            <w:top w:w="0" w:type="dxa"/>
            <w:left w:w="108" w:type="dxa"/>
            <w:bottom w:w="0" w:type="dxa"/>
            <w:right w:w="108" w:type="dxa"/>
          </w:tblCellMar>
        </w:tblPrEx>
        <w:trPr>
          <w:trHeight w:val="40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592A8">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highlight w:val="none"/>
                <w:lang w:bidi="ar"/>
              </w:rPr>
            </w:pPr>
            <w:r>
              <w:rPr>
                <w:rFonts w:hint="eastAsia" w:ascii="宋体" w:hAnsi="宋体" w:eastAsia="宋体" w:cs="宋体"/>
                <w:i w:val="0"/>
                <w:iCs w:val="0"/>
                <w:color w:val="auto"/>
                <w:kern w:val="2"/>
                <w:sz w:val="24"/>
                <w:szCs w:val="24"/>
                <w:highlight w:val="none"/>
                <w:u w:val="none"/>
                <w:lang w:val="en-US" w:eastAsia="zh-CN" w:bidi="ar"/>
              </w:rPr>
              <w:t>63</w:t>
            </w:r>
          </w:p>
        </w:tc>
        <w:tc>
          <w:tcPr>
            <w:tcW w:w="5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64AEE">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右边齿</w:t>
            </w: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9DDC7">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D1F0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262EE">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22CD1A50">
        <w:tblPrEx>
          <w:tblCellMar>
            <w:top w:w="0" w:type="dxa"/>
            <w:left w:w="108" w:type="dxa"/>
            <w:bottom w:w="0" w:type="dxa"/>
            <w:right w:w="108" w:type="dxa"/>
          </w:tblCellMar>
        </w:tblPrEx>
        <w:trPr>
          <w:trHeight w:val="40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31F6B">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highlight w:val="none"/>
                <w:lang w:bidi="ar"/>
              </w:rPr>
            </w:pPr>
            <w:r>
              <w:rPr>
                <w:rFonts w:hint="eastAsia" w:ascii="宋体" w:hAnsi="宋体" w:eastAsia="宋体" w:cs="宋体"/>
                <w:i w:val="0"/>
                <w:iCs w:val="0"/>
                <w:color w:val="auto"/>
                <w:kern w:val="2"/>
                <w:sz w:val="24"/>
                <w:szCs w:val="24"/>
                <w:highlight w:val="none"/>
                <w:u w:val="none"/>
                <w:lang w:val="en-US" w:eastAsia="zh-CN" w:bidi="ar"/>
              </w:rPr>
              <w:t>64</w:t>
            </w:r>
          </w:p>
        </w:tc>
        <w:tc>
          <w:tcPr>
            <w:tcW w:w="5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3190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斗齿</w:t>
            </w: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17B5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FA69C">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9FD79">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3AE7B68C">
        <w:tblPrEx>
          <w:tblCellMar>
            <w:top w:w="0" w:type="dxa"/>
            <w:left w:w="108" w:type="dxa"/>
            <w:bottom w:w="0" w:type="dxa"/>
            <w:right w:w="108" w:type="dxa"/>
          </w:tblCellMar>
        </w:tblPrEx>
        <w:trPr>
          <w:trHeight w:val="40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2734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highlight w:val="none"/>
                <w:lang w:bidi="ar"/>
              </w:rPr>
            </w:pPr>
            <w:r>
              <w:rPr>
                <w:rFonts w:hint="eastAsia" w:ascii="宋体" w:hAnsi="宋体" w:eastAsia="宋体" w:cs="宋体"/>
                <w:i w:val="0"/>
                <w:iCs w:val="0"/>
                <w:color w:val="auto"/>
                <w:kern w:val="2"/>
                <w:sz w:val="24"/>
                <w:szCs w:val="24"/>
                <w:highlight w:val="none"/>
                <w:u w:val="none"/>
                <w:lang w:val="en-US" w:eastAsia="zh-CN" w:bidi="ar"/>
              </w:rPr>
              <w:t>65</w:t>
            </w:r>
          </w:p>
        </w:tc>
        <w:tc>
          <w:tcPr>
            <w:tcW w:w="5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35A86">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轮胎  23.5-25-18</w:t>
            </w: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447F6">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7A10E">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4B4E4">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0A145244">
        <w:tblPrEx>
          <w:tblCellMar>
            <w:top w:w="0" w:type="dxa"/>
            <w:left w:w="108" w:type="dxa"/>
            <w:bottom w:w="0" w:type="dxa"/>
            <w:right w:w="108" w:type="dxa"/>
          </w:tblCellMar>
        </w:tblPrEx>
        <w:trPr>
          <w:trHeight w:val="40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C908F">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highlight w:val="none"/>
                <w:lang w:bidi="ar"/>
              </w:rPr>
            </w:pPr>
            <w:r>
              <w:rPr>
                <w:rFonts w:hint="eastAsia" w:ascii="宋体" w:hAnsi="宋体" w:eastAsia="宋体" w:cs="宋体"/>
                <w:i w:val="0"/>
                <w:iCs w:val="0"/>
                <w:color w:val="auto"/>
                <w:kern w:val="2"/>
                <w:sz w:val="24"/>
                <w:szCs w:val="24"/>
                <w:highlight w:val="none"/>
                <w:u w:val="none"/>
                <w:lang w:val="en-US" w:eastAsia="zh-CN" w:bidi="ar"/>
              </w:rPr>
              <w:t>66</w:t>
            </w:r>
          </w:p>
        </w:tc>
        <w:tc>
          <w:tcPr>
            <w:tcW w:w="5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D462EB">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刀板（6吨配套螺丝）</w:t>
            </w: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59E6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块</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A66F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DBB99">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2A92346C">
        <w:tblPrEx>
          <w:tblCellMar>
            <w:top w:w="0" w:type="dxa"/>
            <w:left w:w="108" w:type="dxa"/>
            <w:bottom w:w="0" w:type="dxa"/>
            <w:right w:w="108" w:type="dxa"/>
          </w:tblCellMar>
        </w:tblPrEx>
        <w:trPr>
          <w:trHeight w:val="40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0027B">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highlight w:val="none"/>
                <w:lang w:bidi="ar"/>
              </w:rPr>
            </w:pPr>
            <w:r>
              <w:rPr>
                <w:rFonts w:hint="eastAsia" w:ascii="宋体" w:hAnsi="宋体" w:eastAsia="宋体" w:cs="宋体"/>
                <w:i w:val="0"/>
                <w:iCs w:val="0"/>
                <w:color w:val="auto"/>
                <w:kern w:val="2"/>
                <w:sz w:val="24"/>
                <w:szCs w:val="24"/>
                <w:highlight w:val="none"/>
                <w:u w:val="none"/>
                <w:lang w:val="en-US" w:eastAsia="zh-CN" w:bidi="ar"/>
              </w:rPr>
              <w:t>67</w:t>
            </w:r>
          </w:p>
        </w:tc>
        <w:tc>
          <w:tcPr>
            <w:tcW w:w="5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40D81">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保养工时费</w:t>
            </w: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8EB84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台</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007FF">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07F420">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7BBCC046">
        <w:tblPrEx>
          <w:tblCellMar>
            <w:top w:w="0" w:type="dxa"/>
            <w:left w:w="108" w:type="dxa"/>
            <w:bottom w:w="0" w:type="dxa"/>
            <w:right w:w="108" w:type="dxa"/>
          </w:tblCellMar>
        </w:tblPrEx>
        <w:trPr>
          <w:trHeight w:val="40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D5E0A">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68</w:t>
            </w:r>
          </w:p>
        </w:tc>
        <w:tc>
          <w:tcPr>
            <w:tcW w:w="5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96CCE">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制动控制器</w:t>
            </w: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9ACA7">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2F85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4227E">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7C73410B">
        <w:tblPrEx>
          <w:tblCellMar>
            <w:top w:w="0" w:type="dxa"/>
            <w:left w:w="108" w:type="dxa"/>
            <w:bottom w:w="0" w:type="dxa"/>
            <w:right w:w="108" w:type="dxa"/>
          </w:tblCellMar>
        </w:tblPrEx>
        <w:trPr>
          <w:trHeight w:val="40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9FA15">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69</w:t>
            </w:r>
          </w:p>
        </w:tc>
        <w:tc>
          <w:tcPr>
            <w:tcW w:w="5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654807">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更换刹车片</w:t>
            </w: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EB48E">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片</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D1748">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5F5AE">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2FB835C0">
        <w:tblPrEx>
          <w:tblCellMar>
            <w:top w:w="0" w:type="dxa"/>
            <w:left w:w="108" w:type="dxa"/>
            <w:bottom w:w="0" w:type="dxa"/>
            <w:right w:w="108" w:type="dxa"/>
          </w:tblCellMar>
        </w:tblPrEx>
        <w:trPr>
          <w:trHeight w:val="40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F98B5">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70</w:t>
            </w:r>
          </w:p>
        </w:tc>
        <w:tc>
          <w:tcPr>
            <w:tcW w:w="5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E5387">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更换液压油管</w:t>
            </w: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87763">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米</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5046E">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E6A3D">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64861A52">
        <w:tblPrEx>
          <w:tblCellMar>
            <w:top w:w="0" w:type="dxa"/>
            <w:left w:w="108" w:type="dxa"/>
            <w:bottom w:w="0" w:type="dxa"/>
            <w:right w:w="108" w:type="dxa"/>
          </w:tblCellMar>
        </w:tblPrEx>
        <w:trPr>
          <w:trHeight w:val="40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ED4F3">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71</w:t>
            </w:r>
          </w:p>
        </w:tc>
        <w:tc>
          <w:tcPr>
            <w:tcW w:w="5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6730D">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更换水箱</w:t>
            </w: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8D7168">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2EAFB">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1976B">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0A8BB1C1">
        <w:tblPrEx>
          <w:tblCellMar>
            <w:top w:w="0" w:type="dxa"/>
            <w:left w:w="108" w:type="dxa"/>
            <w:bottom w:w="0" w:type="dxa"/>
            <w:right w:w="108" w:type="dxa"/>
          </w:tblCellMar>
        </w:tblPrEx>
        <w:trPr>
          <w:trHeight w:val="40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AEDA8">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72</w:t>
            </w:r>
          </w:p>
        </w:tc>
        <w:tc>
          <w:tcPr>
            <w:tcW w:w="5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9091E">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防冻液（10L）</w:t>
            </w: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858CE">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桶</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B9A1B">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1881F">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62EFA00D">
        <w:tblPrEx>
          <w:tblCellMar>
            <w:top w:w="0" w:type="dxa"/>
            <w:left w:w="108" w:type="dxa"/>
            <w:bottom w:w="0" w:type="dxa"/>
            <w:right w:w="108" w:type="dxa"/>
          </w:tblCellMar>
        </w:tblPrEx>
        <w:trPr>
          <w:trHeight w:val="40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2E91E">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73</w:t>
            </w:r>
          </w:p>
        </w:tc>
        <w:tc>
          <w:tcPr>
            <w:tcW w:w="5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A1387">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空调加氟利昂</w:t>
            </w: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7188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台</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AAD39">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77CEF">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48FA3403">
        <w:tblPrEx>
          <w:tblCellMar>
            <w:top w:w="0" w:type="dxa"/>
            <w:left w:w="108" w:type="dxa"/>
            <w:bottom w:w="0" w:type="dxa"/>
            <w:right w:w="108" w:type="dxa"/>
          </w:tblCellMar>
        </w:tblPrEx>
        <w:trPr>
          <w:trHeight w:val="40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91EB2">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74</w:t>
            </w:r>
          </w:p>
        </w:tc>
        <w:tc>
          <w:tcPr>
            <w:tcW w:w="5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810E8">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检修电路</w:t>
            </w: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1253B">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台</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6B7F1">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D53A9">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44A4747B">
        <w:tblPrEx>
          <w:tblCellMar>
            <w:top w:w="0" w:type="dxa"/>
            <w:left w:w="108" w:type="dxa"/>
            <w:bottom w:w="0" w:type="dxa"/>
            <w:right w:w="108" w:type="dxa"/>
          </w:tblCellMar>
        </w:tblPrEx>
        <w:trPr>
          <w:trHeight w:val="40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1021E">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75</w:t>
            </w:r>
          </w:p>
        </w:tc>
        <w:tc>
          <w:tcPr>
            <w:tcW w:w="5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6050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启动器</w:t>
            </w: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A43E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台</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1F45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B3AB6">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0FFD15A4">
        <w:tblPrEx>
          <w:tblCellMar>
            <w:top w:w="0" w:type="dxa"/>
            <w:left w:w="108" w:type="dxa"/>
            <w:bottom w:w="0" w:type="dxa"/>
            <w:right w:w="108" w:type="dxa"/>
          </w:tblCellMar>
        </w:tblPrEx>
        <w:trPr>
          <w:trHeight w:val="40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83608">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76</w:t>
            </w:r>
          </w:p>
        </w:tc>
        <w:tc>
          <w:tcPr>
            <w:tcW w:w="5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6C1A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灯泡</w:t>
            </w: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D2865">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89DD2C">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86F71">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7B2F98D6">
        <w:tblPrEx>
          <w:tblCellMar>
            <w:top w:w="0" w:type="dxa"/>
            <w:left w:w="108" w:type="dxa"/>
            <w:bottom w:w="0" w:type="dxa"/>
            <w:right w:w="108" w:type="dxa"/>
          </w:tblCellMar>
        </w:tblPrEx>
        <w:trPr>
          <w:trHeight w:val="40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56AA7">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77</w:t>
            </w:r>
          </w:p>
        </w:tc>
        <w:tc>
          <w:tcPr>
            <w:tcW w:w="5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EAB3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更换全车电路</w:t>
            </w: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B43D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台</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C9FD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FBBEB">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50BA5399">
        <w:tblPrEx>
          <w:tblCellMar>
            <w:top w:w="0" w:type="dxa"/>
            <w:left w:w="108" w:type="dxa"/>
            <w:bottom w:w="0" w:type="dxa"/>
            <w:right w:w="108" w:type="dxa"/>
          </w:tblCellMar>
        </w:tblPrEx>
        <w:trPr>
          <w:trHeight w:val="40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64497">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78</w:t>
            </w:r>
          </w:p>
        </w:tc>
        <w:tc>
          <w:tcPr>
            <w:tcW w:w="5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4BBBC">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更换发动机线路</w:t>
            </w: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62446">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台</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76E36">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A1518">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12D56663">
        <w:tblPrEx>
          <w:tblCellMar>
            <w:top w:w="0" w:type="dxa"/>
            <w:left w:w="108" w:type="dxa"/>
            <w:bottom w:w="0" w:type="dxa"/>
            <w:right w:w="108" w:type="dxa"/>
          </w:tblCellMar>
        </w:tblPrEx>
        <w:trPr>
          <w:trHeight w:val="40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C2F29">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79</w:t>
            </w:r>
          </w:p>
        </w:tc>
        <w:tc>
          <w:tcPr>
            <w:tcW w:w="5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07719">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6吨铲车双面刀板1套(二块)含2 套螺丝</w:t>
            </w: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9924D5">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套</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1B2E76">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FDB7F">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3EFE505D">
        <w:tblPrEx>
          <w:tblCellMar>
            <w:top w:w="0" w:type="dxa"/>
            <w:left w:w="108" w:type="dxa"/>
            <w:bottom w:w="0" w:type="dxa"/>
            <w:right w:w="108" w:type="dxa"/>
          </w:tblCellMar>
        </w:tblPrEx>
        <w:trPr>
          <w:trHeight w:val="40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9390F">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80</w:t>
            </w:r>
          </w:p>
        </w:tc>
        <w:tc>
          <w:tcPr>
            <w:tcW w:w="5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43847">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6 吨铲车轮胎 26.5-25-24(含内外胎：要求提供原厂轮胎品牌）</w:t>
            </w: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D5585">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套</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6F10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86045D">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4E816620">
        <w:tblPrEx>
          <w:tblCellMar>
            <w:top w:w="0" w:type="dxa"/>
            <w:left w:w="108" w:type="dxa"/>
            <w:bottom w:w="0" w:type="dxa"/>
            <w:right w:w="108" w:type="dxa"/>
          </w:tblCellMar>
        </w:tblPrEx>
        <w:trPr>
          <w:trHeight w:val="40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E987D">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81</w:t>
            </w:r>
          </w:p>
        </w:tc>
        <w:tc>
          <w:tcPr>
            <w:tcW w:w="5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BCC95">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润滑脂（15L/桶）</w:t>
            </w: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F9FFB">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桶</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3B47B">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2"/>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8715E">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4FE36089">
        <w:tblPrEx>
          <w:tblCellMar>
            <w:top w:w="0" w:type="dxa"/>
            <w:left w:w="108" w:type="dxa"/>
            <w:bottom w:w="0" w:type="dxa"/>
            <w:right w:w="108" w:type="dxa"/>
          </w:tblCellMar>
        </w:tblPrEx>
        <w:trPr>
          <w:trHeight w:val="40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D94AD">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宋体" w:hAnsi="宋体" w:eastAsia="宋体" w:cs="宋体"/>
                <w:color w:val="auto"/>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82</w:t>
            </w:r>
          </w:p>
        </w:tc>
        <w:tc>
          <w:tcPr>
            <w:tcW w:w="5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7E966">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补胎（5-6吨装载机）</w:t>
            </w: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97819">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次</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A77D4D">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宋体" w:hAnsi="宋体" w:eastAsia="宋体" w:cs="宋体"/>
                <w:color w:val="auto"/>
                <w:kern w:val="2"/>
                <w:sz w:val="24"/>
                <w:szCs w:val="24"/>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4A1DA">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4AA77308">
        <w:tblPrEx>
          <w:tblCellMar>
            <w:top w:w="0" w:type="dxa"/>
            <w:left w:w="108" w:type="dxa"/>
            <w:bottom w:w="0" w:type="dxa"/>
            <w:right w:w="108" w:type="dxa"/>
          </w:tblCellMar>
        </w:tblPrEx>
        <w:trPr>
          <w:trHeight w:val="40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6DC8E">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83</w:t>
            </w:r>
          </w:p>
        </w:tc>
        <w:tc>
          <w:tcPr>
            <w:tcW w:w="5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EAC93">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大灯总成</w:t>
            </w: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2E8DE">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sz w:val="24"/>
                <w:szCs w:val="24"/>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套</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C11B6">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kern w:val="2"/>
                <w:sz w:val="24"/>
                <w:szCs w:val="24"/>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0AFAF">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0CF556BD">
        <w:tblPrEx>
          <w:tblCellMar>
            <w:top w:w="0" w:type="dxa"/>
            <w:left w:w="108" w:type="dxa"/>
            <w:bottom w:w="0" w:type="dxa"/>
            <w:right w:w="108" w:type="dxa"/>
          </w:tblCellMar>
        </w:tblPrEx>
        <w:trPr>
          <w:trHeight w:val="40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E758E">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84</w:t>
            </w:r>
          </w:p>
        </w:tc>
        <w:tc>
          <w:tcPr>
            <w:tcW w:w="5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51E6C">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尾灯总成</w:t>
            </w: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C11A1">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sz w:val="24"/>
                <w:szCs w:val="24"/>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套</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FCD6D">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kern w:val="2"/>
                <w:sz w:val="24"/>
                <w:szCs w:val="24"/>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87C93">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7B541F6C">
        <w:tblPrEx>
          <w:tblCellMar>
            <w:top w:w="0" w:type="dxa"/>
            <w:left w:w="108" w:type="dxa"/>
            <w:bottom w:w="0" w:type="dxa"/>
            <w:right w:w="108" w:type="dxa"/>
          </w:tblCellMar>
        </w:tblPrEx>
        <w:trPr>
          <w:trHeight w:val="40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F9CBF">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85</w:t>
            </w:r>
          </w:p>
        </w:tc>
        <w:tc>
          <w:tcPr>
            <w:tcW w:w="5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1ABD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前轮差速器总成</w:t>
            </w: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32656">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sz w:val="24"/>
                <w:szCs w:val="24"/>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套</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C35A3">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kern w:val="2"/>
                <w:sz w:val="24"/>
                <w:szCs w:val="24"/>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E797C">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6C8D8B78">
        <w:tblPrEx>
          <w:tblCellMar>
            <w:top w:w="0" w:type="dxa"/>
            <w:left w:w="108" w:type="dxa"/>
            <w:bottom w:w="0" w:type="dxa"/>
            <w:right w:w="108" w:type="dxa"/>
          </w:tblCellMar>
        </w:tblPrEx>
        <w:trPr>
          <w:trHeight w:val="40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BA2C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86</w:t>
            </w:r>
          </w:p>
        </w:tc>
        <w:tc>
          <w:tcPr>
            <w:tcW w:w="5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BD7C5">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后轮差速器总成</w:t>
            </w: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6027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sz w:val="24"/>
                <w:szCs w:val="24"/>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套</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BAD77">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kern w:val="2"/>
                <w:sz w:val="24"/>
                <w:szCs w:val="24"/>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28C9D">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5453842D">
        <w:tblPrEx>
          <w:tblCellMar>
            <w:top w:w="0" w:type="dxa"/>
            <w:left w:w="108" w:type="dxa"/>
            <w:bottom w:w="0" w:type="dxa"/>
            <w:right w:w="108" w:type="dxa"/>
          </w:tblCellMar>
        </w:tblPrEx>
        <w:trPr>
          <w:trHeight w:val="40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7619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87</w:t>
            </w:r>
          </w:p>
        </w:tc>
        <w:tc>
          <w:tcPr>
            <w:tcW w:w="5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C92F3">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发动机清洗（进机油）</w:t>
            </w: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6AE7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sz w:val="24"/>
                <w:szCs w:val="24"/>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次</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448AC">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kern w:val="2"/>
                <w:sz w:val="24"/>
                <w:szCs w:val="24"/>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807F8">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18E7EF80">
        <w:tblPrEx>
          <w:tblCellMar>
            <w:top w:w="0" w:type="dxa"/>
            <w:left w:w="108" w:type="dxa"/>
            <w:bottom w:w="0" w:type="dxa"/>
            <w:right w:w="108" w:type="dxa"/>
          </w:tblCellMar>
        </w:tblPrEx>
        <w:trPr>
          <w:trHeight w:val="40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5BD38">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88</w:t>
            </w:r>
          </w:p>
        </w:tc>
        <w:tc>
          <w:tcPr>
            <w:tcW w:w="5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72EB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燃油计量阀(BOSCH)</w:t>
            </w: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51565">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sz w:val="24"/>
                <w:szCs w:val="24"/>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5F6D3">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kern w:val="2"/>
                <w:sz w:val="24"/>
                <w:szCs w:val="24"/>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85CEB">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61548FFA">
        <w:tblPrEx>
          <w:tblCellMar>
            <w:top w:w="0" w:type="dxa"/>
            <w:left w:w="108" w:type="dxa"/>
            <w:bottom w:w="0" w:type="dxa"/>
            <w:right w:w="108" w:type="dxa"/>
          </w:tblCellMar>
        </w:tblPrEx>
        <w:trPr>
          <w:trHeight w:val="40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C4CA6">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89</w:t>
            </w:r>
          </w:p>
        </w:tc>
        <w:tc>
          <w:tcPr>
            <w:tcW w:w="5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3F08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主刀版（6吨装载机）</w:t>
            </w: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A31E9">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sz w:val="24"/>
                <w:szCs w:val="24"/>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块</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C482B">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kern w:val="2"/>
                <w:sz w:val="24"/>
                <w:szCs w:val="24"/>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5B7FB">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655529CE">
        <w:tblPrEx>
          <w:tblCellMar>
            <w:top w:w="0" w:type="dxa"/>
            <w:left w:w="108" w:type="dxa"/>
            <w:bottom w:w="0" w:type="dxa"/>
            <w:right w:w="108" w:type="dxa"/>
          </w:tblCellMar>
        </w:tblPrEx>
        <w:trPr>
          <w:trHeight w:val="40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E9C25">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90</w:t>
            </w:r>
          </w:p>
        </w:tc>
        <w:tc>
          <w:tcPr>
            <w:tcW w:w="5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3B35F">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臂架修复</w:t>
            </w: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37ED3">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sz w:val="24"/>
                <w:szCs w:val="24"/>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次</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5F398">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kern w:val="2"/>
                <w:sz w:val="24"/>
                <w:szCs w:val="24"/>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D2011">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302E42E0">
        <w:tblPrEx>
          <w:tblCellMar>
            <w:top w:w="0" w:type="dxa"/>
            <w:left w:w="108" w:type="dxa"/>
            <w:bottom w:w="0" w:type="dxa"/>
            <w:right w:w="108" w:type="dxa"/>
          </w:tblCellMar>
        </w:tblPrEx>
        <w:trPr>
          <w:trHeight w:val="40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FEA9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91</w:t>
            </w:r>
          </w:p>
        </w:tc>
        <w:tc>
          <w:tcPr>
            <w:tcW w:w="5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A6375">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轮胎轴承更换</w:t>
            </w: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9DDB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sz w:val="24"/>
                <w:szCs w:val="24"/>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次</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5136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kern w:val="2"/>
                <w:sz w:val="24"/>
                <w:szCs w:val="24"/>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BEE0A">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392DC1B1">
        <w:tblPrEx>
          <w:tblCellMar>
            <w:top w:w="0" w:type="dxa"/>
            <w:left w:w="108" w:type="dxa"/>
            <w:bottom w:w="0" w:type="dxa"/>
            <w:right w:w="108" w:type="dxa"/>
          </w:tblCellMar>
        </w:tblPrEx>
        <w:trPr>
          <w:trHeight w:val="40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F877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92</w:t>
            </w:r>
          </w:p>
        </w:tc>
        <w:tc>
          <w:tcPr>
            <w:tcW w:w="5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E27339">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刀板更换</w:t>
            </w: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9C29C">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sz w:val="24"/>
                <w:szCs w:val="24"/>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次</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548BC">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kern w:val="2"/>
                <w:sz w:val="24"/>
                <w:szCs w:val="24"/>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30296">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609998B0">
        <w:tblPrEx>
          <w:tblCellMar>
            <w:top w:w="0" w:type="dxa"/>
            <w:left w:w="108" w:type="dxa"/>
            <w:bottom w:w="0" w:type="dxa"/>
            <w:right w:w="108" w:type="dxa"/>
          </w:tblCellMar>
        </w:tblPrEx>
        <w:trPr>
          <w:trHeight w:val="40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B7349">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93</w:t>
            </w:r>
          </w:p>
        </w:tc>
        <w:tc>
          <w:tcPr>
            <w:tcW w:w="5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FCD0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涡轮增压器总成</w:t>
            </w: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F495E">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sz w:val="24"/>
                <w:szCs w:val="24"/>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套</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992F48">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kern w:val="2"/>
                <w:sz w:val="24"/>
                <w:szCs w:val="24"/>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CD955">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45F7C9F2">
        <w:tblPrEx>
          <w:tblCellMar>
            <w:top w:w="0" w:type="dxa"/>
            <w:left w:w="108" w:type="dxa"/>
            <w:bottom w:w="0" w:type="dxa"/>
            <w:right w:w="108" w:type="dxa"/>
          </w:tblCellMar>
        </w:tblPrEx>
        <w:trPr>
          <w:trHeight w:val="40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FE90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94</w:t>
            </w:r>
          </w:p>
        </w:tc>
        <w:tc>
          <w:tcPr>
            <w:tcW w:w="5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FF397">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变矩器维修</w:t>
            </w: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A012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sz w:val="24"/>
                <w:szCs w:val="24"/>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次</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1B2A7">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kern w:val="2"/>
                <w:sz w:val="24"/>
                <w:szCs w:val="24"/>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7A0CAE">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5E3B4B5B">
        <w:tblPrEx>
          <w:tblCellMar>
            <w:top w:w="0" w:type="dxa"/>
            <w:left w:w="108" w:type="dxa"/>
            <w:bottom w:w="0" w:type="dxa"/>
            <w:right w:w="108" w:type="dxa"/>
          </w:tblCellMar>
        </w:tblPrEx>
        <w:trPr>
          <w:trHeight w:val="40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52449">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95</w:t>
            </w:r>
          </w:p>
        </w:tc>
        <w:tc>
          <w:tcPr>
            <w:tcW w:w="5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81B43">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变矩器总成</w:t>
            </w: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8376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sz w:val="24"/>
                <w:szCs w:val="24"/>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套</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A3E2D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kern w:val="2"/>
                <w:sz w:val="24"/>
                <w:szCs w:val="24"/>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A4C0D">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3801D76C">
        <w:tblPrEx>
          <w:tblCellMar>
            <w:top w:w="0" w:type="dxa"/>
            <w:left w:w="108" w:type="dxa"/>
            <w:bottom w:w="0" w:type="dxa"/>
            <w:right w:w="108" w:type="dxa"/>
          </w:tblCellMar>
        </w:tblPrEx>
        <w:trPr>
          <w:trHeight w:val="40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FB62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96</w:t>
            </w:r>
          </w:p>
        </w:tc>
        <w:tc>
          <w:tcPr>
            <w:tcW w:w="5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C37F1">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铲斗修补（2厘米铁板）</w:t>
            </w: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5E8A5">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sz w:val="24"/>
                <w:szCs w:val="24"/>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次</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0AFCF">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kern w:val="2"/>
                <w:sz w:val="24"/>
                <w:szCs w:val="24"/>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3CF11">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1C93ED21">
        <w:tblPrEx>
          <w:tblCellMar>
            <w:top w:w="0" w:type="dxa"/>
            <w:left w:w="108" w:type="dxa"/>
            <w:bottom w:w="0" w:type="dxa"/>
            <w:right w:w="108" w:type="dxa"/>
          </w:tblCellMar>
        </w:tblPrEx>
        <w:trPr>
          <w:trHeight w:val="40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ED238">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97</w:t>
            </w:r>
          </w:p>
        </w:tc>
        <w:tc>
          <w:tcPr>
            <w:tcW w:w="5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9892F">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制动液更换</w:t>
            </w: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5B89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sz w:val="24"/>
                <w:szCs w:val="24"/>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次</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B37D8">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kern w:val="2"/>
                <w:sz w:val="24"/>
                <w:szCs w:val="24"/>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C8ECD">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bl>
    <w:p w14:paraId="66E6E8EE">
      <w:pPr>
        <w:pStyle w:val="103"/>
        <w:ind w:firstLine="480"/>
        <w:rPr>
          <w:rFonts w:ascii="宋体" w:hAnsi="宋体" w:eastAsia="宋体"/>
          <w:b/>
          <w:bCs/>
          <w:color w:val="auto"/>
          <w:highlight w:val="none"/>
        </w:rPr>
      </w:pPr>
      <w:r>
        <w:rPr>
          <w:rFonts w:hint="eastAsia" w:ascii="宋体" w:hAnsi="宋体" w:eastAsia="宋体"/>
          <w:b/>
          <w:bCs/>
          <w:color w:val="auto"/>
          <w:highlight w:val="none"/>
        </w:rPr>
        <w:t>注：①保养工时费为保养项目专用费用，其余项目无工时费。项目及具体数量按</w:t>
      </w:r>
      <w:r>
        <w:rPr>
          <w:rFonts w:hint="eastAsia" w:ascii="宋体" w:hAnsi="宋体"/>
          <w:b/>
          <w:bCs/>
          <w:color w:val="auto"/>
          <w:highlight w:val="none"/>
          <w:lang w:val="en-US" w:eastAsia="zh-CN"/>
        </w:rPr>
        <w:t>甲方</w:t>
      </w:r>
      <w:r>
        <w:rPr>
          <w:rFonts w:hint="eastAsia" w:ascii="宋体" w:hAnsi="宋体" w:eastAsia="宋体"/>
          <w:b/>
          <w:bCs/>
          <w:color w:val="auto"/>
          <w:highlight w:val="none"/>
        </w:rPr>
        <w:t>实际需求计算，结算金额以</w:t>
      </w:r>
      <w:r>
        <w:rPr>
          <w:rFonts w:hint="eastAsia" w:ascii="宋体" w:hAnsi="宋体" w:eastAsia="宋体"/>
          <w:b/>
          <w:bCs/>
          <w:color w:val="auto"/>
          <w:highlight w:val="none"/>
          <w:u w:val="none"/>
        </w:rPr>
        <w:t>实际项目</w:t>
      </w:r>
      <w:r>
        <w:rPr>
          <w:rFonts w:hint="eastAsia" w:ascii="宋体" w:hAnsi="宋体" w:eastAsia="宋体" w:cstheme="minorBidi"/>
          <w:b/>
          <w:bCs/>
          <w:color w:val="auto"/>
          <w:highlight w:val="none"/>
          <w:u w:val="none"/>
        </w:rPr>
        <w:t>数量×单价</w:t>
      </w:r>
      <w:r>
        <w:rPr>
          <w:rFonts w:hint="eastAsia" w:ascii="宋体" w:hAnsi="宋体" w:eastAsia="宋体"/>
          <w:b/>
          <w:bCs/>
          <w:color w:val="auto"/>
          <w:highlight w:val="none"/>
        </w:rPr>
        <w:t>为准。</w:t>
      </w:r>
    </w:p>
    <w:p w14:paraId="3FEEF67A">
      <w:pPr>
        <w:pStyle w:val="103"/>
        <w:ind w:firstLine="480"/>
        <w:rPr>
          <w:rFonts w:hint="eastAsia" w:ascii="宋体" w:hAnsi="宋体" w:eastAsia="宋体"/>
          <w:color w:val="auto"/>
          <w:sz w:val="24"/>
          <w:highlight w:val="none"/>
        </w:rPr>
      </w:pPr>
      <w:r>
        <w:rPr>
          <w:rFonts w:hint="eastAsia" w:ascii="宋体" w:hAnsi="宋体" w:eastAsia="宋体"/>
          <w:color w:val="auto"/>
          <w:sz w:val="24"/>
          <w:highlight w:val="none"/>
        </w:rPr>
        <w:t>②上述价格已包含可能发生的所有费用,包括工时费、人工费、材料费、机械费、维修服务费、交通费、运输、劳力、利润、税收等以及所有有关的管理成本；必要的保险费用、各项税金等一切费用,如有漏项，视同已包含在</w:t>
      </w:r>
      <w:r>
        <w:rPr>
          <w:rFonts w:hint="eastAsia" w:ascii="宋体" w:hAnsi="宋体"/>
          <w:color w:val="auto"/>
          <w:sz w:val="24"/>
          <w:highlight w:val="none"/>
          <w:lang w:eastAsia="zh-CN"/>
        </w:rPr>
        <w:t>其他项目中</w:t>
      </w:r>
      <w:r>
        <w:rPr>
          <w:rFonts w:hint="eastAsia" w:ascii="宋体" w:hAnsi="宋体" w:eastAsia="宋体"/>
          <w:color w:val="auto"/>
          <w:sz w:val="24"/>
          <w:highlight w:val="none"/>
        </w:rPr>
        <w:t>，单价不做调整。</w:t>
      </w:r>
    </w:p>
    <w:p w14:paraId="2FEBEB89">
      <w:pPr>
        <w:pStyle w:val="103"/>
        <w:ind w:firstLine="480"/>
        <w:rPr>
          <w:rFonts w:hint="eastAsia" w:ascii="宋体" w:hAnsi="宋体" w:eastAsia="宋体" w:cstheme="minorBidi"/>
          <w:color w:val="auto"/>
          <w:highlight w:val="none"/>
          <w:lang w:eastAsia="ja-JP"/>
        </w:rPr>
      </w:pPr>
      <w:r>
        <w:rPr>
          <w:rFonts w:hint="eastAsia" w:ascii="宋体" w:hAnsi="宋体" w:cstheme="minorBidi"/>
          <w:color w:val="auto"/>
          <w:highlight w:val="none"/>
          <w:lang w:eastAsia="ja-JP"/>
        </w:rPr>
        <w:t>③实际产生的项目不在上述表格内的，其单价以</w:t>
      </w:r>
      <w:r>
        <w:rPr>
          <w:rFonts w:hint="eastAsia" w:ascii="宋体" w:hAnsi="宋体" w:cstheme="minorBidi"/>
          <w:color w:val="auto"/>
          <w:highlight w:val="none"/>
          <w:lang w:eastAsia="zh-CN"/>
        </w:rPr>
        <w:t>投标人</w:t>
      </w:r>
      <w:r>
        <w:rPr>
          <w:rFonts w:hint="eastAsia" w:ascii="宋体" w:hAnsi="宋体" w:cstheme="minorBidi"/>
          <w:color w:val="auto"/>
          <w:highlight w:val="none"/>
          <w:lang w:eastAsia="ja-JP"/>
        </w:rPr>
        <w:t>结合市场价经与</w:t>
      </w:r>
      <w:r>
        <w:rPr>
          <w:rFonts w:hint="eastAsia" w:ascii="宋体" w:hAnsi="宋体" w:cstheme="minorBidi"/>
          <w:color w:val="auto"/>
          <w:highlight w:val="none"/>
          <w:lang w:val="en-US" w:eastAsia="zh-CN"/>
        </w:rPr>
        <w:t>甲方</w:t>
      </w:r>
      <w:r>
        <w:rPr>
          <w:rFonts w:hint="eastAsia" w:ascii="宋体" w:hAnsi="宋体" w:cstheme="minorBidi"/>
          <w:color w:val="auto"/>
          <w:highlight w:val="none"/>
          <w:lang w:eastAsia="ja-JP"/>
        </w:rPr>
        <w:t>商定后的价格为准。合同履行期间，不能因材料、人工等因素的上涨进行调价。</w:t>
      </w:r>
      <w:r>
        <w:rPr>
          <w:rFonts w:hint="eastAsia" w:ascii="宋体" w:hAnsi="宋体" w:cstheme="minorBidi"/>
          <w:color w:val="auto"/>
          <w:highlight w:val="none"/>
          <w:lang w:val="en-US" w:eastAsia="zh-CN"/>
        </w:rPr>
        <w:t>乙方</w:t>
      </w:r>
      <w:r>
        <w:rPr>
          <w:rFonts w:hint="eastAsia" w:ascii="宋体" w:hAnsi="宋体" w:cstheme="minorBidi"/>
          <w:color w:val="auto"/>
          <w:highlight w:val="none"/>
          <w:lang w:eastAsia="ja-JP"/>
        </w:rPr>
        <w:t>在报价中须充分考虑可能承担的报价风险。</w:t>
      </w:r>
    </w:p>
    <w:p w14:paraId="45A1D4ED">
      <w:pPr>
        <w:pStyle w:val="103"/>
        <w:ind w:firstLine="480"/>
        <w:rPr>
          <w:rFonts w:ascii="宋体" w:hAnsi="宋体"/>
          <w:b/>
          <w:bCs/>
          <w:color w:val="auto"/>
          <w:highlight w:val="none"/>
        </w:rPr>
      </w:pPr>
      <w:r>
        <w:rPr>
          <w:rFonts w:hint="eastAsia" w:ascii="宋体" w:hAnsi="宋体"/>
          <w:b/>
          <w:bCs/>
          <w:color w:val="auto"/>
          <w:highlight w:val="none"/>
        </w:rPr>
        <w:t>三、服务和保密要求</w:t>
      </w:r>
    </w:p>
    <w:p w14:paraId="0D734998">
      <w:pPr>
        <w:pStyle w:val="103"/>
        <w:ind w:firstLine="480"/>
        <w:rPr>
          <w:rFonts w:ascii="宋体" w:hAnsi="宋体"/>
          <w:color w:val="auto"/>
          <w:highlight w:val="none"/>
        </w:rPr>
      </w:pPr>
      <w:r>
        <w:rPr>
          <w:rFonts w:hint="eastAsia" w:ascii="宋体" w:hAnsi="宋体"/>
          <w:color w:val="auto"/>
          <w:highlight w:val="none"/>
        </w:rPr>
        <w:t>1.</w:t>
      </w:r>
      <w:r>
        <w:rPr>
          <w:rFonts w:hint="eastAsia" w:ascii="宋体" w:hAnsi="宋体" w:eastAsia="宋体"/>
          <w:color w:val="auto"/>
          <w:highlight w:val="none"/>
          <w:lang w:val="en-US" w:eastAsia="zh-CN"/>
        </w:rPr>
        <w:t>乙方</w:t>
      </w:r>
      <w:r>
        <w:rPr>
          <w:rFonts w:hint="eastAsia" w:ascii="宋体" w:hAnsi="宋体" w:eastAsia="宋体"/>
          <w:color w:val="auto"/>
          <w:highlight w:val="none"/>
        </w:rPr>
        <w:t>收到</w:t>
      </w:r>
      <w:r>
        <w:rPr>
          <w:rFonts w:hint="eastAsia" w:ascii="宋体" w:hAnsi="宋体" w:eastAsia="宋体"/>
          <w:color w:val="auto"/>
          <w:highlight w:val="none"/>
          <w:lang w:val="en-US" w:eastAsia="zh-CN"/>
        </w:rPr>
        <w:t>甲方</w:t>
      </w:r>
      <w:r>
        <w:rPr>
          <w:rFonts w:hint="eastAsia" w:ascii="宋体" w:hAnsi="宋体" w:eastAsia="宋体"/>
          <w:color w:val="auto"/>
          <w:highlight w:val="none"/>
        </w:rPr>
        <w:t>通知的3小时内前往</w:t>
      </w:r>
      <w:r>
        <w:rPr>
          <w:rFonts w:hint="eastAsia" w:ascii="宋体" w:hAnsi="宋体" w:eastAsia="宋体"/>
          <w:color w:val="auto"/>
          <w:highlight w:val="none"/>
          <w:lang w:val="en-US" w:eastAsia="zh-CN"/>
        </w:rPr>
        <w:t>甲方</w:t>
      </w:r>
      <w:r>
        <w:rPr>
          <w:rFonts w:hint="eastAsia" w:ascii="宋体" w:hAnsi="宋体" w:eastAsia="宋体"/>
          <w:color w:val="auto"/>
          <w:highlight w:val="none"/>
        </w:rPr>
        <w:t>指定地点，负责对</w:t>
      </w:r>
      <w:r>
        <w:rPr>
          <w:rFonts w:hint="eastAsia" w:ascii="宋体" w:hAnsi="宋体" w:eastAsia="宋体"/>
          <w:color w:val="auto"/>
          <w:highlight w:val="none"/>
          <w:lang w:val="en-US" w:eastAsia="zh-CN"/>
        </w:rPr>
        <w:t>甲方</w:t>
      </w:r>
      <w:r>
        <w:rPr>
          <w:rFonts w:hint="eastAsia" w:ascii="宋体" w:hAnsi="宋体" w:eastAsia="宋体"/>
          <w:color w:val="auto"/>
          <w:highlight w:val="none"/>
        </w:rPr>
        <w:t>装载机提供维修服务</w:t>
      </w:r>
      <w:r>
        <w:rPr>
          <w:rFonts w:hint="eastAsia" w:ascii="宋体" w:hAnsi="宋体"/>
          <w:color w:val="auto"/>
          <w:highlight w:val="none"/>
          <w:lang w:eastAsia="zh-CN"/>
        </w:rPr>
        <w:t>，</w:t>
      </w:r>
      <w:r>
        <w:rPr>
          <w:rFonts w:hint="eastAsia" w:ascii="宋体" w:hAnsi="宋体"/>
          <w:color w:val="auto"/>
          <w:highlight w:val="none"/>
          <w:lang w:val="en-US" w:eastAsia="zh-CN"/>
        </w:rPr>
        <w:t>如乙方未在规定3小时内到达</w:t>
      </w:r>
      <w:r>
        <w:rPr>
          <w:rFonts w:hint="eastAsia" w:ascii="宋体" w:hAnsi="宋体" w:eastAsia="宋体"/>
          <w:color w:val="auto"/>
          <w:highlight w:val="none"/>
          <w:lang w:val="en-US" w:eastAsia="zh-CN"/>
        </w:rPr>
        <w:t>甲方</w:t>
      </w:r>
      <w:r>
        <w:rPr>
          <w:rFonts w:hint="eastAsia" w:ascii="宋体" w:hAnsi="宋体" w:eastAsia="宋体"/>
          <w:color w:val="auto"/>
          <w:highlight w:val="none"/>
        </w:rPr>
        <w:t>指定地点</w:t>
      </w:r>
      <w:r>
        <w:rPr>
          <w:rFonts w:hint="eastAsia" w:ascii="宋体" w:hAnsi="宋体"/>
          <w:color w:val="auto"/>
          <w:highlight w:val="none"/>
          <w:lang w:val="en-US" w:eastAsia="zh-CN"/>
        </w:rPr>
        <w:t>，甲方有权每次从合同款中扣1000元/次作为违约金</w:t>
      </w:r>
      <w:r>
        <w:rPr>
          <w:rFonts w:hint="eastAsia" w:ascii="宋体" w:hAnsi="宋体" w:eastAsia="宋体"/>
          <w:color w:val="auto"/>
          <w:highlight w:val="none"/>
        </w:rPr>
        <w:t>。包括大修、小修、保养和事故应急维修</w:t>
      </w:r>
      <w:r>
        <w:rPr>
          <w:rFonts w:hint="eastAsia" w:ascii="宋体" w:hAnsi="宋体"/>
          <w:color w:val="auto"/>
          <w:highlight w:val="none"/>
          <w:lang w:eastAsia="zh-CN"/>
        </w:rPr>
        <w:t>，以</w:t>
      </w:r>
      <w:r>
        <w:rPr>
          <w:rFonts w:hint="eastAsia" w:ascii="宋体" w:hAnsi="宋体" w:eastAsia="宋体"/>
          <w:color w:val="auto"/>
          <w:highlight w:val="none"/>
        </w:rPr>
        <w:t>及维修配件、材料提供等。</w:t>
      </w:r>
    </w:p>
    <w:p w14:paraId="66E5347D">
      <w:pPr>
        <w:pStyle w:val="103"/>
        <w:ind w:firstLine="480"/>
        <w:rPr>
          <w:rFonts w:ascii="宋体" w:hAnsi="宋体"/>
          <w:color w:val="auto"/>
          <w:highlight w:val="none"/>
        </w:rPr>
      </w:pPr>
      <w:r>
        <w:rPr>
          <w:rFonts w:hint="eastAsia" w:ascii="宋体" w:hAnsi="宋体"/>
          <w:color w:val="auto"/>
          <w:highlight w:val="none"/>
          <w:u w:val="none"/>
        </w:rPr>
        <w:t>2</w:t>
      </w:r>
      <w:r>
        <w:rPr>
          <w:rFonts w:ascii="宋体" w:hAnsi="宋体"/>
          <w:color w:val="auto"/>
          <w:highlight w:val="none"/>
          <w:u w:val="none"/>
        </w:rPr>
        <w:t>.</w:t>
      </w:r>
      <w:r>
        <w:rPr>
          <w:rFonts w:hint="eastAsia" w:ascii="宋体" w:hAnsi="宋体"/>
          <w:color w:val="auto"/>
          <w:highlight w:val="none"/>
          <w:u w:val="none"/>
        </w:rPr>
        <w:t>每次维修保养过程</w:t>
      </w:r>
      <w:r>
        <w:rPr>
          <w:rFonts w:ascii="宋体" w:hAnsi="宋体"/>
          <w:color w:val="auto"/>
          <w:highlight w:val="none"/>
          <w:u w:val="none"/>
        </w:rPr>
        <w:t>中</w:t>
      </w:r>
      <w:r>
        <w:rPr>
          <w:rFonts w:hint="eastAsia" w:ascii="宋体" w:hAnsi="宋体" w:eastAsia="宋体"/>
          <w:color w:val="auto"/>
          <w:highlight w:val="none"/>
          <w:u w:val="none"/>
        </w:rPr>
        <w:t>换下的废油归</w:t>
      </w:r>
      <w:r>
        <w:rPr>
          <w:rFonts w:hint="eastAsia" w:ascii="宋体" w:hAnsi="宋体"/>
          <w:color w:val="auto"/>
          <w:highlight w:val="none"/>
          <w:u w:val="none"/>
          <w:lang w:val="en-US" w:eastAsia="zh-CN"/>
        </w:rPr>
        <w:t>乙方</w:t>
      </w:r>
      <w:r>
        <w:rPr>
          <w:rFonts w:hint="eastAsia" w:ascii="宋体" w:hAnsi="宋体" w:eastAsia="宋体"/>
          <w:color w:val="auto"/>
          <w:highlight w:val="none"/>
          <w:u w:val="none"/>
        </w:rPr>
        <w:t>自行处置。</w:t>
      </w:r>
    </w:p>
    <w:p w14:paraId="4D2BC0A0">
      <w:pPr>
        <w:pStyle w:val="103"/>
        <w:ind w:firstLine="480"/>
        <w:rPr>
          <w:rFonts w:ascii="宋体" w:hAnsi="宋体"/>
          <w:color w:val="auto"/>
          <w:highlight w:val="none"/>
        </w:rPr>
      </w:pPr>
      <w:r>
        <w:rPr>
          <w:rFonts w:ascii="宋体" w:hAnsi="宋体"/>
          <w:color w:val="auto"/>
          <w:highlight w:val="none"/>
        </w:rPr>
        <w:t>3.</w:t>
      </w:r>
      <w:r>
        <w:rPr>
          <w:rFonts w:hint="eastAsia" w:ascii="宋体" w:hAnsi="宋体"/>
          <w:color w:val="auto"/>
          <w:highlight w:val="none"/>
        </w:rPr>
        <w:t>乙方提供所需配件，甲方负责对乙方提供的配件进行验收，乙方须严格按照甲方装载机品牌提供原厂配套合格配件。</w:t>
      </w:r>
    </w:p>
    <w:p w14:paraId="01B803A2">
      <w:pPr>
        <w:pStyle w:val="103"/>
        <w:ind w:firstLine="480"/>
        <w:rPr>
          <w:rFonts w:ascii="宋体" w:hAnsi="宋体"/>
          <w:color w:val="auto"/>
          <w:highlight w:val="none"/>
        </w:rPr>
      </w:pPr>
      <w:r>
        <w:rPr>
          <w:rFonts w:ascii="宋体" w:hAnsi="宋体"/>
          <w:color w:val="auto"/>
          <w:highlight w:val="none"/>
        </w:rPr>
        <w:t>4.</w:t>
      </w:r>
      <w:r>
        <w:rPr>
          <w:rFonts w:hint="eastAsia" w:ascii="宋体" w:hAnsi="宋体"/>
          <w:color w:val="auto"/>
          <w:highlight w:val="none"/>
        </w:rPr>
        <w:t>乙方对维修过的项目，更换过的配件承诺从验收之日起</w:t>
      </w:r>
      <w:r>
        <w:rPr>
          <w:rFonts w:hint="eastAsia" w:ascii="宋体" w:hAnsi="宋体"/>
          <w:color w:val="auto"/>
          <w:highlight w:val="none"/>
          <w:lang w:val="en-US" w:eastAsia="zh-CN"/>
        </w:rPr>
        <w:t>维保期为</w:t>
      </w:r>
      <w:r>
        <w:rPr>
          <w:rFonts w:ascii="宋体" w:hAnsi="宋体"/>
          <w:color w:val="auto"/>
          <w:highlight w:val="none"/>
          <w:u w:val="single"/>
        </w:rPr>
        <w:t xml:space="preserve">     </w:t>
      </w:r>
      <w:r>
        <w:rPr>
          <w:rFonts w:hint="eastAsia" w:ascii="宋体" w:hAnsi="宋体"/>
          <w:color w:val="auto"/>
          <w:highlight w:val="none"/>
          <w:lang w:val="en-US" w:eastAsia="zh-CN"/>
        </w:rPr>
        <w:t>月</w:t>
      </w:r>
      <w:r>
        <w:rPr>
          <w:rFonts w:hint="eastAsia" w:ascii="宋体" w:hAnsi="宋体"/>
          <w:color w:val="auto"/>
          <w:highlight w:val="none"/>
        </w:rPr>
        <w:t>(</w:t>
      </w:r>
      <w:r>
        <w:rPr>
          <w:rFonts w:hint="eastAsia" w:ascii="宋体" w:hAnsi="宋体"/>
          <w:color w:val="auto"/>
          <w:highlight w:val="none"/>
          <w:lang w:val="en-US" w:eastAsia="zh-CN"/>
        </w:rPr>
        <w:t>易损件及保养</w:t>
      </w:r>
      <w:r>
        <w:rPr>
          <w:rFonts w:hint="eastAsia" w:ascii="宋体" w:hAnsi="宋体"/>
          <w:color w:val="auto"/>
          <w:highlight w:val="none"/>
        </w:rPr>
        <w:t>除外）。如</w:t>
      </w:r>
      <w:r>
        <w:rPr>
          <w:rFonts w:hint="eastAsia" w:ascii="宋体" w:hAnsi="宋体"/>
          <w:color w:val="auto"/>
          <w:highlight w:val="none"/>
          <w:lang w:eastAsia="zh-CN"/>
        </w:rPr>
        <w:t>维保期</w:t>
      </w:r>
      <w:r>
        <w:rPr>
          <w:rFonts w:hint="eastAsia" w:ascii="宋体" w:hAnsi="宋体"/>
          <w:color w:val="auto"/>
          <w:highlight w:val="none"/>
        </w:rPr>
        <w:t>内出现质量问题，乙方无偿返修。</w:t>
      </w:r>
    </w:p>
    <w:p w14:paraId="77A808F2">
      <w:pPr>
        <w:pStyle w:val="103"/>
        <w:ind w:firstLine="480"/>
        <w:rPr>
          <w:rFonts w:ascii="宋体" w:hAnsi="宋体"/>
          <w:color w:val="auto"/>
          <w:highlight w:val="none"/>
        </w:rPr>
      </w:pPr>
      <w:r>
        <w:rPr>
          <w:rFonts w:ascii="宋体" w:hAnsi="宋体"/>
          <w:color w:val="auto"/>
          <w:highlight w:val="none"/>
        </w:rPr>
        <w:t>5</w:t>
      </w:r>
      <w:r>
        <w:rPr>
          <w:rFonts w:hint="eastAsia" w:ascii="宋体" w:hAnsi="宋体"/>
          <w:color w:val="auto"/>
          <w:highlight w:val="none"/>
        </w:rPr>
        <w:t>.在</w:t>
      </w:r>
      <w:r>
        <w:rPr>
          <w:rFonts w:hint="eastAsia" w:ascii="宋体" w:hAnsi="宋体"/>
          <w:color w:val="auto"/>
          <w:highlight w:val="none"/>
          <w:lang w:eastAsia="zh-CN"/>
        </w:rPr>
        <w:t>维保期</w:t>
      </w:r>
      <w:r>
        <w:rPr>
          <w:rFonts w:hint="eastAsia" w:ascii="宋体" w:hAnsi="宋体"/>
          <w:color w:val="auto"/>
          <w:highlight w:val="none"/>
        </w:rPr>
        <w:t>内，乙方应对货物出现的质量及安全问题负责处理解决并承担一切费用。</w:t>
      </w:r>
    </w:p>
    <w:p w14:paraId="19011D03">
      <w:pPr>
        <w:pStyle w:val="103"/>
        <w:ind w:firstLine="480"/>
        <w:rPr>
          <w:rFonts w:ascii="宋体" w:hAnsi="宋体"/>
          <w:color w:val="auto"/>
          <w:highlight w:val="none"/>
        </w:rPr>
      </w:pPr>
      <w:r>
        <w:rPr>
          <w:rFonts w:ascii="宋体" w:hAnsi="宋体"/>
          <w:color w:val="auto"/>
          <w:highlight w:val="none"/>
        </w:rPr>
        <w:t>6.</w:t>
      </w:r>
      <w:r>
        <w:rPr>
          <w:rFonts w:hint="eastAsia" w:ascii="宋体" w:hAnsi="宋体"/>
          <w:color w:val="auto"/>
          <w:highlight w:val="none"/>
        </w:rPr>
        <w:t>没有甲方事先书面同意，乙方不得将由甲方提供的有关合同或任何合同条文、规格、样品或资料提供</w:t>
      </w:r>
      <w:r>
        <w:rPr>
          <w:rFonts w:hint="eastAsia" w:ascii="宋体" w:hAnsi="宋体"/>
          <w:color w:val="auto"/>
          <w:highlight w:val="none"/>
          <w:lang w:eastAsia="zh-CN"/>
        </w:rPr>
        <w:t>给</w:t>
      </w:r>
      <w:r>
        <w:rPr>
          <w:rFonts w:hint="eastAsia" w:ascii="宋体" w:hAnsi="宋体"/>
          <w:color w:val="auto"/>
          <w:highlight w:val="none"/>
        </w:rPr>
        <w:t>履行本合同无关的任何其他人。即使向履行本合同有关的人员提供，也应注意保密并限于履行合同的必需范围。</w:t>
      </w:r>
    </w:p>
    <w:p w14:paraId="0251B30F">
      <w:pPr>
        <w:pStyle w:val="103"/>
        <w:ind w:firstLine="480"/>
        <w:rPr>
          <w:rFonts w:ascii="宋体" w:hAnsi="宋体"/>
          <w:b/>
          <w:bCs/>
          <w:color w:val="auto"/>
          <w:highlight w:val="none"/>
        </w:rPr>
      </w:pPr>
      <w:r>
        <w:rPr>
          <w:rFonts w:hint="eastAsia" w:ascii="宋体" w:hAnsi="宋体"/>
          <w:b/>
          <w:bCs/>
          <w:color w:val="auto"/>
          <w:highlight w:val="none"/>
        </w:rPr>
        <w:t>四、知识产权及产权担保</w:t>
      </w:r>
    </w:p>
    <w:p w14:paraId="53DA4B69">
      <w:pPr>
        <w:pStyle w:val="103"/>
        <w:ind w:firstLine="480"/>
        <w:rPr>
          <w:rFonts w:ascii="宋体" w:hAnsi="宋体"/>
          <w:color w:val="auto"/>
          <w:highlight w:val="none"/>
        </w:rPr>
      </w:pPr>
      <w:r>
        <w:rPr>
          <w:rFonts w:hint="eastAsia" w:ascii="宋体" w:hAnsi="宋体"/>
          <w:color w:val="auto"/>
          <w:highlight w:val="none"/>
        </w:rPr>
        <w:t>乙方应保证所提供的服务或其任何一部分均不会侵犯任何第三方的权益。</w:t>
      </w:r>
    </w:p>
    <w:p w14:paraId="0DBF3869">
      <w:pPr>
        <w:pStyle w:val="103"/>
        <w:ind w:firstLine="480"/>
        <w:rPr>
          <w:rFonts w:ascii="宋体" w:hAnsi="宋体"/>
          <w:b/>
          <w:bCs/>
          <w:color w:val="auto"/>
          <w:highlight w:val="none"/>
        </w:rPr>
      </w:pPr>
      <w:r>
        <w:rPr>
          <w:rFonts w:hint="eastAsia" w:ascii="宋体" w:hAnsi="宋体"/>
          <w:b/>
          <w:bCs/>
          <w:color w:val="auto"/>
          <w:highlight w:val="none"/>
        </w:rPr>
        <w:t>五、履约保证金及履约</w:t>
      </w:r>
      <w:r>
        <w:rPr>
          <w:rFonts w:ascii="宋体" w:hAnsi="宋体"/>
          <w:b/>
          <w:bCs/>
          <w:color w:val="auto"/>
          <w:highlight w:val="none"/>
        </w:rPr>
        <w:t>期限</w:t>
      </w:r>
    </w:p>
    <w:p w14:paraId="25E545E5">
      <w:pPr>
        <w:pStyle w:val="103"/>
        <w:ind w:firstLine="480"/>
        <w:rPr>
          <w:rFonts w:hint="eastAsia" w:ascii="宋体" w:hAnsi="宋体" w:cs="宋体"/>
          <w:color w:val="auto"/>
          <w:highlight w:val="none"/>
        </w:rPr>
      </w:pPr>
      <w:r>
        <w:rPr>
          <w:rFonts w:ascii="宋体" w:hAnsi="宋体"/>
          <w:color w:val="auto"/>
          <w:highlight w:val="none"/>
        </w:rPr>
        <w:t>1.</w:t>
      </w:r>
      <w:r>
        <w:rPr>
          <w:rFonts w:hint="eastAsia" w:ascii="宋体" w:hAnsi="宋体"/>
          <w:color w:val="auto"/>
          <w:highlight w:val="none"/>
        </w:rPr>
        <w:t>履约</w:t>
      </w:r>
      <w:r>
        <w:rPr>
          <w:rFonts w:ascii="宋体" w:hAnsi="宋体"/>
          <w:color w:val="auto"/>
          <w:highlight w:val="none"/>
        </w:rPr>
        <w:t>保证金：</w:t>
      </w:r>
      <w:r>
        <w:rPr>
          <w:rFonts w:hint="eastAsia" w:ascii="宋体" w:hAnsi="宋体" w:cs="宋体"/>
          <w:color w:val="auto"/>
          <w:highlight w:val="none"/>
          <w:lang w:eastAsia="zh-CN"/>
        </w:rPr>
        <w:t>中标通知书发出后合同签订前</w:t>
      </w:r>
      <w:r>
        <w:rPr>
          <w:rFonts w:hint="eastAsia" w:ascii="宋体" w:hAnsi="宋体" w:cs="宋体"/>
          <w:color w:val="auto"/>
          <w:highlight w:val="none"/>
        </w:rPr>
        <w:t>，履约保证金缴纳至甲方规定账户，金额为</w:t>
      </w:r>
      <w:r>
        <w:rPr>
          <w:rFonts w:hint="eastAsia" w:ascii="宋体" w:hAnsi="宋体" w:cs="宋体"/>
          <w:color w:val="auto"/>
          <w:highlight w:val="none"/>
          <w:lang w:eastAsia="zh-CN"/>
        </w:rPr>
        <w:t>壹万元</w:t>
      </w:r>
      <w:r>
        <w:rPr>
          <w:rFonts w:hint="eastAsia" w:ascii="宋体" w:hAnsi="宋体" w:cs="宋体"/>
          <w:color w:val="auto"/>
          <w:highlight w:val="none"/>
        </w:rPr>
        <w:t>整，</w:t>
      </w:r>
      <w:r>
        <w:rPr>
          <w:rFonts w:hint="eastAsia" w:ascii="宋体" w:hAnsi="宋体" w:cs="宋体"/>
          <w:color w:val="auto"/>
          <w:highlight w:val="none"/>
          <w:lang w:eastAsia="zh-CN"/>
        </w:rPr>
        <w:t>合同款付款结束且无违约责任情况下30日内无息退还</w:t>
      </w:r>
      <w:r>
        <w:rPr>
          <w:rFonts w:hint="eastAsia" w:ascii="宋体" w:hAnsi="宋体" w:cs="宋体"/>
          <w:color w:val="auto"/>
          <w:highlight w:val="none"/>
        </w:rPr>
        <w:t>。</w:t>
      </w:r>
    </w:p>
    <w:p w14:paraId="6E296B40">
      <w:pPr>
        <w:pStyle w:val="103"/>
        <w:ind w:firstLine="480"/>
        <w:rPr>
          <w:rFonts w:ascii="宋体" w:hAnsi="宋体"/>
          <w:color w:val="auto"/>
          <w:highlight w:val="none"/>
        </w:rPr>
      </w:pPr>
      <w:r>
        <w:rPr>
          <w:rFonts w:hint="eastAsia" w:ascii="宋体" w:hAnsi="宋体"/>
          <w:color w:val="auto"/>
          <w:highlight w:val="none"/>
        </w:rPr>
        <w:t>2.履约</w:t>
      </w:r>
      <w:r>
        <w:rPr>
          <w:rFonts w:ascii="宋体" w:hAnsi="宋体"/>
          <w:color w:val="auto"/>
          <w:highlight w:val="none"/>
        </w:rPr>
        <w:t>期限：</w:t>
      </w:r>
      <w:r>
        <w:rPr>
          <w:rFonts w:hint="eastAsia" w:ascii="宋体" w:hAnsi="宋体"/>
          <w:color w:val="auto"/>
          <w:highlight w:val="none"/>
        </w:rPr>
        <w:t>合同签订后一年或总预算购完，满足其一则合同终止。</w:t>
      </w:r>
    </w:p>
    <w:p w14:paraId="76512984">
      <w:pPr>
        <w:pStyle w:val="103"/>
        <w:ind w:firstLine="480"/>
        <w:rPr>
          <w:rFonts w:ascii="宋体" w:hAnsi="宋体"/>
          <w:b/>
          <w:bCs/>
          <w:color w:val="auto"/>
          <w:highlight w:val="none"/>
        </w:rPr>
      </w:pPr>
      <w:r>
        <w:rPr>
          <w:rFonts w:hint="eastAsia" w:ascii="宋体" w:hAnsi="宋体"/>
          <w:b/>
          <w:bCs/>
          <w:color w:val="auto"/>
          <w:highlight w:val="none"/>
        </w:rPr>
        <w:t>六、转包或分包</w:t>
      </w:r>
    </w:p>
    <w:p w14:paraId="5ED44109">
      <w:pPr>
        <w:pStyle w:val="103"/>
        <w:ind w:firstLine="480"/>
        <w:rPr>
          <w:rFonts w:ascii="宋体" w:hAnsi="宋体"/>
          <w:color w:val="auto"/>
          <w:highlight w:val="none"/>
        </w:rPr>
      </w:pPr>
      <w:r>
        <w:rPr>
          <w:rFonts w:hint="eastAsia" w:ascii="宋体" w:hAnsi="宋体"/>
          <w:color w:val="auto"/>
          <w:highlight w:val="none"/>
        </w:rPr>
        <w:t>1.本合同范围的服务，应由乙方直接承接服务供应，不得向他人转让，也不得肢解后分别向他人转让。</w:t>
      </w:r>
    </w:p>
    <w:p w14:paraId="4B1D008B">
      <w:pPr>
        <w:pStyle w:val="103"/>
        <w:ind w:firstLine="480"/>
        <w:rPr>
          <w:rFonts w:ascii="宋体" w:hAnsi="宋体"/>
          <w:color w:val="auto"/>
          <w:highlight w:val="none"/>
        </w:rPr>
      </w:pPr>
      <w:r>
        <w:rPr>
          <w:rFonts w:hint="eastAsia" w:ascii="宋体" w:hAnsi="宋体"/>
          <w:color w:val="auto"/>
          <w:highlight w:val="none"/>
        </w:rPr>
        <w:t>2.除非得到甲方的书面同意，乙方不得将本合同范围的服务转包或分包给他人供应。</w:t>
      </w:r>
    </w:p>
    <w:p w14:paraId="697D9031">
      <w:pPr>
        <w:pStyle w:val="103"/>
        <w:ind w:firstLine="480"/>
        <w:rPr>
          <w:rFonts w:ascii="宋体" w:hAnsi="宋体"/>
          <w:color w:val="auto"/>
          <w:highlight w:val="none"/>
        </w:rPr>
      </w:pPr>
      <w:r>
        <w:rPr>
          <w:rFonts w:hint="eastAsia" w:ascii="宋体" w:hAnsi="宋体"/>
          <w:color w:val="auto"/>
          <w:highlight w:val="none"/>
        </w:rPr>
        <w:t>3.如有转让和未经甲方同意的分包行为，甲方有权解除合同，没收履约保证金并追究乙方的违约责任。</w:t>
      </w:r>
    </w:p>
    <w:p w14:paraId="79E7AB87">
      <w:pPr>
        <w:pStyle w:val="103"/>
        <w:ind w:firstLine="480"/>
        <w:rPr>
          <w:rFonts w:ascii="宋体" w:hAnsi="宋体"/>
          <w:b/>
          <w:bCs/>
          <w:color w:val="auto"/>
          <w:highlight w:val="none"/>
        </w:rPr>
      </w:pPr>
      <w:r>
        <w:rPr>
          <w:rFonts w:hint="eastAsia" w:ascii="宋体" w:hAnsi="宋体"/>
          <w:b/>
          <w:bCs/>
          <w:color w:val="auto"/>
          <w:highlight w:val="none"/>
        </w:rPr>
        <w:t>七、资金结算和支付方式</w:t>
      </w:r>
    </w:p>
    <w:p w14:paraId="5129FE56">
      <w:pPr>
        <w:pStyle w:val="103"/>
        <w:ind w:firstLine="480"/>
        <w:rPr>
          <w:rFonts w:ascii="宋体" w:hAnsi="宋体"/>
          <w:color w:val="auto"/>
          <w:highlight w:val="none"/>
        </w:rPr>
      </w:pPr>
      <w:r>
        <w:rPr>
          <w:rFonts w:hint="eastAsia" w:ascii="宋体" w:hAnsi="宋体"/>
          <w:color w:val="auto"/>
          <w:highlight w:val="none"/>
        </w:rPr>
        <w:t>1.结算</w:t>
      </w:r>
      <w:r>
        <w:rPr>
          <w:rFonts w:ascii="宋体" w:hAnsi="宋体"/>
          <w:color w:val="auto"/>
          <w:highlight w:val="none"/>
        </w:rPr>
        <w:t>方式：</w:t>
      </w:r>
      <w:r>
        <w:rPr>
          <w:rFonts w:hint="eastAsia" w:ascii="宋体" w:hAnsi="宋体"/>
          <w:color w:val="auto"/>
          <w:highlight w:val="none"/>
        </w:rPr>
        <w:t>结算</w:t>
      </w:r>
      <w:r>
        <w:rPr>
          <w:rFonts w:ascii="宋体" w:hAnsi="宋体"/>
          <w:color w:val="auto"/>
          <w:highlight w:val="none"/>
        </w:rPr>
        <w:t>金额=实际项目数量</w:t>
      </w:r>
      <w:r>
        <w:rPr>
          <w:rFonts w:hint="default" w:ascii="宋体" w:hAnsi="宋体" w:cstheme="minorBidi"/>
          <w:color w:val="auto"/>
          <w:highlight w:val="none"/>
        </w:rPr>
        <w:t>×</w:t>
      </w:r>
      <w:r>
        <w:rPr>
          <w:rFonts w:hint="eastAsia" w:ascii="宋体" w:hAnsi="宋体"/>
          <w:color w:val="auto"/>
          <w:highlight w:val="none"/>
        </w:rPr>
        <w:t>单价</w:t>
      </w:r>
    </w:p>
    <w:p w14:paraId="372E5B51">
      <w:pPr>
        <w:pStyle w:val="103"/>
        <w:ind w:firstLine="480"/>
        <w:rPr>
          <w:rFonts w:ascii="宋体" w:hAnsi="宋体"/>
          <w:color w:val="auto"/>
          <w:highlight w:val="none"/>
        </w:rPr>
      </w:pPr>
      <w:r>
        <w:rPr>
          <w:rFonts w:ascii="宋体" w:hAnsi="宋体"/>
          <w:color w:val="auto"/>
          <w:highlight w:val="none"/>
        </w:rPr>
        <w:t>2.</w:t>
      </w:r>
      <w:r>
        <w:rPr>
          <w:rFonts w:hint="eastAsia" w:ascii="宋体" w:hAnsi="宋体"/>
          <w:color w:val="auto"/>
          <w:highlight w:val="none"/>
        </w:rPr>
        <w:t>支付</w:t>
      </w:r>
      <w:r>
        <w:rPr>
          <w:rFonts w:ascii="宋体" w:hAnsi="宋体"/>
          <w:color w:val="auto"/>
          <w:highlight w:val="none"/>
        </w:rPr>
        <w:t>方式：</w:t>
      </w:r>
      <w:r>
        <w:rPr>
          <w:rFonts w:hint="eastAsia" w:ascii="宋体" w:hAnsi="宋体"/>
          <w:color w:val="auto"/>
          <w:highlight w:val="none"/>
        </w:rPr>
        <w:t>月结方式，乙方凭甲方签字后的维修、保养清单作为结算依据，经甲乙双方核对无误后，乙方提供增值税专用发票，甲方在收到增值税专用发票后的60日内支付款项。如乙方不按期办理</w:t>
      </w:r>
      <w:r>
        <w:rPr>
          <w:rFonts w:hint="default" w:ascii="宋体" w:hAnsi="宋体"/>
          <w:color w:val="auto"/>
          <w:highlight w:val="none"/>
          <w:lang w:eastAsia="zh-CN"/>
        </w:rPr>
        <w:t>对账</w:t>
      </w:r>
      <w:r>
        <w:rPr>
          <w:rFonts w:hint="eastAsia" w:ascii="宋体" w:hAnsi="宋体"/>
          <w:color w:val="auto"/>
          <w:highlight w:val="none"/>
        </w:rPr>
        <w:t>结算手续或未提供增值税专用发票,甲方将不予办理付款事宜,因此而造成损失的由乙方自行承担。</w:t>
      </w:r>
    </w:p>
    <w:p w14:paraId="6070F671">
      <w:pPr>
        <w:pStyle w:val="103"/>
        <w:ind w:firstLine="480"/>
        <w:rPr>
          <w:rFonts w:ascii="宋体" w:hAnsi="宋体"/>
          <w:b/>
          <w:bCs/>
          <w:color w:val="auto"/>
          <w:highlight w:val="none"/>
        </w:rPr>
      </w:pPr>
      <w:r>
        <w:rPr>
          <w:rFonts w:hint="eastAsia" w:ascii="宋体" w:hAnsi="宋体"/>
          <w:b/>
          <w:bCs/>
          <w:color w:val="auto"/>
          <w:highlight w:val="none"/>
        </w:rPr>
        <w:t>八、税费</w:t>
      </w:r>
    </w:p>
    <w:p w14:paraId="6B158A76">
      <w:pPr>
        <w:pStyle w:val="103"/>
        <w:ind w:firstLine="480"/>
        <w:rPr>
          <w:rFonts w:ascii="宋体" w:hAnsi="宋体"/>
          <w:color w:val="auto"/>
          <w:highlight w:val="none"/>
        </w:rPr>
      </w:pPr>
      <w:r>
        <w:rPr>
          <w:rFonts w:hint="eastAsia" w:ascii="宋体" w:hAnsi="宋体"/>
          <w:color w:val="auto"/>
          <w:highlight w:val="none"/>
        </w:rPr>
        <w:t>本合同执行中相关的一切税费均由乙方负担。</w:t>
      </w:r>
    </w:p>
    <w:p w14:paraId="628BC36C">
      <w:pPr>
        <w:pStyle w:val="103"/>
        <w:ind w:firstLine="480"/>
        <w:rPr>
          <w:rFonts w:ascii="宋体" w:hAnsi="宋体"/>
          <w:b/>
          <w:bCs/>
          <w:color w:val="auto"/>
          <w:highlight w:val="none"/>
        </w:rPr>
      </w:pPr>
      <w:r>
        <w:rPr>
          <w:rFonts w:hint="eastAsia" w:ascii="宋体" w:hAnsi="宋体"/>
          <w:b/>
          <w:bCs/>
          <w:color w:val="auto"/>
          <w:highlight w:val="none"/>
        </w:rPr>
        <w:t>九、合同修改与解除</w:t>
      </w:r>
    </w:p>
    <w:p w14:paraId="3FEFF7B2">
      <w:pPr>
        <w:pStyle w:val="103"/>
        <w:ind w:firstLine="480"/>
        <w:rPr>
          <w:rFonts w:ascii="宋体" w:hAnsi="宋体"/>
          <w:color w:val="auto"/>
          <w:highlight w:val="none"/>
        </w:rPr>
      </w:pPr>
      <w:r>
        <w:rPr>
          <w:rFonts w:hint="eastAsia" w:ascii="宋体" w:hAnsi="宋体"/>
          <w:color w:val="auto"/>
          <w:highlight w:val="none"/>
        </w:rPr>
        <w:t>1.本合同供需双方的任何一方无权对合同内容进行修改，本合同如需修改，必须达成书面协议，并作为该合同的有效组成部分。</w:t>
      </w:r>
    </w:p>
    <w:p w14:paraId="03141D50">
      <w:pPr>
        <w:pStyle w:val="103"/>
        <w:ind w:firstLine="480"/>
        <w:rPr>
          <w:rFonts w:ascii="宋体" w:hAnsi="宋体"/>
          <w:color w:val="auto"/>
          <w:highlight w:val="none"/>
        </w:rPr>
      </w:pPr>
      <w:r>
        <w:rPr>
          <w:rFonts w:hint="eastAsia" w:ascii="宋体" w:hAnsi="宋体"/>
          <w:color w:val="auto"/>
          <w:highlight w:val="none"/>
        </w:rPr>
        <w:t>2.合同可以经双方协商一致解除，或按照《</w:t>
      </w:r>
      <w:r>
        <w:rPr>
          <w:rFonts w:hint="eastAsia" w:ascii="宋体" w:hAnsi="宋体"/>
          <w:color w:val="auto"/>
          <w:highlight w:val="none"/>
          <w:lang w:eastAsia="zh-CN"/>
        </w:rPr>
        <w:t>中华人民共和国民法典</w:t>
      </w:r>
      <w:r>
        <w:rPr>
          <w:rFonts w:hint="eastAsia" w:ascii="宋体" w:hAnsi="宋体"/>
          <w:color w:val="auto"/>
          <w:highlight w:val="none"/>
        </w:rPr>
        <w:t>》的规定单方解除。</w:t>
      </w:r>
    </w:p>
    <w:p w14:paraId="4DDFF475">
      <w:pPr>
        <w:pStyle w:val="103"/>
        <w:ind w:firstLine="480"/>
        <w:rPr>
          <w:rFonts w:ascii="宋体" w:hAnsi="宋体"/>
          <w:b/>
          <w:bCs/>
          <w:color w:val="auto"/>
          <w:highlight w:val="none"/>
        </w:rPr>
      </w:pPr>
      <w:r>
        <w:rPr>
          <w:rFonts w:hint="eastAsia" w:ascii="宋体" w:hAnsi="宋体"/>
          <w:b/>
          <w:bCs/>
          <w:color w:val="auto"/>
          <w:highlight w:val="none"/>
        </w:rPr>
        <w:t>十、违约责任</w:t>
      </w:r>
    </w:p>
    <w:p w14:paraId="48A5CC74">
      <w:pPr>
        <w:pStyle w:val="103"/>
        <w:ind w:firstLine="480"/>
        <w:rPr>
          <w:rFonts w:ascii="宋体" w:hAnsi="宋体"/>
          <w:color w:val="auto"/>
          <w:highlight w:val="none"/>
        </w:rPr>
      </w:pPr>
      <w:r>
        <w:rPr>
          <w:rFonts w:hint="eastAsia" w:ascii="宋体" w:hAnsi="宋体"/>
          <w:color w:val="auto"/>
          <w:highlight w:val="none"/>
        </w:rPr>
        <w:t>乙方未能如期满足甲方需维修、保养产品的，甲方</w:t>
      </w:r>
      <w:r>
        <w:rPr>
          <w:rFonts w:hint="eastAsia" w:ascii="宋体" w:hAnsi="宋体"/>
          <w:color w:val="auto"/>
          <w:highlight w:val="none"/>
          <w:lang w:val="en-US" w:eastAsia="zh-CN"/>
        </w:rPr>
        <w:t>有权每次从合同款中扣1000元/次</w:t>
      </w:r>
      <w:r>
        <w:rPr>
          <w:rFonts w:hint="eastAsia" w:ascii="宋体" w:hAnsi="宋体"/>
          <w:color w:val="auto"/>
          <w:highlight w:val="none"/>
        </w:rPr>
        <w:t>作为违约金。乙方超过3次未能如期</w:t>
      </w:r>
      <w:r>
        <w:rPr>
          <w:rFonts w:hint="eastAsia" w:ascii="宋体" w:hAnsi="宋体"/>
          <w:color w:val="auto"/>
          <w:highlight w:val="none"/>
          <w:lang w:val="en-US" w:eastAsia="zh-CN"/>
        </w:rPr>
        <w:t>满足甲方维修要求</w:t>
      </w:r>
      <w:r>
        <w:rPr>
          <w:rFonts w:hint="eastAsia" w:ascii="宋体" w:hAnsi="宋体"/>
          <w:color w:val="auto"/>
          <w:highlight w:val="none"/>
        </w:rPr>
        <w:t>的，甲方可解除本合同。乙方因未能如期</w:t>
      </w:r>
      <w:r>
        <w:rPr>
          <w:rFonts w:hint="eastAsia" w:ascii="宋体" w:hAnsi="宋体"/>
          <w:color w:val="auto"/>
          <w:highlight w:val="none"/>
          <w:lang w:val="en-US" w:eastAsia="zh-CN"/>
        </w:rPr>
        <w:t>满足甲方维修要求</w:t>
      </w:r>
      <w:r>
        <w:rPr>
          <w:rFonts w:hint="eastAsia" w:ascii="宋体" w:hAnsi="宋体"/>
          <w:color w:val="auto"/>
          <w:highlight w:val="none"/>
        </w:rPr>
        <w:t>或因其他违约行为导致甲方解除合同的，没收履约保证金并解除合同。如造成甲方损失超过违约金的，超出部分由乙方继续承担赔偿责任。</w:t>
      </w:r>
    </w:p>
    <w:p w14:paraId="15F5F09A">
      <w:pPr>
        <w:pStyle w:val="103"/>
        <w:ind w:firstLine="480"/>
        <w:rPr>
          <w:rFonts w:ascii="宋体" w:hAnsi="宋体"/>
          <w:b/>
          <w:bCs/>
          <w:color w:val="auto"/>
          <w:highlight w:val="none"/>
        </w:rPr>
      </w:pPr>
      <w:r>
        <w:rPr>
          <w:rFonts w:hint="eastAsia" w:ascii="宋体" w:hAnsi="宋体"/>
          <w:b/>
          <w:bCs/>
          <w:color w:val="auto"/>
          <w:highlight w:val="none"/>
        </w:rPr>
        <w:t>十一、不可抗力事件处理</w:t>
      </w:r>
    </w:p>
    <w:p w14:paraId="74EEAFD4">
      <w:pPr>
        <w:pStyle w:val="103"/>
        <w:ind w:firstLine="480"/>
        <w:rPr>
          <w:rFonts w:ascii="宋体" w:hAnsi="宋体"/>
          <w:color w:val="auto"/>
          <w:highlight w:val="none"/>
        </w:rPr>
      </w:pPr>
      <w:r>
        <w:rPr>
          <w:rFonts w:hint="eastAsia" w:ascii="宋体" w:hAnsi="宋体"/>
          <w:color w:val="auto"/>
          <w:highlight w:val="none"/>
        </w:rPr>
        <w:t>1.在合同有效期内，任何一方因不可抗力事件导致不能履行合同，则合同履行期可延长，其延长期与不可抗力影响期相同。</w:t>
      </w:r>
    </w:p>
    <w:p w14:paraId="2883EFE5">
      <w:pPr>
        <w:pStyle w:val="103"/>
        <w:ind w:firstLine="480"/>
        <w:rPr>
          <w:rFonts w:ascii="宋体" w:hAnsi="宋体"/>
          <w:color w:val="auto"/>
          <w:highlight w:val="none"/>
        </w:rPr>
      </w:pPr>
      <w:r>
        <w:rPr>
          <w:rFonts w:hint="eastAsia" w:ascii="宋体" w:hAnsi="宋体"/>
          <w:color w:val="auto"/>
          <w:highlight w:val="none"/>
        </w:rPr>
        <w:t>2.不可抗力事件发生后，应立即通知对方，并寄送有关权威机构出具的证明。</w:t>
      </w:r>
    </w:p>
    <w:p w14:paraId="4A17E49B">
      <w:pPr>
        <w:pStyle w:val="103"/>
        <w:ind w:firstLine="480"/>
        <w:rPr>
          <w:rFonts w:ascii="宋体" w:hAnsi="宋体"/>
          <w:color w:val="auto"/>
          <w:highlight w:val="none"/>
        </w:rPr>
      </w:pPr>
      <w:r>
        <w:rPr>
          <w:rFonts w:hint="eastAsia" w:ascii="宋体" w:hAnsi="宋体"/>
          <w:color w:val="auto"/>
          <w:highlight w:val="none"/>
        </w:rPr>
        <w:t>3.不可抗力事件延续120天以上，双方应通过友好协商，确定是否继续履行合同。</w:t>
      </w:r>
    </w:p>
    <w:p w14:paraId="276075F9">
      <w:pPr>
        <w:pStyle w:val="103"/>
        <w:ind w:firstLine="480"/>
        <w:rPr>
          <w:rFonts w:ascii="宋体" w:hAnsi="宋体"/>
          <w:b/>
          <w:bCs/>
          <w:color w:val="auto"/>
          <w:highlight w:val="none"/>
        </w:rPr>
      </w:pPr>
      <w:r>
        <w:rPr>
          <w:rFonts w:hint="eastAsia" w:ascii="宋体" w:hAnsi="宋体"/>
          <w:b/>
          <w:bCs/>
          <w:color w:val="auto"/>
          <w:highlight w:val="none"/>
        </w:rPr>
        <w:t>十二、诉讼</w:t>
      </w:r>
    </w:p>
    <w:p w14:paraId="2BFF4BA5">
      <w:pPr>
        <w:pStyle w:val="103"/>
        <w:ind w:firstLine="480"/>
        <w:rPr>
          <w:rFonts w:ascii="宋体" w:hAnsi="宋体"/>
          <w:color w:val="auto"/>
          <w:highlight w:val="none"/>
        </w:rPr>
      </w:pPr>
      <w:r>
        <w:rPr>
          <w:rFonts w:hint="eastAsia" w:ascii="宋体" w:hAnsi="宋体"/>
          <w:color w:val="auto"/>
          <w:highlight w:val="none"/>
        </w:rPr>
        <w:t>双方在执行合同中所发生的一切争议，应通过协商解决。如协商不成，可向甲方所在地法院起诉。</w:t>
      </w:r>
    </w:p>
    <w:p w14:paraId="7B3045C9">
      <w:pPr>
        <w:pStyle w:val="103"/>
        <w:ind w:firstLine="480"/>
        <w:rPr>
          <w:rFonts w:ascii="宋体" w:hAnsi="宋体"/>
          <w:b/>
          <w:bCs/>
          <w:color w:val="auto"/>
          <w:highlight w:val="none"/>
        </w:rPr>
      </w:pPr>
      <w:r>
        <w:rPr>
          <w:rFonts w:hint="eastAsia" w:ascii="宋体" w:hAnsi="宋体"/>
          <w:b/>
          <w:bCs/>
          <w:color w:val="auto"/>
          <w:highlight w:val="none"/>
        </w:rPr>
        <w:t>十三、合同生效</w:t>
      </w:r>
      <w:r>
        <w:rPr>
          <w:rFonts w:hint="eastAsia" w:ascii="宋体" w:hAnsi="宋体"/>
          <w:b/>
          <w:bCs/>
          <w:color w:val="auto"/>
          <w:highlight w:val="none"/>
          <w:lang w:eastAsia="zh-CN"/>
        </w:rPr>
        <w:t>及其他</w:t>
      </w:r>
    </w:p>
    <w:bookmarkEnd w:id="889"/>
    <w:bookmarkEnd w:id="890"/>
    <w:bookmarkEnd w:id="891"/>
    <w:bookmarkEnd w:id="892"/>
    <w:bookmarkEnd w:id="893"/>
    <w:bookmarkEnd w:id="894"/>
    <w:bookmarkEnd w:id="897"/>
    <w:p w14:paraId="1C8C9C0D">
      <w:pPr>
        <w:keepNext w:val="0"/>
        <w:keepLines w:val="0"/>
        <w:pageBreakBefore w:val="0"/>
        <w:widowControl/>
        <w:kinsoku/>
        <w:wordWrap/>
        <w:overflowPunct/>
        <w:topLinePunct w:val="0"/>
        <w:autoSpaceDE/>
        <w:autoSpaceDN/>
        <w:bidi w:val="0"/>
        <w:spacing w:line="300" w:lineRule="auto"/>
        <w:ind w:firstLine="480" w:firstLineChars="200"/>
        <w:textAlignment w:val="auto"/>
        <w:rPr>
          <w:rFonts w:hint="eastAsia" w:ascii="宋体" w:hAnsi="宋体" w:eastAsia="宋体" w:cs="宋体"/>
          <w:color w:val="auto"/>
          <w:sz w:val="24"/>
          <w:szCs w:val="24"/>
          <w:highlight w:val="none"/>
          <w:lang w:val="en-US" w:eastAsia="zh-CN"/>
        </w:rPr>
      </w:pPr>
      <w:bookmarkStart w:id="898" w:name="_Toc356"/>
      <w:bookmarkStart w:id="899" w:name="_Toc17811"/>
      <w:bookmarkStart w:id="900" w:name="_Toc351203492"/>
      <w:bookmarkStart w:id="901" w:name="_Toc8478"/>
      <w:bookmarkStart w:id="902" w:name="_Toc14066"/>
      <w:bookmarkStart w:id="903" w:name="_Toc20281"/>
      <w:bookmarkStart w:id="904" w:name="_Toc30512"/>
      <w:r>
        <w:rPr>
          <w:rFonts w:hint="eastAsia" w:ascii="宋体" w:hAnsi="宋体" w:eastAsia="宋体" w:cs="宋体"/>
          <w:color w:val="auto"/>
          <w:sz w:val="24"/>
          <w:szCs w:val="24"/>
          <w:highlight w:val="none"/>
          <w:lang w:val="en-US" w:eastAsia="zh-CN"/>
        </w:rPr>
        <w:t>1.本合同未尽事宜，遵照《</w:t>
      </w:r>
      <w:r>
        <w:rPr>
          <w:rFonts w:hint="eastAsia" w:ascii="宋体" w:hAnsi="宋体" w:cs="宋体"/>
          <w:color w:val="auto"/>
          <w:sz w:val="24"/>
          <w:szCs w:val="24"/>
          <w:highlight w:val="none"/>
          <w:lang w:val="en-US" w:eastAsia="zh-CN"/>
        </w:rPr>
        <w:t>中华人民共和国民法典</w:t>
      </w:r>
      <w:r>
        <w:rPr>
          <w:rFonts w:hint="eastAsia" w:ascii="宋体" w:hAnsi="宋体" w:eastAsia="宋体" w:cs="宋体"/>
          <w:color w:val="auto"/>
          <w:sz w:val="24"/>
          <w:szCs w:val="24"/>
          <w:highlight w:val="none"/>
          <w:lang w:val="en-US" w:eastAsia="zh-CN"/>
        </w:rPr>
        <w:t>》有关条文执行。</w:t>
      </w:r>
    </w:p>
    <w:p w14:paraId="4DE8F056">
      <w:pPr>
        <w:keepNext w:val="0"/>
        <w:keepLines w:val="0"/>
        <w:pageBreakBefore w:val="0"/>
        <w:widowControl/>
        <w:kinsoku/>
        <w:wordWrap/>
        <w:overflowPunct/>
        <w:topLinePunct w:val="0"/>
        <w:autoSpaceDE/>
        <w:autoSpaceDN/>
        <w:bidi w:val="0"/>
        <w:spacing w:line="30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2.本合同经甲方、乙方</w:t>
      </w:r>
      <w:r>
        <w:rPr>
          <w:rFonts w:hint="eastAsia" w:ascii="宋体" w:hAnsi="宋体" w:cs="宋体"/>
          <w:color w:val="auto"/>
          <w:sz w:val="24"/>
          <w:szCs w:val="24"/>
          <w:highlight w:val="none"/>
          <w:lang w:val="en-US" w:eastAsia="zh-CN"/>
        </w:rPr>
        <w:t>法定代表人（或负责人）</w:t>
      </w:r>
      <w:r>
        <w:rPr>
          <w:rFonts w:hint="eastAsia" w:ascii="宋体" w:hAnsi="宋体" w:eastAsia="宋体" w:cs="宋体"/>
          <w:color w:val="auto"/>
          <w:sz w:val="24"/>
          <w:szCs w:val="24"/>
          <w:highlight w:val="none"/>
          <w:lang w:val="en-US" w:eastAsia="zh-CN"/>
        </w:rPr>
        <w:t>或其委托人签字并加盖双方公章后生效。</w:t>
      </w:r>
    </w:p>
    <w:p w14:paraId="16D98621">
      <w:pPr>
        <w:widowControl/>
        <w:spacing w:line="300" w:lineRule="auto"/>
        <w:ind w:firstLine="480"/>
        <w:rPr>
          <w:rFonts w:ascii="宋体" w:hAnsi="宋体" w:cs="宋体"/>
          <w:color w:val="auto"/>
          <w:highlight w:val="none"/>
        </w:rPr>
      </w:pPr>
      <w:r>
        <w:rPr>
          <w:rFonts w:hint="eastAsia" w:ascii="宋体" w:hAnsi="宋体" w:eastAsia="宋体" w:cs="宋体"/>
          <w:b w:val="0"/>
          <w:bCs w:val="0"/>
          <w:color w:val="auto"/>
          <w:highlight w:val="none"/>
          <w:lang w:val="en-US" w:eastAsia="zh-CN"/>
        </w:rPr>
        <w:t>3.</w:t>
      </w:r>
      <w:bookmarkEnd w:id="898"/>
      <w:bookmarkEnd w:id="899"/>
      <w:bookmarkEnd w:id="900"/>
      <w:bookmarkEnd w:id="901"/>
      <w:bookmarkEnd w:id="902"/>
      <w:bookmarkEnd w:id="903"/>
      <w:bookmarkEnd w:id="904"/>
      <w:r>
        <w:rPr>
          <w:rFonts w:hint="eastAsia" w:ascii="宋体" w:hAnsi="宋体" w:eastAsia="宋体" w:cs="宋体"/>
          <w:color w:val="auto"/>
          <w:highlight w:val="none"/>
        </w:rPr>
        <w:t>本合同一式</w:t>
      </w:r>
      <w:r>
        <w:rPr>
          <w:rFonts w:hint="eastAsia" w:ascii="宋体" w:hAnsi="宋体" w:cs="宋体"/>
          <w:color w:val="auto"/>
          <w:highlight w:val="none"/>
          <w:u w:val="none"/>
          <w:lang w:eastAsia="zh-CN"/>
        </w:rPr>
        <w:t>七</w:t>
      </w:r>
      <w:r>
        <w:rPr>
          <w:rFonts w:hint="eastAsia" w:ascii="宋体" w:hAnsi="宋体" w:eastAsia="宋体" w:cs="宋体"/>
          <w:color w:val="auto"/>
          <w:highlight w:val="none"/>
        </w:rPr>
        <w:t>份，均具有同等法律效力，甲方执</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val="en-US" w:eastAsia="zh-CN"/>
        </w:rPr>
        <w:t>三</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份，乙方执</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val="en-US" w:eastAsia="zh-CN"/>
        </w:rPr>
        <w:t>三</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份，衢州宇信</w:t>
      </w:r>
      <w:r>
        <w:rPr>
          <w:rFonts w:hint="eastAsia" w:ascii="宋体" w:hAnsi="宋体" w:cs="宋体"/>
          <w:color w:val="auto"/>
          <w:highlight w:val="none"/>
        </w:rPr>
        <w:t>工程咨询有限公司</w:t>
      </w:r>
      <w:r>
        <w:rPr>
          <w:rFonts w:hint="eastAsia" w:ascii="宋体" w:hAnsi="宋体" w:eastAsia="宋体" w:cs="宋体"/>
          <w:color w:val="auto"/>
          <w:highlight w:val="none"/>
        </w:rPr>
        <w:t>执</w:t>
      </w:r>
      <w:r>
        <w:rPr>
          <w:rFonts w:hint="eastAsia" w:ascii="宋体" w:hAnsi="宋体" w:cs="宋体"/>
          <w:color w:val="auto"/>
          <w:highlight w:val="none"/>
          <w:lang w:eastAsia="zh-CN"/>
        </w:rPr>
        <w:t>一</w:t>
      </w:r>
      <w:r>
        <w:rPr>
          <w:rFonts w:hint="eastAsia" w:ascii="宋体" w:hAnsi="宋体" w:cs="宋体"/>
          <w:color w:val="auto"/>
          <w:highlight w:val="none"/>
        </w:rPr>
        <w:t>份。</w:t>
      </w:r>
    </w:p>
    <w:p w14:paraId="1F87BA55">
      <w:pPr>
        <w:spacing w:line="300" w:lineRule="auto"/>
        <w:ind w:firstLine="480"/>
        <w:rPr>
          <w:color w:val="auto"/>
          <w:highlight w:val="none"/>
        </w:rPr>
      </w:pPr>
      <w:r>
        <w:rPr>
          <w:rFonts w:hint="eastAsia" w:ascii="宋体" w:hAnsi="宋体" w:cs="宋体"/>
          <w:color w:val="auto"/>
          <w:highlight w:val="none"/>
        </w:rPr>
        <w:t>签署页，</w:t>
      </w:r>
      <w:r>
        <w:rPr>
          <w:rFonts w:hint="eastAsia" w:ascii="宋体" w:hAnsi="宋体" w:cs="宋体"/>
          <w:color w:val="auto"/>
          <w:highlight w:val="none"/>
          <w:lang w:eastAsia="zh-CN"/>
        </w:rPr>
        <w:t>以下</w:t>
      </w:r>
      <w:r>
        <w:rPr>
          <w:rFonts w:hint="eastAsia" w:ascii="宋体" w:hAnsi="宋体" w:cs="宋体"/>
          <w:color w:val="auto"/>
          <w:highlight w:val="none"/>
        </w:rPr>
        <w:t>无正文：</w:t>
      </w:r>
    </w:p>
    <w:tbl>
      <w:tblPr>
        <w:tblStyle w:val="41"/>
        <w:tblW w:w="9286" w:type="dxa"/>
        <w:jc w:val="center"/>
        <w:tblLayout w:type="fixed"/>
        <w:tblCellMar>
          <w:top w:w="0" w:type="dxa"/>
          <w:left w:w="108" w:type="dxa"/>
          <w:bottom w:w="0" w:type="dxa"/>
          <w:right w:w="108" w:type="dxa"/>
        </w:tblCellMar>
      </w:tblPr>
      <w:tblGrid>
        <w:gridCol w:w="4643"/>
        <w:gridCol w:w="4643"/>
      </w:tblGrid>
      <w:tr w14:paraId="5F857BDA">
        <w:tblPrEx>
          <w:tblCellMar>
            <w:top w:w="0" w:type="dxa"/>
            <w:left w:w="108" w:type="dxa"/>
            <w:bottom w:w="0" w:type="dxa"/>
            <w:right w:w="108" w:type="dxa"/>
          </w:tblCellMar>
        </w:tblPrEx>
        <w:trPr>
          <w:trHeight w:val="442" w:hRule="atLeast"/>
          <w:jc w:val="center"/>
        </w:trPr>
        <w:tc>
          <w:tcPr>
            <w:tcW w:w="4643" w:type="dxa"/>
            <w:tcBorders>
              <w:top w:val="nil"/>
              <w:left w:val="nil"/>
              <w:bottom w:val="nil"/>
              <w:right w:val="nil"/>
            </w:tcBorders>
            <w:vAlign w:val="center"/>
          </w:tcPr>
          <w:p w14:paraId="527F24BF">
            <w:pPr>
              <w:keepNext w:val="0"/>
              <w:keepLines w:val="0"/>
              <w:widowControl/>
              <w:suppressLineNumbers w:val="0"/>
              <w:adjustRightInd w:val="0"/>
              <w:snapToGrid w:val="0"/>
              <w:spacing w:before="0" w:beforeAutospacing="0" w:after="0" w:afterAutospacing="0" w:line="288" w:lineRule="auto"/>
              <w:ind w:left="0" w:right="0" w:firstLine="440"/>
              <w:jc w:val="left"/>
              <w:rPr>
                <w:rFonts w:hint="default" w:ascii="宋体" w:hAnsi="宋体" w:cs="宋体"/>
                <w:color w:val="auto"/>
                <w:sz w:val="22"/>
                <w:szCs w:val="22"/>
                <w:highlight w:val="none"/>
                <w:u w:val="single"/>
              </w:rPr>
            </w:pPr>
            <w:r>
              <w:rPr>
                <w:rFonts w:hint="eastAsia" w:ascii="宋体" w:hAnsi="宋体" w:cs="宋体"/>
                <w:color w:val="auto"/>
                <w:sz w:val="22"/>
                <w:szCs w:val="22"/>
                <w:highlight w:val="none"/>
              </w:rPr>
              <w:t>甲方（盖章）：</w:t>
            </w:r>
            <w:r>
              <w:rPr>
                <w:rFonts w:hint="eastAsia" w:ascii="宋体" w:hAnsi="宋体" w:cs="宋体"/>
                <w:color w:val="auto"/>
                <w:sz w:val="22"/>
                <w:szCs w:val="22"/>
                <w:highlight w:val="none"/>
                <w:u w:val="single"/>
              </w:rPr>
              <w:t xml:space="preserve">                    </w:t>
            </w:r>
          </w:p>
        </w:tc>
        <w:tc>
          <w:tcPr>
            <w:tcW w:w="4643" w:type="dxa"/>
            <w:tcBorders>
              <w:top w:val="nil"/>
              <w:left w:val="nil"/>
              <w:bottom w:val="nil"/>
              <w:right w:val="nil"/>
            </w:tcBorders>
            <w:vAlign w:val="center"/>
          </w:tcPr>
          <w:p w14:paraId="181F2823">
            <w:pPr>
              <w:keepNext w:val="0"/>
              <w:keepLines w:val="0"/>
              <w:widowControl/>
              <w:suppressLineNumbers w:val="0"/>
              <w:adjustRightInd w:val="0"/>
              <w:snapToGrid w:val="0"/>
              <w:spacing w:before="0" w:beforeAutospacing="0" w:after="0" w:afterAutospacing="0" w:line="288" w:lineRule="auto"/>
              <w:ind w:left="0" w:right="0" w:firstLine="440"/>
              <w:jc w:val="left"/>
              <w:rPr>
                <w:rFonts w:hint="default" w:ascii="宋体" w:hAnsi="宋体" w:cs="宋体"/>
                <w:color w:val="auto"/>
                <w:sz w:val="22"/>
                <w:szCs w:val="22"/>
                <w:highlight w:val="none"/>
              </w:rPr>
            </w:pPr>
            <w:r>
              <w:rPr>
                <w:rFonts w:hint="eastAsia" w:ascii="宋体" w:hAnsi="宋体" w:cs="宋体"/>
                <w:color w:val="auto"/>
                <w:sz w:val="22"/>
                <w:szCs w:val="22"/>
                <w:highlight w:val="none"/>
              </w:rPr>
              <w:t>乙方（盖章）：</w:t>
            </w:r>
            <w:r>
              <w:rPr>
                <w:rFonts w:hint="eastAsia" w:ascii="宋体" w:hAnsi="宋体" w:cs="宋体"/>
                <w:color w:val="auto"/>
                <w:sz w:val="22"/>
                <w:szCs w:val="22"/>
                <w:highlight w:val="none"/>
                <w:u w:val="single"/>
              </w:rPr>
              <w:t xml:space="preserve">                    </w:t>
            </w:r>
          </w:p>
        </w:tc>
      </w:tr>
      <w:tr w14:paraId="270861AA">
        <w:tblPrEx>
          <w:tblCellMar>
            <w:top w:w="0" w:type="dxa"/>
            <w:left w:w="108" w:type="dxa"/>
            <w:bottom w:w="0" w:type="dxa"/>
            <w:right w:w="108" w:type="dxa"/>
          </w:tblCellMar>
        </w:tblPrEx>
        <w:trPr>
          <w:trHeight w:val="680" w:hRule="atLeast"/>
          <w:jc w:val="center"/>
        </w:trPr>
        <w:tc>
          <w:tcPr>
            <w:tcW w:w="4643" w:type="dxa"/>
            <w:tcBorders>
              <w:top w:val="nil"/>
              <w:left w:val="nil"/>
              <w:bottom w:val="nil"/>
              <w:right w:val="nil"/>
            </w:tcBorders>
            <w:vAlign w:val="center"/>
          </w:tcPr>
          <w:p w14:paraId="6329AF5C">
            <w:pPr>
              <w:keepNext w:val="0"/>
              <w:keepLines w:val="0"/>
              <w:widowControl/>
              <w:suppressLineNumbers w:val="0"/>
              <w:adjustRightInd w:val="0"/>
              <w:snapToGrid w:val="0"/>
              <w:spacing w:before="0" w:beforeAutospacing="0" w:after="0" w:afterAutospacing="0" w:line="288" w:lineRule="auto"/>
              <w:ind w:left="0" w:right="0" w:firstLine="440"/>
              <w:jc w:val="left"/>
              <w:rPr>
                <w:rFonts w:hint="default" w:ascii="宋体" w:hAnsi="宋体" w:cs="宋体"/>
                <w:color w:val="auto"/>
                <w:sz w:val="22"/>
                <w:szCs w:val="22"/>
                <w:highlight w:val="none"/>
              </w:rPr>
            </w:pPr>
            <w:r>
              <w:rPr>
                <w:rFonts w:hint="eastAsia" w:ascii="宋体" w:hAnsi="宋体" w:cs="宋体"/>
                <w:color w:val="auto"/>
                <w:sz w:val="22"/>
                <w:szCs w:val="22"/>
                <w:highlight w:val="none"/>
              </w:rPr>
              <w:t>单位负责人或授权</w:t>
            </w:r>
          </w:p>
          <w:p w14:paraId="08EBA387">
            <w:pPr>
              <w:keepNext w:val="0"/>
              <w:keepLines w:val="0"/>
              <w:widowControl/>
              <w:suppressLineNumbers w:val="0"/>
              <w:adjustRightInd w:val="0"/>
              <w:snapToGrid w:val="0"/>
              <w:spacing w:before="0" w:beforeAutospacing="0" w:after="0" w:afterAutospacing="0" w:line="288" w:lineRule="auto"/>
              <w:ind w:left="0" w:right="0" w:firstLine="440"/>
              <w:jc w:val="left"/>
              <w:rPr>
                <w:rFonts w:hint="default" w:ascii="宋体" w:hAnsi="宋体" w:cs="宋体"/>
                <w:color w:val="auto"/>
                <w:sz w:val="22"/>
                <w:szCs w:val="22"/>
                <w:highlight w:val="none"/>
              </w:rPr>
            </w:pPr>
            <w:r>
              <w:rPr>
                <w:rFonts w:hint="eastAsia" w:ascii="宋体" w:hAnsi="宋体" w:cs="宋体"/>
                <w:color w:val="auto"/>
                <w:sz w:val="22"/>
                <w:szCs w:val="22"/>
                <w:highlight w:val="none"/>
              </w:rPr>
              <w:t>代理人（签字）：</w:t>
            </w:r>
            <w:r>
              <w:rPr>
                <w:rFonts w:hint="eastAsia" w:ascii="宋体" w:hAnsi="宋体" w:cs="宋体"/>
                <w:color w:val="auto"/>
                <w:sz w:val="22"/>
                <w:szCs w:val="22"/>
                <w:highlight w:val="none"/>
                <w:u w:val="single"/>
              </w:rPr>
              <w:t xml:space="preserve">                  </w:t>
            </w:r>
          </w:p>
        </w:tc>
        <w:tc>
          <w:tcPr>
            <w:tcW w:w="4643" w:type="dxa"/>
            <w:tcBorders>
              <w:top w:val="nil"/>
              <w:left w:val="nil"/>
              <w:bottom w:val="nil"/>
              <w:right w:val="nil"/>
            </w:tcBorders>
            <w:vAlign w:val="center"/>
          </w:tcPr>
          <w:p w14:paraId="40A0AE27">
            <w:pPr>
              <w:keepNext w:val="0"/>
              <w:keepLines w:val="0"/>
              <w:widowControl/>
              <w:suppressLineNumbers w:val="0"/>
              <w:adjustRightInd w:val="0"/>
              <w:snapToGrid w:val="0"/>
              <w:spacing w:before="0" w:beforeAutospacing="0" w:after="0" w:afterAutospacing="0" w:line="288" w:lineRule="auto"/>
              <w:ind w:left="0" w:right="0" w:firstLine="440"/>
              <w:jc w:val="left"/>
              <w:rPr>
                <w:rFonts w:hint="default" w:ascii="宋体" w:hAnsi="宋体" w:cs="宋体"/>
                <w:color w:val="auto"/>
                <w:sz w:val="22"/>
                <w:szCs w:val="22"/>
                <w:highlight w:val="none"/>
              </w:rPr>
            </w:pPr>
            <w:r>
              <w:rPr>
                <w:rFonts w:hint="eastAsia" w:ascii="宋体" w:hAnsi="宋体" w:cs="宋体"/>
                <w:color w:val="auto"/>
                <w:sz w:val="22"/>
                <w:szCs w:val="22"/>
                <w:highlight w:val="none"/>
              </w:rPr>
              <w:t>单位负责人或授权</w:t>
            </w:r>
          </w:p>
          <w:p w14:paraId="602DC729">
            <w:pPr>
              <w:keepNext w:val="0"/>
              <w:keepLines w:val="0"/>
              <w:widowControl/>
              <w:suppressLineNumbers w:val="0"/>
              <w:adjustRightInd w:val="0"/>
              <w:snapToGrid w:val="0"/>
              <w:spacing w:before="0" w:beforeAutospacing="0" w:after="0" w:afterAutospacing="0" w:line="288" w:lineRule="auto"/>
              <w:ind w:left="0" w:right="0" w:firstLine="440"/>
              <w:jc w:val="left"/>
              <w:rPr>
                <w:rFonts w:hint="default" w:ascii="宋体" w:hAnsi="宋体" w:cs="宋体"/>
                <w:color w:val="auto"/>
                <w:sz w:val="22"/>
                <w:szCs w:val="22"/>
                <w:highlight w:val="none"/>
              </w:rPr>
            </w:pPr>
            <w:r>
              <w:rPr>
                <w:rFonts w:hint="eastAsia" w:ascii="宋体" w:hAnsi="宋体" w:cs="宋体"/>
                <w:color w:val="auto"/>
                <w:sz w:val="22"/>
                <w:szCs w:val="22"/>
                <w:highlight w:val="none"/>
              </w:rPr>
              <w:t>代理人（签字）：</w:t>
            </w:r>
            <w:r>
              <w:rPr>
                <w:rFonts w:hint="eastAsia" w:ascii="宋体" w:hAnsi="宋体" w:cs="宋体"/>
                <w:color w:val="auto"/>
                <w:sz w:val="22"/>
                <w:szCs w:val="22"/>
                <w:highlight w:val="none"/>
                <w:u w:val="single"/>
              </w:rPr>
              <w:t xml:space="preserve">                  </w:t>
            </w:r>
          </w:p>
        </w:tc>
      </w:tr>
      <w:tr w14:paraId="747A6754">
        <w:tblPrEx>
          <w:tblCellMar>
            <w:top w:w="0" w:type="dxa"/>
            <w:left w:w="108" w:type="dxa"/>
            <w:bottom w:w="0" w:type="dxa"/>
            <w:right w:w="108" w:type="dxa"/>
          </w:tblCellMar>
        </w:tblPrEx>
        <w:trPr>
          <w:trHeight w:val="343" w:hRule="atLeast"/>
          <w:jc w:val="center"/>
        </w:trPr>
        <w:tc>
          <w:tcPr>
            <w:tcW w:w="4643" w:type="dxa"/>
            <w:tcBorders>
              <w:top w:val="nil"/>
              <w:left w:val="nil"/>
              <w:bottom w:val="nil"/>
              <w:right w:val="nil"/>
            </w:tcBorders>
            <w:vAlign w:val="center"/>
          </w:tcPr>
          <w:p w14:paraId="7553F81A">
            <w:pPr>
              <w:keepNext w:val="0"/>
              <w:keepLines w:val="0"/>
              <w:widowControl/>
              <w:suppressLineNumbers w:val="0"/>
              <w:adjustRightInd w:val="0"/>
              <w:snapToGrid w:val="0"/>
              <w:spacing w:before="0" w:beforeAutospacing="0" w:after="0" w:afterAutospacing="0" w:line="288" w:lineRule="auto"/>
              <w:ind w:left="0" w:right="0" w:firstLine="440"/>
              <w:jc w:val="left"/>
              <w:rPr>
                <w:rFonts w:hint="default" w:ascii="宋体" w:hAnsi="宋体" w:cs="宋体"/>
                <w:color w:val="auto"/>
                <w:sz w:val="22"/>
                <w:szCs w:val="22"/>
                <w:highlight w:val="none"/>
              </w:rPr>
            </w:pPr>
            <w:r>
              <w:rPr>
                <w:rFonts w:hint="eastAsia" w:ascii="宋体" w:hAnsi="宋体" w:cs="宋体"/>
                <w:color w:val="auto"/>
                <w:sz w:val="22"/>
                <w:szCs w:val="22"/>
                <w:highlight w:val="none"/>
              </w:rPr>
              <w:t>地址：</w:t>
            </w:r>
          </w:p>
        </w:tc>
        <w:tc>
          <w:tcPr>
            <w:tcW w:w="4643" w:type="dxa"/>
            <w:tcBorders>
              <w:top w:val="nil"/>
              <w:left w:val="nil"/>
              <w:bottom w:val="nil"/>
              <w:right w:val="nil"/>
            </w:tcBorders>
            <w:vAlign w:val="center"/>
          </w:tcPr>
          <w:p w14:paraId="5D241907">
            <w:pPr>
              <w:keepNext w:val="0"/>
              <w:keepLines w:val="0"/>
              <w:widowControl/>
              <w:suppressLineNumbers w:val="0"/>
              <w:adjustRightInd w:val="0"/>
              <w:snapToGrid w:val="0"/>
              <w:spacing w:before="0" w:beforeAutospacing="0" w:after="0" w:afterAutospacing="0" w:line="288" w:lineRule="auto"/>
              <w:ind w:left="0" w:right="0" w:firstLine="440"/>
              <w:jc w:val="left"/>
              <w:rPr>
                <w:rFonts w:hint="default" w:ascii="宋体" w:hAnsi="宋体" w:cs="宋体"/>
                <w:color w:val="auto"/>
                <w:sz w:val="22"/>
                <w:szCs w:val="22"/>
                <w:highlight w:val="none"/>
              </w:rPr>
            </w:pPr>
            <w:r>
              <w:rPr>
                <w:rFonts w:hint="eastAsia" w:ascii="宋体" w:hAnsi="宋体" w:cs="宋体"/>
                <w:color w:val="auto"/>
                <w:sz w:val="22"/>
                <w:szCs w:val="22"/>
                <w:highlight w:val="none"/>
              </w:rPr>
              <w:t>地址：</w:t>
            </w:r>
          </w:p>
        </w:tc>
      </w:tr>
      <w:tr w14:paraId="4F22D748">
        <w:tblPrEx>
          <w:tblCellMar>
            <w:top w:w="0" w:type="dxa"/>
            <w:left w:w="108" w:type="dxa"/>
            <w:bottom w:w="0" w:type="dxa"/>
            <w:right w:w="108" w:type="dxa"/>
          </w:tblCellMar>
        </w:tblPrEx>
        <w:trPr>
          <w:trHeight w:val="386" w:hRule="atLeast"/>
          <w:jc w:val="center"/>
        </w:trPr>
        <w:tc>
          <w:tcPr>
            <w:tcW w:w="4643" w:type="dxa"/>
            <w:tcBorders>
              <w:top w:val="nil"/>
              <w:left w:val="nil"/>
              <w:bottom w:val="nil"/>
              <w:right w:val="nil"/>
            </w:tcBorders>
            <w:vAlign w:val="center"/>
          </w:tcPr>
          <w:p w14:paraId="7F3B69D5">
            <w:pPr>
              <w:keepNext w:val="0"/>
              <w:keepLines w:val="0"/>
              <w:widowControl/>
              <w:suppressLineNumbers w:val="0"/>
              <w:adjustRightInd w:val="0"/>
              <w:snapToGrid w:val="0"/>
              <w:spacing w:before="0" w:beforeAutospacing="0" w:after="0" w:afterAutospacing="0" w:line="288" w:lineRule="auto"/>
              <w:ind w:left="0" w:right="0" w:firstLine="440"/>
              <w:jc w:val="left"/>
              <w:rPr>
                <w:rFonts w:hint="default" w:ascii="宋体" w:hAnsi="宋体" w:cs="宋体"/>
                <w:color w:val="auto"/>
                <w:sz w:val="22"/>
                <w:szCs w:val="22"/>
                <w:highlight w:val="none"/>
              </w:rPr>
            </w:pPr>
            <w:r>
              <w:rPr>
                <w:rFonts w:hint="eastAsia" w:ascii="宋体" w:hAnsi="宋体" w:cs="宋体"/>
                <w:color w:val="auto"/>
                <w:sz w:val="22"/>
                <w:szCs w:val="22"/>
                <w:highlight w:val="none"/>
              </w:rPr>
              <w:t>联系方式：</w:t>
            </w:r>
          </w:p>
        </w:tc>
        <w:tc>
          <w:tcPr>
            <w:tcW w:w="4643" w:type="dxa"/>
            <w:tcBorders>
              <w:top w:val="nil"/>
              <w:left w:val="nil"/>
              <w:bottom w:val="nil"/>
              <w:right w:val="nil"/>
            </w:tcBorders>
            <w:vAlign w:val="center"/>
          </w:tcPr>
          <w:p w14:paraId="35B2E231">
            <w:pPr>
              <w:keepNext w:val="0"/>
              <w:keepLines w:val="0"/>
              <w:widowControl/>
              <w:suppressLineNumbers w:val="0"/>
              <w:adjustRightInd w:val="0"/>
              <w:snapToGrid w:val="0"/>
              <w:spacing w:before="0" w:beforeAutospacing="0" w:after="0" w:afterAutospacing="0" w:line="288" w:lineRule="auto"/>
              <w:ind w:left="0" w:right="0" w:firstLine="440"/>
              <w:jc w:val="left"/>
              <w:rPr>
                <w:rFonts w:hint="default" w:ascii="宋体" w:hAnsi="宋体" w:cs="宋体"/>
                <w:color w:val="auto"/>
                <w:sz w:val="22"/>
                <w:szCs w:val="22"/>
                <w:highlight w:val="none"/>
              </w:rPr>
            </w:pPr>
            <w:r>
              <w:rPr>
                <w:rFonts w:hint="eastAsia" w:ascii="宋体" w:hAnsi="宋体" w:cs="宋体"/>
                <w:color w:val="auto"/>
                <w:sz w:val="22"/>
                <w:szCs w:val="22"/>
                <w:highlight w:val="none"/>
              </w:rPr>
              <w:t>联系方式：</w:t>
            </w:r>
          </w:p>
        </w:tc>
      </w:tr>
      <w:tr w14:paraId="626F9BA7">
        <w:tblPrEx>
          <w:tblCellMar>
            <w:top w:w="0" w:type="dxa"/>
            <w:left w:w="108" w:type="dxa"/>
            <w:bottom w:w="0" w:type="dxa"/>
            <w:right w:w="108" w:type="dxa"/>
          </w:tblCellMar>
        </w:tblPrEx>
        <w:trPr>
          <w:trHeight w:val="441" w:hRule="atLeast"/>
          <w:jc w:val="center"/>
        </w:trPr>
        <w:tc>
          <w:tcPr>
            <w:tcW w:w="4643" w:type="dxa"/>
            <w:tcBorders>
              <w:top w:val="nil"/>
              <w:left w:val="nil"/>
              <w:bottom w:val="nil"/>
              <w:right w:val="nil"/>
            </w:tcBorders>
            <w:vAlign w:val="center"/>
          </w:tcPr>
          <w:p w14:paraId="759FFA3C">
            <w:pPr>
              <w:keepNext w:val="0"/>
              <w:keepLines w:val="0"/>
              <w:widowControl/>
              <w:suppressLineNumbers w:val="0"/>
              <w:adjustRightInd w:val="0"/>
              <w:snapToGrid w:val="0"/>
              <w:spacing w:before="0" w:beforeAutospacing="0" w:after="0" w:afterAutospacing="0" w:line="288" w:lineRule="auto"/>
              <w:ind w:left="0" w:right="0" w:firstLine="440"/>
              <w:jc w:val="left"/>
              <w:rPr>
                <w:rFonts w:hint="default" w:ascii="宋体" w:hAnsi="宋体" w:cs="宋体"/>
                <w:color w:val="auto"/>
                <w:sz w:val="22"/>
                <w:szCs w:val="22"/>
                <w:highlight w:val="none"/>
              </w:rPr>
            </w:pPr>
            <w:r>
              <w:rPr>
                <w:rFonts w:hint="eastAsia" w:ascii="宋体" w:hAnsi="宋体" w:cs="宋体"/>
                <w:color w:val="auto"/>
                <w:sz w:val="22"/>
                <w:szCs w:val="22"/>
                <w:highlight w:val="none"/>
              </w:rPr>
              <w:t>开户银行：</w:t>
            </w:r>
          </w:p>
        </w:tc>
        <w:tc>
          <w:tcPr>
            <w:tcW w:w="4643" w:type="dxa"/>
            <w:tcBorders>
              <w:top w:val="nil"/>
              <w:left w:val="nil"/>
              <w:bottom w:val="nil"/>
              <w:right w:val="nil"/>
            </w:tcBorders>
            <w:vAlign w:val="center"/>
          </w:tcPr>
          <w:p w14:paraId="10F1D4B0">
            <w:pPr>
              <w:keepNext w:val="0"/>
              <w:keepLines w:val="0"/>
              <w:widowControl/>
              <w:suppressLineNumbers w:val="0"/>
              <w:adjustRightInd w:val="0"/>
              <w:snapToGrid w:val="0"/>
              <w:spacing w:before="0" w:beforeAutospacing="0" w:after="0" w:afterAutospacing="0" w:line="288" w:lineRule="auto"/>
              <w:ind w:left="0" w:right="0" w:firstLine="440"/>
              <w:jc w:val="left"/>
              <w:rPr>
                <w:rFonts w:hint="default" w:ascii="宋体" w:hAnsi="宋体" w:cs="宋体"/>
                <w:color w:val="auto"/>
                <w:sz w:val="22"/>
                <w:szCs w:val="22"/>
                <w:highlight w:val="none"/>
              </w:rPr>
            </w:pPr>
            <w:r>
              <w:rPr>
                <w:rFonts w:hint="eastAsia" w:ascii="宋体" w:hAnsi="宋体" w:cs="宋体"/>
                <w:color w:val="auto"/>
                <w:sz w:val="22"/>
                <w:szCs w:val="22"/>
                <w:highlight w:val="none"/>
              </w:rPr>
              <w:t>开户银行：</w:t>
            </w:r>
          </w:p>
        </w:tc>
      </w:tr>
      <w:tr w14:paraId="0559896F">
        <w:tblPrEx>
          <w:tblCellMar>
            <w:top w:w="0" w:type="dxa"/>
            <w:left w:w="108" w:type="dxa"/>
            <w:bottom w:w="0" w:type="dxa"/>
            <w:right w:w="108" w:type="dxa"/>
          </w:tblCellMar>
        </w:tblPrEx>
        <w:trPr>
          <w:trHeight w:val="489" w:hRule="atLeast"/>
          <w:jc w:val="center"/>
        </w:trPr>
        <w:tc>
          <w:tcPr>
            <w:tcW w:w="4643" w:type="dxa"/>
            <w:tcBorders>
              <w:top w:val="nil"/>
              <w:left w:val="nil"/>
              <w:bottom w:val="nil"/>
              <w:right w:val="nil"/>
            </w:tcBorders>
            <w:vAlign w:val="center"/>
          </w:tcPr>
          <w:p w14:paraId="20329E81">
            <w:pPr>
              <w:keepNext w:val="0"/>
              <w:keepLines w:val="0"/>
              <w:widowControl/>
              <w:suppressLineNumbers w:val="0"/>
              <w:adjustRightInd w:val="0"/>
              <w:snapToGrid w:val="0"/>
              <w:spacing w:before="0" w:beforeAutospacing="0" w:after="0" w:afterAutospacing="0" w:line="288" w:lineRule="auto"/>
              <w:ind w:left="0" w:right="0" w:firstLine="440"/>
              <w:jc w:val="left"/>
              <w:rPr>
                <w:rFonts w:hint="default" w:ascii="宋体" w:hAnsi="宋体" w:cs="宋体"/>
                <w:color w:val="auto"/>
                <w:sz w:val="22"/>
                <w:szCs w:val="22"/>
                <w:highlight w:val="none"/>
              </w:rPr>
            </w:pPr>
            <w:r>
              <w:rPr>
                <w:rFonts w:hint="eastAsia" w:ascii="宋体" w:hAnsi="宋体" w:cs="宋体"/>
                <w:color w:val="auto"/>
                <w:sz w:val="22"/>
                <w:szCs w:val="22"/>
                <w:highlight w:val="none"/>
              </w:rPr>
              <w:t>账号：</w:t>
            </w:r>
          </w:p>
        </w:tc>
        <w:tc>
          <w:tcPr>
            <w:tcW w:w="4643" w:type="dxa"/>
            <w:tcBorders>
              <w:top w:val="nil"/>
              <w:left w:val="nil"/>
              <w:bottom w:val="nil"/>
              <w:right w:val="nil"/>
            </w:tcBorders>
            <w:vAlign w:val="center"/>
          </w:tcPr>
          <w:p w14:paraId="3CC3ACF0">
            <w:pPr>
              <w:keepNext w:val="0"/>
              <w:keepLines w:val="0"/>
              <w:widowControl/>
              <w:suppressLineNumbers w:val="0"/>
              <w:adjustRightInd w:val="0"/>
              <w:snapToGrid w:val="0"/>
              <w:spacing w:before="0" w:beforeAutospacing="0" w:after="0" w:afterAutospacing="0" w:line="288" w:lineRule="auto"/>
              <w:ind w:left="0" w:right="0" w:firstLine="440"/>
              <w:jc w:val="left"/>
              <w:rPr>
                <w:rFonts w:hint="default" w:ascii="宋体" w:hAnsi="宋体" w:cs="宋体"/>
                <w:color w:val="auto"/>
                <w:sz w:val="22"/>
                <w:szCs w:val="22"/>
                <w:highlight w:val="none"/>
              </w:rPr>
            </w:pPr>
            <w:r>
              <w:rPr>
                <w:rFonts w:hint="eastAsia" w:ascii="宋体" w:hAnsi="宋体" w:cs="宋体"/>
                <w:color w:val="auto"/>
                <w:sz w:val="22"/>
                <w:szCs w:val="22"/>
                <w:highlight w:val="none"/>
              </w:rPr>
              <w:t>账号：</w:t>
            </w:r>
          </w:p>
        </w:tc>
      </w:tr>
      <w:tr w14:paraId="37E2E3B7">
        <w:tblPrEx>
          <w:tblCellMar>
            <w:top w:w="0" w:type="dxa"/>
            <w:left w:w="108" w:type="dxa"/>
            <w:bottom w:w="0" w:type="dxa"/>
            <w:right w:w="108" w:type="dxa"/>
          </w:tblCellMar>
        </w:tblPrEx>
        <w:trPr>
          <w:trHeight w:val="411" w:hRule="atLeast"/>
          <w:jc w:val="center"/>
        </w:trPr>
        <w:tc>
          <w:tcPr>
            <w:tcW w:w="4643" w:type="dxa"/>
            <w:tcBorders>
              <w:top w:val="nil"/>
              <w:left w:val="nil"/>
              <w:bottom w:val="nil"/>
              <w:right w:val="nil"/>
            </w:tcBorders>
            <w:vAlign w:val="center"/>
          </w:tcPr>
          <w:p w14:paraId="55009735">
            <w:pPr>
              <w:keepNext w:val="0"/>
              <w:keepLines w:val="0"/>
              <w:widowControl/>
              <w:suppressLineNumbers w:val="0"/>
              <w:adjustRightInd w:val="0"/>
              <w:snapToGrid w:val="0"/>
              <w:spacing w:before="0" w:beforeAutospacing="0" w:after="0" w:afterAutospacing="0" w:line="288" w:lineRule="auto"/>
              <w:ind w:left="0" w:right="0" w:firstLine="440"/>
              <w:jc w:val="left"/>
              <w:rPr>
                <w:rFonts w:hint="default" w:ascii="宋体" w:hAnsi="宋体" w:cs="宋体"/>
                <w:color w:val="auto"/>
                <w:sz w:val="22"/>
                <w:szCs w:val="22"/>
                <w:highlight w:val="none"/>
              </w:rPr>
            </w:pPr>
            <w:r>
              <w:rPr>
                <w:rFonts w:hint="eastAsia" w:ascii="宋体" w:hAnsi="宋体" w:cs="宋体"/>
                <w:color w:val="auto"/>
                <w:sz w:val="22"/>
                <w:szCs w:val="22"/>
                <w:highlight w:val="none"/>
              </w:rPr>
              <w:t>签订</w:t>
            </w:r>
            <w:r>
              <w:rPr>
                <w:rFonts w:hint="eastAsia" w:ascii="宋体" w:hAnsi="宋体" w:cs="宋体"/>
                <w:color w:val="auto"/>
                <w:sz w:val="22"/>
                <w:szCs w:val="22"/>
                <w:highlight w:val="none"/>
                <w:lang w:val="en-US" w:eastAsia="zh-CN"/>
              </w:rPr>
              <w:t>地点</w:t>
            </w:r>
            <w:r>
              <w:rPr>
                <w:rFonts w:hint="eastAsia" w:ascii="宋体" w:hAnsi="宋体" w:cs="宋体"/>
                <w:color w:val="auto"/>
                <w:sz w:val="22"/>
                <w:szCs w:val="22"/>
                <w:highlight w:val="none"/>
              </w:rPr>
              <w:t>：</w:t>
            </w:r>
          </w:p>
        </w:tc>
        <w:tc>
          <w:tcPr>
            <w:tcW w:w="4643" w:type="dxa"/>
            <w:tcBorders>
              <w:top w:val="nil"/>
              <w:left w:val="nil"/>
              <w:bottom w:val="nil"/>
              <w:right w:val="nil"/>
            </w:tcBorders>
            <w:vAlign w:val="center"/>
          </w:tcPr>
          <w:p w14:paraId="25C6FE19">
            <w:pPr>
              <w:keepNext w:val="0"/>
              <w:keepLines w:val="0"/>
              <w:widowControl/>
              <w:suppressLineNumbers w:val="0"/>
              <w:adjustRightInd w:val="0"/>
              <w:snapToGrid w:val="0"/>
              <w:spacing w:before="0" w:beforeAutospacing="0" w:after="0" w:afterAutospacing="0" w:line="288" w:lineRule="auto"/>
              <w:ind w:left="0" w:right="0" w:firstLine="440"/>
              <w:jc w:val="left"/>
              <w:rPr>
                <w:rFonts w:hint="default" w:ascii="宋体" w:hAnsi="宋体" w:cs="宋体"/>
                <w:color w:val="auto"/>
                <w:sz w:val="22"/>
                <w:szCs w:val="22"/>
                <w:highlight w:val="none"/>
              </w:rPr>
            </w:pPr>
            <w:r>
              <w:rPr>
                <w:rFonts w:hint="eastAsia" w:ascii="宋体" w:hAnsi="宋体" w:cs="宋体"/>
                <w:color w:val="auto"/>
                <w:sz w:val="22"/>
                <w:szCs w:val="22"/>
                <w:highlight w:val="none"/>
              </w:rPr>
              <w:t>签订日期：</w:t>
            </w:r>
            <w:r>
              <w:rPr>
                <w:rFonts w:hint="eastAsia" w:ascii="宋体" w:hAnsi="宋体" w:cs="宋体"/>
                <w:color w:val="auto"/>
                <w:sz w:val="22"/>
                <w:szCs w:val="22"/>
                <w:highlight w:val="none"/>
                <w:lang w:eastAsia="zh-CN"/>
              </w:rPr>
              <w:t>2025年</w:t>
            </w:r>
            <w:r>
              <w:rPr>
                <w:rFonts w:hint="eastAsia" w:ascii="宋体" w:hAnsi="宋体" w:cs="宋体"/>
                <w:color w:val="auto"/>
                <w:sz w:val="22"/>
                <w:szCs w:val="22"/>
                <w:highlight w:val="none"/>
              </w:rPr>
              <w:t xml:space="preserve">  月  日</w:t>
            </w:r>
          </w:p>
        </w:tc>
      </w:tr>
      <w:tr w14:paraId="69C351AE">
        <w:tblPrEx>
          <w:tblCellMar>
            <w:top w:w="0" w:type="dxa"/>
            <w:left w:w="108" w:type="dxa"/>
            <w:bottom w:w="0" w:type="dxa"/>
            <w:right w:w="108" w:type="dxa"/>
          </w:tblCellMar>
        </w:tblPrEx>
        <w:trPr>
          <w:trHeight w:val="710" w:hRule="atLeast"/>
          <w:jc w:val="center"/>
        </w:trPr>
        <w:tc>
          <w:tcPr>
            <w:tcW w:w="9286" w:type="dxa"/>
            <w:gridSpan w:val="2"/>
            <w:tcBorders>
              <w:top w:val="nil"/>
              <w:left w:val="nil"/>
              <w:bottom w:val="nil"/>
              <w:right w:val="nil"/>
            </w:tcBorders>
            <w:vAlign w:val="center"/>
          </w:tcPr>
          <w:p w14:paraId="3EFD16B6">
            <w:pPr>
              <w:keepNext w:val="0"/>
              <w:keepLines w:val="0"/>
              <w:suppressLineNumbers w:val="0"/>
              <w:spacing w:before="0" w:beforeAutospacing="0" w:after="0" w:afterAutospacing="0" w:line="288" w:lineRule="auto"/>
              <w:ind w:left="0" w:right="0" w:firstLine="440" w:firstLineChars="200"/>
              <w:rPr>
                <w:rFonts w:hint="default" w:ascii="宋体" w:hAnsi="宋体" w:cs="宋体"/>
                <w:color w:val="auto"/>
                <w:sz w:val="22"/>
                <w:szCs w:val="22"/>
                <w:highlight w:val="none"/>
                <w:lang w:val="zh-CN"/>
              </w:rPr>
            </w:pPr>
            <w:r>
              <w:rPr>
                <w:rFonts w:hint="eastAsia" w:ascii="宋体" w:hAnsi="宋体" w:cs="宋体"/>
                <w:color w:val="auto"/>
                <w:sz w:val="22"/>
                <w:szCs w:val="22"/>
                <w:highlight w:val="none"/>
                <w:lang w:val="zh-CN"/>
              </w:rPr>
              <w:t xml:space="preserve">合同鉴证方:衢州宇信工程咨询有限公司     </w:t>
            </w:r>
          </w:p>
          <w:p w14:paraId="75316A13">
            <w:pPr>
              <w:keepNext w:val="0"/>
              <w:keepLines w:val="0"/>
              <w:suppressLineNumbers w:val="0"/>
              <w:spacing w:before="0" w:beforeAutospacing="0" w:after="0" w:afterAutospacing="0" w:line="288" w:lineRule="auto"/>
              <w:ind w:left="0" w:right="0" w:firstLine="440"/>
              <w:rPr>
                <w:rFonts w:hint="default" w:ascii="宋体" w:hAnsi="宋体" w:cs="宋体"/>
                <w:color w:val="auto"/>
                <w:sz w:val="22"/>
                <w:szCs w:val="22"/>
                <w:highlight w:val="none"/>
                <w:lang w:val="zh-CN"/>
              </w:rPr>
            </w:pPr>
            <w:r>
              <w:rPr>
                <w:rFonts w:hint="eastAsia" w:ascii="宋体" w:hAnsi="宋体" w:cs="宋体"/>
                <w:color w:val="auto"/>
                <w:sz w:val="22"/>
                <w:szCs w:val="22"/>
                <w:highlight w:val="none"/>
                <w:lang w:val="zh-CN"/>
              </w:rPr>
              <w:t xml:space="preserve">鉴证日期: </w:t>
            </w:r>
            <w:r>
              <w:rPr>
                <w:rFonts w:hint="eastAsia" w:ascii="宋体" w:hAnsi="宋体" w:cs="宋体"/>
                <w:color w:val="auto"/>
                <w:sz w:val="22"/>
                <w:szCs w:val="22"/>
                <w:highlight w:val="none"/>
                <w:lang w:eastAsia="zh-CN"/>
              </w:rPr>
              <w:t>2025年</w:t>
            </w:r>
            <w:r>
              <w:rPr>
                <w:rFonts w:hint="eastAsia" w:ascii="宋体" w:hAnsi="宋体" w:cs="宋体"/>
                <w:color w:val="auto"/>
                <w:sz w:val="22"/>
                <w:szCs w:val="22"/>
                <w:highlight w:val="none"/>
                <w:lang w:val="zh-CN"/>
              </w:rPr>
              <w:t xml:space="preserve">  月   日</w:t>
            </w:r>
          </w:p>
        </w:tc>
      </w:tr>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tbl>
    <w:p w14:paraId="21D347CE">
      <w:pPr>
        <w:keepNext w:val="0"/>
        <w:keepLines w:val="0"/>
        <w:widowControl/>
        <w:suppressLineNumbers w:val="0"/>
        <w:adjustRightInd w:val="0"/>
        <w:snapToGrid w:val="0"/>
        <w:spacing w:before="0" w:beforeAutospacing="0" w:after="0" w:afterAutospacing="0" w:line="312" w:lineRule="auto"/>
        <w:ind w:left="0" w:right="0" w:firstLine="440" w:firstLineChars="200"/>
        <w:jc w:val="left"/>
        <w:rPr>
          <w:rFonts w:hint="eastAsia" w:ascii="宋体" w:hAnsi="宋体" w:eastAsia="宋体" w:cs="宋体"/>
          <w:color w:val="auto"/>
          <w:kern w:val="2"/>
          <w:sz w:val="22"/>
          <w:szCs w:val="22"/>
          <w:highlight w:val="none"/>
          <w:lang w:val="en-US" w:eastAsia="zh-CN" w:bidi="ar"/>
        </w:rPr>
      </w:pPr>
      <w:bookmarkStart w:id="905" w:name="_Toc13586"/>
      <w:bookmarkStart w:id="906" w:name="_Toc21987"/>
      <w:bookmarkStart w:id="907" w:name="_Toc29433"/>
      <w:bookmarkStart w:id="908" w:name="_Toc24484"/>
    </w:p>
    <w:p w14:paraId="6991B2DD">
      <w:pPr>
        <w:keepNext w:val="0"/>
        <w:keepLines w:val="0"/>
        <w:widowControl/>
        <w:suppressLineNumbers w:val="0"/>
        <w:adjustRightInd w:val="0"/>
        <w:snapToGrid w:val="0"/>
        <w:spacing w:before="0" w:beforeAutospacing="0" w:after="0" w:afterAutospacing="0" w:line="312" w:lineRule="auto"/>
        <w:ind w:left="0" w:right="0" w:firstLine="440" w:firstLineChars="200"/>
        <w:jc w:val="left"/>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附件:</w:t>
      </w:r>
    </w:p>
    <w:p w14:paraId="55A8623C">
      <w:pPr>
        <w:keepNext w:val="0"/>
        <w:keepLines w:val="0"/>
        <w:widowControl/>
        <w:suppressLineNumbers w:val="0"/>
        <w:adjustRightInd w:val="0"/>
        <w:snapToGrid w:val="0"/>
        <w:spacing w:before="0" w:beforeAutospacing="0" w:after="0" w:afterAutospacing="0" w:line="312" w:lineRule="auto"/>
        <w:ind w:left="0" w:right="0" w:firstLine="440" w:firstLineChars="200"/>
        <w:jc w:val="left"/>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附件1:廉政合同</w:t>
      </w:r>
    </w:p>
    <w:p w14:paraId="3AC8D461">
      <w:pPr>
        <w:keepNext w:val="0"/>
        <w:keepLines w:val="0"/>
        <w:widowControl/>
        <w:suppressLineNumbers w:val="0"/>
        <w:autoSpaceDE/>
        <w:autoSpaceDN/>
        <w:adjustRightInd w:val="0"/>
        <w:snapToGrid w:val="0"/>
        <w:spacing w:before="0" w:beforeAutospacing="0" w:after="0" w:afterAutospacing="0" w:line="312" w:lineRule="auto"/>
        <w:ind w:left="0" w:leftChars="0" w:right="0" w:firstLine="440" w:firstLineChars="200"/>
        <w:jc w:val="left"/>
        <w:rPr>
          <w:rFonts w:hint="eastAsia" w:ascii="宋体" w:hAnsi="宋体" w:eastAsia="宋体" w:cs="宋体"/>
          <w:b/>
          <w:bCs w:val="0"/>
          <w:color w:val="auto"/>
          <w:kern w:val="2"/>
          <w:sz w:val="24"/>
          <w:szCs w:val="24"/>
          <w:highlight w:val="none"/>
          <w:lang w:val="en-US" w:eastAsia="zh-CN" w:bidi="ar"/>
        </w:rPr>
      </w:pPr>
      <w:r>
        <w:rPr>
          <w:rFonts w:hint="eastAsia" w:ascii="宋体" w:hAnsi="宋体" w:eastAsia="宋体" w:cs="宋体"/>
          <w:color w:val="auto"/>
          <w:kern w:val="2"/>
          <w:sz w:val="22"/>
          <w:szCs w:val="22"/>
          <w:highlight w:val="none"/>
          <w:lang w:val="en-US" w:eastAsia="zh-CN" w:bidi="ar"/>
        </w:rPr>
        <w:t>附件2:安全协议书</w:t>
      </w:r>
    </w:p>
    <w:p w14:paraId="4ECC1BFE">
      <w:pPr>
        <w:keepNext w:val="0"/>
        <w:keepLines w:val="0"/>
        <w:widowControl w:val="0"/>
        <w:suppressLineNumbers w:val="0"/>
        <w:autoSpaceDE w:val="0"/>
        <w:autoSpaceDN/>
        <w:spacing w:before="0" w:beforeAutospacing="0" w:after="0" w:afterAutospacing="0" w:line="312" w:lineRule="auto"/>
        <w:ind w:left="0" w:leftChars="0" w:right="0" w:firstLine="0" w:firstLineChars="0"/>
        <w:jc w:val="left"/>
        <w:rPr>
          <w:rFonts w:hint="eastAsia" w:ascii="宋体" w:hAnsi="宋体" w:eastAsia="宋体" w:cs="宋体"/>
          <w:b/>
          <w:bCs w:val="0"/>
          <w:color w:val="auto"/>
          <w:kern w:val="2"/>
          <w:sz w:val="24"/>
          <w:szCs w:val="24"/>
          <w:highlight w:val="none"/>
          <w:lang w:val="en-US" w:eastAsia="zh-CN" w:bidi="ar"/>
        </w:rPr>
      </w:pPr>
    </w:p>
    <w:p w14:paraId="45563CEA">
      <w:pPr>
        <w:keepNext w:val="0"/>
        <w:keepLines w:val="0"/>
        <w:widowControl w:val="0"/>
        <w:suppressLineNumbers w:val="0"/>
        <w:autoSpaceDE w:val="0"/>
        <w:autoSpaceDN/>
        <w:spacing w:before="0" w:beforeAutospacing="0" w:after="0" w:afterAutospacing="0" w:line="312" w:lineRule="auto"/>
        <w:ind w:left="0" w:leftChars="0" w:right="0" w:firstLine="0" w:firstLineChars="0"/>
        <w:jc w:val="left"/>
        <w:rPr>
          <w:rFonts w:hint="eastAsia" w:ascii="宋体" w:hAnsi="宋体" w:eastAsia="宋体" w:cs="宋体"/>
          <w:b/>
          <w:bCs w:val="0"/>
          <w:color w:val="auto"/>
          <w:kern w:val="2"/>
          <w:sz w:val="24"/>
          <w:szCs w:val="24"/>
          <w:highlight w:val="none"/>
          <w:lang w:val="en-US" w:eastAsia="zh-CN" w:bidi="ar"/>
        </w:rPr>
      </w:pPr>
    </w:p>
    <w:p w14:paraId="511B8236">
      <w:pPr>
        <w:keepNext w:val="0"/>
        <w:keepLines w:val="0"/>
        <w:widowControl w:val="0"/>
        <w:suppressLineNumbers w:val="0"/>
        <w:autoSpaceDE w:val="0"/>
        <w:autoSpaceDN/>
        <w:spacing w:before="0" w:beforeAutospacing="0" w:after="0" w:afterAutospacing="0" w:line="312" w:lineRule="auto"/>
        <w:ind w:left="0" w:leftChars="0" w:right="0" w:firstLine="0" w:firstLineChars="0"/>
        <w:jc w:val="left"/>
        <w:rPr>
          <w:rFonts w:hint="eastAsia" w:ascii="宋体" w:hAnsi="宋体" w:eastAsia="宋体" w:cs="宋体"/>
          <w:b/>
          <w:bCs w:val="0"/>
          <w:color w:val="auto"/>
          <w:kern w:val="2"/>
          <w:sz w:val="24"/>
          <w:szCs w:val="24"/>
          <w:highlight w:val="none"/>
          <w:lang w:val="en-US" w:eastAsia="zh-CN" w:bidi="ar"/>
        </w:rPr>
      </w:pPr>
    </w:p>
    <w:p w14:paraId="322E5AAC">
      <w:pPr>
        <w:keepNext w:val="0"/>
        <w:keepLines w:val="0"/>
        <w:widowControl w:val="0"/>
        <w:suppressLineNumbers w:val="0"/>
        <w:autoSpaceDE w:val="0"/>
        <w:autoSpaceDN/>
        <w:spacing w:before="0" w:beforeAutospacing="0" w:after="0" w:afterAutospacing="0" w:line="312" w:lineRule="auto"/>
        <w:ind w:left="0" w:leftChars="0" w:right="0" w:firstLine="0" w:firstLineChars="0"/>
        <w:jc w:val="left"/>
        <w:rPr>
          <w:rFonts w:hint="eastAsia" w:ascii="宋体" w:hAnsi="宋体" w:eastAsia="宋体" w:cs="宋体"/>
          <w:b/>
          <w:bCs w:val="0"/>
          <w:color w:val="auto"/>
          <w:kern w:val="2"/>
          <w:sz w:val="24"/>
          <w:szCs w:val="24"/>
          <w:highlight w:val="none"/>
          <w:lang w:val="en-US" w:eastAsia="zh-CN" w:bidi="ar"/>
        </w:rPr>
      </w:pPr>
    </w:p>
    <w:p w14:paraId="5DEAE3F3">
      <w:pPr>
        <w:keepNext w:val="0"/>
        <w:keepLines w:val="0"/>
        <w:widowControl w:val="0"/>
        <w:suppressLineNumbers w:val="0"/>
        <w:autoSpaceDE w:val="0"/>
        <w:autoSpaceDN/>
        <w:spacing w:before="0" w:beforeAutospacing="0" w:after="0" w:afterAutospacing="0" w:line="312" w:lineRule="auto"/>
        <w:ind w:left="0" w:leftChars="0" w:right="0" w:firstLine="0" w:firstLineChars="0"/>
        <w:jc w:val="left"/>
        <w:rPr>
          <w:rFonts w:hint="eastAsia" w:ascii="宋体" w:hAnsi="宋体" w:eastAsia="宋体" w:cs="宋体"/>
          <w:b/>
          <w:bCs w:val="0"/>
          <w:color w:val="auto"/>
          <w:kern w:val="2"/>
          <w:sz w:val="24"/>
          <w:szCs w:val="24"/>
          <w:highlight w:val="none"/>
          <w:lang w:val="en-US" w:eastAsia="zh-CN" w:bidi="ar"/>
        </w:rPr>
      </w:pPr>
    </w:p>
    <w:p w14:paraId="43166C9B">
      <w:pPr>
        <w:keepNext w:val="0"/>
        <w:keepLines w:val="0"/>
        <w:widowControl w:val="0"/>
        <w:suppressLineNumbers w:val="0"/>
        <w:autoSpaceDE w:val="0"/>
        <w:autoSpaceDN/>
        <w:spacing w:before="0" w:beforeAutospacing="0" w:after="0" w:afterAutospacing="0" w:line="312" w:lineRule="auto"/>
        <w:ind w:left="0" w:leftChars="0" w:right="0" w:firstLine="0" w:firstLineChars="0"/>
        <w:jc w:val="left"/>
        <w:rPr>
          <w:rFonts w:hint="eastAsia" w:ascii="宋体" w:hAnsi="宋体" w:eastAsia="宋体" w:cs="宋体"/>
          <w:b/>
          <w:bCs w:val="0"/>
          <w:color w:val="auto"/>
          <w:kern w:val="2"/>
          <w:sz w:val="24"/>
          <w:szCs w:val="24"/>
          <w:highlight w:val="none"/>
          <w:lang w:val="en-US" w:eastAsia="zh-CN" w:bidi="ar"/>
        </w:rPr>
      </w:pPr>
    </w:p>
    <w:p w14:paraId="1DC2AA55">
      <w:pPr>
        <w:keepNext w:val="0"/>
        <w:keepLines w:val="0"/>
        <w:widowControl w:val="0"/>
        <w:suppressLineNumbers w:val="0"/>
        <w:autoSpaceDE w:val="0"/>
        <w:autoSpaceDN/>
        <w:spacing w:before="0" w:beforeAutospacing="0" w:after="0" w:afterAutospacing="0" w:line="312" w:lineRule="auto"/>
        <w:ind w:left="0" w:leftChars="0" w:right="0" w:firstLine="0" w:firstLineChars="0"/>
        <w:jc w:val="left"/>
        <w:rPr>
          <w:rFonts w:hint="eastAsia" w:ascii="宋体" w:hAnsi="宋体" w:eastAsia="宋体" w:cs="宋体"/>
          <w:b/>
          <w:bCs w:val="0"/>
          <w:color w:val="auto"/>
          <w:kern w:val="2"/>
          <w:sz w:val="24"/>
          <w:szCs w:val="24"/>
          <w:highlight w:val="none"/>
          <w:lang w:val="en-US" w:eastAsia="zh-CN" w:bidi="ar"/>
        </w:rPr>
      </w:pPr>
    </w:p>
    <w:p w14:paraId="3C55DA3F">
      <w:pPr>
        <w:keepNext w:val="0"/>
        <w:keepLines w:val="0"/>
        <w:widowControl w:val="0"/>
        <w:suppressLineNumbers w:val="0"/>
        <w:autoSpaceDE w:val="0"/>
        <w:autoSpaceDN/>
        <w:spacing w:before="0" w:beforeAutospacing="0" w:after="0" w:afterAutospacing="0" w:line="312" w:lineRule="auto"/>
        <w:ind w:left="0" w:leftChars="0" w:right="0" w:firstLine="0" w:firstLineChars="0"/>
        <w:jc w:val="left"/>
        <w:rPr>
          <w:rFonts w:hint="eastAsia" w:ascii="宋体" w:hAnsi="宋体" w:eastAsia="宋体" w:cs="宋体"/>
          <w:b/>
          <w:bCs w:val="0"/>
          <w:color w:val="auto"/>
          <w:kern w:val="2"/>
          <w:sz w:val="24"/>
          <w:szCs w:val="24"/>
          <w:highlight w:val="none"/>
          <w:lang w:val="en-US" w:eastAsia="zh-CN" w:bidi="ar"/>
        </w:rPr>
      </w:pPr>
    </w:p>
    <w:p w14:paraId="361B6B06">
      <w:pPr>
        <w:keepNext w:val="0"/>
        <w:keepLines w:val="0"/>
        <w:widowControl w:val="0"/>
        <w:suppressLineNumbers w:val="0"/>
        <w:autoSpaceDE w:val="0"/>
        <w:autoSpaceDN/>
        <w:spacing w:before="0" w:beforeAutospacing="0" w:after="0" w:afterAutospacing="0" w:line="312" w:lineRule="auto"/>
        <w:ind w:left="0" w:leftChars="0" w:right="0" w:firstLine="0" w:firstLineChars="0"/>
        <w:jc w:val="left"/>
        <w:rPr>
          <w:rFonts w:hint="eastAsia" w:ascii="宋体" w:hAnsi="宋体" w:eastAsia="宋体" w:cs="宋体"/>
          <w:b/>
          <w:bCs w:val="0"/>
          <w:color w:val="auto"/>
          <w:kern w:val="2"/>
          <w:sz w:val="24"/>
          <w:szCs w:val="24"/>
          <w:highlight w:val="none"/>
          <w:lang w:val="en-US" w:eastAsia="zh-CN" w:bidi="ar"/>
        </w:rPr>
      </w:pPr>
    </w:p>
    <w:p w14:paraId="3A7831FA">
      <w:pPr>
        <w:keepNext w:val="0"/>
        <w:keepLines w:val="0"/>
        <w:widowControl w:val="0"/>
        <w:suppressLineNumbers w:val="0"/>
        <w:autoSpaceDE w:val="0"/>
        <w:autoSpaceDN/>
        <w:spacing w:before="0" w:beforeAutospacing="0" w:after="0" w:afterAutospacing="0" w:line="312" w:lineRule="auto"/>
        <w:ind w:left="0" w:leftChars="0" w:right="0" w:firstLine="0" w:firstLineChars="0"/>
        <w:jc w:val="left"/>
        <w:rPr>
          <w:rFonts w:hint="eastAsia" w:ascii="宋体" w:hAnsi="宋体" w:eastAsia="宋体" w:cs="宋体"/>
          <w:b/>
          <w:bCs w:val="0"/>
          <w:color w:val="auto"/>
          <w:kern w:val="2"/>
          <w:sz w:val="24"/>
          <w:szCs w:val="24"/>
          <w:highlight w:val="none"/>
          <w:lang w:val="en-US" w:eastAsia="zh-CN" w:bidi="ar"/>
        </w:rPr>
      </w:pPr>
    </w:p>
    <w:p w14:paraId="3D9DEEA4">
      <w:pPr>
        <w:keepNext w:val="0"/>
        <w:keepLines w:val="0"/>
        <w:widowControl w:val="0"/>
        <w:suppressLineNumbers w:val="0"/>
        <w:autoSpaceDE w:val="0"/>
        <w:autoSpaceDN/>
        <w:spacing w:before="0" w:beforeAutospacing="0" w:after="0" w:afterAutospacing="0" w:line="312" w:lineRule="auto"/>
        <w:ind w:left="0" w:leftChars="0" w:right="0" w:firstLine="0" w:firstLineChars="0"/>
        <w:jc w:val="left"/>
        <w:rPr>
          <w:rFonts w:hint="eastAsia" w:ascii="宋体" w:hAnsi="宋体" w:eastAsia="宋体" w:cs="宋体"/>
          <w:b/>
          <w:bCs w:val="0"/>
          <w:color w:val="auto"/>
          <w:kern w:val="2"/>
          <w:sz w:val="24"/>
          <w:szCs w:val="24"/>
          <w:highlight w:val="none"/>
          <w:lang w:val="en-US" w:eastAsia="zh-CN" w:bidi="ar"/>
        </w:rPr>
      </w:pPr>
    </w:p>
    <w:p w14:paraId="6D32D11A">
      <w:pPr>
        <w:keepNext w:val="0"/>
        <w:keepLines w:val="0"/>
        <w:widowControl w:val="0"/>
        <w:suppressLineNumbers w:val="0"/>
        <w:autoSpaceDE w:val="0"/>
        <w:autoSpaceDN/>
        <w:spacing w:before="0" w:beforeAutospacing="0" w:after="0" w:afterAutospacing="0" w:line="312" w:lineRule="auto"/>
        <w:ind w:left="0" w:leftChars="0" w:right="0" w:firstLine="0" w:firstLineChars="0"/>
        <w:jc w:val="left"/>
        <w:rPr>
          <w:rFonts w:hint="eastAsia" w:ascii="宋体" w:hAnsi="宋体" w:eastAsia="宋体" w:cs="Times New Roman"/>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附件1</w:t>
      </w:r>
    </w:p>
    <w:p w14:paraId="4C0BBE1B">
      <w:pPr>
        <w:keepNext w:val="0"/>
        <w:keepLines w:val="0"/>
        <w:widowControl w:val="0"/>
        <w:suppressLineNumbers w:val="0"/>
        <w:spacing w:before="0" w:beforeAutospacing="0" w:after="0" w:afterAutospacing="0" w:line="320" w:lineRule="exact"/>
        <w:ind w:left="0" w:leftChars="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b/>
          <w:bCs w:val="0"/>
          <w:color w:val="auto"/>
          <w:kern w:val="2"/>
          <w:sz w:val="28"/>
          <w:szCs w:val="28"/>
          <w:highlight w:val="none"/>
          <w:lang w:val="en-US" w:eastAsia="zh-CN" w:bidi="ar"/>
        </w:rPr>
        <w:t>廉政合同</w:t>
      </w:r>
    </w:p>
    <w:p w14:paraId="03838696">
      <w:pPr>
        <w:keepNext w:val="0"/>
        <w:keepLines w:val="0"/>
        <w:widowControl w:val="0"/>
        <w:suppressLineNumbers w:val="0"/>
        <w:autoSpaceDE w:val="0"/>
        <w:autoSpaceDN/>
        <w:spacing w:before="0" w:beforeAutospacing="0" w:after="0" w:afterAutospacing="0" w:line="360" w:lineRule="auto"/>
        <w:ind w:left="0" w:right="0" w:firstLine="440" w:firstLineChars="200"/>
        <w:jc w:val="both"/>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 xml:space="preserve"> </w:t>
      </w:r>
    </w:p>
    <w:p w14:paraId="76E1BDBD">
      <w:pPr>
        <w:keepNext w:val="0"/>
        <w:keepLines w:val="0"/>
        <w:widowControl w:val="0"/>
        <w:suppressLineNumbers w:val="0"/>
        <w:autoSpaceDE w:val="0"/>
        <w:autoSpaceDN/>
        <w:spacing w:before="0" w:beforeAutospacing="0" w:after="0" w:afterAutospacing="0" w:line="312"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根据有关采购项目、廉政建设的规定，为做好采购中的党风廉政建设，保证采购高效优质，保证财政资金的安全和有效使用以及投资效益，</w:t>
      </w:r>
      <w:r>
        <w:rPr>
          <w:rFonts w:hint="eastAsia" w:ascii="宋体" w:hAnsi="宋体" w:eastAsia="宋体" w:cs="宋体"/>
          <w:color w:val="auto"/>
          <w:kern w:val="2"/>
          <w:sz w:val="24"/>
          <w:szCs w:val="24"/>
          <w:highlight w:val="none"/>
          <w:u w:val="single"/>
          <w:lang w:val="en-US" w:eastAsia="zh-CN" w:bidi="ar"/>
        </w:rPr>
        <w:t>(项目名称</w:t>
      </w:r>
      <w:r>
        <w:rPr>
          <w:rFonts w:hint="eastAsia" w:ascii="宋体" w:hAnsi="宋体" w:cs="宋体"/>
          <w:color w:val="auto"/>
          <w:kern w:val="2"/>
          <w:sz w:val="24"/>
          <w:szCs w:val="24"/>
          <w:highlight w:val="none"/>
          <w:u w:val="single"/>
          <w:lang w:val="en-US" w:eastAsia="zh-CN" w:bidi="ar"/>
        </w:rPr>
        <w:t>）</w:t>
      </w:r>
      <w:r>
        <w:rPr>
          <w:rFonts w:hint="eastAsia" w:ascii="宋体" w:hAnsi="宋体" w:eastAsia="宋体" w:cs="宋体"/>
          <w:color w:val="auto"/>
          <w:kern w:val="2"/>
          <w:sz w:val="24"/>
          <w:szCs w:val="24"/>
          <w:highlight w:val="none"/>
          <w:lang w:val="en-US" w:eastAsia="zh-CN" w:bidi="ar"/>
        </w:rPr>
        <w:t>的项目法人</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（以下简称甲方）与中标人</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（以下简称乙方），特订立以下合同。</w:t>
      </w:r>
    </w:p>
    <w:p w14:paraId="222F208F">
      <w:pPr>
        <w:keepNext w:val="0"/>
        <w:keepLines w:val="0"/>
        <w:widowControl w:val="0"/>
        <w:numPr>
          <w:ilvl w:val="0"/>
          <w:numId w:val="26"/>
        </w:numPr>
        <w:suppressLineNumbers w:val="0"/>
        <w:autoSpaceDE w:val="0"/>
        <w:autoSpaceDN/>
        <w:spacing w:before="0" w:beforeAutospacing="0" w:after="0" w:afterAutospacing="0" w:line="312"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甲乙双方的权利和义务</w:t>
      </w:r>
    </w:p>
    <w:p w14:paraId="00307701">
      <w:pPr>
        <w:keepNext w:val="0"/>
        <w:keepLines w:val="0"/>
        <w:widowControl w:val="0"/>
        <w:suppressLineNumbers w:val="0"/>
        <w:autoSpaceDE w:val="0"/>
        <w:autoSpaceDN/>
        <w:spacing w:before="0" w:beforeAutospacing="0" w:after="0" w:afterAutospacing="0" w:line="312"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（一）严格遵守党和国家有关法律法规及浙江省的有关规定。</w:t>
      </w:r>
    </w:p>
    <w:p w14:paraId="4FFCE95F">
      <w:pPr>
        <w:keepNext w:val="0"/>
        <w:keepLines w:val="0"/>
        <w:widowControl w:val="0"/>
        <w:suppressLineNumbers w:val="0"/>
        <w:autoSpaceDE w:val="0"/>
        <w:autoSpaceDN/>
        <w:spacing w:before="0" w:beforeAutospacing="0" w:after="0" w:afterAutospacing="0" w:line="312"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（二）严格执行</w:t>
      </w:r>
      <w:r>
        <w:rPr>
          <w:rFonts w:hint="eastAsia" w:ascii="宋体" w:hAnsi="宋体" w:eastAsia="宋体" w:cs="宋体"/>
          <w:color w:val="auto"/>
          <w:kern w:val="2"/>
          <w:sz w:val="24"/>
          <w:szCs w:val="24"/>
          <w:highlight w:val="none"/>
          <w:u w:val="single"/>
          <w:lang w:val="en-US" w:eastAsia="zh-CN" w:bidi="ar"/>
        </w:rPr>
        <w:t xml:space="preserve">  （项目名称）  </w:t>
      </w:r>
      <w:r>
        <w:rPr>
          <w:rFonts w:hint="eastAsia" w:ascii="宋体" w:hAnsi="宋体" w:eastAsia="宋体" w:cs="宋体"/>
          <w:color w:val="auto"/>
          <w:kern w:val="2"/>
          <w:sz w:val="24"/>
          <w:szCs w:val="24"/>
          <w:highlight w:val="none"/>
          <w:lang w:val="en-US" w:eastAsia="zh-CN" w:bidi="ar"/>
        </w:rPr>
        <w:t>的合同文件，自觉按合同办事。</w:t>
      </w:r>
    </w:p>
    <w:p w14:paraId="66F13D99">
      <w:pPr>
        <w:keepNext w:val="0"/>
        <w:keepLines w:val="0"/>
        <w:widowControl w:val="0"/>
        <w:suppressLineNumbers w:val="0"/>
        <w:autoSpaceDE w:val="0"/>
        <w:autoSpaceDN/>
        <w:spacing w:before="0" w:beforeAutospacing="0" w:after="0" w:afterAutospacing="0" w:line="312"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（三）双方的业务活动坚持公开、公正、诚信、透明的原则（除法律认定的商业秘密和合同文件另有规定外），不得损害国家和集体的利益，不得违反采购管理规章制度。</w:t>
      </w:r>
    </w:p>
    <w:p w14:paraId="6226B196">
      <w:pPr>
        <w:keepNext w:val="0"/>
        <w:keepLines w:val="0"/>
        <w:widowControl w:val="0"/>
        <w:suppressLineNumbers w:val="0"/>
        <w:autoSpaceDE w:val="0"/>
        <w:autoSpaceDN/>
        <w:spacing w:before="0" w:beforeAutospacing="0" w:after="0" w:afterAutospacing="0" w:line="312"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（四）建立健全廉政制度，开展廉政教育，公布举报电话，监督并认真查处违法违纪行为。</w:t>
      </w:r>
    </w:p>
    <w:p w14:paraId="6DBE0780">
      <w:pPr>
        <w:keepNext w:val="0"/>
        <w:keepLines w:val="0"/>
        <w:widowControl w:val="0"/>
        <w:suppressLineNumbers w:val="0"/>
        <w:autoSpaceDE w:val="0"/>
        <w:autoSpaceDN/>
        <w:spacing w:before="0" w:beforeAutospacing="0" w:after="0" w:afterAutospacing="0" w:line="312"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（五）发现对方在业务活动中有违反廉政规定的行为，有及时提醒对方纠正的权利和义务。</w:t>
      </w:r>
    </w:p>
    <w:p w14:paraId="1CD1A351">
      <w:pPr>
        <w:keepNext w:val="0"/>
        <w:keepLines w:val="0"/>
        <w:widowControl w:val="0"/>
        <w:suppressLineNumbers w:val="0"/>
        <w:autoSpaceDE w:val="0"/>
        <w:autoSpaceDN/>
        <w:spacing w:before="0" w:beforeAutospacing="0" w:after="0" w:afterAutospacing="0" w:line="312"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（六）发现对方的严重违反采购合同义务条款的行为，有向其上级有关部门举报，建议给予处理并要求告知处理结果的权利。</w:t>
      </w:r>
    </w:p>
    <w:p w14:paraId="6AB713C8">
      <w:pPr>
        <w:keepNext w:val="0"/>
        <w:keepLines w:val="0"/>
        <w:widowControl w:val="0"/>
        <w:numPr>
          <w:ilvl w:val="0"/>
          <w:numId w:val="26"/>
        </w:numPr>
        <w:suppressLineNumbers w:val="0"/>
        <w:autoSpaceDE w:val="0"/>
        <w:autoSpaceDN/>
        <w:spacing w:before="0" w:beforeAutospacing="0" w:after="0" w:afterAutospacing="0" w:line="312"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甲方的义务</w:t>
      </w:r>
    </w:p>
    <w:p w14:paraId="093C00EB">
      <w:pPr>
        <w:keepNext w:val="0"/>
        <w:keepLines w:val="0"/>
        <w:widowControl w:val="0"/>
        <w:suppressLineNumbers w:val="0"/>
        <w:autoSpaceDE w:val="0"/>
        <w:autoSpaceDN/>
        <w:spacing w:before="0" w:beforeAutospacing="0" w:after="0" w:afterAutospacing="0" w:line="312"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（一）甲方及其工作人员不得索要或接受乙方的礼品、有价证券和贵重礼品，不得在乙方报销任何由甲方或个人支付的费用。</w:t>
      </w:r>
    </w:p>
    <w:p w14:paraId="4B366FF6">
      <w:pPr>
        <w:keepNext w:val="0"/>
        <w:keepLines w:val="0"/>
        <w:widowControl w:val="0"/>
        <w:suppressLineNumbers w:val="0"/>
        <w:autoSpaceDE w:val="0"/>
        <w:autoSpaceDN/>
        <w:spacing w:before="0" w:beforeAutospacing="0" w:after="0" w:afterAutospacing="0" w:line="312"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（二）甲方工作不得参加乙方安排的超标准宴请和娱乐活动；不得接受乙方</w:t>
      </w:r>
      <w:r>
        <w:rPr>
          <w:rFonts w:hint="eastAsia" w:ascii="宋体" w:hAnsi="宋体" w:cs="宋体"/>
          <w:color w:val="auto"/>
          <w:kern w:val="2"/>
          <w:sz w:val="24"/>
          <w:szCs w:val="24"/>
          <w:highlight w:val="none"/>
          <w:lang w:val="en-US" w:eastAsia="zh-CN" w:bidi="ar"/>
        </w:rPr>
        <w:t>提供的通信</w:t>
      </w:r>
      <w:r>
        <w:rPr>
          <w:rFonts w:hint="eastAsia" w:ascii="宋体" w:hAnsi="宋体" w:eastAsia="宋体" w:cs="宋体"/>
          <w:color w:val="auto"/>
          <w:kern w:val="2"/>
          <w:sz w:val="24"/>
          <w:szCs w:val="24"/>
          <w:highlight w:val="none"/>
          <w:lang w:val="en-US" w:eastAsia="zh-CN" w:bidi="ar"/>
        </w:rPr>
        <w:t>工具、交通工具和办公用品等。</w:t>
      </w:r>
    </w:p>
    <w:p w14:paraId="6A49A336">
      <w:pPr>
        <w:keepNext w:val="0"/>
        <w:keepLines w:val="0"/>
        <w:widowControl w:val="0"/>
        <w:suppressLineNumbers w:val="0"/>
        <w:autoSpaceDE w:val="0"/>
        <w:autoSpaceDN/>
        <w:spacing w:before="0" w:beforeAutospacing="0" w:after="0" w:afterAutospacing="0" w:line="312"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（三）甲方及其工作人员不得要求或者接受乙方为其住房装修、婚丧嫁娶活动、配偶子女的工作安排以及出国、出境旅游等提供方便。</w:t>
      </w:r>
    </w:p>
    <w:p w14:paraId="3FABB2A9">
      <w:pPr>
        <w:keepNext w:val="0"/>
        <w:keepLines w:val="0"/>
        <w:widowControl w:val="0"/>
        <w:suppressLineNumbers w:val="0"/>
        <w:autoSpaceDE w:val="0"/>
        <w:autoSpaceDN/>
        <w:spacing w:before="0" w:beforeAutospacing="0" w:after="0" w:afterAutospacing="0" w:line="312"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（四）甲方及其工作人员的配偶、子女不得从事与甲方工程有关的材料设备供应、工程分包、劳务等经济活动。</w:t>
      </w:r>
    </w:p>
    <w:p w14:paraId="6B5EA07B">
      <w:pPr>
        <w:keepNext w:val="0"/>
        <w:keepLines w:val="0"/>
        <w:widowControl w:val="0"/>
        <w:suppressLineNumbers w:val="0"/>
        <w:autoSpaceDE w:val="0"/>
        <w:autoSpaceDN/>
        <w:spacing w:before="0" w:beforeAutospacing="0" w:after="0" w:afterAutospacing="0" w:line="312"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（五）甲方及其工作人员不得以任何理由向乙方推荐分包单位，不得要求乙方购买合同规</w:t>
      </w:r>
      <w:r>
        <w:rPr>
          <w:rFonts w:hint="eastAsia" w:ascii="宋体" w:hAnsi="宋体" w:cs="宋体"/>
          <w:color w:val="auto"/>
          <w:kern w:val="2"/>
          <w:sz w:val="24"/>
          <w:szCs w:val="24"/>
          <w:highlight w:val="none"/>
          <w:lang w:val="en-US" w:eastAsia="zh-CN" w:bidi="ar"/>
        </w:rPr>
        <w:t>定以</w:t>
      </w:r>
      <w:r>
        <w:rPr>
          <w:rFonts w:hint="eastAsia" w:ascii="宋体" w:hAnsi="宋体" w:eastAsia="宋体" w:cs="宋体"/>
          <w:color w:val="auto"/>
          <w:kern w:val="2"/>
          <w:sz w:val="24"/>
          <w:szCs w:val="24"/>
          <w:highlight w:val="none"/>
          <w:lang w:val="en-US" w:eastAsia="zh-CN" w:bidi="ar"/>
        </w:rPr>
        <w:t>外的材料和设备。</w:t>
      </w:r>
    </w:p>
    <w:p w14:paraId="29C926FA">
      <w:pPr>
        <w:keepNext w:val="0"/>
        <w:keepLines w:val="0"/>
        <w:widowControl w:val="0"/>
        <w:suppressLineNumbers w:val="0"/>
        <w:autoSpaceDE w:val="0"/>
        <w:autoSpaceDN/>
        <w:spacing w:before="0" w:beforeAutospacing="0" w:after="0" w:afterAutospacing="0" w:line="312"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第三条   乙方的义务</w:t>
      </w:r>
    </w:p>
    <w:p w14:paraId="0EFFBF73">
      <w:pPr>
        <w:pStyle w:val="37"/>
        <w:keepNext w:val="0"/>
        <w:keepLines w:val="0"/>
        <w:widowControl w:val="0"/>
        <w:suppressLineNumbers w:val="0"/>
        <w:autoSpaceDE w:val="0"/>
        <w:autoSpaceDN/>
        <w:spacing w:before="0" w:beforeAutospacing="0" w:after="0" w:afterAutospacing="0" w:line="312" w:lineRule="auto"/>
        <w:ind w:left="0" w:leftChars="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（一）乙方不得以任何理由向甲方及其工作人员行贿或馈赠礼金、有价证券和贵重礼品。</w:t>
      </w:r>
    </w:p>
    <w:p w14:paraId="6DD28AE8">
      <w:pPr>
        <w:keepNext w:val="0"/>
        <w:keepLines w:val="0"/>
        <w:widowControl w:val="0"/>
        <w:suppressLineNumbers w:val="0"/>
        <w:autoSpaceDE w:val="0"/>
        <w:autoSpaceDN/>
        <w:spacing w:before="0" w:beforeAutospacing="0" w:after="0" w:afterAutospacing="0" w:line="312"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（二）乙方不得以任何名义为甲方及其工作人员报销应由甲方单位或个人支付的任何费用。</w:t>
      </w:r>
    </w:p>
    <w:p w14:paraId="75434E8E">
      <w:pPr>
        <w:keepNext w:val="0"/>
        <w:keepLines w:val="0"/>
        <w:widowControl w:val="0"/>
        <w:suppressLineNumbers w:val="0"/>
        <w:autoSpaceDE w:val="0"/>
        <w:autoSpaceDN/>
        <w:spacing w:before="0" w:beforeAutospacing="0" w:after="0" w:afterAutospacing="0" w:line="312"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（三）乙方不得以任何理由安排甲方及其工作人员参加超标准宴请及娱乐活动。</w:t>
      </w:r>
    </w:p>
    <w:p w14:paraId="0F24EA3B">
      <w:pPr>
        <w:keepNext w:val="0"/>
        <w:keepLines w:val="0"/>
        <w:widowControl w:val="0"/>
        <w:suppressLineNumbers w:val="0"/>
        <w:autoSpaceDE w:val="0"/>
        <w:autoSpaceDN/>
        <w:spacing w:before="0" w:beforeAutospacing="0" w:after="0" w:afterAutospacing="0" w:line="312"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（四）乙方不得以任何名义为甲方单位或个人购置或</w:t>
      </w:r>
      <w:r>
        <w:rPr>
          <w:rFonts w:hint="eastAsia" w:ascii="宋体" w:hAnsi="宋体" w:cs="宋体"/>
          <w:color w:val="auto"/>
          <w:kern w:val="2"/>
          <w:sz w:val="24"/>
          <w:szCs w:val="24"/>
          <w:highlight w:val="none"/>
          <w:lang w:val="en-US" w:eastAsia="zh-CN" w:bidi="ar"/>
        </w:rPr>
        <w:t>提供通信</w:t>
      </w:r>
      <w:r>
        <w:rPr>
          <w:rFonts w:hint="eastAsia" w:ascii="宋体" w:hAnsi="宋体" w:eastAsia="宋体" w:cs="宋体"/>
          <w:color w:val="auto"/>
          <w:kern w:val="2"/>
          <w:sz w:val="24"/>
          <w:szCs w:val="24"/>
          <w:highlight w:val="none"/>
          <w:lang w:val="en-US" w:eastAsia="zh-CN" w:bidi="ar"/>
        </w:rPr>
        <w:t>工具、交通工具和高档办公用品等，</w:t>
      </w:r>
    </w:p>
    <w:p w14:paraId="7A0CD99A">
      <w:pPr>
        <w:keepNext w:val="0"/>
        <w:keepLines w:val="0"/>
        <w:widowControl w:val="0"/>
        <w:suppressLineNumbers w:val="0"/>
        <w:autoSpaceDE w:val="0"/>
        <w:autoSpaceDN/>
        <w:spacing w:before="0" w:beforeAutospacing="0" w:after="0" w:afterAutospacing="0" w:line="312"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第四条   违约责任</w:t>
      </w:r>
    </w:p>
    <w:p w14:paraId="4C9AD463">
      <w:pPr>
        <w:keepNext w:val="0"/>
        <w:keepLines w:val="0"/>
        <w:widowControl w:val="0"/>
        <w:suppressLineNumbers w:val="0"/>
        <w:autoSpaceDE w:val="0"/>
        <w:autoSpaceDN/>
        <w:spacing w:before="0" w:beforeAutospacing="0" w:after="0" w:afterAutospacing="0" w:line="312"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（一）甲方及其工作人员违反本合同</w:t>
      </w:r>
      <w:r>
        <w:rPr>
          <w:rFonts w:hint="eastAsia" w:ascii="宋体" w:hAnsi="宋体" w:cs="宋体"/>
          <w:color w:val="auto"/>
          <w:kern w:val="2"/>
          <w:sz w:val="24"/>
          <w:szCs w:val="24"/>
          <w:highlight w:val="none"/>
          <w:lang w:val="en-US" w:eastAsia="zh-CN" w:bidi="ar"/>
        </w:rPr>
        <w:t>第一，</w:t>
      </w:r>
      <w:r>
        <w:rPr>
          <w:rFonts w:hint="eastAsia" w:ascii="宋体" w:hAnsi="宋体" w:eastAsia="宋体" w:cs="宋体"/>
          <w:color w:val="auto"/>
          <w:kern w:val="2"/>
          <w:sz w:val="24"/>
          <w:szCs w:val="24"/>
          <w:highlight w:val="none"/>
          <w:lang w:val="en-US" w:eastAsia="zh-CN" w:bidi="ar"/>
        </w:rPr>
        <w:t>二条，按管理权限，依据有关规定给予党纪、政纪或组织处理；涉嫌犯罪的移交司法机关追究刑事责任；给乙方造成经济损失的，应予以赔偿。</w:t>
      </w:r>
    </w:p>
    <w:p w14:paraId="6522C542">
      <w:pPr>
        <w:keepNext w:val="0"/>
        <w:keepLines w:val="0"/>
        <w:widowControl w:val="0"/>
        <w:suppressLineNumbers w:val="0"/>
        <w:autoSpaceDE w:val="0"/>
        <w:autoSpaceDN/>
        <w:spacing w:before="0" w:beforeAutospacing="0" w:after="0" w:afterAutospacing="0" w:line="312"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（二）乙方及其工作人员违反本合同</w:t>
      </w:r>
      <w:r>
        <w:rPr>
          <w:rFonts w:hint="eastAsia" w:ascii="宋体" w:hAnsi="宋体" w:cs="宋体"/>
          <w:color w:val="auto"/>
          <w:kern w:val="2"/>
          <w:sz w:val="24"/>
          <w:szCs w:val="24"/>
          <w:highlight w:val="none"/>
          <w:lang w:val="en-US" w:eastAsia="zh-CN" w:bidi="ar"/>
        </w:rPr>
        <w:t>第一，</w:t>
      </w:r>
      <w:r>
        <w:rPr>
          <w:rFonts w:hint="eastAsia" w:ascii="宋体" w:hAnsi="宋体" w:eastAsia="宋体" w:cs="宋体"/>
          <w:color w:val="auto"/>
          <w:kern w:val="2"/>
          <w:sz w:val="24"/>
          <w:szCs w:val="24"/>
          <w:highlight w:val="none"/>
          <w:lang w:val="en-US" w:eastAsia="zh-CN" w:bidi="ar"/>
        </w:rPr>
        <w:t>三条，按管理权限，依据有关规定，给予党纪、政纪或组织处理并扣除全部廉政履约保证金；给甲方单位造成经济损失的，应予以赔偿；情节严重的，甲方建议建设工程主管部门给予乙方一至三年内不得进入其主管的建设市场的处罚。</w:t>
      </w:r>
    </w:p>
    <w:p w14:paraId="4D9F96B9">
      <w:pPr>
        <w:keepNext w:val="0"/>
        <w:keepLines w:val="0"/>
        <w:widowControl w:val="0"/>
        <w:suppressLineNumbers w:val="0"/>
        <w:autoSpaceDE w:val="0"/>
        <w:autoSpaceDN/>
        <w:spacing w:before="0" w:beforeAutospacing="0" w:after="0" w:afterAutospacing="0" w:line="312"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第五条双方约定</w:t>
      </w:r>
    </w:p>
    <w:p w14:paraId="081F20A7">
      <w:pPr>
        <w:keepNext w:val="0"/>
        <w:keepLines w:val="0"/>
        <w:widowControl w:val="0"/>
        <w:suppressLineNumbers w:val="0"/>
        <w:autoSpaceDE w:val="0"/>
        <w:autoSpaceDN/>
        <w:spacing w:before="0" w:beforeAutospacing="0" w:after="0" w:afterAutospacing="0" w:line="312"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本合同由双方或双方上级单位的纪检监察机关负责监督。由甲方或甲方上级单位的纪检监察机关约请乙方或乙方上级单位的纪检监察机关对合同履行情况进行检查，提出在本合同规定范围内的裁定意见。</w:t>
      </w:r>
    </w:p>
    <w:p w14:paraId="755124AD">
      <w:pPr>
        <w:keepNext w:val="0"/>
        <w:keepLines w:val="0"/>
        <w:widowControl w:val="0"/>
        <w:suppressLineNumbers w:val="0"/>
        <w:autoSpaceDE w:val="0"/>
        <w:autoSpaceDN/>
        <w:spacing w:before="0" w:beforeAutospacing="0" w:after="0" w:afterAutospacing="0" w:line="312"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第六条   本合同有效期为甲乙双方自签署之日起至该项目服务期结束止。</w:t>
      </w:r>
    </w:p>
    <w:p w14:paraId="102422AA">
      <w:pPr>
        <w:keepNext w:val="0"/>
        <w:keepLines w:val="0"/>
        <w:widowControl w:val="0"/>
        <w:suppressLineNumbers w:val="0"/>
        <w:autoSpaceDE w:val="0"/>
        <w:autoSpaceDN/>
        <w:spacing w:before="0" w:beforeAutospacing="0" w:after="0" w:afterAutospacing="0" w:line="312"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第七条   本合同作为</w:t>
      </w:r>
      <w:r>
        <w:rPr>
          <w:rFonts w:hint="eastAsia" w:ascii="宋体" w:hAnsi="宋体" w:eastAsia="宋体" w:cs="宋体"/>
          <w:color w:val="auto"/>
          <w:kern w:val="2"/>
          <w:sz w:val="24"/>
          <w:szCs w:val="24"/>
          <w:highlight w:val="none"/>
          <w:u w:val="single"/>
          <w:lang w:val="en-US" w:eastAsia="zh-CN" w:bidi="ar"/>
        </w:rPr>
        <w:t xml:space="preserve"> （项目名称）  </w:t>
      </w:r>
      <w:r>
        <w:rPr>
          <w:rFonts w:hint="eastAsia" w:ascii="宋体" w:hAnsi="宋体" w:eastAsia="宋体" w:cs="宋体"/>
          <w:color w:val="auto"/>
          <w:kern w:val="2"/>
          <w:sz w:val="24"/>
          <w:szCs w:val="24"/>
          <w:highlight w:val="none"/>
          <w:lang w:val="en-US" w:eastAsia="zh-CN" w:bidi="ar"/>
        </w:rPr>
        <w:t>采购合同附件，与采购合同具有同等的法律效力，经合同双方签署立即生效。</w:t>
      </w:r>
    </w:p>
    <w:p w14:paraId="7E526EF3">
      <w:pPr>
        <w:widowControl/>
        <w:spacing w:line="300" w:lineRule="auto"/>
        <w:ind w:firstLine="480"/>
        <w:rPr>
          <w:rFonts w:ascii="宋体" w:hAnsi="宋体" w:cs="宋体"/>
          <w:color w:val="auto"/>
          <w:highlight w:val="none"/>
        </w:rPr>
      </w:pPr>
      <w:r>
        <w:rPr>
          <w:rFonts w:hint="eastAsia" w:ascii="宋体" w:hAnsi="宋体" w:eastAsia="宋体" w:cs="宋体"/>
          <w:color w:val="auto"/>
          <w:kern w:val="2"/>
          <w:sz w:val="24"/>
          <w:szCs w:val="24"/>
          <w:highlight w:val="none"/>
          <w:lang w:val="en-US" w:eastAsia="zh-CN" w:bidi="ar"/>
        </w:rPr>
        <w:t xml:space="preserve">第八条   </w:t>
      </w:r>
      <w:r>
        <w:rPr>
          <w:rFonts w:hint="eastAsia" w:ascii="宋体" w:hAnsi="宋体" w:eastAsia="宋体" w:cs="宋体"/>
          <w:color w:val="auto"/>
          <w:highlight w:val="none"/>
        </w:rPr>
        <w:t>本</w:t>
      </w:r>
      <w:r>
        <w:rPr>
          <w:rFonts w:hint="eastAsia" w:ascii="宋体" w:hAnsi="宋体" w:cs="宋体"/>
          <w:color w:val="auto"/>
          <w:highlight w:val="none"/>
          <w:lang w:val="en-US" w:eastAsia="zh-CN"/>
        </w:rPr>
        <w:t>合同</w:t>
      </w:r>
      <w:r>
        <w:rPr>
          <w:rFonts w:hint="eastAsia" w:ascii="宋体" w:hAnsi="宋体" w:eastAsia="宋体" w:cs="宋体"/>
          <w:color w:val="auto"/>
          <w:highlight w:val="none"/>
        </w:rPr>
        <w:t>一式</w:t>
      </w:r>
      <w:r>
        <w:rPr>
          <w:rFonts w:hint="eastAsia" w:ascii="宋体" w:hAnsi="宋体" w:cs="宋体"/>
          <w:color w:val="auto"/>
          <w:highlight w:val="none"/>
          <w:u w:val="none"/>
          <w:lang w:eastAsia="zh-CN"/>
        </w:rPr>
        <w:t>七</w:t>
      </w:r>
      <w:r>
        <w:rPr>
          <w:rFonts w:hint="eastAsia" w:ascii="宋体" w:hAnsi="宋体" w:eastAsia="宋体" w:cs="宋体"/>
          <w:color w:val="auto"/>
          <w:highlight w:val="none"/>
        </w:rPr>
        <w:t>份，均具有同等法律效力，甲方执</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val="en-US" w:eastAsia="zh-CN"/>
        </w:rPr>
        <w:t>三</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份，乙方执</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val="en-US" w:eastAsia="zh-CN"/>
        </w:rPr>
        <w:t>三</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份，衢州宇信</w:t>
      </w:r>
      <w:r>
        <w:rPr>
          <w:rFonts w:hint="eastAsia" w:ascii="宋体" w:hAnsi="宋体" w:cs="宋体"/>
          <w:color w:val="auto"/>
          <w:highlight w:val="none"/>
        </w:rPr>
        <w:t>工程咨询有限公司</w:t>
      </w:r>
      <w:r>
        <w:rPr>
          <w:rFonts w:hint="eastAsia" w:ascii="宋体" w:hAnsi="宋体" w:eastAsia="宋体" w:cs="宋体"/>
          <w:color w:val="auto"/>
          <w:highlight w:val="none"/>
        </w:rPr>
        <w:t>执</w:t>
      </w:r>
      <w:r>
        <w:rPr>
          <w:rFonts w:hint="eastAsia" w:ascii="宋体" w:hAnsi="宋体" w:cs="宋体"/>
          <w:color w:val="auto"/>
          <w:highlight w:val="none"/>
          <w:lang w:eastAsia="zh-CN"/>
        </w:rPr>
        <w:t>一</w:t>
      </w:r>
      <w:r>
        <w:rPr>
          <w:rFonts w:hint="eastAsia" w:ascii="宋体" w:hAnsi="宋体" w:cs="宋体"/>
          <w:color w:val="auto"/>
          <w:highlight w:val="none"/>
        </w:rPr>
        <w:t>份。</w:t>
      </w:r>
    </w:p>
    <w:p w14:paraId="037E40BC">
      <w:pPr>
        <w:keepNext w:val="0"/>
        <w:keepLines w:val="0"/>
        <w:widowControl/>
        <w:suppressLineNumbers w:val="0"/>
        <w:autoSpaceDE w:val="0"/>
        <w:autoSpaceDN/>
        <w:spacing w:before="0" w:beforeAutospacing="0" w:after="0" w:afterAutospacing="0" w:line="312" w:lineRule="auto"/>
        <w:ind w:left="0" w:right="0" w:firstLine="480" w:firstLineChars="200"/>
        <w:jc w:val="both"/>
        <w:rPr>
          <w:rFonts w:hint="eastAsia" w:ascii="宋体" w:hAnsi="宋体" w:eastAsia="宋体" w:cs="宋体"/>
          <w:color w:val="auto"/>
          <w:kern w:val="2"/>
          <w:sz w:val="24"/>
          <w:szCs w:val="24"/>
          <w:highlight w:val="none"/>
        </w:rPr>
      </w:pPr>
    </w:p>
    <w:p w14:paraId="7F9F9840">
      <w:pPr>
        <w:spacing w:line="312" w:lineRule="auto"/>
        <w:ind w:firstLine="480"/>
        <w:rPr>
          <w:color w:val="auto"/>
          <w:highlight w:val="none"/>
        </w:rPr>
      </w:pPr>
      <w:r>
        <w:rPr>
          <w:rFonts w:hint="eastAsia" w:ascii="宋体" w:hAnsi="宋体" w:cs="宋体"/>
          <w:color w:val="auto"/>
          <w:highlight w:val="none"/>
        </w:rPr>
        <w:t>签署页，</w:t>
      </w:r>
      <w:r>
        <w:rPr>
          <w:rFonts w:hint="eastAsia" w:ascii="宋体" w:hAnsi="宋体" w:cs="宋体"/>
          <w:color w:val="auto"/>
          <w:highlight w:val="none"/>
          <w:lang w:eastAsia="zh-CN"/>
        </w:rPr>
        <w:t>以下</w:t>
      </w:r>
      <w:r>
        <w:rPr>
          <w:rFonts w:hint="eastAsia" w:ascii="宋体" w:hAnsi="宋体" w:cs="宋体"/>
          <w:color w:val="auto"/>
          <w:highlight w:val="none"/>
        </w:rPr>
        <w:t>无正文：</w:t>
      </w:r>
    </w:p>
    <w:tbl>
      <w:tblPr>
        <w:tblStyle w:val="41"/>
        <w:tblW w:w="84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502"/>
        <w:gridCol w:w="1727"/>
        <w:gridCol w:w="2310"/>
        <w:gridCol w:w="1919"/>
      </w:tblGrid>
      <w:tr w14:paraId="4BD46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9" w:hRule="atLeast"/>
          <w:jc w:val="center"/>
        </w:trPr>
        <w:tc>
          <w:tcPr>
            <w:tcW w:w="2502" w:type="dxa"/>
            <w:shd w:val="clear" w:color="auto" w:fill="auto"/>
            <w:vAlign w:val="center"/>
          </w:tcPr>
          <w:p w14:paraId="3223E6B0">
            <w:pPr>
              <w:keepNext w:val="0"/>
              <w:keepLines w:val="0"/>
              <w:widowControl w:val="0"/>
              <w:suppressLineNumbers w:val="0"/>
              <w:spacing w:before="0" w:beforeAutospacing="0" w:after="0" w:afterAutospacing="0" w:line="312" w:lineRule="auto"/>
              <w:ind w:left="0" w:right="0" w:firstLine="0" w:firstLine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甲方（盖章）：</w:t>
            </w:r>
          </w:p>
        </w:tc>
        <w:tc>
          <w:tcPr>
            <w:tcW w:w="1727" w:type="dxa"/>
            <w:shd w:val="clear" w:color="auto" w:fill="auto"/>
            <w:vAlign w:val="center"/>
          </w:tcPr>
          <w:p w14:paraId="53008DCE">
            <w:pPr>
              <w:keepNext w:val="0"/>
              <w:keepLines w:val="0"/>
              <w:widowControl w:val="0"/>
              <w:suppressLineNumbers w:val="0"/>
              <w:spacing w:before="0" w:beforeAutospacing="0" w:after="0" w:afterAutospacing="0" w:line="312" w:lineRule="auto"/>
              <w:ind w:left="0" w:right="0" w:firstLine="480" w:firstLineChars="200"/>
              <w:jc w:val="left"/>
              <w:rPr>
                <w:rFonts w:hint="eastAsia" w:ascii="宋体" w:hAnsi="宋体" w:eastAsia="宋体" w:cs="宋体"/>
                <w:color w:val="auto"/>
                <w:kern w:val="2"/>
                <w:sz w:val="24"/>
                <w:szCs w:val="24"/>
                <w:highlight w:val="none"/>
              </w:rPr>
            </w:pPr>
          </w:p>
        </w:tc>
        <w:tc>
          <w:tcPr>
            <w:tcW w:w="2310" w:type="dxa"/>
            <w:shd w:val="clear" w:color="auto" w:fill="auto"/>
            <w:vAlign w:val="center"/>
          </w:tcPr>
          <w:p w14:paraId="00819FC0">
            <w:pPr>
              <w:keepNext w:val="0"/>
              <w:keepLines w:val="0"/>
              <w:widowControl w:val="0"/>
              <w:suppressLineNumbers w:val="0"/>
              <w:spacing w:before="0" w:beforeAutospacing="0" w:after="0" w:afterAutospacing="0" w:line="312" w:lineRule="auto"/>
              <w:ind w:left="0" w:right="0" w:firstLine="0" w:firstLine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乙方（盖章）：</w:t>
            </w:r>
          </w:p>
        </w:tc>
        <w:tc>
          <w:tcPr>
            <w:tcW w:w="1919" w:type="dxa"/>
            <w:shd w:val="clear" w:color="auto" w:fill="auto"/>
            <w:vAlign w:val="top"/>
          </w:tcPr>
          <w:p w14:paraId="22E8B649">
            <w:pPr>
              <w:keepNext w:val="0"/>
              <w:keepLines w:val="0"/>
              <w:widowControl w:val="0"/>
              <w:suppressLineNumbers w:val="0"/>
              <w:spacing w:before="0" w:beforeAutospacing="0" w:after="0" w:afterAutospacing="0" w:line="312" w:lineRule="auto"/>
              <w:ind w:left="0" w:right="0" w:firstLine="480" w:firstLineChars="200"/>
              <w:jc w:val="both"/>
              <w:rPr>
                <w:rFonts w:hint="eastAsia" w:ascii="宋体" w:hAnsi="宋体" w:eastAsia="宋体" w:cs="宋体"/>
                <w:color w:val="auto"/>
                <w:kern w:val="2"/>
                <w:sz w:val="24"/>
                <w:szCs w:val="24"/>
                <w:highlight w:val="none"/>
              </w:rPr>
            </w:pPr>
          </w:p>
        </w:tc>
      </w:tr>
      <w:tr w14:paraId="1C79F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2502" w:type="dxa"/>
            <w:shd w:val="clear" w:color="auto" w:fill="auto"/>
            <w:vAlign w:val="center"/>
          </w:tcPr>
          <w:p w14:paraId="5CF8CC3A">
            <w:pPr>
              <w:keepNext w:val="0"/>
              <w:keepLines w:val="0"/>
              <w:widowControl w:val="0"/>
              <w:suppressLineNumbers w:val="0"/>
              <w:spacing w:before="0" w:beforeAutospacing="0" w:after="0" w:afterAutospacing="0" w:line="312" w:lineRule="auto"/>
              <w:ind w:left="0" w:right="0" w:firstLine="0" w:firstLineChars="0"/>
              <w:jc w:val="left"/>
              <w:rPr>
                <w:rFonts w:hint="eastAsia" w:ascii="宋体" w:hAnsi="宋体" w:eastAsia="宋体" w:cs="宋体"/>
                <w:color w:val="auto"/>
                <w:kern w:val="2"/>
                <w:sz w:val="24"/>
                <w:szCs w:val="24"/>
                <w:highlight w:val="none"/>
              </w:rPr>
            </w:pPr>
            <w:r>
              <w:rPr>
                <w:rFonts w:hint="eastAsia" w:ascii="宋体" w:hAnsi="宋体" w:cs="宋体"/>
                <w:color w:val="auto"/>
                <w:kern w:val="2"/>
                <w:sz w:val="24"/>
                <w:szCs w:val="24"/>
                <w:highlight w:val="none"/>
                <w:lang w:val="en-US" w:eastAsia="zh-CN" w:bidi="ar"/>
              </w:rPr>
              <w:t>法定代表人（或负责人）</w:t>
            </w:r>
            <w:r>
              <w:rPr>
                <w:rFonts w:hint="eastAsia" w:ascii="宋体" w:hAnsi="宋体" w:eastAsia="宋体" w:cs="宋体"/>
                <w:color w:val="auto"/>
                <w:kern w:val="2"/>
                <w:sz w:val="24"/>
                <w:szCs w:val="24"/>
                <w:highlight w:val="none"/>
                <w:lang w:val="en-US" w:eastAsia="zh-CN" w:bidi="ar"/>
              </w:rPr>
              <w:t>或授权代理人（签字）：</w:t>
            </w:r>
          </w:p>
        </w:tc>
        <w:tc>
          <w:tcPr>
            <w:tcW w:w="1727" w:type="dxa"/>
            <w:shd w:val="clear" w:color="auto" w:fill="auto"/>
            <w:vAlign w:val="center"/>
          </w:tcPr>
          <w:p w14:paraId="1A34829F">
            <w:pPr>
              <w:keepNext w:val="0"/>
              <w:keepLines w:val="0"/>
              <w:widowControl w:val="0"/>
              <w:suppressLineNumbers w:val="0"/>
              <w:spacing w:before="0" w:beforeAutospacing="0" w:after="0" w:afterAutospacing="0" w:line="312" w:lineRule="auto"/>
              <w:ind w:left="0" w:right="0" w:firstLine="480" w:firstLineChars="200"/>
              <w:jc w:val="left"/>
              <w:rPr>
                <w:rFonts w:hint="eastAsia" w:ascii="宋体" w:hAnsi="宋体" w:eastAsia="宋体" w:cs="宋体"/>
                <w:color w:val="auto"/>
                <w:kern w:val="2"/>
                <w:sz w:val="24"/>
                <w:szCs w:val="24"/>
                <w:highlight w:val="none"/>
              </w:rPr>
            </w:pPr>
          </w:p>
        </w:tc>
        <w:tc>
          <w:tcPr>
            <w:tcW w:w="2310" w:type="dxa"/>
            <w:shd w:val="clear" w:color="auto" w:fill="auto"/>
            <w:vAlign w:val="center"/>
          </w:tcPr>
          <w:p w14:paraId="66DEA50A">
            <w:pPr>
              <w:keepNext w:val="0"/>
              <w:keepLines w:val="0"/>
              <w:widowControl w:val="0"/>
              <w:suppressLineNumbers w:val="0"/>
              <w:spacing w:before="0" w:beforeAutospacing="0" w:after="0" w:afterAutospacing="0" w:line="312" w:lineRule="auto"/>
              <w:ind w:left="0" w:right="0" w:firstLine="0" w:firstLineChars="0"/>
              <w:jc w:val="left"/>
              <w:rPr>
                <w:rFonts w:hint="eastAsia" w:ascii="宋体" w:hAnsi="宋体" w:eastAsia="宋体" w:cs="宋体"/>
                <w:color w:val="auto"/>
                <w:kern w:val="2"/>
                <w:sz w:val="24"/>
                <w:szCs w:val="24"/>
                <w:highlight w:val="none"/>
              </w:rPr>
            </w:pPr>
            <w:r>
              <w:rPr>
                <w:rFonts w:hint="eastAsia" w:ascii="宋体" w:hAnsi="宋体" w:cs="宋体"/>
                <w:color w:val="auto"/>
                <w:kern w:val="2"/>
                <w:sz w:val="24"/>
                <w:szCs w:val="24"/>
                <w:highlight w:val="none"/>
                <w:lang w:val="en-US" w:eastAsia="zh-CN" w:bidi="ar"/>
              </w:rPr>
              <w:t>法定代表人（或负责人）</w:t>
            </w:r>
            <w:r>
              <w:rPr>
                <w:rFonts w:hint="eastAsia" w:ascii="宋体" w:hAnsi="宋体" w:eastAsia="宋体" w:cs="宋体"/>
                <w:color w:val="auto"/>
                <w:kern w:val="2"/>
                <w:sz w:val="24"/>
                <w:szCs w:val="24"/>
                <w:highlight w:val="none"/>
                <w:lang w:val="en-US" w:eastAsia="zh-CN" w:bidi="ar"/>
              </w:rPr>
              <w:t>或授权代理人（签字）：</w:t>
            </w:r>
          </w:p>
        </w:tc>
        <w:tc>
          <w:tcPr>
            <w:tcW w:w="1919" w:type="dxa"/>
            <w:shd w:val="clear" w:color="auto" w:fill="auto"/>
            <w:vAlign w:val="top"/>
          </w:tcPr>
          <w:p w14:paraId="1835F3D4">
            <w:pPr>
              <w:keepNext w:val="0"/>
              <w:keepLines w:val="0"/>
              <w:widowControl w:val="0"/>
              <w:suppressLineNumbers w:val="0"/>
              <w:spacing w:before="0" w:beforeAutospacing="0" w:after="0" w:afterAutospacing="0" w:line="312" w:lineRule="auto"/>
              <w:ind w:left="0" w:right="0" w:firstLine="480" w:firstLineChars="200"/>
              <w:jc w:val="both"/>
              <w:rPr>
                <w:rFonts w:hint="eastAsia" w:ascii="宋体" w:hAnsi="宋体" w:eastAsia="宋体" w:cs="宋体"/>
                <w:color w:val="auto"/>
                <w:kern w:val="2"/>
                <w:sz w:val="24"/>
                <w:szCs w:val="24"/>
                <w:highlight w:val="none"/>
              </w:rPr>
            </w:pPr>
          </w:p>
        </w:tc>
      </w:tr>
      <w:tr w14:paraId="368A8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jc w:val="center"/>
        </w:trPr>
        <w:tc>
          <w:tcPr>
            <w:tcW w:w="2502" w:type="dxa"/>
            <w:shd w:val="clear" w:color="auto" w:fill="auto"/>
            <w:vAlign w:val="center"/>
          </w:tcPr>
          <w:p w14:paraId="1D048065">
            <w:pPr>
              <w:keepNext w:val="0"/>
              <w:keepLines w:val="0"/>
              <w:widowControl w:val="0"/>
              <w:suppressLineNumbers w:val="0"/>
              <w:spacing w:before="0" w:beforeAutospacing="0" w:after="0" w:afterAutospacing="0" w:line="312" w:lineRule="auto"/>
              <w:ind w:left="0" w:right="0" w:firstLine="0" w:firstLine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日期：</w:t>
            </w:r>
          </w:p>
        </w:tc>
        <w:tc>
          <w:tcPr>
            <w:tcW w:w="1727" w:type="dxa"/>
            <w:shd w:val="clear" w:color="auto" w:fill="auto"/>
            <w:vAlign w:val="center"/>
          </w:tcPr>
          <w:p w14:paraId="04C4488E">
            <w:pPr>
              <w:keepNext w:val="0"/>
              <w:keepLines w:val="0"/>
              <w:widowControl w:val="0"/>
              <w:suppressLineNumbers w:val="0"/>
              <w:spacing w:before="0" w:beforeAutospacing="0" w:after="0" w:afterAutospacing="0" w:line="312" w:lineRule="auto"/>
              <w:ind w:left="0" w:right="0" w:firstLine="480" w:firstLineChars="200"/>
              <w:jc w:val="left"/>
              <w:rPr>
                <w:rFonts w:hint="eastAsia" w:ascii="宋体" w:hAnsi="宋体" w:eastAsia="宋体" w:cs="宋体"/>
                <w:color w:val="auto"/>
                <w:kern w:val="2"/>
                <w:sz w:val="24"/>
                <w:szCs w:val="24"/>
                <w:highlight w:val="none"/>
              </w:rPr>
            </w:pPr>
          </w:p>
        </w:tc>
        <w:tc>
          <w:tcPr>
            <w:tcW w:w="2310" w:type="dxa"/>
            <w:shd w:val="clear" w:color="auto" w:fill="auto"/>
            <w:vAlign w:val="center"/>
          </w:tcPr>
          <w:p w14:paraId="37D6083A">
            <w:pPr>
              <w:keepNext w:val="0"/>
              <w:keepLines w:val="0"/>
              <w:widowControl w:val="0"/>
              <w:suppressLineNumbers w:val="0"/>
              <w:spacing w:before="0" w:beforeAutospacing="0" w:after="0" w:afterAutospacing="0" w:line="312" w:lineRule="auto"/>
              <w:ind w:left="0" w:right="0" w:firstLine="0" w:firstLine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日期：</w:t>
            </w:r>
          </w:p>
        </w:tc>
        <w:tc>
          <w:tcPr>
            <w:tcW w:w="1919" w:type="dxa"/>
            <w:shd w:val="clear" w:color="auto" w:fill="auto"/>
            <w:vAlign w:val="top"/>
          </w:tcPr>
          <w:p w14:paraId="68DC874E">
            <w:pPr>
              <w:keepNext w:val="0"/>
              <w:keepLines w:val="0"/>
              <w:widowControl w:val="0"/>
              <w:suppressLineNumbers w:val="0"/>
              <w:spacing w:before="0" w:beforeAutospacing="0" w:after="0" w:afterAutospacing="0" w:line="312" w:lineRule="auto"/>
              <w:ind w:left="0" w:right="0" w:firstLine="480" w:firstLineChars="200"/>
              <w:jc w:val="both"/>
              <w:rPr>
                <w:rFonts w:hint="eastAsia" w:ascii="宋体" w:hAnsi="宋体" w:eastAsia="宋体" w:cs="宋体"/>
                <w:color w:val="auto"/>
                <w:kern w:val="2"/>
                <w:sz w:val="24"/>
                <w:szCs w:val="24"/>
                <w:highlight w:val="none"/>
              </w:rPr>
            </w:pPr>
          </w:p>
        </w:tc>
      </w:tr>
    </w:tbl>
    <w:p w14:paraId="0593CF45">
      <w:pPr>
        <w:keepNext w:val="0"/>
        <w:keepLines w:val="0"/>
        <w:widowControl w:val="0"/>
        <w:suppressLineNumbers w:val="0"/>
        <w:spacing w:before="0" w:beforeAutospacing="0" w:after="0" w:afterAutospacing="0" w:line="500" w:lineRule="exact"/>
        <w:ind w:left="0" w:right="0" w:firstLine="480" w:firstLineChars="200"/>
        <w:jc w:val="both"/>
        <w:rPr>
          <w:rFonts w:hint="eastAsia" w:ascii="Times New Roman" w:hAnsi="Times New Roman" w:eastAsia="宋体" w:cs="Times New Roman"/>
          <w:color w:val="auto"/>
          <w:kern w:val="2"/>
          <w:sz w:val="24"/>
          <w:szCs w:val="24"/>
          <w:highlight w:val="none"/>
        </w:rPr>
      </w:pPr>
      <w:r>
        <w:rPr>
          <w:rFonts w:hint="eastAsia" w:ascii="Times New Roman" w:hAnsi="Times New Roman" w:eastAsia="宋体" w:cs="Times New Roman"/>
          <w:color w:val="auto"/>
          <w:kern w:val="2"/>
          <w:sz w:val="24"/>
          <w:szCs w:val="24"/>
          <w:highlight w:val="none"/>
          <w:lang w:val="en-US" w:eastAsia="zh-CN" w:bidi="ar"/>
        </w:rPr>
        <w:t xml:space="preserve"> </w:t>
      </w:r>
    </w:p>
    <w:p w14:paraId="0A2A0D79">
      <w:pPr>
        <w:pStyle w:val="9"/>
        <w:widowControl/>
        <w:numPr>
          <w:ilvl w:val="-1"/>
          <w:numId w:val="0"/>
        </w:numPr>
        <w:spacing w:before="312" w:beforeAutospacing="0" w:after="312" w:afterAutospacing="0"/>
        <w:ind w:left="0" w:firstLine="0"/>
        <w:jc w:val="both"/>
        <w:outlineLvl w:val="9"/>
        <w:rPr>
          <w:rFonts w:hint="eastAsia" w:ascii="宋体" w:hAnsi="宋体" w:eastAsia="宋体" w:cs="宋体"/>
          <w:b/>
          <w:bCs w:val="0"/>
          <w:color w:val="auto"/>
          <w:kern w:val="2"/>
          <w:sz w:val="36"/>
          <w:szCs w:val="36"/>
          <w:highlight w:val="none"/>
        </w:rPr>
      </w:pPr>
    </w:p>
    <w:p w14:paraId="326003AA">
      <w:pPr>
        <w:keepNext w:val="0"/>
        <w:keepLines w:val="0"/>
        <w:widowControl w:val="0"/>
        <w:suppressLineNumbers w:val="0"/>
        <w:spacing w:before="0" w:beforeAutospacing="0" w:after="0" w:afterAutospacing="0" w:line="500" w:lineRule="exact"/>
        <w:ind w:left="0" w:right="0" w:firstLine="480" w:firstLineChars="200"/>
        <w:jc w:val="both"/>
        <w:rPr>
          <w:rFonts w:hint="eastAsia" w:ascii="Times New Roman" w:hAnsi="Times New Roman" w:eastAsia="宋体" w:cs="Times New Roman"/>
          <w:color w:val="auto"/>
          <w:kern w:val="2"/>
          <w:sz w:val="24"/>
          <w:szCs w:val="24"/>
          <w:highlight w:val="none"/>
        </w:rPr>
      </w:pPr>
      <w:r>
        <w:rPr>
          <w:rFonts w:hint="eastAsia" w:ascii="Times New Roman" w:hAnsi="Times New Roman" w:eastAsia="宋体" w:cs="Times New Roman"/>
          <w:color w:val="auto"/>
          <w:kern w:val="2"/>
          <w:sz w:val="24"/>
          <w:szCs w:val="24"/>
          <w:highlight w:val="none"/>
          <w:lang w:val="en-US" w:eastAsia="zh-CN" w:bidi="ar"/>
        </w:rPr>
        <w:t xml:space="preserve"> </w:t>
      </w:r>
    </w:p>
    <w:p w14:paraId="0E751530">
      <w:pPr>
        <w:keepNext w:val="0"/>
        <w:keepLines w:val="0"/>
        <w:widowControl w:val="0"/>
        <w:suppressLineNumbers w:val="0"/>
        <w:autoSpaceDE w:val="0"/>
        <w:autoSpaceDN/>
        <w:spacing w:before="0" w:beforeAutospacing="0" w:after="0" w:afterAutospacing="0" w:line="312" w:lineRule="auto"/>
        <w:ind w:left="0" w:leftChars="0" w:right="0" w:firstLine="0" w:firstLineChars="0"/>
        <w:jc w:val="left"/>
        <w:rPr>
          <w:rFonts w:hint="eastAsia" w:ascii="宋体" w:hAnsi="宋体" w:eastAsia="宋体" w:cs="Times New Roman"/>
          <w:b/>
          <w:bCs w:val="0"/>
          <w:color w:val="auto"/>
          <w:kern w:val="2"/>
          <w:sz w:val="24"/>
          <w:szCs w:val="24"/>
          <w:highlight w:val="none"/>
          <w:lang w:val="en-US" w:eastAsia="zh-CN" w:bidi="ar"/>
        </w:rPr>
      </w:pPr>
      <w:r>
        <w:rPr>
          <w:rFonts w:hint="eastAsia" w:ascii="宋体" w:hAnsi="宋体" w:eastAsia="宋体" w:cs="Times New Roman"/>
          <w:b/>
          <w:bCs w:val="0"/>
          <w:color w:val="auto"/>
          <w:kern w:val="2"/>
          <w:sz w:val="24"/>
          <w:szCs w:val="24"/>
          <w:highlight w:val="none"/>
          <w:lang w:val="en-US" w:eastAsia="zh-CN" w:bidi="ar"/>
        </w:rPr>
        <w:t xml:space="preserve"> </w:t>
      </w:r>
    </w:p>
    <w:p w14:paraId="3BA3244A">
      <w:pPr>
        <w:pStyle w:val="2"/>
        <w:rPr>
          <w:rFonts w:hint="eastAsia" w:ascii="宋体" w:hAnsi="宋体" w:eastAsia="宋体" w:cs="Times New Roman"/>
          <w:b/>
          <w:bCs w:val="0"/>
          <w:color w:val="auto"/>
          <w:kern w:val="2"/>
          <w:sz w:val="24"/>
          <w:szCs w:val="24"/>
          <w:highlight w:val="none"/>
          <w:lang w:val="en-US" w:eastAsia="zh-CN" w:bidi="ar"/>
        </w:rPr>
      </w:pPr>
    </w:p>
    <w:p w14:paraId="66AB5B92">
      <w:pPr>
        <w:rPr>
          <w:rFonts w:hint="eastAsia" w:ascii="宋体" w:hAnsi="宋体" w:eastAsia="宋体" w:cs="Times New Roman"/>
          <w:b/>
          <w:bCs w:val="0"/>
          <w:color w:val="auto"/>
          <w:kern w:val="2"/>
          <w:sz w:val="24"/>
          <w:szCs w:val="24"/>
          <w:highlight w:val="none"/>
          <w:lang w:val="en-US" w:eastAsia="zh-CN" w:bidi="ar"/>
        </w:rPr>
      </w:pPr>
    </w:p>
    <w:p w14:paraId="161DFB40">
      <w:pPr>
        <w:pStyle w:val="2"/>
        <w:rPr>
          <w:rFonts w:hint="eastAsia" w:ascii="宋体" w:hAnsi="宋体" w:eastAsia="宋体" w:cs="Times New Roman"/>
          <w:b/>
          <w:bCs w:val="0"/>
          <w:color w:val="auto"/>
          <w:kern w:val="2"/>
          <w:sz w:val="24"/>
          <w:szCs w:val="24"/>
          <w:highlight w:val="none"/>
          <w:lang w:val="en-US" w:eastAsia="zh-CN" w:bidi="ar"/>
        </w:rPr>
      </w:pPr>
    </w:p>
    <w:p w14:paraId="2275E351">
      <w:pPr>
        <w:pStyle w:val="4"/>
        <w:ind w:left="0" w:leftChars="0" w:firstLine="0" w:firstLineChars="0"/>
        <w:rPr>
          <w:rFonts w:hint="eastAsia"/>
          <w:color w:val="auto"/>
          <w:highlight w:val="none"/>
          <w:lang w:val="en-US" w:eastAsia="zh-CN"/>
        </w:rPr>
      </w:pPr>
    </w:p>
    <w:p w14:paraId="77541B6B">
      <w:pPr>
        <w:keepNext w:val="0"/>
        <w:keepLines w:val="0"/>
        <w:widowControl w:val="0"/>
        <w:suppressLineNumbers w:val="0"/>
        <w:autoSpaceDE w:val="0"/>
        <w:autoSpaceDN/>
        <w:spacing w:before="0" w:beforeAutospacing="0" w:after="0" w:afterAutospacing="0" w:line="312" w:lineRule="auto"/>
        <w:ind w:left="0" w:leftChars="0" w:right="0" w:firstLine="0" w:firstLineChars="0"/>
        <w:jc w:val="left"/>
        <w:outlineLvl w:val="1"/>
        <w:rPr>
          <w:rFonts w:hint="eastAsia" w:ascii="宋体" w:hAnsi="宋体" w:eastAsia="宋体" w:cs="Times New Roman"/>
          <w:b/>
          <w:bCs w:val="0"/>
          <w:color w:val="auto"/>
          <w:kern w:val="2"/>
          <w:sz w:val="24"/>
          <w:szCs w:val="24"/>
          <w:highlight w:val="none"/>
        </w:rPr>
      </w:pPr>
      <w:bookmarkStart w:id="909" w:name="_Toc19606"/>
      <w:bookmarkStart w:id="910" w:name="_Toc17337"/>
      <w:r>
        <w:rPr>
          <w:rFonts w:hint="eastAsia" w:ascii="宋体" w:hAnsi="宋体" w:eastAsia="宋体" w:cs="宋体"/>
          <w:b/>
          <w:bCs w:val="0"/>
          <w:color w:val="auto"/>
          <w:kern w:val="2"/>
          <w:sz w:val="24"/>
          <w:szCs w:val="24"/>
          <w:highlight w:val="none"/>
          <w:lang w:val="en-US" w:eastAsia="zh-CN" w:bidi="ar"/>
        </w:rPr>
        <w:t>附件2</w:t>
      </w:r>
      <w:bookmarkEnd w:id="909"/>
      <w:bookmarkEnd w:id="910"/>
    </w:p>
    <w:p w14:paraId="7F3018B9">
      <w:pPr>
        <w:ind w:firstLine="0" w:firstLineChars="0"/>
        <w:jc w:val="center"/>
        <w:rPr>
          <w:rFonts w:hint="eastAsia" w:eastAsia="宋体"/>
          <w:color w:val="auto"/>
          <w:sz w:val="24"/>
          <w:highlight w:val="none"/>
          <w:lang w:val="en-US" w:eastAsia="zh-CN"/>
        </w:rPr>
      </w:pPr>
      <w:r>
        <w:rPr>
          <w:rFonts w:hint="eastAsia"/>
          <w:b/>
          <w:color w:val="auto"/>
          <w:sz w:val="36"/>
          <w:szCs w:val="36"/>
          <w:highlight w:val="none"/>
        </w:rPr>
        <w:t>安全协议</w:t>
      </w:r>
      <w:r>
        <w:rPr>
          <w:rFonts w:hint="eastAsia"/>
          <w:b/>
          <w:color w:val="auto"/>
          <w:sz w:val="36"/>
          <w:szCs w:val="36"/>
          <w:highlight w:val="none"/>
          <w:lang w:val="en-US" w:eastAsia="zh-CN"/>
        </w:rPr>
        <w:t>书</w:t>
      </w:r>
    </w:p>
    <w:p w14:paraId="47F65FD0">
      <w:pPr>
        <w:snapToGrid w:val="0"/>
        <w:spacing w:line="480" w:lineRule="exact"/>
        <w:ind w:firstLine="480" w:firstLineChars="200"/>
        <w:rPr>
          <w:rFonts w:hint="eastAsia" w:ascii="宋体" w:hAnsi="宋体" w:eastAsia="宋体" w:cs="宋体"/>
          <w:color w:val="auto"/>
          <w:sz w:val="24"/>
          <w:highlight w:val="none"/>
        </w:rPr>
      </w:pPr>
    </w:p>
    <w:p w14:paraId="68D07960">
      <w:pPr>
        <w:snapToGrid w:val="0"/>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甲方：</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联系电话：</w:t>
      </w:r>
    </w:p>
    <w:p w14:paraId="421F833E">
      <w:pPr>
        <w:snapToGrid w:val="0"/>
        <w:spacing w:line="480" w:lineRule="exact"/>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联系电话：</w:t>
      </w:r>
    </w:p>
    <w:p w14:paraId="2A9207A2">
      <w:pPr>
        <w:snapToGrid w:val="0"/>
        <w:spacing w:line="480" w:lineRule="exact"/>
        <w:ind w:firstLine="480" w:firstLineChars="200"/>
        <w:outlineLvl w:val="1"/>
        <w:rPr>
          <w:rFonts w:hint="eastAsia" w:ascii="宋体" w:hAnsi="宋体" w:eastAsia="宋体" w:cs="宋体"/>
          <w:color w:val="auto"/>
          <w:sz w:val="24"/>
          <w:highlight w:val="none"/>
        </w:rPr>
      </w:pPr>
      <w:bookmarkStart w:id="911" w:name="_Toc4431"/>
      <w:r>
        <w:rPr>
          <w:rFonts w:hint="eastAsia" w:ascii="宋体" w:hAnsi="宋体" w:eastAsia="宋体" w:cs="宋体"/>
          <w:color w:val="auto"/>
          <w:sz w:val="24"/>
          <w:highlight w:val="none"/>
        </w:rPr>
        <w:t>一、目的</w:t>
      </w:r>
      <w:bookmarkEnd w:id="911"/>
    </w:p>
    <w:p w14:paraId="2771AAAE">
      <w:pPr>
        <w:snapToGrid w:val="0"/>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为维护甲乙双方的共同利益，保证</w:t>
      </w:r>
      <w:r>
        <w:rPr>
          <w:rFonts w:hint="eastAsia" w:ascii="宋体" w:hAnsi="宋体" w:eastAsia="宋体" w:cs="宋体"/>
          <w:color w:val="auto"/>
          <w:sz w:val="24"/>
          <w:highlight w:val="none"/>
          <w:lang w:eastAsia="zh-CN"/>
        </w:rPr>
        <w:t>产品</w:t>
      </w:r>
      <w:r>
        <w:rPr>
          <w:rFonts w:hint="eastAsia" w:ascii="宋体" w:hAnsi="宋体" w:eastAsia="宋体" w:cs="宋体"/>
          <w:color w:val="auto"/>
          <w:sz w:val="24"/>
          <w:highlight w:val="none"/>
        </w:rPr>
        <w:t>质量和安全生产，保持良好的工作</w:t>
      </w:r>
      <w:r>
        <w:rPr>
          <w:rFonts w:hint="eastAsia" w:ascii="宋体" w:hAnsi="宋体" w:cs="宋体"/>
          <w:color w:val="auto"/>
          <w:sz w:val="24"/>
          <w:highlight w:val="none"/>
          <w:lang w:eastAsia="zh-CN"/>
        </w:rPr>
        <w:t>秩序</w:t>
      </w:r>
      <w:r>
        <w:rPr>
          <w:rFonts w:hint="eastAsia" w:ascii="宋体" w:hAnsi="宋体" w:eastAsia="宋体" w:cs="宋体"/>
          <w:color w:val="auto"/>
          <w:sz w:val="24"/>
          <w:highlight w:val="none"/>
        </w:rPr>
        <w:t>和</w:t>
      </w:r>
      <w:r>
        <w:rPr>
          <w:rFonts w:hint="eastAsia" w:ascii="宋体" w:hAnsi="宋体" w:eastAsia="宋体" w:cs="宋体"/>
          <w:color w:val="auto"/>
          <w:sz w:val="24"/>
          <w:highlight w:val="none"/>
          <w:lang w:eastAsia="zh-CN"/>
        </w:rPr>
        <w:t>工作</w:t>
      </w:r>
      <w:r>
        <w:rPr>
          <w:rFonts w:hint="eastAsia" w:ascii="宋体" w:hAnsi="宋体" w:eastAsia="宋体" w:cs="宋体"/>
          <w:color w:val="auto"/>
          <w:sz w:val="24"/>
          <w:highlight w:val="none"/>
        </w:rPr>
        <w:t>场所的卫生环境，经甲乙双方平等协商，</w:t>
      </w:r>
      <w:r>
        <w:rPr>
          <w:rFonts w:hint="eastAsia" w:ascii="宋体" w:hAnsi="宋体" w:cs="宋体"/>
          <w:color w:val="auto"/>
          <w:sz w:val="24"/>
          <w:highlight w:val="none"/>
          <w:lang w:eastAsia="zh-CN"/>
        </w:rPr>
        <w:t>签订</w:t>
      </w:r>
      <w:r>
        <w:rPr>
          <w:rFonts w:hint="eastAsia" w:ascii="宋体" w:hAnsi="宋体" w:eastAsia="宋体" w:cs="宋体"/>
          <w:color w:val="auto"/>
          <w:sz w:val="24"/>
          <w:highlight w:val="none"/>
        </w:rPr>
        <w:t>本</w:t>
      </w:r>
      <w:r>
        <w:rPr>
          <w:rFonts w:hint="eastAsia" w:ascii="宋体" w:hAnsi="宋体" w:eastAsia="宋体" w:cs="宋体"/>
          <w:color w:val="auto"/>
          <w:sz w:val="24"/>
          <w:highlight w:val="none"/>
          <w:lang w:eastAsia="zh-CN"/>
        </w:rPr>
        <w:t>安全</w:t>
      </w:r>
      <w:r>
        <w:rPr>
          <w:rFonts w:hint="eastAsia" w:ascii="宋体" w:hAnsi="宋体" w:eastAsia="宋体" w:cs="宋体"/>
          <w:color w:val="auto"/>
          <w:sz w:val="24"/>
          <w:highlight w:val="none"/>
        </w:rPr>
        <w:t>协议。</w:t>
      </w:r>
    </w:p>
    <w:p w14:paraId="71485CF1">
      <w:pPr>
        <w:snapToGrid w:val="0"/>
        <w:spacing w:line="480" w:lineRule="exact"/>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二、</w:t>
      </w:r>
      <w:r>
        <w:rPr>
          <w:rFonts w:hint="eastAsia" w:ascii="宋体" w:hAnsi="宋体" w:eastAsia="宋体" w:cs="宋体"/>
          <w:color w:val="auto"/>
          <w:sz w:val="24"/>
          <w:highlight w:val="none"/>
          <w:lang w:eastAsia="zh-CN"/>
        </w:rPr>
        <w:t>工作</w:t>
      </w:r>
      <w:r>
        <w:rPr>
          <w:rFonts w:hint="eastAsia" w:ascii="宋体" w:hAnsi="宋体" w:eastAsia="宋体" w:cs="宋体"/>
          <w:color w:val="auto"/>
          <w:sz w:val="24"/>
          <w:highlight w:val="none"/>
        </w:rPr>
        <w:t>项目：</w:t>
      </w:r>
    </w:p>
    <w:p w14:paraId="1D720B81">
      <w:pPr>
        <w:snapToGrid w:val="0"/>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三、施工地点：</w:t>
      </w:r>
    </w:p>
    <w:p w14:paraId="598151DB">
      <w:pPr>
        <w:snapToGrid w:val="0"/>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四、施工时间：</w:t>
      </w:r>
    </w:p>
    <w:p w14:paraId="63B0165E">
      <w:pPr>
        <w:snapToGrid w:val="0"/>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五、协议内容：</w:t>
      </w:r>
    </w:p>
    <w:p w14:paraId="3453729C">
      <w:pPr>
        <w:snapToGrid w:val="0"/>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１、乙方</w:t>
      </w:r>
      <w:r>
        <w:rPr>
          <w:rFonts w:hint="eastAsia" w:ascii="宋体" w:hAnsi="宋体" w:eastAsia="宋体" w:cs="宋体"/>
          <w:color w:val="auto"/>
          <w:sz w:val="24"/>
          <w:highlight w:val="none"/>
          <w:lang w:eastAsia="zh-CN"/>
        </w:rPr>
        <w:t>车辆</w:t>
      </w:r>
      <w:r>
        <w:rPr>
          <w:rFonts w:hint="eastAsia" w:ascii="宋体" w:hAnsi="宋体" w:eastAsia="宋体" w:cs="宋体"/>
          <w:color w:val="auto"/>
          <w:sz w:val="24"/>
          <w:highlight w:val="none"/>
        </w:rPr>
        <w:t>进</w:t>
      </w:r>
      <w:r>
        <w:rPr>
          <w:rFonts w:hint="eastAsia" w:ascii="宋体" w:hAnsi="宋体" w:eastAsia="宋体" w:cs="宋体"/>
          <w:color w:val="auto"/>
          <w:sz w:val="24"/>
          <w:highlight w:val="none"/>
          <w:lang w:eastAsia="zh-CN"/>
        </w:rPr>
        <w:t>入工作场地</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需</w:t>
      </w:r>
      <w:r>
        <w:rPr>
          <w:rFonts w:hint="eastAsia" w:ascii="宋体" w:hAnsi="宋体" w:eastAsia="宋体" w:cs="宋体"/>
          <w:color w:val="auto"/>
          <w:sz w:val="24"/>
          <w:highlight w:val="none"/>
        </w:rPr>
        <w:t>经领导同意，并指定</w:t>
      </w:r>
      <w:r>
        <w:rPr>
          <w:rFonts w:hint="eastAsia" w:ascii="宋体" w:hAnsi="宋体" w:eastAsia="宋体" w:cs="宋体"/>
          <w:color w:val="auto"/>
          <w:sz w:val="24"/>
          <w:highlight w:val="none"/>
          <w:lang w:eastAsia="zh-CN"/>
        </w:rPr>
        <w:t>车辆</w:t>
      </w:r>
      <w:r>
        <w:rPr>
          <w:rFonts w:hint="eastAsia" w:ascii="宋体" w:hAnsi="宋体" w:eastAsia="宋体" w:cs="宋体"/>
          <w:color w:val="auto"/>
          <w:sz w:val="24"/>
          <w:highlight w:val="none"/>
        </w:rPr>
        <w:t>负责人，工</w:t>
      </w:r>
      <w:r>
        <w:rPr>
          <w:rFonts w:hint="eastAsia" w:ascii="宋体" w:hAnsi="宋体" w:eastAsia="宋体" w:cs="宋体"/>
          <w:color w:val="auto"/>
          <w:sz w:val="24"/>
          <w:highlight w:val="none"/>
          <w:lang w:eastAsia="zh-CN"/>
        </w:rPr>
        <w:t>作</w:t>
      </w:r>
      <w:r>
        <w:rPr>
          <w:rFonts w:hint="eastAsia" w:ascii="宋体" w:hAnsi="宋体" w:eastAsia="宋体" w:cs="宋体"/>
          <w:color w:val="auto"/>
          <w:sz w:val="24"/>
          <w:highlight w:val="none"/>
        </w:rPr>
        <w:t>现场设立安全监督员，便于工</w:t>
      </w:r>
      <w:r>
        <w:rPr>
          <w:rFonts w:hint="eastAsia" w:ascii="宋体" w:hAnsi="宋体" w:eastAsia="宋体" w:cs="宋体"/>
          <w:color w:val="auto"/>
          <w:sz w:val="24"/>
          <w:highlight w:val="none"/>
          <w:lang w:eastAsia="zh-CN"/>
        </w:rPr>
        <w:t>作</w:t>
      </w:r>
      <w:r>
        <w:rPr>
          <w:rFonts w:hint="eastAsia" w:ascii="宋体" w:hAnsi="宋体" w:eastAsia="宋体" w:cs="宋体"/>
          <w:color w:val="auto"/>
          <w:sz w:val="24"/>
          <w:highlight w:val="none"/>
        </w:rPr>
        <w:t>过程中的协调、联系。同时，在不影响甲方安全生产运行的前提下，甲方尽力为乙方提供便利条件和服务。</w:t>
      </w:r>
    </w:p>
    <w:p w14:paraId="39E4D22E">
      <w:pPr>
        <w:snapToGrid w:val="0"/>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２、乙方</w:t>
      </w:r>
      <w:r>
        <w:rPr>
          <w:rFonts w:hint="eastAsia" w:ascii="宋体" w:hAnsi="宋体" w:eastAsia="宋体" w:cs="宋体"/>
          <w:color w:val="auto"/>
          <w:sz w:val="24"/>
          <w:highlight w:val="none"/>
          <w:lang w:eastAsia="zh-CN"/>
        </w:rPr>
        <w:t>开</w:t>
      </w:r>
      <w:r>
        <w:rPr>
          <w:rFonts w:hint="eastAsia" w:ascii="宋体" w:hAnsi="宋体" w:eastAsia="宋体" w:cs="宋体"/>
          <w:color w:val="auto"/>
          <w:sz w:val="24"/>
          <w:highlight w:val="none"/>
        </w:rPr>
        <w:t>工前，与本</w:t>
      </w:r>
      <w:r>
        <w:rPr>
          <w:rFonts w:hint="eastAsia" w:ascii="宋体" w:hAnsi="宋体" w:cs="宋体"/>
          <w:color w:val="auto"/>
          <w:sz w:val="24"/>
          <w:highlight w:val="none"/>
          <w:lang w:eastAsia="zh-CN"/>
        </w:rPr>
        <w:t>公司签订</w:t>
      </w:r>
      <w:r>
        <w:rPr>
          <w:rFonts w:hint="eastAsia" w:ascii="宋体" w:hAnsi="宋体" w:eastAsia="宋体" w:cs="宋体"/>
          <w:color w:val="auto"/>
          <w:sz w:val="24"/>
          <w:highlight w:val="none"/>
        </w:rPr>
        <w:t>安全协议书，方可进</w:t>
      </w:r>
      <w:r>
        <w:rPr>
          <w:rFonts w:hint="eastAsia" w:ascii="宋体" w:hAnsi="宋体" w:eastAsia="宋体" w:cs="宋体"/>
          <w:color w:val="auto"/>
          <w:sz w:val="24"/>
          <w:highlight w:val="none"/>
          <w:lang w:eastAsia="zh-CN"/>
        </w:rPr>
        <w:t>行</w:t>
      </w:r>
      <w:r>
        <w:rPr>
          <w:rFonts w:hint="eastAsia" w:ascii="宋体" w:hAnsi="宋体" w:eastAsia="宋体" w:cs="宋体"/>
          <w:color w:val="auto"/>
          <w:sz w:val="24"/>
          <w:highlight w:val="none"/>
        </w:rPr>
        <w:t>工</w:t>
      </w:r>
      <w:r>
        <w:rPr>
          <w:rFonts w:hint="eastAsia" w:ascii="宋体" w:hAnsi="宋体" w:eastAsia="宋体" w:cs="宋体"/>
          <w:color w:val="auto"/>
          <w:sz w:val="24"/>
          <w:highlight w:val="none"/>
          <w:lang w:eastAsia="zh-CN"/>
        </w:rPr>
        <w:t>作</w:t>
      </w:r>
      <w:r>
        <w:rPr>
          <w:rFonts w:hint="eastAsia" w:ascii="宋体" w:hAnsi="宋体" w:eastAsia="宋体" w:cs="宋体"/>
          <w:color w:val="auto"/>
          <w:sz w:val="24"/>
          <w:highlight w:val="none"/>
        </w:rPr>
        <w:t>。</w:t>
      </w:r>
    </w:p>
    <w:p w14:paraId="3A0D8F8D">
      <w:pPr>
        <w:snapToGrid w:val="0"/>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３、开工前，乙方必须</w:t>
      </w:r>
      <w:r>
        <w:rPr>
          <w:rFonts w:hint="eastAsia" w:ascii="宋体" w:hAnsi="宋体" w:eastAsia="宋体" w:cs="宋体"/>
          <w:color w:val="auto"/>
          <w:sz w:val="24"/>
          <w:highlight w:val="none"/>
          <w:lang w:val="en-US" w:eastAsia="zh-CN"/>
        </w:rPr>
        <w:t>对所有工作人员进行安全教育</w:t>
      </w:r>
      <w:r>
        <w:rPr>
          <w:rFonts w:hint="eastAsia" w:ascii="宋体" w:hAnsi="宋体" w:eastAsia="宋体" w:cs="宋体"/>
          <w:color w:val="auto"/>
          <w:sz w:val="24"/>
          <w:highlight w:val="none"/>
        </w:rPr>
        <w:t>。</w:t>
      </w:r>
    </w:p>
    <w:p w14:paraId="6A2710DA">
      <w:pPr>
        <w:snapToGrid w:val="0"/>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４、</w:t>
      </w:r>
      <w:r>
        <w:rPr>
          <w:rFonts w:hint="eastAsia" w:ascii="宋体" w:hAnsi="宋体" w:eastAsia="宋体" w:cs="宋体"/>
          <w:color w:val="auto"/>
          <w:sz w:val="24"/>
          <w:highlight w:val="none"/>
          <w:lang w:eastAsia="zh-CN"/>
        </w:rPr>
        <w:t>驾驶</w:t>
      </w:r>
      <w:r>
        <w:rPr>
          <w:rFonts w:hint="eastAsia" w:ascii="宋体" w:hAnsi="宋体" w:eastAsia="宋体" w:cs="宋体"/>
          <w:color w:val="auto"/>
          <w:sz w:val="24"/>
          <w:highlight w:val="none"/>
        </w:rPr>
        <w:t>人员进厂</w:t>
      </w:r>
      <w:r>
        <w:rPr>
          <w:rFonts w:hint="eastAsia" w:ascii="宋体" w:hAnsi="宋体" w:eastAsia="宋体" w:cs="宋体"/>
          <w:color w:val="auto"/>
          <w:sz w:val="24"/>
          <w:highlight w:val="none"/>
          <w:lang w:eastAsia="zh-CN"/>
        </w:rPr>
        <w:t>前，</w:t>
      </w:r>
      <w:r>
        <w:rPr>
          <w:rFonts w:hint="eastAsia" w:ascii="宋体" w:hAnsi="宋体" w:eastAsia="宋体" w:cs="宋体"/>
          <w:color w:val="auto"/>
          <w:sz w:val="24"/>
          <w:highlight w:val="none"/>
        </w:rPr>
        <w:t>必须</w:t>
      </w:r>
      <w:r>
        <w:rPr>
          <w:rFonts w:hint="eastAsia" w:ascii="宋体" w:hAnsi="宋体" w:eastAsia="宋体" w:cs="宋体"/>
          <w:color w:val="auto"/>
          <w:sz w:val="24"/>
          <w:highlight w:val="none"/>
          <w:lang w:eastAsia="zh-CN"/>
        </w:rPr>
        <w:t>进行职业培训</w:t>
      </w:r>
      <w:r>
        <w:rPr>
          <w:rFonts w:hint="eastAsia" w:ascii="宋体" w:hAnsi="宋体" w:eastAsia="宋体" w:cs="宋体"/>
          <w:color w:val="auto"/>
          <w:sz w:val="24"/>
          <w:highlight w:val="none"/>
        </w:rPr>
        <w:t>，统一穿戴劳保服装，特种作业人员还必须携带</w:t>
      </w:r>
      <w:r>
        <w:rPr>
          <w:rFonts w:hint="eastAsia" w:ascii="宋体" w:hAnsi="宋体" w:cs="宋体"/>
          <w:color w:val="auto"/>
          <w:sz w:val="24"/>
          <w:highlight w:val="none"/>
          <w:lang w:eastAsia="zh-CN"/>
        </w:rPr>
        <w:t>特种</w:t>
      </w:r>
      <w:r>
        <w:rPr>
          <w:rFonts w:hint="eastAsia" w:ascii="宋体" w:hAnsi="宋体" w:eastAsia="宋体" w:cs="宋体"/>
          <w:color w:val="auto"/>
          <w:sz w:val="24"/>
          <w:highlight w:val="none"/>
        </w:rPr>
        <w:t>作业操作证，便于甲方人员和上级主管部门的检查。</w:t>
      </w:r>
    </w:p>
    <w:p w14:paraId="16703ABA">
      <w:pPr>
        <w:snapToGrid w:val="0"/>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５、乙方应在工</w:t>
      </w:r>
      <w:r>
        <w:rPr>
          <w:rFonts w:hint="eastAsia" w:ascii="宋体" w:hAnsi="宋体" w:eastAsia="宋体" w:cs="宋体"/>
          <w:color w:val="auto"/>
          <w:sz w:val="24"/>
          <w:highlight w:val="none"/>
          <w:lang w:eastAsia="zh-CN"/>
        </w:rPr>
        <w:t>作</w:t>
      </w:r>
      <w:r>
        <w:rPr>
          <w:rFonts w:hint="eastAsia" w:ascii="宋体" w:hAnsi="宋体" w:eastAsia="宋体" w:cs="宋体"/>
          <w:color w:val="auto"/>
          <w:sz w:val="24"/>
          <w:highlight w:val="none"/>
        </w:rPr>
        <w:t>区域设置明显标志，对于时间较长的集中性项目要做到封闭处理，工</w:t>
      </w:r>
      <w:r>
        <w:rPr>
          <w:rFonts w:hint="eastAsia" w:ascii="宋体" w:hAnsi="宋体" w:eastAsia="宋体" w:cs="宋体"/>
          <w:color w:val="auto"/>
          <w:sz w:val="24"/>
          <w:highlight w:val="none"/>
          <w:lang w:eastAsia="zh-CN"/>
        </w:rPr>
        <w:t>作</w:t>
      </w:r>
      <w:r>
        <w:rPr>
          <w:rFonts w:hint="eastAsia" w:ascii="宋体" w:hAnsi="宋体" w:eastAsia="宋体" w:cs="宋体"/>
          <w:color w:val="auto"/>
          <w:sz w:val="24"/>
          <w:highlight w:val="none"/>
        </w:rPr>
        <w:t>人员应在工</w:t>
      </w:r>
      <w:r>
        <w:rPr>
          <w:rFonts w:hint="eastAsia" w:ascii="宋体" w:hAnsi="宋体" w:eastAsia="宋体" w:cs="宋体"/>
          <w:color w:val="auto"/>
          <w:sz w:val="24"/>
          <w:highlight w:val="none"/>
          <w:lang w:eastAsia="zh-CN"/>
        </w:rPr>
        <w:t>作</w:t>
      </w:r>
      <w:r>
        <w:rPr>
          <w:rFonts w:hint="eastAsia" w:ascii="宋体" w:hAnsi="宋体" w:eastAsia="宋体" w:cs="宋体"/>
          <w:color w:val="auto"/>
          <w:sz w:val="24"/>
          <w:highlight w:val="none"/>
        </w:rPr>
        <w:t>区域内活动，不得随意进入非工</w:t>
      </w:r>
      <w:r>
        <w:rPr>
          <w:rFonts w:hint="eastAsia" w:ascii="宋体" w:hAnsi="宋体" w:eastAsia="宋体" w:cs="宋体"/>
          <w:color w:val="auto"/>
          <w:sz w:val="24"/>
          <w:highlight w:val="none"/>
          <w:lang w:eastAsia="zh-CN"/>
        </w:rPr>
        <w:t>作</w:t>
      </w:r>
      <w:r>
        <w:rPr>
          <w:rFonts w:hint="eastAsia" w:ascii="宋体" w:hAnsi="宋体" w:eastAsia="宋体" w:cs="宋体"/>
          <w:color w:val="auto"/>
          <w:sz w:val="24"/>
          <w:highlight w:val="none"/>
        </w:rPr>
        <w:t>区域，甲方人员有权随时检查。</w:t>
      </w:r>
    </w:p>
    <w:p w14:paraId="17BFDC82">
      <w:pPr>
        <w:snapToGrid w:val="0"/>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６、</w:t>
      </w:r>
      <w:r>
        <w:rPr>
          <w:rFonts w:hint="eastAsia" w:ascii="宋体" w:hAnsi="宋体" w:eastAsia="宋体" w:cs="宋体"/>
          <w:color w:val="auto"/>
          <w:sz w:val="24"/>
          <w:highlight w:val="none"/>
          <w:lang w:eastAsia="zh-CN"/>
        </w:rPr>
        <w:t>运输</w:t>
      </w:r>
      <w:r>
        <w:rPr>
          <w:rFonts w:hint="eastAsia" w:ascii="宋体" w:hAnsi="宋体" w:eastAsia="宋体" w:cs="宋体"/>
          <w:color w:val="auto"/>
          <w:sz w:val="24"/>
          <w:highlight w:val="none"/>
        </w:rPr>
        <w:t>队伍的安全防护器材（包括登高作业）必须配置到位，安全措施得力，否则将不得开工作业。</w:t>
      </w:r>
    </w:p>
    <w:p w14:paraId="68C0B03D">
      <w:pPr>
        <w:snapToGrid w:val="0"/>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７、</w:t>
      </w:r>
      <w:r>
        <w:rPr>
          <w:rFonts w:hint="eastAsia" w:ascii="宋体" w:hAnsi="宋体" w:eastAsia="宋体" w:cs="宋体"/>
          <w:color w:val="auto"/>
          <w:sz w:val="24"/>
          <w:highlight w:val="none"/>
          <w:lang w:eastAsia="zh-CN"/>
        </w:rPr>
        <w:t>工作</w:t>
      </w:r>
      <w:r>
        <w:rPr>
          <w:rFonts w:hint="eastAsia" w:ascii="宋体" w:hAnsi="宋体" w:eastAsia="宋体" w:cs="宋体"/>
          <w:color w:val="auto"/>
          <w:sz w:val="24"/>
          <w:highlight w:val="none"/>
        </w:rPr>
        <w:t>过程中如需使用水、电</w:t>
      </w:r>
      <w:r>
        <w:rPr>
          <w:rFonts w:hint="eastAsia" w:ascii="宋体" w:hAnsi="宋体" w:cs="宋体"/>
          <w:color w:val="auto"/>
          <w:sz w:val="24"/>
          <w:highlight w:val="none"/>
          <w:lang w:eastAsia="zh-CN"/>
        </w:rPr>
        <w:t>等</w:t>
      </w:r>
      <w:r>
        <w:rPr>
          <w:rFonts w:hint="eastAsia" w:ascii="宋体" w:hAnsi="宋体" w:eastAsia="宋体" w:cs="宋体"/>
          <w:color w:val="auto"/>
          <w:sz w:val="24"/>
          <w:highlight w:val="none"/>
        </w:rPr>
        <w:t>，施工单位必须填写申请单，经甲方领导同意，由专业人员指定接水、电等事宜，</w:t>
      </w:r>
      <w:r>
        <w:rPr>
          <w:rFonts w:hint="eastAsia" w:ascii="宋体" w:hAnsi="宋体" w:cs="宋体"/>
          <w:color w:val="auto"/>
          <w:sz w:val="24"/>
          <w:highlight w:val="none"/>
          <w:lang w:eastAsia="zh-CN"/>
        </w:rPr>
        <w:t>电气</w:t>
      </w:r>
      <w:r>
        <w:rPr>
          <w:rFonts w:hint="eastAsia" w:ascii="宋体" w:hAnsi="宋体" w:eastAsia="宋体" w:cs="宋体"/>
          <w:color w:val="auto"/>
          <w:sz w:val="24"/>
          <w:highlight w:val="none"/>
        </w:rPr>
        <w:t>线路和管道连接规范，并由施工单位安装合格计量仪表后方可使用。所需费用由施工单位负担。</w:t>
      </w:r>
    </w:p>
    <w:p w14:paraId="0EC2AA60">
      <w:pPr>
        <w:snapToGrid w:val="0"/>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８、</w:t>
      </w:r>
      <w:r>
        <w:rPr>
          <w:rFonts w:hint="eastAsia" w:ascii="宋体" w:hAnsi="宋体" w:eastAsia="宋体" w:cs="宋体"/>
          <w:color w:val="auto"/>
          <w:sz w:val="24"/>
          <w:highlight w:val="none"/>
          <w:lang w:eastAsia="zh-CN"/>
        </w:rPr>
        <w:t>施工</w:t>
      </w:r>
      <w:r>
        <w:rPr>
          <w:rFonts w:hint="eastAsia" w:ascii="宋体" w:hAnsi="宋体" w:eastAsia="宋体" w:cs="宋体"/>
          <w:color w:val="auto"/>
          <w:sz w:val="24"/>
          <w:highlight w:val="none"/>
        </w:rPr>
        <w:t>过程中如需动火作业（或容易产生火花、高温），应根据动火级别由施工单位向甲方</w:t>
      </w:r>
      <w:r>
        <w:rPr>
          <w:rFonts w:hint="eastAsia" w:ascii="宋体" w:hAnsi="宋体" w:eastAsia="宋体" w:cs="宋体"/>
          <w:color w:val="auto"/>
          <w:sz w:val="24"/>
          <w:highlight w:val="none"/>
          <w:lang w:val="en-US" w:eastAsia="zh-CN"/>
        </w:rPr>
        <w:t>企业发展部</w:t>
      </w:r>
      <w:r>
        <w:rPr>
          <w:rFonts w:hint="eastAsia" w:ascii="宋体" w:hAnsi="宋体" w:eastAsia="宋体" w:cs="宋体"/>
          <w:color w:val="auto"/>
          <w:sz w:val="24"/>
          <w:highlight w:val="none"/>
        </w:rPr>
        <w:t>提出申请，经批准并确认达到动火条件、落实安全防范措施后方可进行动火作业。动火作业过程中甲乙双方安全人员必须在现场监护。</w:t>
      </w:r>
    </w:p>
    <w:p w14:paraId="7EBB9440">
      <w:pPr>
        <w:snapToGrid w:val="0"/>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９、</w:t>
      </w:r>
      <w:r>
        <w:rPr>
          <w:rFonts w:hint="eastAsia" w:ascii="宋体" w:hAnsi="宋体" w:eastAsia="宋体" w:cs="宋体"/>
          <w:color w:val="auto"/>
          <w:sz w:val="24"/>
          <w:highlight w:val="none"/>
          <w:lang w:eastAsia="zh-CN"/>
        </w:rPr>
        <w:t>运输</w:t>
      </w:r>
      <w:r>
        <w:rPr>
          <w:rFonts w:hint="eastAsia" w:ascii="宋体" w:hAnsi="宋体" w:eastAsia="宋体" w:cs="宋体"/>
          <w:color w:val="auto"/>
          <w:sz w:val="24"/>
          <w:highlight w:val="none"/>
        </w:rPr>
        <w:t>车辆进厂必须装有</w:t>
      </w:r>
      <w:r>
        <w:rPr>
          <w:rFonts w:hint="eastAsia" w:ascii="宋体" w:hAnsi="宋体" w:eastAsia="宋体" w:cs="宋体"/>
          <w:color w:val="auto"/>
          <w:sz w:val="24"/>
          <w:highlight w:val="none"/>
          <w:lang w:eastAsia="zh-CN"/>
        </w:rPr>
        <w:t>安全</w:t>
      </w:r>
      <w:r>
        <w:rPr>
          <w:rFonts w:hint="eastAsia" w:ascii="宋体" w:hAnsi="宋体" w:eastAsia="宋体" w:cs="宋体"/>
          <w:color w:val="auto"/>
          <w:sz w:val="24"/>
          <w:highlight w:val="none"/>
        </w:rPr>
        <w:t>帽，车速不得大于5km/h，出厂必须经门卫值班人员检查；</w:t>
      </w:r>
    </w:p>
    <w:p w14:paraId="680FDB40">
      <w:pPr>
        <w:snapToGrid w:val="0"/>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作业</w:t>
      </w:r>
      <w:r>
        <w:rPr>
          <w:rFonts w:hint="eastAsia" w:ascii="宋体" w:hAnsi="宋体" w:eastAsia="宋体" w:cs="宋体"/>
          <w:color w:val="auto"/>
          <w:sz w:val="24"/>
          <w:highlight w:val="none"/>
        </w:rPr>
        <w:t>过程中甲方实行公司、部门、岗位员工三级监督检查制度。甲方有权随时进行检查，有权制止违章作业，有权对违反公司安全规定的行为进行处罚或</w:t>
      </w:r>
      <w:r>
        <w:rPr>
          <w:rFonts w:hint="eastAsia" w:ascii="宋体" w:hAnsi="宋体" w:cs="宋体"/>
          <w:color w:val="auto"/>
          <w:sz w:val="24"/>
          <w:highlight w:val="none"/>
          <w:lang w:eastAsia="zh-CN"/>
        </w:rPr>
        <w:t>责令</w:t>
      </w:r>
      <w:r>
        <w:rPr>
          <w:rFonts w:hint="eastAsia" w:ascii="宋体" w:hAnsi="宋体" w:eastAsia="宋体" w:cs="宋体"/>
          <w:color w:val="auto"/>
          <w:sz w:val="24"/>
          <w:highlight w:val="none"/>
          <w:lang w:eastAsia="zh-CN"/>
        </w:rPr>
        <w:t>运输车辆</w:t>
      </w:r>
      <w:r>
        <w:rPr>
          <w:rFonts w:hint="eastAsia" w:ascii="宋体" w:hAnsi="宋体" w:eastAsia="宋体" w:cs="宋体"/>
          <w:color w:val="auto"/>
          <w:sz w:val="24"/>
          <w:highlight w:val="none"/>
        </w:rPr>
        <w:t>停工整顿；</w:t>
      </w:r>
    </w:p>
    <w:p w14:paraId="1A5A9E38">
      <w:pPr>
        <w:snapToGrid w:val="0"/>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11</w:t>
      </w:r>
      <w:r>
        <w:rPr>
          <w:rFonts w:hint="eastAsia" w:ascii="宋体" w:hAnsi="宋体" w:eastAsia="宋体" w:cs="宋体"/>
          <w:color w:val="auto"/>
          <w:sz w:val="24"/>
          <w:highlight w:val="none"/>
        </w:rPr>
        <w:t>、乙方在</w:t>
      </w:r>
      <w:r>
        <w:rPr>
          <w:rFonts w:hint="eastAsia" w:ascii="宋体" w:hAnsi="宋体" w:eastAsia="宋体" w:cs="宋体"/>
          <w:color w:val="auto"/>
          <w:sz w:val="24"/>
          <w:highlight w:val="none"/>
          <w:lang w:eastAsia="zh-CN"/>
        </w:rPr>
        <w:t>作业</w:t>
      </w:r>
      <w:r>
        <w:rPr>
          <w:rFonts w:hint="eastAsia" w:ascii="宋体" w:hAnsi="宋体" w:eastAsia="宋体" w:cs="宋体"/>
          <w:color w:val="auto"/>
          <w:sz w:val="24"/>
          <w:highlight w:val="none"/>
        </w:rPr>
        <w:t>过程中当天产生的垃圾尽量当日清理干净。</w:t>
      </w:r>
      <w:r>
        <w:rPr>
          <w:rFonts w:hint="eastAsia" w:ascii="宋体" w:hAnsi="宋体" w:eastAsia="宋体" w:cs="宋体"/>
          <w:color w:val="auto"/>
          <w:sz w:val="24"/>
          <w:highlight w:val="none"/>
          <w:lang w:eastAsia="zh-CN"/>
        </w:rPr>
        <w:t>作业</w:t>
      </w:r>
      <w:r>
        <w:rPr>
          <w:rFonts w:hint="eastAsia" w:ascii="宋体" w:hAnsi="宋体" w:eastAsia="宋体" w:cs="宋体"/>
          <w:color w:val="auto"/>
          <w:sz w:val="24"/>
          <w:highlight w:val="none"/>
        </w:rPr>
        <w:t>结束后，乙方应对施工现场彻底清理，做到工完、料尽、场地清。清理出的垃圾不能随意堆放在甲方管理的场地内，否则可根据实际情况进行罚款。对外发生的污染、交通等意外事故由乙方负责。</w:t>
      </w:r>
    </w:p>
    <w:p w14:paraId="4B0AB760">
      <w:pPr>
        <w:snapToGrid w:val="0"/>
        <w:spacing w:line="48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12、乙方在施工过程中发生的一切安全事故，由乙方自行负责处理。</w:t>
      </w:r>
    </w:p>
    <w:p w14:paraId="49871D7B">
      <w:pPr>
        <w:snapToGrid w:val="0"/>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13</w:t>
      </w:r>
      <w:r>
        <w:rPr>
          <w:rFonts w:hint="eastAsia" w:ascii="宋体" w:hAnsi="宋体" w:eastAsia="宋体" w:cs="宋体"/>
          <w:color w:val="auto"/>
          <w:sz w:val="24"/>
          <w:highlight w:val="none"/>
        </w:rPr>
        <w:t>、其他未尽事宜由甲乙双方协商解决。</w:t>
      </w:r>
    </w:p>
    <w:p w14:paraId="53406937">
      <w:pPr>
        <w:snapToGrid w:val="0"/>
        <w:spacing w:line="48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14、重车运行速度不得超过40km/h,空车不得超过60km/h。</w:t>
      </w:r>
    </w:p>
    <w:p w14:paraId="5103439B">
      <w:pPr>
        <w:widowControl/>
        <w:spacing w:line="300" w:lineRule="auto"/>
        <w:ind w:firstLine="480"/>
        <w:rPr>
          <w:rFonts w:ascii="宋体" w:hAnsi="宋体" w:cs="宋体"/>
          <w:color w:val="auto"/>
          <w:highlight w:val="none"/>
        </w:rPr>
      </w:pPr>
      <w:r>
        <w:rPr>
          <w:rFonts w:hint="eastAsia" w:ascii="宋体" w:hAnsi="宋体" w:eastAsia="宋体" w:cs="宋体"/>
          <w:color w:val="auto"/>
          <w:kern w:val="2"/>
          <w:sz w:val="24"/>
          <w:szCs w:val="24"/>
          <w:highlight w:val="none"/>
          <w:lang w:val="en-US" w:eastAsia="zh-CN" w:bidi="ar"/>
        </w:rPr>
        <w:t>15、</w:t>
      </w:r>
      <w:r>
        <w:rPr>
          <w:rFonts w:hint="eastAsia" w:ascii="宋体" w:hAnsi="宋体" w:eastAsia="宋体" w:cs="宋体"/>
          <w:color w:val="auto"/>
          <w:highlight w:val="none"/>
        </w:rPr>
        <w:t>本</w:t>
      </w:r>
      <w:r>
        <w:rPr>
          <w:rFonts w:hint="eastAsia" w:ascii="宋体" w:hAnsi="宋体" w:cs="宋体"/>
          <w:color w:val="auto"/>
          <w:highlight w:val="none"/>
          <w:lang w:val="en-US" w:eastAsia="zh-CN"/>
        </w:rPr>
        <w:t>协议</w:t>
      </w:r>
      <w:r>
        <w:rPr>
          <w:rFonts w:hint="eastAsia" w:ascii="宋体" w:hAnsi="宋体" w:eastAsia="宋体" w:cs="宋体"/>
          <w:color w:val="auto"/>
          <w:highlight w:val="none"/>
        </w:rPr>
        <w:t>一式</w:t>
      </w:r>
      <w:r>
        <w:rPr>
          <w:rFonts w:hint="eastAsia" w:ascii="宋体" w:hAnsi="宋体" w:cs="宋体"/>
          <w:color w:val="auto"/>
          <w:highlight w:val="none"/>
          <w:u w:val="none"/>
          <w:lang w:eastAsia="zh-CN"/>
        </w:rPr>
        <w:t>七</w:t>
      </w:r>
      <w:r>
        <w:rPr>
          <w:rFonts w:hint="eastAsia" w:ascii="宋体" w:hAnsi="宋体" w:eastAsia="宋体" w:cs="宋体"/>
          <w:color w:val="auto"/>
          <w:highlight w:val="none"/>
        </w:rPr>
        <w:t>份，均具有同等法律效力，甲方执</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val="en-US" w:eastAsia="zh-CN"/>
        </w:rPr>
        <w:t>三</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份，乙方执</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val="en-US" w:eastAsia="zh-CN"/>
        </w:rPr>
        <w:t>三</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份，衢州宇信</w:t>
      </w:r>
      <w:r>
        <w:rPr>
          <w:rFonts w:hint="eastAsia" w:ascii="宋体" w:hAnsi="宋体" w:cs="宋体"/>
          <w:color w:val="auto"/>
          <w:highlight w:val="none"/>
        </w:rPr>
        <w:t>工程咨询有限公司</w:t>
      </w:r>
      <w:r>
        <w:rPr>
          <w:rFonts w:hint="eastAsia" w:ascii="宋体" w:hAnsi="宋体" w:eastAsia="宋体" w:cs="宋体"/>
          <w:color w:val="auto"/>
          <w:highlight w:val="none"/>
        </w:rPr>
        <w:t>执</w:t>
      </w:r>
      <w:r>
        <w:rPr>
          <w:rFonts w:hint="eastAsia" w:ascii="宋体" w:hAnsi="宋体" w:cs="宋体"/>
          <w:color w:val="auto"/>
          <w:highlight w:val="none"/>
          <w:lang w:eastAsia="zh-CN"/>
        </w:rPr>
        <w:t>一</w:t>
      </w:r>
      <w:r>
        <w:rPr>
          <w:rFonts w:hint="eastAsia" w:ascii="宋体" w:hAnsi="宋体" w:cs="宋体"/>
          <w:color w:val="auto"/>
          <w:highlight w:val="none"/>
        </w:rPr>
        <w:t>份。</w:t>
      </w:r>
    </w:p>
    <w:p w14:paraId="62BFDE43">
      <w:pPr>
        <w:keepNext w:val="0"/>
        <w:keepLines w:val="0"/>
        <w:widowControl/>
        <w:suppressLineNumbers w:val="0"/>
        <w:autoSpaceDE/>
        <w:autoSpaceDN/>
        <w:snapToGrid w:val="0"/>
        <w:spacing w:before="0" w:beforeAutospacing="0" w:after="0" w:afterAutospacing="0" w:line="480" w:lineRule="exact"/>
        <w:ind w:left="0" w:right="0" w:firstLine="480" w:firstLineChars="200"/>
        <w:jc w:val="left"/>
        <w:rPr>
          <w:rFonts w:hint="eastAsia" w:ascii="宋体" w:hAnsi="宋体" w:eastAsia="宋体" w:cs="宋体"/>
          <w:color w:val="auto"/>
          <w:kern w:val="2"/>
          <w:sz w:val="24"/>
          <w:szCs w:val="24"/>
          <w:highlight w:val="none"/>
        </w:rPr>
      </w:pPr>
    </w:p>
    <w:p w14:paraId="6527CC5C">
      <w:pPr>
        <w:spacing w:line="312" w:lineRule="auto"/>
        <w:ind w:firstLine="480"/>
        <w:rPr>
          <w:color w:val="auto"/>
          <w:highlight w:val="none"/>
        </w:rPr>
      </w:pPr>
      <w:r>
        <w:rPr>
          <w:rFonts w:hint="eastAsia" w:ascii="宋体" w:hAnsi="宋体" w:cs="宋体"/>
          <w:color w:val="auto"/>
          <w:highlight w:val="none"/>
        </w:rPr>
        <w:t>签署页，</w:t>
      </w:r>
      <w:r>
        <w:rPr>
          <w:rFonts w:hint="eastAsia" w:ascii="宋体" w:hAnsi="宋体" w:cs="宋体"/>
          <w:color w:val="auto"/>
          <w:highlight w:val="none"/>
          <w:lang w:eastAsia="zh-CN"/>
        </w:rPr>
        <w:t>以下</w:t>
      </w:r>
      <w:r>
        <w:rPr>
          <w:rFonts w:hint="eastAsia" w:ascii="宋体" w:hAnsi="宋体" w:cs="宋体"/>
          <w:color w:val="auto"/>
          <w:highlight w:val="none"/>
        </w:rPr>
        <w:t>无正文：</w:t>
      </w:r>
    </w:p>
    <w:tbl>
      <w:tblPr>
        <w:tblStyle w:val="42"/>
        <w:tblW w:w="84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502"/>
        <w:gridCol w:w="1727"/>
        <w:gridCol w:w="2310"/>
        <w:gridCol w:w="1919"/>
      </w:tblGrid>
      <w:tr w14:paraId="44849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9" w:hRule="atLeast"/>
          <w:jc w:val="center"/>
        </w:trPr>
        <w:tc>
          <w:tcPr>
            <w:tcW w:w="2502" w:type="dxa"/>
            <w:shd w:val="clear" w:color="auto" w:fill="auto"/>
            <w:vAlign w:val="center"/>
          </w:tcPr>
          <w:p w14:paraId="5D453319">
            <w:pPr>
              <w:keepNext w:val="0"/>
              <w:keepLines w:val="0"/>
              <w:widowControl w:val="0"/>
              <w:suppressLineNumbers w:val="0"/>
              <w:spacing w:before="0" w:beforeAutospacing="0" w:after="0" w:afterAutospacing="0" w:line="312" w:lineRule="auto"/>
              <w:ind w:left="0" w:right="0" w:firstLine="0" w:firstLineChars="0"/>
              <w:jc w:val="left"/>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甲方（盖章）：</w:t>
            </w:r>
          </w:p>
        </w:tc>
        <w:tc>
          <w:tcPr>
            <w:tcW w:w="1727" w:type="dxa"/>
            <w:shd w:val="clear" w:color="auto" w:fill="auto"/>
            <w:vAlign w:val="center"/>
          </w:tcPr>
          <w:p w14:paraId="66F225F9">
            <w:pPr>
              <w:keepNext w:val="0"/>
              <w:keepLines w:val="0"/>
              <w:widowControl w:val="0"/>
              <w:suppressLineNumbers w:val="0"/>
              <w:spacing w:before="0" w:beforeAutospacing="0" w:after="0" w:afterAutospacing="0" w:line="312" w:lineRule="auto"/>
              <w:ind w:left="0" w:right="0" w:firstLine="440" w:firstLineChars="200"/>
              <w:jc w:val="left"/>
              <w:rPr>
                <w:rFonts w:hint="eastAsia" w:ascii="宋体" w:hAnsi="宋体" w:eastAsia="宋体" w:cs="宋体"/>
                <w:color w:val="auto"/>
                <w:kern w:val="2"/>
                <w:sz w:val="22"/>
                <w:szCs w:val="22"/>
                <w:highlight w:val="none"/>
              </w:rPr>
            </w:pPr>
          </w:p>
        </w:tc>
        <w:tc>
          <w:tcPr>
            <w:tcW w:w="2310" w:type="dxa"/>
            <w:shd w:val="clear" w:color="auto" w:fill="auto"/>
            <w:vAlign w:val="center"/>
          </w:tcPr>
          <w:p w14:paraId="30E6651C">
            <w:pPr>
              <w:keepNext w:val="0"/>
              <w:keepLines w:val="0"/>
              <w:widowControl w:val="0"/>
              <w:suppressLineNumbers w:val="0"/>
              <w:spacing w:before="0" w:beforeAutospacing="0" w:after="0" w:afterAutospacing="0" w:line="312" w:lineRule="auto"/>
              <w:ind w:left="0" w:right="0" w:firstLine="0" w:firstLineChars="0"/>
              <w:jc w:val="left"/>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乙方（盖章）：</w:t>
            </w:r>
          </w:p>
        </w:tc>
        <w:tc>
          <w:tcPr>
            <w:tcW w:w="1919" w:type="dxa"/>
            <w:shd w:val="clear" w:color="auto" w:fill="auto"/>
            <w:vAlign w:val="top"/>
          </w:tcPr>
          <w:p w14:paraId="7D384741">
            <w:pPr>
              <w:keepNext w:val="0"/>
              <w:keepLines w:val="0"/>
              <w:widowControl w:val="0"/>
              <w:suppressLineNumbers w:val="0"/>
              <w:spacing w:before="0" w:beforeAutospacing="0" w:after="0" w:afterAutospacing="0" w:line="312" w:lineRule="auto"/>
              <w:ind w:left="0" w:right="0" w:firstLine="440" w:firstLineChars="200"/>
              <w:jc w:val="both"/>
              <w:rPr>
                <w:rFonts w:hint="eastAsia" w:ascii="宋体" w:hAnsi="宋体" w:eastAsia="宋体" w:cs="宋体"/>
                <w:color w:val="auto"/>
                <w:kern w:val="2"/>
                <w:sz w:val="22"/>
                <w:szCs w:val="22"/>
                <w:highlight w:val="none"/>
              </w:rPr>
            </w:pPr>
          </w:p>
        </w:tc>
      </w:tr>
      <w:tr w14:paraId="57FD8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2502" w:type="dxa"/>
            <w:shd w:val="clear" w:color="auto" w:fill="auto"/>
            <w:vAlign w:val="center"/>
          </w:tcPr>
          <w:p w14:paraId="4A8C4D25">
            <w:pPr>
              <w:keepNext w:val="0"/>
              <w:keepLines w:val="0"/>
              <w:widowControl w:val="0"/>
              <w:suppressLineNumbers w:val="0"/>
              <w:spacing w:before="0" w:beforeAutospacing="0" w:after="0" w:afterAutospacing="0" w:line="312" w:lineRule="auto"/>
              <w:ind w:left="0" w:right="0" w:firstLine="0" w:firstLineChars="0"/>
              <w:jc w:val="left"/>
              <w:rPr>
                <w:rFonts w:hint="eastAsia" w:ascii="宋体" w:hAnsi="宋体" w:eastAsia="宋体" w:cs="宋体"/>
                <w:color w:val="auto"/>
                <w:kern w:val="2"/>
                <w:sz w:val="22"/>
                <w:szCs w:val="22"/>
                <w:highlight w:val="none"/>
              </w:rPr>
            </w:pPr>
            <w:r>
              <w:rPr>
                <w:rFonts w:hint="eastAsia" w:ascii="宋体" w:hAnsi="宋体" w:cs="宋体"/>
                <w:color w:val="auto"/>
                <w:kern w:val="2"/>
                <w:sz w:val="22"/>
                <w:szCs w:val="22"/>
                <w:highlight w:val="none"/>
                <w:lang w:val="en-US" w:eastAsia="zh-CN" w:bidi="ar"/>
              </w:rPr>
              <w:t>法定代表人（或负责人）</w:t>
            </w:r>
            <w:r>
              <w:rPr>
                <w:rFonts w:hint="eastAsia" w:ascii="宋体" w:hAnsi="宋体" w:eastAsia="宋体" w:cs="宋体"/>
                <w:color w:val="auto"/>
                <w:kern w:val="2"/>
                <w:sz w:val="22"/>
                <w:szCs w:val="22"/>
                <w:highlight w:val="none"/>
                <w:lang w:val="en-US" w:eastAsia="zh-CN" w:bidi="ar"/>
              </w:rPr>
              <w:t>或授权代理人（签字）：</w:t>
            </w:r>
          </w:p>
        </w:tc>
        <w:tc>
          <w:tcPr>
            <w:tcW w:w="1727" w:type="dxa"/>
            <w:shd w:val="clear" w:color="auto" w:fill="auto"/>
            <w:vAlign w:val="center"/>
          </w:tcPr>
          <w:p w14:paraId="6C6EE205">
            <w:pPr>
              <w:keepNext w:val="0"/>
              <w:keepLines w:val="0"/>
              <w:widowControl w:val="0"/>
              <w:suppressLineNumbers w:val="0"/>
              <w:spacing w:before="0" w:beforeAutospacing="0" w:after="0" w:afterAutospacing="0" w:line="312" w:lineRule="auto"/>
              <w:ind w:left="0" w:right="0" w:firstLine="440" w:firstLineChars="200"/>
              <w:jc w:val="left"/>
              <w:rPr>
                <w:rFonts w:hint="eastAsia" w:ascii="宋体" w:hAnsi="宋体" w:eastAsia="宋体" w:cs="宋体"/>
                <w:color w:val="auto"/>
                <w:kern w:val="2"/>
                <w:sz w:val="22"/>
                <w:szCs w:val="22"/>
                <w:highlight w:val="none"/>
              </w:rPr>
            </w:pPr>
          </w:p>
        </w:tc>
        <w:tc>
          <w:tcPr>
            <w:tcW w:w="2310" w:type="dxa"/>
            <w:shd w:val="clear" w:color="auto" w:fill="auto"/>
            <w:vAlign w:val="center"/>
          </w:tcPr>
          <w:p w14:paraId="53C0EFBF">
            <w:pPr>
              <w:keepNext w:val="0"/>
              <w:keepLines w:val="0"/>
              <w:widowControl w:val="0"/>
              <w:suppressLineNumbers w:val="0"/>
              <w:spacing w:before="0" w:beforeAutospacing="0" w:after="0" w:afterAutospacing="0" w:line="312" w:lineRule="auto"/>
              <w:ind w:left="0" w:right="0" w:firstLine="0" w:firstLineChars="0"/>
              <w:jc w:val="left"/>
              <w:rPr>
                <w:rFonts w:hint="eastAsia" w:ascii="宋体" w:hAnsi="宋体" w:eastAsia="宋体" w:cs="宋体"/>
                <w:color w:val="auto"/>
                <w:kern w:val="2"/>
                <w:sz w:val="22"/>
                <w:szCs w:val="22"/>
                <w:highlight w:val="none"/>
              </w:rPr>
            </w:pPr>
            <w:r>
              <w:rPr>
                <w:rFonts w:hint="eastAsia" w:ascii="宋体" w:hAnsi="宋体" w:cs="宋体"/>
                <w:color w:val="auto"/>
                <w:kern w:val="2"/>
                <w:sz w:val="22"/>
                <w:szCs w:val="22"/>
                <w:highlight w:val="none"/>
                <w:lang w:val="en-US" w:eastAsia="zh-CN" w:bidi="ar"/>
              </w:rPr>
              <w:t>法定代表人（或负责人）</w:t>
            </w:r>
            <w:r>
              <w:rPr>
                <w:rFonts w:hint="eastAsia" w:ascii="宋体" w:hAnsi="宋体" w:eastAsia="宋体" w:cs="宋体"/>
                <w:color w:val="auto"/>
                <w:kern w:val="2"/>
                <w:sz w:val="22"/>
                <w:szCs w:val="22"/>
                <w:highlight w:val="none"/>
                <w:lang w:val="en-US" w:eastAsia="zh-CN" w:bidi="ar"/>
              </w:rPr>
              <w:t>或授权代理人（签字）：</w:t>
            </w:r>
          </w:p>
        </w:tc>
        <w:tc>
          <w:tcPr>
            <w:tcW w:w="1919" w:type="dxa"/>
            <w:shd w:val="clear" w:color="auto" w:fill="auto"/>
            <w:vAlign w:val="top"/>
          </w:tcPr>
          <w:p w14:paraId="05958072">
            <w:pPr>
              <w:keepNext w:val="0"/>
              <w:keepLines w:val="0"/>
              <w:widowControl w:val="0"/>
              <w:suppressLineNumbers w:val="0"/>
              <w:spacing w:before="0" w:beforeAutospacing="0" w:after="0" w:afterAutospacing="0" w:line="312" w:lineRule="auto"/>
              <w:ind w:left="0" w:right="0" w:firstLine="440" w:firstLineChars="200"/>
              <w:jc w:val="both"/>
              <w:rPr>
                <w:rFonts w:hint="eastAsia" w:ascii="宋体" w:hAnsi="宋体" w:eastAsia="宋体" w:cs="宋体"/>
                <w:color w:val="auto"/>
                <w:kern w:val="2"/>
                <w:sz w:val="22"/>
                <w:szCs w:val="22"/>
                <w:highlight w:val="none"/>
              </w:rPr>
            </w:pPr>
          </w:p>
        </w:tc>
      </w:tr>
      <w:tr w14:paraId="381CB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9" w:hRule="atLeast"/>
          <w:jc w:val="center"/>
        </w:trPr>
        <w:tc>
          <w:tcPr>
            <w:tcW w:w="2502" w:type="dxa"/>
            <w:shd w:val="clear" w:color="auto" w:fill="auto"/>
            <w:vAlign w:val="center"/>
          </w:tcPr>
          <w:p w14:paraId="4878A26B">
            <w:pPr>
              <w:keepNext w:val="0"/>
              <w:keepLines w:val="0"/>
              <w:widowControl w:val="0"/>
              <w:suppressLineNumbers w:val="0"/>
              <w:spacing w:before="0" w:beforeAutospacing="0" w:after="0" w:afterAutospacing="0" w:line="312" w:lineRule="auto"/>
              <w:ind w:left="0" w:right="0" w:firstLine="0" w:firstLineChars="0"/>
              <w:jc w:val="left"/>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日期：</w:t>
            </w:r>
          </w:p>
        </w:tc>
        <w:tc>
          <w:tcPr>
            <w:tcW w:w="1727" w:type="dxa"/>
            <w:shd w:val="clear" w:color="auto" w:fill="auto"/>
            <w:vAlign w:val="center"/>
          </w:tcPr>
          <w:p w14:paraId="275CF955">
            <w:pPr>
              <w:keepNext w:val="0"/>
              <w:keepLines w:val="0"/>
              <w:widowControl w:val="0"/>
              <w:suppressLineNumbers w:val="0"/>
              <w:spacing w:before="0" w:beforeAutospacing="0" w:after="0" w:afterAutospacing="0" w:line="312" w:lineRule="auto"/>
              <w:ind w:left="0" w:right="0" w:firstLine="440" w:firstLineChars="200"/>
              <w:jc w:val="left"/>
              <w:rPr>
                <w:rFonts w:hint="eastAsia" w:ascii="宋体" w:hAnsi="宋体" w:eastAsia="宋体" w:cs="宋体"/>
                <w:color w:val="auto"/>
                <w:kern w:val="2"/>
                <w:sz w:val="22"/>
                <w:szCs w:val="22"/>
                <w:highlight w:val="none"/>
              </w:rPr>
            </w:pPr>
          </w:p>
        </w:tc>
        <w:tc>
          <w:tcPr>
            <w:tcW w:w="2310" w:type="dxa"/>
            <w:shd w:val="clear" w:color="auto" w:fill="auto"/>
            <w:vAlign w:val="center"/>
          </w:tcPr>
          <w:p w14:paraId="7BC216E9">
            <w:pPr>
              <w:keepNext w:val="0"/>
              <w:keepLines w:val="0"/>
              <w:widowControl w:val="0"/>
              <w:suppressLineNumbers w:val="0"/>
              <w:spacing w:before="0" w:beforeAutospacing="0" w:after="0" w:afterAutospacing="0" w:line="312" w:lineRule="auto"/>
              <w:ind w:left="0" w:right="0" w:firstLine="0" w:firstLineChars="0"/>
              <w:jc w:val="left"/>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日期：</w:t>
            </w:r>
          </w:p>
        </w:tc>
        <w:tc>
          <w:tcPr>
            <w:tcW w:w="1919" w:type="dxa"/>
            <w:shd w:val="clear" w:color="auto" w:fill="auto"/>
            <w:vAlign w:val="top"/>
          </w:tcPr>
          <w:p w14:paraId="242D1FC3">
            <w:pPr>
              <w:keepNext w:val="0"/>
              <w:keepLines w:val="0"/>
              <w:widowControl w:val="0"/>
              <w:suppressLineNumbers w:val="0"/>
              <w:spacing w:before="0" w:beforeAutospacing="0" w:after="0" w:afterAutospacing="0" w:line="312" w:lineRule="auto"/>
              <w:ind w:left="0" w:right="0" w:firstLine="440" w:firstLineChars="200"/>
              <w:jc w:val="both"/>
              <w:rPr>
                <w:rFonts w:hint="eastAsia" w:ascii="宋体" w:hAnsi="宋体" w:eastAsia="宋体" w:cs="宋体"/>
                <w:color w:val="auto"/>
                <w:kern w:val="2"/>
                <w:sz w:val="22"/>
                <w:szCs w:val="22"/>
                <w:highlight w:val="none"/>
              </w:rPr>
            </w:pPr>
          </w:p>
        </w:tc>
      </w:tr>
    </w:tbl>
    <w:p w14:paraId="3916CBD9">
      <w:pPr>
        <w:pStyle w:val="9"/>
        <w:numPr>
          <w:ilvl w:val="0"/>
          <w:numId w:val="0"/>
        </w:numPr>
        <w:spacing w:before="312" w:after="312"/>
        <w:jc w:val="center"/>
        <w:outlineLvl w:val="9"/>
        <w:rPr>
          <w:rFonts w:hint="eastAsia" w:ascii="宋体" w:hAnsi="宋体" w:cs="宋体"/>
          <w:color w:val="auto"/>
          <w:highlight w:val="none"/>
        </w:rPr>
      </w:pPr>
    </w:p>
    <w:p w14:paraId="7A2B5776">
      <w:pPr>
        <w:pStyle w:val="9"/>
        <w:numPr>
          <w:ilvl w:val="0"/>
          <w:numId w:val="0"/>
        </w:numPr>
        <w:spacing w:before="312" w:after="312"/>
        <w:jc w:val="center"/>
        <w:outlineLvl w:val="9"/>
        <w:rPr>
          <w:rFonts w:hint="eastAsia" w:ascii="宋体" w:hAnsi="宋体" w:cs="宋体"/>
          <w:color w:val="auto"/>
          <w:highlight w:val="none"/>
        </w:rPr>
      </w:pPr>
    </w:p>
    <w:p w14:paraId="12498D1A">
      <w:pPr>
        <w:ind w:firstLine="0" w:firstLineChars="0"/>
        <w:rPr>
          <w:rFonts w:hint="eastAsia"/>
          <w:color w:val="auto"/>
          <w:highlight w:val="none"/>
        </w:rPr>
      </w:pPr>
    </w:p>
    <w:p w14:paraId="08FCEDE7">
      <w:pPr>
        <w:pStyle w:val="9"/>
        <w:numPr>
          <w:ilvl w:val="0"/>
          <w:numId w:val="0"/>
        </w:numPr>
        <w:spacing w:before="312" w:after="312"/>
        <w:jc w:val="center"/>
        <w:outlineLvl w:val="9"/>
        <w:rPr>
          <w:rFonts w:hint="eastAsia" w:ascii="宋体" w:hAnsi="宋体" w:cs="宋体"/>
          <w:color w:val="auto"/>
          <w:highlight w:val="none"/>
        </w:rPr>
      </w:pPr>
    </w:p>
    <w:p w14:paraId="7DA8085F">
      <w:pPr>
        <w:rPr>
          <w:rFonts w:hint="eastAsia"/>
          <w:color w:val="auto"/>
          <w:highlight w:val="none"/>
        </w:rPr>
      </w:pPr>
    </w:p>
    <w:p w14:paraId="782DF4B8">
      <w:pPr>
        <w:pStyle w:val="2"/>
        <w:rPr>
          <w:rFonts w:hint="eastAsia"/>
        </w:rPr>
      </w:pPr>
    </w:p>
    <w:p w14:paraId="6174B298">
      <w:pPr>
        <w:pStyle w:val="9"/>
        <w:numPr>
          <w:ilvl w:val="0"/>
          <w:numId w:val="27"/>
        </w:numPr>
        <w:spacing w:before="312" w:after="312"/>
        <w:jc w:val="center"/>
        <w:rPr>
          <w:rFonts w:hint="eastAsia"/>
        </w:rPr>
      </w:pPr>
      <w:bookmarkStart w:id="912" w:name="_Toc10374"/>
      <w:r>
        <w:rPr>
          <w:rFonts w:ascii="宋体" w:hAnsi="宋体" w:cs="宋体"/>
          <w:color w:val="auto"/>
          <w:highlight w:val="none"/>
        </w:rPr>
        <w:t xml:space="preserve"> </w:t>
      </w:r>
      <w:r>
        <w:rPr>
          <w:rFonts w:hint="eastAsia" w:ascii="宋体" w:hAnsi="宋体" w:cs="宋体"/>
          <w:color w:val="auto"/>
          <w:highlight w:val="none"/>
        </w:rPr>
        <w:t>投标文件格式</w:t>
      </w:r>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905"/>
      <w:bookmarkEnd w:id="906"/>
      <w:bookmarkEnd w:id="907"/>
      <w:bookmarkEnd w:id="908"/>
      <w:bookmarkEnd w:id="912"/>
      <w:bookmarkStart w:id="913" w:name="_Toc376"/>
      <w:bookmarkStart w:id="914" w:name="_Toc30554"/>
      <w:bookmarkStart w:id="915" w:name="_Toc11529"/>
      <w:bookmarkStart w:id="916" w:name="_Toc11308"/>
      <w:bookmarkStart w:id="917" w:name="_Toc21306"/>
      <w:bookmarkStart w:id="918" w:name="_Toc11828"/>
      <w:bookmarkStart w:id="919" w:name="_Toc10307"/>
      <w:bookmarkStart w:id="920" w:name="_Toc28611"/>
      <w:bookmarkStart w:id="921" w:name="_Toc4689"/>
      <w:bookmarkStart w:id="922" w:name="_Toc25875"/>
      <w:bookmarkStart w:id="923" w:name="_Toc28518"/>
      <w:bookmarkStart w:id="924" w:name="_Toc12435"/>
      <w:bookmarkStart w:id="925" w:name="_Toc22794"/>
      <w:bookmarkStart w:id="926" w:name="_Toc12354"/>
      <w:bookmarkStart w:id="927" w:name="_Toc24445"/>
      <w:bookmarkStart w:id="928" w:name="_Toc16833"/>
      <w:bookmarkStart w:id="929" w:name="_Toc2846"/>
      <w:bookmarkStart w:id="930" w:name="_Toc200"/>
      <w:bookmarkStart w:id="931" w:name="_Toc12360"/>
      <w:bookmarkStart w:id="932" w:name="_Toc1326"/>
      <w:bookmarkStart w:id="933" w:name="_Toc5538"/>
      <w:bookmarkStart w:id="934" w:name="_Toc7350"/>
      <w:bookmarkStart w:id="935" w:name="_Toc14603"/>
      <w:bookmarkStart w:id="936" w:name="_Toc11509"/>
      <w:bookmarkStart w:id="937" w:name="_Toc29704"/>
      <w:bookmarkStart w:id="938" w:name="_Toc6528"/>
      <w:bookmarkStart w:id="939" w:name="_Toc604"/>
      <w:bookmarkStart w:id="940" w:name="_Toc9524"/>
      <w:bookmarkStart w:id="941" w:name="_Toc23053"/>
      <w:bookmarkStart w:id="942" w:name="_Toc4817"/>
      <w:bookmarkStart w:id="943" w:name="_Toc17238"/>
      <w:bookmarkStart w:id="944" w:name="_Toc10033"/>
      <w:bookmarkStart w:id="945" w:name="_Toc19399"/>
      <w:bookmarkStart w:id="946" w:name="_Toc32303"/>
      <w:bookmarkStart w:id="947" w:name="_Toc29180"/>
      <w:bookmarkStart w:id="948" w:name="_Toc17640"/>
      <w:bookmarkStart w:id="949" w:name="_Toc8049"/>
      <w:bookmarkStart w:id="950" w:name="_Toc17646"/>
      <w:bookmarkStart w:id="951" w:name="_Toc28264"/>
      <w:bookmarkStart w:id="952" w:name="_Toc18270"/>
      <w:bookmarkStart w:id="953" w:name="_Toc12744"/>
      <w:bookmarkStart w:id="954" w:name="_Toc25350"/>
      <w:bookmarkStart w:id="955" w:name="_Toc3853"/>
      <w:bookmarkStart w:id="956" w:name="_Toc9088"/>
      <w:bookmarkStart w:id="957" w:name="_Toc9488"/>
      <w:bookmarkStart w:id="958" w:name="_Toc7501"/>
      <w:bookmarkStart w:id="959" w:name="_Toc7080"/>
      <w:bookmarkStart w:id="960" w:name="_Toc3014"/>
      <w:bookmarkStart w:id="961" w:name="_Toc12327"/>
      <w:bookmarkStart w:id="962" w:name="_Toc25770"/>
      <w:bookmarkStart w:id="963" w:name="_Toc17212"/>
      <w:bookmarkStart w:id="964" w:name="_Toc10659"/>
      <w:bookmarkStart w:id="965" w:name="_Toc8146"/>
      <w:bookmarkStart w:id="966" w:name="_Toc281"/>
      <w:bookmarkStart w:id="967" w:name="_Toc16560"/>
    </w:p>
    <w:p w14:paraId="7900F83C">
      <w:pPr>
        <w:spacing w:line="420" w:lineRule="exact"/>
        <w:ind w:firstLine="0" w:firstLineChars="0"/>
        <w:jc w:val="center"/>
        <w:outlineLvl w:val="1"/>
        <w:rPr>
          <w:rFonts w:ascii="宋体" w:cs="宋体"/>
          <w:b/>
          <w:color w:val="auto"/>
          <w:sz w:val="32"/>
          <w:szCs w:val="32"/>
          <w:highlight w:val="none"/>
        </w:rPr>
      </w:pPr>
      <w:bookmarkStart w:id="968" w:name="_Toc427"/>
      <w:bookmarkStart w:id="969" w:name="_Toc24080"/>
      <w:bookmarkStart w:id="970" w:name="_Toc1126"/>
      <w:bookmarkStart w:id="971" w:name="_Toc2621"/>
      <w:r>
        <w:rPr>
          <w:rFonts w:hint="eastAsia" w:ascii="宋体" w:hAnsi="宋体" w:cs="宋体"/>
          <w:b/>
          <w:color w:val="auto"/>
          <w:sz w:val="32"/>
          <w:szCs w:val="32"/>
          <w:highlight w:val="none"/>
        </w:rPr>
        <w:t>资格审查文件封面格式</w:t>
      </w:r>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68"/>
      <w:bookmarkEnd w:id="969"/>
      <w:bookmarkEnd w:id="970"/>
      <w:bookmarkEnd w:id="971"/>
    </w:p>
    <w:p w14:paraId="565772EB">
      <w:pPr>
        <w:pStyle w:val="25"/>
        <w:spacing w:line="420" w:lineRule="exact"/>
        <w:ind w:left="120" w:leftChars="50" w:firstLine="3855" w:firstLineChars="1200"/>
        <w:jc w:val="left"/>
        <w:rPr>
          <w:rFonts w:ascii="宋体" w:hAnsi="宋体" w:eastAsia="宋体" w:cs="宋体"/>
          <w:color w:val="auto"/>
          <w:sz w:val="32"/>
          <w:highlight w:val="none"/>
        </w:rPr>
      </w:pPr>
    </w:p>
    <w:p w14:paraId="67367B7B">
      <w:pPr>
        <w:spacing w:line="420" w:lineRule="exact"/>
        <w:ind w:left="0" w:leftChars="0" w:firstLine="0" w:firstLineChars="0"/>
        <w:rPr>
          <w:rFonts w:ascii="宋体" w:cs="宋体"/>
          <w:b/>
          <w:color w:val="auto"/>
          <w:sz w:val="44"/>
          <w:szCs w:val="44"/>
          <w:highlight w:val="none"/>
        </w:rPr>
      </w:pPr>
    </w:p>
    <w:p w14:paraId="2B94034E">
      <w:pPr>
        <w:ind w:firstLine="0" w:firstLineChars="0"/>
        <w:rPr>
          <w:color w:val="auto"/>
          <w:highlight w:val="none"/>
        </w:rPr>
      </w:pPr>
    </w:p>
    <w:p w14:paraId="33321119">
      <w:pPr>
        <w:pStyle w:val="9"/>
        <w:numPr>
          <w:ilvl w:val="-1"/>
          <w:numId w:val="0"/>
        </w:numPr>
        <w:ind w:left="0" w:firstLine="0"/>
        <w:jc w:val="center"/>
        <w:rPr>
          <w:rFonts w:hint="eastAsia" w:ascii="宋体" w:hAnsi="宋体" w:eastAsia="宋体" w:cs="宋体"/>
          <w:sz w:val="44"/>
          <w:szCs w:val="44"/>
        </w:rPr>
      </w:pPr>
      <w:bookmarkStart w:id="972" w:name="_Toc6503"/>
      <w:bookmarkStart w:id="973" w:name="_Toc7133"/>
      <w:bookmarkStart w:id="974" w:name="_Toc3356"/>
      <w:bookmarkStart w:id="975" w:name="_Toc1203"/>
      <w:bookmarkStart w:id="976" w:name="_Toc9615"/>
      <w:bookmarkStart w:id="977" w:name="_Toc7385"/>
      <w:bookmarkStart w:id="978" w:name="_Toc3072"/>
      <w:bookmarkStart w:id="979" w:name="_Toc20980"/>
      <w:bookmarkStart w:id="980" w:name="_Toc32671"/>
      <w:bookmarkStart w:id="981" w:name="_Toc14717"/>
      <w:bookmarkStart w:id="982" w:name="_Toc6549"/>
      <w:bookmarkStart w:id="983" w:name="_Toc28094"/>
      <w:bookmarkStart w:id="984" w:name="_Toc25155"/>
      <w:bookmarkStart w:id="985" w:name="_Toc22676"/>
      <w:bookmarkStart w:id="986" w:name="_Toc26767"/>
      <w:bookmarkStart w:id="987" w:name="_Toc18988"/>
      <w:bookmarkStart w:id="988" w:name="_Toc27148"/>
      <w:bookmarkStart w:id="989" w:name="_Toc8823"/>
      <w:bookmarkStart w:id="990" w:name="_Toc763"/>
      <w:bookmarkStart w:id="991" w:name="_Toc3909"/>
      <w:bookmarkStart w:id="992" w:name="_Toc9452"/>
      <w:bookmarkStart w:id="993" w:name="_Toc32422"/>
      <w:bookmarkStart w:id="994" w:name="_Toc28487"/>
      <w:bookmarkStart w:id="995" w:name="_Toc3004"/>
      <w:bookmarkStart w:id="996" w:name="_Toc1119"/>
      <w:bookmarkStart w:id="997" w:name="_Toc12971"/>
      <w:bookmarkStart w:id="998" w:name="_Toc26936"/>
      <w:bookmarkStart w:id="999" w:name="_Toc1679"/>
      <w:bookmarkStart w:id="1000" w:name="_Toc21130"/>
      <w:bookmarkStart w:id="1001" w:name="_Toc10973"/>
      <w:bookmarkStart w:id="1002" w:name="_Toc29862"/>
      <w:bookmarkStart w:id="1003" w:name="_Toc30482"/>
      <w:bookmarkStart w:id="1004" w:name="_Toc20930"/>
      <w:bookmarkStart w:id="1005" w:name="_Toc19225"/>
      <w:bookmarkStart w:id="1006" w:name="_Toc1266"/>
      <w:bookmarkStart w:id="1007" w:name="_Toc23683"/>
      <w:bookmarkStart w:id="1008" w:name="_Toc14388"/>
      <w:bookmarkStart w:id="1009" w:name="_Toc26860"/>
      <w:bookmarkStart w:id="1010" w:name="_Toc17103"/>
      <w:bookmarkStart w:id="1011" w:name="_Toc13778"/>
      <w:r>
        <w:rPr>
          <w:rFonts w:hint="eastAsia" w:ascii="宋体" w:hAnsi="宋体" w:eastAsia="宋体" w:cs="宋体"/>
          <w:sz w:val="44"/>
          <w:szCs w:val="44"/>
          <w:lang w:val="zh-CN"/>
        </w:rPr>
        <w:t>商品砼事业部2025年度装载机维修保养服务采购</w:t>
      </w:r>
    </w:p>
    <w:p w14:paraId="7B2B6CC5">
      <w:pPr>
        <w:spacing w:line="240" w:lineRule="auto"/>
        <w:ind w:firstLine="0" w:firstLineChars="0"/>
        <w:jc w:val="both"/>
        <w:outlineLvl w:val="9"/>
        <w:rPr>
          <w:rFonts w:hint="eastAsia" w:ascii="宋体" w:hAnsi="宋体" w:cs="宋体"/>
          <w:b/>
          <w:bCs/>
          <w:color w:val="auto"/>
          <w:sz w:val="72"/>
          <w:szCs w:val="72"/>
          <w:highlight w:val="none"/>
        </w:rPr>
      </w:pPr>
    </w:p>
    <w:p w14:paraId="276DA3C0">
      <w:pPr>
        <w:pStyle w:val="2"/>
        <w:rPr>
          <w:rFonts w:hint="eastAsia" w:ascii="宋体" w:hAnsi="宋体" w:cs="宋体"/>
          <w:b/>
          <w:bCs/>
          <w:color w:val="auto"/>
          <w:sz w:val="72"/>
          <w:szCs w:val="72"/>
          <w:highlight w:val="none"/>
        </w:rPr>
      </w:pPr>
    </w:p>
    <w:p w14:paraId="5968C110">
      <w:pPr>
        <w:pStyle w:val="3"/>
        <w:rPr>
          <w:rFonts w:hint="eastAsia" w:ascii="宋体" w:hAnsi="宋体" w:cs="宋体"/>
          <w:b/>
          <w:bCs/>
          <w:color w:val="auto"/>
          <w:sz w:val="72"/>
          <w:szCs w:val="72"/>
          <w:highlight w:val="none"/>
        </w:rPr>
      </w:pPr>
    </w:p>
    <w:p w14:paraId="5A5FFD9C">
      <w:pPr>
        <w:pStyle w:val="4"/>
        <w:rPr>
          <w:rFonts w:hint="eastAsia"/>
        </w:rPr>
      </w:pPr>
    </w:p>
    <w:p w14:paraId="7F134DD7">
      <w:pPr>
        <w:spacing w:line="240" w:lineRule="auto"/>
        <w:ind w:firstLine="0" w:firstLineChars="0"/>
        <w:jc w:val="center"/>
        <w:outlineLvl w:val="1"/>
        <w:rPr>
          <w:rFonts w:ascii="宋体" w:hAnsi="宋体" w:cs="宋体"/>
          <w:b/>
          <w:bCs/>
          <w:color w:val="auto"/>
          <w:sz w:val="72"/>
          <w:szCs w:val="72"/>
          <w:highlight w:val="none"/>
        </w:rPr>
      </w:pPr>
      <w:bookmarkStart w:id="1012" w:name="_Toc1736"/>
      <w:r>
        <w:rPr>
          <w:rFonts w:hint="eastAsia" w:ascii="宋体" w:hAnsi="宋体" w:cs="宋体"/>
          <w:b/>
          <w:bCs/>
          <w:color w:val="auto"/>
          <w:sz w:val="72"/>
          <w:szCs w:val="72"/>
          <w:highlight w:val="none"/>
        </w:rPr>
        <w:t>资格审查文件</w:t>
      </w:r>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p>
    <w:p w14:paraId="41C3B955">
      <w:pPr>
        <w:ind w:firstLine="0" w:firstLineChars="0"/>
        <w:rPr>
          <w:rFonts w:ascii="宋体" w:cs="宋体"/>
          <w:color w:val="auto"/>
          <w:highlight w:val="none"/>
        </w:rPr>
      </w:pPr>
    </w:p>
    <w:p w14:paraId="39419570">
      <w:pPr>
        <w:pStyle w:val="2"/>
        <w:ind w:firstLine="0" w:firstLineChars="0"/>
        <w:rPr>
          <w:color w:val="auto"/>
          <w:highlight w:val="none"/>
        </w:rPr>
      </w:pPr>
    </w:p>
    <w:p w14:paraId="491FCB4E">
      <w:pPr>
        <w:ind w:firstLine="0" w:firstLineChars="0"/>
        <w:rPr>
          <w:rFonts w:ascii="宋体" w:cs="宋体"/>
          <w:color w:val="auto"/>
          <w:highlight w:val="none"/>
        </w:rPr>
      </w:pPr>
    </w:p>
    <w:p w14:paraId="432157D5">
      <w:pPr>
        <w:pStyle w:val="2"/>
      </w:pPr>
    </w:p>
    <w:p w14:paraId="75F3D2BD">
      <w:pPr>
        <w:pStyle w:val="2"/>
      </w:pPr>
    </w:p>
    <w:p w14:paraId="2870A4A8">
      <w:pPr>
        <w:pStyle w:val="23"/>
        <w:ind w:left="960" w:hanging="480"/>
        <w:rPr>
          <w:color w:val="auto"/>
          <w:highlight w:val="none"/>
        </w:rPr>
      </w:pPr>
    </w:p>
    <w:p w14:paraId="15A32BF7">
      <w:pPr>
        <w:spacing w:line="360" w:lineRule="auto"/>
        <w:ind w:firstLine="640"/>
        <w:rPr>
          <w:rFonts w:ascii="宋体" w:cs="宋体"/>
          <w:color w:val="auto"/>
          <w:sz w:val="32"/>
          <w:highlight w:val="none"/>
        </w:rPr>
      </w:pPr>
      <w:r>
        <w:rPr>
          <w:rFonts w:hint="eastAsia" w:ascii="宋体" w:hAnsi="宋体" w:cs="宋体"/>
          <w:color w:val="auto"/>
          <w:sz w:val="32"/>
          <w:highlight w:val="none"/>
        </w:rPr>
        <w:t>项目编号：</w:t>
      </w:r>
      <w:r>
        <w:rPr>
          <w:rFonts w:hint="eastAsia" w:ascii="宋体" w:hAnsi="宋体" w:cs="宋体"/>
          <w:color w:val="auto"/>
          <w:sz w:val="32"/>
          <w:highlight w:val="none"/>
          <w:u w:val="single"/>
          <w:lang w:eastAsia="zh-CN"/>
        </w:rPr>
        <w:t>LYCG2025YX-044</w:t>
      </w:r>
      <w:r>
        <w:rPr>
          <w:rFonts w:ascii="宋体" w:hAnsi="宋体" w:cs="宋体"/>
          <w:color w:val="auto"/>
          <w:sz w:val="32"/>
          <w:highlight w:val="none"/>
          <w:u w:val="single"/>
        </w:rPr>
        <w:t xml:space="preserve">                       </w:t>
      </w:r>
    </w:p>
    <w:p w14:paraId="56922EF5">
      <w:pPr>
        <w:spacing w:line="360" w:lineRule="auto"/>
        <w:ind w:firstLine="640"/>
        <w:rPr>
          <w:rFonts w:ascii="宋体" w:cs="宋体"/>
          <w:color w:val="auto"/>
          <w:sz w:val="32"/>
          <w:highlight w:val="none"/>
          <w:u w:val="single"/>
        </w:rPr>
      </w:pPr>
      <w:r>
        <w:rPr>
          <w:rFonts w:hint="eastAsia" w:ascii="宋体" w:hAnsi="宋体" w:cs="宋体"/>
          <w:color w:val="auto"/>
          <w:sz w:val="32"/>
          <w:highlight w:val="none"/>
        </w:rPr>
        <w:t>投</w:t>
      </w:r>
      <w:r>
        <w:rPr>
          <w:rFonts w:ascii="宋体" w:hAnsi="宋体" w:cs="宋体"/>
          <w:color w:val="auto"/>
          <w:sz w:val="32"/>
          <w:highlight w:val="none"/>
        </w:rPr>
        <w:t xml:space="preserve"> </w:t>
      </w:r>
      <w:r>
        <w:rPr>
          <w:rFonts w:hint="eastAsia" w:ascii="宋体" w:hAnsi="宋体" w:cs="宋体"/>
          <w:color w:val="auto"/>
          <w:sz w:val="32"/>
          <w:highlight w:val="none"/>
        </w:rPr>
        <w:t>标</w:t>
      </w:r>
      <w:r>
        <w:rPr>
          <w:rFonts w:ascii="宋体" w:hAnsi="宋体" w:cs="宋体"/>
          <w:color w:val="auto"/>
          <w:sz w:val="32"/>
          <w:highlight w:val="none"/>
        </w:rPr>
        <w:t xml:space="preserve"> </w:t>
      </w:r>
      <w:r>
        <w:rPr>
          <w:rFonts w:hint="eastAsia" w:ascii="宋体" w:hAnsi="宋体" w:cs="宋体"/>
          <w:color w:val="auto"/>
          <w:sz w:val="32"/>
          <w:highlight w:val="none"/>
        </w:rPr>
        <w:t>人：</w:t>
      </w:r>
      <w:r>
        <w:rPr>
          <w:rFonts w:ascii="宋体" w:hAnsi="宋体" w:cs="宋体"/>
          <w:color w:val="auto"/>
          <w:sz w:val="32"/>
          <w:highlight w:val="none"/>
          <w:u w:val="single"/>
        </w:rPr>
        <w:t xml:space="preserve">        </w:t>
      </w:r>
      <w:r>
        <w:rPr>
          <w:rFonts w:hint="eastAsia" w:ascii="宋体" w:hAnsi="宋体" w:cs="宋体"/>
          <w:color w:val="auto"/>
          <w:sz w:val="32"/>
          <w:highlight w:val="none"/>
          <w:u w:val="single"/>
        </w:rPr>
        <w:t>（全称）（加盖公章）</w:t>
      </w:r>
      <w:r>
        <w:rPr>
          <w:rFonts w:ascii="宋体" w:hAnsi="宋体" w:cs="宋体"/>
          <w:color w:val="auto"/>
          <w:sz w:val="32"/>
          <w:highlight w:val="none"/>
          <w:u w:val="single"/>
        </w:rPr>
        <w:t xml:space="preserve">          </w:t>
      </w:r>
    </w:p>
    <w:p w14:paraId="75566F4F">
      <w:pPr>
        <w:spacing w:line="360" w:lineRule="auto"/>
        <w:ind w:firstLine="640"/>
        <w:rPr>
          <w:rFonts w:ascii="宋体" w:cs="宋体"/>
          <w:color w:val="auto"/>
          <w:sz w:val="32"/>
          <w:highlight w:val="none"/>
          <w:u w:val="single"/>
        </w:rPr>
      </w:pPr>
      <w:r>
        <w:rPr>
          <w:rFonts w:hint="eastAsia" w:ascii="宋体" w:hAnsi="宋体" w:cs="宋体"/>
          <w:color w:val="auto"/>
          <w:sz w:val="32"/>
          <w:highlight w:val="none"/>
          <w:lang w:eastAsia="zh-CN"/>
        </w:rPr>
        <w:t>法定代表人（或负责人）</w:t>
      </w:r>
      <w:r>
        <w:rPr>
          <w:rFonts w:hint="eastAsia" w:ascii="宋体" w:hAnsi="宋体" w:cs="宋体"/>
          <w:color w:val="auto"/>
          <w:sz w:val="32"/>
          <w:highlight w:val="none"/>
        </w:rPr>
        <w:t>或授权代表人签字或盖章：</w:t>
      </w:r>
    </w:p>
    <w:p w14:paraId="6D7B20F5">
      <w:pPr>
        <w:spacing w:line="360" w:lineRule="auto"/>
        <w:ind w:firstLine="640"/>
        <w:rPr>
          <w:rFonts w:ascii="宋体" w:cs="宋体"/>
          <w:color w:val="auto"/>
          <w:sz w:val="32"/>
          <w:highlight w:val="none"/>
          <w:u w:val="single"/>
        </w:rPr>
      </w:pPr>
      <w:r>
        <w:rPr>
          <w:rFonts w:hint="eastAsia" w:ascii="宋体" w:hAnsi="宋体" w:cs="宋体"/>
          <w:color w:val="auto"/>
          <w:sz w:val="32"/>
          <w:highlight w:val="none"/>
        </w:rPr>
        <w:t>投标人地址：</w:t>
      </w:r>
    </w:p>
    <w:p w14:paraId="7041CB9A">
      <w:pPr>
        <w:spacing w:line="360" w:lineRule="auto"/>
        <w:ind w:firstLine="0" w:firstLineChars="0"/>
        <w:jc w:val="center"/>
        <w:rPr>
          <w:rFonts w:ascii="宋体" w:hAnsi="宋体" w:cs="宋体"/>
          <w:color w:val="auto"/>
          <w:sz w:val="32"/>
          <w:highlight w:val="none"/>
        </w:rPr>
      </w:pPr>
      <w:r>
        <w:rPr>
          <w:rFonts w:hint="eastAsia" w:ascii="宋体" w:hAnsi="宋体" w:cs="宋体"/>
          <w:color w:val="auto"/>
          <w:sz w:val="32"/>
          <w:highlight w:val="none"/>
          <w:lang w:eastAsia="zh-CN"/>
        </w:rPr>
        <w:t>二  〇 二</w:t>
      </w:r>
      <w:r>
        <w:rPr>
          <w:rFonts w:hint="eastAsia" w:ascii="宋体" w:hAnsi="宋体" w:cs="宋体"/>
          <w:color w:val="auto"/>
          <w:sz w:val="32"/>
          <w:highlight w:val="none"/>
          <w:lang w:val="en-US" w:eastAsia="zh-CN"/>
        </w:rPr>
        <w:t xml:space="preserve"> 五</w:t>
      </w:r>
      <w:r>
        <w:rPr>
          <w:rFonts w:hint="eastAsia" w:ascii="宋体" w:hAnsi="宋体" w:cs="宋体"/>
          <w:color w:val="auto"/>
          <w:sz w:val="32"/>
          <w:highlight w:val="none"/>
        </w:rPr>
        <w:t>年</w:t>
      </w:r>
      <w:r>
        <w:rPr>
          <w:rFonts w:ascii="宋体" w:hAnsi="宋体" w:cs="宋体"/>
          <w:color w:val="auto"/>
          <w:sz w:val="32"/>
          <w:highlight w:val="none"/>
        </w:rPr>
        <w:t xml:space="preserve">    </w:t>
      </w:r>
      <w:r>
        <w:rPr>
          <w:rFonts w:hint="eastAsia" w:ascii="宋体" w:hAnsi="宋体" w:cs="宋体"/>
          <w:color w:val="auto"/>
          <w:sz w:val="32"/>
          <w:highlight w:val="none"/>
        </w:rPr>
        <w:t>月</w:t>
      </w:r>
      <w:r>
        <w:rPr>
          <w:rFonts w:ascii="宋体" w:hAnsi="宋体" w:cs="宋体"/>
          <w:color w:val="auto"/>
          <w:sz w:val="32"/>
          <w:highlight w:val="none"/>
        </w:rPr>
        <w:t xml:space="preserve">    </w:t>
      </w:r>
      <w:r>
        <w:rPr>
          <w:rFonts w:hint="eastAsia" w:ascii="宋体" w:hAnsi="宋体" w:cs="宋体"/>
          <w:color w:val="auto"/>
          <w:sz w:val="32"/>
          <w:highlight w:val="none"/>
        </w:rPr>
        <w:t>日</w:t>
      </w:r>
      <w:bookmarkStart w:id="1013" w:name="_Toc5606"/>
      <w:bookmarkStart w:id="1014" w:name="_Toc5390"/>
      <w:bookmarkStart w:id="1015" w:name="_Toc19203"/>
      <w:bookmarkStart w:id="1016" w:name="_Toc30078"/>
      <w:bookmarkStart w:id="1017" w:name="_Toc8186"/>
      <w:bookmarkStart w:id="1018" w:name="_Toc8060"/>
      <w:bookmarkStart w:id="1019" w:name="_Toc32566"/>
      <w:bookmarkStart w:id="1020" w:name="_Toc32139"/>
      <w:bookmarkStart w:id="1021" w:name="_Toc11131"/>
      <w:bookmarkStart w:id="1022" w:name="_Toc11776"/>
      <w:bookmarkStart w:id="1023" w:name="_Toc7492_WPSOffice_Level1"/>
      <w:bookmarkStart w:id="1024" w:name="_Toc4948_WPSOffice_Level1"/>
      <w:bookmarkStart w:id="1025" w:name="_Toc17940_WPSOffice_Level1"/>
      <w:bookmarkStart w:id="1026" w:name="_Toc17197"/>
      <w:bookmarkStart w:id="1027" w:name="_Toc4899"/>
      <w:bookmarkStart w:id="1028" w:name="_Toc15895"/>
      <w:bookmarkStart w:id="1029" w:name="_Toc29011"/>
      <w:bookmarkStart w:id="1030" w:name="_Toc6738"/>
    </w:p>
    <w:p w14:paraId="0C139267">
      <w:pPr>
        <w:ind w:firstLine="0" w:firstLineChars="0"/>
        <w:jc w:val="left"/>
        <w:outlineLvl w:val="1"/>
        <w:rPr>
          <w:rFonts w:ascii="宋体" w:cs="宋体"/>
          <w:b/>
          <w:bCs/>
          <w:color w:val="auto"/>
          <w:highlight w:val="none"/>
        </w:rPr>
      </w:pPr>
      <w:bookmarkStart w:id="1031" w:name="_Toc13477"/>
      <w:bookmarkStart w:id="1032" w:name="_Toc21837"/>
      <w:bookmarkStart w:id="1033" w:name="_Toc444"/>
      <w:bookmarkStart w:id="1034" w:name="_Toc24981"/>
      <w:bookmarkStart w:id="1035" w:name="_Toc12249"/>
      <w:bookmarkStart w:id="1036" w:name="_Toc9011"/>
      <w:bookmarkStart w:id="1037" w:name="_Toc8370"/>
      <w:bookmarkStart w:id="1038" w:name="_Toc30488"/>
      <w:bookmarkStart w:id="1039" w:name="_Toc10122"/>
      <w:bookmarkStart w:id="1040" w:name="_Toc4371"/>
      <w:bookmarkStart w:id="1041" w:name="_Toc5796"/>
      <w:bookmarkStart w:id="1042" w:name="_Toc7719"/>
      <w:bookmarkStart w:id="1043" w:name="_Toc30313"/>
      <w:bookmarkStart w:id="1044" w:name="_Toc12291"/>
      <w:bookmarkStart w:id="1045" w:name="_Toc8034"/>
      <w:bookmarkStart w:id="1046" w:name="_Toc10995"/>
      <w:bookmarkStart w:id="1047" w:name="_Toc213"/>
      <w:bookmarkStart w:id="1048" w:name="_Toc17255"/>
      <w:bookmarkStart w:id="1049" w:name="_Toc28787"/>
      <w:bookmarkStart w:id="1050" w:name="_Toc7464"/>
      <w:bookmarkStart w:id="1051" w:name="_Toc24235"/>
      <w:bookmarkStart w:id="1052" w:name="_Toc1232"/>
      <w:bookmarkStart w:id="1053" w:name="_Toc20801"/>
      <w:bookmarkStart w:id="1054" w:name="_Toc20500"/>
      <w:bookmarkStart w:id="1055" w:name="_Toc8510"/>
      <w:bookmarkStart w:id="1056" w:name="_Toc12011"/>
      <w:bookmarkStart w:id="1057" w:name="_Toc20081"/>
      <w:bookmarkStart w:id="1058" w:name="_Toc29376"/>
      <w:bookmarkStart w:id="1059" w:name="_Toc20326"/>
      <w:bookmarkStart w:id="1060" w:name="_Toc17387"/>
      <w:r>
        <w:rPr>
          <w:rFonts w:hint="eastAsia" w:ascii="宋体" w:hAnsi="宋体" w:cs="宋体"/>
          <w:b/>
          <w:bCs/>
          <w:color w:val="auto"/>
          <w:highlight w:val="none"/>
        </w:rPr>
        <w:t>附件</w:t>
      </w:r>
      <w:r>
        <w:rPr>
          <w:rFonts w:ascii="宋体" w:hAnsi="宋体" w:cs="宋体"/>
          <w:b/>
          <w:bCs/>
          <w:color w:val="auto"/>
          <w:highlight w:val="none"/>
        </w:rPr>
        <w:t>1</w:t>
      </w:r>
      <w:bookmarkEnd w:id="1013"/>
      <w:bookmarkEnd w:id="1014"/>
      <w:bookmarkEnd w:id="1015"/>
      <w:bookmarkEnd w:id="1016"/>
      <w:bookmarkEnd w:id="1017"/>
      <w:bookmarkEnd w:id="1018"/>
      <w:bookmarkEnd w:id="1019"/>
      <w:bookmarkEnd w:id="1020"/>
      <w:bookmarkEnd w:id="1021"/>
      <w:bookmarkEnd w:id="1022"/>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p>
    <w:p w14:paraId="2CE81B9C">
      <w:pPr>
        <w:ind w:firstLine="0" w:firstLineChars="0"/>
        <w:jc w:val="center"/>
        <w:rPr>
          <w:b/>
          <w:bCs/>
          <w:color w:val="auto"/>
          <w:sz w:val="30"/>
          <w:szCs w:val="30"/>
          <w:highlight w:val="none"/>
          <w:lang w:val="en-GB"/>
        </w:rPr>
      </w:pPr>
      <w:r>
        <w:rPr>
          <w:rFonts w:hint="eastAsia"/>
          <w:b/>
          <w:bCs/>
          <w:color w:val="auto"/>
          <w:sz w:val="30"/>
          <w:szCs w:val="30"/>
          <w:highlight w:val="none"/>
          <w:lang w:val="en-GB"/>
        </w:rPr>
        <w:t>投标人基本情况表</w:t>
      </w:r>
    </w:p>
    <w:tbl>
      <w:tblPr>
        <w:tblStyle w:val="41"/>
        <w:tblW w:w="48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736"/>
        <w:gridCol w:w="1189"/>
        <w:gridCol w:w="1353"/>
        <w:gridCol w:w="742"/>
        <w:gridCol w:w="543"/>
        <w:gridCol w:w="1281"/>
        <w:gridCol w:w="1101"/>
        <w:gridCol w:w="1814"/>
      </w:tblGrid>
      <w:tr w14:paraId="33D8FD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0" w:type="pct"/>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3E4F655C">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r>
              <w:rPr>
                <w:rFonts w:hint="eastAsia"/>
                <w:color w:val="auto"/>
                <w:highlight w:val="none"/>
              </w:rPr>
              <w:t>投标人名称</w:t>
            </w:r>
          </w:p>
        </w:tc>
        <w:tc>
          <w:tcPr>
            <w:tcW w:w="4109" w:type="pct"/>
            <w:gridSpan w:val="7"/>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10534782">
            <w:pPr>
              <w:keepNext w:val="0"/>
              <w:keepLines w:val="0"/>
              <w:suppressLineNumbers w:val="0"/>
              <w:snapToGrid w:val="0"/>
              <w:spacing w:before="0" w:beforeAutospacing="0" w:after="0" w:afterAutospacing="0" w:line="240" w:lineRule="auto"/>
              <w:ind w:left="0" w:right="0" w:firstLine="480"/>
              <w:rPr>
                <w:rFonts w:hint="default"/>
                <w:color w:val="auto"/>
                <w:highlight w:val="none"/>
              </w:rPr>
            </w:pPr>
          </w:p>
        </w:tc>
      </w:tr>
      <w:tr w14:paraId="5F1560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0" w:type="pct"/>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65777E47">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r>
              <w:rPr>
                <w:rFonts w:hint="eastAsia"/>
                <w:color w:val="auto"/>
                <w:highlight w:val="none"/>
              </w:rPr>
              <w:t>注册地址</w:t>
            </w:r>
          </w:p>
        </w:tc>
        <w:tc>
          <w:tcPr>
            <w:tcW w:w="1960" w:type="pct"/>
            <w:gridSpan w:val="4"/>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7E99CCD6">
            <w:pPr>
              <w:keepNext w:val="0"/>
              <w:keepLines w:val="0"/>
              <w:suppressLineNumbers w:val="0"/>
              <w:snapToGrid w:val="0"/>
              <w:spacing w:before="0" w:beforeAutospacing="0" w:after="0" w:afterAutospacing="0" w:line="240" w:lineRule="auto"/>
              <w:ind w:left="0" w:right="0" w:firstLine="480"/>
              <w:rPr>
                <w:rFonts w:hint="default"/>
                <w:color w:val="auto"/>
                <w:highlight w:val="none"/>
              </w:rPr>
            </w:pPr>
          </w:p>
        </w:tc>
        <w:tc>
          <w:tcPr>
            <w:tcW w:w="656" w:type="pct"/>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651704A3">
            <w:pPr>
              <w:keepNext w:val="0"/>
              <w:keepLines w:val="0"/>
              <w:suppressLineNumbers w:val="0"/>
              <w:snapToGrid w:val="0"/>
              <w:spacing w:before="0" w:beforeAutospacing="0" w:after="0" w:afterAutospacing="0" w:line="240" w:lineRule="auto"/>
              <w:ind w:left="0" w:right="0" w:firstLine="0" w:firstLineChars="0"/>
              <w:rPr>
                <w:rFonts w:hint="default"/>
                <w:color w:val="auto"/>
                <w:highlight w:val="none"/>
              </w:rPr>
            </w:pPr>
            <w:r>
              <w:rPr>
                <w:rFonts w:hint="eastAsia"/>
                <w:color w:val="auto"/>
                <w:highlight w:val="none"/>
              </w:rPr>
              <w:t>邮政编码</w:t>
            </w:r>
          </w:p>
        </w:tc>
        <w:tc>
          <w:tcPr>
            <w:tcW w:w="1492" w:type="pct"/>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489D951E">
            <w:pPr>
              <w:keepNext w:val="0"/>
              <w:keepLines w:val="0"/>
              <w:suppressLineNumbers w:val="0"/>
              <w:snapToGrid w:val="0"/>
              <w:spacing w:before="0" w:beforeAutospacing="0" w:after="0" w:afterAutospacing="0" w:line="240" w:lineRule="auto"/>
              <w:ind w:left="0" w:right="0" w:firstLine="480"/>
              <w:rPr>
                <w:rFonts w:hint="default"/>
                <w:color w:val="auto"/>
                <w:highlight w:val="none"/>
              </w:rPr>
            </w:pPr>
          </w:p>
        </w:tc>
      </w:tr>
      <w:tr w14:paraId="4C1001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90" w:type="pct"/>
            <w:vMerge w:val="restart"/>
            <w:tcBorders>
              <w:top w:val="single" w:color="auto" w:sz="4" w:space="0"/>
              <w:left w:val="single" w:color="auto" w:sz="4" w:space="0"/>
              <w:right w:val="single" w:color="auto" w:sz="4" w:space="0"/>
            </w:tcBorders>
            <w:tcMar>
              <w:top w:w="113" w:type="dxa"/>
              <w:left w:w="108" w:type="dxa"/>
              <w:bottom w:w="113" w:type="dxa"/>
              <w:right w:w="108" w:type="dxa"/>
            </w:tcMar>
            <w:vAlign w:val="center"/>
          </w:tcPr>
          <w:p w14:paraId="232ABCB9">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r>
              <w:rPr>
                <w:rFonts w:hint="eastAsia"/>
                <w:color w:val="auto"/>
                <w:highlight w:val="none"/>
              </w:rPr>
              <w:t>联系方式</w:t>
            </w:r>
          </w:p>
        </w:tc>
        <w:tc>
          <w:tcPr>
            <w:tcW w:w="609" w:type="pct"/>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64F1368A">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r>
              <w:rPr>
                <w:rFonts w:hint="eastAsia"/>
                <w:color w:val="auto"/>
                <w:highlight w:val="none"/>
              </w:rPr>
              <w:t>联 系 人</w:t>
            </w:r>
          </w:p>
        </w:tc>
        <w:tc>
          <w:tcPr>
            <w:tcW w:w="1351" w:type="pct"/>
            <w:gridSpan w:val="3"/>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273207C8">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p>
        </w:tc>
        <w:tc>
          <w:tcPr>
            <w:tcW w:w="656" w:type="pct"/>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039C32B3">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r>
              <w:rPr>
                <w:rFonts w:hint="eastAsia"/>
                <w:color w:val="auto"/>
                <w:highlight w:val="none"/>
              </w:rPr>
              <w:t>电    话</w:t>
            </w:r>
          </w:p>
        </w:tc>
        <w:tc>
          <w:tcPr>
            <w:tcW w:w="1492" w:type="pct"/>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00A06FEE">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p>
        </w:tc>
      </w:tr>
      <w:tr w14:paraId="46E85D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90" w:type="pct"/>
            <w:vMerge w:val="continue"/>
            <w:tcBorders>
              <w:left w:val="single" w:color="auto" w:sz="4" w:space="0"/>
              <w:right w:val="single" w:color="auto" w:sz="4" w:space="0"/>
            </w:tcBorders>
            <w:tcMar>
              <w:top w:w="113" w:type="dxa"/>
              <w:left w:w="108" w:type="dxa"/>
              <w:bottom w:w="113" w:type="dxa"/>
              <w:right w:w="108" w:type="dxa"/>
            </w:tcMar>
            <w:vAlign w:val="center"/>
          </w:tcPr>
          <w:p w14:paraId="46132D47">
            <w:pPr>
              <w:keepNext w:val="0"/>
              <w:keepLines w:val="0"/>
              <w:suppressLineNumbers w:val="0"/>
              <w:snapToGrid w:val="0"/>
              <w:spacing w:before="0" w:beforeAutospacing="0" w:after="0" w:afterAutospacing="0" w:line="240" w:lineRule="auto"/>
              <w:ind w:left="0" w:right="0" w:firstLine="480"/>
              <w:jc w:val="left"/>
              <w:rPr>
                <w:rFonts w:hint="default"/>
                <w:color w:val="auto"/>
                <w:highlight w:val="none"/>
              </w:rPr>
            </w:pPr>
          </w:p>
        </w:tc>
        <w:tc>
          <w:tcPr>
            <w:tcW w:w="609" w:type="pct"/>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179FB61E">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r>
              <w:rPr>
                <w:rFonts w:hint="eastAsia"/>
                <w:color w:val="auto"/>
                <w:highlight w:val="none"/>
              </w:rPr>
              <w:t>传    真</w:t>
            </w:r>
          </w:p>
        </w:tc>
        <w:tc>
          <w:tcPr>
            <w:tcW w:w="1351" w:type="pct"/>
            <w:gridSpan w:val="3"/>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15B5FB20">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p>
        </w:tc>
        <w:tc>
          <w:tcPr>
            <w:tcW w:w="656" w:type="pct"/>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053B8811">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r>
              <w:rPr>
                <w:rFonts w:hint="eastAsia"/>
                <w:color w:val="auto"/>
                <w:highlight w:val="none"/>
              </w:rPr>
              <w:t>移动电话</w:t>
            </w:r>
          </w:p>
        </w:tc>
        <w:tc>
          <w:tcPr>
            <w:tcW w:w="1492" w:type="pct"/>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0AC8D736">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p>
        </w:tc>
      </w:tr>
      <w:tr w14:paraId="1D6C29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90" w:type="pct"/>
            <w:vMerge w:val="continue"/>
            <w:tcBorders>
              <w:left w:val="single" w:color="auto" w:sz="4" w:space="0"/>
              <w:bottom w:val="single" w:color="auto" w:sz="4" w:space="0"/>
              <w:right w:val="single" w:color="auto" w:sz="4" w:space="0"/>
            </w:tcBorders>
            <w:tcMar>
              <w:top w:w="113" w:type="dxa"/>
              <w:left w:w="108" w:type="dxa"/>
              <w:bottom w:w="113" w:type="dxa"/>
              <w:right w:w="108" w:type="dxa"/>
            </w:tcMar>
            <w:vAlign w:val="center"/>
          </w:tcPr>
          <w:p w14:paraId="5DC7B1EB">
            <w:pPr>
              <w:keepNext w:val="0"/>
              <w:keepLines w:val="0"/>
              <w:suppressLineNumbers w:val="0"/>
              <w:snapToGrid w:val="0"/>
              <w:spacing w:before="0" w:beforeAutospacing="0" w:after="0" w:afterAutospacing="0" w:line="240" w:lineRule="auto"/>
              <w:ind w:left="0" w:right="0" w:firstLine="480"/>
              <w:jc w:val="left"/>
              <w:rPr>
                <w:rFonts w:hint="default"/>
                <w:color w:val="auto"/>
                <w:highlight w:val="none"/>
              </w:rPr>
            </w:pPr>
          </w:p>
        </w:tc>
        <w:tc>
          <w:tcPr>
            <w:tcW w:w="609" w:type="pct"/>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75576452">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r>
              <w:rPr>
                <w:rFonts w:hint="eastAsia"/>
                <w:color w:val="auto"/>
                <w:highlight w:val="none"/>
              </w:rPr>
              <w:t>电子邮箱</w:t>
            </w:r>
          </w:p>
        </w:tc>
        <w:tc>
          <w:tcPr>
            <w:tcW w:w="1351" w:type="pct"/>
            <w:gridSpan w:val="3"/>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7A70D2FC">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p>
        </w:tc>
        <w:tc>
          <w:tcPr>
            <w:tcW w:w="656" w:type="pct"/>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632EFDA4">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r>
              <w:rPr>
                <w:rFonts w:hint="eastAsia"/>
                <w:color w:val="auto"/>
                <w:highlight w:val="none"/>
              </w:rPr>
              <w:t>网    址</w:t>
            </w:r>
          </w:p>
        </w:tc>
        <w:tc>
          <w:tcPr>
            <w:tcW w:w="1492" w:type="pct"/>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057FD7F8">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p>
        </w:tc>
      </w:tr>
      <w:tr w14:paraId="37AAF7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0" w:type="pct"/>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56D9E667">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r>
              <w:rPr>
                <w:rFonts w:hint="eastAsia"/>
                <w:color w:val="auto"/>
                <w:highlight w:val="none"/>
              </w:rPr>
              <w:t>组织结构</w:t>
            </w:r>
          </w:p>
        </w:tc>
        <w:tc>
          <w:tcPr>
            <w:tcW w:w="4109" w:type="pct"/>
            <w:gridSpan w:val="7"/>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54DF08A2">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p>
        </w:tc>
      </w:tr>
      <w:tr w14:paraId="2A2EE8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0" w:type="pct"/>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678E134F">
            <w:pPr>
              <w:keepNext w:val="0"/>
              <w:keepLines w:val="0"/>
              <w:suppressLineNumbers w:val="0"/>
              <w:snapToGrid w:val="0"/>
              <w:spacing w:before="0" w:beforeAutospacing="0" w:after="0" w:afterAutospacing="0" w:line="240" w:lineRule="auto"/>
              <w:ind w:left="0" w:right="0" w:firstLine="0" w:firstLineChars="0"/>
              <w:jc w:val="left"/>
              <w:rPr>
                <w:rFonts w:hint="default" w:eastAsia="宋体"/>
                <w:color w:val="auto"/>
                <w:highlight w:val="none"/>
                <w:lang w:val="en-US" w:eastAsia="zh-CN"/>
              </w:rPr>
            </w:pPr>
            <w:r>
              <w:rPr>
                <w:rFonts w:hint="eastAsia"/>
                <w:color w:val="auto"/>
                <w:highlight w:val="none"/>
                <w:lang w:eastAsia="zh-CN"/>
              </w:rPr>
              <w:t>法定代表人（或负责人）</w:t>
            </w:r>
          </w:p>
        </w:tc>
        <w:tc>
          <w:tcPr>
            <w:tcW w:w="609" w:type="pct"/>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736998C2">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r>
              <w:rPr>
                <w:rFonts w:hint="eastAsia"/>
                <w:color w:val="auto"/>
                <w:highlight w:val="none"/>
              </w:rPr>
              <w:t>姓    名</w:t>
            </w:r>
          </w:p>
        </w:tc>
        <w:tc>
          <w:tcPr>
            <w:tcW w:w="692" w:type="pct"/>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7FB29656">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p>
        </w:tc>
        <w:tc>
          <w:tcPr>
            <w:tcW w:w="658" w:type="pct"/>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4E68D3FB">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r>
              <w:rPr>
                <w:rFonts w:hint="eastAsia"/>
                <w:color w:val="auto"/>
                <w:highlight w:val="none"/>
              </w:rPr>
              <w:t>技术职称</w:t>
            </w:r>
          </w:p>
        </w:tc>
        <w:tc>
          <w:tcPr>
            <w:tcW w:w="656" w:type="pct"/>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0013CDDB">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p>
        </w:tc>
        <w:tc>
          <w:tcPr>
            <w:tcW w:w="564" w:type="pct"/>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0F3F7747">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r>
              <w:rPr>
                <w:rFonts w:hint="eastAsia"/>
                <w:color w:val="auto"/>
                <w:highlight w:val="none"/>
              </w:rPr>
              <w:t>电   话</w:t>
            </w:r>
          </w:p>
        </w:tc>
        <w:tc>
          <w:tcPr>
            <w:tcW w:w="928" w:type="pct"/>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2912C2FB">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p>
        </w:tc>
      </w:tr>
      <w:tr w14:paraId="68394E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0" w:type="pct"/>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3A51A1A9">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r>
              <w:rPr>
                <w:rFonts w:hint="eastAsia"/>
                <w:color w:val="auto"/>
                <w:highlight w:val="none"/>
              </w:rPr>
              <w:t>技术负责人</w:t>
            </w:r>
          </w:p>
        </w:tc>
        <w:tc>
          <w:tcPr>
            <w:tcW w:w="609" w:type="pct"/>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3CF882B1">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r>
              <w:rPr>
                <w:rFonts w:hint="eastAsia"/>
                <w:color w:val="auto"/>
                <w:highlight w:val="none"/>
              </w:rPr>
              <w:t>姓    名</w:t>
            </w:r>
          </w:p>
        </w:tc>
        <w:tc>
          <w:tcPr>
            <w:tcW w:w="692" w:type="pct"/>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1329158D">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p>
        </w:tc>
        <w:tc>
          <w:tcPr>
            <w:tcW w:w="658" w:type="pct"/>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61A7473F">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r>
              <w:rPr>
                <w:rFonts w:hint="eastAsia"/>
                <w:color w:val="auto"/>
                <w:highlight w:val="none"/>
              </w:rPr>
              <w:t>技术职称</w:t>
            </w:r>
          </w:p>
        </w:tc>
        <w:tc>
          <w:tcPr>
            <w:tcW w:w="656" w:type="pct"/>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47EB94D4">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p>
        </w:tc>
        <w:tc>
          <w:tcPr>
            <w:tcW w:w="564" w:type="pct"/>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23287C45">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r>
              <w:rPr>
                <w:rFonts w:hint="eastAsia"/>
                <w:color w:val="auto"/>
                <w:highlight w:val="none"/>
              </w:rPr>
              <w:t>电   话</w:t>
            </w:r>
          </w:p>
        </w:tc>
        <w:tc>
          <w:tcPr>
            <w:tcW w:w="928" w:type="pct"/>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72676A7C">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p>
        </w:tc>
      </w:tr>
      <w:tr w14:paraId="25D096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0" w:type="pct"/>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72EEDFAF">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r>
              <w:rPr>
                <w:rFonts w:hint="eastAsia"/>
                <w:color w:val="auto"/>
                <w:highlight w:val="none"/>
              </w:rPr>
              <w:t>成立时间</w:t>
            </w:r>
          </w:p>
        </w:tc>
        <w:tc>
          <w:tcPr>
            <w:tcW w:w="1302" w:type="pct"/>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5B50422C">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p>
        </w:tc>
        <w:tc>
          <w:tcPr>
            <w:tcW w:w="2806" w:type="pct"/>
            <w:gridSpan w:val="5"/>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30FA9BE0">
            <w:pPr>
              <w:keepNext w:val="0"/>
              <w:keepLines w:val="0"/>
              <w:suppressLineNumbers w:val="0"/>
              <w:snapToGrid w:val="0"/>
              <w:spacing w:before="0" w:beforeAutospacing="0" w:after="0" w:afterAutospacing="0" w:line="240" w:lineRule="auto"/>
              <w:ind w:left="0" w:right="0" w:firstLine="480"/>
              <w:jc w:val="left"/>
              <w:rPr>
                <w:rFonts w:hint="default"/>
                <w:color w:val="auto"/>
                <w:highlight w:val="none"/>
              </w:rPr>
            </w:pPr>
            <w:r>
              <w:rPr>
                <w:rFonts w:hint="eastAsia"/>
                <w:color w:val="auto"/>
                <w:highlight w:val="none"/>
              </w:rPr>
              <w:t>员工总人数：</w:t>
            </w:r>
          </w:p>
        </w:tc>
      </w:tr>
      <w:tr w14:paraId="49F2E3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90" w:type="pct"/>
            <w:vMerge w:val="restart"/>
            <w:tcBorders>
              <w:top w:val="single" w:color="auto" w:sz="4" w:space="0"/>
              <w:left w:val="single" w:color="auto" w:sz="4" w:space="0"/>
              <w:right w:val="single" w:color="auto" w:sz="4" w:space="0"/>
            </w:tcBorders>
            <w:tcMar>
              <w:top w:w="113" w:type="dxa"/>
              <w:left w:w="108" w:type="dxa"/>
              <w:bottom w:w="113" w:type="dxa"/>
              <w:right w:w="108" w:type="dxa"/>
            </w:tcMar>
            <w:vAlign w:val="center"/>
          </w:tcPr>
          <w:p w14:paraId="2E87B804">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r>
              <w:rPr>
                <w:rFonts w:hint="eastAsia"/>
                <w:color w:val="auto"/>
                <w:highlight w:val="none"/>
              </w:rPr>
              <w:t>统一社会信用代码</w:t>
            </w:r>
          </w:p>
        </w:tc>
        <w:tc>
          <w:tcPr>
            <w:tcW w:w="1302" w:type="pct"/>
            <w:gridSpan w:val="2"/>
            <w:vMerge w:val="restart"/>
            <w:tcBorders>
              <w:top w:val="single" w:color="auto" w:sz="4" w:space="0"/>
              <w:left w:val="single" w:color="auto" w:sz="4" w:space="0"/>
              <w:right w:val="single" w:color="auto" w:sz="4" w:space="0"/>
            </w:tcBorders>
            <w:tcMar>
              <w:top w:w="113" w:type="dxa"/>
              <w:left w:w="108" w:type="dxa"/>
              <w:bottom w:w="113" w:type="dxa"/>
              <w:right w:w="108" w:type="dxa"/>
            </w:tcMar>
            <w:vAlign w:val="center"/>
          </w:tcPr>
          <w:p w14:paraId="6442608D">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p>
        </w:tc>
        <w:tc>
          <w:tcPr>
            <w:tcW w:w="380" w:type="pct"/>
            <w:vMerge w:val="restart"/>
            <w:tcBorders>
              <w:top w:val="single" w:color="auto" w:sz="4" w:space="0"/>
              <w:left w:val="single" w:color="auto" w:sz="4" w:space="0"/>
              <w:right w:val="single" w:color="auto" w:sz="4" w:space="0"/>
            </w:tcBorders>
            <w:tcMar>
              <w:top w:w="113" w:type="dxa"/>
              <w:left w:w="108" w:type="dxa"/>
              <w:bottom w:w="113" w:type="dxa"/>
              <w:right w:w="108" w:type="dxa"/>
            </w:tcMar>
            <w:textDirection w:val="tbRlV"/>
            <w:vAlign w:val="center"/>
          </w:tcPr>
          <w:p w14:paraId="1805B850">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r>
              <w:rPr>
                <w:rFonts w:hint="eastAsia"/>
                <w:color w:val="auto"/>
                <w:highlight w:val="none"/>
              </w:rPr>
              <w:t>其中</w:t>
            </w:r>
          </w:p>
        </w:tc>
        <w:tc>
          <w:tcPr>
            <w:tcW w:w="934" w:type="pct"/>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57386655">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r>
              <w:rPr>
                <w:rFonts w:hint="eastAsia"/>
                <w:color w:val="auto"/>
                <w:highlight w:val="none"/>
              </w:rPr>
              <w:t>注册职业资格</w:t>
            </w:r>
          </w:p>
        </w:tc>
        <w:tc>
          <w:tcPr>
            <w:tcW w:w="1492" w:type="pct"/>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2BE4B263">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p>
        </w:tc>
      </w:tr>
      <w:tr w14:paraId="0851F3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90" w:type="pct"/>
            <w:vMerge w:val="continue"/>
            <w:tcBorders>
              <w:left w:val="single" w:color="auto" w:sz="4" w:space="0"/>
              <w:bottom w:val="single" w:color="auto" w:sz="4" w:space="0"/>
              <w:right w:val="single" w:color="auto" w:sz="4" w:space="0"/>
            </w:tcBorders>
            <w:tcMar>
              <w:top w:w="113" w:type="dxa"/>
              <w:left w:w="108" w:type="dxa"/>
              <w:bottom w:w="113" w:type="dxa"/>
              <w:right w:w="108" w:type="dxa"/>
            </w:tcMar>
            <w:vAlign w:val="center"/>
          </w:tcPr>
          <w:p w14:paraId="139834F3">
            <w:pPr>
              <w:keepNext w:val="0"/>
              <w:keepLines w:val="0"/>
              <w:suppressLineNumbers w:val="0"/>
              <w:snapToGrid w:val="0"/>
              <w:spacing w:before="0" w:beforeAutospacing="0" w:after="0" w:afterAutospacing="0" w:line="240" w:lineRule="auto"/>
              <w:ind w:left="0" w:right="0" w:firstLine="480"/>
              <w:jc w:val="left"/>
              <w:rPr>
                <w:rFonts w:hint="default"/>
                <w:color w:val="auto"/>
                <w:highlight w:val="none"/>
              </w:rPr>
            </w:pPr>
          </w:p>
        </w:tc>
        <w:tc>
          <w:tcPr>
            <w:tcW w:w="1302" w:type="pct"/>
            <w:gridSpan w:val="2"/>
            <w:vMerge w:val="continue"/>
            <w:tcBorders>
              <w:left w:val="single" w:color="auto" w:sz="4" w:space="0"/>
              <w:bottom w:val="single" w:color="auto" w:sz="4" w:space="0"/>
              <w:right w:val="single" w:color="auto" w:sz="4" w:space="0"/>
            </w:tcBorders>
            <w:tcMar>
              <w:top w:w="113" w:type="dxa"/>
              <w:left w:w="108" w:type="dxa"/>
              <w:bottom w:w="113" w:type="dxa"/>
              <w:right w:w="108" w:type="dxa"/>
            </w:tcMar>
            <w:vAlign w:val="center"/>
          </w:tcPr>
          <w:p w14:paraId="0AA557C7">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p>
        </w:tc>
        <w:tc>
          <w:tcPr>
            <w:tcW w:w="380" w:type="pct"/>
            <w:vMerge w:val="continue"/>
            <w:tcBorders>
              <w:left w:val="single" w:color="auto" w:sz="4" w:space="0"/>
              <w:right w:val="single" w:color="auto" w:sz="4" w:space="0"/>
            </w:tcBorders>
            <w:tcMar>
              <w:top w:w="113" w:type="dxa"/>
              <w:left w:w="108" w:type="dxa"/>
              <w:bottom w:w="113" w:type="dxa"/>
              <w:right w:w="108" w:type="dxa"/>
            </w:tcMar>
            <w:vAlign w:val="center"/>
          </w:tcPr>
          <w:p w14:paraId="468E1DFC">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p>
        </w:tc>
        <w:tc>
          <w:tcPr>
            <w:tcW w:w="934" w:type="pct"/>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388E66EA">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r>
              <w:rPr>
                <w:rFonts w:hint="eastAsia"/>
                <w:color w:val="auto"/>
                <w:highlight w:val="none"/>
              </w:rPr>
              <w:t>高级职称</w:t>
            </w:r>
          </w:p>
        </w:tc>
        <w:tc>
          <w:tcPr>
            <w:tcW w:w="1492" w:type="pct"/>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72EDE0A2">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p>
        </w:tc>
      </w:tr>
      <w:tr w14:paraId="61EFFA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90" w:type="pct"/>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2AD2F7F1">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r>
              <w:rPr>
                <w:rFonts w:hint="eastAsia"/>
                <w:color w:val="auto"/>
                <w:highlight w:val="none"/>
              </w:rPr>
              <w:t>注册资本</w:t>
            </w:r>
          </w:p>
        </w:tc>
        <w:tc>
          <w:tcPr>
            <w:tcW w:w="1302" w:type="pct"/>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78B67D44">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p>
        </w:tc>
        <w:tc>
          <w:tcPr>
            <w:tcW w:w="380" w:type="pct"/>
            <w:vMerge w:val="continue"/>
            <w:tcBorders>
              <w:left w:val="single" w:color="auto" w:sz="4" w:space="0"/>
              <w:right w:val="single" w:color="auto" w:sz="4" w:space="0"/>
            </w:tcBorders>
            <w:tcMar>
              <w:top w:w="113" w:type="dxa"/>
              <w:left w:w="108" w:type="dxa"/>
              <w:bottom w:w="113" w:type="dxa"/>
              <w:right w:w="108" w:type="dxa"/>
            </w:tcMar>
            <w:vAlign w:val="center"/>
          </w:tcPr>
          <w:p w14:paraId="6832FBF9">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p>
        </w:tc>
        <w:tc>
          <w:tcPr>
            <w:tcW w:w="934" w:type="pct"/>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75FDDFBF">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r>
              <w:rPr>
                <w:rFonts w:hint="eastAsia"/>
                <w:color w:val="auto"/>
                <w:highlight w:val="none"/>
              </w:rPr>
              <w:t>中级职称</w:t>
            </w:r>
          </w:p>
        </w:tc>
        <w:tc>
          <w:tcPr>
            <w:tcW w:w="1492" w:type="pct"/>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1A6021D6">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p>
        </w:tc>
      </w:tr>
      <w:tr w14:paraId="698A3E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90" w:type="pct"/>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06E3625D">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r>
              <w:rPr>
                <w:rFonts w:hint="eastAsia"/>
                <w:color w:val="auto"/>
                <w:highlight w:val="none"/>
              </w:rPr>
              <w:t>开户银行</w:t>
            </w:r>
          </w:p>
        </w:tc>
        <w:tc>
          <w:tcPr>
            <w:tcW w:w="1302" w:type="pct"/>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1F466742">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p>
        </w:tc>
        <w:tc>
          <w:tcPr>
            <w:tcW w:w="380" w:type="pct"/>
            <w:vMerge w:val="continue"/>
            <w:tcBorders>
              <w:left w:val="single" w:color="auto" w:sz="4" w:space="0"/>
              <w:right w:val="single" w:color="auto" w:sz="4" w:space="0"/>
            </w:tcBorders>
            <w:tcMar>
              <w:top w:w="113" w:type="dxa"/>
              <w:left w:w="108" w:type="dxa"/>
              <w:bottom w:w="113" w:type="dxa"/>
              <w:right w:w="108" w:type="dxa"/>
            </w:tcMar>
            <w:vAlign w:val="center"/>
          </w:tcPr>
          <w:p w14:paraId="45DC6391">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p>
        </w:tc>
        <w:tc>
          <w:tcPr>
            <w:tcW w:w="934" w:type="pct"/>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523DC873">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r>
              <w:rPr>
                <w:rFonts w:hint="eastAsia"/>
                <w:color w:val="auto"/>
                <w:highlight w:val="none"/>
              </w:rPr>
              <w:t>初级职称</w:t>
            </w:r>
          </w:p>
        </w:tc>
        <w:tc>
          <w:tcPr>
            <w:tcW w:w="1492" w:type="pct"/>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536EB5CF">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p>
        </w:tc>
      </w:tr>
      <w:tr w14:paraId="755712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90" w:type="pct"/>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7DCFB491">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r>
              <w:rPr>
                <w:rFonts w:hint="eastAsia"/>
                <w:color w:val="auto"/>
                <w:highlight w:val="none"/>
              </w:rPr>
              <w:t>账    号</w:t>
            </w:r>
          </w:p>
        </w:tc>
        <w:tc>
          <w:tcPr>
            <w:tcW w:w="1302" w:type="pct"/>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682018C6">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p>
        </w:tc>
        <w:tc>
          <w:tcPr>
            <w:tcW w:w="380" w:type="pct"/>
            <w:vMerge w:val="continue"/>
            <w:tcBorders>
              <w:left w:val="single" w:color="auto" w:sz="4" w:space="0"/>
              <w:bottom w:val="single" w:color="auto" w:sz="4" w:space="0"/>
              <w:right w:val="single" w:color="auto" w:sz="4" w:space="0"/>
            </w:tcBorders>
            <w:tcMar>
              <w:top w:w="113" w:type="dxa"/>
              <w:left w:w="108" w:type="dxa"/>
              <w:bottom w:w="113" w:type="dxa"/>
              <w:right w:w="108" w:type="dxa"/>
            </w:tcMar>
            <w:vAlign w:val="center"/>
          </w:tcPr>
          <w:p w14:paraId="262FFF09">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p>
        </w:tc>
        <w:tc>
          <w:tcPr>
            <w:tcW w:w="934" w:type="pct"/>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4D438AAF">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r>
              <w:rPr>
                <w:rFonts w:hint="eastAsia"/>
                <w:color w:val="auto"/>
                <w:highlight w:val="none"/>
              </w:rPr>
              <w:t>其    他</w:t>
            </w:r>
          </w:p>
        </w:tc>
        <w:tc>
          <w:tcPr>
            <w:tcW w:w="1492" w:type="pct"/>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1B50D2A6">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p>
        </w:tc>
      </w:tr>
      <w:tr w14:paraId="2C0A38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6" w:hRule="atLeast"/>
          <w:jc w:val="center"/>
        </w:trPr>
        <w:tc>
          <w:tcPr>
            <w:tcW w:w="890" w:type="pct"/>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5434F3D4">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r>
              <w:rPr>
                <w:rFonts w:hint="eastAsia"/>
                <w:color w:val="auto"/>
                <w:highlight w:val="none"/>
              </w:rPr>
              <w:t>经营范围</w:t>
            </w:r>
          </w:p>
        </w:tc>
        <w:tc>
          <w:tcPr>
            <w:tcW w:w="4109" w:type="pct"/>
            <w:gridSpan w:val="7"/>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346EF200">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p>
          <w:p w14:paraId="01EF100A">
            <w:pPr>
              <w:keepNext w:val="0"/>
              <w:keepLines w:val="0"/>
              <w:suppressLineNumbers w:val="0"/>
              <w:snapToGrid w:val="0"/>
              <w:spacing w:before="0" w:beforeAutospacing="0" w:after="0" w:afterAutospacing="0" w:line="240" w:lineRule="auto"/>
              <w:ind w:left="0" w:right="0" w:firstLine="480"/>
              <w:jc w:val="left"/>
              <w:rPr>
                <w:rFonts w:hint="default"/>
                <w:color w:val="auto"/>
                <w:highlight w:val="none"/>
              </w:rPr>
            </w:pPr>
          </w:p>
          <w:p w14:paraId="26630D23">
            <w:pPr>
              <w:keepNext w:val="0"/>
              <w:keepLines w:val="0"/>
              <w:suppressLineNumbers w:val="0"/>
              <w:snapToGrid w:val="0"/>
              <w:spacing w:before="0" w:beforeAutospacing="0" w:after="0" w:afterAutospacing="0" w:line="240" w:lineRule="auto"/>
              <w:ind w:left="0" w:right="0" w:firstLine="0" w:firstLineChars="0"/>
              <w:jc w:val="left"/>
              <w:rPr>
                <w:rFonts w:hint="default"/>
                <w:color w:val="auto"/>
                <w:highlight w:val="none"/>
              </w:rPr>
            </w:pPr>
          </w:p>
        </w:tc>
      </w:tr>
    </w:tbl>
    <w:p w14:paraId="2BE016A8">
      <w:pPr>
        <w:ind w:firstLine="0" w:firstLineChars="0"/>
        <w:jc w:val="center"/>
        <w:rPr>
          <w:b/>
          <w:bCs/>
          <w:color w:val="auto"/>
          <w:sz w:val="30"/>
          <w:szCs w:val="30"/>
          <w:highlight w:val="none"/>
        </w:rPr>
      </w:pPr>
    </w:p>
    <w:p w14:paraId="4AA83E2B">
      <w:pPr>
        <w:ind w:firstLine="4320" w:firstLineChars="1800"/>
        <w:rPr>
          <w:color w:val="auto"/>
          <w:highlight w:val="none"/>
        </w:rPr>
      </w:pPr>
      <w:r>
        <w:rPr>
          <w:rFonts w:hint="eastAsia"/>
          <w:color w:val="auto"/>
          <w:highlight w:val="none"/>
        </w:rPr>
        <w:t>投标人全称（盖章）：</w:t>
      </w:r>
      <w:r>
        <w:rPr>
          <w:color w:val="auto"/>
          <w:highlight w:val="none"/>
        </w:rPr>
        <w:t xml:space="preserve">                         </w:t>
      </w:r>
    </w:p>
    <w:p w14:paraId="13D16FF1">
      <w:pPr>
        <w:ind w:firstLine="4320" w:firstLineChars="1800"/>
        <w:rPr>
          <w:color w:val="auto"/>
          <w:highlight w:val="none"/>
        </w:rPr>
      </w:pPr>
      <w:r>
        <w:rPr>
          <w:rFonts w:hint="eastAsia"/>
          <w:color w:val="auto"/>
          <w:highlight w:val="none"/>
          <w:lang w:eastAsia="zh-CN"/>
        </w:rPr>
        <w:t>法定代表人（或负责人）</w:t>
      </w:r>
      <w:r>
        <w:rPr>
          <w:rFonts w:hint="eastAsia"/>
          <w:color w:val="auto"/>
          <w:highlight w:val="none"/>
        </w:rPr>
        <w:t>或授权代理人（签字或盖章）：</w:t>
      </w:r>
    </w:p>
    <w:p w14:paraId="05942FB5">
      <w:pPr>
        <w:ind w:firstLine="4320" w:firstLineChars="1800"/>
        <w:rPr>
          <w:color w:val="auto"/>
          <w:highlight w:val="none"/>
        </w:rPr>
      </w:pPr>
      <w:r>
        <w:rPr>
          <w:rFonts w:hint="eastAsia"/>
          <w:color w:val="auto"/>
          <w:highlight w:val="none"/>
        </w:rPr>
        <w:t>日期：</w:t>
      </w:r>
      <w:r>
        <w:rPr>
          <w:rFonts w:hint="eastAsia" w:ascii="宋体" w:hAnsi="宋体" w:cs="宋体"/>
          <w:color w:val="auto"/>
          <w:highlight w:val="none"/>
          <w:lang w:eastAsia="zh-CN"/>
        </w:rPr>
        <w:t>2025年</w:t>
      </w:r>
      <w:r>
        <w:rPr>
          <w:color w:val="auto"/>
          <w:highlight w:val="none"/>
        </w:rPr>
        <w:t xml:space="preserve">   </w:t>
      </w:r>
      <w:r>
        <w:rPr>
          <w:rFonts w:hint="eastAsia"/>
          <w:color w:val="auto"/>
          <w:highlight w:val="none"/>
        </w:rPr>
        <w:t>月</w:t>
      </w:r>
      <w:r>
        <w:rPr>
          <w:color w:val="auto"/>
          <w:highlight w:val="none"/>
        </w:rPr>
        <w:t xml:space="preserve">   </w:t>
      </w:r>
      <w:r>
        <w:rPr>
          <w:rFonts w:hint="eastAsia"/>
          <w:color w:val="auto"/>
          <w:highlight w:val="none"/>
        </w:rPr>
        <w:t>日</w:t>
      </w:r>
    </w:p>
    <w:p w14:paraId="41DE1585">
      <w:pPr>
        <w:ind w:firstLine="0" w:firstLineChars="0"/>
        <w:jc w:val="left"/>
        <w:rPr>
          <w:rFonts w:ascii="宋体" w:hAnsi="宋体" w:cs="宋体"/>
          <w:b/>
          <w:bCs/>
          <w:color w:val="auto"/>
          <w:highlight w:val="none"/>
        </w:rPr>
      </w:pPr>
      <w:bookmarkStart w:id="1061" w:name="_Toc28692"/>
      <w:bookmarkStart w:id="1062" w:name="_Toc6689"/>
      <w:bookmarkStart w:id="1063" w:name="_Toc54"/>
      <w:bookmarkStart w:id="1064" w:name="_Toc7082"/>
      <w:bookmarkStart w:id="1065" w:name="_Toc24787"/>
      <w:bookmarkStart w:id="1066" w:name="_Toc11875"/>
      <w:bookmarkStart w:id="1067" w:name="_Toc11920"/>
      <w:bookmarkStart w:id="1068" w:name="_Toc28874"/>
      <w:bookmarkStart w:id="1069" w:name="_Toc32311"/>
      <w:bookmarkStart w:id="1070" w:name="_Toc675"/>
      <w:bookmarkStart w:id="1071" w:name="_Toc18350"/>
      <w:bookmarkStart w:id="1072" w:name="_Toc2533"/>
      <w:bookmarkStart w:id="1073" w:name="_Toc11824"/>
      <w:bookmarkStart w:id="1074" w:name="_Toc2572"/>
      <w:bookmarkStart w:id="1075" w:name="_Toc27191"/>
      <w:bookmarkStart w:id="1076" w:name="_Toc14816"/>
      <w:bookmarkStart w:id="1077" w:name="_Toc24391"/>
      <w:bookmarkStart w:id="1078" w:name="_Toc13190"/>
      <w:bookmarkStart w:id="1079" w:name="_Toc11280"/>
    </w:p>
    <w:p w14:paraId="1FD3E63A">
      <w:pPr>
        <w:ind w:firstLine="0" w:firstLineChars="0"/>
        <w:jc w:val="left"/>
        <w:rPr>
          <w:rFonts w:ascii="宋体" w:hAnsi="宋体" w:cs="宋体"/>
          <w:b/>
          <w:bCs/>
          <w:color w:val="auto"/>
          <w:highlight w:val="none"/>
        </w:rPr>
      </w:pPr>
    </w:p>
    <w:p w14:paraId="2705CE67">
      <w:pPr>
        <w:ind w:firstLine="0" w:firstLineChars="0"/>
        <w:jc w:val="left"/>
        <w:rPr>
          <w:rFonts w:ascii="宋体" w:hAnsi="宋体" w:cs="宋体"/>
          <w:b/>
          <w:bCs/>
          <w:color w:val="auto"/>
          <w:highlight w:val="none"/>
        </w:rPr>
      </w:pPr>
      <w:bookmarkStart w:id="1080" w:name="_Toc32586"/>
    </w:p>
    <w:p w14:paraId="3FAF13EC">
      <w:pPr>
        <w:ind w:firstLine="0" w:firstLineChars="0"/>
        <w:jc w:val="left"/>
        <w:outlineLvl w:val="1"/>
        <w:rPr>
          <w:rFonts w:ascii="宋体" w:hAnsi="宋体" w:cs="宋体"/>
          <w:b/>
          <w:bCs/>
          <w:color w:val="auto"/>
          <w:sz w:val="30"/>
          <w:szCs w:val="30"/>
          <w:highlight w:val="none"/>
        </w:rPr>
      </w:pPr>
      <w:bookmarkStart w:id="1081" w:name="_Toc14915"/>
      <w:bookmarkStart w:id="1082" w:name="_Toc29986"/>
      <w:bookmarkStart w:id="1083" w:name="_Toc8652"/>
      <w:bookmarkStart w:id="1084" w:name="_Toc16143"/>
      <w:bookmarkStart w:id="1085" w:name="_Toc30544"/>
      <w:bookmarkStart w:id="1086" w:name="_Toc26663"/>
      <w:bookmarkStart w:id="1087" w:name="_Toc25367"/>
      <w:bookmarkStart w:id="1088" w:name="_Toc32574"/>
      <w:r>
        <w:rPr>
          <w:rFonts w:hint="eastAsia" w:ascii="宋体" w:hAnsi="宋体" w:cs="宋体"/>
          <w:b/>
          <w:bCs/>
          <w:color w:val="auto"/>
          <w:highlight w:val="none"/>
        </w:rPr>
        <w:t>附件2</w:t>
      </w:r>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p>
    <w:p w14:paraId="42DF0967">
      <w:pPr>
        <w:ind w:firstLine="0" w:firstLineChars="0"/>
        <w:jc w:val="center"/>
        <w:rPr>
          <w:b/>
          <w:bCs/>
          <w:color w:val="auto"/>
          <w:sz w:val="30"/>
          <w:szCs w:val="30"/>
          <w:highlight w:val="none"/>
          <w:lang w:val="en-GB"/>
        </w:rPr>
      </w:pPr>
      <w:bookmarkStart w:id="1089" w:name="_Toc22805"/>
      <w:bookmarkStart w:id="1090" w:name="_Toc30725"/>
      <w:r>
        <w:rPr>
          <w:rFonts w:hint="eastAsia"/>
          <w:b/>
          <w:bCs/>
          <w:color w:val="auto"/>
          <w:sz w:val="30"/>
          <w:szCs w:val="30"/>
          <w:highlight w:val="none"/>
          <w:lang w:val="en-GB"/>
        </w:rPr>
        <w:t>符合参加国企采购活动应当具备的一般条件的承诺函</w:t>
      </w:r>
      <w:bookmarkEnd w:id="1089"/>
      <w:bookmarkEnd w:id="1090"/>
    </w:p>
    <w:p w14:paraId="321824AB">
      <w:pPr>
        <w:spacing w:line="360" w:lineRule="auto"/>
        <w:ind w:firstLine="480"/>
        <w:rPr>
          <w:rFonts w:ascii="宋体" w:hAnsi="宋体" w:cs="宋体"/>
          <w:color w:val="auto"/>
          <w:highlight w:val="none"/>
        </w:rPr>
      </w:pPr>
      <w:r>
        <w:rPr>
          <w:rFonts w:hint="eastAsia" w:ascii="宋体" w:hAnsi="宋体" w:cs="宋体"/>
          <w:color w:val="auto"/>
          <w:highlight w:val="none"/>
        </w:rPr>
        <w:t>致：</w:t>
      </w:r>
      <w:r>
        <w:rPr>
          <w:rFonts w:hint="eastAsia" w:ascii="宋体" w:hAnsi="宋体" w:cs="宋体"/>
          <w:color w:val="auto"/>
          <w:highlight w:val="none"/>
          <w:u w:val="single"/>
        </w:rPr>
        <w:t>（采购人）</w:t>
      </w:r>
      <w:r>
        <w:rPr>
          <w:rFonts w:hint="eastAsia" w:ascii="宋体" w:hAnsi="宋体" w:cs="宋体"/>
          <w:color w:val="auto"/>
          <w:highlight w:val="none"/>
        </w:rPr>
        <w:t>：</w:t>
      </w:r>
    </w:p>
    <w:p w14:paraId="7197C919">
      <w:pPr>
        <w:pStyle w:val="36"/>
        <w:spacing w:line="360" w:lineRule="auto"/>
        <w:ind w:firstLine="480"/>
        <w:rPr>
          <w:color w:val="auto"/>
          <w:highlight w:val="none"/>
        </w:rPr>
      </w:pPr>
      <w:r>
        <w:rPr>
          <w:color w:val="auto"/>
          <w:highlight w:val="none"/>
        </w:rPr>
        <w:t>我方参加</w:t>
      </w:r>
      <w:r>
        <w:rPr>
          <w:color w:val="auto"/>
          <w:highlight w:val="none"/>
          <w:u w:val="single"/>
        </w:rPr>
        <w:t>项目</w:t>
      </w:r>
      <w:r>
        <w:rPr>
          <w:rFonts w:hint="eastAsia"/>
          <w:color w:val="auto"/>
          <w:highlight w:val="none"/>
          <w:u w:val="single"/>
        </w:rPr>
        <w:t>名称</w:t>
      </w:r>
      <w:r>
        <w:rPr>
          <w:color w:val="auto"/>
          <w:highlight w:val="none"/>
          <w:u w:val="single"/>
        </w:rPr>
        <w:t>（项目编号)</w:t>
      </w:r>
      <w:r>
        <w:rPr>
          <w:rFonts w:hint="eastAsia"/>
          <w:color w:val="auto"/>
          <w:highlight w:val="none"/>
        </w:rPr>
        <w:t>国企</w:t>
      </w:r>
      <w:r>
        <w:rPr>
          <w:color w:val="auto"/>
          <w:highlight w:val="none"/>
        </w:rPr>
        <w:t>采购活动，郑重承诺：</w:t>
      </w:r>
    </w:p>
    <w:p w14:paraId="516A15FD">
      <w:pPr>
        <w:adjustRightInd w:val="0"/>
        <w:snapToGrid w:val="0"/>
        <w:spacing w:line="312" w:lineRule="auto"/>
        <w:ind w:firstLine="480"/>
        <w:rPr>
          <w:rFonts w:ascii="宋体" w:hAnsi="宋体" w:cs="宋体"/>
          <w:color w:val="auto"/>
          <w:highlight w:val="none"/>
        </w:rPr>
      </w:pPr>
      <w:bookmarkStart w:id="1091" w:name="_Toc21843"/>
      <w:bookmarkStart w:id="1092" w:name="_Toc1454"/>
      <w:bookmarkStart w:id="1093" w:name="_Toc16964"/>
      <w:bookmarkStart w:id="1094" w:name="_Toc3787"/>
      <w:bookmarkStart w:id="1095" w:name="_Toc21344"/>
      <w:bookmarkStart w:id="1096" w:name="_Toc29987"/>
      <w:bookmarkStart w:id="1097" w:name="_Toc1616"/>
      <w:bookmarkStart w:id="1098" w:name="_Toc3339"/>
      <w:bookmarkStart w:id="1099" w:name="_Toc12442"/>
      <w:bookmarkStart w:id="1100" w:name="_Toc3835"/>
      <w:r>
        <w:rPr>
          <w:rFonts w:hint="eastAsia" w:ascii="宋体" w:hAnsi="宋体" w:cs="宋体"/>
          <w:color w:val="auto"/>
          <w:highlight w:val="none"/>
        </w:rPr>
        <w:t>一、</w:t>
      </w:r>
      <w:r>
        <w:rPr>
          <w:rFonts w:hint="eastAsia" w:ascii="宋体" w:hAnsi="宋体" w:cs="宋体"/>
          <w:color w:val="auto"/>
          <w:lang w:eastAsia="zh-CN"/>
        </w:rPr>
        <w:t>满足《龙游县国有企业采购管理办法》（龙政办发〔2021〕58号）第十二条规定</w:t>
      </w:r>
      <w:r>
        <w:rPr>
          <w:rFonts w:hint="eastAsia" w:ascii="宋体" w:hAnsi="宋体" w:cs="宋体"/>
          <w:color w:val="auto"/>
          <w:lang w:val="en-US" w:eastAsia="zh-CN"/>
        </w:rPr>
        <w:t>的</w:t>
      </w:r>
      <w:r>
        <w:rPr>
          <w:rFonts w:hint="eastAsia" w:ascii="宋体" w:hAnsi="宋体" w:cs="宋体"/>
          <w:color w:val="auto"/>
          <w:highlight w:val="none"/>
        </w:rPr>
        <w:t>条件：</w:t>
      </w:r>
      <w:bookmarkEnd w:id="1091"/>
      <w:bookmarkEnd w:id="1092"/>
      <w:bookmarkEnd w:id="1093"/>
      <w:bookmarkEnd w:id="1094"/>
      <w:bookmarkEnd w:id="1095"/>
      <w:bookmarkEnd w:id="1096"/>
      <w:bookmarkEnd w:id="1097"/>
      <w:bookmarkEnd w:id="1098"/>
      <w:bookmarkEnd w:id="1099"/>
      <w:bookmarkEnd w:id="1100"/>
    </w:p>
    <w:p w14:paraId="1127B32F">
      <w:pPr>
        <w:pStyle w:val="36"/>
        <w:spacing w:line="360" w:lineRule="auto"/>
        <w:ind w:firstLine="480"/>
        <w:rPr>
          <w:rFonts w:ascii="宋体" w:hAnsi="宋体" w:cs="宋体"/>
          <w:color w:val="auto"/>
          <w:highlight w:val="none"/>
        </w:rPr>
      </w:pPr>
      <w:r>
        <w:rPr>
          <w:rFonts w:hint="eastAsia" w:ascii="宋体" w:hAnsi="宋体" w:cs="宋体"/>
          <w:color w:val="auto"/>
          <w:highlight w:val="none"/>
        </w:rPr>
        <w:t>1.具有独立承担民事责任的能力；</w:t>
      </w:r>
    </w:p>
    <w:p w14:paraId="6DF5C6EB">
      <w:pPr>
        <w:pStyle w:val="36"/>
        <w:spacing w:line="360" w:lineRule="auto"/>
        <w:ind w:firstLine="480"/>
        <w:rPr>
          <w:rFonts w:ascii="宋体" w:hAnsi="宋体" w:cs="宋体"/>
          <w:color w:val="auto"/>
          <w:highlight w:val="none"/>
        </w:rPr>
      </w:pPr>
      <w:r>
        <w:rPr>
          <w:rFonts w:hint="eastAsia" w:ascii="宋体" w:hAnsi="宋体" w:cs="宋体"/>
          <w:color w:val="auto"/>
          <w:highlight w:val="none"/>
        </w:rPr>
        <w:t>2.具有良好的商业信誉和健全的财务会计制度；</w:t>
      </w:r>
    </w:p>
    <w:p w14:paraId="2D4BACA6">
      <w:pPr>
        <w:pStyle w:val="36"/>
        <w:spacing w:line="360" w:lineRule="auto"/>
        <w:ind w:firstLine="480"/>
        <w:rPr>
          <w:rFonts w:ascii="宋体" w:hAnsi="宋体" w:cs="宋体"/>
          <w:color w:val="auto"/>
          <w:highlight w:val="none"/>
        </w:rPr>
      </w:pPr>
      <w:r>
        <w:rPr>
          <w:rFonts w:hint="eastAsia" w:ascii="宋体" w:hAnsi="宋体" w:cs="宋体"/>
          <w:color w:val="auto"/>
          <w:highlight w:val="none"/>
        </w:rPr>
        <w:t>3.具有履行合同所必需的设备和专业技术能力；</w:t>
      </w:r>
    </w:p>
    <w:p w14:paraId="5B870028">
      <w:pPr>
        <w:pStyle w:val="36"/>
        <w:spacing w:line="360" w:lineRule="auto"/>
        <w:ind w:firstLine="480"/>
        <w:rPr>
          <w:rFonts w:ascii="宋体" w:hAnsi="宋体" w:cs="宋体"/>
          <w:color w:val="auto"/>
          <w:highlight w:val="none"/>
        </w:rPr>
      </w:pPr>
      <w:r>
        <w:rPr>
          <w:rFonts w:hint="eastAsia" w:ascii="宋体" w:hAnsi="宋体" w:cs="宋体"/>
          <w:color w:val="auto"/>
          <w:highlight w:val="none"/>
        </w:rPr>
        <w:t>4.有依法缴纳税收和社会保障资金的良好记录；</w:t>
      </w:r>
    </w:p>
    <w:p w14:paraId="6CC51BED">
      <w:pPr>
        <w:pStyle w:val="36"/>
        <w:spacing w:line="360" w:lineRule="auto"/>
        <w:ind w:firstLine="480"/>
        <w:rPr>
          <w:rFonts w:ascii="宋体" w:hAnsi="宋体" w:cs="宋体"/>
          <w:color w:val="auto"/>
          <w:highlight w:val="none"/>
        </w:rPr>
      </w:pPr>
      <w:r>
        <w:rPr>
          <w:rFonts w:hint="eastAsia" w:ascii="宋体" w:hAnsi="宋体" w:cs="宋体"/>
          <w:color w:val="auto"/>
          <w:highlight w:val="none"/>
        </w:rPr>
        <w:t>5.参加国企采购活动前三年内，在经营活动中没有重大违法记录；</w:t>
      </w:r>
    </w:p>
    <w:p w14:paraId="64A65A1B">
      <w:pPr>
        <w:pStyle w:val="36"/>
        <w:spacing w:line="360" w:lineRule="auto"/>
        <w:ind w:firstLine="480"/>
        <w:rPr>
          <w:rFonts w:ascii="宋体" w:hAnsi="宋体" w:cs="宋体"/>
          <w:color w:val="auto"/>
          <w:highlight w:val="none"/>
        </w:rPr>
      </w:pPr>
      <w:r>
        <w:rPr>
          <w:rFonts w:hint="eastAsia" w:ascii="宋体" w:hAnsi="宋体" w:cs="宋体"/>
          <w:color w:val="auto"/>
          <w:highlight w:val="none"/>
        </w:rPr>
        <w:t>6.具有法律、行政法规规定的其他条件。</w:t>
      </w:r>
    </w:p>
    <w:p w14:paraId="351C4EBE">
      <w:pPr>
        <w:adjustRightInd w:val="0"/>
        <w:snapToGrid w:val="0"/>
        <w:spacing w:line="312" w:lineRule="auto"/>
        <w:ind w:firstLine="480"/>
        <w:rPr>
          <w:rFonts w:ascii="宋体" w:hAnsi="宋体" w:cs="宋体"/>
          <w:color w:val="auto"/>
          <w:highlight w:val="none"/>
        </w:rPr>
      </w:pPr>
      <w:r>
        <w:rPr>
          <w:rFonts w:hint="eastAsia" w:ascii="宋体" w:hAnsi="宋体" w:cs="宋体"/>
          <w:color w:val="auto"/>
          <w:highlight w:val="none"/>
        </w:rPr>
        <w:t>二、未被“信用中国”（www.creditchina.gov.cn)、中国政府采购网（www.ccgp.gov.cn）列入失信被执行人、重大税收违法案件当事人名单、政府采购严重违法失信行为记录名单。</w:t>
      </w:r>
    </w:p>
    <w:p w14:paraId="156FCF8E">
      <w:pPr>
        <w:pStyle w:val="36"/>
        <w:spacing w:line="360" w:lineRule="auto"/>
        <w:ind w:firstLine="480"/>
        <w:outlineLvl w:val="1"/>
        <w:rPr>
          <w:rFonts w:ascii="宋体" w:hAnsi="宋体" w:cs="宋体"/>
          <w:color w:val="auto"/>
          <w:highlight w:val="none"/>
        </w:rPr>
      </w:pPr>
      <w:bookmarkStart w:id="1101" w:name="_Toc25332"/>
      <w:bookmarkStart w:id="1102" w:name="_Toc7014"/>
      <w:bookmarkStart w:id="1103" w:name="_Toc5539"/>
      <w:bookmarkStart w:id="1104" w:name="_Toc5546"/>
      <w:bookmarkStart w:id="1105" w:name="_Toc7212"/>
      <w:bookmarkStart w:id="1106" w:name="_Toc23111"/>
      <w:bookmarkStart w:id="1107" w:name="_Toc372"/>
      <w:bookmarkStart w:id="1108" w:name="_Toc26374"/>
      <w:bookmarkStart w:id="1109" w:name="_Toc17242"/>
      <w:bookmarkStart w:id="1110" w:name="_Toc24871"/>
      <w:r>
        <w:rPr>
          <w:rFonts w:hint="eastAsia" w:ascii="宋体" w:hAnsi="宋体" w:cs="宋体"/>
          <w:color w:val="auto"/>
          <w:highlight w:val="none"/>
        </w:rPr>
        <w:t>三、没有下列情形：</w:t>
      </w:r>
      <w:bookmarkEnd w:id="1101"/>
      <w:bookmarkEnd w:id="1102"/>
      <w:bookmarkEnd w:id="1103"/>
      <w:bookmarkEnd w:id="1104"/>
      <w:bookmarkEnd w:id="1105"/>
      <w:bookmarkEnd w:id="1106"/>
      <w:bookmarkEnd w:id="1107"/>
      <w:bookmarkEnd w:id="1108"/>
      <w:bookmarkEnd w:id="1109"/>
      <w:bookmarkEnd w:id="1110"/>
    </w:p>
    <w:p w14:paraId="5E3669B2">
      <w:pPr>
        <w:pStyle w:val="36"/>
        <w:spacing w:line="360" w:lineRule="auto"/>
        <w:ind w:firstLine="480"/>
        <w:rPr>
          <w:rFonts w:ascii="宋体" w:hAnsi="宋体" w:cs="宋体"/>
          <w:color w:val="auto"/>
          <w:highlight w:val="none"/>
        </w:rPr>
      </w:pPr>
      <w:r>
        <w:rPr>
          <w:rFonts w:hint="eastAsia" w:ascii="宋体" w:hAnsi="宋体" w:cs="宋体"/>
          <w:color w:val="auto"/>
          <w:highlight w:val="none"/>
        </w:rPr>
        <w:t>单位负责人为同一人或者存在直接控股、管理关系的不同投标人参加同一合同项下的国企采购活动的；</w:t>
      </w:r>
    </w:p>
    <w:p w14:paraId="7BF4CE57">
      <w:pPr>
        <w:pStyle w:val="36"/>
        <w:spacing w:line="360" w:lineRule="auto"/>
        <w:ind w:firstLine="480"/>
        <w:rPr>
          <w:rFonts w:ascii="宋体" w:hAnsi="宋体" w:cs="宋体"/>
          <w:color w:val="auto"/>
          <w:highlight w:val="none"/>
        </w:rPr>
      </w:pPr>
    </w:p>
    <w:p w14:paraId="17408EB4">
      <w:pPr>
        <w:pStyle w:val="36"/>
        <w:spacing w:line="360" w:lineRule="auto"/>
        <w:ind w:firstLine="480"/>
        <w:rPr>
          <w:rFonts w:hAnsi="宋体"/>
          <w:color w:val="auto"/>
          <w:sz w:val="28"/>
          <w:szCs w:val="28"/>
          <w:highlight w:val="none"/>
        </w:rPr>
      </w:pPr>
      <w:r>
        <w:rPr>
          <w:rFonts w:hint="eastAsia" w:ascii="宋体" w:hAnsi="宋体" w:cs="宋体"/>
          <w:color w:val="auto"/>
          <w:highlight w:val="none"/>
        </w:rPr>
        <w:t>我方对上述承诺的内</w:t>
      </w:r>
      <w:r>
        <w:rPr>
          <w:rFonts w:hint="eastAsia" w:ascii="宋体" w:hAnsi="宋体" w:cs="宋体"/>
          <w:color w:val="auto"/>
          <w:highlight w:val="none"/>
          <w:lang w:eastAsia="zh-CN"/>
        </w:rPr>
        <w:t>容和</w:t>
      </w:r>
      <w:r>
        <w:rPr>
          <w:rFonts w:hint="eastAsia" w:ascii="宋体" w:hAnsi="宋体" w:cs="宋体"/>
          <w:color w:val="auto"/>
          <w:highlight w:val="none"/>
        </w:rPr>
        <w:t>事项真实性负责，如有虚假，由我方承担相关法律责任。</w:t>
      </w:r>
    </w:p>
    <w:p w14:paraId="5DCCB066">
      <w:pPr>
        <w:ind w:firstLine="4320" w:firstLineChars="1800"/>
        <w:rPr>
          <w:color w:val="auto"/>
          <w:highlight w:val="none"/>
        </w:rPr>
      </w:pPr>
    </w:p>
    <w:p w14:paraId="22AA7A5A">
      <w:pPr>
        <w:ind w:firstLine="4320" w:firstLineChars="1800"/>
        <w:rPr>
          <w:color w:val="auto"/>
          <w:highlight w:val="none"/>
        </w:rPr>
      </w:pPr>
      <w:r>
        <w:rPr>
          <w:rFonts w:hint="eastAsia"/>
          <w:color w:val="auto"/>
          <w:highlight w:val="none"/>
        </w:rPr>
        <w:t>投标人全称（盖章）：</w:t>
      </w:r>
      <w:r>
        <w:rPr>
          <w:color w:val="auto"/>
          <w:highlight w:val="none"/>
        </w:rPr>
        <w:t xml:space="preserve">                         </w:t>
      </w:r>
    </w:p>
    <w:p w14:paraId="2915FA1E">
      <w:pPr>
        <w:ind w:firstLine="4320" w:firstLineChars="1800"/>
        <w:rPr>
          <w:color w:val="auto"/>
          <w:highlight w:val="none"/>
        </w:rPr>
      </w:pPr>
      <w:r>
        <w:rPr>
          <w:rFonts w:hint="eastAsia"/>
          <w:color w:val="auto"/>
          <w:highlight w:val="none"/>
          <w:lang w:eastAsia="zh-CN"/>
        </w:rPr>
        <w:t>法定代表人（或负责人）</w:t>
      </w:r>
      <w:r>
        <w:rPr>
          <w:rFonts w:hint="eastAsia"/>
          <w:color w:val="auto"/>
          <w:highlight w:val="none"/>
        </w:rPr>
        <w:t>或授权代理人（签字或盖章）：</w:t>
      </w:r>
    </w:p>
    <w:p w14:paraId="12C66250">
      <w:pPr>
        <w:ind w:firstLine="4320" w:firstLineChars="1800"/>
        <w:rPr>
          <w:color w:val="auto"/>
          <w:highlight w:val="none"/>
        </w:rPr>
      </w:pPr>
      <w:r>
        <w:rPr>
          <w:rFonts w:hint="eastAsia"/>
          <w:color w:val="auto"/>
          <w:highlight w:val="none"/>
        </w:rPr>
        <w:t>日期：</w:t>
      </w:r>
      <w:r>
        <w:rPr>
          <w:rFonts w:hint="eastAsia" w:ascii="宋体" w:hAnsi="宋体" w:cs="宋体"/>
          <w:color w:val="auto"/>
          <w:highlight w:val="none"/>
          <w:lang w:eastAsia="zh-CN"/>
        </w:rPr>
        <w:t>2025年</w:t>
      </w:r>
      <w:r>
        <w:rPr>
          <w:color w:val="auto"/>
          <w:highlight w:val="none"/>
        </w:rPr>
        <w:t xml:space="preserve">   </w:t>
      </w:r>
      <w:r>
        <w:rPr>
          <w:rFonts w:hint="eastAsia"/>
          <w:color w:val="auto"/>
          <w:highlight w:val="none"/>
        </w:rPr>
        <w:t>月</w:t>
      </w:r>
      <w:r>
        <w:rPr>
          <w:color w:val="auto"/>
          <w:highlight w:val="none"/>
        </w:rPr>
        <w:t xml:space="preserve">   </w:t>
      </w:r>
      <w:r>
        <w:rPr>
          <w:rFonts w:hint="eastAsia"/>
          <w:color w:val="auto"/>
          <w:highlight w:val="none"/>
        </w:rPr>
        <w:t>日</w:t>
      </w:r>
    </w:p>
    <w:p w14:paraId="495E1AF2">
      <w:pPr>
        <w:ind w:firstLine="0" w:firstLineChars="0"/>
        <w:jc w:val="center"/>
        <w:rPr>
          <w:b/>
          <w:bCs/>
          <w:color w:val="auto"/>
          <w:sz w:val="30"/>
          <w:szCs w:val="30"/>
          <w:highlight w:val="none"/>
        </w:rPr>
      </w:pPr>
    </w:p>
    <w:p w14:paraId="19492CF7">
      <w:pPr>
        <w:pStyle w:val="23"/>
        <w:ind w:left="1082" w:hanging="602"/>
        <w:rPr>
          <w:b/>
          <w:bCs/>
          <w:color w:val="auto"/>
          <w:sz w:val="30"/>
          <w:szCs w:val="30"/>
          <w:highlight w:val="none"/>
        </w:rPr>
      </w:pPr>
    </w:p>
    <w:p w14:paraId="6CEC80CE">
      <w:pPr>
        <w:pStyle w:val="23"/>
        <w:ind w:left="1082" w:hanging="602"/>
        <w:rPr>
          <w:b/>
          <w:bCs/>
          <w:color w:val="auto"/>
          <w:sz w:val="30"/>
          <w:szCs w:val="30"/>
          <w:highlight w:val="none"/>
        </w:rPr>
      </w:pPr>
    </w:p>
    <w:p w14:paraId="040D6A56">
      <w:pPr>
        <w:pStyle w:val="23"/>
        <w:ind w:left="0" w:leftChars="0" w:firstLine="0" w:firstLineChars="0"/>
        <w:rPr>
          <w:b/>
          <w:bCs/>
          <w:color w:val="auto"/>
          <w:sz w:val="30"/>
          <w:szCs w:val="30"/>
          <w:highlight w:val="none"/>
        </w:rPr>
      </w:pPr>
    </w:p>
    <w:p w14:paraId="67C3C4EE">
      <w:pPr>
        <w:spacing w:line="420" w:lineRule="exact"/>
        <w:ind w:firstLine="0" w:firstLineChars="0"/>
        <w:jc w:val="center"/>
        <w:rPr>
          <w:rFonts w:ascii="宋体" w:hAnsi="宋体" w:cs="宋体"/>
          <w:b/>
          <w:color w:val="auto"/>
          <w:sz w:val="32"/>
          <w:szCs w:val="32"/>
          <w:highlight w:val="none"/>
        </w:rPr>
      </w:pPr>
      <w:bookmarkStart w:id="1111" w:name="_Toc3537"/>
      <w:bookmarkStart w:id="1112" w:name="_Toc29188"/>
      <w:bookmarkStart w:id="1113" w:name="_Toc13645"/>
      <w:bookmarkStart w:id="1114" w:name="_Toc11177"/>
      <w:bookmarkStart w:id="1115" w:name="_Toc23824"/>
      <w:bookmarkStart w:id="1116" w:name="_Toc15718"/>
      <w:bookmarkStart w:id="1117" w:name="_Toc1864"/>
      <w:bookmarkStart w:id="1118" w:name="_Toc6704"/>
      <w:bookmarkStart w:id="1119" w:name="_Toc16263"/>
      <w:bookmarkStart w:id="1120" w:name="_Toc23415"/>
      <w:bookmarkStart w:id="1121" w:name="_Toc2026"/>
      <w:bookmarkStart w:id="1122" w:name="_Toc31494"/>
      <w:bookmarkStart w:id="1123" w:name="_Toc23844"/>
      <w:bookmarkStart w:id="1124" w:name="_Toc26305"/>
      <w:bookmarkStart w:id="1125" w:name="_Toc13161"/>
      <w:bookmarkStart w:id="1126" w:name="_Toc22777"/>
      <w:bookmarkStart w:id="1127" w:name="_Toc3679"/>
      <w:bookmarkStart w:id="1128" w:name="_Toc9266"/>
      <w:bookmarkStart w:id="1129" w:name="_Toc24544"/>
      <w:bookmarkStart w:id="1130" w:name="_Toc21343"/>
      <w:bookmarkStart w:id="1131" w:name="_Toc694"/>
      <w:bookmarkStart w:id="1132" w:name="_Toc21736"/>
    </w:p>
    <w:p w14:paraId="31C6AC14">
      <w:pPr>
        <w:spacing w:line="420" w:lineRule="exact"/>
        <w:ind w:firstLine="0" w:firstLineChars="0"/>
        <w:jc w:val="both"/>
        <w:outlineLvl w:val="9"/>
        <w:rPr>
          <w:rFonts w:ascii="宋体" w:hAnsi="宋体" w:cs="宋体"/>
          <w:b/>
          <w:color w:val="auto"/>
          <w:sz w:val="32"/>
          <w:szCs w:val="32"/>
          <w:highlight w:val="none"/>
        </w:rPr>
      </w:pPr>
      <w:bookmarkStart w:id="1133" w:name="_Toc1142"/>
      <w:bookmarkStart w:id="1134" w:name="_Toc3556"/>
      <w:bookmarkStart w:id="1135" w:name="_Toc32499"/>
      <w:bookmarkStart w:id="1136" w:name="_Toc26772"/>
    </w:p>
    <w:p w14:paraId="609A012C">
      <w:pPr>
        <w:ind w:firstLine="0" w:firstLineChars="0"/>
        <w:jc w:val="left"/>
        <w:outlineLvl w:val="1"/>
        <w:rPr>
          <w:b/>
          <w:bCs/>
          <w:color w:val="auto"/>
          <w:sz w:val="30"/>
          <w:szCs w:val="30"/>
          <w:highlight w:val="none"/>
        </w:rPr>
      </w:pPr>
      <w:bookmarkStart w:id="1137" w:name="_Toc22500"/>
      <w:bookmarkStart w:id="1138" w:name="_Toc26843"/>
      <w:bookmarkStart w:id="1139" w:name="_Toc25499"/>
      <w:bookmarkStart w:id="1140" w:name="_Toc24995"/>
      <w:r>
        <w:rPr>
          <w:rFonts w:hint="eastAsia" w:ascii="宋体" w:hAnsi="宋体" w:cs="宋体"/>
          <w:b/>
          <w:bCs/>
          <w:color w:val="auto"/>
          <w:highlight w:val="none"/>
        </w:rPr>
        <w:t>附件3</w:t>
      </w:r>
      <w:bookmarkEnd w:id="1137"/>
    </w:p>
    <w:p w14:paraId="7BD21311">
      <w:pPr>
        <w:ind w:firstLine="0" w:firstLineChars="0"/>
        <w:jc w:val="center"/>
        <w:rPr>
          <w:b/>
          <w:bCs/>
          <w:color w:val="auto"/>
          <w:sz w:val="30"/>
          <w:szCs w:val="30"/>
          <w:highlight w:val="none"/>
          <w:lang w:val="en-GB"/>
        </w:rPr>
      </w:pPr>
      <w:r>
        <w:rPr>
          <w:rFonts w:hint="eastAsia"/>
          <w:b/>
          <w:bCs/>
          <w:color w:val="auto"/>
          <w:sz w:val="30"/>
          <w:szCs w:val="30"/>
          <w:highlight w:val="none"/>
          <w:lang w:val="en-GB"/>
        </w:rPr>
        <w:t>投标</w:t>
      </w:r>
      <w:r>
        <w:rPr>
          <w:rFonts w:hint="eastAsia"/>
          <w:b/>
          <w:bCs/>
          <w:color w:val="auto"/>
          <w:sz w:val="30"/>
          <w:szCs w:val="30"/>
          <w:highlight w:val="none"/>
          <w:lang w:val="en-US" w:eastAsia="zh-CN"/>
        </w:rPr>
        <w:t>声明</w:t>
      </w:r>
      <w:r>
        <w:rPr>
          <w:rFonts w:hint="eastAsia"/>
          <w:b/>
          <w:bCs/>
          <w:color w:val="auto"/>
          <w:sz w:val="30"/>
          <w:szCs w:val="30"/>
          <w:highlight w:val="none"/>
          <w:lang w:val="en-GB"/>
        </w:rPr>
        <w:t>函</w:t>
      </w:r>
    </w:p>
    <w:p w14:paraId="6AC008DD">
      <w:pPr>
        <w:adjustRightInd w:val="0"/>
        <w:snapToGrid w:val="0"/>
        <w:spacing w:line="360" w:lineRule="auto"/>
        <w:ind w:firstLine="480"/>
        <w:rPr>
          <w:rFonts w:ascii="宋体" w:hAnsi="宋体" w:cs="宋体"/>
          <w:color w:val="auto"/>
          <w:highlight w:val="none"/>
          <w:u w:val="single"/>
        </w:rPr>
      </w:pPr>
      <w:r>
        <w:rPr>
          <w:rFonts w:hint="eastAsia" w:ascii="宋体" w:hAnsi="宋体" w:cs="宋体"/>
          <w:color w:val="auto"/>
          <w:highlight w:val="none"/>
        </w:rPr>
        <w:t>致：</w:t>
      </w:r>
      <w:r>
        <w:rPr>
          <w:rFonts w:hint="eastAsia" w:ascii="宋体" w:hAnsi="宋体" w:cs="宋体"/>
          <w:color w:val="auto"/>
          <w:highlight w:val="none"/>
          <w:u w:val="single"/>
        </w:rPr>
        <w:t>（采购人） ：</w:t>
      </w:r>
    </w:p>
    <w:p w14:paraId="7E3360A5">
      <w:pPr>
        <w:snapToGrid w:val="0"/>
        <w:spacing w:line="312" w:lineRule="auto"/>
        <w:ind w:firstLine="480" w:firstLineChars="200"/>
        <w:jc w:val="left"/>
        <w:rPr>
          <w:rFonts w:hint="eastAsia" w:ascii="宋体" w:hAnsi="宋体" w:eastAsia="宋体" w:cs="宋体"/>
          <w:color w:val="auto"/>
          <w:kern w:val="2"/>
          <w:sz w:val="24"/>
          <w:szCs w:val="28"/>
          <w:highlight w:val="none"/>
        </w:rPr>
      </w:pPr>
      <w:r>
        <w:rPr>
          <w:rFonts w:hint="eastAsia" w:ascii="宋体" w:hAnsi="宋体" w:eastAsia="宋体" w:cs="宋体"/>
          <w:color w:val="auto"/>
          <w:kern w:val="2"/>
          <w:sz w:val="24"/>
          <w:szCs w:val="28"/>
          <w:highlight w:val="none"/>
        </w:rPr>
        <w:t>根据贵方</w:t>
      </w:r>
      <w:r>
        <w:rPr>
          <w:rFonts w:hint="eastAsia" w:ascii="宋体" w:hAnsi="宋体" w:eastAsia="宋体" w:cs="宋体"/>
          <w:b/>
          <w:color w:val="auto"/>
          <w:kern w:val="2"/>
          <w:sz w:val="24"/>
          <w:szCs w:val="28"/>
          <w:highlight w:val="none"/>
          <w:u w:val="single"/>
        </w:rPr>
        <w:t xml:space="preserve">       </w:t>
      </w:r>
      <w:r>
        <w:rPr>
          <w:rFonts w:hint="eastAsia" w:ascii="宋体" w:hAnsi="宋体" w:eastAsia="宋体" w:cs="宋体"/>
          <w:color w:val="auto"/>
          <w:kern w:val="2"/>
          <w:sz w:val="24"/>
          <w:szCs w:val="28"/>
          <w:highlight w:val="none"/>
          <w:u w:val="single"/>
        </w:rPr>
        <w:t>（项目名称）</w:t>
      </w:r>
      <w:r>
        <w:rPr>
          <w:rFonts w:hint="eastAsia" w:ascii="宋体" w:hAnsi="宋体" w:eastAsia="宋体" w:cs="宋体"/>
          <w:color w:val="auto"/>
          <w:kern w:val="2"/>
          <w:sz w:val="24"/>
          <w:szCs w:val="28"/>
          <w:highlight w:val="none"/>
        </w:rPr>
        <w:t>（项目编号：</w:t>
      </w:r>
      <w:r>
        <w:rPr>
          <w:rFonts w:hint="eastAsia" w:ascii="宋体" w:hAnsi="宋体" w:eastAsia="宋体" w:cs="宋体"/>
          <w:color w:val="auto"/>
          <w:kern w:val="2"/>
          <w:sz w:val="24"/>
          <w:szCs w:val="28"/>
          <w:highlight w:val="none"/>
          <w:u w:val="single"/>
        </w:rPr>
        <w:t xml:space="preserve">          </w:t>
      </w:r>
      <w:r>
        <w:rPr>
          <w:rFonts w:hint="eastAsia" w:ascii="宋体" w:hAnsi="宋体" w:eastAsia="宋体" w:cs="宋体"/>
          <w:color w:val="auto"/>
          <w:kern w:val="2"/>
          <w:sz w:val="24"/>
          <w:szCs w:val="28"/>
          <w:highlight w:val="none"/>
        </w:rPr>
        <w:t>）的采购公告，签字代表</w:t>
      </w:r>
      <w:r>
        <w:rPr>
          <w:rFonts w:hint="eastAsia" w:ascii="宋体" w:hAnsi="宋体" w:eastAsia="宋体" w:cs="宋体"/>
          <w:color w:val="auto"/>
          <w:kern w:val="2"/>
          <w:sz w:val="24"/>
          <w:szCs w:val="28"/>
          <w:highlight w:val="none"/>
          <w:u w:val="single"/>
        </w:rPr>
        <w:t xml:space="preserve">   （全名）   </w:t>
      </w:r>
      <w:r>
        <w:rPr>
          <w:rFonts w:hint="eastAsia" w:ascii="宋体" w:hAnsi="宋体" w:eastAsia="宋体" w:cs="宋体"/>
          <w:color w:val="auto"/>
          <w:kern w:val="2"/>
          <w:sz w:val="24"/>
          <w:szCs w:val="28"/>
          <w:highlight w:val="none"/>
        </w:rPr>
        <w:t>经正式授权并代表投标人</w:t>
      </w:r>
      <w:r>
        <w:rPr>
          <w:rFonts w:hint="eastAsia" w:ascii="宋体" w:hAnsi="宋体" w:eastAsia="宋体" w:cs="宋体"/>
          <w:color w:val="auto"/>
          <w:kern w:val="2"/>
          <w:sz w:val="24"/>
          <w:szCs w:val="28"/>
          <w:highlight w:val="none"/>
          <w:u w:val="single"/>
        </w:rPr>
        <w:t xml:space="preserve">      （投标人名称）     </w:t>
      </w:r>
      <w:r>
        <w:rPr>
          <w:rFonts w:hint="eastAsia" w:ascii="宋体" w:hAnsi="宋体" w:eastAsia="宋体" w:cs="宋体"/>
          <w:color w:val="auto"/>
          <w:kern w:val="2"/>
          <w:sz w:val="24"/>
          <w:szCs w:val="28"/>
          <w:highlight w:val="none"/>
        </w:rPr>
        <w:t>提交</w:t>
      </w:r>
      <w:r>
        <w:rPr>
          <w:rFonts w:hint="eastAsia" w:ascii="宋体" w:hAnsi="宋体" w:eastAsia="宋体" w:cs="宋体"/>
          <w:color w:val="auto"/>
          <w:kern w:val="2"/>
          <w:sz w:val="24"/>
          <w:szCs w:val="28"/>
          <w:highlight w:val="none"/>
          <w:lang w:val="en-US" w:eastAsia="zh-CN"/>
        </w:rPr>
        <w:t>电子</w:t>
      </w:r>
      <w:r>
        <w:rPr>
          <w:rFonts w:hint="eastAsia" w:ascii="宋体" w:hAnsi="宋体" w:eastAsia="宋体" w:cs="宋体"/>
          <w:color w:val="auto"/>
          <w:kern w:val="2"/>
          <w:sz w:val="24"/>
          <w:szCs w:val="28"/>
          <w:highlight w:val="none"/>
        </w:rPr>
        <w:t>投标文件</w:t>
      </w:r>
      <w:r>
        <w:rPr>
          <w:rFonts w:hint="eastAsia" w:ascii="宋体" w:hAnsi="宋体" w:eastAsia="宋体" w:cs="宋体"/>
          <w:color w:val="auto"/>
          <w:kern w:val="2"/>
          <w:sz w:val="24"/>
          <w:szCs w:val="28"/>
          <w:highlight w:val="none"/>
          <w:u w:val="single"/>
        </w:rPr>
        <w:t xml:space="preserve"> 1 </w:t>
      </w:r>
      <w:r>
        <w:rPr>
          <w:rFonts w:hint="eastAsia" w:ascii="宋体" w:hAnsi="宋体" w:eastAsia="宋体" w:cs="宋体"/>
          <w:color w:val="auto"/>
          <w:kern w:val="2"/>
          <w:sz w:val="24"/>
          <w:szCs w:val="28"/>
          <w:highlight w:val="none"/>
        </w:rPr>
        <w:t>份。</w:t>
      </w:r>
    </w:p>
    <w:p w14:paraId="1DB7BEB6">
      <w:pPr>
        <w:snapToGrid w:val="0"/>
        <w:spacing w:line="312" w:lineRule="auto"/>
        <w:ind w:firstLine="480" w:firstLineChars="200"/>
        <w:rPr>
          <w:rFonts w:hint="eastAsia" w:ascii="宋体" w:hAnsi="宋体" w:eastAsia="宋体" w:cs="宋体"/>
          <w:color w:val="auto"/>
          <w:kern w:val="2"/>
          <w:sz w:val="24"/>
          <w:szCs w:val="28"/>
          <w:highlight w:val="none"/>
        </w:rPr>
      </w:pPr>
      <w:r>
        <w:rPr>
          <w:rFonts w:hint="eastAsia" w:ascii="宋体" w:hAnsi="宋体" w:eastAsia="宋体" w:cs="宋体"/>
          <w:color w:val="auto"/>
          <w:kern w:val="2"/>
          <w:sz w:val="24"/>
          <w:szCs w:val="28"/>
          <w:highlight w:val="none"/>
        </w:rPr>
        <w:t>据此函，签字代表宣布同意如下：</w:t>
      </w:r>
    </w:p>
    <w:p w14:paraId="224CCF21">
      <w:pPr>
        <w:snapToGrid w:val="0"/>
        <w:spacing w:line="312" w:lineRule="auto"/>
        <w:ind w:firstLine="480" w:firstLineChars="200"/>
        <w:rPr>
          <w:rFonts w:hint="eastAsia" w:ascii="宋体" w:hAnsi="宋体" w:eastAsia="宋体" w:cs="宋体"/>
          <w:color w:val="auto"/>
          <w:kern w:val="2"/>
          <w:sz w:val="24"/>
          <w:szCs w:val="28"/>
          <w:highlight w:val="none"/>
        </w:rPr>
      </w:pPr>
      <w:r>
        <w:rPr>
          <w:rFonts w:hint="eastAsia" w:ascii="宋体" w:hAnsi="宋体" w:eastAsia="宋体" w:cs="宋体"/>
          <w:color w:val="auto"/>
          <w:kern w:val="2"/>
          <w:sz w:val="24"/>
          <w:szCs w:val="28"/>
          <w:highlight w:val="none"/>
        </w:rPr>
        <w:t>1.我方向贵方提交的所有投标文件、资料都是准确的和真实的。</w:t>
      </w:r>
    </w:p>
    <w:p w14:paraId="6DB4B0A6">
      <w:pPr>
        <w:snapToGrid w:val="0"/>
        <w:spacing w:line="312" w:lineRule="auto"/>
        <w:ind w:firstLine="480" w:firstLineChars="200"/>
        <w:rPr>
          <w:rFonts w:hint="eastAsia" w:ascii="宋体" w:hAnsi="宋体" w:eastAsia="宋体" w:cs="宋体"/>
          <w:color w:val="auto"/>
          <w:kern w:val="2"/>
          <w:sz w:val="24"/>
          <w:szCs w:val="28"/>
          <w:highlight w:val="none"/>
        </w:rPr>
      </w:pPr>
      <w:r>
        <w:rPr>
          <w:rFonts w:hint="eastAsia" w:ascii="宋体" w:hAnsi="宋体" w:eastAsia="宋体" w:cs="宋体"/>
          <w:color w:val="auto"/>
          <w:kern w:val="2"/>
          <w:sz w:val="24"/>
          <w:szCs w:val="28"/>
          <w:highlight w:val="none"/>
        </w:rPr>
        <w:t>2.我方已详细审查全部“招标文件”，包括修改文件（如有）以及全部参考资料和有关附件，已经了解我方对于招标文件、采购过程、采购结果有依法进行询问、质疑、投诉的权利及相关渠道和要求。</w:t>
      </w:r>
    </w:p>
    <w:p w14:paraId="269F3EA7">
      <w:pPr>
        <w:snapToGrid w:val="0"/>
        <w:spacing w:line="312" w:lineRule="auto"/>
        <w:ind w:firstLine="480" w:firstLineChars="200"/>
        <w:rPr>
          <w:rFonts w:hint="eastAsia" w:ascii="宋体" w:hAnsi="宋体" w:eastAsia="宋体" w:cs="宋体"/>
          <w:color w:val="auto"/>
          <w:kern w:val="2"/>
          <w:sz w:val="24"/>
          <w:szCs w:val="28"/>
          <w:highlight w:val="none"/>
        </w:rPr>
      </w:pPr>
      <w:r>
        <w:rPr>
          <w:rFonts w:hint="eastAsia" w:ascii="宋体" w:hAnsi="宋体" w:eastAsia="宋体" w:cs="宋体"/>
          <w:color w:val="auto"/>
          <w:kern w:val="2"/>
          <w:sz w:val="24"/>
          <w:szCs w:val="28"/>
          <w:highlight w:val="none"/>
        </w:rPr>
        <w:t>3.我方在投标之前已经与贵方进行了充分的沟通，完全理解并接受招标文件的各项规定和要求，对招标文件的合理性、合法性不再有争议。</w:t>
      </w:r>
    </w:p>
    <w:p w14:paraId="4E612D6F">
      <w:pPr>
        <w:snapToGrid w:val="0"/>
        <w:spacing w:line="312" w:lineRule="auto"/>
        <w:ind w:firstLine="480" w:firstLineChars="200"/>
        <w:rPr>
          <w:rFonts w:hint="eastAsia" w:ascii="宋体" w:hAnsi="宋体" w:eastAsia="宋体" w:cs="宋体"/>
          <w:color w:val="auto"/>
          <w:kern w:val="2"/>
          <w:sz w:val="24"/>
          <w:szCs w:val="28"/>
          <w:highlight w:val="none"/>
        </w:rPr>
      </w:pPr>
      <w:r>
        <w:rPr>
          <w:rFonts w:hint="eastAsia" w:ascii="宋体" w:hAnsi="宋体" w:eastAsia="宋体" w:cs="宋体"/>
          <w:color w:val="auto"/>
          <w:kern w:val="2"/>
          <w:sz w:val="24"/>
          <w:szCs w:val="28"/>
          <w:highlight w:val="none"/>
        </w:rPr>
        <w:t>4.本投标有效期自投标截止日起90日历天。</w:t>
      </w:r>
    </w:p>
    <w:p w14:paraId="1398FF4F">
      <w:pPr>
        <w:snapToGrid w:val="0"/>
        <w:spacing w:line="312" w:lineRule="auto"/>
        <w:ind w:firstLine="480" w:firstLineChars="200"/>
        <w:rPr>
          <w:rFonts w:hint="eastAsia" w:ascii="宋体" w:hAnsi="宋体" w:eastAsia="宋体" w:cs="宋体"/>
          <w:color w:val="auto"/>
          <w:kern w:val="2"/>
          <w:sz w:val="24"/>
          <w:szCs w:val="28"/>
          <w:highlight w:val="none"/>
        </w:rPr>
      </w:pPr>
      <w:r>
        <w:rPr>
          <w:rFonts w:hint="eastAsia" w:ascii="宋体" w:hAnsi="宋体" w:eastAsia="宋体" w:cs="宋体"/>
          <w:color w:val="auto"/>
          <w:kern w:val="2"/>
          <w:sz w:val="24"/>
          <w:szCs w:val="28"/>
          <w:highlight w:val="none"/>
        </w:rPr>
        <w:t>5.如中标，本投标文件至本项目合同履行完毕止均保持有效，本投标人将按“招标文件”及政府采购</w:t>
      </w:r>
      <w:r>
        <w:rPr>
          <w:rFonts w:hint="eastAsia" w:ascii="宋体" w:hAnsi="宋体" w:cs="宋体"/>
          <w:color w:val="auto"/>
          <w:kern w:val="2"/>
          <w:sz w:val="24"/>
          <w:szCs w:val="28"/>
          <w:highlight w:val="none"/>
          <w:lang w:eastAsia="zh-CN"/>
        </w:rPr>
        <w:t>法律法规</w:t>
      </w:r>
      <w:r>
        <w:rPr>
          <w:rFonts w:hint="eastAsia" w:ascii="宋体" w:hAnsi="宋体" w:eastAsia="宋体" w:cs="宋体"/>
          <w:color w:val="auto"/>
          <w:kern w:val="2"/>
          <w:sz w:val="24"/>
          <w:szCs w:val="28"/>
          <w:highlight w:val="none"/>
        </w:rPr>
        <w:t>的规定履行合同责任和义务。</w:t>
      </w:r>
    </w:p>
    <w:p w14:paraId="28BE61F8">
      <w:pPr>
        <w:snapToGrid w:val="0"/>
        <w:spacing w:line="312" w:lineRule="auto"/>
        <w:ind w:firstLine="480" w:firstLineChars="200"/>
        <w:rPr>
          <w:rFonts w:hint="eastAsia" w:ascii="宋体" w:hAnsi="宋体" w:eastAsia="宋体" w:cs="宋体"/>
          <w:color w:val="auto"/>
          <w:kern w:val="2"/>
          <w:sz w:val="24"/>
          <w:szCs w:val="28"/>
          <w:highlight w:val="none"/>
        </w:rPr>
      </w:pPr>
      <w:r>
        <w:rPr>
          <w:rFonts w:hint="eastAsia" w:ascii="宋体" w:hAnsi="宋体" w:eastAsia="宋体" w:cs="宋体"/>
          <w:color w:val="auto"/>
          <w:kern w:val="2"/>
          <w:sz w:val="24"/>
          <w:szCs w:val="28"/>
          <w:highlight w:val="none"/>
        </w:rPr>
        <w:t>6.我方同意按照贵方要求提供与投标有关的一切数据或资料。</w:t>
      </w:r>
    </w:p>
    <w:p w14:paraId="0D65E65B">
      <w:pPr>
        <w:snapToGrid w:val="0"/>
        <w:spacing w:line="312" w:lineRule="auto"/>
        <w:ind w:firstLine="480" w:firstLineChars="200"/>
        <w:jc w:val="left"/>
        <w:rPr>
          <w:rFonts w:hint="eastAsia" w:ascii="宋体" w:hAnsi="宋体" w:cs="宋体"/>
          <w:b w:val="0"/>
          <w:bCs w:val="0"/>
          <w:color w:val="auto"/>
          <w:szCs w:val="28"/>
          <w:highlight w:val="none"/>
        </w:rPr>
      </w:pPr>
      <w:r>
        <w:rPr>
          <w:rFonts w:hint="eastAsia" w:ascii="宋体" w:hAnsi="宋体" w:cs="宋体"/>
          <w:color w:val="auto"/>
          <w:kern w:val="2"/>
          <w:sz w:val="24"/>
          <w:szCs w:val="28"/>
          <w:highlight w:val="none"/>
          <w:lang w:val="en-US" w:eastAsia="zh-CN"/>
        </w:rPr>
        <w:t>以上事项如有虚假或者隐瞒，我方愿意承担一切后果。</w:t>
      </w:r>
    </w:p>
    <w:p w14:paraId="1560B760">
      <w:pPr>
        <w:ind w:firstLine="4320" w:firstLineChars="1800"/>
        <w:rPr>
          <w:rFonts w:hint="eastAsia"/>
          <w:color w:val="auto"/>
          <w:highlight w:val="none"/>
        </w:rPr>
      </w:pPr>
    </w:p>
    <w:p w14:paraId="5B1294F1">
      <w:pPr>
        <w:ind w:firstLine="4320" w:firstLineChars="1800"/>
        <w:rPr>
          <w:rFonts w:hint="eastAsia"/>
          <w:color w:val="auto"/>
          <w:highlight w:val="none"/>
        </w:rPr>
      </w:pPr>
    </w:p>
    <w:p w14:paraId="1D912DE6">
      <w:pPr>
        <w:ind w:firstLine="4320" w:firstLineChars="1800"/>
        <w:rPr>
          <w:color w:val="auto"/>
          <w:highlight w:val="none"/>
        </w:rPr>
      </w:pPr>
      <w:r>
        <w:rPr>
          <w:rFonts w:hint="eastAsia"/>
          <w:color w:val="auto"/>
          <w:highlight w:val="none"/>
        </w:rPr>
        <w:t>投标人全称（盖章）：</w:t>
      </w:r>
      <w:r>
        <w:rPr>
          <w:color w:val="auto"/>
          <w:highlight w:val="none"/>
        </w:rPr>
        <w:t xml:space="preserve">                         </w:t>
      </w:r>
    </w:p>
    <w:p w14:paraId="277FA6DE">
      <w:pPr>
        <w:ind w:firstLine="4320" w:firstLineChars="1800"/>
        <w:rPr>
          <w:color w:val="auto"/>
          <w:highlight w:val="none"/>
        </w:rPr>
      </w:pPr>
      <w:r>
        <w:rPr>
          <w:rFonts w:hint="eastAsia"/>
          <w:color w:val="auto"/>
          <w:highlight w:val="none"/>
          <w:lang w:eastAsia="zh-CN"/>
        </w:rPr>
        <w:t>法定代表人（或负责人）</w:t>
      </w:r>
      <w:r>
        <w:rPr>
          <w:rFonts w:hint="eastAsia"/>
          <w:color w:val="auto"/>
          <w:highlight w:val="none"/>
        </w:rPr>
        <w:t>或授权代理人（签字或盖章）：</w:t>
      </w:r>
    </w:p>
    <w:p w14:paraId="37E459D7">
      <w:pPr>
        <w:ind w:firstLine="4320" w:firstLineChars="1800"/>
        <w:rPr>
          <w:color w:val="auto"/>
          <w:highlight w:val="none"/>
        </w:rPr>
      </w:pPr>
      <w:r>
        <w:rPr>
          <w:rFonts w:hint="eastAsia"/>
          <w:color w:val="auto"/>
          <w:highlight w:val="none"/>
        </w:rPr>
        <w:t>日期：</w:t>
      </w:r>
      <w:r>
        <w:rPr>
          <w:rFonts w:hint="eastAsia" w:ascii="宋体" w:hAnsi="宋体" w:cs="宋体"/>
          <w:color w:val="auto"/>
          <w:highlight w:val="none"/>
          <w:lang w:eastAsia="zh-CN"/>
        </w:rPr>
        <w:t>2025年</w:t>
      </w:r>
      <w:r>
        <w:rPr>
          <w:color w:val="auto"/>
          <w:highlight w:val="none"/>
        </w:rPr>
        <w:t xml:space="preserve">   </w:t>
      </w:r>
      <w:r>
        <w:rPr>
          <w:rFonts w:hint="eastAsia"/>
          <w:color w:val="auto"/>
          <w:highlight w:val="none"/>
        </w:rPr>
        <w:t>月</w:t>
      </w:r>
      <w:r>
        <w:rPr>
          <w:color w:val="auto"/>
          <w:highlight w:val="none"/>
        </w:rPr>
        <w:t xml:space="preserve">   </w:t>
      </w:r>
      <w:r>
        <w:rPr>
          <w:rFonts w:hint="eastAsia"/>
          <w:color w:val="auto"/>
          <w:highlight w:val="none"/>
        </w:rPr>
        <w:t>日</w:t>
      </w:r>
    </w:p>
    <w:p w14:paraId="4501C120">
      <w:pPr>
        <w:pStyle w:val="40"/>
        <w:ind w:left="480"/>
        <w:rPr>
          <w:rFonts w:hint="default"/>
          <w:color w:val="auto"/>
          <w:highlight w:val="none"/>
        </w:rPr>
      </w:pPr>
    </w:p>
    <w:p w14:paraId="145084A4">
      <w:pPr>
        <w:pStyle w:val="4"/>
        <w:ind w:left="960" w:firstLine="0" w:firstLineChars="0"/>
        <w:rPr>
          <w:rFonts w:hAnsi="宋体" w:cs="宋体"/>
          <w:b/>
          <w:bCs/>
          <w:color w:val="auto"/>
          <w:highlight w:val="none"/>
        </w:rPr>
      </w:pPr>
    </w:p>
    <w:p w14:paraId="584C89B3">
      <w:pPr>
        <w:pStyle w:val="6"/>
        <w:rPr>
          <w:rFonts w:hAnsi="宋体" w:cs="宋体"/>
          <w:b/>
          <w:bCs/>
          <w:color w:val="auto"/>
          <w:highlight w:val="none"/>
        </w:rPr>
      </w:pPr>
    </w:p>
    <w:p w14:paraId="20E59D89">
      <w:pPr>
        <w:ind w:firstLine="0" w:firstLineChars="0"/>
        <w:jc w:val="left"/>
        <w:outlineLvl w:val="9"/>
        <w:rPr>
          <w:rFonts w:ascii="宋体" w:hAnsi="宋体" w:cs="宋体"/>
          <w:b/>
          <w:bCs/>
          <w:color w:val="auto"/>
          <w:highlight w:val="none"/>
        </w:rPr>
      </w:pPr>
    </w:p>
    <w:p w14:paraId="076894A2">
      <w:pPr>
        <w:ind w:firstLine="0" w:firstLineChars="0"/>
        <w:jc w:val="left"/>
        <w:outlineLvl w:val="9"/>
        <w:rPr>
          <w:rFonts w:hint="eastAsia" w:ascii="宋体" w:hAnsi="宋体" w:cs="宋体"/>
          <w:b/>
          <w:bCs/>
          <w:color w:val="auto"/>
          <w:highlight w:val="none"/>
        </w:rPr>
      </w:pPr>
    </w:p>
    <w:p w14:paraId="705AA6D1">
      <w:pPr>
        <w:ind w:firstLine="0" w:firstLineChars="0"/>
        <w:jc w:val="left"/>
        <w:outlineLvl w:val="9"/>
        <w:rPr>
          <w:rFonts w:hint="eastAsia" w:ascii="宋体" w:hAnsi="宋体" w:cs="宋体"/>
          <w:b/>
          <w:bCs/>
          <w:color w:val="auto"/>
          <w:highlight w:val="none"/>
        </w:rPr>
      </w:pPr>
    </w:p>
    <w:p w14:paraId="10CFB306">
      <w:pPr>
        <w:pStyle w:val="2"/>
        <w:rPr>
          <w:rFonts w:hint="eastAsia" w:ascii="宋体" w:hAnsi="宋体" w:cs="宋体"/>
          <w:b/>
          <w:bCs/>
          <w:color w:val="auto"/>
          <w:highlight w:val="none"/>
        </w:rPr>
      </w:pPr>
    </w:p>
    <w:p w14:paraId="16AC3882">
      <w:pPr>
        <w:pStyle w:val="3"/>
        <w:rPr>
          <w:rFonts w:hint="eastAsia"/>
        </w:rPr>
      </w:pPr>
    </w:p>
    <w:p w14:paraId="71EB456E">
      <w:pPr>
        <w:ind w:firstLine="0" w:firstLineChars="0"/>
        <w:jc w:val="left"/>
        <w:outlineLvl w:val="9"/>
        <w:rPr>
          <w:rFonts w:hint="eastAsia" w:ascii="宋体" w:hAnsi="宋体" w:cs="宋体"/>
          <w:b/>
          <w:bCs/>
          <w:color w:val="auto"/>
          <w:highlight w:val="none"/>
        </w:rPr>
      </w:pPr>
    </w:p>
    <w:p w14:paraId="74FA87A7">
      <w:pPr>
        <w:ind w:firstLine="0" w:firstLineChars="0"/>
        <w:jc w:val="left"/>
        <w:outlineLvl w:val="1"/>
        <w:rPr>
          <w:color w:val="auto"/>
          <w:highlight w:val="none"/>
        </w:rPr>
      </w:pPr>
      <w:bookmarkStart w:id="1141" w:name="_Toc4252"/>
      <w:r>
        <w:rPr>
          <w:rFonts w:hint="eastAsia" w:ascii="宋体" w:hAnsi="宋体" w:cs="宋体"/>
          <w:b/>
          <w:bCs/>
          <w:color w:val="auto"/>
          <w:highlight w:val="none"/>
        </w:rPr>
        <w:t>附件4</w:t>
      </w:r>
      <w:bookmarkEnd w:id="1141"/>
    </w:p>
    <w:p w14:paraId="7192B93B">
      <w:pPr>
        <w:pStyle w:val="10"/>
        <w:numPr>
          <w:ilvl w:val="1"/>
          <w:numId w:val="0"/>
        </w:numPr>
        <w:spacing w:before="156" w:after="156"/>
        <w:rPr>
          <w:rFonts w:ascii="宋体" w:cs="宋体"/>
          <w:b/>
          <w:bCs w:val="0"/>
          <w:color w:val="auto"/>
          <w:szCs w:val="30"/>
          <w:highlight w:val="none"/>
        </w:rPr>
      </w:pPr>
      <w:bookmarkStart w:id="1142" w:name="_Toc26996"/>
      <w:r>
        <w:rPr>
          <w:rFonts w:hint="eastAsia" w:ascii="宋体" w:hAnsi="宋体" w:cs="宋体"/>
          <w:b/>
          <w:bCs w:val="0"/>
          <w:color w:val="auto"/>
          <w:szCs w:val="30"/>
          <w:highlight w:val="none"/>
        </w:rPr>
        <w:t>（一）</w:t>
      </w:r>
      <w:r>
        <w:rPr>
          <w:rFonts w:hint="eastAsia" w:ascii="宋体" w:hAnsi="宋体" w:cs="宋体"/>
          <w:b/>
          <w:bCs w:val="0"/>
          <w:color w:val="auto"/>
          <w:szCs w:val="30"/>
          <w:highlight w:val="none"/>
          <w:lang w:eastAsia="zh-CN"/>
        </w:rPr>
        <w:t>法定代表人（或负责人）</w:t>
      </w:r>
      <w:r>
        <w:rPr>
          <w:rFonts w:hint="eastAsia" w:ascii="宋体" w:hAnsi="宋体" w:cs="宋体"/>
          <w:b/>
          <w:bCs w:val="0"/>
          <w:color w:val="auto"/>
          <w:szCs w:val="30"/>
          <w:highlight w:val="none"/>
        </w:rPr>
        <w:t>身份证明</w:t>
      </w:r>
      <w:bookmarkEnd w:id="1142"/>
    </w:p>
    <w:p w14:paraId="20159DC9">
      <w:pPr>
        <w:spacing w:line="440" w:lineRule="exact"/>
        <w:ind w:firstLine="400"/>
        <w:rPr>
          <w:rFonts w:ascii="宋体" w:cs="宋体"/>
          <w:color w:val="auto"/>
          <w:sz w:val="20"/>
          <w:szCs w:val="20"/>
          <w:highlight w:val="none"/>
        </w:rPr>
      </w:pPr>
    </w:p>
    <w:p w14:paraId="6793D867">
      <w:pPr>
        <w:spacing w:line="440" w:lineRule="exact"/>
        <w:ind w:firstLine="480"/>
        <w:rPr>
          <w:rFonts w:ascii="宋体" w:cs="宋体"/>
          <w:color w:val="auto"/>
          <w:szCs w:val="21"/>
          <w:highlight w:val="none"/>
        </w:rPr>
      </w:pPr>
    </w:p>
    <w:p w14:paraId="36B29AB2">
      <w:pPr>
        <w:spacing w:line="440" w:lineRule="exact"/>
        <w:ind w:firstLine="480"/>
        <w:rPr>
          <w:rFonts w:ascii="宋体" w:cs="宋体"/>
          <w:color w:val="auto"/>
          <w:szCs w:val="21"/>
          <w:highlight w:val="none"/>
        </w:rPr>
      </w:pPr>
      <w:r>
        <w:rPr>
          <w:rFonts w:hint="eastAsia" w:ascii="宋体" w:hAnsi="宋体" w:cs="宋体"/>
          <w:color w:val="auto"/>
          <w:szCs w:val="21"/>
          <w:highlight w:val="none"/>
        </w:rPr>
        <w:t>投标人名称：</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p>
    <w:p w14:paraId="6445FF32">
      <w:pPr>
        <w:spacing w:line="440" w:lineRule="exact"/>
        <w:ind w:firstLine="480"/>
        <w:rPr>
          <w:rFonts w:ascii="宋体" w:cs="宋体"/>
          <w:color w:val="auto"/>
          <w:szCs w:val="21"/>
          <w:highlight w:val="none"/>
        </w:rPr>
      </w:pPr>
      <w:r>
        <w:rPr>
          <w:rFonts w:hint="eastAsia" w:ascii="宋体" w:hAnsi="宋体" w:cs="宋体"/>
          <w:color w:val="auto"/>
          <w:szCs w:val="21"/>
          <w:highlight w:val="none"/>
        </w:rPr>
        <w:t>单位性质：</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p>
    <w:p w14:paraId="74639BCC">
      <w:pPr>
        <w:spacing w:line="440" w:lineRule="exact"/>
        <w:ind w:firstLine="480"/>
        <w:rPr>
          <w:rFonts w:ascii="宋体" w:cs="宋体"/>
          <w:color w:val="auto"/>
          <w:szCs w:val="21"/>
          <w:highlight w:val="none"/>
        </w:rPr>
      </w:pPr>
      <w:r>
        <w:rPr>
          <w:rFonts w:hint="eastAsia" w:ascii="宋体" w:hAnsi="宋体" w:cs="宋体"/>
          <w:color w:val="auto"/>
          <w:szCs w:val="21"/>
          <w:highlight w:val="none"/>
        </w:rPr>
        <w:t>地址：</w:t>
      </w:r>
      <w:r>
        <w:rPr>
          <w:rFonts w:ascii="宋体" w:hAnsi="宋体" w:cs="宋体"/>
          <w:color w:val="auto"/>
          <w:szCs w:val="21"/>
          <w:highlight w:val="none"/>
          <w:u w:val="single"/>
        </w:rPr>
        <w:t xml:space="preserve">                                   </w:t>
      </w:r>
    </w:p>
    <w:p w14:paraId="21972468">
      <w:pPr>
        <w:spacing w:line="440" w:lineRule="exact"/>
        <w:ind w:firstLine="480"/>
        <w:rPr>
          <w:rFonts w:ascii="宋体" w:cs="宋体"/>
          <w:color w:val="auto"/>
          <w:szCs w:val="21"/>
          <w:highlight w:val="none"/>
        </w:rPr>
      </w:pPr>
      <w:r>
        <w:rPr>
          <w:rFonts w:hint="eastAsia" w:ascii="宋体" w:hAnsi="宋体" w:cs="宋体"/>
          <w:color w:val="auto"/>
          <w:szCs w:val="21"/>
          <w:highlight w:val="none"/>
        </w:rPr>
        <w:t>成立时间：</w:t>
      </w:r>
      <w:r>
        <w:rPr>
          <w:rFonts w:ascii="宋体" w:hAnsi="宋体" w:cs="宋体"/>
          <w:color w:val="auto"/>
          <w:szCs w:val="21"/>
          <w:highlight w:val="none"/>
          <w:u w:val="single"/>
        </w:rPr>
        <w:t xml:space="preserve">          </w:t>
      </w:r>
      <w:r>
        <w:rPr>
          <w:rFonts w:hint="eastAsia" w:ascii="宋体" w:hAnsi="宋体" w:cs="宋体"/>
          <w:color w:val="auto"/>
          <w:szCs w:val="21"/>
          <w:highlight w:val="none"/>
        </w:rPr>
        <w:t>年</w:t>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ascii="宋体" w:hAnsi="宋体" w:cs="宋体"/>
          <w:color w:val="auto"/>
          <w:szCs w:val="21"/>
          <w:highlight w:val="none"/>
          <w:u w:val="single"/>
        </w:rPr>
        <w:t xml:space="preserve">        </w:t>
      </w:r>
      <w:r>
        <w:rPr>
          <w:rFonts w:hint="eastAsia" w:ascii="宋体" w:hAnsi="宋体" w:cs="宋体"/>
          <w:color w:val="auto"/>
          <w:szCs w:val="21"/>
          <w:highlight w:val="none"/>
        </w:rPr>
        <w:t>日</w:t>
      </w:r>
    </w:p>
    <w:p w14:paraId="2E5446D6">
      <w:pPr>
        <w:spacing w:line="440" w:lineRule="exact"/>
        <w:ind w:firstLine="480"/>
        <w:rPr>
          <w:rFonts w:ascii="宋体" w:cs="宋体"/>
          <w:color w:val="auto"/>
          <w:szCs w:val="21"/>
          <w:highlight w:val="none"/>
        </w:rPr>
      </w:pPr>
      <w:r>
        <w:rPr>
          <w:rFonts w:hint="eastAsia" w:ascii="宋体" w:hAnsi="宋体" w:cs="宋体"/>
          <w:color w:val="auto"/>
          <w:szCs w:val="21"/>
          <w:highlight w:val="none"/>
        </w:rPr>
        <w:t>经营期限：</w:t>
      </w:r>
      <w:r>
        <w:rPr>
          <w:rFonts w:ascii="宋体" w:hAnsi="宋体" w:cs="宋体"/>
          <w:color w:val="auto"/>
          <w:szCs w:val="21"/>
          <w:highlight w:val="none"/>
          <w:u w:val="single"/>
        </w:rPr>
        <w:t xml:space="preserve">                               </w:t>
      </w:r>
    </w:p>
    <w:p w14:paraId="1199A730">
      <w:pPr>
        <w:spacing w:line="440" w:lineRule="exact"/>
        <w:ind w:firstLine="480"/>
        <w:rPr>
          <w:rFonts w:ascii="宋体" w:cs="宋体"/>
          <w:color w:val="auto"/>
          <w:szCs w:val="21"/>
          <w:highlight w:val="none"/>
        </w:rPr>
      </w:pPr>
      <w:r>
        <w:rPr>
          <w:rFonts w:hint="eastAsia" w:ascii="宋体" w:hAnsi="宋体" w:cs="宋体"/>
          <w:color w:val="auto"/>
          <w:szCs w:val="21"/>
          <w:highlight w:val="none"/>
        </w:rPr>
        <w:t>姓名：</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性别：</w:t>
      </w:r>
      <w:r>
        <w:rPr>
          <w:rFonts w:ascii="宋体" w:hAnsi="宋体" w:cs="宋体"/>
          <w:color w:val="auto"/>
          <w:szCs w:val="21"/>
          <w:highlight w:val="none"/>
          <w:u w:val="single"/>
        </w:rPr>
        <w:t xml:space="preserve">         </w:t>
      </w:r>
      <w:r>
        <w:rPr>
          <w:rFonts w:hint="eastAsia" w:ascii="宋体" w:hAnsi="宋体" w:cs="宋体"/>
          <w:color w:val="auto"/>
          <w:szCs w:val="21"/>
          <w:highlight w:val="none"/>
        </w:rPr>
        <w:t>年龄：</w:t>
      </w:r>
      <w:r>
        <w:rPr>
          <w:rFonts w:ascii="宋体" w:hAnsi="宋体" w:cs="宋体"/>
          <w:color w:val="auto"/>
          <w:szCs w:val="21"/>
          <w:highlight w:val="none"/>
          <w:u w:val="single"/>
        </w:rPr>
        <w:t xml:space="preserve">        </w:t>
      </w:r>
      <w:r>
        <w:rPr>
          <w:rFonts w:hint="eastAsia" w:ascii="宋体" w:hAnsi="宋体" w:cs="宋体"/>
          <w:color w:val="auto"/>
          <w:szCs w:val="21"/>
          <w:highlight w:val="none"/>
        </w:rPr>
        <w:t>职务：</w:t>
      </w:r>
      <w:r>
        <w:rPr>
          <w:rFonts w:ascii="宋体" w:hAnsi="宋体" w:cs="宋体"/>
          <w:color w:val="auto"/>
          <w:szCs w:val="21"/>
          <w:highlight w:val="none"/>
          <w:u w:val="single"/>
        </w:rPr>
        <w:t xml:space="preserve">        </w:t>
      </w:r>
    </w:p>
    <w:p w14:paraId="1A9629F8">
      <w:pPr>
        <w:spacing w:line="440" w:lineRule="exact"/>
        <w:ind w:firstLine="480"/>
        <w:rPr>
          <w:rFonts w:ascii="宋体" w:cs="宋体"/>
          <w:color w:val="auto"/>
          <w:szCs w:val="21"/>
          <w:highlight w:val="none"/>
        </w:rPr>
      </w:pPr>
      <w:r>
        <w:rPr>
          <w:rFonts w:hint="eastAsia" w:ascii="宋体" w:hAnsi="宋体" w:cs="宋体"/>
          <w:color w:val="auto"/>
          <w:szCs w:val="21"/>
          <w:highlight w:val="none"/>
        </w:rPr>
        <w:t>系</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（投标人名称）的</w:t>
      </w:r>
      <w:r>
        <w:rPr>
          <w:rFonts w:hint="eastAsia" w:ascii="宋体" w:hAnsi="宋体" w:cs="宋体"/>
          <w:color w:val="auto"/>
          <w:szCs w:val="21"/>
          <w:highlight w:val="none"/>
          <w:lang w:eastAsia="zh-CN"/>
        </w:rPr>
        <w:t>法定代表人（或负责人）</w:t>
      </w:r>
      <w:r>
        <w:rPr>
          <w:rFonts w:hint="eastAsia" w:ascii="宋体" w:hAnsi="宋体" w:cs="宋体"/>
          <w:color w:val="auto"/>
          <w:szCs w:val="21"/>
          <w:highlight w:val="none"/>
        </w:rPr>
        <w:t>。</w:t>
      </w:r>
    </w:p>
    <w:p w14:paraId="064BF9BF">
      <w:pPr>
        <w:spacing w:line="440" w:lineRule="exact"/>
        <w:ind w:firstLine="480"/>
        <w:rPr>
          <w:rFonts w:ascii="宋体" w:cs="宋体"/>
          <w:color w:val="auto"/>
          <w:szCs w:val="21"/>
          <w:highlight w:val="none"/>
        </w:rPr>
      </w:pPr>
      <w:r>
        <w:rPr>
          <w:rFonts w:hint="eastAsia" w:ascii="宋体" w:hAnsi="宋体" w:cs="宋体"/>
          <w:color w:val="auto"/>
          <w:szCs w:val="21"/>
          <w:highlight w:val="none"/>
        </w:rPr>
        <w:t>特此证明。</w:t>
      </w:r>
    </w:p>
    <w:p w14:paraId="0A1BF16A">
      <w:pPr>
        <w:spacing w:line="440" w:lineRule="exact"/>
        <w:ind w:firstLine="480"/>
        <w:rPr>
          <w:rFonts w:ascii="宋体" w:cs="宋体"/>
          <w:color w:val="auto"/>
          <w:szCs w:val="21"/>
          <w:highlight w:val="none"/>
        </w:rPr>
      </w:pPr>
    </w:p>
    <w:p w14:paraId="7F2A89B3">
      <w:pPr>
        <w:spacing w:line="440" w:lineRule="exact"/>
        <w:ind w:firstLine="480"/>
        <w:rPr>
          <w:rFonts w:ascii="宋体" w:cs="宋体"/>
          <w:color w:val="auto"/>
          <w:szCs w:val="21"/>
          <w:highlight w:val="none"/>
        </w:rPr>
      </w:pPr>
    </w:p>
    <w:p w14:paraId="13BC54F5">
      <w:pPr>
        <w:spacing w:line="440" w:lineRule="exact"/>
        <w:ind w:firstLine="480"/>
        <w:rPr>
          <w:rFonts w:asci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rPr>
        <w:t>投标人：</w:t>
      </w:r>
      <w:r>
        <w:rPr>
          <w:rFonts w:ascii="宋体" w:hAnsi="宋体" w:cs="宋体"/>
          <w:color w:val="auto"/>
          <w:szCs w:val="21"/>
          <w:highlight w:val="none"/>
          <w:u w:val="single"/>
        </w:rPr>
        <w:t xml:space="preserve">                 </w:t>
      </w:r>
      <w:r>
        <w:rPr>
          <w:rFonts w:hint="eastAsia" w:ascii="宋体" w:hAnsi="宋体" w:cs="宋体"/>
          <w:color w:val="auto"/>
          <w:szCs w:val="21"/>
          <w:highlight w:val="none"/>
        </w:rPr>
        <w:t>（盖单位章）</w:t>
      </w:r>
    </w:p>
    <w:p w14:paraId="15AD27AA">
      <w:pPr>
        <w:ind w:firstLine="0" w:firstLineChars="0"/>
        <w:jc w:val="center"/>
        <w:outlineLvl w:val="0"/>
        <w:rPr>
          <w:rFonts w:ascii="宋体" w:cs="宋体"/>
          <w:color w:val="auto"/>
          <w:szCs w:val="21"/>
          <w:highlight w:val="none"/>
        </w:rPr>
      </w:pPr>
      <w:r>
        <w:rPr>
          <w:rFonts w:ascii="宋体" w:hAnsi="宋体" w:cs="宋体"/>
          <w:color w:val="auto"/>
          <w:szCs w:val="21"/>
          <w:highlight w:val="none"/>
        </w:rPr>
        <w:t xml:space="preserve">               </w:t>
      </w:r>
      <w:r>
        <w:rPr>
          <w:rFonts w:ascii="宋体" w:hAnsi="宋体" w:cs="宋体"/>
          <w:color w:val="auto"/>
          <w:szCs w:val="21"/>
          <w:highlight w:val="none"/>
          <w:u w:val="single"/>
        </w:rPr>
        <w:t xml:space="preserve">       </w:t>
      </w:r>
      <w:bookmarkStart w:id="1143" w:name="_Toc3701"/>
      <w:r>
        <w:rPr>
          <w:rFonts w:hint="eastAsia" w:ascii="宋体" w:hAnsi="宋体" w:cs="宋体"/>
          <w:color w:val="auto"/>
          <w:szCs w:val="21"/>
          <w:highlight w:val="none"/>
        </w:rPr>
        <w:t>年</w:t>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ascii="宋体" w:hAnsi="宋体" w:cs="宋体"/>
          <w:color w:val="auto"/>
          <w:szCs w:val="21"/>
          <w:highlight w:val="none"/>
          <w:u w:val="single"/>
        </w:rPr>
        <w:t xml:space="preserve">       </w:t>
      </w:r>
      <w:r>
        <w:rPr>
          <w:rFonts w:hint="eastAsia" w:ascii="宋体" w:hAnsi="宋体" w:cs="宋体"/>
          <w:color w:val="auto"/>
          <w:szCs w:val="21"/>
          <w:highlight w:val="none"/>
        </w:rPr>
        <w:t>日</w:t>
      </w:r>
      <w:bookmarkEnd w:id="1143"/>
      <w:r>
        <w:rPr>
          <w:rFonts w:ascii="宋体" w:hAnsi="宋体" w:cs="宋体"/>
          <w:color w:val="auto"/>
          <w:szCs w:val="21"/>
          <w:highlight w:val="none"/>
        </w:rPr>
        <w:t xml:space="preserve">      </w:t>
      </w:r>
    </w:p>
    <w:p w14:paraId="56C62EB3">
      <w:pPr>
        <w:ind w:firstLine="0" w:firstLineChars="0"/>
        <w:jc w:val="center"/>
        <w:rPr>
          <w:rFonts w:ascii="宋体" w:cs="宋体"/>
          <w:color w:val="auto"/>
          <w:szCs w:val="21"/>
          <w:highlight w:val="none"/>
        </w:rPr>
      </w:pPr>
    </w:p>
    <w:p w14:paraId="6DFC8163">
      <w:pPr>
        <w:ind w:firstLine="0" w:firstLineChars="0"/>
        <w:jc w:val="center"/>
        <w:rPr>
          <w:rFonts w:ascii="宋体" w:cs="宋体"/>
          <w:color w:val="auto"/>
          <w:szCs w:val="21"/>
          <w:highlight w:val="none"/>
        </w:rPr>
      </w:pPr>
    </w:p>
    <w:p w14:paraId="197DC4BB">
      <w:pPr>
        <w:pStyle w:val="4"/>
        <w:ind w:left="960" w:firstLine="560"/>
        <w:rPr>
          <w:rFonts w:hAnsi="宋体" w:cs="宋体"/>
          <w:color w:val="auto"/>
          <w:szCs w:val="21"/>
          <w:highlight w:val="none"/>
        </w:rPr>
      </w:pPr>
    </w:p>
    <w:p w14:paraId="71C2AD32">
      <w:pPr>
        <w:ind w:firstLine="0" w:firstLineChars="0"/>
        <w:jc w:val="center"/>
        <w:rPr>
          <w:rFonts w:ascii="宋体" w:cs="宋体"/>
          <w:color w:val="auto"/>
          <w:szCs w:val="21"/>
          <w:highlight w:val="none"/>
        </w:rPr>
      </w:pPr>
    </w:p>
    <w:p w14:paraId="09D882C7">
      <w:pPr>
        <w:ind w:firstLine="0" w:firstLineChars="0"/>
        <w:jc w:val="center"/>
        <w:rPr>
          <w:rFonts w:ascii="宋体" w:cs="宋体"/>
          <w:color w:val="auto"/>
          <w:szCs w:val="21"/>
          <w:highlight w:val="none"/>
        </w:rPr>
      </w:pPr>
    </w:p>
    <w:p w14:paraId="424105AE">
      <w:pPr>
        <w:ind w:firstLine="0" w:firstLineChars="0"/>
        <w:jc w:val="center"/>
        <w:rPr>
          <w:rFonts w:ascii="宋体" w:cs="宋体"/>
          <w:color w:val="auto"/>
          <w:szCs w:val="21"/>
          <w:highlight w:val="none"/>
        </w:rPr>
      </w:pPr>
    </w:p>
    <w:p w14:paraId="53A1C25E">
      <w:pPr>
        <w:pStyle w:val="2"/>
        <w:ind w:firstLine="480"/>
        <w:rPr>
          <w:rFonts w:ascii="宋体" w:cs="宋体"/>
          <w:color w:val="auto"/>
          <w:szCs w:val="21"/>
          <w:highlight w:val="none"/>
        </w:rPr>
      </w:pPr>
    </w:p>
    <w:p w14:paraId="0352C868">
      <w:pPr>
        <w:pStyle w:val="3"/>
      </w:pPr>
    </w:p>
    <w:p w14:paraId="6DC2C42C">
      <w:pPr>
        <w:pStyle w:val="38"/>
        <w:ind w:firstLine="210"/>
        <w:rPr>
          <w:rFonts w:ascii="宋体" w:cs="宋体"/>
          <w:color w:val="auto"/>
          <w:highlight w:val="none"/>
        </w:rPr>
      </w:pPr>
    </w:p>
    <w:p w14:paraId="65501636">
      <w:pPr>
        <w:ind w:firstLine="0" w:firstLineChars="0"/>
        <w:rPr>
          <w:rFonts w:ascii="宋体" w:cs="宋体"/>
          <w:color w:val="auto"/>
          <w:szCs w:val="21"/>
          <w:highlight w:val="none"/>
        </w:rPr>
      </w:pPr>
    </w:p>
    <w:p w14:paraId="2A553807">
      <w:pPr>
        <w:pStyle w:val="40"/>
        <w:ind w:left="480"/>
        <w:rPr>
          <w:rFonts w:hint="default" w:cs="宋体"/>
          <w:color w:val="auto"/>
          <w:highlight w:val="none"/>
        </w:rPr>
      </w:pPr>
    </w:p>
    <w:p w14:paraId="0CBD7939">
      <w:pPr>
        <w:pStyle w:val="48"/>
        <w:ind w:firstLine="480"/>
        <w:rPr>
          <w:rFonts w:ascii="宋体" w:cs="宋体"/>
          <w:color w:val="auto"/>
          <w:szCs w:val="21"/>
          <w:highlight w:val="none"/>
        </w:rPr>
      </w:pPr>
    </w:p>
    <w:p w14:paraId="746D6652">
      <w:pPr>
        <w:pStyle w:val="49"/>
        <w:rPr>
          <w:rFonts w:ascii="宋体" w:cs="宋体"/>
          <w:color w:val="auto"/>
          <w:szCs w:val="21"/>
          <w:highlight w:val="none"/>
        </w:rPr>
      </w:pPr>
    </w:p>
    <w:p w14:paraId="38D3A504">
      <w:pPr>
        <w:ind w:firstLine="0" w:firstLineChars="0"/>
        <w:jc w:val="center"/>
        <w:outlineLvl w:val="0"/>
        <w:rPr>
          <w:b/>
          <w:bCs/>
          <w:color w:val="auto"/>
          <w:sz w:val="30"/>
          <w:szCs w:val="30"/>
          <w:highlight w:val="none"/>
        </w:rPr>
      </w:pPr>
      <w:bookmarkStart w:id="1144" w:name="_Toc1159"/>
      <w:r>
        <w:rPr>
          <w:rFonts w:hint="eastAsia"/>
          <w:b/>
          <w:bCs/>
          <w:color w:val="auto"/>
          <w:sz w:val="30"/>
          <w:szCs w:val="30"/>
          <w:highlight w:val="none"/>
          <w:lang w:val="en-GB"/>
        </w:rPr>
        <w:t>（二）授权委托书</w:t>
      </w:r>
      <w:bookmarkEnd w:id="1144"/>
    </w:p>
    <w:p w14:paraId="08A413A4">
      <w:pPr>
        <w:snapToGrid w:val="0"/>
        <w:ind w:firstLine="482"/>
        <w:jc w:val="center"/>
        <w:rPr>
          <w:rFonts w:ascii="宋体" w:cs="宋体"/>
          <w:b/>
          <w:color w:val="auto"/>
          <w:highlight w:val="none"/>
        </w:rPr>
      </w:pPr>
    </w:p>
    <w:p w14:paraId="355CEF28">
      <w:pPr>
        <w:ind w:firstLine="480" w:firstLineChars="0"/>
        <w:rPr>
          <w:rFonts w:ascii="宋体" w:cs="宋体"/>
          <w:color w:val="auto"/>
          <w:highlight w:val="none"/>
          <w:lang w:val="zh-CN"/>
        </w:rPr>
      </w:pPr>
      <w:r>
        <w:rPr>
          <w:rFonts w:hint="eastAsia" w:ascii="宋体" w:hAnsi="宋体" w:cs="宋体"/>
          <w:color w:val="auto"/>
          <w:highlight w:val="none"/>
          <w:lang w:val="zh-CN"/>
        </w:rPr>
        <w:t>本人</w:t>
      </w:r>
      <w:r>
        <w:rPr>
          <w:rFonts w:ascii="宋体" w:hAnsi="宋体" w:cs="宋体"/>
          <w:color w:val="auto"/>
          <w:highlight w:val="none"/>
          <w:lang w:val="zh-CN"/>
        </w:rPr>
        <w:t xml:space="preserve"> </w:t>
      </w:r>
      <w:r>
        <w:rPr>
          <w:rFonts w:ascii="宋体" w:hAnsi="宋体" w:cs="宋体"/>
          <w:color w:val="auto"/>
          <w:highlight w:val="none"/>
          <w:u w:val="single"/>
          <w:lang w:val="zh-CN"/>
        </w:rPr>
        <w:t xml:space="preserve">      </w:t>
      </w:r>
      <w:r>
        <w:rPr>
          <w:rFonts w:hint="eastAsia" w:ascii="宋体" w:hAnsi="宋体" w:cs="宋体"/>
          <w:color w:val="auto"/>
          <w:highlight w:val="none"/>
          <w:u w:val="single"/>
          <w:lang w:val="zh-CN"/>
        </w:rPr>
        <w:t>（姓名）</w:t>
      </w:r>
      <w:r>
        <w:rPr>
          <w:rFonts w:ascii="宋体" w:hAnsi="宋体" w:cs="宋体"/>
          <w:color w:val="auto"/>
          <w:highlight w:val="none"/>
          <w:u w:val="single"/>
          <w:lang w:val="zh-CN"/>
        </w:rPr>
        <w:t xml:space="preserve">  </w:t>
      </w:r>
      <w:r>
        <w:rPr>
          <w:rFonts w:hint="eastAsia" w:ascii="宋体" w:hAnsi="宋体" w:cs="宋体"/>
          <w:color w:val="auto"/>
          <w:highlight w:val="none"/>
          <w:lang w:val="zh-CN"/>
        </w:rPr>
        <w:t>系</w:t>
      </w:r>
      <w:r>
        <w:rPr>
          <w:rFonts w:ascii="宋体" w:hAnsi="宋体" w:cs="宋体"/>
          <w:color w:val="auto"/>
          <w:highlight w:val="none"/>
          <w:u w:val="single"/>
          <w:lang w:val="zh-CN"/>
        </w:rPr>
        <w:t xml:space="preserve">        </w:t>
      </w:r>
      <w:r>
        <w:rPr>
          <w:rFonts w:hint="eastAsia" w:ascii="宋体" w:hAnsi="宋体" w:cs="宋体"/>
          <w:color w:val="auto"/>
          <w:highlight w:val="none"/>
          <w:u w:val="single"/>
          <w:lang w:val="zh-CN"/>
        </w:rPr>
        <w:t>（投标人名称）</w:t>
      </w:r>
      <w:r>
        <w:rPr>
          <w:rFonts w:ascii="宋体" w:hAnsi="宋体" w:cs="宋体"/>
          <w:color w:val="auto"/>
          <w:highlight w:val="none"/>
          <w:u w:val="single"/>
          <w:lang w:val="zh-CN"/>
        </w:rPr>
        <w:t xml:space="preserve">      </w:t>
      </w:r>
      <w:r>
        <w:rPr>
          <w:rFonts w:hint="eastAsia" w:ascii="宋体" w:hAnsi="宋体" w:cs="宋体"/>
          <w:color w:val="auto"/>
          <w:highlight w:val="none"/>
          <w:lang w:val="zh-CN"/>
        </w:rPr>
        <w:t>的法定代表人（或负责人），现授权</w:t>
      </w:r>
      <w:r>
        <w:rPr>
          <w:rFonts w:ascii="宋体" w:hAnsi="宋体" w:cs="宋体"/>
          <w:color w:val="auto"/>
          <w:highlight w:val="none"/>
          <w:u w:val="single"/>
          <w:lang w:val="zh-CN"/>
        </w:rPr>
        <w:t xml:space="preserve">      </w:t>
      </w:r>
      <w:r>
        <w:rPr>
          <w:rFonts w:hint="eastAsia" w:ascii="宋体" w:hAnsi="宋体" w:cs="宋体"/>
          <w:color w:val="auto"/>
          <w:highlight w:val="none"/>
          <w:u w:val="single"/>
          <w:lang w:val="zh-CN"/>
        </w:rPr>
        <w:t>（姓名）</w:t>
      </w:r>
      <w:r>
        <w:rPr>
          <w:rFonts w:ascii="宋体" w:hAnsi="宋体" w:cs="宋体"/>
          <w:color w:val="auto"/>
          <w:highlight w:val="none"/>
          <w:u w:val="single"/>
          <w:lang w:val="zh-CN"/>
        </w:rPr>
        <w:t xml:space="preserve">  </w:t>
      </w:r>
      <w:r>
        <w:rPr>
          <w:rFonts w:hint="eastAsia" w:ascii="宋体" w:hAnsi="宋体" w:cs="宋体"/>
          <w:color w:val="auto"/>
          <w:highlight w:val="none"/>
          <w:u w:val="single"/>
          <w:lang w:val="zh-CN"/>
        </w:rPr>
        <w:t>（</w:t>
      </w:r>
      <w:r>
        <w:rPr>
          <w:rFonts w:ascii="宋体" w:hAnsi="宋体" w:cs="宋体"/>
          <w:color w:val="auto"/>
          <w:highlight w:val="none"/>
          <w:u w:val="single"/>
          <w:lang w:val="zh-CN"/>
        </w:rPr>
        <w:t xml:space="preserve">   </w:t>
      </w:r>
      <w:r>
        <w:rPr>
          <w:rFonts w:hint="eastAsia" w:ascii="宋体" w:hAnsi="宋体" w:cs="宋体"/>
          <w:color w:val="auto"/>
          <w:highlight w:val="none"/>
          <w:u w:val="single"/>
          <w:lang w:val="zh-CN"/>
        </w:rPr>
        <w:t>身份证号码</w:t>
      </w:r>
      <w:r>
        <w:rPr>
          <w:rFonts w:ascii="宋体" w:hAnsi="宋体" w:cs="宋体"/>
          <w:color w:val="auto"/>
          <w:highlight w:val="none"/>
          <w:u w:val="single"/>
          <w:lang w:val="zh-CN"/>
        </w:rPr>
        <w:t xml:space="preserve">   </w:t>
      </w:r>
      <w:r>
        <w:rPr>
          <w:rFonts w:hint="eastAsia" w:ascii="宋体" w:hAnsi="宋体" w:cs="宋体"/>
          <w:color w:val="auto"/>
          <w:highlight w:val="none"/>
          <w:u w:val="single"/>
          <w:lang w:val="zh-CN"/>
        </w:rPr>
        <w:t>）</w:t>
      </w:r>
      <w:r>
        <w:rPr>
          <w:rFonts w:hint="eastAsia" w:ascii="宋体" w:hAnsi="宋体" w:cs="宋体"/>
          <w:color w:val="auto"/>
          <w:highlight w:val="none"/>
          <w:lang w:val="zh-CN"/>
        </w:rPr>
        <w:t>为我方代理人。授权代理人根据授权对</w:t>
      </w:r>
    </w:p>
    <w:p w14:paraId="30230C3F">
      <w:pPr>
        <w:ind w:firstLine="0" w:firstLineChars="0"/>
        <w:rPr>
          <w:rFonts w:ascii="宋体" w:cs="宋体"/>
          <w:color w:val="auto"/>
          <w:highlight w:val="none"/>
          <w:lang w:val="zh-CN"/>
        </w:rPr>
      </w:pPr>
      <w:r>
        <w:rPr>
          <w:rFonts w:ascii="宋体" w:hAnsi="宋体" w:cs="宋体"/>
          <w:color w:val="auto"/>
          <w:highlight w:val="none"/>
          <w:u w:val="single"/>
          <w:lang w:val="zh-CN"/>
        </w:rPr>
        <w:t xml:space="preserve">      </w:t>
      </w:r>
      <w:r>
        <w:rPr>
          <w:rFonts w:hint="eastAsia" w:ascii="宋体" w:hAnsi="宋体" w:cs="宋体"/>
          <w:color w:val="auto"/>
          <w:highlight w:val="none"/>
          <w:u w:val="single"/>
          <w:lang w:val="zh-CN"/>
        </w:rPr>
        <w:t>（项目名称）</w:t>
      </w:r>
      <w:r>
        <w:rPr>
          <w:rFonts w:ascii="宋体" w:hAnsi="宋体" w:cs="宋体"/>
          <w:color w:val="auto"/>
          <w:highlight w:val="none"/>
          <w:u w:val="single"/>
          <w:lang w:val="zh-CN"/>
        </w:rPr>
        <w:t xml:space="preserve">  </w:t>
      </w:r>
      <w:r>
        <w:rPr>
          <w:rFonts w:hint="eastAsia" w:ascii="宋体" w:hAnsi="宋体" w:cs="宋体"/>
          <w:color w:val="auto"/>
          <w:highlight w:val="none"/>
          <w:u w:val="single"/>
          <w:lang w:val="zh-CN"/>
        </w:rPr>
        <w:t>投</w:t>
      </w:r>
      <w:r>
        <w:rPr>
          <w:rFonts w:hint="eastAsia" w:ascii="宋体" w:hAnsi="宋体" w:cs="宋体"/>
          <w:color w:val="auto"/>
          <w:highlight w:val="none"/>
          <w:lang w:val="zh-CN"/>
        </w:rPr>
        <w:t>标，以我方名义签署、澄清、说明、补正、提交、撤回、修改投标文件，签订合同和处理有关事宜，其法律后果由我方承担。</w:t>
      </w:r>
    </w:p>
    <w:p w14:paraId="7F58F8D9">
      <w:pPr>
        <w:ind w:firstLine="480"/>
        <w:rPr>
          <w:rFonts w:ascii="宋体" w:cs="宋体"/>
          <w:color w:val="auto"/>
          <w:highlight w:val="none"/>
          <w:lang w:val="zh-CN"/>
        </w:rPr>
      </w:pPr>
    </w:p>
    <w:p w14:paraId="5E030593">
      <w:pPr>
        <w:ind w:firstLine="480"/>
        <w:rPr>
          <w:rFonts w:ascii="宋体" w:cs="宋体"/>
          <w:color w:val="auto"/>
          <w:highlight w:val="none"/>
          <w:lang w:val="zh-CN"/>
        </w:rPr>
      </w:pPr>
      <w:r>
        <w:rPr>
          <w:rFonts w:hint="eastAsia" w:ascii="宋体" w:hAnsi="宋体" w:cs="宋体"/>
          <w:color w:val="auto"/>
          <w:highlight w:val="none"/>
          <w:lang w:val="zh-CN"/>
        </w:rPr>
        <w:t>委托期限：2025年</w:t>
      </w:r>
      <w:r>
        <w:rPr>
          <w:rFonts w:ascii="宋体" w:hAnsi="宋体" w:cs="宋体"/>
          <w:color w:val="auto"/>
          <w:highlight w:val="none"/>
          <w:lang w:val="zh-CN"/>
        </w:rPr>
        <w:t xml:space="preserve">  </w:t>
      </w:r>
      <w:r>
        <w:rPr>
          <w:rFonts w:hint="eastAsia" w:ascii="宋体" w:hAnsi="宋体" w:cs="宋体"/>
          <w:color w:val="auto"/>
          <w:highlight w:val="none"/>
          <w:lang w:val="zh-CN"/>
        </w:rPr>
        <w:t>月</w:t>
      </w:r>
      <w:r>
        <w:rPr>
          <w:rFonts w:ascii="宋体" w:hAnsi="宋体" w:cs="宋体"/>
          <w:color w:val="auto"/>
          <w:highlight w:val="none"/>
          <w:lang w:val="zh-CN"/>
        </w:rPr>
        <w:t xml:space="preserve">  </w:t>
      </w:r>
      <w:r>
        <w:rPr>
          <w:rFonts w:hint="eastAsia" w:ascii="宋体" w:hAnsi="宋体" w:cs="宋体"/>
          <w:color w:val="auto"/>
          <w:highlight w:val="none"/>
          <w:lang w:val="zh-CN"/>
        </w:rPr>
        <w:t>日</w:t>
      </w:r>
      <w:r>
        <w:rPr>
          <w:rFonts w:ascii="宋体" w:hAnsi="宋体" w:cs="宋体"/>
          <w:color w:val="auto"/>
          <w:highlight w:val="none"/>
          <w:lang w:val="zh-CN"/>
        </w:rPr>
        <w:t>—</w:t>
      </w:r>
      <w:r>
        <w:rPr>
          <w:rFonts w:hint="eastAsia" w:ascii="宋体" w:hAnsi="宋体" w:cs="宋体"/>
          <w:color w:val="auto"/>
          <w:highlight w:val="none"/>
          <w:lang w:val="zh-CN"/>
        </w:rPr>
        <w:t>2025年</w:t>
      </w:r>
      <w:r>
        <w:rPr>
          <w:rFonts w:ascii="宋体" w:hAnsi="宋体" w:cs="宋体"/>
          <w:color w:val="auto"/>
          <w:highlight w:val="none"/>
          <w:lang w:val="zh-CN"/>
        </w:rPr>
        <w:t xml:space="preserve"> </w:t>
      </w:r>
      <w:r>
        <w:rPr>
          <w:rFonts w:hint="eastAsia" w:ascii="宋体" w:hAnsi="宋体" w:cs="宋体"/>
          <w:color w:val="auto"/>
          <w:highlight w:val="none"/>
        </w:rPr>
        <w:t xml:space="preserve"> </w:t>
      </w:r>
      <w:r>
        <w:rPr>
          <w:rFonts w:ascii="宋体" w:hAnsi="宋体" w:cs="宋体"/>
          <w:color w:val="auto"/>
          <w:highlight w:val="none"/>
          <w:lang w:val="zh-CN"/>
        </w:rPr>
        <w:t xml:space="preserve"> </w:t>
      </w:r>
      <w:r>
        <w:rPr>
          <w:rFonts w:hint="eastAsia" w:ascii="宋体" w:hAnsi="宋体" w:cs="宋体"/>
          <w:color w:val="auto"/>
          <w:highlight w:val="none"/>
          <w:lang w:val="zh-CN"/>
        </w:rPr>
        <w:t>月</w:t>
      </w:r>
      <w:r>
        <w:rPr>
          <w:rFonts w:ascii="宋体" w:hAnsi="宋体" w:cs="宋体"/>
          <w:color w:val="auto"/>
          <w:highlight w:val="none"/>
          <w:lang w:val="zh-CN"/>
        </w:rPr>
        <w:t xml:space="preserve">  </w:t>
      </w:r>
      <w:r>
        <w:rPr>
          <w:rFonts w:hint="eastAsia" w:ascii="宋体" w:hAnsi="宋体" w:cs="宋体"/>
          <w:color w:val="auto"/>
          <w:highlight w:val="none"/>
        </w:rPr>
        <w:t xml:space="preserve"> </w:t>
      </w:r>
      <w:r>
        <w:rPr>
          <w:rFonts w:hint="eastAsia" w:ascii="宋体" w:hAnsi="宋体" w:cs="宋体"/>
          <w:color w:val="auto"/>
          <w:highlight w:val="none"/>
          <w:lang w:val="zh-CN"/>
        </w:rPr>
        <w:t>日止。</w:t>
      </w:r>
    </w:p>
    <w:p w14:paraId="4FE97824">
      <w:pPr>
        <w:ind w:firstLine="480"/>
        <w:rPr>
          <w:rFonts w:ascii="宋体" w:cs="宋体"/>
          <w:color w:val="auto"/>
          <w:highlight w:val="none"/>
          <w:lang w:val="zh-CN"/>
        </w:rPr>
      </w:pPr>
      <w:r>
        <w:rPr>
          <w:rFonts w:hint="eastAsia" w:ascii="宋体" w:hAnsi="宋体" w:cs="宋体"/>
          <w:color w:val="auto"/>
          <w:highlight w:val="none"/>
          <w:lang w:val="zh-CN"/>
        </w:rPr>
        <w:t>授权代理人无转委托权。</w:t>
      </w:r>
    </w:p>
    <w:p w14:paraId="1105CAE8">
      <w:pPr>
        <w:snapToGrid w:val="0"/>
        <w:spacing w:line="312" w:lineRule="auto"/>
        <w:ind w:firstLine="0" w:firstLineChars="0"/>
        <w:rPr>
          <w:rFonts w:ascii="宋体" w:cs="宋体"/>
          <w:color w:val="auto"/>
          <w:highlight w:val="none"/>
          <w:lang w:val="zh-CN"/>
        </w:rPr>
      </w:pPr>
    </w:p>
    <w:p w14:paraId="7F2B317E">
      <w:pPr>
        <w:snapToGrid w:val="0"/>
        <w:spacing w:line="312" w:lineRule="auto"/>
        <w:ind w:firstLine="480"/>
        <w:rPr>
          <w:rFonts w:ascii="宋体" w:cs="宋体"/>
          <w:color w:val="auto"/>
          <w:highlight w:val="none"/>
          <w:lang w:val="zh-CN"/>
        </w:rPr>
      </w:pPr>
    </w:p>
    <w:p w14:paraId="46D2739F">
      <w:pPr>
        <w:adjustRightInd w:val="0"/>
        <w:snapToGrid w:val="0"/>
        <w:spacing w:line="360" w:lineRule="auto"/>
        <w:ind w:firstLine="4080" w:firstLineChars="1700"/>
        <w:textAlignment w:val="baseline"/>
        <w:rPr>
          <w:rFonts w:ascii="宋体" w:cs="宋体"/>
          <w:color w:val="auto"/>
          <w:highlight w:val="none"/>
        </w:rPr>
      </w:pPr>
      <w:r>
        <w:rPr>
          <w:rFonts w:hint="eastAsia" w:ascii="宋体" w:hAnsi="宋体" w:cs="宋体"/>
          <w:color w:val="auto"/>
          <w:highlight w:val="none"/>
        </w:rPr>
        <w:t>投标人名称（盖章）</w:t>
      </w:r>
      <w:r>
        <w:rPr>
          <w:rFonts w:ascii="宋体" w:hAnsi="宋体" w:cs="宋体"/>
          <w:color w:val="auto"/>
          <w:highlight w:val="none"/>
        </w:rPr>
        <w:t>:</w:t>
      </w:r>
    </w:p>
    <w:p w14:paraId="2F08D93B">
      <w:pPr>
        <w:adjustRightInd w:val="0"/>
        <w:snapToGrid w:val="0"/>
        <w:spacing w:line="360" w:lineRule="auto"/>
        <w:ind w:firstLine="4080" w:firstLineChars="1700"/>
        <w:textAlignment w:val="baseline"/>
        <w:rPr>
          <w:rFonts w:ascii="宋体" w:cs="宋体"/>
          <w:color w:val="auto"/>
          <w:highlight w:val="none"/>
          <w:u w:val="single"/>
        </w:rPr>
      </w:pPr>
      <w:r>
        <w:rPr>
          <w:rFonts w:hint="eastAsia" w:ascii="宋体" w:hAnsi="宋体" w:cs="宋体"/>
          <w:color w:val="auto"/>
          <w:highlight w:val="none"/>
          <w:lang w:eastAsia="zh-CN"/>
        </w:rPr>
        <w:t>法定代表人（或负责人）</w:t>
      </w:r>
      <w:r>
        <w:rPr>
          <w:rFonts w:hint="eastAsia" w:ascii="宋体" w:hAnsi="宋体" w:cs="宋体"/>
          <w:color w:val="auto"/>
          <w:highlight w:val="none"/>
        </w:rPr>
        <w:t>（签字或盖章）</w:t>
      </w:r>
      <w:r>
        <w:rPr>
          <w:rFonts w:ascii="宋体" w:hAnsi="宋体" w:cs="宋体"/>
          <w:color w:val="auto"/>
          <w:highlight w:val="none"/>
        </w:rPr>
        <w:t>:</w:t>
      </w:r>
    </w:p>
    <w:p w14:paraId="4437B79B">
      <w:pPr>
        <w:adjustRightInd w:val="0"/>
        <w:snapToGrid w:val="0"/>
        <w:spacing w:line="360" w:lineRule="auto"/>
        <w:ind w:firstLine="4080" w:firstLineChars="1700"/>
        <w:textAlignment w:val="baseline"/>
        <w:rPr>
          <w:rFonts w:ascii="宋体" w:cs="宋体"/>
          <w:color w:val="auto"/>
          <w:highlight w:val="none"/>
          <w:u w:val="single"/>
        </w:rPr>
      </w:pPr>
      <w:r>
        <w:rPr>
          <w:rFonts w:hint="eastAsia" w:ascii="宋体" w:hAnsi="宋体" w:cs="宋体"/>
          <w:color w:val="auto"/>
          <w:highlight w:val="none"/>
          <w:lang w:eastAsia="zh-CN"/>
        </w:rPr>
        <w:t>法定代表人（或负责人）</w:t>
      </w:r>
      <w:r>
        <w:rPr>
          <w:rFonts w:hint="eastAsia" w:ascii="宋体" w:hAnsi="宋体" w:cs="宋体"/>
          <w:color w:val="auto"/>
          <w:highlight w:val="none"/>
        </w:rPr>
        <w:t>移动电话</w:t>
      </w:r>
      <w:r>
        <w:rPr>
          <w:rFonts w:ascii="宋体" w:hAnsi="宋体" w:cs="宋体"/>
          <w:color w:val="auto"/>
          <w:highlight w:val="none"/>
        </w:rPr>
        <w:t>:</w:t>
      </w:r>
    </w:p>
    <w:p w14:paraId="7FF702F5">
      <w:pPr>
        <w:adjustRightInd w:val="0"/>
        <w:snapToGrid w:val="0"/>
        <w:spacing w:line="360" w:lineRule="auto"/>
        <w:ind w:firstLine="4080" w:firstLineChars="1700"/>
        <w:textAlignment w:val="baseline"/>
        <w:rPr>
          <w:rFonts w:ascii="宋体" w:cs="宋体"/>
          <w:color w:val="auto"/>
          <w:highlight w:val="none"/>
          <w:lang w:val="zh-CN"/>
        </w:rPr>
      </w:pPr>
      <w:r>
        <w:rPr>
          <w:rFonts w:hint="eastAsia" w:ascii="宋体" w:hAnsi="宋体" w:cs="宋体"/>
          <w:color w:val="auto"/>
          <w:highlight w:val="none"/>
        </w:rPr>
        <w:t>授权代理人移动电话</w:t>
      </w:r>
      <w:r>
        <w:rPr>
          <w:rFonts w:ascii="宋体" w:hAnsi="宋体" w:cs="宋体"/>
          <w:color w:val="auto"/>
          <w:highlight w:val="none"/>
        </w:rPr>
        <w:t>:</w:t>
      </w:r>
    </w:p>
    <w:p w14:paraId="55341BBE">
      <w:pPr>
        <w:ind w:right="440" w:firstLine="4080" w:firstLineChars="1700"/>
        <w:rPr>
          <w:rFonts w:ascii="宋体" w:cs="宋体"/>
          <w:b/>
          <w:bCs/>
          <w:color w:val="auto"/>
          <w:highlight w:val="none"/>
        </w:rPr>
      </w:pPr>
      <w:r>
        <w:rPr>
          <w:rFonts w:hint="eastAsia" w:ascii="宋体" w:hAnsi="宋体" w:cs="宋体"/>
          <w:bCs/>
          <w:color w:val="auto"/>
          <w:highlight w:val="none"/>
        </w:rPr>
        <w:t>授权委托日期：</w:t>
      </w:r>
      <w:r>
        <w:rPr>
          <w:rFonts w:hint="eastAsia" w:ascii="宋体" w:hAnsi="宋体" w:cs="宋体"/>
          <w:bCs/>
          <w:color w:val="auto"/>
          <w:highlight w:val="none"/>
          <w:lang w:eastAsia="zh-CN"/>
        </w:rPr>
        <w:t>2025年</w:t>
      </w:r>
      <w:r>
        <w:rPr>
          <w:rFonts w:ascii="宋体" w:hAnsi="宋体" w:cs="宋体"/>
          <w:bCs/>
          <w:color w:val="auto"/>
          <w:highlight w:val="none"/>
        </w:rPr>
        <w:t xml:space="preserve"> </w:t>
      </w:r>
      <w:r>
        <w:rPr>
          <w:rFonts w:hint="eastAsia" w:ascii="宋体" w:hAnsi="宋体" w:cs="宋体"/>
          <w:bCs/>
          <w:color w:val="auto"/>
          <w:highlight w:val="none"/>
          <w:lang w:val="en-US" w:eastAsia="zh-CN"/>
        </w:rPr>
        <w:t xml:space="preserve"> </w:t>
      </w:r>
      <w:r>
        <w:rPr>
          <w:rFonts w:hint="eastAsia" w:ascii="宋体" w:hAnsi="宋体" w:cs="宋体"/>
          <w:bCs/>
          <w:color w:val="auto"/>
          <w:highlight w:val="none"/>
        </w:rPr>
        <w:t>月</w:t>
      </w:r>
      <w:r>
        <w:rPr>
          <w:rFonts w:ascii="宋体" w:hAnsi="宋体" w:cs="宋体"/>
          <w:bCs/>
          <w:color w:val="auto"/>
          <w:highlight w:val="none"/>
        </w:rPr>
        <w:t xml:space="preserve">  </w:t>
      </w:r>
      <w:r>
        <w:rPr>
          <w:rFonts w:hint="eastAsia" w:ascii="宋体" w:hAnsi="宋体" w:cs="宋体"/>
          <w:bCs/>
          <w:color w:val="auto"/>
          <w:highlight w:val="none"/>
        </w:rPr>
        <w:t>日</w:t>
      </w:r>
    </w:p>
    <w:p w14:paraId="6484600C">
      <w:pPr>
        <w:spacing w:line="360" w:lineRule="exact"/>
        <w:ind w:left="2699" w:firstLine="480"/>
        <w:rPr>
          <w:rFonts w:ascii="宋体" w:cs="宋体"/>
          <w:color w:val="auto"/>
          <w:kern w:val="0"/>
          <w:highlight w:val="none"/>
        </w:rPr>
      </w:pPr>
    </w:p>
    <w:tbl>
      <w:tblPr>
        <w:tblStyle w:val="41"/>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14:paraId="55D04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trPr>
        <w:tc>
          <w:tcPr>
            <w:tcW w:w="9356" w:type="dxa"/>
          </w:tcPr>
          <w:p w14:paraId="7F6FD598">
            <w:pPr>
              <w:keepNext w:val="0"/>
              <w:keepLines w:val="0"/>
              <w:suppressLineNumbers w:val="0"/>
              <w:adjustRightInd w:val="0"/>
              <w:snapToGrid w:val="0"/>
              <w:spacing w:before="0" w:beforeAutospacing="0" w:after="0" w:afterAutospacing="0" w:line="360" w:lineRule="exact"/>
              <w:ind w:left="0" w:right="0" w:firstLine="480"/>
              <w:jc w:val="center"/>
              <w:rPr>
                <w:rFonts w:hint="default" w:ascii="宋体" w:cs="宋体"/>
                <w:color w:val="auto"/>
                <w:kern w:val="0"/>
                <w:highlight w:val="none"/>
              </w:rPr>
            </w:pPr>
          </w:p>
          <w:p w14:paraId="47436A07">
            <w:pPr>
              <w:keepNext w:val="0"/>
              <w:keepLines w:val="0"/>
              <w:suppressLineNumbers w:val="0"/>
              <w:adjustRightInd w:val="0"/>
              <w:snapToGrid w:val="0"/>
              <w:spacing w:before="0" w:beforeAutospacing="0" w:after="0" w:afterAutospacing="0" w:line="360" w:lineRule="exact"/>
              <w:ind w:left="0" w:right="0" w:firstLine="480"/>
              <w:jc w:val="center"/>
              <w:rPr>
                <w:rFonts w:hint="default" w:ascii="宋体" w:cs="宋体"/>
                <w:color w:val="auto"/>
                <w:kern w:val="0"/>
                <w:highlight w:val="none"/>
              </w:rPr>
            </w:pPr>
          </w:p>
          <w:p w14:paraId="20B15CF3">
            <w:pPr>
              <w:keepNext w:val="0"/>
              <w:keepLines w:val="0"/>
              <w:suppressLineNumbers w:val="0"/>
              <w:adjustRightInd w:val="0"/>
              <w:snapToGrid w:val="0"/>
              <w:spacing w:before="0" w:beforeAutospacing="0" w:after="0" w:afterAutospacing="0" w:line="360" w:lineRule="exact"/>
              <w:ind w:left="0" w:right="0" w:firstLine="480"/>
              <w:jc w:val="center"/>
              <w:rPr>
                <w:rFonts w:hint="default" w:ascii="宋体" w:cs="宋体"/>
                <w:color w:val="auto"/>
                <w:kern w:val="0"/>
                <w:highlight w:val="none"/>
              </w:rPr>
            </w:pPr>
            <w:r>
              <w:rPr>
                <w:rFonts w:hint="eastAsia" w:ascii="宋体" w:hAnsi="宋体" w:cs="宋体"/>
                <w:color w:val="auto"/>
                <w:kern w:val="0"/>
                <w:highlight w:val="none"/>
              </w:rPr>
              <w:t>粘贴法人</w:t>
            </w:r>
            <w:r>
              <w:rPr>
                <w:rFonts w:hint="eastAsia" w:ascii="宋体" w:hAnsi="宋体" w:cs="宋体"/>
                <w:color w:val="auto"/>
                <w:kern w:val="0"/>
                <w:highlight w:val="none"/>
                <w:lang w:val="en-US" w:eastAsia="zh-CN"/>
              </w:rPr>
              <w:t>或负责人</w:t>
            </w:r>
            <w:r>
              <w:rPr>
                <w:rFonts w:hint="eastAsia" w:ascii="宋体" w:hAnsi="宋体" w:cs="宋体"/>
                <w:color w:val="auto"/>
                <w:kern w:val="0"/>
                <w:highlight w:val="none"/>
              </w:rPr>
              <w:t>授权代表身份证复印影印件</w:t>
            </w:r>
          </w:p>
          <w:p w14:paraId="46897D97">
            <w:pPr>
              <w:keepNext w:val="0"/>
              <w:keepLines w:val="0"/>
              <w:suppressLineNumbers w:val="0"/>
              <w:adjustRightInd w:val="0"/>
              <w:snapToGrid w:val="0"/>
              <w:spacing w:before="0" w:beforeAutospacing="0" w:after="0" w:afterAutospacing="0" w:line="360" w:lineRule="exact"/>
              <w:ind w:left="0" w:right="0" w:firstLine="480"/>
              <w:jc w:val="center"/>
              <w:rPr>
                <w:rFonts w:hint="default" w:ascii="宋体" w:cs="宋体"/>
                <w:color w:val="auto"/>
                <w:kern w:val="0"/>
                <w:highlight w:val="none"/>
              </w:rPr>
            </w:pPr>
          </w:p>
          <w:p w14:paraId="5D24416B">
            <w:pPr>
              <w:keepNext w:val="0"/>
              <w:keepLines w:val="0"/>
              <w:suppressLineNumbers w:val="0"/>
              <w:adjustRightInd w:val="0"/>
              <w:snapToGrid w:val="0"/>
              <w:spacing w:before="0" w:beforeAutospacing="0" w:after="0" w:afterAutospacing="0" w:line="360" w:lineRule="exact"/>
              <w:ind w:left="0" w:right="0" w:firstLine="480"/>
              <w:jc w:val="center"/>
              <w:rPr>
                <w:rFonts w:hint="default" w:ascii="宋体" w:cs="宋体"/>
                <w:color w:val="auto"/>
                <w:kern w:val="0"/>
                <w:highlight w:val="none"/>
              </w:rPr>
            </w:pPr>
          </w:p>
        </w:tc>
      </w:tr>
    </w:tbl>
    <w:p w14:paraId="6AC511D9">
      <w:pPr>
        <w:adjustRightInd w:val="0"/>
        <w:snapToGrid w:val="0"/>
        <w:spacing w:line="360" w:lineRule="exact"/>
        <w:ind w:firstLine="480"/>
        <w:jc w:val="center"/>
        <w:rPr>
          <w:rFonts w:ascii="宋体" w:cs="宋体"/>
          <w:color w:val="auto"/>
          <w:kern w:val="0"/>
          <w:highlight w:val="none"/>
          <w:lang w:val="zh-CN"/>
        </w:rPr>
      </w:pPr>
    </w:p>
    <w:p w14:paraId="666A35B9">
      <w:pPr>
        <w:adjustRightInd w:val="0"/>
        <w:snapToGrid w:val="0"/>
        <w:spacing w:line="360" w:lineRule="exact"/>
        <w:ind w:firstLine="480"/>
        <w:jc w:val="center"/>
        <w:rPr>
          <w:rFonts w:ascii="宋体" w:cs="宋体"/>
          <w:color w:val="auto"/>
          <w:kern w:val="0"/>
          <w:highlight w:val="none"/>
          <w:lang w:val="zh-CN"/>
        </w:rPr>
      </w:pPr>
    </w:p>
    <w:tbl>
      <w:tblPr>
        <w:tblStyle w:val="41"/>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14:paraId="46B7B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9" w:hRule="atLeast"/>
        </w:trPr>
        <w:tc>
          <w:tcPr>
            <w:tcW w:w="9356" w:type="dxa"/>
          </w:tcPr>
          <w:p w14:paraId="64B3DF84">
            <w:pPr>
              <w:keepNext w:val="0"/>
              <w:keepLines w:val="0"/>
              <w:suppressLineNumbers w:val="0"/>
              <w:adjustRightInd w:val="0"/>
              <w:snapToGrid w:val="0"/>
              <w:spacing w:before="0" w:beforeAutospacing="0" w:after="0" w:afterAutospacing="0" w:line="360" w:lineRule="exact"/>
              <w:ind w:left="0" w:right="0" w:firstLine="480"/>
              <w:jc w:val="center"/>
              <w:rPr>
                <w:rFonts w:hint="default" w:ascii="宋体" w:cs="宋体"/>
                <w:color w:val="auto"/>
                <w:kern w:val="0"/>
                <w:highlight w:val="none"/>
              </w:rPr>
            </w:pPr>
          </w:p>
          <w:p w14:paraId="18F25514">
            <w:pPr>
              <w:keepNext w:val="0"/>
              <w:keepLines w:val="0"/>
              <w:suppressLineNumbers w:val="0"/>
              <w:adjustRightInd w:val="0"/>
              <w:snapToGrid w:val="0"/>
              <w:spacing w:before="0" w:beforeAutospacing="0" w:after="0" w:afterAutospacing="0" w:line="360" w:lineRule="exact"/>
              <w:ind w:left="0" w:right="0" w:firstLine="480"/>
              <w:jc w:val="center"/>
              <w:rPr>
                <w:rFonts w:hint="default" w:ascii="宋体" w:cs="宋体"/>
                <w:color w:val="auto"/>
                <w:kern w:val="0"/>
                <w:highlight w:val="none"/>
              </w:rPr>
            </w:pPr>
          </w:p>
          <w:p w14:paraId="0A5DD5C6">
            <w:pPr>
              <w:keepNext w:val="0"/>
              <w:keepLines w:val="0"/>
              <w:suppressLineNumbers w:val="0"/>
              <w:adjustRightInd w:val="0"/>
              <w:snapToGrid w:val="0"/>
              <w:spacing w:before="0" w:beforeAutospacing="0" w:after="0" w:afterAutospacing="0" w:line="360" w:lineRule="exact"/>
              <w:ind w:left="0" w:right="0" w:firstLine="480"/>
              <w:jc w:val="center"/>
              <w:rPr>
                <w:rFonts w:hint="default" w:ascii="宋体" w:cs="宋体"/>
                <w:color w:val="auto"/>
                <w:kern w:val="0"/>
                <w:highlight w:val="none"/>
              </w:rPr>
            </w:pPr>
            <w:r>
              <w:rPr>
                <w:rFonts w:hint="eastAsia" w:ascii="宋体" w:hAnsi="宋体" w:cs="宋体"/>
                <w:color w:val="auto"/>
                <w:kern w:val="0"/>
                <w:highlight w:val="none"/>
              </w:rPr>
              <w:t>粘贴法人</w:t>
            </w:r>
            <w:r>
              <w:rPr>
                <w:rFonts w:hint="eastAsia" w:ascii="宋体" w:hAnsi="宋体" w:cs="宋体"/>
                <w:color w:val="auto"/>
                <w:kern w:val="0"/>
                <w:highlight w:val="none"/>
                <w:lang w:val="en-US" w:eastAsia="zh-CN"/>
              </w:rPr>
              <w:t>或负责人</w:t>
            </w:r>
            <w:r>
              <w:rPr>
                <w:rFonts w:hint="eastAsia" w:ascii="宋体" w:hAnsi="宋体" w:cs="宋体"/>
                <w:color w:val="auto"/>
                <w:kern w:val="0"/>
                <w:highlight w:val="none"/>
              </w:rPr>
              <w:t>身份证复印影印件</w:t>
            </w:r>
          </w:p>
          <w:p w14:paraId="13AEE1EB">
            <w:pPr>
              <w:keepNext w:val="0"/>
              <w:keepLines w:val="0"/>
              <w:suppressLineNumbers w:val="0"/>
              <w:adjustRightInd w:val="0"/>
              <w:snapToGrid w:val="0"/>
              <w:spacing w:before="0" w:beforeAutospacing="0" w:after="0" w:afterAutospacing="0" w:line="360" w:lineRule="exact"/>
              <w:ind w:left="0" w:right="0" w:firstLine="480"/>
              <w:jc w:val="center"/>
              <w:rPr>
                <w:rFonts w:hint="default" w:ascii="宋体" w:cs="宋体"/>
                <w:color w:val="auto"/>
                <w:kern w:val="0"/>
                <w:highlight w:val="none"/>
              </w:rPr>
            </w:pPr>
          </w:p>
          <w:p w14:paraId="74B76ED4">
            <w:pPr>
              <w:keepNext w:val="0"/>
              <w:keepLines w:val="0"/>
              <w:suppressLineNumbers w:val="0"/>
              <w:adjustRightInd w:val="0"/>
              <w:snapToGrid w:val="0"/>
              <w:spacing w:before="0" w:beforeAutospacing="0" w:after="0" w:afterAutospacing="0" w:line="360" w:lineRule="exact"/>
              <w:ind w:left="0" w:right="0" w:firstLine="480"/>
              <w:jc w:val="center"/>
              <w:rPr>
                <w:rFonts w:hint="default" w:ascii="宋体" w:cs="宋体"/>
                <w:color w:val="auto"/>
                <w:kern w:val="0"/>
                <w:highlight w:val="none"/>
              </w:rPr>
            </w:pPr>
          </w:p>
        </w:tc>
      </w:tr>
    </w:tbl>
    <w:p w14:paraId="637D93CF">
      <w:pPr>
        <w:spacing w:line="420" w:lineRule="exact"/>
        <w:ind w:firstLine="0" w:firstLineChars="0"/>
        <w:jc w:val="center"/>
        <w:outlineLvl w:val="9"/>
        <w:rPr>
          <w:rFonts w:hint="eastAsia" w:ascii="宋体" w:hAnsi="宋体" w:cs="宋体"/>
          <w:b/>
          <w:color w:val="auto"/>
          <w:sz w:val="32"/>
          <w:szCs w:val="32"/>
          <w:highlight w:val="none"/>
        </w:rPr>
      </w:pPr>
    </w:p>
    <w:p w14:paraId="749D04C9">
      <w:pPr>
        <w:spacing w:line="420" w:lineRule="exact"/>
        <w:ind w:firstLine="0" w:firstLineChars="0"/>
        <w:jc w:val="center"/>
        <w:outlineLvl w:val="9"/>
        <w:rPr>
          <w:rFonts w:hint="eastAsia" w:ascii="宋体" w:hAnsi="宋体" w:cs="宋体"/>
          <w:b/>
          <w:color w:val="auto"/>
          <w:sz w:val="32"/>
          <w:szCs w:val="32"/>
          <w:highlight w:val="none"/>
        </w:rPr>
      </w:pPr>
    </w:p>
    <w:p w14:paraId="7EFAC5AA">
      <w:pPr>
        <w:spacing w:line="420" w:lineRule="exact"/>
        <w:ind w:firstLine="0" w:firstLineChars="0"/>
        <w:jc w:val="center"/>
        <w:outlineLvl w:val="9"/>
        <w:rPr>
          <w:rFonts w:hint="eastAsia" w:ascii="宋体" w:hAnsi="宋体" w:cs="宋体"/>
          <w:b/>
          <w:color w:val="auto"/>
          <w:sz w:val="32"/>
          <w:szCs w:val="32"/>
          <w:highlight w:val="none"/>
        </w:rPr>
      </w:pPr>
    </w:p>
    <w:p w14:paraId="1BAC89B9">
      <w:pPr>
        <w:spacing w:line="420" w:lineRule="exact"/>
        <w:ind w:firstLine="0" w:firstLineChars="0"/>
        <w:jc w:val="center"/>
        <w:outlineLvl w:val="0"/>
        <w:rPr>
          <w:rFonts w:ascii="宋体" w:cs="宋体"/>
          <w:b/>
          <w:color w:val="auto"/>
          <w:sz w:val="32"/>
          <w:szCs w:val="32"/>
          <w:highlight w:val="none"/>
        </w:rPr>
      </w:pPr>
      <w:bookmarkStart w:id="1145" w:name="_Toc22532"/>
      <w:r>
        <w:rPr>
          <w:rFonts w:hint="eastAsia" w:ascii="宋体" w:hAnsi="宋体" w:cs="宋体"/>
          <w:b/>
          <w:color w:val="auto"/>
          <w:sz w:val="32"/>
          <w:szCs w:val="32"/>
          <w:highlight w:val="none"/>
        </w:rPr>
        <w:t>资信技术文件封面格式</w:t>
      </w:r>
      <w:bookmarkEnd w:id="1111"/>
      <w:bookmarkEnd w:id="1112"/>
      <w:bookmarkEnd w:id="1113"/>
      <w:bookmarkEnd w:id="1114"/>
      <w:bookmarkEnd w:id="1115"/>
      <w:bookmarkEnd w:id="1116"/>
      <w:bookmarkEnd w:id="1117"/>
      <w:bookmarkEnd w:id="1118"/>
      <w:bookmarkEnd w:id="1119"/>
      <w:bookmarkEnd w:id="1120"/>
      <w:bookmarkEnd w:id="1121"/>
      <w:bookmarkEnd w:id="1133"/>
      <w:bookmarkEnd w:id="1134"/>
      <w:bookmarkEnd w:id="1135"/>
      <w:bookmarkEnd w:id="1136"/>
      <w:bookmarkEnd w:id="1138"/>
      <w:bookmarkEnd w:id="1139"/>
      <w:bookmarkEnd w:id="1140"/>
      <w:bookmarkEnd w:id="1145"/>
    </w:p>
    <w:p w14:paraId="6A19F37B">
      <w:pPr>
        <w:pStyle w:val="25"/>
        <w:spacing w:line="420" w:lineRule="exact"/>
        <w:ind w:left="120" w:leftChars="50" w:firstLine="3855" w:firstLineChars="1200"/>
        <w:jc w:val="left"/>
        <w:rPr>
          <w:rFonts w:ascii="宋体" w:hAnsi="宋体" w:eastAsia="宋体" w:cs="宋体"/>
          <w:color w:val="auto"/>
          <w:sz w:val="32"/>
          <w:highlight w:val="none"/>
        </w:rPr>
      </w:pPr>
    </w:p>
    <w:p w14:paraId="0C39CA4A">
      <w:pPr>
        <w:spacing w:line="420" w:lineRule="exact"/>
        <w:ind w:firstLine="640"/>
        <w:jc w:val="center"/>
        <w:rPr>
          <w:rFonts w:ascii="宋体" w:hAnsi="宋体" w:cs="宋体"/>
          <w:color w:val="auto"/>
          <w:sz w:val="32"/>
          <w:szCs w:val="32"/>
          <w:highlight w:val="none"/>
        </w:rPr>
      </w:pPr>
    </w:p>
    <w:p w14:paraId="23527229">
      <w:pPr>
        <w:spacing w:line="420" w:lineRule="exact"/>
        <w:ind w:firstLine="883"/>
        <w:rPr>
          <w:rFonts w:ascii="宋体" w:cs="宋体"/>
          <w:b/>
          <w:color w:val="auto"/>
          <w:sz w:val="44"/>
          <w:szCs w:val="44"/>
          <w:highlight w:val="none"/>
        </w:rPr>
      </w:pPr>
    </w:p>
    <w:p w14:paraId="5B581867">
      <w:pPr>
        <w:ind w:firstLine="0" w:firstLineChars="0"/>
        <w:rPr>
          <w:color w:val="auto"/>
          <w:highlight w:val="none"/>
        </w:rPr>
      </w:pPr>
    </w:p>
    <w:p w14:paraId="133B7A16">
      <w:pPr>
        <w:spacing w:line="240" w:lineRule="auto"/>
        <w:ind w:firstLine="0" w:firstLineChars="0"/>
        <w:jc w:val="center"/>
        <w:outlineLvl w:val="9"/>
        <w:rPr>
          <w:rFonts w:hint="eastAsia" w:ascii="宋体" w:hAnsi="宋体" w:cs="宋体"/>
          <w:b/>
          <w:bCs/>
          <w:color w:val="auto"/>
          <w:sz w:val="72"/>
          <w:szCs w:val="72"/>
          <w:highlight w:val="none"/>
        </w:rPr>
      </w:pPr>
      <w:bookmarkStart w:id="1146" w:name="_Toc11763"/>
      <w:bookmarkStart w:id="1147" w:name="_Toc32267"/>
      <w:bookmarkStart w:id="1148" w:name="_Toc18271"/>
      <w:bookmarkStart w:id="1149" w:name="_Toc8607"/>
      <w:bookmarkStart w:id="1150" w:name="_Toc19735"/>
      <w:bookmarkStart w:id="1151" w:name="_Toc26716"/>
      <w:bookmarkStart w:id="1152" w:name="_Toc4088"/>
      <w:bookmarkStart w:id="1153" w:name="_Toc29401"/>
      <w:bookmarkStart w:id="1154" w:name="_Toc13454"/>
      <w:bookmarkStart w:id="1155" w:name="_Toc32535"/>
      <w:bookmarkStart w:id="1156" w:name="_Toc23904"/>
      <w:bookmarkStart w:id="1157" w:name="_Toc11188"/>
      <w:bookmarkStart w:id="1158" w:name="_Toc5741"/>
      <w:bookmarkStart w:id="1159" w:name="_Toc28003"/>
      <w:bookmarkStart w:id="1160" w:name="_Toc16188"/>
      <w:bookmarkStart w:id="1161" w:name="_Toc8940"/>
      <w:bookmarkStart w:id="1162" w:name="_Toc4711"/>
      <w:bookmarkStart w:id="1163" w:name="_Toc13019"/>
      <w:r>
        <w:rPr>
          <w:rFonts w:hint="eastAsia" w:ascii="宋体" w:hAnsi="宋体" w:cs="宋体"/>
          <w:b/>
          <w:color w:val="auto"/>
          <w:sz w:val="52"/>
          <w:szCs w:val="52"/>
          <w:highlight w:val="none"/>
          <w:lang w:val="zh-CN"/>
        </w:rPr>
        <w:t>商品砼事业部2025年度装载机维修保养服务采购</w:t>
      </w:r>
    </w:p>
    <w:p w14:paraId="12445858">
      <w:pPr>
        <w:spacing w:line="240" w:lineRule="auto"/>
        <w:ind w:firstLine="0" w:firstLineChars="0"/>
        <w:jc w:val="center"/>
        <w:outlineLvl w:val="9"/>
        <w:rPr>
          <w:rFonts w:hint="eastAsia" w:ascii="宋体" w:hAnsi="宋体" w:cs="宋体"/>
          <w:b/>
          <w:bCs/>
          <w:color w:val="auto"/>
          <w:sz w:val="72"/>
          <w:szCs w:val="72"/>
          <w:highlight w:val="none"/>
        </w:rPr>
      </w:pPr>
    </w:p>
    <w:p w14:paraId="43EF9CD4">
      <w:pPr>
        <w:pStyle w:val="2"/>
        <w:rPr>
          <w:rFonts w:hint="eastAsia" w:ascii="宋体" w:hAnsi="宋体" w:cs="宋体"/>
          <w:b/>
          <w:bCs/>
          <w:color w:val="auto"/>
          <w:sz w:val="72"/>
          <w:szCs w:val="72"/>
          <w:highlight w:val="none"/>
        </w:rPr>
      </w:pPr>
    </w:p>
    <w:p w14:paraId="186FD54B">
      <w:pPr>
        <w:pStyle w:val="3"/>
        <w:rPr>
          <w:rFonts w:hint="eastAsia"/>
        </w:rPr>
      </w:pPr>
    </w:p>
    <w:p w14:paraId="5BC07FBC">
      <w:pPr>
        <w:spacing w:line="240" w:lineRule="auto"/>
        <w:ind w:firstLine="0" w:firstLineChars="0"/>
        <w:jc w:val="center"/>
        <w:outlineLvl w:val="1"/>
        <w:rPr>
          <w:rFonts w:ascii="宋体" w:cs="宋体"/>
          <w:b/>
          <w:bCs/>
          <w:color w:val="auto"/>
          <w:sz w:val="72"/>
          <w:szCs w:val="72"/>
          <w:highlight w:val="none"/>
        </w:rPr>
      </w:pPr>
      <w:bookmarkStart w:id="1164" w:name="_Toc10472"/>
      <w:r>
        <w:rPr>
          <w:rFonts w:hint="eastAsia" w:ascii="宋体" w:hAnsi="宋体" w:cs="宋体"/>
          <w:b/>
          <w:bCs/>
          <w:color w:val="auto"/>
          <w:sz w:val="72"/>
          <w:szCs w:val="72"/>
          <w:highlight w:val="none"/>
        </w:rPr>
        <w:t>资信技术文件</w:t>
      </w:r>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p>
    <w:p w14:paraId="70D9A7A8">
      <w:pPr>
        <w:spacing w:line="240" w:lineRule="auto"/>
        <w:ind w:firstLine="883"/>
        <w:jc w:val="center"/>
        <w:rPr>
          <w:rFonts w:ascii="宋体" w:cs="宋体"/>
          <w:b/>
          <w:bCs/>
          <w:color w:val="auto"/>
          <w:sz w:val="44"/>
          <w:szCs w:val="44"/>
          <w:highlight w:val="none"/>
        </w:rPr>
      </w:pPr>
    </w:p>
    <w:p w14:paraId="37E280AB">
      <w:pPr>
        <w:ind w:firstLine="0" w:firstLineChars="0"/>
        <w:rPr>
          <w:rFonts w:ascii="宋体" w:cs="宋体"/>
          <w:color w:val="auto"/>
          <w:highlight w:val="none"/>
        </w:rPr>
      </w:pPr>
    </w:p>
    <w:p w14:paraId="68FF4E77">
      <w:pPr>
        <w:pStyle w:val="38"/>
        <w:ind w:firstLine="0" w:firstLineChars="0"/>
        <w:rPr>
          <w:color w:val="auto"/>
          <w:highlight w:val="none"/>
        </w:rPr>
      </w:pPr>
    </w:p>
    <w:p w14:paraId="71075A14">
      <w:pPr>
        <w:ind w:left="0" w:leftChars="0" w:firstLine="0" w:firstLineChars="0"/>
        <w:rPr>
          <w:color w:val="auto"/>
          <w:highlight w:val="none"/>
        </w:rPr>
      </w:pPr>
    </w:p>
    <w:p w14:paraId="23C341AE">
      <w:pPr>
        <w:pStyle w:val="3"/>
        <w:ind w:firstLine="0" w:firstLineChars="0"/>
        <w:rPr>
          <w:color w:val="auto"/>
          <w:highlight w:val="none"/>
        </w:rPr>
      </w:pPr>
    </w:p>
    <w:p w14:paraId="6640D15F">
      <w:pPr>
        <w:ind w:firstLine="0" w:firstLineChars="0"/>
        <w:rPr>
          <w:rFonts w:ascii="宋体" w:cs="宋体"/>
          <w:color w:val="auto"/>
          <w:highlight w:val="none"/>
        </w:rPr>
      </w:pPr>
    </w:p>
    <w:p w14:paraId="59FB05D0">
      <w:pPr>
        <w:pStyle w:val="23"/>
        <w:ind w:left="960" w:hanging="480"/>
        <w:rPr>
          <w:color w:val="auto"/>
          <w:highlight w:val="none"/>
        </w:rPr>
      </w:pPr>
    </w:p>
    <w:p w14:paraId="7205B5F2">
      <w:pPr>
        <w:spacing w:line="360" w:lineRule="auto"/>
        <w:ind w:firstLine="640"/>
        <w:rPr>
          <w:rFonts w:ascii="宋体" w:cs="宋体"/>
          <w:color w:val="auto"/>
          <w:sz w:val="32"/>
          <w:highlight w:val="none"/>
        </w:rPr>
      </w:pPr>
      <w:r>
        <w:rPr>
          <w:rFonts w:hint="eastAsia" w:ascii="宋体" w:hAnsi="宋体" w:cs="宋体"/>
          <w:color w:val="auto"/>
          <w:sz w:val="32"/>
          <w:highlight w:val="none"/>
        </w:rPr>
        <w:t>项目编号：</w:t>
      </w:r>
      <w:r>
        <w:rPr>
          <w:rFonts w:hint="eastAsia" w:ascii="宋体" w:hAnsi="宋体" w:cs="宋体"/>
          <w:color w:val="auto"/>
          <w:sz w:val="32"/>
          <w:highlight w:val="none"/>
          <w:u w:val="single"/>
          <w:lang w:eastAsia="zh-CN"/>
        </w:rPr>
        <w:t>LYCG2025YX-044</w:t>
      </w:r>
      <w:r>
        <w:rPr>
          <w:rFonts w:ascii="宋体" w:hAnsi="宋体" w:cs="宋体"/>
          <w:color w:val="auto"/>
          <w:sz w:val="32"/>
          <w:highlight w:val="none"/>
          <w:u w:val="single"/>
        </w:rPr>
        <w:t xml:space="preserve">                       </w:t>
      </w:r>
    </w:p>
    <w:p w14:paraId="3102ABA1">
      <w:pPr>
        <w:spacing w:line="360" w:lineRule="auto"/>
        <w:ind w:firstLine="640"/>
        <w:rPr>
          <w:rFonts w:ascii="宋体" w:cs="宋体"/>
          <w:color w:val="auto"/>
          <w:sz w:val="32"/>
          <w:highlight w:val="none"/>
          <w:u w:val="single"/>
        </w:rPr>
      </w:pPr>
      <w:r>
        <w:rPr>
          <w:rFonts w:hint="eastAsia" w:ascii="宋体" w:hAnsi="宋体" w:cs="宋体"/>
          <w:color w:val="auto"/>
          <w:sz w:val="32"/>
          <w:highlight w:val="none"/>
        </w:rPr>
        <w:t>投</w:t>
      </w:r>
      <w:r>
        <w:rPr>
          <w:rFonts w:ascii="宋体" w:hAnsi="宋体" w:cs="宋体"/>
          <w:color w:val="auto"/>
          <w:sz w:val="32"/>
          <w:highlight w:val="none"/>
        </w:rPr>
        <w:t xml:space="preserve"> </w:t>
      </w:r>
      <w:r>
        <w:rPr>
          <w:rFonts w:hint="eastAsia" w:ascii="宋体" w:hAnsi="宋体" w:cs="宋体"/>
          <w:color w:val="auto"/>
          <w:sz w:val="32"/>
          <w:highlight w:val="none"/>
        </w:rPr>
        <w:t>标</w:t>
      </w:r>
      <w:r>
        <w:rPr>
          <w:rFonts w:ascii="宋体" w:hAnsi="宋体" w:cs="宋体"/>
          <w:color w:val="auto"/>
          <w:sz w:val="32"/>
          <w:highlight w:val="none"/>
        </w:rPr>
        <w:t xml:space="preserve"> </w:t>
      </w:r>
      <w:r>
        <w:rPr>
          <w:rFonts w:hint="eastAsia" w:ascii="宋体" w:hAnsi="宋体" w:cs="宋体"/>
          <w:color w:val="auto"/>
          <w:sz w:val="32"/>
          <w:highlight w:val="none"/>
        </w:rPr>
        <w:t>人：</w:t>
      </w:r>
      <w:r>
        <w:rPr>
          <w:rFonts w:ascii="宋体" w:hAnsi="宋体" w:cs="宋体"/>
          <w:color w:val="auto"/>
          <w:sz w:val="32"/>
          <w:highlight w:val="none"/>
          <w:u w:val="single"/>
        </w:rPr>
        <w:t xml:space="preserve">        </w:t>
      </w:r>
      <w:r>
        <w:rPr>
          <w:rFonts w:hint="eastAsia" w:ascii="宋体" w:hAnsi="宋体" w:cs="宋体"/>
          <w:color w:val="auto"/>
          <w:sz w:val="32"/>
          <w:highlight w:val="none"/>
          <w:u w:val="single"/>
        </w:rPr>
        <w:t>（全称）（加盖公章）</w:t>
      </w:r>
      <w:r>
        <w:rPr>
          <w:rFonts w:ascii="宋体" w:hAnsi="宋体" w:cs="宋体"/>
          <w:color w:val="auto"/>
          <w:sz w:val="32"/>
          <w:highlight w:val="none"/>
          <w:u w:val="single"/>
        </w:rPr>
        <w:t xml:space="preserve">          </w:t>
      </w:r>
    </w:p>
    <w:p w14:paraId="62DF69ED">
      <w:pPr>
        <w:spacing w:line="360" w:lineRule="auto"/>
        <w:ind w:firstLine="640"/>
        <w:rPr>
          <w:rFonts w:ascii="宋体" w:cs="宋体"/>
          <w:color w:val="auto"/>
          <w:sz w:val="32"/>
          <w:highlight w:val="none"/>
          <w:u w:val="single"/>
        </w:rPr>
      </w:pPr>
      <w:r>
        <w:rPr>
          <w:rFonts w:hint="eastAsia" w:ascii="宋体" w:hAnsi="宋体" w:cs="宋体"/>
          <w:color w:val="auto"/>
          <w:sz w:val="32"/>
          <w:highlight w:val="none"/>
          <w:lang w:eastAsia="zh-CN"/>
        </w:rPr>
        <w:t>法定代表人（或负责人）</w:t>
      </w:r>
      <w:r>
        <w:rPr>
          <w:rFonts w:hint="eastAsia" w:ascii="宋体" w:hAnsi="宋体" w:cs="宋体"/>
          <w:color w:val="auto"/>
          <w:sz w:val="32"/>
          <w:highlight w:val="none"/>
        </w:rPr>
        <w:t>或授权代表人签字或盖章：</w:t>
      </w:r>
    </w:p>
    <w:p w14:paraId="44B2A76D">
      <w:pPr>
        <w:spacing w:line="360" w:lineRule="auto"/>
        <w:ind w:firstLine="640"/>
        <w:rPr>
          <w:rFonts w:ascii="宋体" w:cs="宋体"/>
          <w:color w:val="auto"/>
          <w:sz w:val="32"/>
          <w:highlight w:val="none"/>
          <w:u w:val="single"/>
        </w:rPr>
      </w:pPr>
      <w:r>
        <w:rPr>
          <w:rFonts w:hint="eastAsia" w:ascii="宋体" w:hAnsi="宋体" w:cs="宋体"/>
          <w:color w:val="auto"/>
          <w:sz w:val="32"/>
          <w:highlight w:val="none"/>
        </w:rPr>
        <w:t>投标人地址：</w:t>
      </w:r>
    </w:p>
    <w:p w14:paraId="088E0F7E">
      <w:pPr>
        <w:spacing w:line="360" w:lineRule="auto"/>
        <w:ind w:firstLine="0" w:firstLineChars="0"/>
        <w:jc w:val="center"/>
        <w:rPr>
          <w:rFonts w:ascii="宋体" w:hAnsi="宋体" w:cs="宋体"/>
          <w:b/>
          <w:bCs/>
          <w:color w:val="auto"/>
          <w:highlight w:val="none"/>
        </w:rPr>
      </w:pPr>
      <w:r>
        <w:rPr>
          <w:rFonts w:hint="eastAsia" w:ascii="宋体" w:hAnsi="宋体" w:cs="宋体"/>
          <w:color w:val="auto"/>
          <w:sz w:val="32"/>
          <w:highlight w:val="none"/>
          <w:lang w:eastAsia="zh-CN"/>
        </w:rPr>
        <w:t>二  〇 二</w:t>
      </w:r>
      <w:r>
        <w:rPr>
          <w:rFonts w:hint="eastAsia" w:ascii="宋体" w:hAnsi="宋体" w:cs="宋体"/>
          <w:color w:val="auto"/>
          <w:sz w:val="32"/>
          <w:highlight w:val="none"/>
          <w:lang w:val="en-US" w:eastAsia="zh-CN"/>
        </w:rPr>
        <w:t>五</w:t>
      </w:r>
      <w:r>
        <w:rPr>
          <w:rFonts w:hint="eastAsia" w:ascii="宋体" w:hAnsi="宋体" w:cs="宋体"/>
          <w:color w:val="auto"/>
          <w:sz w:val="32"/>
          <w:highlight w:val="none"/>
        </w:rPr>
        <w:t>年</w:t>
      </w:r>
      <w:r>
        <w:rPr>
          <w:rFonts w:ascii="宋体" w:hAnsi="宋体" w:cs="宋体"/>
          <w:color w:val="auto"/>
          <w:sz w:val="32"/>
          <w:highlight w:val="none"/>
        </w:rPr>
        <w:t xml:space="preserve">    </w:t>
      </w:r>
      <w:r>
        <w:rPr>
          <w:rFonts w:hint="eastAsia" w:ascii="宋体" w:hAnsi="宋体" w:cs="宋体"/>
          <w:color w:val="auto"/>
          <w:sz w:val="32"/>
          <w:highlight w:val="none"/>
        </w:rPr>
        <w:t>月</w:t>
      </w:r>
      <w:r>
        <w:rPr>
          <w:rFonts w:ascii="宋体" w:hAnsi="宋体" w:cs="宋体"/>
          <w:color w:val="auto"/>
          <w:sz w:val="32"/>
          <w:highlight w:val="none"/>
        </w:rPr>
        <w:t xml:space="preserve">    </w:t>
      </w:r>
      <w:r>
        <w:rPr>
          <w:rFonts w:hint="eastAsia" w:ascii="宋体" w:hAnsi="宋体" w:cs="宋体"/>
          <w:color w:val="auto"/>
          <w:sz w:val="32"/>
          <w:highlight w:val="none"/>
        </w:rPr>
        <w:t>日</w:t>
      </w:r>
    </w:p>
    <w:bookmarkEnd w:id="1023"/>
    <w:bookmarkEnd w:id="1024"/>
    <w:bookmarkEnd w:id="1025"/>
    <w:bookmarkEnd w:id="1026"/>
    <w:bookmarkEnd w:id="1027"/>
    <w:bookmarkEnd w:id="1028"/>
    <w:bookmarkEnd w:id="1029"/>
    <w:bookmarkEnd w:id="1030"/>
    <w:bookmarkEnd w:id="1122"/>
    <w:bookmarkEnd w:id="1123"/>
    <w:bookmarkEnd w:id="1124"/>
    <w:bookmarkEnd w:id="1125"/>
    <w:bookmarkEnd w:id="1126"/>
    <w:bookmarkEnd w:id="1127"/>
    <w:bookmarkEnd w:id="1128"/>
    <w:bookmarkEnd w:id="1129"/>
    <w:bookmarkEnd w:id="1130"/>
    <w:bookmarkEnd w:id="1131"/>
    <w:bookmarkEnd w:id="1132"/>
    <w:p w14:paraId="69FD3C0B">
      <w:pPr>
        <w:adjustRightInd/>
        <w:snapToGrid/>
        <w:spacing w:line="240" w:lineRule="auto"/>
        <w:ind w:firstLine="0" w:firstLineChars="0"/>
        <w:jc w:val="left"/>
        <w:outlineLvl w:val="0"/>
        <w:rPr>
          <w:rFonts w:hint="eastAsia" w:ascii="宋体" w:hAnsi="宋体" w:cs="宋体"/>
          <w:b/>
          <w:bCs/>
          <w:color w:val="auto"/>
          <w:highlight w:val="none"/>
        </w:rPr>
      </w:pPr>
      <w:bookmarkStart w:id="1165" w:name="_Toc4446"/>
      <w:bookmarkStart w:id="1166" w:name="_Toc24806"/>
      <w:bookmarkStart w:id="1167" w:name="_Toc5001"/>
      <w:bookmarkStart w:id="1168" w:name="_Toc29559"/>
      <w:bookmarkStart w:id="1169" w:name="_Toc14738"/>
      <w:bookmarkStart w:id="1170" w:name="_Toc16479"/>
      <w:bookmarkStart w:id="1171" w:name="_Toc15300"/>
      <w:bookmarkStart w:id="1172" w:name="_Toc31947"/>
      <w:bookmarkStart w:id="1173" w:name="_Toc26523"/>
      <w:bookmarkStart w:id="1174" w:name="_Toc12026"/>
      <w:bookmarkStart w:id="1175" w:name="_Toc23633"/>
      <w:bookmarkStart w:id="1176" w:name="_Toc20335"/>
      <w:bookmarkStart w:id="1177" w:name="_Toc18953"/>
      <w:bookmarkStart w:id="1178" w:name="_Toc9858"/>
      <w:bookmarkStart w:id="1179" w:name="_Toc4867"/>
      <w:bookmarkStart w:id="1180" w:name="_Toc9532"/>
      <w:bookmarkStart w:id="1181" w:name="_Toc14897"/>
      <w:bookmarkStart w:id="1182" w:name="_Toc15691"/>
      <w:bookmarkStart w:id="1183" w:name="_Toc29795"/>
      <w:bookmarkStart w:id="1184" w:name="_Toc382"/>
      <w:bookmarkStart w:id="1185" w:name="_Toc2371"/>
      <w:bookmarkStart w:id="1186" w:name="_Toc31751"/>
      <w:bookmarkStart w:id="1187" w:name="_Toc20512"/>
      <w:bookmarkStart w:id="1188" w:name="_Toc26782"/>
      <w:bookmarkStart w:id="1189" w:name="_Toc21567"/>
      <w:bookmarkStart w:id="1190" w:name="_Toc595"/>
      <w:bookmarkStart w:id="1191" w:name="_Toc4725"/>
      <w:bookmarkStart w:id="1192" w:name="_Toc10310"/>
      <w:bookmarkStart w:id="1193" w:name="_Toc13697"/>
      <w:bookmarkStart w:id="1194" w:name="_Toc13480"/>
      <w:bookmarkStart w:id="1195" w:name="_Toc32089"/>
      <w:bookmarkStart w:id="1196" w:name="_Toc737"/>
      <w:bookmarkStart w:id="1197" w:name="_Toc12758"/>
      <w:bookmarkStart w:id="1198" w:name="_Toc18281"/>
      <w:bookmarkStart w:id="1199" w:name="_Toc5269"/>
      <w:bookmarkStart w:id="1200" w:name="_Toc6399"/>
      <w:bookmarkStart w:id="1201" w:name="_Toc15867"/>
      <w:bookmarkStart w:id="1202" w:name="_Toc30862"/>
      <w:bookmarkStart w:id="1203" w:name="_Toc5296"/>
      <w:bookmarkStart w:id="1204" w:name="_Toc6452"/>
      <w:bookmarkStart w:id="1205" w:name="_Toc25370"/>
    </w:p>
    <w:p w14:paraId="096D9609">
      <w:pPr>
        <w:adjustRightInd/>
        <w:snapToGrid/>
        <w:spacing w:line="240" w:lineRule="auto"/>
        <w:ind w:firstLine="0" w:firstLineChars="0"/>
        <w:jc w:val="left"/>
        <w:outlineLvl w:val="0"/>
        <w:rPr>
          <w:rFonts w:hint="eastAsia" w:ascii="宋体" w:hAnsi="宋体" w:eastAsia="宋体" w:cs="宋体"/>
          <w:b/>
          <w:bCs w:val="0"/>
          <w:color w:val="auto"/>
          <w:sz w:val="32"/>
          <w:szCs w:val="32"/>
          <w:highlight w:val="none"/>
          <w:lang w:val="en-US" w:eastAsia="zh-CN" w:bidi="ar"/>
        </w:rPr>
      </w:pPr>
      <w:r>
        <w:rPr>
          <w:rFonts w:hint="eastAsia" w:ascii="宋体" w:hAnsi="宋体" w:cs="宋体"/>
          <w:b/>
          <w:bCs/>
          <w:color w:val="auto"/>
          <w:highlight w:val="none"/>
        </w:rPr>
        <w:t>附件</w:t>
      </w:r>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Start w:id="1206" w:name="_Toc21000"/>
      <w:bookmarkStart w:id="1207" w:name="_Toc6443"/>
      <w:bookmarkStart w:id="1208" w:name="_Toc12184"/>
      <w:bookmarkStart w:id="1209" w:name="_Toc18562"/>
      <w:bookmarkStart w:id="1210" w:name="_Toc2143"/>
      <w:bookmarkStart w:id="1211" w:name="_Toc16332"/>
      <w:bookmarkStart w:id="1212" w:name="_Toc18677"/>
      <w:bookmarkStart w:id="1213" w:name="_Toc55379715"/>
      <w:bookmarkStart w:id="1214" w:name="_Toc28788"/>
      <w:bookmarkStart w:id="1215" w:name="_Toc27830"/>
      <w:bookmarkStart w:id="1216" w:name="_Toc28132"/>
      <w:bookmarkStart w:id="1217" w:name="_Toc17803"/>
      <w:bookmarkStart w:id="1218" w:name="_Toc12407"/>
      <w:bookmarkStart w:id="1219" w:name="_Toc2307"/>
      <w:bookmarkStart w:id="1220" w:name="_Toc60021277"/>
      <w:bookmarkStart w:id="1221" w:name="_Toc1322"/>
      <w:bookmarkStart w:id="1222" w:name="_Toc7665"/>
      <w:bookmarkStart w:id="1223" w:name="_Toc27481"/>
      <w:bookmarkStart w:id="1224" w:name="_Toc31244"/>
      <w:bookmarkStart w:id="1225" w:name="_Toc32506"/>
      <w:bookmarkStart w:id="1226" w:name="_Toc28144"/>
      <w:bookmarkStart w:id="1227" w:name="_Toc37493332"/>
      <w:bookmarkStart w:id="1228" w:name="_Toc20561"/>
      <w:bookmarkStart w:id="1229" w:name="_Toc3610"/>
      <w:bookmarkStart w:id="1230" w:name="_Toc20509"/>
      <w:bookmarkStart w:id="1231" w:name="_Toc23735"/>
      <w:bookmarkStart w:id="1232" w:name="_Toc17004"/>
      <w:bookmarkStart w:id="1233" w:name="_Toc13048"/>
      <w:bookmarkStart w:id="1234" w:name="_Toc294166745"/>
      <w:bookmarkStart w:id="1235" w:name="_Toc4312"/>
      <w:bookmarkStart w:id="1236" w:name="_Toc11793"/>
      <w:bookmarkStart w:id="1237" w:name="_Toc12288"/>
      <w:bookmarkStart w:id="1238" w:name="_Toc29581"/>
      <w:bookmarkStart w:id="1239" w:name="_Toc20431"/>
      <w:bookmarkStart w:id="1240" w:name="_Toc19191"/>
      <w:bookmarkStart w:id="1241" w:name="_Toc16975"/>
      <w:bookmarkStart w:id="1242" w:name="_Toc15176"/>
      <w:r>
        <w:rPr>
          <w:rFonts w:hint="eastAsia" w:ascii="宋体" w:hAnsi="宋体" w:cs="宋体"/>
          <w:b/>
          <w:bCs/>
          <w:color w:val="auto"/>
          <w:highlight w:val="none"/>
          <w:lang w:val="en-US" w:eastAsia="zh-CN"/>
        </w:rPr>
        <w:t>5</w:t>
      </w:r>
    </w:p>
    <w:bookmarkEnd w:id="1206"/>
    <w:bookmarkEnd w:id="1207"/>
    <w:bookmarkEnd w:id="1208"/>
    <w:p w14:paraId="4CC3F319">
      <w:pPr>
        <w:keepNext w:val="0"/>
        <w:keepLines w:val="0"/>
        <w:widowControl w:val="0"/>
        <w:suppressLineNumbers w:val="0"/>
        <w:adjustRightInd w:val="0"/>
        <w:snapToGrid w:val="0"/>
        <w:spacing w:before="0" w:beforeAutospacing="0" w:after="0" w:afterAutospacing="0" w:line="500" w:lineRule="exact"/>
        <w:ind w:left="0" w:right="0" w:firstLine="0" w:firstLineChars="0"/>
        <w:jc w:val="center"/>
        <w:rPr>
          <w:rFonts w:hint="eastAsia" w:ascii="宋体" w:hAnsi="宋体" w:eastAsia="宋体" w:cs="宋体"/>
          <w:b/>
          <w:bCs w:val="0"/>
          <w:color w:val="auto"/>
          <w:kern w:val="2"/>
          <w:sz w:val="32"/>
          <w:szCs w:val="32"/>
          <w:highlight w:val="none"/>
          <w:lang w:val="en-US" w:eastAsia="zh-CN" w:bidi="ar"/>
        </w:rPr>
      </w:pPr>
      <w:bookmarkStart w:id="1243" w:name="_Toc17572"/>
      <w:bookmarkStart w:id="1244" w:name="_Toc28057"/>
      <w:bookmarkStart w:id="1245" w:name="_Toc18978"/>
      <w:bookmarkStart w:id="1246" w:name="_Toc5955"/>
      <w:bookmarkStart w:id="1247" w:name="_Toc15273"/>
      <w:bookmarkStart w:id="1248" w:name="_Toc19562"/>
      <w:bookmarkStart w:id="1249" w:name="_Toc12871"/>
      <w:bookmarkStart w:id="1250" w:name="_Toc30602"/>
      <w:bookmarkStart w:id="1251" w:name="_Toc22456"/>
      <w:bookmarkStart w:id="1252" w:name="_Toc904"/>
      <w:bookmarkStart w:id="1253" w:name="_Toc6746"/>
      <w:bookmarkStart w:id="1254" w:name="_Toc5829"/>
      <w:bookmarkStart w:id="1255" w:name="_Toc2545"/>
      <w:bookmarkStart w:id="1256" w:name="_Toc30377"/>
      <w:bookmarkStart w:id="1257" w:name="_Toc10746"/>
      <w:bookmarkStart w:id="1258" w:name="_Toc7624"/>
      <w:bookmarkStart w:id="1259" w:name="_Toc3709"/>
      <w:bookmarkStart w:id="1260" w:name="_Toc14311"/>
      <w:r>
        <w:rPr>
          <w:rFonts w:hint="eastAsia" w:ascii="宋体" w:hAnsi="宋体" w:eastAsia="宋体" w:cs="宋体"/>
          <w:b/>
          <w:bCs w:val="0"/>
          <w:color w:val="auto"/>
          <w:kern w:val="2"/>
          <w:sz w:val="32"/>
          <w:szCs w:val="32"/>
          <w:highlight w:val="none"/>
          <w:lang w:val="en-US" w:eastAsia="zh-CN" w:bidi="ar"/>
        </w:rPr>
        <w:t>技术偏离表</w:t>
      </w:r>
    </w:p>
    <w:p w14:paraId="2C21FE0E">
      <w:pPr>
        <w:snapToGrid w:val="0"/>
        <w:ind w:left="0" w:leftChars="0" w:firstLine="0" w:firstLineChars="0"/>
        <w:rPr>
          <w:rFonts w:hAnsi="宋体"/>
          <w:color w:val="auto"/>
          <w:kern w:val="2"/>
          <w:sz w:val="24"/>
          <w:szCs w:val="28"/>
          <w:highlight w:val="none"/>
        </w:rPr>
      </w:pPr>
      <w:r>
        <w:rPr>
          <w:rFonts w:hAnsi="宋体"/>
          <w:color w:val="auto"/>
          <w:kern w:val="2"/>
          <w:sz w:val="24"/>
          <w:szCs w:val="28"/>
          <w:highlight w:val="none"/>
        </w:rPr>
        <w:t>项目名称：</w:t>
      </w:r>
    </w:p>
    <w:p w14:paraId="180D9D25">
      <w:pPr>
        <w:pStyle w:val="2"/>
        <w:ind w:firstLine="0" w:firstLineChars="0"/>
        <w:rPr>
          <w:rFonts w:hint="eastAsia"/>
          <w:color w:val="auto"/>
          <w:highlight w:val="none"/>
        </w:rPr>
      </w:pPr>
      <w:r>
        <w:rPr>
          <w:rFonts w:hAnsi="宋体"/>
          <w:color w:val="auto"/>
          <w:kern w:val="2"/>
          <w:sz w:val="24"/>
          <w:szCs w:val="28"/>
          <w:highlight w:val="none"/>
        </w:rPr>
        <w:t>项目编号：</w:t>
      </w:r>
      <w:r>
        <w:rPr>
          <w:rFonts w:hAnsi="宋体"/>
          <w:snapToGrid w:val="0"/>
          <w:color w:val="auto"/>
          <w:sz w:val="24"/>
          <w:szCs w:val="28"/>
          <w:highlight w:val="none"/>
        </w:rPr>
        <w:t xml:space="preserve"> </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307"/>
        <w:gridCol w:w="1928"/>
        <w:gridCol w:w="1683"/>
        <w:gridCol w:w="3437"/>
      </w:tblGrid>
      <w:tr w14:paraId="3FFC3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1088" w:type="dxa"/>
            <w:tcBorders>
              <w:bottom w:val="single" w:color="auto" w:sz="4" w:space="0"/>
            </w:tcBorders>
            <w:noWrap w:val="0"/>
            <w:vAlign w:val="center"/>
          </w:tcPr>
          <w:p w14:paraId="78723254">
            <w:pPr>
              <w:keepNext w:val="0"/>
              <w:keepLines w:val="0"/>
              <w:suppressLineNumbers w:val="0"/>
              <w:snapToGrid w:val="0"/>
              <w:spacing w:before="0" w:beforeLines="0" w:beforeAutospacing="0" w:after="0" w:afterLines="0" w:afterAutospacing="0"/>
              <w:ind w:left="0" w:right="0" w:firstLine="240" w:firstLineChars="100"/>
              <w:jc w:val="left"/>
              <w:rPr>
                <w:rFonts w:hint="default" w:ascii="宋体" w:hAnsi="宋体" w:cs="宋体"/>
                <w:color w:val="auto"/>
                <w:sz w:val="24"/>
                <w:szCs w:val="20"/>
                <w:highlight w:val="none"/>
              </w:rPr>
            </w:pPr>
            <w:r>
              <w:rPr>
                <w:rFonts w:hint="eastAsia" w:ascii="宋体" w:hAnsi="宋体" w:cs="宋体"/>
                <w:color w:val="auto"/>
                <w:sz w:val="24"/>
                <w:szCs w:val="20"/>
                <w:highlight w:val="none"/>
              </w:rPr>
              <w:t>序号</w:t>
            </w:r>
          </w:p>
        </w:tc>
        <w:tc>
          <w:tcPr>
            <w:tcW w:w="1307" w:type="dxa"/>
            <w:tcBorders>
              <w:bottom w:val="single" w:color="auto" w:sz="4" w:space="0"/>
            </w:tcBorders>
            <w:noWrap w:val="0"/>
            <w:vAlign w:val="center"/>
          </w:tcPr>
          <w:p w14:paraId="01E781B4">
            <w:pPr>
              <w:keepNext w:val="0"/>
              <w:keepLines w:val="0"/>
              <w:suppressLineNumbers w:val="0"/>
              <w:snapToGrid w:val="0"/>
              <w:spacing w:before="0" w:beforeLines="0" w:beforeAutospacing="0" w:after="0" w:afterLines="0" w:afterAutospacing="0"/>
              <w:ind w:left="0" w:right="0" w:firstLine="0" w:firstLineChars="0"/>
              <w:jc w:val="left"/>
              <w:rPr>
                <w:rFonts w:hint="default" w:ascii="宋体" w:hAnsi="宋体" w:cs="宋体"/>
                <w:color w:val="auto"/>
                <w:sz w:val="24"/>
                <w:szCs w:val="20"/>
                <w:highlight w:val="none"/>
              </w:rPr>
            </w:pPr>
            <w:r>
              <w:rPr>
                <w:rFonts w:hint="eastAsia" w:ascii="宋体" w:hAnsi="宋体" w:cs="宋体"/>
                <w:color w:val="auto"/>
                <w:sz w:val="24"/>
                <w:szCs w:val="20"/>
                <w:highlight w:val="none"/>
              </w:rPr>
              <w:t>内容</w:t>
            </w:r>
          </w:p>
        </w:tc>
        <w:tc>
          <w:tcPr>
            <w:tcW w:w="1928" w:type="dxa"/>
            <w:tcBorders>
              <w:bottom w:val="single" w:color="auto" w:sz="4" w:space="0"/>
            </w:tcBorders>
            <w:noWrap w:val="0"/>
            <w:vAlign w:val="center"/>
          </w:tcPr>
          <w:p w14:paraId="14735CFA">
            <w:pPr>
              <w:keepNext w:val="0"/>
              <w:keepLines w:val="0"/>
              <w:suppressLineNumbers w:val="0"/>
              <w:snapToGrid w:val="0"/>
              <w:spacing w:before="0" w:beforeLines="0" w:beforeAutospacing="0" w:after="0" w:afterLines="0" w:afterAutospacing="0"/>
              <w:ind w:left="0" w:right="0" w:firstLine="0" w:firstLineChars="0"/>
              <w:jc w:val="left"/>
              <w:rPr>
                <w:rFonts w:hint="default" w:ascii="宋体" w:hAnsi="宋体" w:cs="宋体"/>
                <w:color w:val="auto"/>
                <w:sz w:val="24"/>
                <w:szCs w:val="20"/>
                <w:highlight w:val="none"/>
              </w:rPr>
            </w:pPr>
            <w:r>
              <w:rPr>
                <w:rFonts w:hint="eastAsia" w:ascii="宋体" w:hAnsi="宋体" w:cs="宋体"/>
                <w:color w:val="auto"/>
                <w:sz w:val="24"/>
                <w:szCs w:val="20"/>
                <w:highlight w:val="none"/>
              </w:rPr>
              <w:t>招标文件</w:t>
            </w:r>
          </w:p>
          <w:p w14:paraId="092F6AAB">
            <w:pPr>
              <w:keepNext w:val="0"/>
              <w:keepLines w:val="0"/>
              <w:suppressLineNumbers w:val="0"/>
              <w:snapToGrid w:val="0"/>
              <w:spacing w:before="0" w:beforeLines="0" w:beforeAutospacing="0" w:after="0" w:afterLines="0" w:afterAutospacing="0"/>
              <w:ind w:left="0" w:right="0" w:firstLine="0" w:firstLineChars="0"/>
              <w:jc w:val="left"/>
              <w:rPr>
                <w:rFonts w:hint="default" w:ascii="宋体" w:hAnsi="宋体" w:cs="宋体"/>
                <w:color w:val="auto"/>
                <w:sz w:val="24"/>
                <w:szCs w:val="20"/>
                <w:highlight w:val="none"/>
              </w:rPr>
            </w:pPr>
            <w:r>
              <w:rPr>
                <w:rFonts w:hint="eastAsia" w:ascii="宋体" w:hAnsi="宋体" w:cs="宋体"/>
                <w:color w:val="auto"/>
                <w:sz w:val="24"/>
                <w:szCs w:val="20"/>
                <w:highlight w:val="none"/>
              </w:rPr>
              <w:t>规范要求</w:t>
            </w:r>
          </w:p>
        </w:tc>
        <w:tc>
          <w:tcPr>
            <w:tcW w:w="1683" w:type="dxa"/>
            <w:tcBorders>
              <w:bottom w:val="single" w:color="auto" w:sz="4" w:space="0"/>
            </w:tcBorders>
            <w:noWrap w:val="0"/>
            <w:vAlign w:val="center"/>
          </w:tcPr>
          <w:p w14:paraId="07C9C968">
            <w:pPr>
              <w:keepNext w:val="0"/>
              <w:keepLines w:val="0"/>
              <w:suppressLineNumbers w:val="0"/>
              <w:snapToGrid w:val="0"/>
              <w:spacing w:before="0" w:beforeLines="0" w:beforeAutospacing="0" w:after="0" w:afterLines="0" w:afterAutospacing="0"/>
              <w:ind w:left="0" w:right="0" w:firstLine="0" w:firstLineChars="0"/>
              <w:jc w:val="left"/>
              <w:rPr>
                <w:rFonts w:hint="default" w:ascii="宋体" w:hAnsi="宋体" w:cs="宋体"/>
                <w:color w:val="auto"/>
                <w:sz w:val="24"/>
                <w:szCs w:val="20"/>
                <w:highlight w:val="none"/>
              </w:rPr>
            </w:pPr>
            <w:r>
              <w:rPr>
                <w:rFonts w:hint="eastAsia" w:ascii="宋体" w:hAnsi="宋体" w:cs="宋体"/>
                <w:color w:val="auto"/>
                <w:sz w:val="24"/>
                <w:szCs w:val="20"/>
                <w:highlight w:val="none"/>
              </w:rPr>
              <w:t>投标文件对应规范</w:t>
            </w:r>
          </w:p>
        </w:tc>
        <w:tc>
          <w:tcPr>
            <w:tcW w:w="3437" w:type="dxa"/>
            <w:tcBorders>
              <w:bottom w:val="single" w:color="auto" w:sz="4" w:space="0"/>
            </w:tcBorders>
            <w:noWrap w:val="0"/>
            <w:vAlign w:val="center"/>
          </w:tcPr>
          <w:p w14:paraId="76786386">
            <w:pPr>
              <w:keepNext w:val="0"/>
              <w:keepLines w:val="0"/>
              <w:suppressLineNumbers w:val="0"/>
              <w:snapToGrid w:val="0"/>
              <w:spacing w:before="0" w:beforeLines="0" w:beforeAutospacing="0" w:after="0" w:afterLines="0" w:afterAutospacing="0"/>
              <w:ind w:left="0" w:right="0" w:firstLine="0" w:firstLineChars="0"/>
              <w:jc w:val="left"/>
              <w:rPr>
                <w:rFonts w:hint="default" w:ascii="宋体" w:hAnsi="宋体" w:cs="宋体"/>
                <w:color w:val="auto"/>
                <w:sz w:val="24"/>
                <w:szCs w:val="20"/>
                <w:highlight w:val="none"/>
              </w:rPr>
            </w:pPr>
            <w:r>
              <w:rPr>
                <w:rFonts w:hint="eastAsia" w:ascii="宋体" w:hAnsi="宋体" w:cs="宋体"/>
                <w:color w:val="auto"/>
                <w:sz w:val="24"/>
                <w:szCs w:val="20"/>
                <w:highlight w:val="none"/>
              </w:rPr>
              <w:t>偏离情况（注明正偏离、负偏离或无偏离）</w:t>
            </w:r>
          </w:p>
        </w:tc>
      </w:tr>
      <w:tr w14:paraId="0682B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jc w:val="center"/>
        </w:trPr>
        <w:tc>
          <w:tcPr>
            <w:tcW w:w="1088" w:type="dxa"/>
            <w:noWrap w:val="0"/>
            <w:vAlign w:val="top"/>
          </w:tcPr>
          <w:p w14:paraId="5988998E">
            <w:pPr>
              <w:keepNext w:val="0"/>
              <w:keepLines w:val="0"/>
              <w:suppressLineNumbers w:val="0"/>
              <w:spacing w:before="0" w:beforeLines="0" w:beforeAutospacing="0" w:after="0" w:afterLines="0" w:afterAutospacing="0"/>
              <w:ind w:left="0" w:right="0"/>
              <w:jc w:val="center"/>
              <w:rPr>
                <w:rFonts w:hint="default" w:ascii="宋体" w:hAnsi="宋体" w:cs="宋体"/>
                <w:color w:val="auto"/>
                <w:sz w:val="24"/>
                <w:szCs w:val="20"/>
                <w:highlight w:val="none"/>
              </w:rPr>
            </w:pPr>
          </w:p>
        </w:tc>
        <w:tc>
          <w:tcPr>
            <w:tcW w:w="1307" w:type="dxa"/>
            <w:noWrap w:val="0"/>
            <w:vAlign w:val="top"/>
          </w:tcPr>
          <w:p w14:paraId="48D1387A">
            <w:pPr>
              <w:keepNext w:val="0"/>
              <w:keepLines w:val="0"/>
              <w:suppressLineNumbers w:val="0"/>
              <w:spacing w:before="0" w:beforeLines="0" w:beforeAutospacing="0" w:after="0" w:afterLines="0" w:afterAutospacing="0"/>
              <w:ind w:left="0" w:right="0"/>
              <w:rPr>
                <w:rFonts w:hint="default" w:ascii="宋体" w:hAnsi="宋体" w:cs="宋体"/>
                <w:color w:val="auto"/>
                <w:sz w:val="24"/>
                <w:szCs w:val="20"/>
                <w:highlight w:val="none"/>
              </w:rPr>
            </w:pPr>
          </w:p>
        </w:tc>
        <w:tc>
          <w:tcPr>
            <w:tcW w:w="1928" w:type="dxa"/>
            <w:noWrap w:val="0"/>
            <w:vAlign w:val="top"/>
          </w:tcPr>
          <w:p w14:paraId="4BB0DEA1">
            <w:pPr>
              <w:keepNext w:val="0"/>
              <w:keepLines w:val="0"/>
              <w:suppressLineNumbers w:val="0"/>
              <w:spacing w:before="0" w:beforeLines="0" w:beforeAutospacing="0" w:after="0" w:afterLines="0" w:afterAutospacing="0"/>
              <w:ind w:left="0" w:right="0"/>
              <w:rPr>
                <w:rFonts w:hint="default" w:ascii="宋体" w:hAnsi="宋体" w:cs="宋体"/>
                <w:color w:val="auto"/>
                <w:sz w:val="24"/>
                <w:szCs w:val="20"/>
                <w:highlight w:val="none"/>
              </w:rPr>
            </w:pPr>
          </w:p>
        </w:tc>
        <w:tc>
          <w:tcPr>
            <w:tcW w:w="1683" w:type="dxa"/>
            <w:noWrap w:val="0"/>
            <w:vAlign w:val="top"/>
          </w:tcPr>
          <w:p w14:paraId="3A7A958D">
            <w:pPr>
              <w:keepNext w:val="0"/>
              <w:keepLines w:val="0"/>
              <w:suppressLineNumbers w:val="0"/>
              <w:spacing w:before="0" w:beforeLines="0" w:beforeAutospacing="0" w:after="0" w:afterLines="0" w:afterAutospacing="0"/>
              <w:ind w:left="0" w:right="0"/>
              <w:rPr>
                <w:rFonts w:hint="default" w:ascii="宋体" w:hAnsi="宋体" w:cs="宋体"/>
                <w:color w:val="auto"/>
                <w:sz w:val="24"/>
                <w:szCs w:val="20"/>
                <w:highlight w:val="none"/>
              </w:rPr>
            </w:pPr>
          </w:p>
        </w:tc>
        <w:tc>
          <w:tcPr>
            <w:tcW w:w="3437" w:type="dxa"/>
            <w:noWrap w:val="0"/>
            <w:vAlign w:val="top"/>
          </w:tcPr>
          <w:p w14:paraId="66B4838D">
            <w:pPr>
              <w:keepNext w:val="0"/>
              <w:keepLines w:val="0"/>
              <w:suppressLineNumbers w:val="0"/>
              <w:spacing w:before="0" w:beforeLines="0" w:beforeAutospacing="0" w:after="0" w:afterLines="0" w:afterAutospacing="0"/>
              <w:ind w:left="0" w:right="0"/>
              <w:rPr>
                <w:rFonts w:hint="default" w:ascii="宋体" w:hAnsi="宋体" w:cs="宋体"/>
                <w:color w:val="auto"/>
                <w:sz w:val="24"/>
                <w:szCs w:val="20"/>
                <w:highlight w:val="none"/>
              </w:rPr>
            </w:pPr>
          </w:p>
        </w:tc>
      </w:tr>
      <w:tr w14:paraId="01594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088" w:type="dxa"/>
            <w:noWrap w:val="0"/>
            <w:vAlign w:val="top"/>
          </w:tcPr>
          <w:p w14:paraId="7F9F3698">
            <w:pPr>
              <w:keepNext w:val="0"/>
              <w:keepLines w:val="0"/>
              <w:suppressLineNumbers w:val="0"/>
              <w:spacing w:before="0" w:beforeLines="0" w:beforeAutospacing="0" w:after="0" w:afterLines="0" w:afterAutospacing="0"/>
              <w:ind w:left="0" w:right="0"/>
              <w:rPr>
                <w:rFonts w:hint="default" w:ascii="宋体" w:hAnsi="宋体" w:cs="宋体"/>
                <w:color w:val="auto"/>
                <w:sz w:val="24"/>
                <w:szCs w:val="20"/>
                <w:highlight w:val="none"/>
              </w:rPr>
            </w:pPr>
          </w:p>
        </w:tc>
        <w:tc>
          <w:tcPr>
            <w:tcW w:w="1307" w:type="dxa"/>
            <w:noWrap w:val="0"/>
            <w:vAlign w:val="top"/>
          </w:tcPr>
          <w:p w14:paraId="6B269354">
            <w:pPr>
              <w:keepNext w:val="0"/>
              <w:keepLines w:val="0"/>
              <w:suppressLineNumbers w:val="0"/>
              <w:spacing w:before="0" w:beforeLines="0" w:beforeAutospacing="0" w:after="0" w:afterLines="0" w:afterAutospacing="0"/>
              <w:ind w:left="0" w:right="0"/>
              <w:rPr>
                <w:rFonts w:hint="default" w:ascii="宋体" w:hAnsi="宋体" w:cs="宋体"/>
                <w:color w:val="auto"/>
                <w:sz w:val="24"/>
                <w:szCs w:val="20"/>
                <w:highlight w:val="none"/>
              </w:rPr>
            </w:pPr>
          </w:p>
        </w:tc>
        <w:tc>
          <w:tcPr>
            <w:tcW w:w="1928" w:type="dxa"/>
            <w:noWrap w:val="0"/>
            <w:vAlign w:val="top"/>
          </w:tcPr>
          <w:p w14:paraId="3BB68F76">
            <w:pPr>
              <w:keepNext w:val="0"/>
              <w:keepLines w:val="0"/>
              <w:suppressLineNumbers w:val="0"/>
              <w:spacing w:before="0" w:beforeLines="0" w:beforeAutospacing="0" w:after="0" w:afterLines="0" w:afterAutospacing="0"/>
              <w:ind w:left="0" w:right="0"/>
              <w:rPr>
                <w:rFonts w:hint="default" w:ascii="宋体" w:hAnsi="宋体" w:cs="宋体"/>
                <w:color w:val="auto"/>
                <w:sz w:val="24"/>
                <w:szCs w:val="20"/>
                <w:highlight w:val="none"/>
              </w:rPr>
            </w:pPr>
          </w:p>
        </w:tc>
        <w:tc>
          <w:tcPr>
            <w:tcW w:w="1683" w:type="dxa"/>
            <w:noWrap w:val="0"/>
            <w:vAlign w:val="top"/>
          </w:tcPr>
          <w:p w14:paraId="312B4766">
            <w:pPr>
              <w:keepNext w:val="0"/>
              <w:keepLines w:val="0"/>
              <w:suppressLineNumbers w:val="0"/>
              <w:spacing w:before="0" w:beforeLines="0" w:beforeAutospacing="0" w:after="0" w:afterLines="0" w:afterAutospacing="0"/>
              <w:ind w:left="0" w:right="0"/>
              <w:rPr>
                <w:rFonts w:hint="default" w:ascii="宋体" w:hAnsi="宋体" w:cs="宋体"/>
                <w:color w:val="auto"/>
                <w:sz w:val="24"/>
                <w:szCs w:val="20"/>
                <w:highlight w:val="none"/>
              </w:rPr>
            </w:pPr>
          </w:p>
        </w:tc>
        <w:tc>
          <w:tcPr>
            <w:tcW w:w="3437" w:type="dxa"/>
            <w:noWrap w:val="0"/>
            <w:vAlign w:val="top"/>
          </w:tcPr>
          <w:p w14:paraId="68149564">
            <w:pPr>
              <w:keepNext w:val="0"/>
              <w:keepLines w:val="0"/>
              <w:suppressLineNumbers w:val="0"/>
              <w:spacing w:before="0" w:beforeLines="0" w:beforeAutospacing="0" w:after="0" w:afterLines="0" w:afterAutospacing="0"/>
              <w:ind w:left="0" w:right="0"/>
              <w:rPr>
                <w:rFonts w:hint="default" w:ascii="宋体" w:hAnsi="宋体" w:cs="宋体"/>
                <w:color w:val="auto"/>
                <w:sz w:val="24"/>
                <w:szCs w:val="20"/>
                <w:highlight w:val="none"/>
              </w:rPr>
            </w:pPr>
          </w:p>
        </w:tc>
      </w:tr>
      <w:tr w14:paraId="0A553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1088" w:type="dxa"/>
            <w:noWrap w:val="0"/>
            <w:vAlign w:val="top"/>
          </w:tcPr>
          <w:p w14:paraId="55824B75">
            <w:pPr>
              <w:keepNext w:val="0"/>
              <w:keepLines w:val="0"/>
              <w:suppressLineNumbers w:val="0"/>
              <w:spacing w:before="0" w:beforeLines="0" w:beforeAutospacing="0" w:after="0" w:afterLines="0" w:afterAutospacing="0"/>
              <w:ind w:left="0" w:right="0"/>
              <w:rPr>
                <w:rFonts w:hint="default" w:ascii="宋体" w:hAnsi="宋体" w:cs="宋体"/>
                <w:color w:val="auto"/>
                <w:sz w:val="24"/>
                <w:szCs w:val="20"/>
                <w:highlight w:val="none"/>
              </w:rPr>
            </w:pPr>
          </w:p>
        </w:tc>
        <w:tc>
          <w:tcPr>
            <w:tcW w:w="1307" w:type="dxa"/>
            <w:noWrap w:val="0"/>
            <w:vAlign w:val="top"/>
          </w:tcPr>
          <w:p w14:paraId="0CBE78DD">
            <w:pPr>
              <w:keepNext w:val="0"/>
              <w:keepLines w:val="0"/>
              <w:suppressLineNumbers w:val="0"/>
              <w:spacing w:before="0" w:beforeLines="0" w:beforeAutospacing="0" w:after="0" w:afterLines="0" w:afterAutospacing="0"/>
              <w:ind w:left="0" w:right="0"/>
              <w:rPr>
                <w:rFonts w:hint="default" w:ascii="宋体" w:hAnsi="宋体" w:cs="宋体"/>
                <w:color w:val="auto"/>
                <w:sz w:val="24"/>
                <w:szCs w:val="20"/>
                <w:highlight w:val="none"/>
              </w:rPr>
            </w:pPr>
          </w:p>
        </w:tc>
        <w:tc>
          <w:tcPr>
            <w:tcW w:w="1928" w:type="dxa"/>
            <w:noWrap w:val="0"/>
            <w:vAlign w:val="top"/>
          </w:tcPr>
          <w:p w14:paraId="72F0D7BC">
            <w:pPr>
              <w:keepNext w:val="0"/>
              <w:keepLines w:val="0"/>
              <w:suppressLineNumbers w:val="0"/>
              <w:spacing w:before="0" w:beforeLines="0" w:beforeAutospacing="0" w:after="0" w:afterLines="0" w:afterAutospacing="0"/>
              <w:ind w:left="0" w:right="0"/>
              <w:rPr>
                <w:rFonts w:hint="default" w:ascii="宋体" w:hAnsi="宋体" w:cs="宋体"/>
                <w:color w:val="auto"/>
                <w:sz w:val="24"/>
                <w:szCs w:val="20"/>
                <w:highlight w:val="none"/>
              </w:rPr>
            </w:pPr>
          </w:p>
        </w:tc>
        <w:tc>
          <w:tcPr>
            <w:tcW w:w="1683" w:type="dxa"/>
            <w:noWrap w:val="0"/>
            <w:vAlign w:val="top"/>
          </w:tcPr>
          <w:p w14:paraId="7E4338CC">
            <w:pPr>
              <w:keepNext w:val="0"/>
              <w:keepLines w:val="0"/>
              <w:suppressLineNumbers w:val="0"/>
              <w:spacing w:before="0" w:beforeLines="0" w:beforeAutospacing="0" w:after="0" w:afterLines="0" w:afterAutospacing="0"/>
              <w:ind w:left="0" w:right="0"/>
              <w:rPr>
                <w:rFonts w:hint="default" w:ascii="宋体" w:hAnsi="宋体" w:cs="宋体"/>
                <w:color w:val="auto"/>
                <w:sz w:val="24"/>
                <w:szCs w:val="20"/>
                <w:highlight w:val="none"/>
              </w:rPr>
            </w:pPr>
          </w:p>
        </w:tc>
        <w:tc>
          <w:tcPr>
            <w:tcW w:w="3437" w:type="dxa"/>
            <w:noWrap w:val="0"/>
            <w:vAlign w:val="top"/>
          </w:tcPr>
          <w:p w14:paraId="5371F096">
            <w:pPr>
              <w:keepNext w:val="0"/>
              <w:keepLines w:val="0"/>
              <w:suppressLineNumbers w:val="0"/>
              <w:spacing w:before="0" w:beforeLines="0" w:beforeAutospacing="0" w:after="0" w:afterLines="0" w:afterAutospacing="0"/>
              <w:ind w:left="0" w:right="0"/>
              <w:rPr>
                <w:rFonts w:hint="default" w:ascii="宋体" w:hAnsi="宋体" w:cs="宋体"/>
                <w:color w:val="auto"/>
                <w:sz w:val="24"/>
                <w:szCs w:val="20"/>
                <w:highlight w:val="none"/>
              </w:rPr>
            </w:pPr>
          </w:p>
        </w:tc>
      </w:tr>
      <w:tr w14:paraId="07469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088" w:type="dxa"/>
            <w:noWrap w:val="0"/>
            <w:vAlign w:val="top"/>
          </w:tcPr>
          <w:p w14:paraId="4E59E9DE">
            <w:pPr>
              <w:keepNext w:val="0"/>
              <w:keepLines w:val="0"/>
              <w:suppressLineNumbers w:val="0"/>
              <w:spacing w:before="0" w:beforeLines="0" w:beforeAutospacing="0" w:after="0" w:afterLines="0" w:afterAutospacing="0"/>
              <w:ind w:left="0" w:right="0"/>
              <w:rPr>
                <w:rFonts w:hint="default" w:ascii="宋体" w:hAnsi="宋体" w:cs="宋体"/>
                <w:color w:val="auto"/>
                <w:sz w:val="24"/>
                <w:szCs w:val="20"/>
                <w:highlight w:val="none"/>
              </w:rPr>
            </w:pPr>
          </w:p>
        </w:tc>
        <w:tc>
          <w:tcPr>
            <w:tcW w:w="1307" w:type="dxa"/>
            <w:noWrap w:val="0"/>
            <w:vAlign w:val="top"/>
          </w:tcPr>
          <w:p w14:paraId="2144BD6C">
            <w:pPr>
              <w:keepNext w:val="0"/>
              <w:keepLines w:val="0"/>
              <w:suppressLineNumbers w:val="0"/>
              <w:spacing w:before="0" w:beforeLines="0" w:beforeAutospacing="0" w:after="0" w:afterLines="0" w:afterAutospacing="0"/>
              <w:ind w:left="0" w:right="0"/>
              <w:rPr>
                <w:rFonts w:hint="default" w:ascii="宋体" w:hAnsi="宋体" w:cs="宋体"/>
                <w:color w:val="auto"/>
                <w:sz w:val="24"/>
                <w:szCs w:val="20"/>
                <w:highlight w:val="none"/>
              </w:rPr>
            </w:pPr>
          </w:p>
        </w:tc>
        <w:tc>
          <w:tcPr>
            <w:tcW w:w="1928" w:type="dxa"/>
            <w:noWrap w:val="0"/>
            <w:vAlign w:val="top"/>
          </w:tcPr>
          <w:p w14:paraId="5A3A5175">
            <w:pPr>
              <w:keepNext w:val="0"/>
              <w:keepLines w:val="0"/>
              <w:suppressLineNumbers w:val="0"/>
              <w:spacing w:before="0" w:beforeLines="0" w:beforeAutospacing="0" w:after="0" w:afterLines="0" w:afterAutospacing="0"/>
              <w:ind w:left="0" w:right="0"/>
              <w:rPr>
                <w:rFonts w:hint="default" w:ascii="宋体" w:hAnsi="宋体" w:cs="宋体"/>
                <w:color w:val="auto"/>
                <w:sz w:val="24"/>
                <w:szCs w:val="20"/>
                <w:highlight w:val="none"/>
              </w:rPr>
            </w:pPr>
          </w:p>
        </w:tc>
        <w:tc>
          <w:tcPr>
            <w:tcW w:w="1683" w:type="dxa"/>
            <w:noWrap w:val="0"/>
            <w:vAlign w:val="top"/>
          </w:tcPr>
          <w:p w14:paraId="2B476C33">
            <w:pPr>
              <w:keepNext w:val="0"/>
              <w:keepLines w:val="0"/>
              <w:suppressLineNumbers w:val="0"/>
              <w:spacing w:before="0" w:beforeLines="0" w:beforeAutospacing="0" w:after="0" w:afterLines="0" w:afterAutospacing="0"/>
              <w:ind w:left="0" w:right="0"/>
              <w:rPr>
                <w:rFonts w:hint="default" w:ascii="宋体" w:hAnsi="宋体" w:cs="宋体"/>
                <w:color w:val="auto"/>
                <w:sz w:val="24"/>
                <w:szCs w:val="20"/>
                <w:highlight w:val="none"/>
              </w:rPr>
            </w:pPr>
          </w:p>
        </w:tc>
        <w:tc>
          <w:tcPr>
            <w:tcW w:w="3437" w:type="dxa"/>
            <w:noWrap w:val="0"/>
            <w:vAlign w:val="top"/>
          </w:tcPr>
          <w:p w14:paraId="318F3164">
            <w:pPr>
              <w:keepNext w:val="0"/>
              <w:keepLines w:val="0"/>
              <w:suppressLineNumbers w:val="0"/>
              <w:spacing w:before="0" w:beforeLines="0" w:beforeAutospacing="0" w:after="0" w:afterLines="0" w:afterAutospacing="0"/>
              <w:ind w:left="0" w:right="0"/>
              <w:rPr>
                <w:rFonts w:hint="default" w:ascii="宋体" w:hAnsi="宋体" w:cs="宋体"/>
                <w:color w:val="auto"/>
                <w:sz w:val="24"/>
                <w:szCs w:val="20"/>
                <w:highlight w:val="none"/>
              </w:rPr>
            </w:pPr>
          </w:p>
        </w:tc>
      </w:tr>
      <w:tr w14:paraId="2F294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088" w:type="dxa"/>
            <w:noWrap w:val="0"/>
            <w:vAlign w:val="top"/>
          </w:tcPr>
          <w:p w14:paraId="5F0E791B">
            <w:pPr>
              <w:keepNext w:val="0"/>
              <w:keepLines w:val="0"/>
              <w:suppressLineNumbers w:val="0"/>
              <w:spacing w:before="0" w:beforeLines="0" w:beforeAutospacing="0" w:after="0" w:afterLines="0" w:afterAutospacing="0"/>
              <w:ind w:left="0" w:right="0"/>
              <w:rPr>
                <w:rFonts w:hint="default" w:ascii="宋体" w:hAnsi="宋体" w:cs="宋体"/>
                <w:color w:val="auto"/>
                <w:sz w:val="24"/>
                <w:szCs w:val="20"/>
                <w:highlight w:val="none"/>
              </w:rPr>
            </w:pPr>
          </w:p>
        </w:tc>
        <w:tc>
          <w:tcPr>
            <w:tcW w:w="1307" w:type="dxa"/>
            <w:noWrap w:val="0"/>
            <w:vAlign w:val="top"/>
          </w:tcPr>
          <w:p w14:paraId="7258C542">
            <w:pPr>
              <w:keepNext w:val="0"/>
              <w:keepLines w:val="0"/>
              <w:suppressLineNumbers w:val="0"/>
              <w:spacing w:before="0" w:beforeLines="0" w:beforeAutospacing="0" w:after="0" w:afterLines="0" w:afterAutospacing="0"/>
              <w:ind w:left="0" w:right="0"/>
              <w:rPr>
                <w:rFonts w:hint="default" w:ascii="宋体" w:hAnsi="宋体" w:cs="宋体"/>
                <w:color w:val="auto"/>
                <w:sz w:val="24"/>
                <w:szCs w:val="20"/>
                <w:highlight w:val="none"/>
              </w:rPr>
            </w:pPr>
          </w:p>
        </w:tc>
        <w:tc>
          <w:tcPr>
            <w:tcW w:w="1928" w:type="dxa"/>
            <w:noWrap w:val="0"/>
            <w:vAlign w:val="top"/>
          </w:tcPr>
          <w:p w14:paraId="17A9C5A0">
            <w:pPr>
              <w:keepNext w:val="0"/>
              <w:keepLines w:val="0"/>
              <w:suppressLineNumbers w:val="0"/>
              <w:spacing w:before="0" w:beforeLines="0" w:beforeAutospacing="0" w:after="0" w:afterLines="0" w:afterAutospacing="0"/>
              <w:ind w:left="0" w:right="0"/>
              <w:rPr>
                <w:rFonts w:hint="default" w:ascii="宋体" w:hAnsi="宋体" w:cs="宋体"/>
                <w:color w:val="auto"/>
                <w:sz w:val="24"/>
                <w:szCs w:val="20"/>
                <w:highlight w:val="none"/>
              </w:rPr>
            </w:pPr>
          </w:p>
        </w:tc>
        <w:tc>
          <w:tcPr>
            <w:tcW w:w="1683" w:type="dxa"/>
            <w:noWrap w:val="0"/>
            <w:vAlign w:val="top"/>
          </w:tcPr>
          <w:p w14:paraId="4BBC4044">
            <w:pPr>
              <w:keepNext w:val="0"/>
              <w:keepLines w:val="0"/>
              <w:suppressLineNumbers w:val="0"/>
              <w:spacing w:before="0" w:beforeLines="0" w:beforeAutospacing="0" w:after="0" w:afterLines="0" w:afterAutospacing="0"/>
              <w:ind w:left="0" w:right="0"/>
              <w:rPr>
                <w:rFonts w:hint="default" w:ascii="宋体" w:hAnsi="宋体" w:cs="宋体"/>
                <w:color w:val="auto"/>
                <w:sz w:val="24"/>
                <w:szCs w:val="20"/>
                <w:highlight w:val="none"/>
              </w:rPr>
            </w:pPr>
          </w:p>
        </w:tc>
        <w:tc>
          <w:tcPr>
            <w:tcW w:w="3437" w:type="dxa"/>
            <w:noWrap w:val="0"/>
            <w:vAlign w:val="top"/>
          </w:tcPr>
          <w:p w14:paraId="1EAA5B63">
            <w:pPr>
              <w:keepNext w:val="0"/>
              <w:keepLines w:val="0"/>
              <w:suppressLineNumbers w:val="0"/>
              <w:spacing w:before="0" w:beforeLines="0" w:beforeAutospacing="0" w:after="0" w:afterLines="0" w:afterAutospacing="0"/>
              <w:ind w:left="0" w:right="0"/>
              <w:rPr>
                <w:rFonts w:hint="default" w:ascii="宋体" w:hAnsi="宋体" w:cs="宋体"/>
                <w:color w:val="auto"/>
                <w:sz w:val="24"/>
                <w:szCs w:val="20"/>
                <w:highlight w:val="none"/>
              </w:rPr>
            </w:pPr>
          </w:p>
        </w:tc>
      </w:tr>
      <w:tr w14:paraId="543F9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1088" w:type="dxa"/>
            <w:noWrap w:val="0"/>
            <w:vAlign w:val="top"/>
          </w:tcPr>
          <w:p w14:paraId="2819A82E">
            <w:pPr>
              <w:keepNext w:val="0"/>
              <w:keepLines w:val="0"/>
              <w:suppressLineNumbers w:val="0"/>
              <w:spacing w:before="0" w:beforeLines="0" w:beforeAutospacing="0" w:after="0" w:afterLines="0" w:afterAutospacing="0"/>
              <w:ind w:left="0" w:right="0"/>
              <w:rPr>
                <w:rFonts w:hint="default" w:ascii="宋体" w:hAnsi="宋体" w:cs="宋体"/>
                <w:color w:val="auto"/>
                <w:sz w:val="24"/>
                <w:szCs w:val="20"/>
                <w:highlight w:val="none"/>
              </w:rPr>
            </w:pPr>
          </w:p>
        </w:tc>
        <w:tc>
          <w:tcPr>
            <w:tcW w:w="1307" w:type="dxa"/>
            <w:noWrap w:val="0"/>
            <w:vAlign w:val="top"/>
          </w:tcPr>
          <w:p w14:paraId="7390BFA0">
            <w:pPr>
              <w:keepNext w:val="0"/>
              <w:keepLines w:val="0"/>
              <w:suppressLineNumbers w:val="0"/>
              <w:spacing w:before="0" w:beforeLines="0" w:beforeAutospacing="0" w:after="0" w:afterLines="0" w:afterAutospacing="0"/>
              <w:ind w:left="0" w:right="0"/>
              <w:rPr>
                <w:rFonts w:hint="default" w:ascii="宋体" w:hAnsi="宋体" w:cs="宋体"/>
                <w:color w:val="auto"/>
                <w:sz w:val="24"/>
                <w:szCs w:val="20"/>
                <w:highlight w:val="none"/>
              </w:rPr>
            </w:pPr>
          </w:p>
        </w:tc>
        <w:tc>
          <w:tcPr>
            <w:tcW w:w="1928" w:type="dxa"/>
            <w:noWrap w:val="0"/>
            <w:vAlign w:val="top"/>
          </w:tcPr>
          <w:p w14:paraId="282CB07E">
            <w:pPr>
              <w:keepNext w:val="0"/>
              <w:keepLines w:val="0"/>
              <w:suppressLineNumbers w:val="0"/>
              <w:spacing w:before="0" w:beforeLines="0" w:beforeAutospacing="0" w:after="0" w:afterLines="0" w:afterAutospacing="0"/>
              <w:ind w:left="0" w:right="0"/>
              <w:rPr>
                <w:rFonts w:hint="default" w:ascii="宋体" w:hAnsi="宋体" w:cs="宋体"/>
                <w:color w:val="auto"/>
                <w:sz w:val="24"/>
                <w:szCs w:val="20"/>
                <w:highlight w:val="none"/>
              </w:rPr>
            </w:pPr>
          </w:p>
        </w:tc>
        <w:tc>
          <w:tcPr>
            <w:tcW w:w="1683" w:type="dxa"/>
            <w:noWrap w:val="0"/>
            <w:vAlign w:val="top"/>
          </w:tcPr>
          <w:p w14:paraId="551D1B70">
            <w:pPr>
              <w:keepNext w:val="0"/>
              <w:keepLines w:val="0"/>
              <w:suppressLineNumbers w:val="0"/>
              <w:spacing w:before="0" w:beforeLines="0" w:beforeAutospacing="0" w:after="0" w:afterLines="0" w:afterAutospacing="0"/>
              <w:ind w:left="0" w:right="0"/>
              <w:rPr>
                <w:rFonts w:hint="default" w:ascii="宋体" w:hAnsi="宋体" w:cs="宋体"/>
                <w:color w:val="auto"/>
                <w:sz w:val="24"/>
                <w:szCs w:val="20"/>
                <w:highlight w:val="none"/>
              </w:rPr>
            </w:pPr>
          </w:p>
        </w:tc>
        <w:tc>
          <w:tcPr>
            <w:tcW w:w="3437" w:type="dxa"/>
            <w:noWrap w:val="0"/>
            <w:vAlign w:val="top"/>
          </w:tcPr>
          <w:p w14:paraId="36366F87">
            <w:pPr>
              <w:keepNext w:val="0"/>
              <w:keepLines w:val="0"/>
              <w:suppressLineNumbers w:val="0"/>
              <w:spacing w:before="0" w:beforeLines="0" w:beforeAutospacing="0" w:after="0" w:afterLines="0" w:afterAutospacing="0"/>
              <w:ind w:left="0" w:right="0"/>
              <w:rPr>
                <w:rFonts w:hint="default" w:ascii="宋体" w:hAnsi="宋体" w:cs="宋体"/>
                <w:color w:val="auto"/>
                <w:sz w:val="24"/>
                <w:szCs w:val="20"/>
                <w:highlight w:val="none"/>
              </w:rPr>
            </w:pPr>
          </w:p>
        </w:tc>
      </w:tr>
      <w:tr w14:paraId="37A82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1088" w:type="dxa"/>
            <w:noWrap w:val="0"/>
            <w:vAlign w:val="top"/>
          </w:tcPr>
          <w:p w14:paraId="7A39A7A3">
            <w:pPr>
              <w:keepNext w:val="0"/>
              <w:keepLines w:val="0"/>
              <w:suppressLineNumbers w:val="0"/>
              <w:spacing w:before="0" w:beforeLines="0" w:beforeAutospacing="0" w:after="0" w:afterLines="0" w:afterAutospacing="0"/>
              <w:ind w:left="0" w:right="0"/>
              <w:rPr>
                <w:rFonts w:hint="default" w:ascii="宋体" w:hAnsi="宋体" w:cs="宋体"/>
                <w:color w:val="auto"/>
                <w:sz w:val="24"/>
                <w:szCs w:val="20"/>
                <w:highlight w:val="none"/>
              </w:rPr>
            </w:pPr>
          </w:p>
        </w:tc>
        <w:tc>
          <w:tcPr>
            <w:tcW w:w="1307" w:type="dxa"/>
            <w:noWrap w:val="0"/>
            <w:vAlign w:val="top"/>
          </w:tcPr>
          <w:p w14:paraId="7E304A44">
            <w:pPr>
              <w:keepNext w:val="0"/>
              <w:keepLines w:val="0"/>
              <w:suppressLineNumbers w:val="0"/>
              <w:spacing w:before="0" w:beforeLines="0" w:beforeAutospacing="0" w:after="0" w:afterLines="0" w:afterAutospacing="0"/>
              <w:ind w:left="0" w:right="0"/>
              <w:rPr>
                <w:rFonts w:hint="default" w:ascii="宋体" w:hAnsi="宋体" w:cs="宋体"/>
                <w:color w:val="auto"/>
                <w:sz w:val="24"/>
                <w:szCs w:val="20"/>
                <w:highlight w:val="none"/>
              </w:rPr>
            </w:pPr>
          </w:p>
        </w:tc>
        <w:tc>
          <w:tcPr>
            <w:tcW w:w="1928" w:type="dxa"/>
            <w:noWrap w:val="0"/>
            <w:vAlign w:val="top"/>
          </w:tcPr>
          <w:p w14:paraId="096B7808">
            <w:pPr>
              <w:keepNext w:val="0"/>
              <w:keepLines w:val="0"/>
              <w:suppressLineNumbers w:val="0"/>
              <w:spacing w:before="0" w:beforeLines="0" w:beforeAutospacing="0" w:after="0" w:afterLines="0" w:afterAutospacing="0"/>
              <w:ind w:left="0" w:right="0"/>
              <w:rPr>
                <w:rFonts w:hint="default" w:ascii="宋体" w:hAnsi="宋体" w:cs="宋体"/>
                <w:color w:val="auto"/>
                <w:sz w:val="24"/>
                <w:szCs w:val="20"/>
                <w:highlight w:val="none"/>
              </w:rPr>
            </w:pPr>
          </w:p>
        </w:tc>
        <w:tc>
          <w:tcPr>
            <w:tcW w:w="1683" w:type="dxa"/>
            <w:noWrap w:val="0"/>
            <w:vAlign w:val="top"/>
          </w:tcPr>
          <w:p w14:paraId="33DA3BAC">
            <w:pPr>
              <w:keepNext w:val="0"/>
              <w:keepLines w:val="0"/>
              <w:suppressLineNumbers w:val="0"/>
              <w:spacing w:before="0" w:beforeLines="0" w:beforeAutospacing="0" w:after="0" w:afterLines="0" w:afterAutospacing="0"/>
              <w:ind w:left="0" w:right="0"/>
              <w:rPr>
                <w:rFonts w:hint="default" w:ascii="宋体" w:hAnsi="宋体" w:cs="宋体"/>
                <w:color w:val="auto"/>
                <w:sz w:val="24"/>
                <w:szCs w:val="20"/>
                <w:highlight w:val="none"/>
              </w:rPr>
            </w:pPr>
          </w:p>
        </w:tc>
        <w:tc>
          <w:tcPr>
            <w:tcW w:w="3437" w:type="dxa"/>
            <w:noWrap w:val="0"/>
            <w:vAlign w:val="top"/>
          </w:tcPr>
          <w:p w14:paraId="566A6112">
            <w:pPr>
              <w:keepNext w:val="0"/>
              <w:keepLines w:val="0"/>
              <w:suppressLineNumbers w:val="0"/>
              <w:spacing w:before="0" w:beforeLines="0" w:beforeAutospacing="0" w:after="0" w:afterLines="0" w:afterAutospacing="0"/>
              <w:ind w:left="0" w:right="0"/>
              <w:rPr>
                <w:rFonts w:hint="default" w:ascii="宋体" w:hAnsi="宋体" w:cs="宋体"/>
                <w:color w:val="auto"/>
                <w:sz w:val="24"/>
                <w:szCs w:val="20"/>
                <w:highlight w:val="none"/>
              </w:rPr>
            </w:pPr>
          </w:p>
        </w:tc>
      </w:tr>
      <w:tr w14:paraId="58F9C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1088" w:type="dxa"/>
            <w:noWrap w:val="0"/>
            <w:vAlign w:val="top"/>
          </w:tcPr>
          <w:p w14:paraId="2DC5924D">
            <w:pPr>
              <w:keepNext w:val="0"/>
              <w:keepLines w:val="0"/>
              <w:suppressLineNumbers w:val="0"/>
              <w:spacing w:before="0" w:beforeLines="0" w:beforeAutospacing="0" w:after="0" w:afterLines="0" w:afterAutospacing="0"/>
              <w:ind w:left="0" w:right="0"/>
              <w:rPr>
                <w:rFonts w:hint="default" w:ascii="宋体" w:hAnsi="宋体" w:cs="宋体"/>
                <w:color w:val="auto"/>
                <w:sz w:val="24"/>
                <w:szCs w:val="20"/>
                <w:highlight w:val="none"/>
              </w:rPr>
            </w:pPr>
          </w:p>
        </w:tc>
        <w:tc>
          <w:tcPr>
            <w:tcW w:w="1307" w:type="dxa"/>
            <w:noWrap w:val="0"/>
            <w:vAlign w:val="top"/>
          </w:tcPr>
          <w:p w14:paraId="4B02709F">
            <w:pPr>
              <w:keepNext w:val="0"/>
              <w:keepLines w:val="0"/>
              <w:suppressLineNumbers w:val="0"/>
              <w:spacing w:before="0" w:beforeLines="0" w:beforeAutospacing="0" w:after="0" w:afterLines="0" w:afterAutospacing="0"/>
              <w:ind w:left="0" w:right="0"/>
              <w:rPr>
                <w:rFonts w:hint="default" w:ascii="宋体" w:hAnsi="宋体" w:cs="宋体"/>
                <w:color w:val="auto"/>
                <w:sz w:val="24"/>
                <w:szCs w:val="20"/>
                <w:highlight w:val="none"/>
              </w:rPr>
            </w:pPr>
          </w:p>
        </w:tc>
        <w:tc>
          <w:tcPr>
            <w:tcW w:w="1928" w:type="dxa"/>
            <w:noWrap w:val="0"/>
            <w:vAlign w:val="top"/>
          </w:tcPr>
          <w:p w14:paraId="4043F493">
            <w:pPr>
              <w:keepNext w:val="0"/>
              <w:keepLines w:val="0"/>
              <w:suppressLineNumbers w:val="0"/>
              <w:spacing w:before="0" w:beforeLines="0" w:beforeAutospacing="0" w:after="0" w:afterLines="0" w:afterAutospacing="0"/>
              <w:ind w:left="0" w:right="0"/>
              <w:rPr>
                <w:rFonts w:hint="default" w:ascii="宋体" w:hAnsi="宋体" w:cs="宋体"/>
                <w:color w:val="auto"/>
                <w:sz w:val="24"/>
                <w:szCs w:val="20"/>
                <w:highlight w:val="none"/>
              </w:rPr>
            </w:pPr>
          </w:p>
        </w:tc>
        <w:tc>
          <w:tcPr>
            <w:tcW w:w="1683" w:type="dxa"/>
            <w:noWrap w:val="0"/>
            <w:vAlign w:val="top"/>
          </w:tcPr>
          <w:p w14:paraId="41C2748F">
            <w:pPr>
              <w:keepNext w:val="0"/>
              <w:keepLines w:val="0"/>
              <w:suppressLineNumbers w:val="0"/>
              <w:spacing w:before="0" w:beforeLines="0" w:beforeAutospacing="0" w:after="0" w:afterLines="0" w:afterAutospacing="0"/>
              <w:ind w:left="0" w:right="0"/>
              <w:rPr>
                <w:rFonts w:hint="default" w:ascii="宋体" w:hAnsi="宋体" w:cs="宋体"/>
                <w:color w:val="auto"/>
                <w:sz w:val="24"/>
                <w:szCs w:val="20"/>
                <w:highlight w:val="none"/>
              </w:rPr>
            </w:pPr>
          </w:p>
        </w:tc>
        <w:tc>
          <w:tcPr>
            <w:tcW w:w="3437" w:type="dxa"/>
            <w:noWrap w:val="0"/>
            <w:vAlign w:val="top"/>
          </w:tcPr>
          <w:p w14:paraId="47B34F00">
            <w:pPr>
              <w:keepNext w:val="0"/>
              <w:keepLines w:val="0"/>
              <w:suppressLineNumbers w:val="0"/>
              <w:spacing w:before="0" w:beforeLines="0" w:beforeAutospacing="0" w:after="0" w:afterLines="0" w:afterAutospacing="0"/>
              <w:ind w:left="0" w:right="0"/>
              <w:rPr>
                <w:rFonts w:hint="default" w:ascii="宋体" w:hAnsi="宋体" w:cs="宋体"/>
                <w:color w:val="auto"/>
                <w:sz w:val="24"/>
                <w:szCs w:val="20"/>
                <w:highlight w:val="none"/>
              </w:rPr>
            </w:pPr>
          </w:p>
        </w:tc>
      </w:tr>
      <w:tr w14:paraId="358B0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1088" w:type="dxa"/>
            <w:noWrap w:val="0"/>
            <w:vAlign w:val="top"/>
          </w:tcPr>
          <w:p w14:paraId="0F76D110">
            <w:pPr>
              <w:keepNext w:val="0"/>
              <w:keepLines w:val="0"/>
              <w:suppressLineNumbers w:val="0"/>
              <w:spacing w:before="0" w:beforeLines="0" w:beforeAutospacing="0" w:after="0" w:afterLines="0" w:afterAutospacing="0"/>
              <w:ind w:left="0" w:right="0"/>
              <w:rPr>
                <w:rFonts w:hint="default" w:ascii="宋体" w:hAnsi="宋体" w:cs="宋体"/>
                <w:color w:val="auto"/>
                <w:sz w:val="24"/>
                <w:szCs w:val="20"/>
                <w:highlight w:val="none"/>
              </w:rPr>
            </w:pPr>
          </w:p>
        </w:tc>
        <w:tc>
          <w:tcPr>
            <w:tcW w:w="1307" w:type="dxa"/>
            <w:noWrap w:val="0"/>
            <w:vAlign w:val="top"/>
          </w:tcPr>
          <w:p w14:paraId="2729BDA1">
            <w:pPr>
              <w:keepNext w:val="0"/>
              <w:keepLines w:val="0"/>
              <w:suppressLineNumbers w:val="0"/>
              <w:spacing w:before="0" w:beforeLines="0" w:beforeAutospacing="0" w:after="0" w:afterLines="0" w:afterAutospacing="0"/>
              <w:ind w:left="0" w:right="0"/>
              <w:rPr>
                <w:rFonts w:hint="default" w:ascii="宋体" w:hAnsi="宋体" w:cs="宋体"/>
                <w:color w:val="auto"/>
                <w:sz w:val="24"/>
                <w:szCs w:val="20"/>
                <w:highlight w:val="none"/>
              </w:rPr>
            </w:pPr>
          </w:p>
        </w:tc>
        <w:tc>
          <w:tcPr>
            <w:tcW w:w="1928" w:type="dxa"/>
            <w:noWrap w:val="0"/>
            <w:vAlign w:val="top"/>
          </w:tcPr>
          <w:p w14:paraId="4250FD8E">
            <w:pPr>
              <w:keepNext w:val="0"/>
              <w:keepLines w:val="0"/>
              <w:suppressLineNumbers w:val="0"/>
              <w:spacing w:before="0" w:beforeLines="0" w:beforeAutospacing="0" w:after="0" w:afterLines="0" w:afterAutospacing="0"/>
              <w:ind w:left="0" w:right="0"/>
              <w:rPr>
                <w:rFonts w:hint="default" w:ascii="宋体" w:hAnsi="宋体" w:cs="宋体"/>
                <w:color w:val="auto"/>
                <w:sz w:val="24"/>
                <w:szCs w:val="20"/>
                <w:highlight w:val="none"/>
              </w:rPr>
            </w:pPr>
          </w:p>
        </w:tc>
        <w:tc>
          <w:tcPr>
            <w:tcW w:w="1683" w:type="dxa"/>
            <w:noWrap w:val="0"/>
            <w:vAlign w:val="top"/>
          </w:tcPr>
          <w:p w14:paraId="1A921044">
            <w:pPr>
              <w:keepNext w:val="0"/>
              <w:keepLines w:val="0"/>
              <w:suppressLineNumbers w:val="0"/>
              <w:spacing w:before="0" w:beforeLines="0" w:beforeAutospacing="0" w:after="0" w:afterLines="0" w:afterAutospacing="0"/>
              <w:ind w:left="0" w:right="0"/>
              <w:rPr>
                <w:rFonts w:hint="default" w:ascii="宋体" w:hAnsi="宋体" w:cs="宋体"/>
                <w:color w:val="auto"/>
                <w:sz w:val="24"/>
                <w:szCs w:val="20"/>
                <w:highlight w:val="none"/>
              </w:rPr>
            </w:pPr>
          </w:p>
        </w:tc>
        <w:tc>
          <w:tcPr>
            <w:tcW w:w="3437" w:type="dxa"/>
            <w:noWrap w:val="0"/>
            <w:vAlign w:val="top"/>
          </w:tcPr>
          <w:p w14:paraId="58A8411F">
            <w:pPr>
              <w:keepNext w:val="0"/>
              <w:keepLines w:val="0"/>
              <w:suppressLineNumbers w:val="0"/>
              <w:spacing w:before="0" w:beforeLines="0" w:beforeAutospacing="0" w:after="0" w:afterLines="0" w:afterAutospacing="0"/>
              <w:ind w:left="0" w:right="0"/>
              <w:rPr>
                <w:rFonts w:hint="default" w:ascii="宋体" w:hAnsi="宋体" w:cs="宋体"/>
                <w:color w:val="auto"/>
                <w:sz w:val="24"/>
                <w:szCs w:val="20"/>
                <w:highlight w:val="none"/>
              </w:rPr>
            </w:pPr>
          </w:p>
        </w:tc>
      </w:tr>
      <w:tr w14:paraId="59356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088" w:type="dxa"/>
            <w:noWrap w:val="0"/>
            <w:vAlign w:val="top"/>
          </w:tcPr>
          <w:p w14:paraId="57DC86AD">
            <w:pPr>
              <w:keepNext w:val="0"/>
              <w:keepLines w:val="0"/>
              <w:suppressLineNumbers w:val="0"/>
              <w:spacing w:before="0" w:beforeLines="0" w:beforeAutospacing="0" w:after="0" w:afterLines="0" w:afterAutospacing="0"/>
              <w:ind w:left="0" w:right="0"/>
              <w:rPr>
                <w:rFonts w:hint="default" w:ascii="宋体" w:hAnsi="宋体" w:cs="宋体"/>
                <w:color w:val="auto"/>
                <w:sz w:val="24"/>
                <w:szCs w:val="20"/>
                <w:highlight w:val="none"/>
              </w:rPr>
            </w:pPr>
          </w:p>
        </w:tc>
        <w:tc>
          <w:tcPr>
            <w:tcW w:w="1307" w:type="dxa"/>
            <w:noWrap w:val="0"/>
            <w:vAlign w:val="top"/>
          </w:tcPr>
          <w:p w14:paraId="0CD46D1F">
            <w:pPr>
              <w:keepNext w:val="0"/>
              <w:keepLines w:val="0"/>
              <w:suppressLineNumbers w:val="0"/>
              <w:spacing w:before="0" w:beforeLines="0" w:beforeAutospacing="0" w:after="0" w:afterLines="0" w:afterAutospacing="0"/>
              <w:ind w:left="0" w:right="0"/>
              <w:rPr>
                <w:rFonts w:hint="default" w:ascii="宋体" w:hAnsi="宋体" w:cs="宋体"/>
                <w:color w:val="auto"/>
                <w:sz w:val="24"/>
                <w:szCs w:val="20"/>
                <w:highlight w:val="none"/>
              </w:rPr>
            </w:pPr>
          </w:p>
        </w:tc>
        <w:tc>
          <w:tcPr>
            <w:tcW w:w="1928" w:type="dxa"/>
            <w:noWrap w:val="0"/>
            <w:vAlign w:val="top"/>
          </w:tcPr>
          <w:p w14:paraId="15574FE4">
            <w:pPr>
              <w:keepNext w:val="0"/>
              <w:keepLines w:val="0"/>
              <w:suppressLineNumbers w:val="0"/>
              <w:spacing w:before="0" w:beforeLines="0" w:beforeAutospacing="0" w:after="0" w:afterLines="0" w:afterAutospacing="0"/>
              <w:ind w:left="0" w:right="0"/>
              <w:rPr>
                <w:rFonts w:hint="default" w:ascii="宋体" w:hAnsi="宋体" w:cs="宋体"/>
                <w:color w:val="auto"/>
                <w:sz w:val="24"/>
                <w:szCs w:val="20"/>
                <w:highlight w:val="none"/>
              </w:rPr>
            </w:pPr>
          </w:p>
        </w:tc>
        <w:tc>
          <w:tcPr>
            <w:tcW w:w="1683" w:type="dxa"/>
            <w:noWrap w:val="0"/>
            <w:vAlign w:val="top"/>
          </w:tcPr>
          <w:p w14:paraId="322B64A6">
            <w:pPr>
              <w:keepNext w:val="0"/>
              <w:keepLines w:val="0"/>
              <w:suppressLineNumbers w:val="0"/>
              <w:spacing w:before="0" w:beforeLines="0" w:beforeAutospacing="0" w:after="0" w:afterLines="0" w:afterAutospacing="0"/>
              <w:ind w:left="0" w:right="0"/>
              <w:rPr>
                <w:rFonts w:hint="default" w:ascii="宋体" w:hAnsi="宋体" w:cs="宋体"/>
                <w:color w:val="auto"/>
                <w:sz w:val="24"/>
                <w:szCs w:val="20"/>
                <w:highlight w:val="none"/>
              </w:rPr>
            </w:pPr>
          </w:p>
        </w:tc>
        <w:tc>
          <w:tcPr>
            <w:tcW w:w="3437" w:type="dxa"/>
            <w:noWrap w:val="0"/>
            <w:vAlign w:val="top"/>
          </w:tcPr>
          <w:p w14:paraId="32E28843">
            <w:pPr>
              <w:keepNext w:val="0"/>
              <w:keepLines w:val="0"/>
              <w:suppressLineNumbers w:val="0"/>
              <w:spacing w:before="0" w:beforeLines="0" w:beforeAutospacing="0" w:after="0" w:afterLines="0" w:afterAutospacing="0"/>
              <w:ind w:left="0" w:right="0"/>
              <w:rPr>
                <w:rFonts w:hint="default" w:ascii="宋体" w:hAnsi="宋体" w:cs="宋体"/>
                <w:color w:val="auto"/>
                <w:sz w:val="24"/>
                <w:szCs w:val="20"/>
                <w:highlight w:val="none"/>
              </w:rPr>
            </w:pPr>
          </w:p>
        </w:tc>
      </w:tr>
    </w:tbl>
    <w:p w14:paraId="0600E685">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注：1.无偏离请注明“完全响应”，有正偏离请详细填写，但不得负偏离。</w:t>
      </w:r>
    </w:p>
    <w:p w14:paraId="046A2ED4">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2.本表与投标文件其他表述前后不一致的，如果是非实质性条款，</w:t>
      </w:r>
      <w:r>
        <w:rPr>
          <w:rFonts w:hint="eastAsia" w:ascii="宋体" w:hAnsi="宋体" w:cs="宋体"/>
          <w:color w:val="auto"/>
          <w:kern w:val="2"/>
          <w:sz w:val="24"/>
          <w:szCs w:val="24"/>
          <w:highlight w:val="none"/>
          <w:lang w:val="en-US" w:eastAsia="zh-CN" w:bidi="ar"/>
        </w:rPr>
        <w:t>投标人</w:t>
      </w:r>
      <w:r>
        <w:rPr>
          <w:rFonts w:hint="eastAsia" w:ascii="宋体" w:hAnsi="宋体" w:eastAsia="宋体" w:cs="宋体"/>
          <w:color w:val="auto"/>
          <w:kern w:val="2"/>
          <w:sz w:val="24"/>
          <w:szCs w:val="24"/>
          <w:highlight w:val="none"/>
          <w:lang w:val="en-US" w:eastAsia="zh-CN" w:bidi="ar"/>
        </w:rPr>
        <w:t>可以承诺修改，但不得通过修改提高分值；如果是实质性条款，则不得修改，按招标文件要求取消投标资格。</w:t>
      </w:r>
    </w:p>
    <w:bookmarkEnd w:id="1243"/>
    <w:p w14:paraId="3141126C">
      <w:pPr>
        <w:spacing w:line="380" w:lineRule="exact"/>
        <w:jc w:val="left"/>
        <w:rPr>
          <w:rFonts w:hint="eastAsia" w:ascii="宋体" w:hAnsi="宋体"/>
          <w:color w:val="auto"/>
          <w:sz w:val="22"/>
          <w:szCs w:val="22"/>
          <w:highlight w:val="none"/>
        </w:rPr>
      </w:pPr>
    </w:p>
    <w:p w14:paraId="1E5C2DC2">
      <w:pPr>
        <w:spacing w:line="380" w:lineRule="exact"/>
        <w:jc w:val="left"/>
        <w:rPr>
          <w:rFonts w:hint="eastAsia" w:ascii="宋体" w:hAnsi="宋体"/>
          <w:color w:val="auto"/>
          <w:sz w:val="22"/>
          <w:szCs w:val="22"/>
          <w:highlight w:val="none"/>
        </w:rPr>
      </w:pPr>
    </w:p>
    <w:p w14:paraId="7DCF1C8F">
      <w:pPr>
        <w:ind w:firstLine="4320" w:firstLineChars="1800"/>
        <w:rPr>
          <w:color w:val="auto"/>
          <w:highlight w:val="none"/>
        </w:rPr>
      </w:pPr>
      <w:r>
        <w:rPr>
          <w:rFonts w:hint="eastAsia"/>
          <w:color w:val="auto"/>
          <w:highlight w:val="none"/>
        </w:rPr>
        <w:t>投标人全称（盖章）：</w:t>
      </w:r>
      <w:r>
        <w:rPr>
          <w:color w:val="auto"/>
          <w:highlight w:val="none"/>
        </w:rPr>
        <w:t xml:space="preserve">                         </w:t>
      </w:r>
    </w:p>
    <w:p w14:paraId="50FFB8E3">
      <w:pPr>
        <w:ind w:firstLine="4320" w:firstLineChars="1800"/>
        <w:rPr>
          <w:color w:val="auto"/>
          <w:highlight w:val="none"/>
        </w:rPr>
      </w:pPr>
      <w:r>
        <w:rPr>
          <w:rFonts w:hint="eastAsia"/>
          <w:color w:val="auto"/>
          <w:highlight w:val="none"/>
          <w:lang w:eastAsia="zh-CN"/>
        </w:rPr>
        <w:t>法定代表人（或负责人）</w:t>
      </w:r>
      <w:r>
        <w:rPr>
          <w:rFonts w:hint="eastAsia"/>
          <w:color w:val="auto"/>
          <w:highlight w:val="none"/>
        </w:rPr>
        <w:t>或授权代理人（签字或盖章）：</w:t>
      </w:r>
    </w:p>
    <w:p w14:paraId="1692BBA2">
      <w:pPr>
        <w:ind w:firstLine="4320" w:firstLineChars="1800"/>
        <w:rPr>
          <w:color w:val="auto"/>
          <w:highlight w:val="none"/>
        </w:rPr>
      </w:pPr>
      <w:r>
        <w:rPr>
          <w:rFonts w:hint="eastAsia"/>
          <w:color w:val="auto"/>
          <w:highlight w:val="none"/>
        </w:rPr>
        <w:t>日期：</w:t>
      </w:r>
      <w:r>
        <w:rPr>
          <w:rFonts w:hint="eastAsia" w:ascii="宋体" w:hAnsi="宋体" w:cs="宋体"/>
          <w:color w:val="auto"/>
          <w:highlight w:val="none"/>
          <w:lang w:eastAsia="zh-CN"/>
        </w:rPr>
        <w:t>2025年</w:t>
      </w:r>
      <w:r>
        <w:rPr>
          <w:color w:val="auto"/>
          <w:highlight w:val="none"/>
        </w:rPr>
        <w:t xml:space="preserve">   </w:t>
      </w:r>
      <w:r>
        <w:rPr>
          <w:rFonts w:hint="eastAsia"/>
          <w:color w:val="auto"/>
          <w:highlight w:val="none"/>
        </w:rPr>
        <w:t>月</w:t>
      </w:r>
      <w:r>
        <w:rPr>
          <w:color w:val="auto"/>
          <w:highlight w:val="none"/>
        </w:rPr>
        <w:t xml:space="preserve">   </w:t>
      </w:r>
      <w:r>
        <w:rPr>
          <w:rFonts w:hint="eastAsia"/>
          <w:color w:val="auto"/>
          <w:highlight w:val="none"/>
        </w:rPr>
        <w:t>日</w:t>
      </w:r>
    </w:p>
    <w:p w14:paraId="6E8A4054">
      <w:pPr>
        <w:widowControl/>
        <w:autoSpaceDE/>
        <w:autoSpaceDN/>
        <w:adjustRightInd/>
        <w:snapToGrid/>
        <w:spacing w:after="0" w:afterLines="-2147483648"/>
        <w:ind w:firstLine="0" w:firstLineChars="0"/>
        <w:jc w:val="left"/>
        <w:outlineLvl w:val="9"/>
        <w:rPr>
          <w:rFonts w:hint="eastAsia" w:ascii="宋体" w:hAnsi="宋体" w:cs="宋体"/>
          <w:b/>
          <w:bCs/>
          <w:color w:val="auto"/>
          <w:highlight w:val="none"/>
        </w:rPr>
      </w:pPr>
    </w:p>
    <w:p w14:paraId="7F3E6151">
      <w:pPr>
        <w:widowControl/>
        <w:autoSpaceDE/>
        <w:autoSpaceDN/>
        <w:adjustRightInd/>
        <w:snapToGrid/>
        <w:spacing w:after="0" w:afterLines="-2147483648"/>
        <w:ind w:firstLine="0" w:firstLineChars="0"/>
        <w:jc w:val="left"/>
        <w:outlineLvl w:val="0"/>
        <w:rPr>
          <w:rFonts w:ascii="宋体" w:hAnsi="宋体" w:cs="宋体"/>
          <w:b/>
          <w:color w:val="auto"/>
          <w:sz w:val="30"/>
          <w:szCs w:val="30"/>
          <w:highlight w:val="none"/>
        </w:rPr>
      </w:pPr>
      <w:bookmarkStart w:id="1261" w:name="_Toc7545"/>
      <w:r>
        <w:rPr>
          <w:rFonts w:hint="eastAsia" w:ascii="宋体" w:hAnsi="宋体" w:cs="宋体"/>
          <w:b/>
          <w:bCs/>
          <w:color w:val="auto"/>
          <w:highlight w:val="none"/>
        </w:rPr>
        <w:t>附件</w:t>
      </w:r>
      <w:bookmarkEnd w:id="1261"/>
      <w:r>
        <w:rPr>
          <w:rFonts w:hint="eastAsia" w:ascii="宋体" w:hAnsi="宋体" w:cs="宋体"/>
          <w:b/>
          <w:bCs/>
          <w:color w:val="auto"/>
          <w:highlight w:val="none"/>
          <w:lang w:val="en-US" w:eastAsia="zh-CN"/>
        </w:rPr>
        <w:t>6</w:t>
      </w:r>
    </w:p>
    <w:p w14:paraId="12C3AC16">
      <w:pPr>
        <w:spacing w:line="360" w:lineRule="auto"/>
        <w:ind w:firstLine="0" w:firstLineChars="0"/>
        <w:jc w:val="center"/>
        <w:outlineLvl w:val="0"/>
        <w:rPr>
          <w:rFonts w:ascii="宋体" w:hAnsi="宋体" w:cs="Times New Roman"/>
          <w:b/>
          <w:color w:val="auto"/>
          <w:sz w:val="30"/>
          <w:szCs w:val="30"/>
          <w:highlight w:val="none"/>
        </w:rPr>
      </w:pPr>
      <w:bookmarkStart w:id="1262" w:name="_Toc1886"/>
      <w:r>
        <w:rPr>
          <w:rFonts w:hint="eastAsia" w:ascii="宋体" w:hAnsi="宋体" w:cs="宋体"/>
          <w:b/>
          <w:color w:val="auto"/>
          <w:sz w:val="30"/>
          <w:szCs w:val="30"/>
          <w:highlight w:val="none"/>
          <w:lang w:bidi="ar"/>
        </w:rPr>
        <w:t>商务响应承诺函</w:t>
      </w:r>
      <w:bookmarkEnd w:id="1262"/>
    </w:p>
    <w:p w14:paraId="14CDA77C">
      <w:pPr>
        <w:ind w:firstLine="480"/>
        <w:rPr>
          <w:rFonts w:ascii="宋体" w:hAnsi="宋体" w:cs="Times New Roman"/>
          <w:color w:val="auto"/>
          <w:highlight w:val="none"/>
        </w:rPr>
      </w:pPr>
      <w:r>
        <w:rPr>
          <w:rFonts w:hint="eastAsia" w:ascii="宋体" w:hAnsi="宋体" w:cs="宋体"/>
          <w:color w:val="auto"/>
          <w:highlight w:val="none"/>
          <w:lang w:bidi="ar"/>
        </w:rPr>
        <w:t>致：</w:t>
      </w:r>
      <w:r>
        <w:rPr>
          <w:rFonts w:hint="eastAsia" w:ascii="宋体" w:hAnsi="宋体" w:cs="Times New Roman"/>
          <w:color w:val="auto"/>
          <w:highlight w:val="none"/>
          <w:u w:val="single"/>
          <w:lang w:eastAsia="zh-CN" w:bidi="ar"/>
        </w:rPr>
        <w:t>（</w:t>
      </w:r>
      <w:r>
        <w:rPr>
          <w:rFonts w:hint="eastAsia" w:ascii="宋体" w:hAnsi="宋体" w:cs="Times New Roman"/>
          <w:color w:val="auto"/>
          <w:highlight w:val="none"/>
          <w:u w:val="single"/>
          <w:lang w:val="en-US" w:eastAsia="zh-CN" w:bidi="ar"/>
        </w:rPr>
        <w:t>采购人</w:t>
      </w:r>
      <w:r>
        <w:rPr>
          <w:rFonts w:hint="eastAsia" w:ascii="宋体" w:hAnsi="宋体" w:cs="Times New Roman"/>
          <w:color w:val="auto"/>
          <w:highlight w:val="none"/>
          <w:u w:val="single"/>
          <w:lang w:eastAsia="zh-CN" w:bidi="ar"/>
        </w:rPr>
        <w:t>）</w:t>
      </w:r>
      <w:r>
        <w:rPr>
          <w:rFonts w:hint="eastAsia" w:ascii="宋体" w:hAnsi="宋体" w:cs="Times New Roman"/>
          <w:color w:val="auto"/>
          <w:highlight w:val="none"/>
          <w:u w:val="none"/>
          <w:lang w:bidi="ar"/>
        </w:rPr>
        <w:t xml:space="preserve"> </w:t>
      </w:r>
      <w:r>
        <w:rPr>
          <w:rFonts w:hint="eastAsia" w:ascii="宋体" w:hAnsi="宋体" w:cs="宋体"/>
          <w:color w:val="auto"/>
          <w:highlight w:val="none"/>
          <w:lang w:bidi="ar"/>
        </w:rPr>
        <w:t>：</w:t>
      </w:r>
    </w:p>
    <w:p w14:paraId="32A83068">
      <w:pPr>
        <w:pStyle w:val="37"/>
        <w:widowControl w:val="0"/>
        <w:spacing w:before="60" w:beforeAutospacing="0" w:after="60" w:afterAutospacing="0"/>
        <w:ind w:firstLine="480"/>
        <w:jc w:val="both"/>
        <w:rPr>
          <w:rFonts w:cs="Times New Roman"/>
          <w:color w:val="auto"/>
          <w:kern w:val="2"/>
          <w:highlight w:val="none"/>
        </w:rPr>
      </w:pPr>
      <w:r>
        <w:rPr>
          <w:rFonts w:hint="eastAsia" w:cs="宋体"/>
          <w:color w:val="auto"/>
          <w:kern w:val="2"/>
          <w:highlight w:val="none"/>
          <w:lang w:bidi="ar"/>
        </w:rPr>
        <w:t>我方参与的</w:t>
      </w:r>
      <w:r>
        <w:rPr>
          <w:rFonts w:hint="eastAsia" w:cs="Times New Roman"/>
          <w:color w:val="auto"/>
          <w:kern w:val="2"/>
          <w:highlight w:val="none"/>
          <w:u w:val="single"/>
          <w:lang w:bidi="ar"/>
        </w:rPr>
        <w:t xml:space="preserve"> </w:t>
      </w:r>
      <w:r>
        <w:rPr>
          <w:rFonts w:hint="eastAsia" w:cs="宋体"/>
          <w:color w:val="auto"/>
          <w:kern w:val="2"/>
          <w:highlight w:val="none"/>
          <w:u w:val="single"/>
          <w:lang w:bidi="ar"/>
        </w:rPr>
        <w:t>（项目名称）（项目编号）</w:t>
      </w:r>
      <w:r>
        <w:rPr>
          <w:rFonts w:hint="eastAsia" w:cs="Times New Roman"/>
          <w:color w:val="auto"/>
          <w:kern w:val="2"/>
          <w:highlight w:val="none"/>
          <w:u w:val="single"/>
          <w:lang w:bidi="ar"/>
        </w:rPr>
        <w:t xml:space="preserve"> </w:t>
      </w:r>
      <w:r>
        <w:rPr>
          <w:rFonts w:hint="eastAsia" w:cs="Times New Roman"/>
          <w:color w:val="auto"/>
          <w:kern w:val="2"/>
          <w:highlight w:val="none"/>
          <w:lang w:bidi="ar"/>
        </w:rPr>
        <w:t xml:space="preserve"> </w:t>
      </w:r>
      <w:r>
        <w:rPr>
          <w:rFonts w:hint="eastAsia" w:cs="宋体"/>
          <w:color w:val="auto"/>
          <w:kern w:val="2"/>
          <w:highlight w:val="none"/>
          <w:lang w:bidi="ar"/>
        </w:rPr>
        <w:t>的招标活动，我方郑重承诺，我方承诺对招标文件中的商务要求完全响应。</w:t>
      </w:r>
    </w:p>
    <w:p w14:paraId="649D162B">
      <w:pPr>
        <w:pStyle w:val="37"/>
        <w:widowControl w:val="0"/>
        <w:spacing w:before="60" w:beforeAutospacing="0" w:after="60" w:afterAutospacing="0"/>
        <w:ind w:firstLine="480"/>
        <w:jc w:val="both"/>
        <w:rPr>
          <w:rFonts w:cs="Times New Roman"/>
          <w:color w:val="auto"/>
          <w:kern w:val="2"/>
          <w:highlight w:val="none"/>
        </w:rPr>
      </w:pPr>
      <w:r>
        <w:rPr>
          <w:rFonts w:hint="eastAsia" w:cs="宋体"/>
          <w:color w:val="auto"/>
          <w:kern w:val="2"/>
          <w:highlight w:val="none"/>
          <w:lang w:bidi="ar"/>
        </w:rPr>
        <w:t>如本公司对以上条款提供虚假承诺，愿承担一切法律责任。</w:t>
      </w:r>
    </w:p>
    <w:p w14:paraId="1DD698CB">
      <w:pPr>
        <w:widowControl/>
        <w:adjustRightInd w:val="0"/>
        <w:snapToGrid w:val="0"/>
        <w:spacing w:line="360" w:lineRule="auto"/>
        <w:ind w:firstLine="4080" w:firstLineChars="1700"/>
        <w:jc w:val="left"/>
        <w:rPr>
          <w:rFonts w:ascii="宋体" w:hAnsi="宋体" w:cs="宋体"/>
          <w:color w:val="auto"/>
          <w:highlight w:val="none"/>
        </w:rPr>
      </w:pPr>
      <w:r>
        <w:rPr>
          <w:rFonts w:hint="eastAsia" w:ascii="宋体" w:hAnsi="宋体" w:cs="宋体"/>
          <w:color w:val="auto"/>
          <w:highlight w:val="none"/>
          <w:lang w:bidi="ar"/>
        </w:rPr>
        <w:t xml:space="preserve"> </w:t>
      </w:r>
    </w:p>
    <w:p w14:paraId="1FD58790">
      <w:pPr>
        <w:pStyle w:val="37"/>
        <w:widowControl w:val="0"/>
        <w:spacing w:before="0" w:beforeAutospacing="0" w:after="0" w:afterAutospacing="0"/>
        <w:ind w:firstLine="480"/>
        <w:rPr>
          <w:rFonts w:cs="宋体"/>
          <w:bCs/>
          <w:color w:val="auto"/>
          <w:kern w:val="2"/>
          <w:highlight w:val="none"/>
        </w:rPr>
      </w:pPr>
      <w:r>
        <w:rPr>
          <w:rFonts w:hint="eastAsia" w:cs="宋体"/>
          <w:bCs/>
          <w:color w:val="auto"/>
          <w:kern w:val="2"/>
          <w:highlight w:val="none"/>
          <w:lang w:bidi="ar"/>
        </w:rPr>
        <w:t xml:space="preserve"> </w:t>
      </w:r>
    </w:p>
    <w:p w14:paraId="41EB2746">
      <w:pPr>
        <w:ind w:firstLine="480"/>
        <w:rPr>
          <w:rFonts w:hint="eastAsia" w:ascii="宋体" w:hAnsi="宋体" w:cs="宋体"/>
          <w:color w:val="auto"/>
          <w:highlight w:val="none"/>
          <w:lang w:bidi="ar"/>
        </w:rPr>
      </w:pPr>
      <w:r>
        <w:rPr>
          <w:rFonts w:hint="eastAsia" w:ascii="宋体" w:hAnsi="宋体" w:cs="宋体"/>
          <w:color w:val="auto"/>
          <w:highlight w:val="none"/>
          <w:lang w:bidi="ar"/>
        </w:rPr>
        <w:t xml:space="preserve"> </w:t>
      </w:r>
    </w:p>
    <w:p w14:paraId="4EF01AC0">
      <w:pPr>
        <w:pStyle w:val="10"/>
        <w:numPr>
          <w:ilvl w:val="-1"/>
          <w:numId w:val="0"/>
        </w:numPr>
        <w:ind w:left="0" w:firstLine="0"/>
        <w:jc w:val="both"/>
        <w:outlineLvl w:val="9"/>
        <w:rPr>
          <w:color w:val="auto"/>
          <w:highlight w:val="none"/>
        </w:rPr>
      </w:pPr>
    </w:p>
    <w:p w14:paraId="3E609FB2">
      <w:pPr>
        <w:adjustRightInd w:val="0"/>
        <w:snapToGrid w:val="0"/>
        <w:spacing w:line="360" w:lineRule="auto"/>
        <w:ind w:firstLine="4080" w:firstLineChars="1700"/>
        <w:jc w:val="left"/>
        <w:textAlignment w:val="baseline"/>
        <w:rPr>
          <w:rFonts w:ascii="宋体" w:hAnsi="宋体" w:cs="宋体"/>
          <w:color w:val="auto"/>
          <w:highlight w:val="none"/>
        </w:rPr>
      </w:pPr>
      <w:r>
        <w:rPr>
          <w:rFonts w:hint="eastAsia" w:ascii="宋体" w:hAnsi="宋体" w:cs="宋体"/>
          <w:color w:val="auto"/>
          <w:highlight w:val="none"/>
          <w:lang w:bidi="ar"/>
        </w:rPr>
        <w:t>投标人名称（盖章）:</w:t>
      </w:r>
    </w:p>
    <w:p w14:paraId="6FFA2AB9">
      <w:pPr>
        <w:adjustRightInd w:val="0"/>
        <w:snapToGrid w:val="0"/>
        <w:spacing w:line="360" w:lineRule="auto"/>
        <w:ind w:firstLine="4080" w:firstLineChars="1700"/>
        <w:jc w:val="left"/>
        <w:textAlignment w:val="baseline"/>
        <w:rPr>
          <w:rFonts w:ascii="宋体" w:hAnsi="宋体" w:cs="宋体"/>
          <w:color w:val="auto"/>
          <w:highlight w:val="none"/>
          <w:u w:val="single"/>
        </w:rPr>
      </w:pPr>
      <w:r>
        <w:rPr>
          <w:rFonts w:hint="eastAsia" w:ascii="宋体" w:hAnsi="宋体" w:cs="宋体"/>
          <w:color w:val="auto"/>
          <w:highlight w:val="none"/>
          <w:lang w:eastAsia="zh-CN" w:bidi="ar"/>
        </w:rPr>
        <w:t>法定代表人（或负责人）</w:t>
      </w:r>
      <w:r>
        <w:rPr>
          <w:rFonts w:hint="eastAsia" w:ascii="宋体" w:hAnsi="宋体" w:cs="宋体"/>
          <w:color w:val="auto"/>
          <w:highlight w:val="none"/>
          <w:lang w:bidi="ar"/>
        </w:rPr>
        <w:t>或授权代理人（签字或盖章）:</w:t>
      </w:r>
    </w:p>
    <w:p w14:paraId="7A3258D9">
      <w:pPr>
        <w:widowControl/>
        <w:adjustRightInd w:val="0"/>
        <w:snapToGrid w:val="0"/>
        <w:spacing w:line="360" w:lineRule="auto"/>
        <w:ind w:firstLine="4080" w:firstLineChars="1700"/>
        <w:jc w:val="left"/>
        <w:rPr>
          <w:rFonts w:ascii="宋体" w:hAnsi="宋体" w:cs="宋体"/>
          <w:color w:val="auto"/>
          <w:highlight w:val="none"/>
        </w:rPr>
      </w:pPr>
      <w:r>
        <w:rPr>
          <w:rFonts w:hint="eastAsia" w:ascii="宋体" w:hAnsi="宋体" w:cs="宋体"/>
          <w:color w:val="auto"/>
          <w:highlight w:val="none"/>
          <w:lang w:bidi="ar"/>
        </w:rPr>
        <w:t>日期:</w:t>
      </w:r>
      <w:r>
        <w:rPr>
          <w:rFonts w:hint="eastAsia" w:ascii="宋体" w:hAnsi="宋体" w:cs="宋体"/>
          <w:color w:val="auto"/>
          <w:highlight w:val="none"/>
          <w:lang w:eastAsia="zh-CN" w:bidi="ar"/>
        </w:rPr>
        <w:t>2025年</w:t>
      </w:r>
      <w:r>
        <w:rPr>
          <w:rFonts w:hint="eastAsia" w:ascii="宋体" w:hAnsi="宋体" w:cs="宋体"/>
          <w:color w:val="auto"/>
          <w:highlight w:val="none"/>
          <w:lang w:bidi="ar"/>
        </w:rPr>
        <w:t xml:space="preserve">   月   日</w:t>
      </w:r>
    </w:p>
    <w:p w14:paraId="6B1D0B4D">
      <w:pPr>
        <w:pStyle w:val="40"/>
        <w:ind w:left="0" w:leftChars="0" w:firstLine="0" w:firstLineChars="0"/>
        <w:rPr>
          <w:rFonts w:hint="default"/>
          <w:color w:val="auto"/>
          <w:highlight w:val="none"/>
        </w:rPr>
      </w:pPr>
      <w:bookmarkStart w:id="1263" w:name="_Toc8735"/>
      <w:bookmarkStart w:id="1264" w:name="_Toc3800"/>
    </w:p>
    <w:p w14:paraId="4313AB38">
      <w:pPr>
        <w:ind w:firstLine="0" w:firstLineChars="0"/>
        <w:jc w:val="left"/>
        <w:outlineLvl w:val="9"/>
        <w:rPr>
          <w:rFonts w:hint="eastAsia" w:ascii="宋体" w:hAnsi="宋体" w:cs="宋体"/>
          <w:b/>
          <w:bCs/>
          <w:color w:val="auto"/>
          <w:highlight w:val="none"/>
        </w:rPr>
      </w:pPr>
      <w:bookmarkStart w:id="1265" w:name="_Toc11989"/>
      <w:bookmarkStart w:id="1266" w:name="_Toc31913"/>
      <w:bookmarkStart w:id="1267" w:name="_Toc20206"/>
      <w:bookmarkStart w:id="1268" w:name="_Toc19507"/>
      <w:bookmarkStart w:id="1269" w:name="_Toc22205"/>
      <w:bookmarkStart w:id="1270" w:name="_Toc23288"/>
      <w:bookmarkStart w:id="1271" w:name="_Toc21012"/>
      <w:bookmarkStart w:id="1272" w:name="_Toc25994"/>
      <w:bookmarkStart w:id="1273" w:name="_Toc18159"/>
      <w:bookmarkStart w:id="1274" w:name="_Toc15724"/>
    </w:p>
    <w:p w14:paraId="61654C38">
      <w:pPr>
        <w:ind w:firstLine="0" w:firstLineChars="0"/>
        <w:jc w:val="left"/>
        <w:outlineLvl w:val="9"/>
        <w:rPr>
          <w:rFonts w:hint="eastAsia" w:ascii="宋体" w:hAnsi="宋体" w:cs="宋体"/>
          <w:b/>
          <w:bCs/>
          <w:color w:val="auto"/>
          <w:highlight w:val="none"/>
        </w:rPr>
      </w:pPr>
    </w:p>
    <w:p w14:paraId="710C822B">
      <w:pPr>
        <w:ind w:firstLine="0" w:firstLineChars="0"/>
        <w:jc w:val="left"/>
        <w:outlineLvl w:val="9"/>
        <w:rPr>
          <w:rFonts w:hint="eastAsia" w:ascii="宋体" w:hAnsi="宋体" w:cs="宋体"/>
          <w:b/>
          <w:bCs/>
          <w:color w:val="auto"/>
          <w:highlight w:val="none"/>
        </w:rPr>
      </w:pPr>
    </w:p>
    <w:p w14:paraId="4D465ECA">
      <w:pPr>
        <w:ind w:firstLine="0" w:firstLineChars="0"/>
        <w:jc w:val="left"/>
        <w:outlineLvl w:val="9"/>
        <w:rPr>
          <w:rFonts w:hint="eastAsia" w:ascii="宋体" w:hAnsi="宋体" w:cs="宋体"/>
          <w:b/>
          <w:bCs/>
          <w:color w:val="auto"/>
          <w:highlight w:val="none"/>
        </w:rPr>
      </w:pPr>
    </w:p>
    <w:p w14:paraId="109E64F7">
      <w:pPr>
        <w:ind w:firstLine="0" w:firstLineChars="0"/>
        <w:jc w:val="left"/>
        <w:outlineLvl w:val="9"/>
        <w:rPr>
          <w:rFonts w:hint="eastAsia" w:ascii="宋体" w:hAnsi="宋体" w:cs="宋体"/>
          <w:b/>
          <w:bCs/>
          <w:color w:val="auto"/>
          <w:highlight w:val="none"/>
        </w:rPr>
      </w:pPr>
    </w:p>
    <w:p w14:paraId="47AF41D0">
      <w:pPr>
        <w:ind w:firstLine="0" w:firstLineChars="0"/>
        <w:jc w:val="left"/>
        <w:outlineLvl w:val="9"/>
        <w:rPr>
          <w:rFonts w:hint="eastAsia" w:ascii="宋体" w:hAnsi="宋体" w:cs="宋体"/>
          <w:b/>
          <w:bCs/>
          <w:color w:val="auto"/>
          <w:highlight w:val="none"/>
        </w:rPr>
      </w:pPr>
    </w:p>
    <w:p w14:paraId="517FDD6D">
      <w:pPr>
        <w:ind w:firstLine="0" w:firstLineChars="0"/>
        <w:jc w:val="left"/>
        <w:outlineLvl w:val="9"/>
        <w:rPr>
          <w:rFonts w:hint="eastAsia" w:ascii="宋体" w:hAnsi="宋体" w:cs="宋体"/>
          <w:b/>
          <w:bCs/>
          <w:color w:val="auto"/>
          <w:highlight w:val="none"/>
        </w:rPr>
      </w:pPr>
    </w:p>
    <w:p w14:paraId="4BFB4728">
      <w:pPr>
        <w:ind w:firstLine="0" w:firstLineChars="0"/>
        <w:jc w:val="left"/>
        <w:outlineLvl w:val="9"/>
        <w:rPr>
          <w:rFonts w:hint="eastAsia" w:ascii="宋体" w:hAnsi="宋体" w:cs="宋体"/>
          <w:b/>
          <w:bCs/>
          <w:color w:val="auto"/>
          <w:highlight w:val="none"/>
        </w:rPr>
      </w:pPr>
    </w:p>
    <w:p w14:paraId="125DB746">
      <w:pPr>
        <w:ind w:firstLine="0" w:firstLineChars="0"/>
        <w:jc w:val="left"/>
        <w:outlineLvl w:val="9"/>
        <w:rPr>
          <w:rFonts w:hint="eastAsia" w:ascii="宋体" w:hAnsi="宋体" w:cs="宋体"/>
          <w:b/>
          <w:bCs/>
          <w:color w:val="auto"/>
          <w:highlight w:val="none"/>
        </w:rPr>
      </w:pPr>
    </w:p>
    <w:p w14:paraId="7D446D73">
      <w:pPr>
        <w:ind w:firstLine="0" w:firstLineChars="0"/>
        <w:jc w:val="left"/>
        <w:outlineLvl w:val="9"/>
        <w:rPr>
          <w:rFonts w:hint="eastAsia" w:ascii="宋体" w:hAnsi="宋体" w:cs="宋体"/>
          <w:b/>
          <w:bCs/>
          <w:color w:val="auto"/>
          <w:highlight w:val="none"/>
        </w:rPr>
      </w:pPr>
    </w:p>
    <w:p w14:paraId="09FD1EF8">
      <w:pPr>
        <w:ind w:firstLine="0" w:firstLineChars="0"/>
        <w:jc w:val="left"/>
        <w:outlineLvl w:val="9"/>
        <w:rPr>
          <w:rFonts w:hint="eastAsia" w:ascii="宋体" w:hAnsi="宋体" w:cs="宋体"/>
          <w:b/>
          <w:bCs/>
          <w:color w:val="auto"/>
          <w:highlight w:val="none"/>
        </w:rPr>
      </w:pPr>
    </w:p>
    <w:bookmarkEnd w:id="1265"/>
    <w:bookmarkEnd w:id="1266"/>
    <w:bookmarkEnd w:id="1267"/>
    <w:bookmarkEnd w:id="1268"/>
    <w:bookmarkEnd w:id="1269"/>
    <w:bookmarkEnd w:id="1270"/>
    <w:p w14:paraId="4F4F9F53">
      <w:pPr>
        <w:ind w:firstLine="0" w:firstLineChars="0"/>
        <w:jc w:val="center"/>
        <w:outlineLvl w:val="9"/>
        <w:rPr>
          <w:rFonts w:hint="eastAsia"/>
          <w:b/>
          <w:bCs/>
          <w:color w:val="auto"/>
          <w:sz w:val="30"/>
          <w:szCs w:val="30"/>
          <w:highlight w:val="none"/>
        </w:rPr>
      </w:pPr>
    </w:p>
    <w:p w14:paraId="45787185">
      <w:pPr>
        <w:ind w:firstLine="0" w:firstLineChars="0"/>
        <w:jc w:val="center"/>
        <w:outlineLvl w:val="0"/>
        <w:rPr>
          <w:b/>
          <w:bCs/>
          <w:color w:val="auto"/>
          <w:sz w:val="30"/>
          <w:szCs w:val="30"/>
          <w:highlight w:val="none"/>
        </w:rPr>
      </w:pPr>
      <w:bookmarkStart w:id="1275" w:name="_Toc30257"/>
      <w:bookmarkStart w:id="1276" w:name="_Toc9085"/>
      <w:bookmarkStart w:id="1277" w:name="_Toc2209"/>
      <w:r>
        <w:rPr>
          <w:rFonts w:hint="eastAsia"/>
          <w:b/>
          <w:bCs/>
          <w:color w:val="auto"/>
          <w:sz w:val="30"/>
          <w:szCs w:val="30"/>
          <w:highlight w:val="none"/>
        </w:rPr>
        <w:t>商务报价文件封面格式</w:t>
      </w:r>
      <w:bookmarkEnd w:id="1209"/>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3"/>
      <w:bookmarkEnd w:id="1264"/>
      <w:bookmarkEnd w:id="1271"/>
      <w:bookmarkEnd w:id="1272"/>
      <w:bookmarkEnd w:id="1273"/>
      <w:bookmarkEnd w:id="1274"/>
      <w:bookmarkEnd w:id="1275"/>
      <w:bookmarkEnd w:id="1276"/>
      <w:bookmarkEnd w:id="1277"/>
    </w:p>
    <w:p w14:paraId="01F97089">
      <w:pPr>
        <w:pStyle w:val="2"/>
        <w:ind w:firstLine="0" w:firstLineChars="0"/>
        <w:rPr>
          <w:rFonts w:ascii="宋体" w:hAnsi="宋体" w:cs="宋体"/>
          <w:color w:val="auto"/>
          <w:sz w:val="32"/>
          <w:szCs w:val="32"/>
          <w:highlight w:val="none"/>
        </w:rPr>
      </w:pPr>
      <w:bookmarkStart w:id="1278" w:name="_Toc7681"/>
      <w:bookmarkStart w:id="1279" w:name="_Toc24987"/>
      <w:bookmarkStart w:id="1280" w:name="_Toc27134"/>
      <w:bookmarkStart w:id="1281" w:name="_Toc16937"/>
      <w:bookmarkStart w:id="1282" w:name="_Toc17415"/>
      <w:bookmarkStart w:id="1283" w:name="_Toc1215"/>
      <w:bookmarkStart w:id="1284" w:name="_Toc20933"/>
      <w:bookmarkStart w:id="1285" w:name="_Toc29757"/>
      <w:bookmarkStart w:id="1286" w:name="_Toc13941"/>
      <w:bookmarkStart w:id="1287" w:name="_Toc15531"/>
      <w:bookmarkStart w:id="1288" w:name="_Toc433"/>
      <w:bookmarkStart w:id="1289" w:name="_Toc10177"/>
      <w:bookmarkStart w:id="1290" w:name="_Toc22455"/>
      <w:bookmarkStart w:id="1291" w:name="_Toc7316"/>
      <w:bookmarkStart w:id="1292" w:name="_Toc12003"/>
      <w:bookmarkStart w:id="1293" w:name="_Toc19820"/>
      <w:bookmarkStart w:id="1294" w:name="_Toc8432"/>
      <w:bookmarkStart w:id="1295" w:name="_Toc32301"/>
      <w:bookmarkStart w:id="1296" w:name="_Toc5460"/>
      <w:bookmarkStart w:id="1297" w:name="_Toc7104"/>
      <w:bookmarkStart w:id="1298" w:name="_Toc5863"/>
      <w:bookmarkStart w:id="1299" w:name="_Toc29389"/>
      <w:bookmarkStart w:id="1300" w:name="_Toc30696"/>
      <w:bookmarkStart w:id="1301" w:name="_Toc9459"/>
      <w:bookmarkStart w:id="1302" w:name="_Toc27002"/>
    </w:p>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p w14:paraId="0467EE46">
      <w:pPr>
        <w:spacing w:line="420" w:lineRule="exact"/>
        <w:ind w:firstLine="883"/>
        <w:rPr>
          <w:rFonts w:ascii="宋体" w:cs="宋体"/>
          <w:b/>
          <w:color w:val="auto"/>
          <w:sz w:val="44"/>
          <w:szCs w:val="44"/>
          <w:highlight w:val="none"/>
        </w:rPr>
      </w:pPr>
    </w:p>
    <w:p w14:paraId="02D08D68">
      <w:pPr>
        <w:pStyle w:val="2"/>
        <w:ind w:firstLine="480"/>
        <w:rPr>
          <w:color w:val="auto"/>
          <w:highlight w:val="none"/>
        </w:rPr>
      </w:pPr>
    </w:p>
    <w:p w14:paraId="4A7E9510">
      <w:pPr>
        <w:spacing w:line="240" w:lineRule="auto"/>
        <w:ind w:firstLine="0" w:firstLineChars="0"/>
        <w:jc w:val="center"/>
        <w:outlineLvl w:val="9"/>
        <w:rPr>
          <w:rFonts w:hint="eastAsia" w:ascii="宋体" w:hAnsi="宋体" w:cs="宋体"/>
          <w:b/>
          <w:bCs/>
          <w:color w:val="auto"/>
          <w:sz w:val="72"/>
          <w:szCs w:val="72"/>
          <w:highlight w:val="none"/>
        </w:rPr>
      </w:pPr>
      <w:r>
        <w:rPr>
          <w:rFonts w:hint="eastAsia" w:ascii="宋体" w:hAnsi="宋体" w:cs="宋体"/>
          <w:b/>
          <w:color w:val="auto"/>
          <w:sz w:val="52"/>
          <w:szCs w:val="52"/>
          <w:highlight w:val="none"/>
          <w:lang w:val="zh-CN"/>
        </w:rPr>
        <w:t>商品砼事业部2025年度装载机维修保养服务采购</w:t>
      </w:r>
    </w:p>
    <w:p w14:paraId="1D6C8369">
      <w:pPr>
        <w:spacing w:line="240" w:lineRule="auto"/>
        <w:ind w:firstLine="0" w:firstLineChars="0"/>
        <w:jc w:val="center"/>
        <w:rPr>
          <w:rFonts w:hint="eastAsia" w:ascii="宋体" w:hAnsi="宋体" w:cs="宋体"/>
          <w:b/>
          <w:bCs/>
          <w:color w:val="auto"/>
          <w:sz w:val="72"/>
          <w:szCs w:val="72"/>
          <w:highlight w:val="none"/>
        </w:rPr>
      </w:pPr>
    </w:p>
    <w:p w14:paraId="7B0633D7">
      <w:pPr>
        <w:spacing w:line="240" w:lineRule="auto"/>
        <w:ind w:firstLine="0" w:firstLineChars="0"/>
        <w:jc w:val="center"/>
        <w:rPr>
          <w:rFonts w:hint="eastAsia" w:ascii="宋体" w:hAnsi="宋体" w:cs="宋体"/>
          <w:b/>
          <w:bCs/>
          <w:color w:val="auto"/>
          <w:sz w:val="72"/>
          <w:szCs w:val="72"/>
          <w:highlight w:val="none"/>
        </w:rPr>
      </w:pPr>
    </w:p>
    <w:p w14:paraId="038A5D54">
      <w:pPr>
        <w:spacing w:line="240" w:lineRule="auto"/>
        <w:ind w:firstLine="0" w:firstLineChars="0"/>
        <w:jc w:val="center"/>
        <w:rPr>
          <w:rFonts w:ascii="宋体" w:cs="宋体"/>
          <w:b/>
          <w:bCs/>
          <w:color w:val="auto"/>
          <w:sz w:val="72"/>
          <w:szCs w:val="72"/>
          <w:highlight w:val="none"/>
        </w:rPr>
      </w:pPr>
      <w:r>
        <w:rPr>
          <w:rFonts w:hint="eastAsia" w:ascii="宋体" w:hAnsi="宋体" w:cs="宋体"/>
          <w:b/>
          <w:bCs/>
          <w:color w:val="auto"/>
          <w:sz w:val="72"/>
          <w:szCs w:val="72"/>
          <w:highlight w:val="none"/>
        </w:rPr>
        <w:t>商务报价文件</w:t>
      </w:r>
    </w:p>
    <w:p w14:paraId="4F3F0414">
      <w:pPr>
        <w:spacing w:line="240" w:lineRule="auto"/>
        <w:ind w:firstLine="883"/>
        <w:jc w:val="center"/>
        <w:rPr>
          <w:rFonts w:ascii="宋体" w:cs="宋体"/>
          <w:b/>
          <w:bCs/>
          <w:color w:val="auto"/>
          <w:sz w:val="44"/>
          <w:szCs w:val="44"/>
          <w:highlight w:val="none"/>
        </w:rPr>
      </w:pPr>
    </w:p>
    <w:p w14:paraId="701E0D79">
      <w:pPr>
        <w:pStyle w:val="2"/>
        <w:ind w:firstLine="0" w:firstLineChars="0"/>
        <w:rPr>
          <w:rFonts w:ascii="宋体" w:cs="宋体"/>
          <w:color w:val="auto"/>
          <w:highlight w:val="none"/>
        </w:rPr>
      </w:pPr>
    </w:p>
    <w:p w14:paraId="4B3E4A68">
      <w:pPr>
        <w:pStyle w:val="2"/>
        <w:ind w:firstLine="0" w:firstLineChars="0"/>
        <w:rPr>
          <w:rFonts w:ascii="宋体" w:cs="宋体"/>
          <w:color w:val="auto"/>
          <w:highlight w:val="none"/>
        </w:rPr>
      </w:pPr>
    </w:p>
    <w:p w14:paraId="0C9EBCDE">
      <w:pPr>
        <w:pStyle w:val="54"/>
        <w:ind w:left="0" w:leftChars="0" w:firstLine="0" w:firstLineChars="0"/>
        <w:rPr>
          <w:color w:val="auto"/>
          <w:highlight w:val="none"/>
        </w:rPr>
      </w:pPr>
    </w:p>
    <w:p w14:paraId="219FB623">
      <w:pPr>
        <w:pStyle w:val="54"/>
        <w:ind w:firstLine="0" w:firstLineChars="0"/>
        <w:rPr>
          <w:color w:val="auto"/>
          <w:highlight w:val="none"/>
        </w:rPr>
      </w:pPr>
    </w:p>
    <w:p w14:paraId="12AA22D0">
      <w:pPr>
        <w:pStyle w:val="54"/>
        <w:ind w:firstLine="0" w:firstLineChars="0"/>
        <w:rPr>
          <w:color w:val="auto"/>
          <w:highlight w:val="none"/>
        </w:rPr>
      </w:pPr>
    </w:p>
    <w:p w14:paraId="4E1F5301">
      <w:pPr>
        <w:pStyle w:val="54"/>
        <w:ind w:firstLine="320"/>
        <w:rPr>
          <w:color w:val="auto"/>
          <w:highlight w:val="none"/>
        </w:rPr>
      </w:pPr>
    </w:p>
    <w:p w14:paraId="6244B944">
      <w:pPr>
        <w:spacing w:line="360" w:lineRule="auto"/>
        <w:ind w:firstLine="640"/>
        <w:rPr>
          <w:rFonts w:ascii="宋体" w:cs="宋体"/>
          <w:color w:val="auto"/>
          <w:sz w:val="32"/>
          <w:highlight w:val="none"/>
        </w:rPr>
      </w:pPr>
      <w:r>
        <w:rPr>
          <w:rFonts w:hint="eastAsia" w:ascii="宋体" w:hAnsi="宋体" w:cs="宋体"/>
          <w:color w:val="auto"/>
          <w:sz w:val="32"/>
          <w:highlight w:val="none"/>
        </w:rPr>
        <w:t>项目编号：</w:t>
      </w:r>
      <w:r>
        <w:rPr>
          <w:rFonts w:hint="eastAsia" w:ascii="宋体" w:hAnsi="宋体" w:cs="宋体"/>
          <w:color w:val="auto"/>
          <w:sz w:val="32"/>
          <w:highlight w:val="none"/>
          <w:u w:val="single"/>
          <w:lang w:eastAsia="zh-CN"/>
        </w:rPr>
        <w:t>LYCG2025YX-044</w:t>
      </w:r>
      <w:r>
        <w:rPr>
          <w:rFonts w:ascii="宋体" w:hAnsi="宋体" w:cs="宋体"/>
          <w:color w:val="auto"/>
          <w:sz w:val="32"/>
          <w:highlight w:val="none"/>
          <w:u w:val="single"/>
        </w:rPr>
        <w:t xml:space="preserve">                       </w:t>
      </w:r>
    </w:p>
    <w:p w14:paraId="563BC6C1">
      <w:pPr>
        <w:spacing w:line="360" w:lineRule="auto"/>
        <w:ind w:firstLine="640"/>
        <w:rPr>
          <w:rFonts w:ascii="宋体" w:cs="宋体"/>
          <w:color w:val="auto"/>
          <w:sz w:val="32"/>
          <w:highlight w:val="none"/>
          <w:u w:val="single"/>
        </w:rPr>
      </w:pPr>
      <w:r>
        <w:rPr>
          <w:rFonts w:hint="eastAsia" w:ascii="宋体" w:hAnsi="宋体" w:cs="宋体"/>
          <w:color w:val="auto"/>
          <w:sz w:val="32"/>
          <w:highlight w:val="none"/>
        </w:rPr>
        <w:t>投</w:t>
      </w:r>
      <w:r>
        <w:rPr>
          <w:rFonts w:ascii="宋体" w:hAnsi="宋体" w:cs="宋体"/>
          <w:color w:val="auto"/>
          <w:sz w:val="32"/>
          <w:highlight w:val="none"/>
        </w:rPr>
        <w:t xml:space="preserve"> </w:t>
      </w:r>
      <w:r>
        <w:rPr>
          <w:rFonts w:hint="eastAsia" w:ascii="宋体" w:hAnsi="宋体" w:cs="宋体"/>
          <w:color w:val="auto"/>
          <w:sz w:val="32"/>
          <w:highlight w:val="none"/>
        </w:rPr>
        <w:t>标</w:t>
      </w:r>
      <w:r>
        <w:rPr>
          <w:rFonts w:ascii="宋体" w:hAnsi="宋体" w:cs="宋体"/>
          <w:color w:val="auto"/>
          <w:sz w:val="32"/>
          <w:highlight w:val="none"/>
        </w:rPr>
        <w:t xml:space="preserve"> </w:t>
      </w:r>
      <w:r>
        <w:rPr>
          <w:rFonts w:hint="eastAsia" w:ascii="宋体" w:hAnsi="宋体" w:cs="宋体"/>
          <w:color w:val="auto"/>
          <w:sz w:val="32"/>
          <w:highlight w:val="none"/>
        </w:rPr>
        <w:t>人：</w:t>
      </w:r>
      <w:r>
        <w:rPr>
          <w:rFonts w:ascii="宋体" w:hAnsi="宋体" w:cs="宋体"/>
          <w:color w:val="auto"/>
          <w:sz w:val="32"/>
          <w:highlight w:val="none"/>
          <w:u w:val="single"/>
        </w:rPr>
        <w:t xml:space="preserve">        </w:t>
      </w:r>
      <w:r>
        <w:rPr>
          <w:rFonts w:hint="eastAsia" w:ascii="宋体" w:hAnsi="宋体" w:cs="宋体"/>
          <w:color w:val="auto"/>
          <w:sz w:val="32"/>
          <w:highlight w:val="none"/>
          <w:u w:val="single"/>
        </w:rPr>
        <w:t>（全称）（加盖公章）</w:t>
      </w:r>
      <w:r>
        <w:rPr>
          <w:rFonts w:ascii="宋体" w:hAnsi="宋体" w:cs="宋体"/>
          <w:color w:val="auto"/>
          <w:sz w:val="32"/>
          <w:highlight w:val="none"/>
          <w:u w:val="single"/>
        </w:rPr>
        <w:t xml:space="preserve">          </w:t>
      </w:r>
    </w:p>
    <w:p w14:paraId="6E11C682">
      <w:pPr>
        <w:spacing w:line="360" w:lineRule="auto"/>
        <w:ind w:firstLine="640"/>
        <w:rPr>
          <w:rFonts w:ascii="宋体" w:cs="宋体"/>
          <w:color w:val="auto"/>
          <w:sz w:val="32"/>
          <w:highlight w:val="none"/>
          <w:u w:val="single"/>
        </w:rPr>
      </w:pPr>
      <w:r>
        <w:rPr>
          <w:rFonts w:hint="eastAsia" w:ascii="宋体" w:hAnsi="宋体" w:cs="宋体"/>
          <w:color w:val="auto"/>
          <w:sz w:val="32"/>
          <w:highlight w:val="none"/>
          <w:lang w:eastAsia="zh-CN"/>
        </w:rPr>
        <w:t>法定代表人（或负责人）</w:t>
      </w:r>
      <w:r>
        <w:rPr>
          <w:rFonts w:hint="eastAsia" w:ascii="宋体" w:hAnsi="宋体" w:cs="宋体"/>
          <w:color w:val="auto"/>
          <w:sz w:val="32"/>
          <w:highlight w:val="none"/>
        </w:rPr>
        <w:t>或授权代表人签字或盖章：</w:t>
      </w:r>
    </w:p>
    <w:p w14:paraId="5831C444">
      <w:pPr>
        <w:spacing w:line="360" w:lineRule="auto"/>
        <w:ind w:firstLine="640"/>
        <w:rPr>
          <w:rFonts w:ascii="宋体" w:cs="宋体"/>
          <w:color w:val="auto"/>
          <w:sz w:val="32"/>
          <w:highlight w:val="none"/>
          <w:u w:val="single"/>
        </w:rPr>
      </w:pPr>
      <w:r>
        <w:rPr>
          <w:rFonts w:hint="eastAsia" w:ascii="宋体" w:hAnsi="宋体" w:cs="宋体"/>
          <w:color w:val="auto"/>
          <w:sz w:val="32"/>
          <w:highlight w:val="none"/>
        </w:rPr>
        <w:t>投标人地址：</w:t>
      </w:r>
    </w:p>
    <w:p w14:paraId="06F62561">
      <w:pPr>
        <w:spacing w:line="360" w:lineRule="auto"/>
        <w:ind w:firstLine="0" w:firstLineChars="0"/>
        <w:jc w:val="center"/>
        <w:rPr>
          <w:rFonts w:hint="eastAsia" w:ascii="宋体" w:hAnsi="宋体" w:cs="宋体"/>
          <w:b/>
          <w:bCs/>
          <w:color w:val="auto"/>
          <w:highlight w:val="none"/>
        </w:rPr>
      </w:pPr>
      <w:r>
        <w:rPr>
          <w:rFonts w:hint="eastAsia" w:ascii="宋体" w:hAnsi="宋体" w:cs="宋体"/>
          <w:color w:val="auto"/>
          <w:sz w:val="32"/>
          <w:highlight w:val="none"/>
          <w:lang w:eastAsia="zh-CN"/>
        </w:rPr>
        <w:t>二  〇 二</w:t>
      </w:r>
      <w:r>
        <w:rPr>
          <w:rFonts w:hint="eastAsia" w:ascii="宋体" w:hAnsi="宋体" w:cs="宋体"/>
          <w:color w:val="auto"/>
          <w:sz w:val="32"/>
          <w:highlight w:val="none"/>
          <w:lang w:val="en-US" w:eastAsia="zh-CN"/>
        </w:rPr>
        <w:t xml:space="preserve">五 </w:t>
      </w:r>
      <w:r>
        <w:rPr>
          <w:rFonts w:hint="eastAsia" w:ascii="宋体" w:hAnsi="宋体" w:cs="宋体"/>
          <w:color w:val="auto"/>
          <w:sz w:val="32"/>
          <w:highlight w:val="none"/>
        </w:rPr>
        <w:t>年</w:t>
      </w:r>
      <w:r>
        <w:rPr>
          <w:rFonts w:ascii="宋体" w:hAnsi="宋体" w:cs="宋体"/>
          <w:color w:val="auto"/>
          <w:sz w:val="32"/>
          <w:highlight w:val="none"/>
        </w:rPr>
        <w:t xml:space="preserve">    </w:t>
      </w:r>
      <w:r>
        <w:rPr>
          <w:rFonts w:hint="eastAsia" w:ascii="宋体" w:hAnsi="宋体" w:cs="宋体"/>
          <w:color w:val="auto"/>
          <w:sz w:val="32"/>
          <w:highlight w:val="none"/>
        </w:rPr>
        <w:t>月</w:t>
      </w:r>
      <w:r>
        <w:rPr>
          <w:rFonts w:ascii="宋体" w:hAnsi="宋体" w:cs="宋体"/>
          <w:color w:val="auto"/>
          <w:sz w:val="32"/>
          <w:highlight w:val="none"/>
        </w:rPr>
        <w:t xml:space="preserve">    </w:t>
      </w:r>
      <w:r>
        <w:rPr>
          <w:rFonts w:hint="eastAsia" w:ascii="宋体" w:hAnsi="宋体" w:cs="宋体"/>
          <w:color w:val="auto"/>
          <w:sz w:val="32"/>
          <w:highlight w:val="none"/>
        </w:rPr>
        <w:t>日</w:t>
      </w:r>
      <w:bookmarkStart w:id="1303" w:name="_Toc27025"/>
      <w:bookmarkStart w:id="1304" w:name="_Toc4847"/>
      <w:bookmarkStart w:id="1305" w:name="_Toc25710"/>
      <w:bookmarkStart w:id="1306" w:name="_Toc21607"/>
      <w:bookmarkStart w:id="1307" w:name="_Toc18194"/>
      <w:bookmarkStart w:id="1308" w:name="_Toc594"/>
      <w:bookmarkStart w:id="1309" w:name="_Toc11561"/>
      <w:bookmarkStart w:id="1310" w:name="_Toc13333"/>
      <w:bookmarkStart w:id="1311" w:name="_Toc29549"/>
      <w:bookmarkStart w:id="1312" w:name="_Toc19302"/>
      <w:bookmarkStart w:id="1313" w:name="_Toc6661"/>
      <w:bookmarkStart w:id="1314" w:name="_Toc24825"/>
      <w:bookmarkStart w:id="1315" w:name="_Toc8609"/>
      <w:bookmarkStart w:id="1316" w:name="_Toc28977"/>
      <w:bookmarkStart w:id="1317" w:name="_Toc16261"/>
      <w:bookmarkStart w:id="1318" w:name="_Toc2628"/>
      <w:bookmarkStart w:id="1319" w:name="_Toc20474"/>
      <w:bookmarkStart w:id="1320" w:name="_Toc18452"/>
      <w:bookmarkStart w:id="1321" w:name="_Toc27894"/>
      <w:bookmarkStart w:id="1322" w:name="_Toc6584"/>
      <w:bookmarkStart w:id="1323" w:name="_Toc2822"/>
      <w:bookmarkStart w:id="1324" w:name="_Toc26245"/>
      <w:bookmarkStart w:id="1325" w:name="_Toc4376"/>
      <w:bookmarkStart w:id="1326" w:name="_Toc31451"/>
      <w:bookmarkStart w:id="1327" w:name="_Toc7497"/>
      <w:bookmarkStart w:id="1328" w:name="_Toc1063"/>
      <w:bookmarkStart w:id="1329" w:name="_Toc5894"/>
      <w:bookmarkStart w:id="1330" w:name="_Toc18208"/>
      <w:bookmarkStart w:id="1331" w:name="_Toc24948"/>
      <w:bookmarkStart w:id="1332" w:name="_Toc19624"/>
      <w:bookmarkStart w:id="1333" w:name="_Toc16798"/>
      <w:bookmarkStart w:id="1334" w:name="_Toc24177"/>
      <w:bookmarkStart w:id="1335" w:name="_Toc14293"/>
    </w:p>
    <w:p w14:paraId="0633EA68">
      <w:pPr>
        <w:ind w:firstLine="0" w:firstLineChars="0"/>
        <w:outlineLvl w:val="1"/>
        <w:rPr>
          <w:rFonts w:hint="eastAsia" w:ascii="宋体" w:hAnsi="宋体" w:cs="宋体"/>
          <w:b/>
          <w:bCs/>
          <w:color w:val="auto"/>
          <w:highlight w:val="none"/>
        </w:rPr>
      </w:pPr>
    </w:p>
    <w:p w14:paraId="13713226">
      <w:pPr>
        <w:ind w:firstLine="0" w:firstLineChars="0"/>
        <w:outlineLvl w:val="1"/>
        <w:rPr>
          <w:rFonts w:hint="default" w:ascii="宋体" w:hAnsi="宋体" w:eastAsia="宋体" w:cs="宋体"/>
          <w:b/>
          <w:bCs/>
          <w:color w:val="auto"/>
          <w:highlight w:val="none"/>
          <w:lang w:val="en-US" w:eastAsia="zh-CN"/>
        </w:rPr>
      </w:pPr>
      <w:r>
        <w:rPr>
          <w:rFonts w:hint="eastAsia" w:ascii="宋体" w:hAnsi="宋体" w:cs="宋体"/>
          <w:b/>
          <w:bCs/>
          <w:color w:val="auto"/>
          <w:highlight w:val="none"/>
        </w:rPr>
        <w:t>附件</w:t>
      </w:r>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r>
        <w:rPr>
          <w:rFonts w:hint="eastAsia" w:ascii="宋体" w:hAnsi="宋体" w:cs="宋体"/>
          <w:b/>
          <w:bCs/>
          <w:color w:val="auto"/>
          <w:highlight w:val="none"/>
          <w:lang w:val="en-US" w:eastAsia="zh-CN"/>
        </w:rPr>
        <w:t>7</w:t>
      </w:r>
    </w:p>
    <w:p w14:paraId="72C54345">
      <w:pPr>
        <w:keepNext w:val="0"/>
        <w:keepLines w:val="0"/>
        <w:widowControl/>
        <w:suppressLineNumbers w:val="0"/>
        <w:snapToGrid/>
        <w:spacing w:before="0" w:beforeAutospacing="0" w:after="0" w:afterAutospacing="0" w:line="360" w:lineRule="auto"/>
        <w:ind w:left="0" w:leftChars="0" w:right="0" w:firstLine="0" w:firstLineChars="0"/>
        <w:jc w:val="center"/>
        <w:outlineLvl w:val="0"/>
        <w:rPr>
          <w:rFonts w:hint="eastAsia" w:ascii="宋体" w:hAnsi="宋体" w:eastAsia="宋体" w:cs="宋体"/>
          <w:b/>
          <w:bCs w:val="0"/>
          <w:color w:val="auto"/>
          <w:kern w:val="2"/>
          <w:sz w:val="30"/>
          <w:szCs w:val="30"/>
          <w:highlight w:val="none"/>
          <w:lang w:bidi="ar"/>
        </w:rPr>
      </w:pPr>
      <w:bookmarkStart w:id="1336" w:name="_Toc15302"/>
      <w:r>
        <w:rPr>
          <w:rFonts w:hint="eastAsia" w:ascii="宋体" w:hAnsi="宋体" w:eastAsia="宋体" w:cs="宋体"/>
          <w:b/>
          <w:bCs w:val="0"/>
          <w:color w:val="auto"/>
          <w:kern w:val="2"/>
          <w:sz w:val="30"/>
          <w:szCs w:val="30"/>
          <w:highlight w:val="none"/>
          <w:lang w:val="en-US" w:eastAsia="zh-CN" w:bidi="ar"/>
        </w:rPr>
        <w:t>开标一览表</w:t>
      </w:r>
      <w:bookmarkEnd w:id="1336"/>
    </w:p>
    <w:p w14:paraId="7A2BE8F0">
      <w:pPr>
        <w:keepNext w:val="0"/>
        <w:keepLines w:val="0"/>
        <w:widowControl w:val="0"/>
        <w:suppressLineNumbers w:val="0"/>
        <w:spacing w:before="0" w:beforeAutospacing="0" w:after="0" w:afterAutospacing="0" w:line="300" w:lineRule="exact"/>
        <w:ind w:left="0" w:right="0" w:firstLine="480" w:firstLineChars="200"/>
        <w:jc w:val="both"/>
        <w:rPr>
          <w:rFonts w:hint="eastAsia" w:ascii="宋体" w:hAnsi="Times New Roman" w:eastAsia="宋体" w:cs="宋体"/>
          <w:color w:val="auto"/>
          <w:kern w:val="2"/>
          <w:sz w:val="24"/>
          <w:szCs w:val="24"/>
          <w:highlight w:val="none"/>
        </w:rPr>
      </w:pPr>
      <w:r>
        <w:rPr>
          <w:rFonts w:hint="eastAsia" w:ascii="宋体" w:hAnsi="Times New Roman" w:eastAsia="宋体" w:cs="宋体"/>
          <w:color w:val="auto"/>
          <w:kern w:val="2"/>
          <w:sz w:val="24"/>
          <w:szCs w:val="24"/>
          <w:highlight w:val="none"/>
          <w:lang w:val="en-US" w:eastAsia="zh-CN" w:bidi="ar"/>
        </w:rPr>
        <w:t xml:space="preserve"> </w:t>
      </w:r>
    </w:p>
    <w:p w14:paraId="5BEEDF7B">
      <w:pPr>
        <w:keepNext w:val="0"/>
        <w:keepLines w:val="0"/>
        <w:widowControl w:val="0"/>
        <w:suppressLineNumbers w:val="0"/>
        <w:spacing w:before="0" w:beforeAutospacing="0" w:after="0" w:afterAutospacing="0" w:line="500" w:lineRule="exact"/>
        <w:ind w:left="480" w:leftChars="200" w:right="0" w:firstLine="0" w:firstLineChars="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项目名称：</w:t>
      </w:r>
    </w:p>
    <w:p w14:paraId="1B781D43">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Times New Roman"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项目编号：                                              </w:t>
      </w:r>
      <w:r>
        <w:rPr>
          <w:rFonts w:hint="eastAsia" w:ascii="宋体" w:hAnsi="宋体" w:eastAsia="宋体" w:cs="宋体"/>
          <w:color w:val="auto"/>
          <w:spacing w:val="-4"/>
          <w:kern w:val="2"/>
          <w:sz w:val="24"/>
          <w:szCs w:val="24"/>
          <w:highlight w:val="none"/>
          <w:lang w:val="en-US" w:eastAsia="zh-CN" w:bidi="ar"/>
        </w:rPr>
        <w:t xml:space="preserve"> 货币形式：</w:t>
      </w:r>
      <w:r>
        <w:rPr>
          <w:rFonts w:hint="eastAsia" w:ascii="宋体" w:hAnsi="宋体" w:eastAsia="宋体" w:cs="宋体"/>
          <w:color w:val="auto"/>
          <w:spacing w:val="-4"/>
          <w:kern w:val="2"/>
          <w:sz w:val="24"/>
          <w:szCs w:val="24"/>
          <w:highlight w:val="none"/>
          <w:u w:val="single"/>
          <w:lang w:val="en-US" w:eastAsia="zh-CN" w:bidi="ar"/>
        </w:rPr>
        <w:t>人民币/元</w:t>
      </w:r>
    </w:p>
    <w:tbl>
      <w:tblPr>
        <w:tblStyle w:val="41"/>
        <w:tblW w:w="9086" w:type="dxa"/>
        <w:tblInd w:w="523" w:type="dxa"/>
        <w:tblLayout w:type="fixed"/>
        <w:tblCellMar>
          <w:top w:w="0" w:type="dxa"/>
          <w:left w:w="108" w:type="dxa"/>
          <w:bottom w:w="0" w:type="dxa"/>
          <w:right w:w="108" w:type="dxa"/>
        </w:tblCellMar>
      </w:tblPr>
      <w:tblGrid>
        <w:gridCol w:w="3004"/>
        <w:gridCol w:w="1948"/>
        <w:gridCol w:w="988"/>
        <w:gridCol w:w="1020"/>
        <w:gridCol w:w="2126"/>
      </w:tblGrid>
      <w:tr w14:paraId="703FF5F3">
        <w:tblPrEx>
          <w:tblCellMar>
            <w:top w:w="0" w:type="dxa"/>
            <w:left w:w="108" w:type="dxa"/>
            <w:bottom w:w="0" w:type="dxa"/>
            <w:right w:w="108" w:type="dxa"/>
          </w:tblCellMar>
        </w:tblPrEx>
        <w:trPr>
          <w:trHeight w:val="780" w:hRule="atLeast"/>
        </w:trPr>
        <w:tc>
          <w:tcPr>
            <w:tcW w:w="3004" w:type="dxa"/>
            <w:tcBorders>
              <w:top w:val="thinThickSmallGap" w:color="auto" w:sz="12" w:space="0"/>
              <w:left w:val="thinThickSmallGap" w:color="auto" w:sz="12" w:space="0"/>
              <w:bottom w:val="single" w:color="auto" w:sz="4" w:space="0"/>
              <w:right w:val="single" w:color="auto" w:sz="4" w:space="0"/>
            </w:tcBorders>
            <w:vAlign w:val="center"/>
          </w:tcPr>
          <w:p w14:paraId="30F23A83">
            <w:pPr>
              <w:keepNext w:val="0"/>
              <w:keepLines w:val="0"/>
              <w:widowControl w:val="0"/>
              <w:suppressLineNumbers w:val="0"/>
              <w:spacing w:before="0" w:beforeAutospacing="0" w:after="0" w:afterAutospacing="0" w:line="500" w:lineRule="exact"/>
              <w:ind w:left="0" w:leftChars="0" w:right="0" w:firstLine="0" w:firstLineChars="0"/>
              <w:jc w:val="center"/>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名称</w:t>
            </w:r>
          </w:p>
        </w:tc>
        <w:tc>
          <w:tcPr>
            <w:tcW w:w="1948" w:type="dxa"/>
            <w:tcBorders>
              <w:top w:val="thinThickSmallGap" w:color="auto" w:sz="12" w:space="0"/>
              <w:left w:val="nil"/>
              <w:bottom w:val="single" w:color="auto" w:sz="4" w:space="0"/>
              <w:right w:val="single" w:color="auto" w:sz="4" w:space="0"/>
            </w:tcBorders>
            <w:vAlign w:val="center"/>
          </w:tcPr>
          <w:p w14:paraId="66ED5A07">
            <w:pPr>
              <w:keepNext w:val="0"/>
              <w:keepLines w:val="0"/>
              <w:widowControl w:val="0"/>
              <w:suppressLineNumbers w:val="0"/>
              <w:spacing w:before="0" w:beforeAutospacing="0" w:after="0" w:afterAutospacing="0" w:line="500" w:lineRule="exact"/>
              <w:ind w:left="0" w:leftChars="0" w:right="0" w:firstLine="0" w:firstLineChars="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服务要求</w:t>
            </w:r>
          </w:p>
        </w:tc>
        <w:tc>
          <w:tcPr>
            <w:tcW w:w="988" w:type="dxa"/>
            <w:tcBorders>
              <w:top w:val="thinThickSmallGap" w:color="auto" w:sz="12" w:space="0"/>
              <w:left w:val="nil"/>
              <w:bottom w:val="single" w:color="auto" w:sz="4" w:space="0"/>
              <w:right w:val="single" w:color="auto" w:sz="4" w:space="0"/>
            </w:tcBorders>
            <w:vAlign w:val="center"/>
          </w:tcPr>
          <w:p w14:paraId="5F998D73">
            <w:pPr>
              <w:keepNext w:val="0"/>
              <w:keepLines w:val="0"/>
              <w:widowControl w:val="0"/>
              <w:suppressLineNumbers w:val="0"/>
              <w:spacing w:before="0" w:beforeAutospacing="0" w:after="0" w:afterAutospacing="0" w:line="500" w:lineRule="exact"/>
              <w:ind w:left="0" w:leftChars="0" w:right="0" w:firstLine="0" w:firstLineChars="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数量</w:t>
            </w:r>
          </w:p>
        </w:tc>
        <w:tc>
          <w:tcPr>
            <w:tcW w:w="1020" w:type="dxa"/>
            <w:tcBorders>
              <w:top w:val="thinThickSmallGap" w:color="auto" w:sz="12" w:space="0"/>
              <w:left w:val="nil"/>
              <w:bottom w:val="single" w:color="auto" w:sz="4" w:space="0"/>
              <w:right w:val="single" w:color="auto" w:sz="4" w:space="0"/>
            </w:tcBorders>
            <w:vAlign w:val="center"/>
          </w:tcPr>
          <w:p w14:paraId="6C60D8E7">
            <w:pPr>
              <w:keepNext w:val="0"/>
              <w:keepLines w:val="0"/>
              <w:widowControl w:val="0"/>
              <w:suppressLineNumbers w:val="0"/>
              <w:spacing w:before="0" w:beforeAutospacing="0" w:after="0" w:afterAutospacing="0" w:line="500" w:lineRule="exact"/>
              <w:ind w:left="0" w:leftChars="0" w:right="0" w:firstLine="0" w:firstLineChars="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单位</w:t>
            </w:r>
          </w:p>
        </w:tc>
        <w:tc>
          <w:tcPr>
            <w:tcW w:w="2126" w:type="dxa"/>
            <w:tcBorders>
              <w:top w:val="thinThickSmallGap" w:color="auto" w:sz="12" w:space="0"/>
              <w:left w:val="nil"/>
              <w:bottom w:val="single" w:color="auto" w:sz="4" w:space="0"/>
              <w:right w:val="thickThinSmallGap" w:color="auto" w:sz="12" w:space="0"/>
            </w:tcBorders>
            <w:vAlign w:val="center"/>
          </w:tcPr>
          <w:p w14:paraId="4ACB662D">
            <w:pPr>
              <w:keepNext w:val="0"/>
              <w:keepLines w:val="0"/>
              <w:widowControl w:val="0"/>
              <w:suppressLineNumbers w:val="0"/>
              <w:spacing w:before="0" w:beforeAutospacing="0" w:after="0" w:afterAutospacing="0" w:line="500" w:lineRule="exact"/>
              <w:ind w:left="0" w:leftChars="0" w:right="0" w:firstLine="0" w:firstLineChars="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单价总和（元）</w:t>
            </w:r>
          </w:p>
        </w:tc>
      </w:tr>
      <w:tr w14:paraId="7ACA2E50">
        <w:tblPrEx>
          <w:tblCellMar>
            <w:top w:w="0" w:type="dxa"/>
            <w:left w:w="108" w:type="dxa"/>
            <w:bottom w:w="0" w:type="dxa"/>
            <w:right w:w="108" w:type="dxa"/>
          </w:tblCellMar>
        </w:tblPrEx>
        <w:trPr>
          <w:trHeight w:val="1166" w:hRule="atLeast"/>
        </w:trPr>
        <w:tc>
          <w:tcPr>
            <w:tcW w:w="3004" w:type="dxa"/>
            <w:tcBorders>
              <w:top w:val="single" w:color="auto" w:sz="4" w:space="0"/>
              <w:left w:val="thinThickSmallGap" w:color="auto" w:sz="12" w:space="0"/>
              <w:bottom w:val="single" w:color="auto" w:sz="4" w:space="0"/>
              <w:right w:val="single" w:color="auto" w:sz="4" w:space="0"/>
            </w:tcBorders>
            <w:vAlign w:val="center"/>
          </w:tcPr>
          <w:p w14:paraId="2D170D3A">
            <w:pPr>
              <w:keepNext w:val="0"/>
              <w:keepLines w:val="0"/>
              <w:widowControl w:val="0"/>
              <w:suppressLineNumbers w:val="0"/>
              <w:spacing w:before="0" w:beforeAutospacing="0" w:after="0" w:afterAutospacing="0" w:line="500" w:lineRule="exact"/>
              <w:ind w:left="0" w:leftChars="0" w:right="0" w:firstLine="0" w:firstLineChars="0"/>
              <w:jc w:val="center"/>
              <w:rPr>
                <w:rFonts w:hint="eastAsia" w:ascii="宋体" w:hAnsi="宋体" w:eastAsia="宋体" w:cs="宋体"/>
                <w:color w:val="auto"/>
                <w:kern w:val="2"/>
                <w:sz w:val="24"/>
                <w:szCs w:val="24"/>
                <w:highlight w:val="none"/>
                <w:lang w:val="en-US" w:eastAsia="zh-CN" w:bidi="ar"/>
              </w:rPr>
            </w:pPr>
            <w:r>
              <w:rPr>
                <w:rFonts w:hint="eastAsia" w:ascii="宋体" w:hAnsi="宋体" w:cs="宋体"/>
                <w:color w:val="auto"/>
                <w:highlight w:val="none"/>
                <w:lang w:eastAsia="zh-CN"/>
              </w:rPr>
              <w:t>商品砼事业部2025年度装载机维修保养服务采购</w:t>
            </w:r>
          </w:p>
        </w:tc>
        <w:tc>
          <w:tcPr>
            <w:tcW w:w="1948" w:type="dxa"/>
            <w:tcBorders>
              <w:top w:val="single" w:color="auto" w:sz="4" w:space="0"/>
              <w:left w:val="nil"/>
              <w:bottom w:val="single" w:color="auto" w:sz="4" w:space="0"/>
              <w:right w:val="single" w:color="auto" w:sz="4" w:space="0"/>
            </w:tcBorders>
            <w:vAlign w:val="center"/>
          </w:tcPr>
          <w:p w14:paraId="40C46815">
            <w:pPr>
              <w:keepNext w:val="0"/>
              <w:keepLines w:val="0"/>
              <w:widowControl w:val="0"/>
              <w:suppressLineNumbers w:val="0"/>
              <w:spacing w:before="0" w:beforeAutospacing="0" w:after="0" w:afterAutospacing="0" w:line="500" w:lineRule="exact"/>
              <w:ind w:left="0" w:leftChars="0" w:right="0" w:firstLine="0" w:firstLineChars="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同招标文件要求</w:t>
            </w:r>
          </w:p>
        </w:tc>
        <w:tc>
          <w:tcPr>
            <w:tcW w:w="988" w:type="dxa"/>
            <w:tcBorders>
              <w:top w:val="single" w:color="auto" w:sz="4" w:space="0"/>
              <w:left w:val="nil"/>
              <w:bottom w:val="single" w:color="auto" w:sz="4" w:space="0"/>
              <w:right w:val="single" w:color="auto" w:sz="4" w:space="0"/>
            </w:tcBorders>
            <w:vAlign w:val="center"/>
          </w:tcPr>
          <w:p w14:paraId="745B77B7">
            <w:pPr>
              <w:keepNext w:val="0"/>
              <w:keepLines w:val="0"/>
              <w:widowControl w:val="0"/>
              <w:suppressLineNumbers w:val="0"/>
              <w:spacing w:before="0" w:beforeAutospacing="0" w:after="0" w:afterAutospacing="0" w:line="500" w:lineRule="exact"/>
              <w:ind w:left="0" w:leftChars="0" w:right="0" w:firstLine="0" w:firstLineChars="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p>
        </w:tc>
        <w:tc>
          <w:tcPr>
            <w:tcW w:w="1020" w:type="dxa"/>
            <w:tcBorders>
              <w:top w:val="single" w:color="auto" w:sz="4" w:space="0"/>
              <w:left w:val="nil"/>
              <w:bottom w:val="single" w:color="auto" w:sz="4" w:space="0"/>
              <w:right w:val="single" w:color="auto" w:sz="4" w:space="0"/>
            </w:tcBorders>
            <w:vAlign w:val="center"/>
          </w:tcPr>
          <w:p w14:paraId="0371D534">
            <w:pPr>
              <w:keepNext w:val="0"/>
              <w:keepLines w:val="0"/>
              <w:widowControl w:val="0"/>
              <w:suppressLineNumbers w:val="0"/>
              <w:spacing w:before="0" w:beforeAutospacing="0" w:after="0" w:afterAutospacing="0" w:line="500" w:lineRule="exact"/>
              <w:ind w:left="0" w:leftChars="0" w:right="0" w:firstLine="0" w:firstLineChars="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项</w:t>
            </w:r>
          </w:p>
        </w:tc>
        <w:tc>
          <w:tcPr>
            <w:tcW w:w="2126" w:type="dxa"/>
            <w:tcBorders>
              <w:top w:val="single" w:color="auto" w:sz="4" w:space="0"/>
              <w:left w:val="nil"/>
              <w:bottom w:val="single" w:color="auto" w:sz="4" w:space="0"/>
              <w:right w:val="thickThinSmallGap" w:color="auto" w:sz="12" w:space="0"/>
            </w:tcBorders>
            <w:vAlign w:val="center"/>
          </w:tcPr>
          <w:p w14:paraId="3B8DA92E">
            <w:pPr>
              <w:keepNext w:val="0"/>
              <w:keepLines w:val="0"/>
              <w:widowControl w:val="0"/>
              <w:suppressLineNumbers w:val="0"/>
              <w:spacing w:before="0" w:beforeAutospacing="0" w:after="0" w:afterAutospacing="0" w:line="500" w:lineRule="exact"/>
              <w:ind w:left="0" w:leftChars="0" w:right="0" w:firstLine="0" w:firstLineChars="0"/>
              <w:jc w:val="center"/>
              <w:rPr>
                <w:rFonts w:hint="eastAsia" w:ascii="宋体" w:hAnsi="宋体" w:eastAsia="宋体" w:cs="宋体"/>
                <w:color w:val="auto"/>
                <w:highlight w:val="none"/>
                <w:lang w:val="en-US" w:eastAsia="zh-CN"/>
              </w:rPr>
            </w:pPr>
          </w:p>
        </w:tc>
      </w:tr>
      <w:tr w14:paraId="54478226">
        <w:tblPrEx>
          <w:tblCellMar>
            <w:top w:w="0" w:type="dxa"/>
            <w:left w:w="108" w:type="dxa"/>
            <w:bottom w:w="0" w:type="dxa"/>
            <w:right w:w="108" w:type="dxa"/>
          </w:tblCellMar>
        </w:tblPrEx>
        <w:trPr>
          <w:trHeight w:val="797" w:hRule="atLeast"/>
        </w:trPr>
        <w:tc>
          <w:tcPr>
            <w:tcW w:w="3004" w:type="dxa"/>
            <w:tcBorders>
              <w:top w:val="single" w:color="auto" w:sz="4" w:space="0"/>
              <w:left w:val="thinThickSmallGap" w:color="auto" w:sz="12" w:space="0"/>
              <w:bottom w:val="thickThinSmallGap" w:color="auto" w:sz="12" w:space="0"/>
              <w:right w:val="single" w:color="auto" w:sz="4" w:space="0"/>
            </w:tcBorders>
            <w:vAlign w:val="center"/>
          </w:tcPr>
          <w:p w14:paraId="1979429E">
            <w:pPr>
              <w:keepNext w:val="0"/>
              <w:keepLines w:val="0"/>
              <w:widowControl w:val="0"/>
              <w:suppressLineNumbers w:val="0"/>
              <w:spacing w:before="0" w:beforeAutospacing="0" w:after="0" w:afterAutospacing="0" w:line="500" w:lineRule="exact"/>
              <w:ind w:left="480" w:leftChars="200" w:right="0" w:firstLine="0" w:firstLineChars="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投标单价总和</w:t>
            </w:r>
          </w:p>
        </w:tc>
        <w:tc>
          <w:tcPr>
            <w:tcW w:w="6082" w:type="dxa"/>
            <w:gridSpan w:val="4"/>
            <w:tcBorders>
              <w:top w:val="single" w:color="auto" w:sz="4" w:space="0"/>
              <w:left w:val="nil"/>
              <w:bottom w:val="thickThinSmallGap" w:color="auto" w:sz="12" w:space="0"/>
              <w:right w:val="thickThinSmallGap" w:color="auto" w:sz="12" w:space="0"/>
            </w:tcBorders>
            <w:vAlign w:val="center"/>
          </w:tcPr>
          <w:p w14:paraId="11C9184C">
            <w:pPr>
              <w:keepNext w:val="0"/>
              <w:keepLines w:val="0"/>
              <w:widowControl w:val="0"/>
              <w:suppressLineNumbers w:val="0"/>
              <w:spacing w:before="0" w:beforeAutospacing="0" w:after="0" w:afterAutospacing="0" w:line="500" w:lineRule="exact"/>
              <w:ind w:left="480" w:leftChars="200" w:right="0" w:firstLine="0" w:firstLineChars="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大写：</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元；（小写：￥</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元。）</w:t>
            </w:r>
          </w:p>
        </w:tc>
      </w:tr>
    </w:tbl>
    <w:p w14:paraId="465D4A5C">
      <w:pPr>
        <w:widowControl w:val="0"/>
        <w:wordWrap w:val="0"/>
        <w:spacing w:line="360" w:lineRule="auto"/>
        <w:ind w:firstLine="480"/>
        <w:rPr>
          <w:rFonts w:ascii="宋体" w:hAnsi="宋体" w:eastAsia="宋体"/>
          <w:color w:val="auto"/>
          <w:highlight w:val="none"/>
        </w:rPr>
      </w:pPr>
      <w:r>
        <w:rPr>
          <w:rFonts w:hint="eastAsia" w:ascii="宋体" w:hAnsi="宋体" w:eastAsia="宋体"/>
          <w:color w:val="auto"/>
          <w:highlight w:val="none"/>
        </w:rPr>
        <w:t>注：</w:t>
      </w:r>
    </w:p>
    <w:p w14:paraId="1C513559">
      <w:pPr>
        <w:widowControl w:val="0"/>
        <w:wordWrap w:val="0"/>
        <w:spacing w:line="360" w:lineRule="auto"/>
        <w:ind w:firstLine="480"/>
        <w:rPr>
          <w:rFonts w:ascii="宋体" w:hAnsi="宋体" w:eastAsia="宋体"/>
          <w:color w:val="auto"/>
          <w:highlight w:val="none"/>
        </w:rPr>
      </w:pPr>
      <w:r>
        <w:rPr>
          <w:rFonts w:ascii="宋体" w:hAnsi="宋体" w:eastAsia="宋体"/>
          <w:color w:val="auto"/>
          <w:highlight w:val="none"/>
        </w:rPr>
        <w:t>1.</w:t>
      </w:r>
      <w:r>
        <w:rPr>
          <w:rFonts w:hint="eastAsia" w:ascii="宋体" w:hAnsi="宋体" w:eastAsia="宋体"/>
          <w:color w:val="auto"/>
          <w:highlight w:val="none"/>
        </w:rPr>
        <w:t>投标人需按本表格式填写，不得自行更改。</w:t>
      </w:r>
    </w:p>
    <w:p w14:paraId="5F78FB9C">
      <w:pPr>
        <w:widowControl w:val="0"/>
        <w:wordWrap w:val="0"/>
        <w:spacing w:line="360" w:lineRule="auto"/>
        <w:ind w:firstLine="480"/>
        <w:rPr>
          <w:rFonts w:hint="eastAsia" w:ascii="宋体" w:hAnsi="宋体" w:eastAsia="宋体"/>
          <w:color w:val="auto"/>
          <w:highlight w:val="none"/>
        </w:rPr>
      </w:pPr>
      <w:r>
        <w:rPr>
          <w:rFonts w:hint="eastAsia" w:ascii="宋体" w:hAnsi="宋体" w:eastAsia="宋体"/>
          <w:color w:val="auto"/>
          <w:highlight w:val="none"/>
        </w:rPr>
        <w:t>2</w:t>
      </w:r>
      <w:r>
        <w:rPr>
          <w:rFonts w:ascii="宋体" w:hAnsi="宋体" w:eastAsia="宋体"/>
          <w:color w:val="auto"/>
          <w:highlight w:val="none"/>
        </w:rPr>
        <w:t>.</w:t>
      </w:r>
      <w:r>
        <w:rPr>
          <w:rFonts w:hint="eastAsia" w:ascii="宋体" w:hAnsi="宋体" w:eastAsia="宋体"/>
          <w:b/>
          <w:color w:val="auto"/>
          <w:highlight w:val="none"/>
          <w:u w:val="single"/>
        </w:rPr>
        <w:t>本表中的报价为投标</w:t>
      </w:r>
      <w:r>
        <w:rPr>
          <w:rFonts w:ascii="宋体" w:hAnsi="宋体" w:eastAsia="宋体"/>
          <w:b/>
          <w:color w:val="auto"/>
          <w:highlight w:val="none"/>
          <w:u w:val="single"/>
        </w:rPr>
        <w:t>单价</w:t>
      </w:r>
      <w:r>
        <w:rPr>
          <w:rFonts w:hint="eastAsia" w:ascii="宋体" w:hAnsi="宋体" w:eastAsia="宋体"/>
          <w:b/>
          <w:color w:val="auto"/>
          <w:highlight w:val="none"/>
          <w:u w:val="single"/>
        </w:rPr>
        <w:t>总和，仅供评审参考，投标人</w:t>
      </w:r>
      <w:r>
        <w:rPr>
          <w:rFonts w:ascii="宋体" w:hAnsi="宋体" w:eastAsia="宋体"/>
          <w:b/>
          <w:color w:val="auto"/>
          <w:highlight w:val="none"/>
          <w:u w:val="single"/>
        </w:rPr>
        <w:t>必须</w:t>
      </w:r>
      <w:r>
        <w:rPr>
          <w:rFonts w:hint="eastAsia" w:ascii="宋体" w:hAnsi="宋体" w:eastAsia="宋体"/>
          <w:b/>
          <w:color w:val="auto"/>
          <w:highlight w:val="none"/>
          <w:u w:val="single"/>
        </w:rPr>
        <w:t>同时</w:t>
      </w:r>
      <w:r>
        <w:rPr>
          <w:rFonts w:ascii="宋体" w:hAnsi="宋体" w:eastAsia="宋体"/>
          <w:b/>
          <w:color w:val="auto"/>
          <w:highlight w:val="none"/>
          <w:u w:val="single"/>
        </w:rPr>
        <w:t>提供报价</w:t>
      </w:r>
      <w:r>
        <w:rPr>
          <w:rFonts w:hint="eastAsia" w:ascii="宋体" w:hAnsi="宋体" w:eastAsia="宋体"/>
          <w:b/>
          <w:color w:val="auto"/>
          <w:highlight w:val="none"/>
          <w:u w:val="single"/>
        </w:rPr>
        <w:t>明细表（所有单价不能超过</w:t>
      </w:r>
      <w:r>
        <w:rPr>
          <w:rFonts w:hint="eastAsia" w:ascii="宋体" w:hAnsi="宋体"/>
          <w:b/>
          <w:color w:val="auto"/>
          <w:highlight w:val="none"/>
          <w:u w:val="single"/>
          <w:lang w:val="en-US" w:eastAsia="zh-CN"/>
        </w:rPr>
        <w:t>招标</w:t>
      </w:r>
      <w:r>
        <w:rPr>
          <w:rFonts w:hint="eastAsia" w:ascii="宋体" w:hAnsi="宋体" w:eastAsia="宋体"/>
          <w:b/>
          <w:color w:val="auto"/>
          <w:highlight w:val="none"/>
          <w:u w:val="single"/>
        </w:rPr>
        <w:t>文件中单价最高</w:t>
      </w:r>
      <w:r>
        <w:rPr>
          <w:rFonts w:hint="eastAsia" w:ascii="宋体" w:hAnsi="宋体" w:eastAsia="宋体"/>
          <w:b/>
          <w:color w:val="auto"/>
          <w:highlight w:val="none"/>
          <w:u w:val="single"/>
          <w:lang w:val="en-US" w:eastAsia="zh-CN"/>
        </w:rPr>
        <w:t>限价</w:t>
      </w:r>
      <w:r>
        <w:rPr>
          <w:rFonts w:hint="eastAsia" w:ascii="宋体" w:hAnsi="宋体" w:eastAsia="宋体"/>
          <w:b/>
          <w:color w:val="auto"/>
          <w:highlight w:val="none"/>
          <w:u w:val="single"/>
        </w:rPr>
        <w:t>）</w:t>
      </w:r>
      <w:r>
        <w:rPr>
          <w:rFonts w:ascii="宋体" w:hAnsi="宋体" w:eastAsia="宋体"/>
          <w:b/>
          <w:color w:val="auto"/>
          <w:highlight w:val="none"/>
          <w:u w:val="single"/>
        </w:rPr>
        <w:t>！</w:t>
      </w:r>
    </w:p>
    <w:p w14:paraId="3F547867">
      <w:pPr>
        <w:pStyle w:val="2"/>
        <w:rPr>
          <w:rFonts w:hint="eastAsia"/>
          <w:color w:val="auto"/>
          <w:highlight w:val="none"/>
        </w:rPr>
      </w:pPr>
    </w:p>
    <w:bookmarkEnd w:id="1330"/>
    <w:bookmarkEnd w:id="1331"/>
    <w:bookmarkEnd w:id="1332"/>
    <w:bookmarkEnd w:id="1333"/>
    <w:bookmarkEnd w:id="1334"/>
    <w:bookmarkEnd w:id="1335"/>
    <w:p w14:paraId="02E93B78">
      <w:pPr>
        <w:ind w:firstLine="4800" w:firstLineChars="2000"/>
        <w:rPr>
          <w:rFonts w:hint="eastAsia"/>
          <w:color w:val="auto"/>
          <w:highlight w:val="none"/>
        </w:rPr>
      </w:pPr>
      <w:bookmarkStart w:id="1337" w:name="_Toc2055"/>
      <w:bookmarkStart w:id="1338" w:name="_Toc14634"/>
      <w:bookmarkStart w:id="1339" w:name="_Toc14273"/>
      <w:bookmarkStart w:id="1340" w:name="_Toc26488"/>
      <w:bookmarkStart w:id="1341" w:name="_Toc10457"/>
      <w:bookmarkStart w:id="1342" w:name="_Toc18660"/>
      <w:bookmarkStart w:id="1343" w:name="_Toc24111"/>
      <w:bookmarkStart w:id="1344" w:name="_Toc13307"/>
      <w:bookmarkStart w:id="1345" w:name="_Toc29609"/>
      <w:bookmarkStart w:id="1346" w:name="_Toc27611"/>
      <w:bookmarkStart w:id="1347" w:name="_Toc18544"/>
      <w:bookmarkStart w:id="1348" w:name="_Toc455"/>
      <w:bookmarkStart w:id="1349" w:name="_Toc10552"/>
      <w:bookmarkStart w:id="1350" w:name="_Toc23888"/>
    </w:p>
    <w:p w14:paraId="2C7ADCF1">
      <w:pPr>
        <w:ind w:firstLine="4800" w:firstLineChars="2000"/>
        <w:rPr>
          <w:rFonts w:hint="eastAsia"/>
          <w:color w:val="auto"/>
          <w:highlight w:val="none"/>
        </w:rPr>
      </w:pPr>
    </w:p>
    <w:p w14:paraId="2FAECA7C">
      <w:pPr>
        <w:ind w:firstLine="3840" w:firstLineChars="1600"/>
        <w:rPr>
          <w:color w:val="auto"/>
          <w:highlight w:val="none"/>
        </w:rPr>
      </w:pPr>
      <w:r>
        <w:rPr>
          <w:rFonts w:hint="eastAsia"/>
          <w:color w:val="auto"/>
          <w:highlight w:val="none"/>
        </w:rPr>
        <w:t>投标人全称（盖章）：</w:t>
      </w:r>
      <w:r>
        <w:rPr>
          <w:color w:val="auto"/>
          <w:highlight w:val="none"/>
        </w:rPr>
        <w:t xml:space="preserve">                         </w:t>
      </w:r>
    </w:p>
    <w:p w14:paraId="5CFCABD2">
      <w:pPr>
        <w:ind w:firstLine="3840" w:firstLineChars="1600"/>
        <w:rPr>
          <w:color w:val="auto"/>
          <w:highlight w:val="none"/>
        </w:rPr>
      </w:pPr>
      <w:r>
        <w:rPr>
          <w:rFonts w:hint="eastAsia"/>
          <w:color w:val="auto"/>
          <w:highlight w:val="none"/>
          <w:lang w:eastAsia="zh-CN"/>
        </w:rPr>
        <w:t>法定代表人（或负责人）</w:t>
      </w:r>
      <w:r>
        <w:rPr>
          <w:rFonts w:hint="eastAsia"/>
          <w:color w:val="auto"/>
          <w:highlight w:val="none"/>
        </w:rPr>
        <w:t>或授权代理人（签字或盖章）：</w:t>
      </w:r>
    </w:p>
    <w:p w14:paraId="6FAA68CF">
      <w:pPr>
        <w:ind w:firstLine="3840" w:firstLineChars="1600"/>
        <w:rPr>
          <w:color w:val="auto"/>
          <w:highlight w:val="none"/>
        </w:rPr>
      </w:pPr>
      <w:r>
        <w:rPr>
          <w:rFonts w:hint="eastAsia"/>
          <w:color w:val="auto"/>
          <w:highlight w:val="none"/>
        </w:rPr>
        <w:t>日期：</w:t>
      </w:r>
      <w:r>
        <w:rPr>
          <w:rFonts w:hint="eastAsia" w:ascii="宋体" w:hAnsi="宋体" w:cs="宋体"/>
          <w:color w:val="auto"/>
          <w:highlight w:val="none"/>
          <w:lang w:eastAsia="zh-CN"/>
        </w:rPr>
        <w:t>2025年</w:t>
      </w:r>
      <w:r>
        <w:rPr>
          <w:color w:val="auto"/>
          <w:highlight w:val="none"/>
        </w:rPr>
        <w:t xml:space="preserve">   </w:t>
      </w:r>
      <w:r>
        <w:rPr>
          <w:rFonts w:hint="eastAsia"/>
          <w:color w:val="auto"/>
          <w:highlight w:val="none"/>
        </w:rPr>
        <w:t>月</w:t>
      </w:r>
      <w:r>
        <w:rPr>
          <w:color w:val="auto"/>
          <w:highlight w:val="none"/>
        </w:rPr>
        <w:t xml:space="preserve">   </w:t>
      </w:r>
      <w:r>
        <w:rPr>
          <w:rFonts w:hint="eastAsia"/>
          <w:color w:val="auto"/>
          <w:highlight w:val="none"/>
        </w:rPr>
        <w:t>日</w:t>
      </w:r>
    </w:p>
    <w:bookmarkEnd w:id="1337"/>
    <w:bookmarkEnd w:id="1338"/>
    <w:bookmarkEnd w:id="1339"/>
    <w:p w14:paraId="4ECF9C82">
      <w:pPr>
        <w:snapToGrid w:val="0"/>
        <w:spacing w:line="480" w:lineRule="exact"/>
        <w:ind w:firstLine="3840" w:firstLineChars="1600"/>
        <w:rPr>
          <w:rFonts w:ascii="宋体" w:hAnsi="宋体"/>
          <w:color w:val="auto"/>
          <w:highlight w:val="none"/>
          <w:lang w:val="zh-CN"/>
        </w:rPr>
      </w:pPr>
    </w:p>
    <w:p w14:paraId="0DF5E17D">
      <w:pPr>
        <w:ind w:firstLine="4320" w:firstLineChars="1800"/>
        <w:rPr>
          <w:color w:val="auto"/>
          <w:highlight w:val="none"/>
        </w:rPr>
      </w:pPr>
    </w:p>
    <w:p w14:paraId="0BEDFED3">
      <w:pPr>
        <w:ind w:firstLine="4320" w:firstLineChars="1800"/>
        <w:rPr>
          <w:color w:val="auto"/>
          <w:highlight w:val="none"/>
        </w:rPr>
      </w:pPr>
    </w:p>
    <w:p w14:paraId="3113FB0C">
      <w:pPr>
        <w:ind w:firstLine="4320" w:firstLineChars="1800"/>
        <w:rPr>
          <w:color w:val="auto"/>
          <w:highlight w:val="none"/>
        </w:rPr>
      </w:pPr>
    </w:p>
    <w:bookmarkEnd w:id="1340"/>
    <w:bookmarkEnd w:id="1341"/>
    <w:bookmarkEnd w:id="1342"/>
    <w:bookmarkEnd w:id="1343"/>
    <w:bookmarkEnd w:id="1344"/>
    <w:bookmarkEnd w:id="1345"/>
    <w:bookmarkEnd w:id="1346"/>
    <w:bookmarkEnd w:id="1347"/>
    <w:bookmarkEnd w:id="1348"/>
    <w:bookmarkEnd w:id="1349"/>
    <w:bookmarkEnd w:id="1350"/>
    <w:p w14:paraId="2E7290B1">
      <w:pPr>
        <w:spacing w:line="400" w:lineRule="exact"/>
        <w:ind w:firstLine="0" w:firstLineChars="0"/>
        <w:jc w:val="left"/>
        <w:rPr>
          <w:rFonts w:hint="eastAsia" w:ascii="宋体" w:hAnsi="宋体" w:cs="宋体"/>
          <w:b/>
          <w:color w:val="auto"/>
          <w:highlight w:val="none"/>
          <w:lang w:val="en-GB"/>
        </w:rPr>
      </w:pPr>
    </w:p>
    <w:p w14:paraId="0D221904">
      <w:pPr>
        <w:spacing w:line="400" w:lineRule="exact"/>
        <w:ind w:firstLine="0" w:firstLineChars="0"/>
        <w:jc w:val="left"/>
        <w:rPr>
          <w:rFonts w:hint="eastAsia" w:ascii="宋体" w:hAnsi="宋体" w:cs="宋体"/>
          <w:b/>
          <w:color w:val="auto"/>
          <w:highlight w:val="none"/>
          <w:lang w:val="en-GB"/>
        </w:rPr>
      </w:pPr>
    </w:p>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p w14:paraId="6F5AA6AC">
      <w:pPr>
        <w:ind w:firstLine="0" w:firstLineChars="0"/>
        <w:outlineLvl w:val="1"/>
        <w:rPr>
          <w:rFonts w:hint="eastAsia" w:ascii="宋体" w:hAnsi="宋体" w:cs="宋体"/>
          <w:b/>
          <w:bCs/>
          <w:color w:val="auto"/>
          <w:highlight w:val="none"/>
        </w:rPr>
      </w:pPr>
    </w:p>
    <w:p w14:paraId="1ED54E0D">
      <w:pPr>
        <w:pStyle w:val="2"/>
        <w:rPr>
          <w:rFonts w:hint="eastAsia"/>
        </w:rPr>
      </w:pPr>
    </w:p>
    <w:p w14:paraId="458A1C81">
      <w:pPr>
        <w:ind w:firstLine="0" w:firstLineChars="0"/>
        <w:outlineLvl w:val="1"/>
        <w:rPr>
          <w:rFonts w:hint="eastAsia" w:eastAsia="宋体"/>
          <w:color w:val="auto"/>
          <w:highlight w:val="none"/>
          <w:lang w:eastAsia="zh-CN"/>
        </w:rPr>
      </w:pPr>
      <w:r>
        <w:rPr>
          <w:rFonts w:hint="eastAsia" w:ascii="宋体" w:hAnsi="宋体" w:cs="宋体"/>
          <w:b/>
          <w:bCs/>
          <w:color w:val="auto"/>
          <w:highlight w:val="none"/>
        </w:rPr>
        <w:t>附件</w:t>
      </w:r>
      <w:r>
        <w:rPr>
          <w:rFonts w:hint="eastAsia" w:ascii="宋体" w:hAnsi="宋体" w:cs="宋体"/>
          <w:b/>
          <w:bCs/>
          <w:color w:val="auto"/>
          <w:highlight w:val="none"/>
          <w:lang w:val="en-US" w:eastAsia="zh-CN"/>
        </w:rPr>
        <w:t>8</w:t>
      </w:r>
    </w:p>
    <w:p w14:paraId="69677C81">
      <w:pPr>
        <w:pStyle w:val="103"/>
        <w:ind w:firstLine="0" w:firstLineChars="0"/>
        <w:jc w:val="center"/>
        <w:rPr>
          <w:rFonts w:ascii="宋体" w:hAnsi="宋体"/>
          <w:color w:val="auto"/>
          <w:highlight w:val="none"/>
        </w:rPr>
      </w:pPr>
      <w:r>
        <w:rPr>
          <w:rFonts w:hint="eastAsia" w:ascii="宋体" w:hAnsi="宋体"/>
          <w:b/>
          <w:bCs/>
          <w:color w:val="auto"/>
          <w:sz w:val="32"/>
          <w:szCs w:val="32"/>
          <w:highlight w:val="none"/>
          <w:lang w:val="en-US" w:eastAsia="zh-CN"/>
        </w:rPr>
        <w:t>报价明细表</w:t>
      </w:r>
    </w:p>
    <w:p w14:paraId="6AD6E99D">
      <w:pPr>
        <w:pStyle w:val="103"/>
        <w:ind w:firstLine="480"/>
        <w:rPr>
          <w:rFonts w:ascii="宋体" w:hAnsi="宋体"/>
          <w:color w:val="auto"/>
          <w:highlight w:val="none"/>
          <w:u w:val="single"/>
        </w:rPr>
      </w:pPr>
      <w:r>
        <w:rPr>
          <w:rFonts w:hint="eastAsia" w:ascii="宋体" w:hAnsi="宋体"/>
          <w:color w:val="auto"/>
          <w:highlight w:val="none"/>
        </w:rPr>
        <w:t>项目名称：</w:t>
      </w:r>
      <w:r>
        <w:rPr>
          <w:rFonts w:hint="eastAsia" w:ascii="宋体" w:hAnsi="宋体"/>
          <w:color w:val="auto"/>
          <w:highlight w:val="none"/>
          <w:u w:val="single"/>
        </w:rPr>
        <w:t xml:space="preserve"> </w:t>
      </w:r>
      <w:r>
        <w:rPr>
          <w:rFonts w:ascii="宋体" w:hAnsi="宋体"/>
          <w:color w:val="auto"/>
          <w:highlight w:val="none"/>
          <w:u w:val="single"/>
        </w:rPr>
        <w:t xml:space="preserve">                </w:t>
      </w:r>
    </w:p>
    <w:p w14:paraId="188A8119">
      <w:pPr>
        <w:pStyle w:val="103"/>
        <w:ind w:firstLine="480"/>
        <w:rPr>
          <w:rFonts w:ascii="宋体" w:hAnsi="宋体"/>
          <w:color w:val="auto"/>
          <w:highlight w:val="none"/>
        </w:rPr>
      </w:pPr>
      <w:r>
        <w:rPr>
          <w:rFonts w:hint="eastAsia" w:ascii="宋体" w:hAnsi="宋体"/>
          <w:color w:val="auto"/>
          <w:highlight w:val="none"/>
        </w:rPr>
        <w:t>项目编号：</w:t>
      </w:r>
      <w:r>
        <w:rPr>
          <w:rFonts w:ascii="宋体" w:hAnsi="宋体"/>
          <w:color w:val="auto"/>
          <w:highlight w:val="none"/>
          <w:u w:val="single"/>
        </w:rPr>
        <w:t xml:space="preserve">               </w:t>
      </w:r>
    </w:p>
    <w:tbl>
      <w:tblPr>
        <w:tblStyle w:val="41"/>
        <w:tblW w:w="9497" w:type="dxa"/>
        <w:tblInd w:w="279" w:type="dxa"/>
        <w:tblLayout w:type="fixed"/>
        <w:tblCellMar>
          <w:top w:w="0" w:type="dxa"/>
          <w:left w:w="108" w:type="dxa"/>
          <w:bottom w:w="0" w:type="dxa"/>
          <w:right w:w="108" w:type="dxa"/>
        </w:tblCellMar>
      </w:tblPr>
      <w:tblGrid>
        <w:gridCol w:w="992"/>
        <w:gridCol w:w="5103"/>
        <w:gridCol w:w="851"/>
        <w:gridCol w:w="992"/>
        <w:gridCol w:w="1559"/>
      </w:tblGrid>
      <w:tr w14:paraId="03E5C5DF">
        <w:tblPrEx>
          <w:tblCellMar>
            <w:top w:w="0" w:type="dxa"/>
            <w:left w:w="108" w:type="dxa"/>
            <w:bottom w:w="0" w:type="dxa"/>
            <w:right w:w="108" w:type="dxa"/>
          </w:tblCellMar>
        </w:tblPrEx>
        <w:trPr>
          <w:trHeight w:val="620" w:hRule="atLeast"/>
          <w:tblHeader/>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8B394">
            <w:pPr>
              <w:keepNext w:val="0"/>
              <w:keepLines w:val="0"/>
              <w:suppressLineNumbers w:val="0"/>
              <w:spacing w:before="0" w:beforeAutospacing="0" w:after="0" w:afterAutospacing="0"/>
              <w:ind w:left="0" w:leftChars="0" w:right="0" w:firstLine="0" w:firstLineChars="0"/>
              <w:jc w:val="center"/>
              <w:textAlignment w:val="center"/>
              <w:rPr>
                <w:rFonts w:hint="default" w:ascii="宋体" w:hAnsi="宋体" w:eastAsia="宋体" w:cs="宋体"/>
                <w:b/>
                <w:bCs/>
                <w:color w:val="auto"/>
                <w:kern w:val="2"/>
                <w:highlight w:val="none"/>
              </w:rPr>
            </w:pPr>
            <w:r>
              <w:rPr>
                <w:rFonts w:hint="eastAsia" w:ascii="宋体" w:hAnsi="宋体" w:eastAsia="宋体" w:cs="宋体"/>
                <w:b/>
                <w:bCs/>
                <w:color w:val="auto"/>
                <w:highlight w:val="none"/>
                <w:lang w:bidi="ar"/>
              </w:rPr>
              <w:t>序号</w:t>
            </w:r>
          </w:p>
        </w:tc>
        <w:tc>
          <w:tcPr>
            <w:tcW w:w="51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54564">
            <w:pPr>
              <w:keepNext w:val="0"/>
              <w:keepLines w:val="0"/>
              <w:suppressLineNumbers w:val="0"/>
              <w:spacing w:before="0" w:beforeAutospacing="0" w:after="0" w:afterAutospacing="0"/>
              <w:ind w:left="0" w:leftChars="0" w:right="0" w:firstLine="0" w:firstLineChars="0"/>
              <w:jc w:val="center"/>
              <w:textAlignment w:val="center"/>
              <w:rPr>
                <w:rFonts w:hint="default" w:ascii="宋体" w:hAnsi="宋体" w:eastAsia="宋体" w:cs="宋体"/>
                <w:b/>
                <w:bCs/>
                <w:color w:val="auto"/>
                <w:kern w:val="2"/>
                <w:sz w:val="22"/>
                <w:szCs w:val="22"/>
                <w:highlight w:val="none"/>
              </w:rPr>
            </w:pPr>
            <w:r>
              <w:rPr>
                <w:rFonts w:hint="eastAsia" w:ascii="宋体" w:hAnsi="宋体" w:eastAsia="宋体" w:cs="宋体"/>
                <w:b/>
                <w:bCs/>
                <w:color w:val="auto"/>
                <w:sz w:val="22"/>
                <w:szCs w:val="22"/>
                <w:highlight w:val="none"/>
                <w:lang w:bidi="ar"/>
              </w:rPr>
              <w:t>名称</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5B0C18">
            <w:pPr>
              <w:keepNext w:val="0"/>
              <w:keepLines w:val="0"/>
              <w:suppressLineNumbers w:val="0"/>
              <w:spacing w:before="0" w:beforeAutospacing="0" w:after="0" w:afterAutospacing="0"/>
              <w:ind w:left="0" w:leftChars="0" w:right="0" w:firstLine="0" w:firstLineChars="0"/>
              <w:jc w:val="center"/>
              <w:textAlignment w:val="center"/>
              <w:rPr>
                <w:rFonts w:hint="default" w:ascii="宋体" w:hAnsi="宋体" w:eastAsia="宋体" w:cs="宋体"/>
                <w:b/>
                <w:bCs/>
                <w:color w:val="auto"/>
                <w:kern w:val="2"/>
                <w:sz w:val="22"/>
                <w:szCs w:val="22"/>
                <w:highlight w:val="none"/>
              </w:rPr>
            </w:pPr>
            <w:r>
              <w:rPr>
                <w:rFonts w:hint="eastAsia" w:ascii="宋体" w:hAnsi="宋体" w:eastAsia="宋体" w:cs="宋体"/>
                <w:b/>
                <w:bCs/>
                <w:color w:val="auto"/>
                <w:sz w:val="22"/>
                <w:szCs w:val="22"/>
                <w:highlight w:val="none"/>
                <w:lang w:bidi="ar"/>
              </w:rPr>
              <w:t>单位</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1907D">
            <w:pPr>
              <w:keepNext w:val="0"/>
              <w:keepLines w:val="0"/>
              <w:suppressLineNumbers w:val="0"/>
              <w:spacing w:before="0" w:beforeAutospacing="0" w:after="0" w:afterAutospacing="0"/>
              <w:ind w:left="0" w:leftChars="0" w:right="0" w:firstLine="0" w:firstLineChars="0"/>
              <w:jc w:val="center"/>
              <w:textAlignment w:val="center"/>
              <w:rPr>
                <w:rFonts w:hint="default" w:ascii="宋体" w:hAnsi="宋体" w:eastAsia="宋体" w:cs="宋体"/>
                <w:b/>
                <w:bCs/>
                <w:color w:val="auto"/>
                <w:kern w:val="2"/>
                <w:sz w:val="22"/>
                <w:szCs w:val="22"/>
                <w:highlight w:val="none"/>
              </w:rPr>
            </w:pPr>
            <w:r>
              <w:rPr>
                <w:rFonts w:hint="eastAsia" w:ascii="宋体" w:hAnsi="宋体" w:eastAsia="宋体" w:cs="宋体"/>
                <w:b/>
                <w:bCs/>
                <w:color w:val="auto"/>
                <w:sz w:val="22"/>
                <w:szCs w:val="22"/>
                <w:highlight w:val="none"/>
                <w:lang w:bidi="ar"/>
              </w:rPr>
              <w:t>数量</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562E4">
            <w:pPr>
              <w:keepNext w:val="0"/>
              <w:keepLines w:val="0"/>
              <w:suppressLineNumbers w:val="0"/>
              <w:spacing w:before="0" w:beforeAutospacing="0" w:after="0" w:afterAutospacing="0"/>
              <w:ind w:left="0" w:leftChars="0" w:right="0" w:firstLine="0" w:firstLineChars="0"/>
              <w:jc w:val="center"/>
              <w:textAlignment w:val="center"/>
              <w:rPr>
                <w:rFonts w:hint="default" w:ascii="宋体" w:hAnsi="宋体" w:eastAsia="宋体" w:cs="宋体"/>
                <w:b/>
                <w:bCs/>
                <w:color w:val="auto"/>
                <w:sz w:val="22"/>
                <w:szCs w:val="22"/>
                <w:highlight w:val="none"/>
                <w:lang w:bidi="ar"/>
              </w:rPr>
            </w:pPr>
            <w:r>
              <w:rPr>
                <w:rFonts w:hint="eastAsia" w:ascii="宋体" w:hAnsi="宋体" w:eastAsia="宋体" w:cs="宋体"/>
                <w:b/>
                <w:bCs/>
                <w:color w:val="auto"/>
                <w:sz w:val="22"/>
                <w:szCs w:val="22"/>
                <w:highlight w:val="none"/>
                <w:lang w:val="en-US" w:eastAsia="zh-CN" w:bidi="ar"/>
              </w:rPr>
              <w:t>投标</w:t>
            </w:r>
            <w:r>
              <w:rPr>
                <w:rFonts w:hint="eastAsia" w:ascii="宋体" w:hAnsi="宋体" w:eastAsia="宋体" w:cs="宋体"/>
                <w:b/>
                <w:bCs/>
                <w:color w:val="auto"/>
                <w:sz w:val="22"/>
                <w:szCs w:val="22"/>
                <w:highlight w:val="none"/>
                <w:lang w:bidi="ar"/>
              </w:rPr>
              <w:t>单价（元）</w:t>
            </w:r>
          </w:p>
        </w:tc>
      </w:tr>
      <w:tr w14:paraId="3B2CCFC2">
        <w:tblPrEx>
          <w:tblCellMar>
            <w:top w:w="0" w:type="dxa"/>
            <w:left w:w="108" w:type="dxa"/>
            <w:bottom w:w="0" w:type="dxa"/>
            <w:right w:w="108" w:type="dxa"/>
          </w:tblCellMar>
        </w:tblPrEx>
        <w:trPr>
          <w:trHeight w:val="400"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0D996">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宋体" w:hAnsi="宋体" w:eastAsia="宋体" w:cs="宋体"/>
                <w:color w:val="auto"/>
                <w:kern w:val="2"/>
                <w:highlight w:val="none"/>
              </w:rPr>
            </w:pPr>
            <w:r>
              <w:rPr>
                <w:rFonts w:hint="eastAsia" w:ascii="宋体" w:hAnsi="宋体" w:eastAsia="宋体" w:cs="宋体"/>
                <w:i w:val="0"/>
                <w:iCs w:val="0"/>
                <w:color w:val="auto"/>
                <w:kern w:val="2"/>
                <w:sz w:val="24"/>
                <w:szCs w:val="24"/>
                <w:highlight w:val="none"/>
                <w:u w:val="none"/>
                <w:lang w:val="en-US" w:eastAsia="zh-CN" w:bidi="ar"/>
              </w:rPr>
              <w:t>1</w:t>
            </w:r>
          </w:p>
        </w:tc>
        <w:tc>
          <w:tcPr>
            <w:tcW w:w="5103" w:type="dxa"/>
            <w:tcBorders>
              <w:top w:val="nil"/>
              <w:left w:val="single" w:color="000000" w:sz="4" w:space="0"/>
              <w:bottom w:val="single" w:color="000000" w:sz="4" w:space="0"/>
              <w:right w:val="single" w:color="000000" w:sz="4" w:space="0"/>
            </w:tcBorders>
            <w:shd w:val="clear" w:color="auto" w:fill="FFFFFF"/>
            <w:vAlign w:val="center"/>
          </w:tcPr>
          <w:p w14:paraId="2E39E7AC">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宋体" w:hAnsi="宋体" w:eastAsia="宋体" w:cs="宋体"/>
                <w:color w:val="auto"/>
                <w:kern w:val="2"/>
                <w:sz w:val="22"/>
                <w:szCs w:val="22"/>
                <w:highlight w:val="none"/>
              </w:rPr>
            </w:pPr>
            <w:r>
              <w:rPr>
                <w:rFonts w:hint="eastAsia" w:ascii="宋体" w:hAnsi="宋体" w:eastAsia="宋体" w:cs="宋体"/>
                <w:i w:val="0"/>
                <w:iCs w:val="0"/>
                <w:color w:val="auto"/>
                <w:kern w:val="2"/>
                <w:sz w:val="24"/>
                <w:szCs w:val="24"/>
                <w:highlight w:val="none"/>
                <w:u w:val="none"/>
                <w:lang w:val="en-US" w:eastAsia="zh-CN" w:bidi="ar"/>
              </w:rPr>
              <w:t>CH 15W-40 柴机油</w:t>
            </w:r>
          </w:p>
        </w:tc>
        <w:tc>
          <w:tcPr>
            <w:tcW w:w="851" w:type="dxa"/>
            <w:tcBorders>
              <w:top w:val="nil"/>
              <w:left w:val="single" w:color="000000" w:sz="4" w:space="0"/>
              <w:bottom w:val="single" w:color="000000" w:sz="4" w:space="0"/>
              <w:right w:val="single" w:color="000000" w:sz="4" w:space="0"/>
            </w:tcBorders>
            <w:shd w:val="clear" w:color="auto" w:fill="FFFFFF"/>
            <w:vAlign w:val="center"/>
          </w:tcPr>
          <w:p w14:paraId="2A8C6B0B">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宋体" w:hAnsi="宋体" w:eastAsia="宋体" w:cs="宋体"/>
                <w:color w:val="auto"/>
                <w:kern w:val="2"/>
                <w:sz w:val="22"/>
                <w:szCs w:val="22"/>
                <w:highlight w:val="none"/>
              </w:rPr>
            </w:pPr>
            <w:r>
              <w:rPr>
                <w:rFonts w:hint="eastAsia" w:ascii="宋体" w:hAnsi="宋体" w:eastAsia="宋体" w:cs="宋体"/>
                <w:i w:val="0"/>
                <w:iCs w:val="0"/>
                <w:color w:val="auto"/>
                <w:kern w:val="2"/>
                <w:sz w:val="24"/>
                <w:szCs w:val="24"/>
                <w:highlight w:val="none"/>
                <w:u w:val="none"/>
                <w:lang w:val="en-US" w:eastAsia="zh-CN" w:bidi="ar"/>
              </w:rPr>
              <w:t>桶</w:t>
            </w:r>
          </w:p>
        </w:tc>
        <w:tc>
          <w:tcPr>
            <w:tcW w:w="992" w:type="dxa"/>
            <w:tcBorders>
              <w:top w:val="nil"/>
              <w:left w:val="single" w:color="000000" w:sz="4" w:space="0"/>
              <w:bottom w:val="single" w:color="000000" w:sz="4" w:space="0"/>
              <w:right w:val="single" w:color="000000" w:sz="4" w:space="0"/>
            </w:tcBorders>
            <w:shd w:val="clear" w:color="auto" w:fill="FFFFFF"/>
            <w:vAlign w:val="center"/>
          </w:tcPr>
          <w:p w14:paraId="752B3179">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宋体" w:hAnsi="宋体" w:eastAsia="宋体" w:cs="宋体"/>
                <w:color w:val="auto"/>
                <w:kern w:val="2"/>
                <w:sz w:val="22"/>
                <w:szCs w:val="22"/>
                <w:highlight w:val="none"/>
              </w:rPr>
            </w:pPr>
            <w:r>
              <w:rPr>
                <w:rFonts w:hint="eastAsia" w:ascii="宋体" w:hAnsi="宋体" w:eastAsia="宋体" w:cs="宋体"/>
                <w:i w:val="0"/>
                <w:iCs w:val="0"/>
                <w:color w:val="auto"/>
                <w:kern w:val="2"/>
                <w:sz w:val="24"/>
                <w:szCs w:val="24"/>
                <w:highlight w:val="none"/>
                <w:u w:val="none"/>
                <w:lang w:val="en-US" w:eastAsia="zh-CN" w:bidi="ar"/>
              </w:rPr>
              <w:t>1</w:t>
            </w:r>
          </w:p>
        </w:tc>
        <w:tc>
          <w:tcPr>
            <w:tcW w:w="1559" w:type="dxa"/>
            <w:tcBorders>
              <w:top w:val="nil"/>
              <w:left w:val="single" w:color="000000" w:sz="4" w:space="0"/>
              <w:bottom w:val="single" w:color="000000" w:sz="4" w:space="0"/>
              <w:right w:val="single" w:color="000000" w:sz="4" w:space="0"/>
            </w:tcBorders>
            <w:shd w:val="clear" w:color="auto" w:fill="FFFFFF"/>
            <w:vAlign w:val="center"/>
          </w:tcPr>
          <w:p w14:paraId="5AE16317">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4813D730">
        <w:tblPrEx>
          <w:tblCellMar>
            <w:top w:w="0" w:type="dxa"/>
            <w:left w:w="108" w:type="dxa"/>
            <w:bottom w:w="0" w:type="dxa"/>
            <w:right w:w="108" w:type="dxa"/>
          </w:tblCellMar>
        </w:tblPrEx>
        <w:trPr>
          <w:trHeight w:val="400"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97516">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2</w:t>
            </w:r>
          </w:p>
        </w:tc>
        <w:tc>
          <w:tcPr>
            <w:tcW w:w="51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8174C">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机油滤芯</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C2E85">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25EE7">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2C7BF">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414B2B29">
        <w:tblPrEx>
          <w:tblCellMar>
            <w:top w:w="0" w:type="dxa"/>
            <w:left w:w="108" w:type="dxa"/>
            <w:bottom w:w="0" w:type="dxa"/>
            <w:right w:w="108" w:type="dxa"/>
          </w:tblCellMar>
        </w:tblPrEx>
        <w:trPr>
          <w:trHeight w:val="400"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9F831">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3</w:t>
            </w:r>
          </w:p>
        </w:tc>
        <w:tc>
          <w:tcPr>
            <w:tcW w:w="51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2AD1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空气滤芯</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48D6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8FEFD">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9B749">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4CB0580C">
        <w:tblPrEx>
          <w:tblCellMar>
            <w:top w:w="0" w:type="dxa"/>
            <w:left w:w="108" w:type="dxa"/>
            <w:bottom w:w="0" w:type="dxa"/>
            <w:right w:w="108" w:type="dxa"/>
          </w:tblCellMar>
        </w:tblPrEx>
        <w:trPr>
          <w:trHeight w:val="400"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54013">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4</w:t>
            </w:r>
          </w:p>
        </w:tc>
        <w:tc>
          <w:tcPr>
            <w:tcW w:w="51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D53D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燃油精滤</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8238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476E3F">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A1007">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54E2B4DE">
        <w:tblPrEx>
          <w:tblCellMar>
            <w:top w:w="0" w:type="dxa"/>
            <w:left w:w="108" w:type="dxa"/>
            <w:bottom w:w="0" w:type="dxa"/>
            <w:right w:w="108" w:type="dxa"/>
          </w:tblCellMar>
        </w:tblPrEx>
        <w:trPr>
          <w:trHeight w:val="400"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5655C">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5</w:t>
            </w:r>
          </w:p>
        </w:tc>
        <w:tc>
          <w:tcPr>
            <w:tcW w:w="51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C1849">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燃油粗滤</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CD9DD">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6111D">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D5DAA">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5F4A9639">
        <w:tblPrEx>
          <w:tblCellMar>
            <w:top w:w="0" w:type="dxa"/>
            <w:left w:w="108" w:type="dxa"/>
            <w:bottom w:w="0" w:type="dxa"/>
            <w:right w:w="108" w:type="dxa"/>
          </w:tblCellMar>
        </w:tblPrEx>
        <w:trPr>
          <w:trHeight w:val="400"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A8E65">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6</w:t>
            </w:r>
          </w:p>
        </w:tc>
        <w:tc>
          <w:tcPr>
            <w:tcW w:w="51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8FC497">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燃油油水滤</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BABA1">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AE849">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0F7A4">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229EA59E">
        <w:tblPrEx>
          <w:tblCellMar>
            <w:top w:w="0" w:type="dxa"/>
            <w:left w:w="108" w:type="dxa"/>
            <w:bottom w:w="0" w:type="dxa"/>
            <w:right w:w="108" w:type="dxa"/>
          </w:tblCellMar>
        </w:tblPrEx>
        <w:trPr>
          <w:trHeight w:val="400"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2098D">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7</w:t>
            </w:r>
          </w:p>
        </w:tc>
        <w:tc>
          <w:tcPr>
            <w:tcW w:w="51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33A8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液力8号传动油</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8F51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桶</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8DF529">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9C17B">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6D51FFB1">
        <w:tblPrEx>
          <w:tblCellMar>
            <w:top w:w="0" w:type="dxa"/>
            <w:left w:w="108" w:type="dxa"/>
            <w:bottom w:w="0" w:type="dxa"/>
            <w:right w:w="108" w:type="dxa"/>
          </w:tblCellMar>
        </w:tblPrEx>
        <w:trPr>
          <w:trHeight w:val="400"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EF98B">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8</w:t>
            </w:r>
          </w:p>
        </w:tc>
        <w:tc>
          <w:tcPr>
            <w:tcW w:w="51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6F9A3">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变速箱滤芯</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B0ECB">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58679">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8E239">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79BBACC1">
        <w:tblPrEx>
          <w:tblCellMar>
            <w:top w:w="0" w:type="dxa"/>
            <w:left w:w="108" w:type="dxa"/>
            <w:bottom w:w="0" w:type="dxa"/>
            <w:right w:w="108" w:type="dxa"/>
          </w:tblCellMar>
        </w:tblPrEx>
        <w:trPr>
          <w:trHeight w:val="400"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0D1C9">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9</w:t>
            </w:r>
          </w:p>
        </w:tc>
        <w:tc>
          <w:tcPr>
            <w:tcW w:w="51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B13D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液压油箱空气滤芯</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009F9">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A28F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2AC9E">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4B4614D4">
        <w:tblPrEx>
          <w:tblCellMar>
            <w:top w:w="0" w:type="dxa"/>
            <w:left w:w="108" w:type="dxa"/>
            <w:bottom w:w="0" w:type="dxa"/>
            <w:right w:w="108" w:type="dxa"/>
          </w:tblCellMar>
        </w:tblPrEx>
        <w:trPr>
          <w:trHeight w:val="400"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D7DFF">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10</w:t>
            </w:r>
          </w:p>
        </w:tc>
        <w:tc>
          <w:tcPr>
            <w:tcW w:w="51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F6B9B">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空调内循环滤网</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AD48C">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5DA9A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C748B">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7C2B69CD">
        <w:tblPrEx>
          <w:tblCellMar>
            <w:top w:w="0" w:type="dxa"/>
            <w:left w:w="108" w:type="dxa"/>
            <w:bottom w:w="0" w:type="dxa"/>
            <w:right w:w="108" w:type="dxa"/>
          </w:tblCellMar>
        </w:tblPrEx>
        <w:trPr>
          <w:trHeight w:val="400"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26CB1">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11</w:t>
            </w:r>
          </w:p>
        </w:tc>
        <w:tc>
          <w:tcPr>
            <w:tcW w:w="51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710FD">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液压油箱回油滤芯</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5C76C">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B991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8708E">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26BB1BD9">
        <w:tblPrEx>
          <w:tblCellMar>
            <w:top w:w="0" w:type="dxa"/>
            <w:left w:w="108" w:type="dxa"/>
            <w:bottom w:w="0" w:type="dxa"/>
            <w:right w:w="108" w:type="dxa"/>
          </w:tblCellMar>
        </w:tblPrEx>
        <w:trPr>
          <w:trHeight w:val="400"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F29D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12</w:t>
            </w:r>
          </w:p>
        </w:tc>
        <w:tc>
          <w:tcPr>
            <w:tcW w:w="51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68A38">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46号抗磨液压油</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E4F95">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桶</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17278">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7AAF68">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70A8AEEA">
        <w:tblPrEx>
          <w:tblCellMar>
            <w:top w:w="0" w:type="dxa"/>
            <w:left w:w="108" w:type="dxa"/>
            <w:bottom w:w="0" w:type="dxa"/>
            <w:right w:w="108" w:type="dxa"/>
          </w:tblCellMar>
        </w:tblPrEx>
        <w:trPr>
          <w:trHeight w:val="400"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0C9EB">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13</w:t>
            </w:r>
          </w:p>
        </w:tc>
        <w:tc>
          <w:tcPr>
            <w:tcW w:w="51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72E6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85W/90齿轮油</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2DA33">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桶</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6377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68EF17">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46B0506E">
        <w:tblPrEx>
          <w:tblCellMar>
            <w:top w:w="0" w:type="dxa"/>
            <w:left w:w="108" w:type="dxa"/>
            <w:bottom w:w="0" w:type="dxa"/>
            <w:right w:w="108" w:type="dxa"/>
          </w:tblCellMar>
        </w:tblPrEx>
        <w:trPr>
          <w:trHeight w:val="400"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3C3D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14</w:t>
            </w:r>
          </w:p>
        </w:tc>
        <w:tc>
          <w:tcPr>
            <w:tcW w:w="51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AE53D">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上铰接销</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321A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A724FF">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B829C">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16CE7C8D">
        <w:tblPrEx>
          <w:tblCellMar>
            <w:top w:w="0" w:type="dxa"/>
            <w:left w:w="108" w:type="dxa"/>
            <w:bottom w:w="0" w:type="dxa"/>
            <w:right w:w="108" w:type="dxa"/>
          </w:tblCellMar>
        </w:tblPrEx>
        <w:trPr>
          <w:trHeight w:val="400"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8A9D7">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15</w:t>
            </w:r>
          </w:p>
        </w:tc>
        <w:tc>
          <w:tcPr>
            <w:tcW w:w="51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DCAFF">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下铰接销</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0A09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5B773">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2E86C">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2E77650B">
        <w:tblPrEx>
          <w:tblCellMar>
            <w:top w:w="0" w:type="dxa"/>
            <w:left w:w="108" w:type="dxa"/>
            <w:bottom w:w="0" w:type="dxa"/>
            <w:right w:w="108" w:type="dxa"/>
          </w:tblCellMar>
        </w:tblPrEx>
        <w:trPr>
          <w:trHeight w:val="400"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E746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16</w:t>
            </w:r>
          </w:p>
        </w:tc>
        <w:tc>
          <w:tcPr>
            <w:tcW w:w="51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7333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动臂缸车架销</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AD82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EDD83">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331F1">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39A4420D">
        <w:tblPrEx>
          <w:tblCellMar>
            <w:top w:w="0" w:type="dxa"/>
            <w:left w:w="108" w:type="dxa"/>
            <w:bottom w:w="0" w:type="dxa"/>
            <w:right w:w="108" w:type="dxa"/>
          </w:tblCellMar>
        </w:tblPrEx>
        <w:trPr>
          <w:trHeight w:val="400"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CCDB3">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17</w:t>
            </w:r>
          </w:p>
        </w:tc>
        <w:tc>
          <w:tcPr>
            <w:tcW w:w="51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6F8F7">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翻斗缸前车架销</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00A09">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6AF16">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D6C06D">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1665B7E8">
        <w:tblPrEx>
          <w:tblCellMar>
            <w:top w:w="0" w:type="dxa"/>
            <w:left w:w="108" w:type="dxa"/>
            <w:bottom w:w="0" w:type="dxa"/>
            <w:right w:w="108" w:type="dxa"/>
          </w:tblCellMar>
        </w:tblPrEx>
        <w:trPr>
          <w:trHeight w:val="400"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CBB87">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18</w:t>
            </w:r>
          </w:p>
        </w:tc>
        <w:tc>
          <w:tcPr>
            <w:tcW w:w="51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5FCC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转向销</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3752C7">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59BBE">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5B8B7">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120268EA">
        <w:tblPrEx>
          <w:tblCellMar>
            <w:top w:w="0" w:type="dxa"/>
            <w:left w:w="108" w:type="dxa"/>
            <w:bottom w:w="0" w:type="dxa"/>
            <w:right w:w="108" w:type="dxa"/>
          </w:tblCellMar>
        </w:tblPrEx>
        <w:trPr>
          <w:trHeight w:val="400"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5AD6C">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19</w:t>
            </w:r>
          </w:p>
        </w:tc>
        <w:tc>
          <w:tcPr>
            <w:tcW w:w="51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02F4B">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动臂车架销</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C9AE3">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CD3C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236EA">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657B0A8A">
        <w:tblPrEx>
          <w:tblCellMar>
            <w:top w:w="0" w:type="dxa"/>
            <w:left w:w="108" w:type="dxa"/>
            <w:bottom w:w="0" w:type="dxa"/>
            <w:right w:w="108" w:type="dxa"/>
          </w:tblCellMar>
        </w:tblPrEx>
        <w:trPr>
          <w:trHeight w:val="400"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96B3F">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20</w:t>
            </w:r>
          </w:p>
        </w:tc>
        <w:tc>
          <w:tcPr>
            <w:tcW w:w="51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A30E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轴承</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8F9B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098CF6">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91227">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0868922C">
        <w:tblPrEx>
          <w:tblCellMar>
            <w:top w:w="0" w:type="dxa"/>
            <w:left w:w="108" w:type="dxa"/>
            <w:bottom w:w="0" w:type="dxa"/>
            <w:right w:w="108" w:type="dxa"/>
          </w:tblCellMar>
        </w:tblPrEx>
        <w:trPr>
          <w:trHeight w:val="400"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ECE8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21</w:t>
            </w:r>
          </w:p>
        </w:tc>
        <w:tc>
          <w:tcPr>
            <w:tcW w:w="51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7BB4C">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衬套</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AE09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24746">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623DB">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3FB4966C">
        <w:tblPrEx>
          <w:tblCellMar>
            <w:top w:w="0" w:type="dxa"/>
            <w:left w:w="108" w:type="dxa"/>
            <w:bottom w:w="0" w:type="dxa"/>
            <w:right w:w="108" w:type="dxa"/>
          </w:tblCellMar>
        </w:tblPrEx>
        <w:trPr>
          <w:trHeight w:val="400"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BD35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22</w:t>
            </w:r>
          </w:p>
        </w:tc>
        <w:tc>
          <w:tcPr>
            <w:tcW w:w="51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14C88">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左右边齿</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D0B7D">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块</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E163D">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0DC28">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6AA1ACA0">
        <w:tblPrEx>
          <w:tblCellMar>
            <w:top w:w="0" w:type="dxa"/>
            <w:left w:w="108" w:type="dxa"/>
            <w:bottom w:w="0" w:type="dxa"/>
            <w:right w:w="108" w:type="dxa"/>
          </w:tblCellMar>
        </w:tblPrEx>
        <w:trPr>
          <w:trHeight w:val="400"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18F4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23</w:t>
            </w:r>
          </w:p>
        </w:tc>
        <w:tc>
          <w:tcPr>
            <w:tcW w:w="51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FD14C">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半轴</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A635C">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90C19">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37A3C">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1B13D449">
        <w:tblPrEx>
          <w:tblCellMar>
            <w:top w:w="0" w:type="dxa"/>
            <w:left w:w="108" w:type="dxa"/>
            <w:bottom w:w="0" w:type="dxa"/>
            <w:right w:w="108" w:type="dxa"/>
          </w:tblCellMar>
        </w:tblPrEx>
        <w:trPr>
          <w:trHeight w:val="400"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C7DB9">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24</w:t>
            </w:r>
          </w:p>
        </w:tc>
        <w:tc>
          <w:tcPr>
            <w:tcW w:w="51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5ECC7">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电风扇</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D906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97C1F">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7A7BA">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6A84B62B">
        <w:tblPrEx>
          <w:tblCellMar>
            <w:top w:w="0" w:type="dxa"/>
            <w:left w:w="108" w:type="dxa"/>
            <w:bottom w:w="0" w:type="dxa"/>
            <w:right w:w="108" w:type="dxa"/>
          </w:tblCellMar>
        </w:tblPrEx>
        <w:trPr>
          <w:trHeight w:val="400"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EEE91">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25</w:t>
            </w:r>
          </w:p>
        </w:tc>
        <w:tc>
          <w:tcPr>
            <w:tcW w:w="51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A05A3">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蓄电池</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50C9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131E1">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6DD4D">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726EE947">
        <w:tblPrEx>
          <w:tblCellMar>
            <w:top w:w="0" w:type="dxa"/>
            <w:left w:w="108" w:type="dxa"/>
            <w:bottom w:w="0" w:type="dxa"/>
            <w:right w:w="108" w:type="dxa"/>
          </w:tblCellMar>
        </w:tblPrEx>
        <w:trPr>
          <w:trHeight w:val="400"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67A63">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26</w:t>
            </w:r>
          </w:p>
        </w:tc>
        <w:tc>
          <w:tcPr>
            <w:tcW w:w="51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BB8F7">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一二级涡轮总成</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768A7">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1A2E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2C52DE">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49AD6320">
        <w:tblPrEx>
          <w:tblCellMar>
            <w:top w:w="0" w:type="dxa"/>
            <w:left w:w="108" w:type="dxa"/>
            <w:bottom w:w="0" w:type="dxa"/>
            <w:right w:w="108" w:type="dxa"/>
          </w:tblCellMar>
        </w:tblPrEx>
        <w:trPr>
          <w:trHeight w:val="400"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98C9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27</w:t>
            </w:r>
          </w:p>
        </w:tc>
        <w:tc>
          <w:tcPr>
            <w:tcW w:w="51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9D021">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超越离合器总成</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FBFED">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835C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A5DDE">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5A0DDB86">
        <w:tblPrEx>
          <w:tblCellMar>
            <w:top w:w="0" w:type="dxa"/>
            <w:left w:w="108" w:type="dxa"/>
            <w:bottom w:w="0" w:type="dxa"/>
            <w:right w:w="108" w:type="dxa"/>
          </w:tblCellMar>
        </w:tblPrEx>
        <w:trPr>
          <w:trHeight w:val="400"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2AE35">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28</w:t>
            </w:r>
          </w:p>
        </w:tc>
        <w:tc>
          <w:tcPr>
            <w:tcW w:w="51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A58EF">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活塞</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7666D">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套</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4FFBC">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24B18">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7CAAD542">
        <w:tblPrEx>
          <w:tblCellMar>
            <w:top w:w="0" w:type="dxa"/>
            <w:left w:w="108" w:type="dxa"/>
            <w:bottom w:w="0" w:type="dxa"/>
            <w:right w:w="108" w:type="dxa"/>
          </w:tblCellMar>
        </w:tblPrEx>
        <w:trPr>
          <w:trHeight w:val="400"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F4987">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29</w:t>
            </w:r>
          </w:p>
        </w:tc>
        <w:tc>
          <w:tcPr>
            <w:tcW w:w="51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79B5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空压机</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7892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DD051">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BDE2D">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01CB3005">
        <w:tblPrEx>
          <w:tblCellMar>
            <w:top w:w="0" w:type="dxa"/>
            <w:left w:w="108" w:type="dxa"/>
            <w:bottom w:w="0" w:type="dxa"/>
            <w:right w:w="108" w:type="dxa"/>
          </w:tblCellMar>
        </w:tblPrEx>
        <w:trPr>
          <w:trHeight w:val="400"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A9665">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30</w:t>
            </w:r>
          </w:p>
        </w:tc>
        <w:tc>
          <w:tcPr>
            <w:tcW w:w="51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BE2C9">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制动器</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73A01">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2B07B">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473FF">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6AAE719E">
        <w:tblPrEx>
          <w:tblCellMar>
            <w:top w:w="0" w:type="dxa"/>
            <w:left w:w="108" w:type="dxa"/>
            <w:bottom w:w="0" w:type="dxa"/>
            <w:right w:w="108" w:type="dxa"/>
          </w:tblCellMar>
        </w:tblPrEx>
        <w:trPr>
          <w:trHeight w:val="400"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191B6">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31</w:t>
            </w:r>
          </w:p>
        </w:tc>
        <w:tc>
          <w:tcPr>
            <w:tcW w:w="51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9E31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加力泵</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277E3">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428A6">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9C33F">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7288E9FA">
        <w:tblPrEx>
          <w:tblCellMar>
            <w:top w:w="0" w:type="dxa"/>
            <w:left w:w="108" w:type="dxa"/>
            <w:bottom w:w="0" w:type="dxa"/>
            <w:right w:w="108" w:type="dxa"/>
          </w:tblCellMar>
        </w:tblPrEx>
        <w:trPr>
          <w:trHeight w:val="400"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BBBD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32</w:t>
            </w:r>
          </w:p>
        </w:tc>
        <w:tc>
          <w:tcPr>
            <w:tcW w:w="51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FDC06">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左右动臂油缸</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0BDCB">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EB1D7">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DEE6C">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3892487D">
        <w:tblPrEx>
          <w:tblCellMar>
            <w:top w:w="0" w:type="dxa"/>
            <w:left w:w="108" w:type="dxa"/>
            <w:bottom w:w="0" w:type="dxa"/>
            <w:right w:w="108" w:type="dxa"/>
          </w:tblCellMar>
        </w:tblPrEx>
        <w:trPr>
          <w:trHeight w:val="400"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AA7F5">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33</w:t>
            </w:r>
          </w:p>
        </w:tc>
        <w:tc>
          <w:tcPr>
            <w:tcW w:w="51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B4CF7">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转向油缸</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951F9">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78FAC">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22598">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681B76B5">
        <w:tblPrEx>
          <w:tblCellMar>
            <w:top w:w="0" w:type="dxa"/>
            <w:left w:w="108" w:type="dxa"/>
            <w:bottom w:w="0" w:type="dxa"/>
            <w:right w:w="108" w:type="dxa"/>
          </w:tblCellMar>
        </w:tblPrEx>
        <w:trPr>
          <w:trHeight w:val="400"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C921F">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34</w:t>
            </w:r>
          </w:p>
        </w:tc>
        <w:tc>
          <w:tcPr>
            <w:tcW w:w="51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D37BC">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翻斗油缸</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CB3B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3D9C6">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E223F">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2DBDF063">
        <w:tblPrEx>
          <w:tblCellMar>
            <w:top w:w="0" w:type="dxa"/>
            <w:left w:w="108" w:type="dxa"/>
            <w:bottom w:w="0" w:type="dxa"/>
            <w:right w:w="108" w:type="dxa"/>
          </w:tblCellMar>
        </w:tblPrEx>
        <w:trPr>
          <w:trHeight w:val="400"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6909F">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35</w:t>
            </w:r>
          </w:p>
        </w:tc>
        <w:tc>
          <w:tcPr>
            <w:tcW w:w="51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04CC4C">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喷油器</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85CD1">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053E7">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35877">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6FDEA210">
        <w:tblPrEx>
          <w:tblCellMar>
            <w:top w:w="0" w:type="dxa"/>
            <w:left w:w="108" w:type="dxa"/>
            <w:bottom w:w="0" w:type="dxa"/>
            <w:right w:w="108" w:type="dxa"/>
          </w:tblCellMar>
        </w:tblPrEx>
        <w:trPr>
          <w:trHeight w:val="400"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D09D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36</w:t>
            </w:r>
          </w:p>
        </w:tc>
        <w:tc>
          <w:tcPr>
            <w:tcW w:w="51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4F1EE">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分配阀</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F7BFE">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53A6C">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EF923">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1946B1D0">
        <w:tblPrEx>
          <w:tblCellMar>
            <w:top w:w="0" w:type="dxa"/>
            <w:left w:w="108" w:type="dxa"/>
            <w:bottom w:w="0" w:type="dxa"/>
            <w:right w:w="108" w:type="dxa"/>
          </w:tblCellMar>
        </w:tblPrEx>
        <w:trPr>
          <w:trHeight w:val="400"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6094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37</w:t>
            </w:r>
          </w:p>
        </w:tc>
        <w:tc>
          <w:tcPr>
            <w:tcW w:w="51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EFB66">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转向器</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2005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5CEB0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49949">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4CBD572B">
        <w:tblPrEx>
          <w:tblCellMar>
            <w:top w:w="0" w:type="dxa"/>
            <w:left w:w="108" w:type="dxa"/>
            <w:bottom w:w="0" w:type="dxa"/>
            <w:right w:w="108" w:type="dxa"/>
          </w:tblCellMar>
        </w:tblPrEx>
        <w:trPr>
          <w:trHeight w:val="400"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38C21">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38</w:t>
            </w:r>
          </w:p>
        </w:tc>
        <w:tc>
          <w:tcPr>
            <w:tcW w:w="51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5087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转向泵油管</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D0866">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F6EA17">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01ED5">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7F5649AD">
        <w:tblPrEx>
          <w:tblCellMar>
            <w:top w:w="0" w:type="dxa"/>
            <w:left w:w="108" w:type="dxa"/>
            <w:bottom w:w="0" w:type="dxa"/>
            <w:right w:w="108" w:type="dxa"/>
          </w:tblCellMar>
        </w:tblPrEx>
        <w:trPr>
          <w:trHeight w:val="400"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693D1">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39</w:t>
            </w:r>
          </w:p>
        </w:tc>
        <w:tc>
          <w:tcPr>
            <w:tcW w:w="51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A9875">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工作泵吸油管</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846EF">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E0EDD">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442E3">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796D03C3">
        <w:tblPrEx>
          <w:tblCellMar>
            <w:top w:w="0" w:type="dxa"/>
            <w:left w:w="108" w:type="dxa"/>
            <w:bottom w:w="0" w:type="dxa"/>
            <w:right w:w="108" w:type="dxa"/>
          </w:tblCellMar>
        </w:tblPrEx>
        <w:trPr>
          <w:trHeight w:val="400"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B4AB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40</w:t>
            </w:r>
          </w:p>
        </w:tc>
        <w:tc>
          <w:tcPr>
            <w:tcW w:w="51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6E1EC">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齿轮泵</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03A3B">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2BD4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AA4D2">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4CB6B183">
        <w:tblPrEx>
          <w:tblCellMar>
            <w:top w:w="0" w:type="dxa"/>
            <w:left w:w="108" w:type="dxa"/>
            <w:bottom w:w="0" w:type="dxa"/>
            <w:right w:w="108" w:type="dxa"/>
          </w:tblCellMar>
        </w:tblPrEx>
        <w:trPr>
          <w:trHeight w:val="400"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FCF2D">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41</w:t>
            </w:r>
          </w:p>
        </w:tc>
        <w:tc>
          <w:tcPr>
            <w:tcW w:w="51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DE09D">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手制动控制器</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0E76E">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474F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7AD4E">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36573A3B">
        <w:tblPrEx>
          <w:tblCellMar>
            <w:top w:w="0" w:type="dxa"/>
            <w:left w:w="108" w:type="dxa"/>
            <w:bottom w:w="0" w:type="dxa"/>
            <w:right w:w="108" w:type="dxa"/>
          </w:tblCellMar>
        </w:tblPrEx>
        <w:trPr>
          <w:trHeight w:val="400"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6B4C5">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42</w:t>
            </w:r>
          </w:p>
        </w:tc>
        <w:tc>
          <w:tcPr>
            <w:tcW w:w="51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DD21D">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组合阀</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5167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EEE8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2371C">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31FB11E2">
        <w:tblPrEx>
          <w:tblCellMar>
            <w:top w:w="0" w:type="dxa"/>
            <w:left w:w="108" w:type="dxa"/>
            <w:bottom w:w="0" w:type="dxa"/>
            <w:right w:w="108" w:type="dxa"/>
          </w:tblCellMar>
        </w:tblPrEx>
        <w:trPr>
          <w:trHeight w:val="400"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A2018">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43</w:t>
            </w:r>
          </w:p>
        </w:tc>
        <w:tc>
          <w:tcPr>
            <w:tcW w:w="51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C1309">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工作泵</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31E1D">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2B82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51AE5">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7DC1E9D1">
        <w:tblPrEx>
          <w:tblCellMar>
            <w:top w:w="0" w:type="dxa"/>
            <w:left w:w="108" w:type="dxa"/>
            <w:bottom w:w="0" w:type="dxa"/>
            <w:right w:w="108" w:type="dxa"/>
          </w:tblCellMar>
        </w:tblPrEx>
        <w:trPr>
          <w:trHeight w:val="400"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1B2C7">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44</w:t>
            </w:r>
          </w:p>
        </w:tc>
        <w:tc>
          <w:tcPr>
            <w:tcW w:w="51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8F387">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油管</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FEB43">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根</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FC8D4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F1CD6">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0C2B66A8">
        <w:tblPrEx>
          <w:tblCellMar>
            <w:top w:w="0" w:type="dxa"/>
            <w:left w:w="108" w:type="dxa"/>
            <w:bottom w:w="0" w:type="dxa"/>
            <w:right w:w="108" w:type="dxa"/>
          </w:tblCellMar>
        </w:tblPrEx>
        <w:trPr>
          <w:trHeight w:val="400"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492A6">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45</w:t>
            </w:r>
          </w:p>
        </w:tc>
        <w:tc>
          <w:tcPr>
            <w:tcW w:w="51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1E843">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JX1008A机滤</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EAD7C8">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个</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4D1C3">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F02BD">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183DB0E1">
        <w:tblPrEx>
          <w:tblCellMar>
            <w:top w:w="0" w:type="dxa"/>
            <w:left w:w="108" w:type="dxa"/>
            <w:bottom w:w="0" w:type="dxa"/>
            <w:right w:w="108" w:type="dxa"/>
          </w:tblCellMar>
        </w:tblPrEx>
        <w:trPr>
          <w:trHeight w:val="400"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7FD2D">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46</w:t>
            </w:r>
          </w:p>
        </w:tc>
        <w:tc>
          <w:tcPr>
            <w:tcW w:w="51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939816">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LKCQ28-200柴油精滤(LW180KV/200KV洛拖国3)(备件)</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787AD">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个</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4A84E3">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D66F6">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3E3AF786">
        <w:tblPrEx>
          <w:tblCellMar>
            <w:top w:w="0" w:type="dxa"/>
            <w:left w:w="108" w:type="dxa"/>
            <w:bottom w:w="0" w:type="dxa"/>
            <w:right w:w="108" w:type="dxa"/>
          </w:tblCellMar>
        </w:tblPrEx>
        <w:trPr>
          <w:trHeight w:val="640"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A68A3">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47</w:t>
            </w:r>
          </w:p>
        </w:tc>
        <w:tc>
          <w:tcPr>
            <w:tcW w:w="51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31A4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LKCQ28-100柴油预滤（LW180KV/200KV洛拖国3）(备件)</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083B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个</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64A68">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45751">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7608596F">
        <w:tblPrEx>
          <w:tblCellMar>
            <w:top w:w="0" w:type="dxa"/>
            <w:left w:w="108" w:type="dxa"/>
            <w:bottom w:w="0" w:type="dxa"/>
            <w:right w:w="108" w:type="dxa"/>
          </w:tblCellMar>
        </w:tblPrEx>
        <w:trPr>
          <w:trHeight w:val="600"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C0D3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48</w:t>
            </w:r>
          </w:p>
        </w:tc>
        <w:tc>
          <w:tcPr>
            <w:tcW w:w="51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36D51">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LKCQ32B-100油水分离器(LW180KV/200KV洛拖国3)(备件)</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D52E1">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个</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9048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D5BA8">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16EE4A87">
        <w:tblPrEx>
          <w:tblCellMar>
            <w:top w:w="0" w:type="dxa"/>
            <w:left w:w="108" w:type="dxa"/>
            <w:bottom w:w="0" w:type="dxa"/>
            <w:right w:w="108" w:type="dxa"/>
          </w:tblCellMar>
        </w:tblPrEx>
        <w:trPr>
          <w:trHeight w:val="580"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CC988">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49</w:t>
            </w:r>
          </w:p>
        </w:tc>
        <w:tc>
          <w:tcPr>
            <w:tcW w:w="51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7B15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KL2036-0300A 安全滤芯=860121136</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300D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个</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CB001">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AE180">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552104AC">
        <w:tblPrEx>
          <w:tblCellMar>
            <w:top w:w="0" w:type="dxa"/>
            <w:left w:w="108" w:type="dxa"/>
            <w:bottom w:w="0" w:type="dxa"/>
            <w:right w:w="108" w:type="dxa"/>
          </w:tblCellMar>
        </w:tblPrEx>
        <w:trPr>
          <w:trHeight w:val="400"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E8036">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50</w:t>
            </w:r>
          </w:p>
        </w:tc>
        <w:tc>
          <w:tcPr>
            <w:tcW w:w="51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675F1">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KL2036-0100 主滤芯=860121136</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99B01">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个</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67341">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913B4">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1EA457BF">
        <w:tblPrEx>
          <w:tblCellMar>
            <w:top w:w="0" w:type="dxa"/>
            <w:left w:w="108" w:type="dxa"/>
            <w:bottom w:w="0" w:type="dxa"/>
            <w:right w:w="108" w:type="dxa"/>
          </w:tblCellMar>
        </w:tblPrEx>
        <w:trPr>
          <w:trHeight w:val="400"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F5896">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51</w:t>
            </w:r>
          </w:p>
        </w:tc>
        <w:tc>
          <w:tcPr>
            <w:tcW w:w="51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889B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变速箱滤清器</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2CAF1">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个</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A5B07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42207">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1657D3F6">
        <w:tblPrEx>
          <w:tblCellMar>
            <w:top w:w="0" w:type="dxa"/>
            <w:left w:w="108" w:type="dxa"/>
            <w:bottom w:w="0" w:type="dxa"/>
            <w:right w:w="108" w:type="dxa"/>
          </w:tblCellMar>
        </w:tblPrEx>
        <w:trPr>
          <w:trHeight w:val="400"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5593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52</w:t>
            </w:r>
          </w:p>
        </w:tc>
        <w:tc>
          <w:tcPr>
            <w:tcW w:w="51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5CE6D5">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LW188/220(Z3.3.6)变矩器滤芯</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07BD3">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个</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D3FF6">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DE183">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54F8DA3D">
        <w:tblPrEx>
          <w:tblCellMar>
            <w:top w:w="0" w:type="dxa"/>
            <w:left w:w="108" w:type="dxa"/>
            <w:bottom w:w="0" w:type="dxa"/>
            <w:right w:w="108" w:type="dxa"/>
          </w:tblCellMar>
        </w:tblPrEx>
        <w:trPr>
          <w:trHeight w:val="400"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7EA4B">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53</w:t>
            </w:r>
          </w:p>
        </w:tc>
        <w:tc>
          <w:tcPr>
            <w:tcW w:w="51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55599">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XGHL11-300×10 回油滤芯</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2362F">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个</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6AE35">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05323">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4ADCBDBC">
        <w:tblPrEx>
          <w:tblCellMar>
            <w:top w:w="0" w:type="dxa"/>
            <w:left w:w="108" w:type="dxa"/>
            <w:bottom w:w="0" w:type="dxa"/>
            <w:right w:w="108" w:type="dxa"/>
          </w:tblCellMar>
        </w:tblPrEx>
        <w:trPr>
          <w:trHeight w:val="400"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1794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54</w:t>
            </w:r>
          </w:p>
        </w:tc>
        <w:tc>
          <w:tcPr>
            <w:tcW w:w="51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1ADDC">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D0T4制动液(800克)(SN)(备件)</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E042C">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桶</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CAA95B">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A4F5E">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473B4102">
        <w:tblPrEx>
          <w:tblCellMar>
            <w:top w:w="0" w:type="dxa"/>
            <w:left w:w="108" w:type="dxa"/>
            <w:bottom w:w="0" w:type="dxa"/>
            <w:right w:w="108" w:type="dxa"/>
          </w:tblCellMar>
        </w:tblPrEx>
        <w:trPr>
          <w:trHeight w:val="400"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465F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55</w:t>
            </w:r>
          </w:p>
        </w:tc>
        <w:tc>
          <w:tcPr>
            <w:tcW w:w="51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7C385">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徐工46#专用液压油 (18L)(备件)</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46E1C">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桶</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00F76">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FDA48">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6CA4BB8B">
        <w:tblPrEx>
          <w:tblCellMar>
            <w:top w:w="0" w:type="dxa"/>
            <w:left w:w="108" w:type="dxa"/>
            <w:bottom w:w="0" w:type="dxa"/>
            <w:right w:w="108" w:type="dxa"/>
          </w:tblCellMar>
        </w:tblPrEx>
        <w:trPr>
          <w:trHeight w:val="400"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F526E">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56</w:t>
            </w:r>
          </w:p>
        </w:tc>
        <w:tc>
          <w:tcPr>
            <w:tcW w:w="51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3B91D">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徐工专用齿轮油GL-5 85W/90(18L)(备件)</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06765">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桶</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FA78C">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E94BD">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686B5FDF">
        <w:tblPrEx>
          <w:tblCellMar>
            <w:top w:w="0" w:type="dxa"/>
            <w:left w:w="108" w:type="dxa"/>
            <w:bottom w:w="0" w:type="dxa"/>
            <w:right w:w="108" w:type="dxa"/>
          </w:tblCellMar>
        </w:tblPrEx>
        <w:trPr>
          <w:trHeight w:val="400"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FDDE3">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57</w:t>
            </w:r>
          </w:p>
        </w:tc>
        <w:tc>
          <w:tcPr>
            <w:tcW w:w="51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E3077">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刀板（5吨 带配套螺丝）</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69F6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块</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951DF">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EA5FD6">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59D20E21">
        <w:tblPrEx>
          <w:tblCellMar>
            <w:top w:w="0" w:type="dxa"/>
            <w:left w:w="108" w:type="dxa"/>
            <w:bottom w:w="0" w:type="dxa"/>
            <w:right w:w="108" w:type="dxa"/>
          </w:tblCellMar>
        </w:tblPrEx>
        <w:trPr>
          <w:trHeight w:val="400"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015C5">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58</w:t>
            </w:r>
          </w:p>
        </w:tc>
        <w:tc>
          <w:tcPr>
            <w:tcW w:w="51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68255">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机油滤芯</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DEB3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4C907">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D10B0">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13E3298B">
        <w:tblPrEx>
          <w:tblCellMar>
            <w:top w:w="0" w:type="dxa"/>
            <w:left w:w="108" w:type="dxa"/>
            <w:bottom w:w="0" w:type="dxa"/>
            <w:right w:w="108" w:type="dxa"/>
          </w:tblCellMar>
        </w:tblPrEx>
        <w:trPr>
          <w:trHeight w:val="400"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07735">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59</w:t>
            </w:r>
          </w:p>
        </w:tc>
        <w:tc>
          <w:tcPr>
            <w:tcW w:w="51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DE92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变矩器滤芯</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75EC5">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9D828">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064C1">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158AB97B">
        <w:tblPrEx>
          <w:tblCellMar>
            <w:top w:w="0" w:type="dxa"/>
            <w:left w:w="108" w:type="dxa"/>
            <w:bottom w:w="0" w:type="dxa"/>
            <w:right w:w="108" w:type="dxa"/>
          </w:tblCellMar>
        </w:tblPrEx>
        <w:trPr>
          <w:trHeight w:val="400"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AF64E">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60</w:t>
            </w:r>
          </w:p>
        </w:tc>
        <w:tc>
          <w:tcPr>
            <w:tcW w:w="51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2BF58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空调新风滤网</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67E67">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08863">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67D19C">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61484F62">
        <w:tblPrEx>
          <w:tblCellMar>
            <w:top w:w="0" w:type="dxa"/>
            <w:left w:w="108" w:type="dxa"/>
            <w:bottom w:w="0" w:type="dxa"/>
            <w:right w:w="108" w:type="dxa"/>
          </w:tblCellMar>
        </w:tblPrEx>
        <w:trPr>
          <w:trHeight w:val="400"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7B2D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61</w:t>
            </w:r>
          </w:p>
        </w:tc>
        <w:tc>
          <w:tcPr>
            <w:tcW w:w="51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7DD86">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燃油箱吸油滤芯</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869C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8D398">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61CB1">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48AC5AB8">
        <w:tblPrEx>
          <w:tblCellMar>
            <w:top w:w="0" w:type="dxa"/>
            <w:left w:w="108" w:type="dxa"/>
            <w:bottom w:w="0" w:type="dxa"/>
            <w:right w:w="108" w:type="dxa"/>
          </w:tblCellMar>
        </w:tblPrEx>
        <w:trPr>
          <w:trHeight w:val="400"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612F6">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62</w:t>
            </w:r>
          </w:p>
        </w:tc>
        <w:tc>
          <w:tcPr>
            <w:tcW w:w="51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DF3A9">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左边齿</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1BEAE">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7209D9">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CBAD2">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5D1DA818">
        <w:tblPrEx>
          <w:tblCellMar>
            <w:top w:w="0" w:type="dxa"/>
            <w:left w:w="108" w:type="dxa"/>
            <w:bottom w:w="0" w:type="dxa"/>
            <w:right w:w="108" w:type="dxa"/>
          </w:tblCellMar>
        </w:tblPrEx>
        <w:trPr>
          <w:trHeight w:val="400"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A45EF">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63</w:t>
            </w:r>
          </w:p>
        </w:tc>
        <w:tc>
          <w:tcPr>
            <w:tcW w:w="51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48F3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右边齿</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EA51E">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E19A9">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C92F6">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51DA2019">
        <w:tblPrEx>
          <w:tblCellMar>
            <w:top w:w="0" w:type="dxa"/>
            <w:left w:w="108" w:type="dxa"/>
            <w:bottom w:w="0" w:type="dxa"/>
            <w:right w:w="108" w:type="dxa"/>
          </w:tblCellMar>
        </w:tblPrEx>
        <w:trPr>
          <w:trHeight w:val="400"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94DCF">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64</w:t>
            </w:r>
          </w:p>
        </w:tc>
        <w:tc>
          <w:tcPr>
            <w:tcW w:w="51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A3979">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斗齿</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4F06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B822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F876B">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3F99D276">
        <w:tblPrEx>
          <w:tblCellMar>
            <w:top w:w="0" w:type="dxa"/>
            <w:left w:w="108" w:type="dxa"/>
            <w:bottom w:w="0" w:type="dxa"/>
            <w:right w:w="108" w:type="dxa"/>
          </w:tblCellMar>
        </w:tblPrEx>
        <w:trPr>
          <w:trHeight w:val="400"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F633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65</w:t>
            </w:r>
          </w:p>
        </w:tc>
        <w:tc>
          <w:tcPr>
            <w:tcW w:w="51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DCDDB">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轮胎  23.5-25-18</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A678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CA945">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74E22">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03F71C5D">
        <w:tblPrEx>
          <w:tblCellMar>
            <w:top w:w="0" w:type="dxa"/>
            <w:left w:w="108" w:type="dxa"/>
            <w:bottom w:w="0" w:type="dxa"/>
            <w:right w:w="108" w:type="dxa"/>
          </w:tblCellMar>
        </w:tblPrEx>
        <w:trPr>
          <w:trHeight w:val="400"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2D74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66</w:t>
            </w:r>
          </w:p>
        </w:tc>
        <w:tc>
          <w:tcPr>
            <w:tcW w:w="51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48818">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刀板（6吨配套螺丝）</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318F5">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块</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FC10D">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86A1D">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3FA2921F">
        <w:tblPrEx>
          <w:tblCellMar>
            <w:top w:w="0" w:type="dxa"/>
            <w:left w:w="108" w:type="dxa"/>
            <w:bottom w:w="0" w:type="dxa"/>
            <w:right w:w="108" w:type="dxa"/>
          </w:tblCellMar>
        </w:tblPrEx>
        <w:trPr>
          <w:trHeight w:val="400"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B5BF9">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67</w:t>
            </w:r>
          </w:p>
        </w:tc>
        <w:tc>
          <w:tcPr>
            <w:tcW w:w="51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5DC5D">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保养工时费</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385E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台</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C528D">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DF007">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1B76836B">
        <w:tblPrEx>
          <w:tblCellMar>
            <w:top w:w="0" w:type="dxa"/>
            <w:left w:w="108" w:type="dxa"/>
            <w:bottom w:w="0" w:type="dxa"/>
            <w:right w:w="108" w:type="dxa"/>
          </w:tblCellMar>
        </w:tblPrEx>
        <w:trPr>
          <w:trHeight w:val="400"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2B516">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68</w:t>
            </w:r>
          </w:p>
        </w:tc>
        <w:tc>
          <w:tcPr>
            <w:tcW w:w="51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0EBB1">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制动控制器</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047C1">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EB2E3">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429CA">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4CAF1CB4">
        <w:tblPrEx>
          <w:tblCellMar>
            <w:top w:w="0" w:type="dxa"/>
            <w:left w:w="108" w:type="dxa"/>
            <w:bottom w:w="0" w:type="dxa"/>
            <w:right w:w="108" w:type="dxa"/>
          </w:tblCellMar>
        </w:tblPrEx>
        <w:trPr>
          <w:trHeight w:val="400"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D9975">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69</w:t>
            </w:r>
          </w:p>
        </w:tc>
        <w:tc>
          <w:tcPr>
            <w:tcW w:w="51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2B7BB">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更换刹车片</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F685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片</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F2881">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4C736">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149EA9DC">
        <w:tblPrEx>
          <w:tblCellMar>
            <w:top w:w="0" w:type="dxa"/>
            <w:left w:w="108" w:type="dxa"/>
            <w:bottom w:w="0" w:type="dxa"/>
            <w:right w:w="108" w:type="dxa"/>
          </w:tblCellMar>
        </w:tblPrEx>
        <w:trPr>
          <w:trHeight w:val="400"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82AF7">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70</w:t>
            </w:r>
          </w:p>
        </w:tc>
        <w:tc>
          <w:tcPr>
            <w:tcW w:w="51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19DFB">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更换液压油管</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A3E23">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米</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A47F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44B5F">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67CF4C36">
        <w:tblPrEx>
          <w:tblCellMar>
            <w:top w:w="0" w:type="dxa"/>
            <w:left w:w="108" w:type="dxa"/>
            <w:bottom w:w="0" w:type="dxa"/>
            <w:right w:w="108" w:type="dxa"/>
          </w:tblCellMar>
        </w:tblPrEx>
        <w:trPr>
          <w:trHeight w:val="400"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D640D">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71</w:t>
            </w:r>
          </w:p>
        </w:tc>
        <w:tc>
          <w:tcPr>
            <w:tcW w:w="51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2DAFC">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更换水箱</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B26B8">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29B53">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4D101">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45C665CB">
        <w:tblPrEx>
          <w:tblCellMar>
            <w:top w:w="0" w:type="dxa"/>
            <w:left w:w="108" w:type="dxa"/>
            <w:bottom w:w="0" w:type="dxa"/>
            <w:right w:w="108" w:type="dxa"/>
          </w:tblCellMar>
        </w:tblPrEx>
        <w:trPr>
          <w:trHeight w:val="400"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29EB3">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72</w:t>
            </w:r>
          </w:p>
        </w:tc>
        <w:tc>
          <w:tcPr>
            <w:tcW w:w="51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F572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防冻液（10L）</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23653">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桶</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4C7B3">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87310">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189345B3">
        <w:tblPrEx>
          <w:tblCellMar>
            <w:top w:w="0" w:type="dxa"/>
            <w:left w:w="108" w:type="dxa"/>
            <w:bottom w:w="0" w:type="dxa"/>
            <w:right w:w="108" w:type="dxa"/>
          </w:tblCellMar>
        </w:tblPrEx>
        <w:trPr>
          <w:trHeight w:val="400"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30A06">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73</w:t>
            </w:r>
          </w:p>
        </w:tc>
        <w:tc>
          <w:tcPr>
            <w:tcW w:w="51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4B46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空调加氟利昂</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C5849">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台</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70E6E">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759E8">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7D3386EF">
        <w:tblPrEx>
          <w:tblCellMar>
            <w:top w:w="0" w:type="dxa"/>
            <w:left w:w="108" w:type="dxa"/>
            <w:bottom w:w="0" w:type="dxa"/>
            <w:right w:w="108" w:type="dxa"/>
          </w:tblCellMar>
        </w:tblPrEx>
        <w:trPr>
          <w:trHeight w:val="400"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605E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74</w:t>
            </w:r>
          </w:p>
        </w:tc>
        <w:tc>
          <w:tcPr>
            <w:tcW w:w="51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E600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检修电路</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0FB8F">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台</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A03C3">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3A89F">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1D24FD4C">
        <w:tblPrEx>
          <w:tblCellMar>
            <w:top w:w="0" w:type="dxa"/>
            <w:left w:w="108" w:type="dxa"/>
            <w:bottom w:w="0" w:type="dxa"/>
            <w:right w:w="108" w:type="dxa"/>
          </w:tblCellMar>
        </w:tblPrEx>
        <w:trPr>
          <w:trHeight w:val="400"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A99E8">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75</w:t>
            </w:r>
          </w:p>
        </w:tc>
        <w:tc>
          <w:tcPr>
            <w:tcW w:w="51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34DFE">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启动器</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6E549">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台</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9A56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4B5AF">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6EF30EF2">
        <w:tblPrEx>
          <w:tblCellMar>
            <w:top w:w="0" w:type="dxa"/>
            <w:left w:w="108" w:type="dxa"/>
            <w:bottom w:w="0" w:type="dxa"/>
            <w:right w:w="108" w:type="dxa"/>
          </w:tblCellMar>
        </w:tblPrEx>
        <w:trPr>
          <w:trHeight w:val="400"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CDD66">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76</w:t>
            </w:r>
          </w:p>
        </w:tc>
        <w:tc>
          <w:tcPr>
            <w:tcW w:w="51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C0CBC">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灯泡</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4C5A1">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7B0C5">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0B84F2">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33EDD118">
        <w:tblPrEx>
          <w:tblCellMar>
            <w:top w:w="0" w:type="dxa"/>
            <w:left w:w="108" w:type="dxa"/>
            <w:bottom w:w="0" w:type="dxa"/>
            <w:right w:w="108" w:type="dxa"/>
          </w:tblCellMar>
        </w:tblPrEx>
        <w:trPr>
          <w:trHeight w:val="400"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5618D">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77</w:t>
            </w:r>
          </w:p>
        </w:tc>
        <w:tc>
          <w:tcPr>
            <w:tcW w:w="51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94835">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更换全车电路</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8BE8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台</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945E9">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C8FF1">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569C0C8D">
        <w:tblPrEx>
          <w:tblCellMar>
            <w:top w:w="0" w:type="dxa"/>
            <w:left w:w="108" w:type="dxa"/>
            <w:bottom w:w="0" w:type="dxa"/>
            <w:right w:w="108" w:type="dxa"/>
          </w:tblCellMar>
        </w:tblPrEx>
        <w:trPr>
          <w:trHeight w:val="400"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49B76">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78</w:t>
            </w:r>
          </w:p>
        </w:tc>
        <w:tc>
          <w:tcPr>
            <w:tcW w:w="51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F73E4C">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更换发动机线路</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79B4F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台</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44A4B">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3C1AE">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125ED776">
        <w:tblPrEx>
          <w:tblCellMar>
            <w:top w:w="0" w:type="dxa"/>
            <w:left w:w="108" w:type="dxa"/>
            <w:bottom w:w="0" w:type="dxa"/>
            <w:right w:w="108" w:type="dxa"/>
          </w:tblCellMar>
        </w:tblPrEx>
        <w:trPr>
          <w:trHeight w:val="400"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3FBF5">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79</w:t>
            </w:r>
          </w:p>
        </w:tc>
        <w:tc>
          <w:tcPr>
            <w:tcW w:w="51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88327">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6吨铲车双面刀板1套(二块)含2 套螺丝</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B22A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套</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6A459">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3619D">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7A83794B">
        <w:tblPrEx>
          <w:tblCellMar>
            <w:top w:w="0" w:type="dxa"/>
            <w:left w:w="108" w:type="dxa"/>
            <w:bottom w:w="0" w:type="dxa"/>
            <w:right w:w="108" w:type="dxa"/>
          </w:tblCellMar>
        </w:tblPrEx>
        <w:trPr>
          <w:trHeight w:val="400"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B5CE8">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80</w:t>
            </w:r>
          </w:p>
        </w:tc>
        <w:tc>
          <w:tcPr>
            <w:tcW w:w="51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7919B">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6 吨铲车轮胎 26.5-25-24(含内外胎：要求提供原厂轮胎品牌）</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FF68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套</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B3D528">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82714">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160CE676">
        <w:tblPrEx>
          <w:tblCellMar>
            <w:top w:w="0" w:type="dxa"/>
            <w:left w:w="108" w:type="dxa"/>
            <w:bottom w:w="0" w:type="dxa"/>
            <w:right w:w="108" w:type="dxa"/>
          </w:tblCellMar>
        </w:tblPrEx>
        <w:trPr>
          <w:trHeight w:val="400"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E380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81</w:t>
            </w:r>
          </w:p>
        </w:tc>
        <w:tc>
          <w:tcPr>
            <w:tcW w:w="51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369A1">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润滑脂（15L/桶）</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12E7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桶</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66E67">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774E17">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6FA07C6B">
        <w:tblPrEx>
          <w:tblCellMar>
            <w:top w:w="0" w:type="dxa"/>
            <w:left w:w="108" w:type="dxa"/>
            <w:bottom w:w="0" w:type="dxa"/>
            <w:right w:w="108" w:type="dxa"/>
          </w:tblCellMar>
        </w:tblPrEx>
        <w:trPr>
          <w:trHeight w:val="400"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E9021">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82</w:t>
            </w:r>
          </w:p>
        </w:tc>
        <w:tc>
          <w:tcPr>
            <w:tcW w:w="51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BDE37">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补胎（5-6吨装载机）</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0E07B">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次</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673BD">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CD847">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4E0CF944">
        <w:tblPrEx>
          <w:tblCellMar>
            <w:top w:w="0" w:type="dxa"/>
            <w:left w:w="108" w:type="dxa"/>
            <w:bottom w:w="0" w:type="dxa"/>
            <w:right w:w="108" w:type="dxa"/>
          </w:tblCellMar>
        </w:tblPrEx>
        <w:trPr>
          <w:trHeight w:val="400"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04F8F">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宋体" w:hAnsi="宋体" w:eastAsia="宋体" w:cs="宋体"/>
                <w:color w:val="auto"/>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83</w:t>
            </w:r>
          </w:p>
        </w:tc>
        <w:tc>
          <w:tcPr>
            <w:tcW w:w="51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26CDF">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highlight w:val="none"/>
                <w:lang w:bidi="ar"/>
              </w:rPr>
            </w:pPr>
            <w:r>
              <w:rPr>
                <w:rFonts w:hint="eastAsia" w:ascii="宋体" w:hAnsi="宋体" w:eastAsia="宋体" w:cs="宋体"/>
                <w:i w:val="0"/>
                <w:iCs w:val="0"/>
                <w:color w:val="auto"/>
                <w:kern w:val="2"/>
                <w:sz w:val="24"/>
                <w:szCs w:val="24"/>
                <w:highlight w:val="none"/>
                <w:u w:val="none"/>
                <w:lang w:val="en-US" w:eastAsia="zh-CN" w:bidi="ar"/>
              </w:rPr>
              <w:t>大灯总成</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8F565">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宋体" w:hAnsi="宋体" w:eastAsia="宋体" w:cs="宋体"/>
                <w:color w:val="auto"/>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套</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58471">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宋体" w:hAnsi="宋体" w:eastAsia="宋体" w:cs="宋体"/>
                <w:color w:val="auto"/>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E15377">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752876C6">
        <w:tblPrEx>
          <w:tblCellMar>
            <w:top w:w="0" w:type="dxa"/>
            <w:left w:w="108" w:type="dxa"/>
            <w:bottom w:w="0" w:type="dxa"/>
            <w:right w:w="108" w:type="dxa"/>
          </w:tblCellMar>
        </w:tblPrEx>
        <w:trPr>
          <w:trHeight w:val="400"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9C6A5">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84</w:t>
            </w:r>
          </w:p>
        </w:tc>
        <w:tc>
          <w:tcPr>
            <w:tcW w:w="51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579FF6">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尾灯总成</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A6F16">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sz w:val="24"/>
                <w:szCs w:val="24"/>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套</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79363">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kern w:val="2"/>
                <w:sz w:val="24"/>
                <w:szCs w:val="24"/>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2</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AC47F">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486BEA47">
        <w:tblPrEx>
          <w:tblCellMar>
            <w:top w:w="0" w:type="dxa"/>
            <w:left w:w="108" w:type="dxa"/>
            <w:bottom w:w="0" w:type="dxa"/>
            <w:right w:w="108" w:type="dxa"/>
          </w:tblCellMar>
        </w:tblPrEx>
        <w:trPr>
          <w:trHeight w:val="400"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8F83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85</w:t>
            </w:r>
          </w:p>
        </w:tc>
        <w:tc>
          <w:tcPr>
            <w:tcW w:w="51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2B4F6">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前轮差速器总成</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965C5">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sz w:val="24"/>
                <w:szCs w:val="24"/>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套</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6BEE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kern w:val="2"/>
                <w:sz w:val="24"/>
                <w:szCs w:val="24"/>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A3443">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2DDF5F82">
        <w:tblPrEx>
          <w:tblCellMar>
            <w:top w:w="0" w:type="dxa"/>
            <w:left w:w="108" w:type="dxa"/>
            <w:bottom w:w="0" w:type="dxa"/>
            <w:right w:w="108" w:type="dxa"/>
          </w:tblCellMar>
        </w:tblPrEx>
        <w:trPr>
          <w:trHeight w:val="400"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418A9">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86</w:t>
            </w:r>
          </w:p>
        </w:tc>
        <w:tc>
          <w:tcPr>
            <w:tcW w:w="51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A8333">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后轮差速器总成</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A925C">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sz w:val="24"/>
                <w:szCs w:val="24"/>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套</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7BE23">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kern w:val="2"/>
                <w:sz w:val="24"/>
                <w:szCs w:val="24"/>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C753B">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53F85333">
        <w:tblPrEx>
          <w:tblCellMar>
            <w:top w:w="0" w:type="dxa"/>
            <w:left w:w="108" w:type="dxa"/>
            <w:bottom w:w="0" w:type="dxa"/>
            <w:right w:w="108" w:type="dxa"/>
          </w:tblCellMar>
        </w:tblPrEx>
        <w:trPr>
          <w:trHeight w:val="400"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FF918">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87</w:t>
            </w:r>
          </w:p>
        </w:tc>
        <w:tc>
          <w:tcPr>
            <w:tcW w:w="51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419DD">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发动机清洗（进机油）</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CA223">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sz w:val="24"/>
                <w:szCs w:val="24"/>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次</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229AE">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kern w:val="2"/>
                <w:sz w:val="24"/>
                <w:szCs w:val="24"/>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A86F1">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29341394">
        <w:tblPrEx>
          <w:tblCellMar>
            <w:top w:w="0" w:type="dxa"/>
            <w:left w:w="108" w:type="dxa"/>
            <w:bottom w:w="0" w:type="dxa"/>
            <w:right w:w="108" w:type="dxa"/>
          </w:tblCellMar>
        </w:tblPrEx>
        <w:trPr>
          <w:trHeight w:val="400"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73C4C">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88</w:t>
            </w:r>
          </w:p>
        </w:tc>
        <w:tc>
          <w:tcPr>
            <w:tcW w:w="51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4A7C48">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燃油计量阀(BOSCH)</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79958">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sz w:val="24"/>
                <w:szCs w:val="24"/>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只</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F7459">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kern w:val="2"/>
                <w:sz w:val="24"/>
                <w:szCs w:val="24"/>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AB1A0">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2A2F4A5D">
        <w:tblPrEx>
          <w:tblCellMar>
            <w:top w:w="0" w:type="dxa"/>
            <w:left w:w="108" w:type="dxa"/>
            <w:bottom w:w="0" w:type="dxa"/>
            <w:right w:w="108" w:type="dxa"/>
          </w:tblCellMar>
        </w:tblPrEx>
        <w:trPr>
          <w:trHeight w:val="400"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BDA76">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89</w:t>
            </w:r>
          </w:p>
        </w:tc>
        <w:tc>
          <w:tcPr>
            <w:tcW w:w="51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65CD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主刀版（6吨装载机）</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4729E">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sz w:val="24"/>
                <w:szCs w:val="24"/>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块</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37F401">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kern w:val="2"/>
                <w:sz w:val="24"/>
                <w:szCs w:val="24"/>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58B70D">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16533A9C">
        <w:tblPrEx>
          <w:tblCellMar>
            <w:top w:w="0" w:type="dxa"/>
            <w:left w:w="108" w:type="dxa"/>
            <w:bottom w:w="0" w:type="dxa"/>
            <w:right w:w="108" w:type="dxa"/>
          </w:tblCellMar>
        </w:tblPrEx>
        <w:trPr>
          <w:trHeight w:val="400"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F3FA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90</w:t>
            </w:r>
          </w:p>
        </w:tc>
        <w:tc>
          <w:tcPr>
            <w:tcW w:w="51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CCE5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臂架修复</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2D707">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sz w:val="24"/>
                <w:szCs w:val="24"/>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次</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F235B">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kern w:val="2"/>
                <w:sz w:val="24"/>
                <w:szCs w:val="24"/>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60FE0">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1327261A">
        <w:tblPrEx>
          <w:tblCellMar>
            <w:top w:w="0" w:type="dxa"/>
            <w:left w:w="108" w:type="dxa"/>
            <w:bottom w:w="0" w:type="dxa"/>
            <w:right w:w="108" w:type="dxa"/>
          </w:tblCellMar>
        </w:tblPrEx>
        <w:trPr>
          <w:trHeight w:val="400"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66BE7">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91</w:t>
            </w:r>
          </w:p>
        </w:tc>
        <w:tc>
          <w:tcPr>
            <w:tcW w:w="51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8FD08">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轮胎轴承更换</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738FE">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sz w:val="24"/>
                <w:szCs w:val="24"/>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次</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EC1BD">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kern w:val="2"/>
                <w:sz w:val="24"/>
                <w:szCs w:val="24"/>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84EF5">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15FF3666">
        <w:tblPrEx>
          <w:tblCellMar>
            <w:top w:w="0" w:type="dxa"/>
            <w:left w:w="108" w:type="dxa"/>
            <w:bottom w:w="0" w:type="dxa"/>
            <w:right w:w="108" w:type="dxa"/>
          </w:tblCellMar>
        </w:tblPrEx>
        <w:trPr>
          <w:trHeight w:val="400"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0166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92</w:t>
            </w:r>
          </w:p>
        </w:tc>
        <w:tc>
          <w:tcPr>
            <w:tcW w:w="51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EA73B">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刀板更换</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17021">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sz w:val="24"/>
                <w:szCs w:val="24"/>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次</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CA947">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kern w:val="2"/>
                <w:sz w:val="24"/>
                <w:szCs w:val="24"/>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EF1D82">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24CA1948">
        <w:tblPrEx>
          <w:tblCellMar>
            <w:top w:w="0" w:type="dxa"/>
            <w:left w:w="108" w:type="dxa"/>
            <w:bottom w:w="0" w:type="dxa"/>
            <w:right w:w="108" w:type="dxa"/>
          </w:tblCellMar>
        </w:tblPrEx>
        <w:trPr>
          <w:trHeight w:val="400"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32E2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93</w:t>
            </w:r>
          </w:p>
        </w:tc>
        <w:tc>
          <w:tcPr>
            <w:tcW w:w="51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71403">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涡轮增压器总成</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3AB31">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sz w:val="24"/>
                <w:szCs w:val="24"/>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套</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5BB47">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kern w:val="2"/>
                <w:sz w:val="24"/>
                <w:szCs w:val="24"/>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43704">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369064E1">
        <w:tblPrEx>
          <w:tblCellMar>
            <w:top w:w="0" w:type="dxa"/>
            <w:left w:w="108" w:type="dxa"/>
            <w:bottom w:w="0" w:type="dxa"/>
            <w:right w:w="108" w:type="dxa"/>
          </w:tblCellMar>
        </w:tblPrEx>
        <w:trPr>
          <w:trHeight w:val="400"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3413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94</w:t>
            </w:r>
          </w:p>
        </w:tc>
        <w:tc>
          <w:tcPr>
            <w:tcW w:w="51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CD3FD">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变矩器维修</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EE06D">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sz w:val="24"/>
                <w:szCs w:val="24"/>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次</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5AE07">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kern w:val="2"/>
                <w:sz w:val="24"/>
                <w:szCs w:val="24"/>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6BFFF">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1392E012">
        <w:tblPrEx>
          <w:tblCellMar>
            <w:top w:w="0" w:type="dxa"/>
            <w:left w:w="108" w:type="dxa"/>
            <w:bottom w:w="0" w:type="dxa"/>
            <w:right w:w="108" w:type="dxa"/>
          </w:tblCellMar>
        </w:tblPrEx>
        <w:trPr>
          <w:trHeight w:val="400"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4F20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95</w:t>
            </w:r>
          </w:p>
        </w:tc>
        <w:tc>
          <w:tcPr>
            <w:tcW w:w="51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C9B9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变矩器总成</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8014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sz w:val="24"/>
                <w:szCs w:val="24"/>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套</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F7C15">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kern w:val="2"/>
                <w:sz w:val="24"/>
                <w:szCs w:val="24"/>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D3C1D">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6C5EAF57">
        <w:tblPrEx>
          <w:tblCellMar>
            <w:top w:w="0" w:type="dxa"/>
            <w:left w:w="108" w:type="dxa"/>
            <w:bottom w:w="0" w:type="dxa"/>
            <w:right w:w="108" w:type="dxa"/>
          </w:tblCellMar>
        </w:tblPrEx>
        <w:trPr>
          <w:trHeight w:val="400"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9A131">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96</w:t>
            </w:r>
          </w:p>
        </w:tc>
        <w:tc>
          <w:tcPr>
            <w:tcW w:w="51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6EF657">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铲斗修补（2厘米铁板）</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B78C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sz w:val="24"/>
                <w:szCs w:val="24"/>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次</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FBDA5">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kern w:val="2"/>
                <w:sz w:val="24"/>
                <w:szCs w:val="24"/>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CC0B9">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r w14:paraId="656F1677">
        <w:tblPrEx>
          <w:tblCellMar>
            <w:top w:w="0" w:type="dxa"/>
            <w:left w:w="108" w:type="dxa"/>
            <w:bottom w:w="0" w:type="dxa"/>
            <w:right w:w="108" w:type="dxa"/>
          </w:tblCellMar>
        </w:tblPrEx>
        <w:trPr>
          <w:trHeight w:val="400"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66F1B">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97</w:t>
            </w:r>
          </w:p>
        </w:tc>
        <w:tc>
          <w:tcPr>
            <w:tcW w:w="51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A6EF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制动液更换</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BFBD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sz w:val="24"/>
                <w:szCs w:val="24"/>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次</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37B8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cs="宋体"/>
                <w:color w:val="auto"/>
                <w:kern w:val="2"/>
                <w:sz w:val="24"/>
                <w:szCs w:val="24"/>
                <w:highlight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E7F09">
            <w:pPr>
              <w:keepNext w:val="0"/>
              <w:keepLines w:val="0"/>
              <w:suppressLineNumbers w:val="0"/>
              <w:spacing w:before="0" w:beforeAutospacing="0" w:after="0" w:afterAutospacing="0"/>
              <w:ind w:left="0" w:right="0"/>
              <w:textAlignment w:val="center"/>
              <w:rPr>
                <w:rFonts w:hint="default" w:ascii="宋体" w:hAnsi="宋体" w:eastAsia="宋体" w:cs="宋体"/>
                <w:color w:val="auto"/>
                <w:kern w:val="2"/>
                <w:sz w:val="22"/>
                <w:szCs w:val="22"/>
                <w:highlight w:val="none"/>
              </w:rPr>
            </w:pPr>
          </w:p>
        </w:tc>
      </w:tr>
    </w:tbl>
    <w:p w14:paraId="429AA144">
      <w:pPr>
        <w:pStyle w:val="103"/>
        <w:ind w:firstLine="480"/>
        <w:rPr>
          <w:rFonts w:ascii="宋体" w:hAnsi="宋体"/>
          <w:color w:val="auto"/>
          <w:highlight w:val="none"/>
        </w:rPr>
      </w:pPr>
      <w:r>
        <w:rPr>
          <w:rFonts w:hint="eastAsia" w:ascii="宋体" w:hAnsi="宋体"/>
          <w:color w:val="auto"/>
          <w:highlight w:val="none"/>
        </w:rPr>
        <w:t>注：</w:t>
      </w:r>
    </w:p>
    <w:p w14:paraId="4912C43D">
      <w:pPr>
        <w:pStyle w:val="103"/>
        <w:ind w:firstLine="480"/>
        <w:rPr>
          <w:rFonts w:ascii="宋体" w:hAnsi="宋体"/>
          <w:color w:val="auto"/>
          <w:highlight w:val="none"/>
        </w:rPr>
      </w:pPr>
      <w:r>
        <w:rPr>
          <w:rFonts w:ascii="宋体" w:hAnsi="宋体"/>
          <w:color w:val="auto"/>
          <w:highlight w:val="none"/>
        </w:rPr>
        <w:t>1.</w:t>
      </w:r>
      <w:r>
        <w:rPr>
          <w:rFonts w:hint="eastAsia" w:ascii="宋体" w:hAnsi="宋体"/>
          <w:color w:val="auto"/>
          <w:highlight w:val="none"/>
        </w:rPr>
        <w:t>投标人需按本表格式填写，不得自行更改。</w:t>
      </w:r>
    </w:p>
    <w:p w14:paraId="7796F3E2">
      <w:pPr>
        <w:pStyle w:val="103"/>
        <w:ind w:firstLine="360" w:firstLineChars="150"/>
        <w:rPr>
          <w:rFonts w:ascii="宋体" w:hAnsi="宋体"/>
          <w:color w:val="auto"/>
          <w:highlight w:val="none"/>
        </w:rPr>
      </w:pPr>
      <w:r>
        <w:rPr>
          <w:rFonts w:ascii="宋体" w:hAnsi="宋体"/>
          <w:color w:val="auto"/>
          <w:highlight w:val="none"/>
        </w:rPr>
        <w:t xml:space="preserve"> 2.</w:t>
      </w:r>
      <w:r>
        <w:rPr>
          <w:rFonts w:hint="eastAsia" w:ascii="宋体" w:hAnsi="宋体"/>
          <w:color w:val="auto"/>
          <w:highlight w:val="none"/>
        </w:rPr>
        <w:t>投标单价不能超过招标文件</w:t>
      </w:r>
      <w:r>
        <w:rPr>
          <w:rFonts w:hint="eastAsia" w:ascii="宋体" w:hAnsi="宋体"/>
          <w:color w:val="auto"/>
          <w:highlight w:val="none"/>
          <w:lang w:val="en-US" w:eastAsia="zh-CN"/>
        </w:rPr>
        <w:t>中</w:t>
      </w:r>
      <w:r>
        <w:rPr>
          <w:rFonts w:hint="eastAsia" w:ascii="宋体" w:hAnsi="宋体"/>
          <w:color w:val="auto"/>
          <w:highlight w:val="none"/>
        </w:rPr>
        <w:t>单价最高</w:t>
      </w:r>
      <w:r>
        <w:rPr>
          <w:rFonts w:hint="eastAsia" w:ascii="宋体" w:hAnsi="宋体"/>
          <w:color w:val="auto"/>
          <w:highlight w:val="none"/>
          <w:lang w:val="en-US" w:eastAsia="zh-CN"/>
        </w:rPr>
        <w:t>限价</w:t>
      </w:r>
      <w:r>
        <w:rPr>
          <w:rFonts w:hint="eastAsia" w:ascii="宋体" w:hAnsi="宋体"/>
          <w:color w:val="auto"/>
          <w:highlight w:val="none"/>
        </w:rPr>
        <w:t>，否则按废标处理。单价已包含可能发生的所有费用,包括工时费</w:t>
      </w:r>
      <w:r>
        <w:rPr>
          <w:rFonts w:ascii="宋体" w:hAnsi="宋体"/>
          <w:color w:val="auto"/>
          <w:highlight w:val="none"/>
        </w:rPr>
        <w:t>、</w:t>
      </w:r>
      <w:r>
        <w:rPr>
          <w:rFonts w:hint="eastAsia" w:ascii="宋体" w:hAnsi="宋体"/>
          <w:color w:val="auto"/>
          <w:highlight w:val="none"/>
        </w:rPr>
        <w:t>人工费、材料费、机械费、维修服务费、交通费、运输、劳力、利润、税收等以及所有有关的管理成本；必要的保险费用、各项税金等一切费用,如有漏项，视同已包含在</w:t>
      </w:r>
      <w:r>
        <w:rPr>
          <w:rFonts w:hint="eastAsia" w:ascii="宋体" w:hAnsi="宋体"/>
          <w:color w:val="auto"/>
          <w:highlight w:val="none"/>
          <w:lang w:eastAsia="zh-CN"/>
        </w:rPr>
        <w:t>其他项目中</w:t>
      </w:r>
      <w:r>
        <w:rPr>
          <w:rFonts w:hint="eastAsia" w:ascii="宋体" w:hAnsi="宋体"/>
          <w:color w:val="auto"/>
          <w:highlight w:val="none"/>
        </w:rPr>
        <w:t>，单价不做调整。</w:t>
      </w:r>
    </w:p>
    <w:p w14:paraId="2F29F73C">
      <w:pPr>
        <w:pStyle w:val="103"/>
        <w:ind w:firstLine="480"/>
        <w:rPr>
          <w:rFonts w:ascii="宋体" w:hAnsi="宋体"/>
          <w:color w:val="auto"/>
          <w:highlight w:val="none"/>
        </w:rPr>
      </w:pPr>
      <w:r>
        <w:rPr>
          <w:rFonts w:ascii="宋体" w:hAnsi="宋体"/>
          <w:color w:val="auto"/>
          <w:highlight w:val="none"/>
        </w:rPr>
        <w:t>3</w:t>
      </w:r>
      <w:r>
        <w:rPr>
          <w:rFonts w:hint="eastAsia" w:ascii="宋体" w:hAnsi="宋体"/>
          <w:color w:val="auto"/>
          <w:highlight w:val="none"/>
        </w:rPr>
        <w:t>.实际产生的项目不在上述表格内的，其单价以</w:t>
      </w:r>
      <w:r>
        <w:rPr>
          <w:rFonts w:hint="eastAsia" w:ascii="宋体" w:hAnsi="宋体"/>
          <w:color w:val="auto"/>
          <w:highlight w:val="none"/>
          <w:lang w:eastAsia="zh-CN"/>
        </w:rPr>
        <w:t>投标人</w:t>
      </w:r>
      <w:r>
        <w:rPr>
          <w:rFonts w:hint="eastAsia" w:ascii="宋体" w:hAnsi="宋体"/>
          <w:color w:val="auto"/>
          <w:highlight w:val="none"/>
        </w:rPr>
        <w:t>结合市场价经与采购人商定后的价格为准。合同履行期间，不能因材料、人工等因素的上涨进行调价。</w:t>
      </w:r>
      <w:r>
        <w:rPr>
          <w:rFonts w:hint="eastAsia" w:ascii="宋体" w:hAnsi="宋体"/>
          <w:color w:val="auto"/>
          <w:highlight w:val="none"/>
          <w:lang w:eastAsia="zh-CN"/>
        </w:rPr>
        <w:t>投标人</w:t>
      </w:r>
      <w:r>
        <w:rPr>
          <w:rFonts w:hint="eastAsia" w:ascii="宋体" w:hAnsi="宋体"/>
          <w:color w:val="auto"/>
          <w:highlight w:val="none"/>
        </w:rPr>
        <w:t>在报价中须充分考虑可能承担的报价风险。</w:t>
      </w:r>
    </w:p>
    <w:p w14:paraId="7C70F6ED">
      <w:pPr>
        <w:ind w:firstLine="4800" w:firstLineChars="2000"/>
        <w:rPr>
          <w:rFonts w:hint="eastAsia"/>
          <w:color w:val="auto"/>
          <w:highlight w:val="none"/>
        </w:rPr>
      </w:pPr>
    </w:p>
    <w:p w14:paraId="0D489BEA">
      <w:pPr>
        <w:ind w:firstLine="3840" w:firstLineChars="1600"/>
        <w:rPr>
          <w:color w:val="auto"/>
          <w:highlight w:val="none"/>
        </w:rPr>
      </w:pPr>
      <w:r>
        <w:rPr>
          <w:rFonts w:hint="eastAsia"/>
          <w:color w:val="auto"/>
          <w:highlight w:val="none"/>
        </w:rPr>
        <w:t>投标人全称（盖章）：</w:t>
      </w:r>
      <w:r>
        <w:rPr>
          <w:color w:val="auto"/>
          <w:highlight w:val="none"/>
        </w:rPr>
        <w:t xml:space="preserve">                         </w:t>
      </w:r>
    </w:p>
    <w:p w14:paraId="30CB5415">
      <w:pPr>
        <w:ind w:firstLine="3840" w:firstLineChars="1600"/>
        <w:rPr>
          <w:color w:val="auto"/>
          <w:highlight w:val="none"/>
        </w:rPr>
      </w:pPr>
      <w:r>
        <w:rPr>
          <w:rFonts w:hint="eastAsia"/>
          <w:color w:val="auto"/>
          <w:highlight w:val="none"/>
          <w:lang w:eastAsia="zh-CN"/>
        </w:rPr>
        <w:t>法定代表人（或负责人）</w:t>
      </w:r>
      <w:r>
        <w:rPr>
          <w:rFonts w:hint="eastAsia"/>
          <w:color w:val="auto"/>
          <w:highlight w:val="none"/>
        </w:rPr>
        <w:t>或授权代理人（签字或盖章）：</w:t>
      </w:r>
    </w:p>
    <w:p w14:paraId="32E130BA">
      <w:pPr>
        <w:ind w:firstLine="3840" w:firstLineChars="1600"/>
        <w:rPr>
          <w:color w:val="auto"/>
          <w:highlight w:val="none"/>
        </w:rPr>
      </w:pPr>
      <w:r>
        <w:rPr>
          <w:rFonts w:hint="eastAsia"/>
          <w:color w:val="auto"/>
          <w:highlight w:val="none"/>
        </w:rPr>
        <w:t>日期：</w:t>
      </w:r>
      <w:r>
        <w:rPr>
          <w:rFonts w:hint="eastAsia" w:ascii="宋体" w:hAnsi="宋体" w:cs="宋体"/>
          <w:color w:val="auto"/>
          <w:highlight w:val="none"/>
          <w:lang w:eastAsia="zh-CN"/>
        </w:rPr>
        <w:t>2025年</w:t>
      </w:r>
      <w:r>
        <w:rPr>
          <w:color w:val="auto"/>
          <w:highlight w:val="none"/>
        </w:rPr>
        <w:t xml:space="preserve">   </w:t>
      </w:r>
      <w:r>
        <w:rPr>
          <w:rFonts w:hint="eastAsia"/>
          <w:color w:val="auto"/>
          <w:highlight w:val="none"/>
        </w:rPr>
        <w:t>月</w:t>
      </w:r>
      <w:r>
        <w:rPr>
          <w:color w:val="auto"/>
          <w:highlight w:val="none"/>
        </w:rPr>
        <w:t xml:space="preserve">   </w:t>
      </w:r>
      <w:r>
        <w:rPr>
          <w:rFonts w:hint="eastAsia"/>
          <w:color w:val="auto"/>
          <w:highlight w:val="none"/>
        </w:rPr>
        <w:t>日</w:t>
      </w:r>
    </w:p>
    <w:p w14:paraId="5FD2165A">
      <w:pPr>
        <w:pStyle w:val="8"/>
        <w:rPr>
          <w:rFonts w:hint="eastAsia"/>
          <w:color w:val="auto"/>
          <w:highlight w:val="none"/>
          <w:lang w:eastAsia="zh-CN"/>
        </w:rPr>
      </w:pPr>
    </w:p>
    <w:p w14:paraId="30FD0CE9">
      <w:pPr>
        <w:rPr>
          <w:rFonts w:hint="eastAsia"/>
          <w:lang w:eastAsia="zh-CN"/>
        </w:rPr>
      </w:pPr>
    </w:p>
    <w:p w14:paraId="605B55E1">
      <w:pPr>
        <w:pStyle w:val="4"/>
        <w:ind w:left="0" w:leftChars="0" w:firstLine="0" w:firstLineChars="0"/>
        <w:rPr>
          <w:rFonts w:hint="eastAsia"/>
          <w:color w:val="auto"/>
          <w:highlight w:val="none"/>
          <w:lang w:eastAsia="zh-CN"/>
        </w:rPr>
      </w:pPr>
    </w:p>
    <w:p w14:paraId="41DEBEBB">
      <w:pPr>
        <w:keepNext w:val="0"/>
        <w:keepLines w:val="0"/>
        <w:widowControl w:val="0"/>
        <w:suppressLineNumbers w:val="0"/>
        <w:spacing w:before="0" w:beforeAutospacing="0" w:after="0" w:afterAutospacing="0" w:line="360" w:lineRule="auto"/>
        <w:ind w:left="0" w:right="0" w:firstLine="0" w:firstLineChars="0"/>
        <w:jc w:val="left"/>
        <w:outlineLvl w:val="0"/>
        <w:rPr>
          <w:rFonts w:hint="eastAsia" w:ascii="宋体" w:hAnsi="宋体" w:eastAsia="宋体" w:cs="宋体"/>
          <w:b/>
          <w:bCs/>
          <w:color w:val="auto"/>
          <w:kern w:val="2"/>
          <w:sz w:val="24"/>
          <w:szCs w:val="24"/>
          <w:highlight w:val="none"/>
          <w:lang w:val="en-US" w:eastAsia="zh-CN" w:bidi="ar"/>
        </w:rPr>
      </w:pPr>
    </w:p>
    <w:p w14:paraId="711591A1">
      <w:pPr>
        <w:pStyle w:val="2"/>
        <w:rPr>
          <w:rFonts w:hint="eastAsia" w:ascii="宋体" w:hAnsi="宋体" w:eastAsia="宋体" w:cs="宋体"/>
          <w:b/>
          <w:bCs/>
          <w:color w:val="auto"/>
          <w:kern w:val="2"/>
          <w:sz w:val="24"/>
          <w:szCs w:val="24"/>
          <w:highlight w:val="none"/>
          <w:lang w:val="en-US" w:eastAsia="zh-CN" w:bidi="ar"/>
        </w:rPr>
      </w:pPr>
    </w:p>
    <w:p w14:paraId="742ED44A">
      <w:pPr>
        <w:pStyle w:val="3"/>
        <w:rPr>
          <w:rFonts w:hint="eastAsia" w:ascii="宋体" w:hAnsi="宋体" w:eastAsia="宋体" w:cs="宋体"/>
          <w:b/>
          <w:bCs/>
          <w:color w:val="auto"/>
          <w:kern w:val="2"/>
          <w:sz w:val="24"/>
          <w:szCs w:val="24"/>
          <w:highlight w:val="none"/>
          <w:lang w:val="en-US" w:eastAsia="zh-CN" w:bidi="ar"/>
        </w:rPr>
      </w:pPr>
    </w:p>
    <w:p w14:paraId="76E540DA">
      <w:pPr>
        <w:pStyle w:val="4"/>
        <w:rPr>
          <w:rFonts w:hint="eastAsia" w:ascii="宋体" w:hAnsi="宋体" w:eastAsia="宋体" w:cs="宋体"/>
          <w:b/>
          <w:bCs/>
          <w:color w:val="auto"/>
          <w:kern w:val="2"/>
          <w:sz w:val="24"/>
          <w:szCs w:val="24"/>
          <w:highlight w:val="none"/>
          <w:lang w:val="en-US" w:eastAsia="zh-CN" w:bidi="ar"/>
        </w:rPr>
      </w:pPr>
    </w:p>
    <w:p w14:paraId="688C51FD">
      <w:pPr>
        <w:pStyle w:val="6"/>
        <w:rPr>
          <w:rFonts w:hint="eastAsia" w:ascii="宋体" w:hAnsi="宋体" w:eastAsia="宋体" w:cs="宋体"/>
          <w:b/>
          <w:bCs/>
          <w:color w:val="auto"/>
          <w:kern w:val="2"/>
          <w:sz w:val="24"/>
          <w:szCs w:val="24"/>
          <w:highlight w:val="none"/>
          <w:lang w:val="en-US" w:eastAsia="zh-CN" w:bidi="ar"/>
        </w:rPr>
      </w:pPr>
    </w:p>
    <w:p w14:paraId="2D30FEEB">
      <w:pPr>
        <w:pStyle w:val="8"/>
        <w:rPr>
          <w:rFonts w:hint="eastAsia" w:ascii="宋体" w:hAnsi="宋体" w:eastAsia="宋体" w:cs="宋体"/>
          <w:b/>
          <w:bCs/>
          <w:color w:val="auto"/>
          <w:kern w:val="2"/>
          <w:sz w:val="24"/>
          <w:szCs w:val="24"/>
          <w:highlight w:val="none"/>
          <w:lang w:val="en-US" w:eastAsia="zh-CN" w:bidi="ar"/>
        </w:rPr>
      </w:pPr>
    </w:p>
    <w:p w14:paraId="66AE88BD">
      <w:pPr>
        <w:rPr>
          <w:rFonts w:hint="eastAsia"/>
          <w:lang w:val="en-US" w:eastAsia="zh-CN"/>
        </w:rPr>
      </w:pPr>
    </w:p>
    <w:p w14:paraId="1C0434F9">
      <w:pPr>
        <w:rPr>
          <w:rFonts w:hint="eastAsia" w:ascii="宋体" w:hAnsi="宋体" w:eastAsia="宋体" w:cs="宋体"/>
          <w:b/>
          <w:bCs/>
          <w:color w:val="auto"/>
          <w:kern w:val="2"/>
          <w:sz w:val="24"/>
          <w:szCs w:val="24"/>
          <w:highlight w:val="none"/>
          <w:lang w:val="en-US" w:eastAsia="zh-CN" w:bidi="ar"/>
        </w:rPr>
      </w:pPr>
    </w:p>
    <w:p w14:paraId="1F08E9BD">
      <w:pPr>
        <w:pStyle w:val="2"/>
        <w:rPr>
          <w:rFonts w:hint="eastAsia" w:ascii="宋体" w:hAnsi="宋体" w:eastAsia="宋体" w:cs="宋体"/>
          <w:b/>
          <w:bCs/>
          <w:color w:val="auto"/>
          <w:kern w:val="2"/>
          <w:sz w:val="24"/>
          <w:szCs w:val="24"/>
          <w:highlight w:val="none"/>
          <w:lang w:val="en-US" w:eastAsia="zh-CN" w:bidi="ar"/>
        </w:rPr>
      </w:pPr>
    </w:p>
    <w:p w14:paraId="583C7E63">
      <w:pPr>
        <w:pStyle w:val="3"/>
        <w:rPr>
          <w:rFonts w:hint="eastAsia" w:ascii="宋体" w:hAnsi="宋体" w:eastAsia="宋体" w:cs="宋体"/>
          <w:b/>
          <w:bCs/>
          <w:color w:val="auto"/>
          <w:kern w:val="2"/>
          <w:sz w:val="24"/>
          <w:szCs w:val="24"/>
          <w:highlight w:val="none"/>
          <w:lang w:val="en-US" w:eastAsia="zh-CN" w:bidi="ar"/>
        </w:rPr>
      </w:pPr>
    </w:p>
    <w:p w14:paraId="66819712">
      <w:pPr>
        <w:pStyle w:val="4"/>
        <w:rPr>
          <w:rFonts w:hint="eastAsia" w:ascii="宋体" w:hAnsi="宋体" w:eastAsia="宋体" w:cs="宋体"/>
          <w:b/>
          <w:bCs/>
          <w:color w:val="auto"/>
          <w:kern w:val="2"/>
          <w:sz w:val="24"/>
          <w:szCs w:val="24"/>
          <w:highlight w:val="none"/>
          <w:lang w:val="en-US" w:eastAsia="zh-CN" w:bidi="ar"/>
        </w:rPr>
      </w:pPr>
    </w:p>
    <w:p w14:paraId="53065B0F">
      <w:pPr>
        <w:pStyle w:val="6"/>
        <w:rPr>
          <w:rFonts w:hint="eastAsia" w:ascii="宋体" w:hAnsi="宋体" w:eastAsia="宋体" w:cs="宋体"/>
          <w:b/>
          <w:bCs/>
          <w:color w:val="auto"/>
          <w:kern w:val="2"/>
          <w:sz w:val="24"/>
          <w:szCs w:val="24"/>
          <w:highlight w:val="none"/>
          <w:lang w:val="en-US" w:eastAsia="zh-CN" w:bidi="ar"/>
        </w:rPr>
      </w:pPr>
    </w:p>
    <w:p w14:paraId="5D5A237D">
      <w:pPr>
        <w:pStyle w:val="8"/>
        <w:rPr>
          <w:rFonts w:hint="eastAsia" w:ascii="宋体" w:hAnsi="宋体" w:eastAsia="宋体" w:cs="宋体"/>
          <w:b/>
          <w:bCs/>
          <w:color w:val="auto"/>
          <w:kern w:val="2"/>
          <w:sz w:val="24"/>
          <w:szCs w:val="24"/>
          <w:highlight w:val="none"/>
          <w:lang w:val="en-US" w:eastAsia="zh-CN" w:bidi="ar"/>
        </w:rPr>
      </w:pPr>
    </w:p>
    <w:p w14:paraId="70B45872">
      <w:pPr>
        <w:rPr>
          <w:rFonts w:hint="eastAsia"/>
          <w:lang w:val="en-US" w:eastAsia="zh-CN"/>
        </w:rPr>
      </w:pPr>
    </w:p>
    <w:p w14:paraId="632D7CC6">
      <w:pPr>
        <w:rPr>
          <w:rFonts w:hint="eastAsia" w:ascii="宋体" w:hAnsi="宋体" w:eastAsia="宋体" w:cs="宋体"/>
          <w:b/>
          <w:bCs/>
          <w:color w:val="auto"/>
          <w:kern w:val="2"/>
          <w:sz w:val="24"/>
          <w:szCs w:val="24"/>
          <w:highlight w:val="none"/>
          <w:lang w:val="en-US" w:eastAsia="zh-CN" w:bidi="ar"/>
        </w:rPr>
      </w:pPr>
    </w:p>
    <w:p w14:paraId="0D507208">
      <w:pPr>
        <w:pStyle w:val="2"/>
        <w:rPr>
          <w:rFonts w:hint="eastAsia" w:ascii="宋体" w:hAnsi="宋体" w:eastAsia="宋体" w:cs="宋体"/>
          <w:b/>
          <w:bCs/>
          <w:color w:val="auto"/>
          <w:kern w:val="2"/>
          <w:sz w:val="24"/>
          <w:szCs w:val="24"/>
          <w:highlight w:val="none"/>
          <w:lang w:val="en-US" w:eastAsia="zh-CN" w:bidi="ar"/>
        </w:rPr>
      </w:pPr>
    </w:p>
    <w:p w14:paraId="084E3609">
      <w:pPr>
        <w:pStyle w:val="4"/>
        <w:ind w:left="0" w:leftChars="0" w:firstLine="0" w:firstLineChars="0"/>
        <w:rPr>
          <w:rFonts w:hint="eastAsia"/>
          <w:lang w:val="en-US" w:eastAsia="zh-CN"/>
        </w:rPr>
      </w:pPr>
    </w:p>
    <w:p w14:paraId="0327270E">
      <w:pPr>
        <w:keepNext w:val="0"/>
        <w:keepLines w:val="0"/>
        <w:widowControl w:val="0"/>
        <w:suppressLineNumbers w:val="0"/>
        <w:spacing w:before="0" w:beforeAutospacing="0" w:after="0" w:afterAutospacing="0" w:line="360" w:lineRule="auto"/>
        <w:ind w:left="0" w:right="0" w:firstLine="0" w:firstLineChars="0"/>
        <w:jc w:val="left"/>
        <w:outlineLvl w:val="0"/>
        <w:rPr>
          <w:rFonts w:hint="default" w:ascii="仿宋" w:hAnsi="仿宋" w:eastAsia="宋体" w:cs="仿宋"/>
          <w:b/>
          <w:bCs w:val="0"/>
          <w:color w:val="auto"/>
          <w:kern w:val="2"/>
          <w:sz w:val="30"/>
          <w:szCs w:val="30"/>
          <w:highlight w:val="none"/>
          <w:lang w:val="en-US"/>
        </w:rPr>
      </w:pPr>
      <w:r>
        <w:rPr>
          <w:rFonts w:hint="eastAsia" w:ascii="宋体" w:hAnsi="宋体" w:eastAsia="宋体" w:cs="宋体"/>
          <w:b/>
          <w:bCs/>
          <w:color w:val="auto"/>
          <w:kern w:val="2"/>
          <w:sz w:val="24"/>
          <w:szCs w:val="24"/>
          <w:highlight w:val="none"/>
          <w:lang w:val="en-US" w:eastAsia="zh-CN" w:bidi="ar"/>
        </w:rPr>
        <w:t>附件9</w:t>
      </w:r>
    </w:p>
    <w:p w14:paraId="52449DE3">
      <w:pPr>
        <w:keepNext w:val="0"/>
        <w:keepLines w:val="0"/>
        <w:widowControl w:val="0"/>
        <w:suppressLineNumbers w:val="0"/>
        <w:spacing w:before="0" w:beforeAutospacing="0" w:after="0" w:afterAutospacing="0" w:line="360" w:lineRule="auto"/>
        <w:ind w:left="0" w:right="0" w:firstLine="0" w:firstLineChars="0"/>
        <w:jc w:val="center"/>
        <w:rPr>
          <w:rFonts w:hint="eastAsia" w:ascii="宋体" w:hAnsi="宋体" w:eastAsia="宋体" w:cs="宋体"/>
          <w:b/>
          <w:bCs w:val="0"/>
          <w:color w:val="auto"/>
          <w:kern w:val="2"/>
          <w:sz w:val="30"/>
          <w:szCs w:val="30"/>
          <w:highlight w:val="none"/>
        </w:rPr>
      </w:pPr>
      <w:r>
        <w:rPr>
          <w:rFonts w:hint="eastAsia" w:ascii="宋体" w:hAnsi="宋体" w:eastAsia="宋体" w:cs="宋体"/>
          <w:b/>
          <w:bCs w:val="0"/>
          <w:color w:val="auto"/>
          <w:kern w:val="2"/>
          <w:sz w:val="30"/>
          <w:szCs w:val="30"/>
          <w:highlight w:val="none"/>
          <w:lang w:val="en-US" w:eastAsia="zh-CN" w:bidi="ar"/>
        </w:rPr>
        <w:t>中小企业声明函、监狱企业、残疾人福利性单位及其他相关的充分的证明材料中小企业声明函及其相关的充分的证明材料</w:t>
      </w:r>
    </w:p>
    <w:p w14:paraId="4A4A4CB5">
      <w:pPr>
        <w:keepNext w:val="0"/>
        <w:keepLines w:val="0"/>
        <w:widowControl w:val="0"/>
        <w:suppressLineNumbers w:val="0"/>
        <w:spacing w:before="0" w:beforeAutospacing="0" w:after="0" w:afterAutospacing="0" w:line="500" w:lineRule="exact"/>
        <w:ind w:left="0" w:right="0" w:firstLine="602" w:firstLineChars="200"/>
        <w:jc w:val="center"/>
        <w:rPr>
          <w:rFonts w:hint="eastAsia" w:ascii="宋体" w:hAnsi="宋体" w:eastAsia="宋体" w:cs="Arial"/>
          <w:b/>
          <w:bCs/>
          <w:color w:val="auto"/>
          <w:kern w:val="0"/>
          <w:sz w:val="30"/>
          <w:szCs w:val="30"/>
          <w:highlight w:val="none"/>
        </w:rPr>
      </w:pPr>
      <w:r>
        <w:rPr>
          <w:rFonts w:hint="eastAsia" w:ascii="宋体" w:hAnsi="宋体" w:eastAsia="宋体" w:cs="宋体"/>
          <w:b/>
          <w:bCs/>
          <w:color w:val="auto"/>
          <w:kern w:val="0"/>
          <w:sz w:val="30"/>
          <w:szCs w:val="30"/>
          <w:highlight w:val="none"/>
          <w:lang w:val="en-US" w:eastAsia="zh-CN" w:bidi="ar"/>
        </w:rPr>
        <w:t>中小企业声明函（服务）</w:t>
      </w:r>
    </w:p>
    <w:p w14:paraId="44B78160">
      <w:pPr>
        <w:keepNext w:val="0"/>
        <w:keepLines w:val="0"/>
        <w:widowControl w:val="0"/>
        <w:suppressLineNumbers w:val="0"/>
        <w:spacing w:before="0" w:beforeAutospacing="0" w:after="0" w:afterAutospacing="0" w:line="500" w:lineRule="exact"/>
        <w:ind w:left="0" w:right="0" w:firstLine="0" w:firstLineChars="0"/>
        <w:jc w:val="both"/>
        <w:rPr>
          <w:rFonts w:hint="default" w:ascii="Times New Roman" w:hAnsi="Times New Roman" w:eastAsia="宋体" w:cs="黑体"/>
          <w:color w:val="auto"/>
          <w:kern w:val="2"/>
          <w:sz w:val="24"/>
          <w:szCs w:val="24"/>
          <w:highlight w:val="none"/>
        </w:rPr>
      </w:pPr>
      <w:r>
        <w:rPr>
          <w:rFonts w:hint="default" w:ascii="Times New Roman" w:hAnsi="Times New Roman" w:eastAsia="宋体" w:cs="黑体"/>
          <w:color w:val="auto"/>
          <w:kern w:val="2"/>
          <w:sz w:val="24"/>
          <w:szCs w:val="24"/>
          <w:highlight w:val="none"/>
          <w:lang w:val="en-US" w:eastAsia="zh-CN" w:bidi="ar"/>
        </w:rPr>
        <w:t xml:space="preserve"> </w:t>
      </w:r>
    </w:p>
    <w:p w14:paraId="713CBA37">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Arial"/>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本公司郑重声明，根据《政府采购促进中小企业发展管理办法》（财库</w:t>
      </w:r>
      <w:r>
        <w:rPr>
          <w:rFonts w:hint="eastAsia" w:ascii="宋体" w:hAnsi="宋体" w:eastAsia="宋体" w:cs="宋体"/>
          <w:color w:val="auto"/>
          <w:kern w:val="2"/>
          <w:sz w:val="24"/>
          <w:szCs w:val="24"/>
          <w:highlight w:val="none"/>
          <w:lang w:val="en-US" w:eastAsia="zh-CN" w:bidi="ar"/>
        </w:rPr>
        <w:t>〔2020〕</w:t>
      </w:r>
      <w:r>
        <w:rPr>
          <w:rFonts w:hint="eastAsia" w:ascii="宋体" w:hAnsi="宋体" w:eastAsia="宋体" w:cs="宋体"/>
          <w:bCs/>
          <w:color w:val="auto"/>
          <w:kern w:val="0"/>
          <w:sz w:val="24"/>
          <w:szCs w:val="24"/>
          <w:highlight w:val="none"/>
          <w:lang w:val="en-US" w:eastAsia="zh-CN" w:bidi="ar"/>
        </w:rPr>
        <w:t>46 号）的规定，本公司参加__________________（单位名称） 的__________________（项目名称） 采购活动，服务全部由符合政策要求的中小企业承接。相关企业（含联合体中的中小企业、签订分包意向协议的中小企业）的具体情况如下：</w:t>
      </w:r>
    </w:p>
    <w:p w14:paraId="2C1016A8">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Arial"/>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（标的名称），属于（招标文件中明确的所属行业）行业；承接企业为</w:t>
      </w:r>
      <w:r>
        <w:rPr>
          <w:rFonts w:hint="eastAsia" w:ascii="宋体" w:hAnsi="宋体" w:eastAsia="宋体" w:cs="Arial"/>
          <w:bCs/>
          <w:color w:val="auto"/>
          <w:kern w:val="0"/>
          <w:sz w:val="24"/>
          <w:szCs w:val="24"/>
          <w:highlight w:val="none"/>
          <w:lang w:val="en-US" w:eastAsia="zh-CN" w:bidi="ar"/>
        </w:rPr>
        <w:t xml:space="preserve"> </w:t>
      </w:r>
      <w:r>
        <w:rPr>
          <w:rFonts w:hint="eastAsia" w:ascii="宋体" w:hAnsi="宋体" w:eastAsia="宋体" w:cs="宋体"/>
          <w:bCs/>
          <w:color w:val="auto"/>
          <w:kern w:val="0"/>
          <w:sz w:val="24"/>
          <w:szCs w:val="24"/>
          <w:highlight w:val="none"/>
          <w:lang w:val="en-US" w:eastAsia="zh-CN" w:bidi="ar"/>
        </w:rPr>
        <w:t>（企业名称），从业人员_____人，营业收入为_____万元，资产总额为_____万元，属于（中型企业、小型企业、微型企业）；</w:t>
      </w:r>
    </w:p>
    <w:p w14:paraId="3D61EEE4">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Arial"/>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本企业对上述声明内容的真实性负责。如有虚假，将依法承担相应责任。</w:t>
      </w:r>
    </w:p>
    <w:p w14:paraId="6C14143B">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Arial"/>
          <w:bCs/>
          <w:color w:val="auto"/>
          <w:kern w:val="0"/>
          <w:sz w:val="24"/>
          <w:szCs w:val="24"/>
          <w:highlight w:val="none"/>
        </w:rPr>
      </w:pPr>
      <w:r>
        <w:rPr>
          <w:rFonts w:hint="eastAsia" w:ascii="宋体" w:hAnsi="宋体" w:eastAsia="宋体" w:cs="Arial"/>
          <w:bCs/>
          <w:color w:val="auto"/>
          <w:kern w:val="0"/>
          <w:sz w:val="24"/>
          <w:szCs w:val="24"/>
          <w:highlight w:val="none"/>
          <w:lang w:val="en-US" w:eastAsia="zh-CN" w:bidi="ar"/>
        </w:rPr>
        <w:t xml:space="preserve"> </w:t>
      </w:r>
    </w:p>
    <w:p w14:paraId="5A0551B4">
      <w:pPr>
        <w:keepNext w:val="0"/>
        <w:keepLines w:val="0"/>
        <w:widowControl w:val="0"/>
        <w:suppressLineNumbers w:val="0"/>
        <w:adjustRightInd w:val="0"/>
        <w:snapToGrid w:val="0"/>
        <w:spacing w:before="0" w:beforeAutospacing="0" w:after="0" w:afterAutospacing="0" w:line="500" w:lineRule="exact"/>
        <w:ind w:left="0" w:right="0" w:firstLine="5040" w:firstLineChars="2100"/>
        <w:jc w:val="both"/>
        <w:rPr>
          <w:rFonts w:hint="eastAsia" w:ascii="宋体" w:hAnsi="宋体" w:eastAsia="宋体" w:cs="黑体"/>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投标人名称（盖章）：</w:t>
      </w:r>
    </w:p>
    <w:p w14:paraId="25416A5F">
      <w:pPr>
        <w:keepNext w:val="0"/>
        <w:keepLines w:val="0"/>
        <w:widowControl w:val="0"/>
        <w:suppressLineNumbers w:val="0"/>
        <w:adjustRightInd w:val="0"/>
        <w:snapToGrid w:val="0"/>
        <w:spacing w:before="0" w:beforeAutospacing="0" w:after="0" w:afterAutospacing="0" w:line="500" w:lineRule="exact"/>
        <w:ind w:left="0" w:right="0" w:firstLine="3600" w:firstLineChars="1500"/>
        <w:jc w:val="both"/>
        <w:rPr>
          <w:rFonts w:hint="eastAsia" w:ascii="宋体" w:hAnsi="宋体" w:eastAsia="宋体" w:cs="黑体"/>
          <w:color w:val="auto"/>
          <w:kern w:val="2"/>
          <w:sz w:val="24"/>
          <w:szCs w:val="24"/>
          <w:highlight w:val="none"/>
        </w:rPr>
      </w:pPr>
      <w:r>
        <w:rPr>
          <w:rFonts w:hint="eastAsia" w:ascii="宋体" w:hAnsi="宋体" w:eastAsia="宋体" w:cs="黑体"/>
          <w:color w:val="auto"/>
          <w:kern w:val="2"/>
          <w:sz w:val="24"/>
          <w:szCs w:val="24"/>
          <w:highlight w:val="none"/>
          <w:lang w:val="en-US" w:eastAsia="zh-CN" w:bidi="ar"/>
        </w:rPr>
        <w:t xml:space="preserve"> </w:t>
      </w:r>
    </w:p>
    <w:p w14:paraId="4C8834B0">
      <w:pPr>
        <w:keepNext w:val="0"/>
        <w:keepLines w:val="0"/>
        <w:widowControl w:val="0"/>
        <w:suppressLineNumbers w:val="0"/>
        <w:adjustRightInd w:val="0"/>
        <w:snapToGrid w:val="0"/>
        <w:spacing w:before="0" w:beforeAutospacing="0" w:after="0" w:afterAutospacing="0" w:line="500" w:lineRule="exact"/>
        <w:ind w:left="0" w:right="0" w:firstLine="5040" w:firstLineChars="2100"/>
        <w:jc w:val="both"/>
        <w:rPr>
          <w:rFonts w:hint="eastAsia" w:ascii="宋体" w:hAnsi="宋体" w:eastAsia="宋体" w:cs="黑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日期：</w:t>
      </w:r>
      <w:r>
        <w:rPr>
          <w:rFonts w:hint="eastAsia" w:ascii="宋体" w:hAnsi="宋体" w:eastAsia="宋体" w:cs="黑体"/>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年</w:t>
      </w:r>
      <w:r>
        <w:rPr>
          <w:rFonts w:hint="eastAsia" w:ascii="宋体" w:hAnsi="宋体" w:eastAsia="宋体" w:cs="黑体"/>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月</w:t>
      </w:r>
      <w:r>
        <w:rPr>
          <w:rFonts w:hint="eastAsia" w:ascii="宋体" w:hAnsi="宋体" w:eastAsia="宋体" w:cs="黑体"/>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日</w:t>
      </w:r>
    </w:p>
    <w:p w14:paraId="40EF876E">
      <w:pPr>
        <w:keepNext w:val="0"/>
        <w:keepLines w:val="0"/>
        <w:widowControl w:val="0"/>
        <w:suppressLineNumbers w:val="0"/>
        <w:spacing w:before="100" w:beforeAutospacing="1" w:after="100" w:afterAutospacing="1" w:line="500" w:lineRule="exact"/>
        <w:ind w:left="0" w:right="0" w:firstLine="482" w:firstLineChars="200"/>
        <w:jc w:val="both"/>
        <w:rPr>
          <w:rFonts w:hint="eastAsia" w:ascii="宋体" w:hAnsi="宋体" w:eastAsia="宋体" w:cs="Arial"/>
          <w:b/>
          <w:bCs/>
          <w:color w:val="auto"/>
          <w:kern w:val="0"/>
          <w:sz w:val="24"/>
          <w:szCs w:val="24"/>
          <w:highlight w:val="none"/>
        </w:rPr>
      </w:pPr>
      <w:r>
        <w:rPr>
          <w:rFonts w:hint="eastAsia" w:ascii="宋体" w:hAnsi="宋体" w:eastAsia="宋体" w:cs="Arial"/>
          <w:b/>
          <w:bCs/>
          <w:color w:val="auto"/>
          <w:kern w:val="0"/>
          <w:sz w:val="24"/>
          <w:szCs w:val="24"/>
          <w:highlight w:val="none"/>
          <w:lang w:val="en-US" w:eastAsia="zh-CN" w:bidi="ar"/>
        </w:rPr>
        <w:t xml:space="preserve"> </w:t>
      </w:r>
    </w:p>
    <w:p w14:paraId="671BE948">
      <w:pPr>
        <w:keepNext w:val="0"/>
        <w:keepLines w:val="0"/>
        <w:widowControl w:val="0"/>
        <w:suppressLineNumbers w:val="0"/>
        <w:spacing w:before="0" w:beforeAutospacing="0" w:after="0" w:afterAutospacing="0" w:line="500" w:lineRule="exact"/>
        <w:ind w:left="0" w:right="0" w:firstLine="482" w:firstLineChars="200"/>
        <w:jc w:val="both"/>
        <w:rPr>
          <w:rFonts w:hint="eastAsia" w:ascii="宋体" w:hAnsi="宋体" w:eastAsia="宋体" w:cs="Arial"/>
          <w:b/>
          <w:bCs/>
          <w:color w:val="auto"/>
          <w:kern w:val="0"/>
          <w:sz w:val="24"/>
          <w:szCs w:val="24"/>
          <w:highlight w:val="none"/>
        </w:rPr>
      </w:pPr>
      <w:r>
        <w:rPr>
          <w:rFonts w:hint="eastAsia" w:ascii="宋体" w:hAnsi="宋体" w:eastAsia="宋体" w:cs="Arial"/>
          <w:b/>
          <w:bCs/>
          <w:color w:val="auto"/>
          <w:kern w:val="0"/>
          <w:sz w:val="24"/>
          <w:szCs w:val="24"/>
          <w:highlight w:val="none"/>
          <w:lang w:val="en-US" w:eastAsia="zh-CN" w:bidi="ar"/>
        </w:rPr>
        <w:t xml:space="preserve"> </w:t>
      </w:r>
    </w:p>
    <w:p w14:paraId="7D69F46C">
      <w:pPr>
        <w:keepNext w:val="0"/>
        <w:keepLines w:val="0"/>
        <w:widowControl w:val="0"/>
        <w:suppressLineNumbers w:val="0"/>
        <w:spacing w:before="0" w:beforeAutospacing="0" w:after="0" w:afterAutospacing="0" w:line="500" w:lineRule="exact"/>
        <w:ind w:left="0" w:right="0" w:firstLine="480" w:firstLineChars="200"/>
        <w:jc w:val="both"/>
        <w:rPr>
          <w:rFonts w:hint="default" w:ascii="Times New Roman" w:hAnsi="Times New Roman" w:eastAsia="宋体" w:cs="黑体"/>
          <w:color w:val="auto"/>
          <w:kern w:val="2"/>
          <w:sz w:val="24"/>
          <w:szCs w:val="24"/>
          <w:highlight w:val="none"/>
        </w:rPr>
      </w:pPr>
      <w:r>
        <w:rPr>
          <w:rFonts w:hint="default" w:ascii="Times New Roman" w:hAnsi="Times New Roman" w:eastAsia="宋体" w:cs="黑体"/>
          <w:color w:val="auto"/>
          <w:kern w:val="2"/>
          <w:sz w:val="24"/>
          <w:szCs w:val="24"/>
          <w:highlight w:val="none"/>
          <w:lang w:val="en-US" w:eastAsia="zh-CN" w:bidi="ar"/>
        </w:rPr>
        <w:t xml:space="preserve"> </w:t>
      </w:r>
    </w:p>
    <w:p w14:paraId="3995E18D">
      <w:pPr>
        <w:keepNext w:val="0"/>
        <w:keepLines w:val="0"/>
        <w:widowControl/>
        <w:suppressLineNumbers w:val="0"/>
        <w:snapToGrid w:val="0"/>
        <w:spacing w:before="0" w:beforeAutospacing="0" w:after="0" w:afterAutospacing="0" w:line="500" w:lineRule="exact"/>
        <w:ind w:left="0" w:right="0" w:firstLine="480" w:firstLineChars="200"/>
        <w:jc w:val="both"/>
        <w:rPr>
          <w:rFonts w:hint="eastAsia" w:ascii="宋体" w:hAnsi="宋体" w:eastAsia="宋体" w:cs="黑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注：</w:t>
      </w:r>
    </w:p>
    <w:p w14:paraId="0D7D68E2">
      <w:pPr>
        <w:keepNext w:val="0"/>
        <w:keepLines w:val="0"/>
        <w:widowControl/>
        <w:suppressLineNumbers w:val="0"/>
        <w:snapToGrid w:val="0"/>
        <w:spacing w:before="0" w:beforeAutospacing="0" w:after="0" w:afterAutospacing="0" w:line="500" w:lineRule="exact"/>
        <w:ind w:left="0" w:right="0" w:firstLine="480" w:firstLineChars="200"/>
        <w:jc w:val="both"/>
        <w:outlineLvl w:val="1"/>
        <w:rPr>
          <w:rFonts w:hint="eastAsia" w:ascii="宋体" w:hAnsi="宋体" w:eastAsia="宋体" w:cs="黑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1.如承接单位为小微企业，则需提供中小企业声明函。</w:t>
      </w:r>
    </w:p>
    <w:p w14:paraId="65E36C26">
      <w:pPr>
        <w:keepNext w:val="0"/>
        <w:keepLines w:val="0"/>
        <w:widowControl/>
        <w:suppressLineNumbers w:val="0"/>
        <w:snapToGrid w:val="0"/>
        <w:spacing w:before="0" w:beforeAutospacing="0" w:after="0" w:afterAutospacing="0" w:line="500" w:lineRule="exact"/>
        <w:ind w:left="0" w:right="0" w:firstLine="480" w:firstLineChars="200"/>
        <w:jc w:val="both"/>
        <w:rPr>
          <w:rFonts w:hint="eastAsia" w:ascii="宋体" w:hAnsi="宋体" w:eastAsia="宋体" w:cs="黑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2.如中标人声明为小微企业，本声明函将随成交结果同时公告，接受社会监督。</w:t>
      </w:r>
    </w:p>
    <w:p w14:paraId="55ABA05C">
      <w:pPr>
        <w:keepNext w:val="0"/>
        <w:keepLines w:val="0"/>
        <w:widowControl/>
        <w:suppressLineNumbers w:val="0"/>
        <w:snapToGrid w:val="0"/>
        <w:spacing w:before="0" w:beforeAutospacing="0" w:after="0" w:afterAutospacing="0" w:line="500" w:lineRule="exact"/>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3.如中标人声明为小微企业，本声明函将随中标结果同时公告，接受社会监督。</w:t>
      </w:r>
    </w:p>
    <w:p w14:paraId="491179D8">
      <w:pPr>
        <w:pStyle w:val="18"/>
        <w:rPr>
          <w:rFonts w:hint="eastAsia" w:ascii="宋体" w:hAnsi="宋体" w:eastAsia="宋体" w:cs="宋体"/>
          <w:color w:val="auto"/>
          <w:kern w:val="2"/>
          <w:sz w:val="24"/>
          <w:szCs w:val="24"/>
          <w:highlight w:val="none"/>
          <w:lang w:val="en-US" w:eastAsia="zh-CN" w:bidi="ar"/>
        </w:rPr>
      </w:pPr>
    </w:p>
    <w:p w14:paraId="0E19AFBF">
      <w:pPr>
        <w:keepNext w:val="0"/>
        <w:keepLines w:val="0"/>
        <w:widowControl/>
        <w:suppressLineNumbers w:val="0"/>
        <w:snapToGrid w:val="0"/>
        <w:spacing w:before="0" w:beforeAutospacing="0" w:after="0" w:afterAutospacing="0" w:line="500" w:lineRule="exact"/>
        <w:ind w:left="0" w:right="0" w:firstLine="602" w:firstLineChars="200"/>
        <w:jc w:val="both"/>
        <w:rPr>
          <w:rFonts w:hint="eastAsia" w:ascii="宋体" w:hAnsi="宋体" w:eastAsia="宋体" w:cs="宋体"/>
          <w:b/>
          <w:bCs w:val="0"/>
          <w:color w:val="auto"/>
          <w:kern w:val="2"/>
          <w:sz w:val="30"/>
          <w:szCs w:val="30"/>
          <w:highlight w:val="none"/>
        </w:rPr>
      </w:pPr>
    </w:p>
    <w:p w14:paraId="30F07F12">
      <w:pPr>
        <w:keepNext w:val="0"/>
        <w:keepLines w:val="0"/>
        <w:widowControl w:val="0"/>
        <w:suppressLineNumbers w:val="0"/>
        <w:spacing w:before="0" w:beforeAutospacing="0" w:after="0" w:afterAutospacing="0" w:line="500" w:lineRule="exact"/>
        <w:ind w:left="0" w:leftChars="0" w:right="0" w:firstLine="0" w:firstLineChars="0"/>
        <w:jc w:val="center"/>
        <w:rPr>
          <w:rFonts w:hint="eastAsia" w:ascii="宋体" w:hAnsi="宋体" w:eastAsia="宋体" w:cs="Arial"/>
          <w:b/>
          <w:bCs/>
          <w:color w:val="auto"/>
          <w:kern w:val="0"/>
          <w:sz w:val="30"/>
          <w:szCs w:val="30"/>
          <w:highlight w:val="none"/>
        </w:rPr>
      </w:pPr>
      <w:r>
        <w:rPr>
          <w:rFonts w:hint="eastAsia" w:ascii="宋体" w:hAnsi="宋体" w:eastAsia="宋体" w:cs="宋体"/>
          <w:b/>
          <w:bCs/>
          <w:color w:val="auto"/>
          <w:kern w:val="0"/>
          <w:sz w:val="30"/>
          <w:szCs w:val="30"/>
          <w:highlight w:val="none"/>
          <w:lang w:val="en-US" w:eastAsia="zh-CN" w:bidi="ar"/>
        </w:rPr>
        <w:t>监狱企业声明函</w:t>
      </w:r>
    </w:p>
    <w:p w14:paraId="59C17B3A">
      <w:pPr>
        <w:keepNext w:val="0"/>
        <w:keepLines w:val="0"/>
        <w:widowControl w:val="0"/>
        <w:suppressLineNumbers w:val="0"/>
        <w:spacing w:before="0" w:beforeAutospacing="0" w:after="0" w:afterAutospacing="0" w:line="500" w:lineRule="exact"/>
        <w:ind w:left="0" w:leftChars="0" w:right="0" w:firstLine="0" w:firstLineChars="0"/>
        <w:jc w:val="center"/>
        <w:rPr>
          <w:rFonts w:hint="eastAsia" w:ascii="宋体" w:hAnsi="宋体" w:eastAsia="宋体" w:cs="Arial"/>
          <w:b/>
          <w:bCs/>
          <w:color w:val="auto"/>
          <w:kern w:val="0"/>
          <w:sz w:val="30"/>
          <w:szCs w:val="30"/>
          <w:highlight w:val="none"/>
        </w:rPr>
      </w:pPr>
      <w:r>
        <w:rPr>
          <w:rFonts w:hint="eastAsia" w:ascii="宋体" w:hAnsi="宋体" w:eastAsia="宋体" w:cs="宋体"/>
          <w:b/>
          <w:bCs/>
          <w:color w:val="auto"/>
          <w:kern w:val="0"/>
          <w:sz w:val="30"/>
          <w:szCs w:val="30"/>
          <w:highlight w:val="none"/>
          <w:lang w:val="en-US" w:eastAsia="zh-CN" w:bidi="ar"/>
        </w:rPr>
        <w:t>【非监狱企业不需提供】</w:t>
      </w:r>
    </w:p>
    <w:p w14:paraId="7CC7FBF1">
      <w:pPr>
        <w:keepNext w:val="0"/>
        <w:keepLines w:val="0"/>
        <w:widowControl/>
        <w:suppressLineNumbers w:val="0"/>
        <w:adjustRightInd w:val="0"/>
        <w:snapToGrid w:val="0"/>
        <w:spacing w:before="0" w:beforeAutospacing="0" w:after="0" w:afterAutospacing="0" w:line="500" w:lineRule="exact"/>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本企业郑重声明，根据《关于政府采购支持监狱企业发展有关问题的通知》（财库〔2014〕68号）的规定，本企业为</w:t>
      </w:r>
      <w:r>
        <w:rPr>
          <w:rFonts w:hint="eastAsia" w:ascii="宋体" w:hAnsi="宋体" w:eastAsia="宋体" w:cs="宋体"/>
          <w:color w:val="auto"/>
          <w:kern w:val="2"/>
          <w:sz w:val="24"/>
          <w:szCs w:val="24"/>
          <w:highlight w:val="none"/>
          <w:u w:val="single"/>
          <w:lang w:val="en-US" w:eastAsia="zh-CN" w:bidi="ar"/>
        </w:rPr>
        <w:t>监狱企业</w:t>
      </w:r>
      <w:r>
        <w:rPr>
          <w:rFonts w:hint="eastAsia" w:ascii="宋体" w:hAnsi="宋体" w:eastAsia="宋体" w:cs="宋体"/>
          <w:color w:val="auto"/>
          <w:kern w:val="2"/>
          <w:sz w:val="24"/>
          <w:szCs w:val="24"/>
          <w:highlight w:val="none"/>
          <w:lang w:val="en-US" w:eastAsia="zh-CN" w:bidi="ar"/>
        </w:rPr>
        <w:t>。</w:t>
      </w:r>
    </w:p>
    <w:p w14:paraId="07E8216A">
      <w:pPr>
        <w:keepNext w:val="0"/>
        <w:keepLines w:val="0"/>
        <w:widowControl/>
        <w:suppressLineNumbers w:val="0"/>
        <w:adjustRightInd w:val="0"/>
        <w:snapToGrid w:val="0"/>
        <w:spacing w:before="0" w:beforeAutospacing="0" w:after="0" w:afterAutospacing="0" w:line="500" w:lineRule="exact"/>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根据上述标准，我企业属于</w:t>
      </w:r>
      <w:r>
        <w:rPr>
          <w:rFonts w:hint="eastAsia" w:ascii="宋体" w:hAnsi="宋体" w:eastAsia="宋体" w:cs="宋体"/>
          <w:color w:val="auto"/>
          <w:kern w:val="2"/>
          <w:sz w:val="24"/>
          <w:szCs w:val="24"/>
          <w:highlight w:val="none"/>
          <w:u w:val="single"/>
          <w:lang w:val="en-US" w:eastAsia="zh-CN" w:bidi="ar"/>
        </w:rPr>
        <w:t>监狱企业</w:t>
      </w:r>
      <w:r>
        <w:rPr>
          <w:rFonts w:hint="eastAsia" w:ascii="宋体" w:hAnsi="宋体" w:eastAsia="宋体" w:cs="宋体"/>
          <w:color w:val="auto"/>
          <w:kern w:val="2"/>
          <w:sz w:val="24"/>
          <w:szCs w:val="24"/>
          <w:highlight w:val="none"/>
          <w:lang w:val="en-US" w:eastAsia="zh-CN" w:bidi="ar"/>
        </w:rPr>
        <w:t>的理由为：</w:t>
      </w:r>
    </w:p>
    <w:p w14:paraId="63820473">
      <w:pPr>
        <w:keepNext w:val="0"/>
        <w:keepLines w:val="0"/>
        <w:widowControl/>
        <w:suppressLineNumbers w:val="0"/>
        <w:adjustRightInd w:val="0"/>
        <w:snapToGrid w:val="0"/>
        <w:spacing w:before="0" w:beforeAutospacing="0" w:after="0" w:afterAutospacing="0" w:line="500" w:lineRule="exact"/>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本企业为参加（项目名称：）（项目编号：）采购活动提供本企业的产品。</w:t>
      </w:r>
    </w:p>
    <w:p w14:paraId="0BE767B4">
      <w:pPr>
        <w:keepNext w:val="0"/>
        <w:keepLines w:val="0"/>
        <w:widowControl/>
        <w:suppressLineNumbers w:val="0"/>
        <w:adjustRightInd w:val="0"/>
        <w:snapToGrid w:val="0"/>
        <w:spacing w:before="0" w:beforeAutospacing="0" w:after="0" w:afterAutospacing="0" w:line="500" w:lineRule="exact"/>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本企业对上述声明的真实性负责。如有虚假，将依法承担相应责任。</w:t>
      </w:r>
    </w:p>
    <w:p w14:paraId="70F2C850">
      <w:pPr>
        <w:keepNext w:val="0"/>
        <w:keepLines w:val="0"/>
        <w:widowControl w:val="0"/>
        <w:suppressLineNumbers w:val="0"/>
        <w:adjustRightInd w:val="0"/>
        <w:snapToGrid w:val="0"/>
        <w:spacing w:before="0" w:beforeAutospacing="0" w:after="0" w:afterAutospacing="0" w:line="500" w:lineRule="exact"/>
        <w:ind w:left="0" w:right="0" w:firstLine="480" w:firstLineChars="20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w:t>
      </w:r>
    </w:p>
    <w:p w14:paraId="5B7163D6">
      <w:pPr>
        <w:keepNext w:val="0"/>
        <w:keepLines w:val="0"/>
        <w:widowControl w:val="0"/>
        <w:suppressLineNumbers w:val="0"/>
        <w:adjustRightInd w:val="0"/>
        <w:snapToGrid w:val="0"/>
        <w:spacing w:before="0" w:beforeAutospacing="0" w:after="0" w:afterAutospacing="0" w:line="500" w:lineRule="exact"/>
        <w:ind w:left="0" w:right="0" w:firstLine="480" w:firstLineChars="20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w:t>
      </w:r>
    </w:p>
    <w:p w14:paraId="340C0EBC">
      <w:pPr>
        <w:keepNext w:val="0"/>
        <w:keepLines w:val="0"/>
        <w:widowControl w:val="0"/>
        <w:suppressLineNumbers w:val="0"/>
        <w:adjustRightInd w:val="0"/>
        <w:snapToGrid w:val="0"/>
        <w:spacing w:before="0" w:beforeAutospacing="0" w:after="0" w:afterAutospacing="0" w:line="500" w:lineRule="exact"/>
        <w:ind w:left="0" w:right="0" w:firstLine="480" w:firstLineChars="20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w:t>
      </w:r>
    </w:p>
    <w:p w14:paraId="6165B373">
      <w:pPr>
        <w:keepNext w:val="0"/>
        <w:keepLines w:val="0"/>
        <w:widowControl w:val="0"/>
        <w:suppressLineNumbers w:val="0"/>
        <w:adjustRightInd w:val="0"/>
        <w:snapToGrid w:val="0"/>
        <w:spacing w:before="0" w:beforeAutospacing="0" w:after="0" w:afterAutospacing="0" w:line="500" w:lineRule="exact"/>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w:t>
      </w:r>
    </w:p>
    <w:p w14:paraId="7954BB9D">
      <w:pPr>
        <w:keepNext w:val="0"/>
        <w:keepLines w:val="0"/>
        <w:widowControl w:val="0"/>
        <w:suppressLineNumbers w:val="0"/>
        <w:adjustRightInd w:val="0"/>
        <w:snapToGrid w:val="0"/>
        <w:spacing w:before="0" w:beforeAutospacing="0" w:after="0" w:afterAutospacing="0" w:line="500" w:lineRule="exact"/>
        <w:ind w:left="0" w:right="0" w:firstLine="480" w:firstLineChars="20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w:t>
      </w:r>
    </w:p>
    <w:p w14:paraId="188BFFCC">
      <w:pPr>
        <w:keepNext w:val="0"/>
        <w:keepLines w:val="0"/>
        <w:widowControl w:val="0"/>
        <w:suppressLineNumbers w:val="0"/>
        <w:adjustRightInd w:val="0"/>
        <w:snapToGrid w:val="0"/>
        <w:spacing w:before="0" w:beforeAutospacing="0" w:after="0" w:afterAutospacing="0" w:line="500" w:lineRule="exact"/>
        <w:ind w:left="0" w:right="0" w:firstLine="480" w:firstLineChars="20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w:t>
      </w:r>
    </w:p>
    <w:p w14:paraId="6FAE550F">
      <w:pPr>
        <w:keepNext w:val="0"/>
        <w:keepLines w:val="0"/>
        <w:widowControl w:val="0"/>
        <w:suppressLineNumbers w:val="0"/>
        <w:adjustRightInd w:val="0"/>
        <w:snapToGrid w:val="0"/>
        <w:spacing w:before="0" w:beforeAutospacing="0" w:after="0" w:afterAutospacing="0" w:line="500" w:lineRule="exact"/>
        <w:ind w:left="0" w:right="0" w:firstLine="480" w:firstLineChars="20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w:t>
      </w:r>
    </w:p>
    <w:p w14:paraId="583E2951">
      <w:pPr>
        <w:keepNext w:val="0"/>
        <w:keepLines w:val="0"/>
        <w:widowControl w:val="0"/>
        <w:suppressLineNumbers w:val="0"/>
        <w:adjustRightInd w:val="0"/>
        <w:snapToGrid w:val="0"/>
        <w:spacing w:before="0" w:beforeAutospacing="0" w:after="0" w:afterAutospacing="0" w:line="500" w:lineRule="exact"/>
        <w:ind w:left="0" w:right="0" w:firstLine="480" w:firstLineChars="20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w:t>
      </w:r>
    </w:p>
    <w:p w14:paraId="3FB5F5E1">
      <w:pPr>
        <w:keepNext w:val="0"/>
        <w:keepLines w:val="0"/>
        <w:widowControl w:val="0"/>
        <w:suppressLineNumbers w:val="0"/>
        <w:adjustRightInd w:val="0"/>
        <w:snapToGrid w:val="0"/>
        <w:spacing w:before="0" w:beforeAutospacing="0" w:after="0" w:afterAutospacing="0" w:line="500" w:lineRule="exact"/>
        <w:ind w:left="0" w:right="0" w:firstLine="5040" w:firstLineChars="2100"/>
        <w:jc w:val="both"/>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投标人名称（盖章）：</w:t>
      </w:r>
    </w:p>
    <w:p w14:paraId="79BC13ED">
      <w:pPr>
        <w:keepNext w:val="0"/>
        <w:keepLines w:val="0"/>
        <w:widowControl w:val="0"/>
        <w:suppressLineNumbers w:val="0"/>
        <w:adjustRightInd w:val="0"/>
        <w:snapToGrid w:val="0"/>
        <w:spacing w:before="0" w:beforeAutospacing="0" w:after="0" w:afterAutospacing="0" w:line="500" w:lineRule="exact"/>
        <w:ind w:left="0" w:right="0" w:firstLine="3600" w:firstLineChars="15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w:t>
      </w:r>
    </w:p>
    <w:p w14:paraId="7A333E86">
      <w:pPr>
        <w:keepNext w:val="0"/>
        <w:keepLines w:val="0"/>
        <w:widowControl w:val="0"/>
        <w:suppressLineNumbers w:val="0"/>
        <w:adjustRightInd w:val="0"/>
        <w:snapToGrid w:val="0"/>
        <w:spacing w:before="0" w:beforeAutospacing="0" w:after="0" w:afterAutospacing="0" w:line="500" w:lineRule="exact"/>
        <w:ind w:left="0" w:right="0" w:firstLine="5040" w:firstLineChars="21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日期：    年   月   日</w:t>
      </w:r>
    </w:p>
    <w:p w14:paraId="25E32A7B">
      <w:pPr>
        <w:keepNext w:val="0"/>
        <w:keepLines w:val="0"/>
        <w:widowControl/>
        <w:suppressLineNumbers w:val="0"/>
        <w:snapToGrid w:val="0"/>
        <w:spacing w:before="0" w:beforeAutospacing="0" w:after="0" w:afterAutospacing="0" w:line="500" w:lineRule="exact"/>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w:t>
      </w:r>
    </w:p>
    <w:p w14:paraId="2B40CC25">
      <w:pPr>
        <w:keepNext w:val="0"/>
        <w:keepLines w:val="0"/>
        <w:widowControl/>
        <w:suppressLineNumbers w:val="0"/>
        <w:snapToGrid w:val="0"/>
        <w:spacing w:before="0" w:beforeAutospacing="0" w:after="0" w:afterAutospacing="0" w:line="500" w:lineRule="exact"/>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w:t>
      </w:r>
    </w:p>
    <w:p w14:paraId="2C12A3DB">
      <w:pPr>
        <w:pStyle w:val="9"/>
        <w:widowControl/>
        <w:numPr>
          <w:ilvl w:val="0"/>
          <w:numId w:val="0"/>
        </w:numPr>
        <w:spacing w:before="312" w:beforeAutospacing="0" w:after="312" w:afterAutospacing="0"/>
        <w:ind w:left="0" w:firstLine="0"/>
        <w:jc w:val="both"/>
        <w:rPr>
          <w:rFonts w:hint="eastAsia" w:ascii="宋体" w:hAnsi="宋体" w:eastAsia="宋体" w:cs="宋体"/>
          <w:b/>
          <w:bCs/>
          <w:color w:val="auto"/>
          <w:kern w:val="36"/>
          <w:sz w:val="48"/>
          <w:szCs w:val="48"/>
          <w:highlight w:val="none"/>
        </w:rPr>
      </w:pPr>
    </w:p>
    <w:p w14:paraId="72E88569">
      <w:pPr>
        <w:keepNext w:val="0"/>
        <w:keepLines w:val="0"/>
        <w:widowControl/>
        <w:suppressLineNumbers w:val="0"/>
        <w:snapToGrid w:val="0"/>
        <w:spacing w:before="0" w:beforeAutospacing="0" w:after="0" w:afterAutospacing="0" w:line="500" w:lineRule="exact"/>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投标人为监狱企业提供此函。</w:t>
      </w:r>
    </w:p>
    <w:p w14:paraId="2957370D">
      <w:pPr>
        <w:keepNext w:val="0"/>
        <w:keepLines w:val="0"/>
        <w:widowControl/>
        <w:suppressLineNumbers w:val="0"/>
        <w:snapToGrid w:val="0"/>
        <w:spacing w:before="0" w:beforeAutospacing="0" w:after="0" w:afterAutospacing="0" w:line="500" w:lineRule="exact"/>
        <w:ind w:left="0" w:right="0" w:firstLine="480" w:firstLineChars="200"/>
        <w:jc w:val="both"/>
        <w:rPr>
          <w:rFonts w:hint="eastAsia" w:ascii="宋体" w:hAnsi="宋体" w:eastAsia="宋体" w:cs="宋体"/>
          <w:bCs/>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监狱企业参加政府采购活动时，应当提供由省级以上监狱管理局、戒毒管理局（含新疆生产建设兵团）出具的属于监狱企业的证明文件。</w:t>
      </w:r>
    </w:p>
    <w:p w14:paraId="26C3F6B0">
      <w:pPr>
        <w:keepNext w:val="0"/>
        <w:keepLines w:val="0"/>
        <w:widowControl w:val="0"/>
        <w:suppressLineNumbers w:val="0"/>
        <w:adjustRightInd w:val="0"/>
        <w:snapToGrid w:val="0"/>
        <w:spacing w:before="0" w:beforeAutospacing="0" w:after="0" w:afterAutospacing="0" w:line="500" w:lineRule="exact"/>
        <w:ind w:left="0" w:right="0" w:firstLine="0" w:firstLineChars="0"/>
        <w:jc w:val="center"/>
        <w:textAlignment w:val="baseline"/>
        <w:rPr>
          <w:rFonts w:hint="eastAsia" w:ascii="宋体" w:hAnsi="宋体" w:eastAsia="宋体" w:cs="黑体"/>
          <w:b/>
          <w:bCs/>
          <w:color w:val="auto"/>
          <w:kern w:val="2"/>
          <w:sz w:val="28"/>
          <w:szCs w:val="28"/>
          <w:highlight w:val="none"/>
          <w:vertAlign w:val="baseline"/>
        </w:rPr>
      </w:pPr>
      <w:r>
        <w:rPr>
          <w:rFonts w:hint="eastAsia" w:ascii="宋体" w:hAnsi="宋体" w:eastAsia="宋体" w:cs="黑体"/>
          <w:b/>
          <w:bCs/>
          <w:color w:val="auto"/>
          <w:kern w:val="2"/>
          <w:sz w:val="28"/>
          <w:szCs w:val="28"/>
          <w:highlight w:val="none"/>
          <w:vertAlign w:val="baseline"/>
          <w:lang w:val="en-US" w:eastAsia="zh-CN" w:bidi="ar"/>
        </w:rPr>
        <w:t xml:space="preserve"> </w:t>
      </w:r>
    </w:p>
    <w:p w14:paraId="6991A4F5">
      <w:pPr>
        <w:keepNext w:val="0"/>
        <w:keepLines w:val="0"/>
        <w:widowControl w:val="0"/>
        <w:suppressLineNumbers w:val="0"/>
        <w:adjustRightInd w:val="0"/>
        <w:snapToGrid w:val="0"/>
        <w:spacing w:before="0" w:beforeAutospacing="0" w:after="0" w:afterAutospacing="0" w:line="500" w:lineRule="exact"/>
        <w:ind w:left="0" w:right="0" w:firstLine="0" w:firstLineChars="0"/>
        <w:jc w:val="center"/>
        <w:textAlignment w:val="baseline"/>
        <w:rPr>
          <w:rFonts w:hint="eastAsia" w:ascii="宋体" w:hAnsi="宋体" w:eastAsia="宋体" w:cs="黑体"/>
          <w:b/>
          <w:bCs/>
          <w:color w:val="auto"/>
          <w:kern w:val="2"/>
          <w:sz w:val="28"/>
          <w:szCs w:val="28"/>
          <w:highlight w:val="none"/>
          <w:vertAlign w:val="baseline"/>
        </w:rPr>
      </w:pPr>
      <w:r>
        <w:rPr>
          <w:rFonts w:hint="eastAsia" w:ascii="宋体" w:hAnsi="宋体" w:eastAsia="宋体" w:cs="黑体"/>
          <w:b/>
          <w:bCs/>
          <w:color w:val="auto"/>
          <w:kern w:val="2"/>
          <w:sz w:val="28"/>
          <w:szCs w:val="28"/>
          <w:highlight w:val="none"/>
          <w:vertAlign w:val="baseline"/>
          <w:lang w:val="en-US" w:eastAsia="zh-CN" w:bidi="ar"/>
        </w:rPr>
        <w:t xml:space="preserve"> </w:t>
      </w:r>
    </w:p>
    <w:p w14:paraId="40868F8B">
      <w:pPr>
        <w:keepNext w:val="0"/>
        <w:keepLines w:val="0"/>
        <w:widowControl w:val="0"/>
        <w:suppressLineNumbers w:val="0"/>
        <w:spacing w:before="0" w:beforeAutospacing="0" w:after="0" w:afterAutospacing="0" w:line="500" w:lineRule="exact"/>
        <w:ind w:left="0" w:right="0" w:firstLine="0" w:firstLineChars="0"/>
        <w:jc w:val="center"/>
        <w:rPr>
          <w:rFonts w:hint="eastAsia" w:ascii="宋体" w:hAnsi="宋体" w:eastAsia="宋体" w:cs="Arial"/>
          <w:b/>
          <w:bCs/>
          <w:color w:val="auto"/>
          <w:kern w:val="0"/>
          <w:sz w:val="30"/>
          <w:szCs w:val="30"/>
          <w:highlight w:val="none"/>
        </w:rPr>
      </w:pPr>
      <w:r>
        <w:rPr>
          <w:rFonts w:hint="eastAsia" w:ascii="宋体" w:hAnsi="宋体" w:eastAsia="宋体" w:cs="宋体"/>
          <w:b/>
          <w:bCs/>
          <w:color w:val="auto"/>
          <w:kern w:val="0"/>
          <w:sz w:val="30"/>
          <w:szCs w:val="30"/>
          <w:highlight w:val="none"/>
          <w:lang w:val="en-US" w:eastAsia="zh-CN" w:bidi="ar"/>
        </w:rPr>
        <w:t>残疾人福利性单位声明函</w:t>
      </w:r>
    </w:p>
    <w:p w14:paraId="4EAF109B">
      <w:pPr>
        <w:keepNext w:val="0"/>
        <w:keepLines w:val="0"/>
        <w:widowControl w:val="0"/>
        <w:suppressLineNumbers w:val="0"/>
        <w:spacing w:before="0" w:beforeAutospacing="0" w:after="0" w:afterAutospacing="0" w:line="500" w:lineRule="exact"/>
        <w:ind w:left="0" w:right="0" w:firstLine="0" w:firstLineChars="0"/>
        <w:jc w:val="center"/>
        <w:rPr>
          <w:rFonts w:hint="eastAsia" w:ascii="宋体" w:hAnsi="宋体" w:eastAsia="宋体" w:cs="Arial"/>
          <w:b/>
          <w:bCs/>
          <w:color w:val="auto"/>
          <w:kern w:val="0"/>
          <w:sz w:val="30"/>
          <w:szCs w:val="30"/>
          <w:highlight w:val="none"/>
        </w:rPr>
      </w:pPr>
      <w:r>
        <w:rPr>
          <w:rFonts w:hint="eastAsia" w:ascii="宋体" w:hAnsi="宋体" w:eastAsia="宋体" w:cs="宋体"/>
          <w:b/>
          <w:bCs/>
          <w:color w:val="auto"/>
          <w:kern w:val="0"/>
          <w:sz w:val="30"/>
          <w:szCs w:val="30"/>
          <w:highlight w:val="none"/>
          <w:lang w:val="en-US" w:eastAsia="zh-CN" w:bidi="ar"/>
        </w:rPr>
        <w:t>【非残疾人福利性单位不需提供】</w:t>
      </w:r>
    </w:p>
    <w:p w14:paraId="2831398F">
      <w:pPr>
        <w:keepNext w:val="0"/>
        <w:keepLines w:val="0"/>
        <w:widowControl w:val="0"/>
        <w:suppressLineNumbers w:val="0"/>
        <w:snapToGrid w:val="0"/>
        <w:spacing w:before="0" w:beforeAutospacing="0" w:after="0" w:afterAutospacing="0" w:line="500" w:lineRule="exact"/>
        <w:ind w:left="0" w:right="0" w:firstLine="480" w:firstLineChars="200"/>
        <w:jc w:val="both"/>
        <w:rPr>
          <w:rFonts w:hint="eastAsia" w:ascii="宋体" w:hAnsi="宋体" w:eastAsia="宋体" w:cs="黑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本单位郑重声明，根据《财政部民政部中国残疾人联合会关于促进残疾人就业政府采购政策的通知》（财库〔2017〕141号）的规定，本单位为符合条件的残疾人福利性单位，且本单位参加</w:t>
      </w:r>
      <w:r>
        <w:rPr>
          <w:rFonts w:hint="eastAsia" w:ascii="宋体" w:hAnsi="宋体" w:eastAsia="宋体" w:cs="宋体"/>
          <w:color w:val="auto"/>
          <w:kern w:val="2"/>
          <w:sz w:val="24"/>
          <w:szCs w:val="24"/>
          <w:highlight w:val="none"/>
          <w:u w:val="single"/>
          <w:lang w:val="en-US" w:eastAsia="zh-CN" w:bidi="ar"/>
        </w:rPr>
        <w:t>（采购人名称）</w:t>
      </w:r>
      <w:r>
        <w:rPr>
          <w:rFonts w:hint="eastAsia" w:ascii="宋体" w:hAnsi="宋体" w:eastAsia="宋体" w:cs="宋体"/>
          <w:color w:val="auto"/>
          <w:kern w:val="2"/>
          <w:sz w:val="24"/>
          <w:szCs w:val="24"/>
          <w:highlight w:val="none"/>
          <w:lang w:val="en-US" w:eastAsia="zh-CN" w:bidi="ar"/>
        </w:rPr>
        <w:t>单位的</w:t>
      </w:r>
      <w:r>
        <w:rPr>
          <w:rFonts w:hint="eastAsia" w:ascii="宋体" w:hAnsi="宋体" w:eastAsia="宋体" w:cs="宋体"/>
          <w:color w:val="auto"/>
          <w:kern w:val="2"/>
          <w:sz w:val="24"/>
          <w:szCs w:val="24"/>
          <w:highlight w:val="none"/>
          <w:u w:val="single"/>
          <w:lang w:val="en-US" w:eastAsia="zh-CN" w:bidi="ar"/>
        </w:rPr>
        <w:t>（项目名称）</w:t>
      </w:r>
      <w:r>
        <w:rPr>
          <w:rFonts w:hint="eastAsia" w:ascii="宋体" w:hAnsi="宋体" w:eastAsia="宋体" w:cs="宋体"/>
          <w:color w:val="auto"/>
          <w:kern w:val="2"/>
          <w:sz w:val="24"/>
          <w:szCs w:val="24"/>
          <w:highlight w:val="none"/>
          <w:lang w:val="en-US" w:eastAsia="zh-CN" w:bidi="ar"/>
        </w:rPr>
        <w:t>项目采购活动提供本单位制造的货物（由本单位承担工程/提供服务），或者提供其他残疾人福利性单位制造的货物（不包括使用非残疾人福利性单位注册商标的货物）。</w:t>
      </w:r>
    </w:p>
    <w:p w14:paraId="0168704C">
      <w:pPr>
        <w:keepNext w:val="0"/>
        <w:keepLines w:val="0"/>
        <w:widowControl w:val="0"/>
        <w:suppressLineNumbers w:val="0"/>
        <w:snapToGrid w:val="0"/>
        <w:spacing w:before="0" w:beforeAutospacing="0" w:after="0" w:afterAutospacing="0" w:line="500" w:lineRule="exact"/>
        <w:ind w:left="0" w:right="0" w:firstLine="480" w:firstLineChars="200"/>
        <w:jc w:val="both"/>
        <w:rPr>
          <w:rFonts w:hint="eastAsia" w:ascii="宋体" w:hAnsi="宋体" w:eastAsia="宋体" w:cs="黑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本单位对上述声明的真实性负责。如有虚假，将依法承担相应责任。</w:t>
      </w:r>
    </w:p>
    <w:p w14:paraId="03E9A3BB">
      <w:pPr>
        <w:keepNext w:val="0"/>
        <w:keepLines w:val="0"/>
        <w:widowControl w:val="0"/>
        <w:suppressLineNumbers w:val="0"/>
        <w:snapToGrid w:val="0"/>
        <w:spacing w:before="0" w:beforeAutospacing="0" w:after="0" w:afterAutospacing="0" w:line="500" w:lineRule="exact"/>
        <w:ind w:left="0" w:right="0" w:firstLine="480" w:firstLineChars="200"/>
        <w:jc w:val="both"/>
        <w:rPr>
          <w:rFonts w:hint="eastAsia" w:ascii="宋体" w:hAnsi="宋体" w:eastAsia="宋体" w:cs="黑体"/>
          <w:color w:val="auto"/>
          <w:kern w:val="2"/>
          <w:sz w:val="24"/>
          <w:szCs w:val="24"/>
          <w:highlight w:val="none"/>
        </w:rPr>
      </w:pPr>
      <w:r>
        <w:rPr>
          <w:rFonts w:hint="eastAsia" w:ascii="宋体" w:hAnsi="宋体" w:eastAsia="宋体" w:cs="黑体"/>
          <w:color w:val="auto"/>
          <w:kern w:val="2"/>
          <w:sz w:val="24"/>
          <w:szCs w:val="24"/>
          <w:highlight w:val="none"/>
          <w:lang w:val="en-US" w:eastAsia="zh-CN" w:bidi="ar"/>
        </w:rPr>
        <w:t xml:space="preserve"> </w:t>
      </w:r>
    </w:p>
    <w:p w14:paraId="5EFC5DC5">
      <w:pPr>
        <w:keepNext w:val="0"/>
        <w:keepLines w:val="0"/>
        <w:widowControl w:val="0"/>
        <w:suppressLineNumbers w:val="0"/>
        <w:snapToGrid w:val="0"/>
        <w:spacing w:before="0" w:beforeAutospacing="0" w:after="0" w:afterAutospacing="0" w:line="500" w:lineRule="exact"/>
        <w:ind w:left="0" w:right="0" w:firstLine="480" w:firstLineChars="200"/>
        <w:jc w:val="both"/>
        <w:rPr>
          <w:rFonts w:hint="eastAsia" w:ascii="宋体" w:hAnsi="宋体" w:eastAsia="宋体" w:cs="黑体"/>
          <w:color w:val="auto"/>
          <w:kern w:val="2"/>
          <w:sz w:val="24"/>
          <w:szCs w:val="24"/>
          <w:highlight w:val="none"/>
        </w:rPr>
      </w:pPr>
      <w:r>
        <w:rPr>
          <w:rFonts w:hint="eastAsia" w:ascii="宋体" w:hAnsi="宋体" w:eastAsia="宋体" w:cs="黑体"/>
          <w:color w:val="auto"/>
          <w:kern w:val="2"/>
          <w:sz w:val="24"/>
          <w:szCs w:val="24"/>
          <w:highlight w:val="none"/>
          <w:lang w:val="en-US" w:eastAsia="zh-CN" w:bidi="ar"/>
        </w:rPr>
        <w:t xml:space="preserve"> </w:t>
      </w:r>
    </w:p>
    <w:p w14:paraId="73170D18">
      <w:pPr>
        <w:keepNext w:val="0"/>
        <w:keepLines w:val="0"/>
        <w:widowControl w:val="0"/>
        <w:suppressLineNumbers w:val="0"/>
        <w:adjustRightInd w:val="0"/>
        <w:snapToGrid w:val="0"/>
        <w:spacing w:before="0" w:beforeAutospacing="0" w:after="0" w:afterAutospacing="0" w:line="500" w:lineRule="exact"/>
        <w:ind w:left="0" w:right="0" w:firstLine="480" w:firstLineChars="200"/>
        <w:jc w:val="both"/>
        <w:rPr>
          <w:rFonts w:hint="eastAsia" w:ascii="宋体" w:hAnsi="宋体" w:eastAsia="宋体" w:cs="黑体"/>
          <w:color w:val="auto"/>
          <w:kern w:val="2"/>
          <w:sz w:val="24"/>
          <w:szCs w:val="24"/>
          <w:highlight w:val="none"/>
        </w:rPr>
      </w:pPr>
      <w:r>
        <w:rPr>
          <w:rFonts w:hint="eastAsia" w:ascii="宋体" w:hAnsi="宋体" w:eastAsia="宋体" w:cs="黑体"/>
          <w:color w:val="auto"/>
          <w:kern w:val="2"/>
          <w:sz w:val="24"/>
          <w:szCs w:val="24"/>
          <w:highlight w:val="none"/>
          <w:lang w:val="en-US" w:eastAsia="zh-CN" w:bidi="ar"/>
        </w:rPr>
        <w:t xml:space="preserve"> </w:t>
      </w:r>
    </w:p>
    <w:p w14:paraId="4A7F0FEA">
      <w:pPr>
        <w:keepNext w:val="0"/>
        <w:keepLines w:val="0"/>
        <w:widowControl w:val="0"/>
        <w:suppressLineNumbers w:val="0"/>
        <w:adjustRightInd w:val="0"/>
        <w:snapToGrid w:val="0"/>
        <w:spacing w:before="0" w:beforeAutospacing="0" w:after="0" w:afterAutospacing="0" w:line="500" w:lineRule="exact"/>
        <w:ind w:left="0" w:right="0" w:firstLine="480" w:firstLineChars="200"/>
        <w:jc w:val="both"/>
        <w:rPr>
          <w:rFonts w:hint="eastAsia" w:ascii="宋体" w:hAnsi="宋体" w:eastAsia="宋体" w:cs="黑体"/>
          <w:color w:val="auto"/>
          <w:kern w:val="2"/>
          <w:sz w:val="24"/>
          <w:szCs w:val="24"/>
          <w:highlight w:val="none"/>
        </w:rPr>
      </w:pPr>
      <w:r>
        <w:rPr>
          <w:rFonts w:hint="eastAsia" w:ascii="宋体" w:hAnsi="宋体" w:eastAsia="宋体" w:cs="黑体"/>
          <w:color w:val="auto"/>
          <w:kern w:val="2"/>
          <w:sz w:val="24"/>
          <w:szCs w:val="24"/>
          <w:highlight w:val="none"/>
          <w:lang w:val="en-US" w:eastAsia="zh-CN" w:bidi="ar"/>
        </w:rPr>
        <w:t xml:space="preserve"> </w:t>
      </w:r>
    </w:p>
    <w:p w14:paraId="319DA760">
      <w:pPr>
        <w:keepNext w:val="0"/>
        <w:keepLines w:val="0"/>
        <w:widowControl w:val="0"/>
        <w:suppressLineNumbers w:val="0"/>
        <w:adjustRightInd w:val="0"/>
        <w:snapToGrid w:val="0"/>
        <w:spacing w:before="0" w:beforeAutospacing="0" w:after="0" w:afterAutospacing="0" w:line="500" w:lineRule="exact"/>
        <w:ind w:left="0" w:right="0" w:firstLine="480" w:firstLineChars="200"/>
        <w:jc w:val="both"/>
        <w:rPr>
          <w:rFonts w:hint="eastAsia" w:ascii="宋体" w:hAnsi="宋体" w:eastAsia="宋体" w:cs="黑体"/>
          <w:color w:val="auto"/>
          <w:kern w:val="2"/>
          <w:sz w:val="24"/>
          <w:szCs w:val="24"/>
          <w:highlight w:val="none"/>
        </w:rPr>
      </w:pPr>
      <w:r>
        <w:rPr>
          <w:rFonts w:hint="eastAsia" w:ascii="宋体" w:hAnsi="宋体" w:eastAsia="宋体" w:cs="黑体"/>
          <w:color w:val="auto"/>
          <w:kern w:val="2"/>
          <w:sz w:val="24"/>
          <w:szCs w:val="24"/>
          <w:highlight w:val="none"/>
          <w:lang w:val="en-US" w:eastAsia="zh-CN" w:bidi="ar"/>
        </w:rPr>
        <w:t xml:space="preserve"> </w:t>
      </w:r>
    </w:p>
    <w:p w14:paraId="269B9424">
      <w:pPr>
        <w:keepNext w:val="0"/>
        <w:keepLines w:val="0"/>
        <w:widowControl w:val="0"/>
        <w:suppressLineNumbers w:val="0"/>
        <w:adjustRightInd w:val="0"/>
        <w:snapToGrid w:val="0"/>
        <w:spacing w:before="0" w:beforeAutospacing="0" w:after="0" w:afterAutospacing="0" w:line="500" w:lineRule="exact"/>
        <w:ind w:left="0" w:right="0" w:firstLine="480" w:firstLineChars="200"/>
        <w:jc w:val="both"/>
        <w:rPr>
          <w:rFonts w:hint="eastAsia" w:ascii="宋体" w:hAnsi="宋体" w:eastAsia="宋体" w:cs="黑体"/>
          <w:color w:val="auto"/>
          <w:kern w:val="2"/>
          <w:sz w:val="24"/>
          <w:szCs w:val="24"/>
          <w:highlight w:val="none"/>
        </w:rPr>
      </w:pPr>
      <w:r>
        <w:rPr>
          <w:rFonts w:hint="eastAsia" w:ascii="宋体" w:hAnsi="宋体" w:eastAsia="宋体" w:cs="黑体"/>
          <w:color w:val="auto"/>
          <w:kern w:val="2"/>
          <w:sz w:val="24"/>
          <w:szCs w:val="24"/>
          <w:highlight w:val="none"/>
          <w:lang w:val="en-US" w:eastAsia="zh-CN" w:bidi="ar"/>
        </w:rPr>
        <w:t xml:space="preserve"> </w:t>
      </w:r>
    </w:p>
    <w:p w14:paraId="61480F74">
      <w:pPr>
        <w:keepNext w:val="0"/>
        <w:keepLines w:val="0"/>
        <w:widowControl w:val="0"/>
        <w:suppressLineNumbers w:val="0"/>
        <w:adjustRightInd w:val="0"/>
        <w:snapToGrid w:val="0"/>
        <w:spacing w:before="0" w:beforeAutospacing="0" w:after="0" w:afterAutospacing="0" w:line="500" w:lineRule="exact"/>
        <w:ind w:left="0" w:right="0" w:firstLine="480" w:firstLineChars="200"/>
        <w:jc w:val="both"/>
        <w:rPr>
          <w:rFonts w:hint="eastAsia" w:ascii="宋体" w:hAnsi="宋体" w:eastAsia="宋体" w:cs="黑体"/>
          <w:color w:val="auto"/>
          <w:kern w:val="2"/>
          <w:sz w:val="24"/>
          <w:szCs w:val="24"/>
          <w:highlight w:val="none"/>
        </w:rPr>
      </w:pPr>
      <w:r>
        <w:rPr>
          <w:rFonts w:hint="eastAsia" w:ascii="宋体" w:hAnsi="宋体" w:eastAsia="宋体" w:cs="黑体"/>
          <w:color w:val="auto"/>
          <w:kern w:val="2"/>
          <w:sz w:val="24"/>
          <w:szCs w:val="24"/>
          <w:highlight w:val="none"/>
          <w:lang w:val="en-US" w:eastAsia="zh-CN" w:bidi="ar"/>
        </w:rPr>
        <w:t xml:space="preserve"> </w:t>
      </w:r>
    </w:p>
    <w:p w14:paraId="4832CBBB">
      <w:pPr>
        <w:keepNext w:val="0"/>
        <w:keepLines w:val="0"/>
        <w:widowControl w:val="0"/>
        <w:suppressLineNumbers w:val="0"/>
        <w:adjustRightInd w:val="0"/>
        <w:snapToGrid w:val="0"/>
        <w:spacing w:before="0" w:beforeAutospacing="0" w:after="0" w:afterAutospacing="0" w:line="500" w:lineRule="exact"/>
        <w:ind w:left="0" w:right="0" w:firstLine="4080" w:firstLineChars="1700"/>
        <w:jc w:val="both"/>
        <w:rPr>
          <w:rFonts w:hint="eastAsia" w:ascii="宋体" w:hAnsi="宋体" w:eastAsia="宋体" w:cs="黑体"/>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投标人名称（盖章）：</w:t>
      </w:r>
    </w:p>
    <w:p w14:paraId="383F286C">
      <w:pPr>
        <w:keepNext w:val="0"/>
        <w:keepLines w:val="0"/>
        <w:widowControl w:val="0"/>
        <w:suppressLineNumbers w:val="0"/>
        <w:adjustRightInd w:val="0"/>
        <w:snapToGrid w:val="0"/>
        <w:spacing w:before="0" w:beforeAutospacing="0" w:after="0" w:afterAutospacing="0" w:line="500" w:lineRule="exact"/>
        <w:ind w:left="0" w:right="0" w:firstLine="3600" w:firstLineChars="1500"/>
        <w:jc w:val="both"/>
        <w:rPr>
          <w:rFonts w:hint="eastAsia" w:ascii="宋体" w:hAnsi="宋体" w:eastAsia="宋体" w:cs="黑体"/>
          <w:color w:val="auto"/>
          <w:kern w:val="2"/>
          <w:sz w:val="24"/>
          <w:szCs w:val="24"/>
          <w:highlight w:val="none"/>
        </w:rPr>
      </w:pPr>
      <w:r>
        <w:rPr>
          <w:rFonts w:hint="eastAsia" w:ascii="宋体" w:hAnsi="宋体" w:eastAsia="宋体" w:cs="黑体"/>
          <w:color w:val="auto"/>
          <w:kern w:val="2"/>
          <w:sz w:val="24"/>
          <w:szCs w:val="24"/>
          <w:highlight w:val="none"/>
          <w:lang w:val="en-US" w:eastAsia="zh-CN" w:bidi="ar"/>
        </w:rPr>
        <w:tab/>
      </w:r>
    </w:p>
    <w:p w14:paraId="36DC4F18">
      <w:pPr>
        <w:keepNext w:val="0"/>
        <w:keepLines w:val="0"/>
        <w:widowControl w:val="0"/>
        <w:suppressLineNumbers w:val="0"/>
        <w:adjustRightInd w:val="0"/>
        <w:snapToGrid w:val="0"/>
        <w:spacing w:before="0" w:beforeAutospacing="0" w:after="0" w:afterAutospacing="0" w:line="500" w:lineRule="exact"/>
        <w:ind w:left="0" w:right="0" w:firstLine="4080" w:firstLineChars="1700"/>
        <w:jc w:val="both"/>
        <w:rPr>
          <w:rFonts w:hint="eastAsia" w:ascii="宋体" w:hAnsi="宋体" w:eastAsia="宋体" w:cs="黑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日期：</w:t>
      </w:r>
      <w:r>
        <w:rPr>
          <w:rFonts w:hint="eastAsia" w:ascii="宋体" w:hAnsi="宋体" w:eastAsia="宋体" w:cs="黑体"/>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年</w:t>
      </w:r>
      <w:r>
        <w:rPr>
          <w:rFonts w:hint="eastAsia" w:ascii="宋体" w:hAnsi="宋体" w:eastAsia="宋体" w:cs="黑体"/>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月</w:t>
      </w:r>
      <w:r>
        <w:rPr>
          <w:rFonts w:hint="eastAsia" w:ascii="宋体" w:hAnsi="宋体" w:eastAsia="宋体" w:cs="黑体"/>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日</w:t>
      </w:r>
    </w:p>
    <w:p w14:paraId="75AB1DF7">
      <w:pPr>
        <w:keepNext w:val="0"/>
        <w:keepLines w:val="0"/>
        <w:widowControl w:val="0"/>
        <w:suppressLineNumbers w:val="0"/>
        <w:adjustRightInd w:val="0"/>
        <w:snapToGrid w:val="0"/>
        <w:spacing w:before="0" w:beforeAutospacing="0" w:after="0" w:afterAutospacing="0" w:line="500" w:lineRule="exact"/>
        <w:ind w:left="0" w:right="0" w:firstLine="480" w:firstLineChars="200"/>
        <w:jc w:val="both"/>
        <w:rPr>
          <w:rFonts w:hint="eastAsia" w:ascii="宋体" w:hAnsi="宋体" w:eastAsia="宋体" w:cs="黑体"/>
          <w:color w:val="auto"/>
          <w:kern w:val="2"/>
          <w:sz w:val="24"/>
          <w:szCs w:val="24"/>
          <w:highlight w:val="none"/>
        </w:rPr>
      </w:pPr>
      <w:r>
        <w:rPr>
          <w:rFonts w:hint="eastAsia" w:ascii="宋体" w:hAnsi="宋体" w:eastAsia="宋体" w:cs="黑体"/>
          <w:color w:val="auto"/>
          <w:kern w:val="2"/>
          <w:sz w:val="24"/>
          <w:szCs w:val="24"/>
          <w:highlight w:val="none"/>
          <w:lang w:val="en-US" w:eastAsia="zh-CN" w:bidi="ar"/>
        </w:rPr>
        <w:t xml:space="preserve"> </w:t>
      </w:r>
    </w:p>
    <w:p w14:paraId="261EDB9F">
      <w:pPr>
        <w:keepNext w:val="0"/>
        <w:keepLines w:val="0"/>
        <w:widowControl w:val="0"/>
        <w:suppressLineNumbers w:val="0"/>
        <w:adjustRightInd w:val="0"/>
        <w:snapToGrid w:val="0"/>
        <w:spacing w:before="0" w:beforeAutospacing="0" w:after="0" w:afterAutospacing="0" w:line="500" w:lineRule="exact"/>
        <w:ind w:left="0" w:right="0" w:firstLine="480" w:firstLineChars="200"/>
        <w:jc w:val="both"/>
        <w:rPr>
          <w:rFonts w:hint="eastAsia" w:ascii="宋体" w:hAnsi="宋体" w:eastAsia="宋体" w:cs="黑体"/>
          <w:color w:val="auto"/>
          <w:kern w:val="2"/>
          <w:sz w:val="24"/>
          <w:szCs w:val="24"/>
          <w:highlight w:val="none"/>
        </w:rPr>
      </w:pPr>
      <w:r>
        <w:rPr>
          <w:rFonts w:hint="eastAsia" w:ascii="宋体" w:hAnsi="宋体" w:eastAsia="宋体" w:cs="黑体"/>
          <w:color w:val="auto"/>
          <w:kern w:val="2"/>
          <w:sz w:val="24"/>
          <w:szCs w:val="24"/>
          <w:highlight w:val="none"/>
          <w:lang w:val="en-US" w:eastAsia="zh-CN" w:bidi="ar"/>
        </w:rPr>
        <w:t xml:space="preserve"> </w:t>
      </w:r>
    </w:p>
    <w:p w14:paraId="1B519821">
      <w:pPr>
        <w:keepNext w:val="0"/>
        <w:keepLines w:val="0"/>
        <w:widowControl w:val="0"/>
        <w:suppressLineNumbers w:val="0"/>
        <w:adjustRightInd w:val="0"/>
        <w:snapToGrid w:val="0"/>
        <w:spacing w:before="0" w:beforeAutospacing="0" w:after="0" w:afterAutospacing="0" w:line="500" w:lineRule="exact"/>
        <w:ind w:left="0" w:right="0" w:firstLine="480" w:firstLineChars="200"/>
        <w:jc w:val="both"/>
        <w:rPr>
          <w:rFonts w:hint="eastAsia" w:ascii="宋体" w:hAnsi="宋体" w:eastAsia="宋体" w:cs="黑体"/>
          <w:color w:val="auto"/>
          <w:kern w:val="2"/>
          <w:sz w:val="24"/>
          <w:szCs w:val="24"/>
          <w:highlight w:val="none"/>
        </w:rPr>
      </w:pPr>
      <w:r>
        <w:rPr>
          <w:rFonts w:hint="eastAsia" w:ascii="宋体" w:hAnsi="宋体" w:eastAsia="宋体" w:cs="黑体"/>
          <w:color w:val="auto"/>
          <w:kern w:val="2"/>
          <w:sz w:val="24"/>
          <w:szCs w:val="24"/>
          <w:highlight w:val="none"/>
          <w:lang w:val="en-US" w:eastAsia="zh-CN" w:bidi="ar"/>
        </w:rPr>
        <w:t xml:space="preserve"> </w:t>
      </w:r>
    </w:p>
    <w:p w14:paraId="71ED55D3">
      <w:pPr>
        <w:keepNext w:val="0"/>
        <w:keepLines w:val="0"/>
        <w:widowControl w:val="0"/>
        <w:suppressLineNumbers w:val="0"/>
        <w:adjustRightInd w:val="0"/>
        <w:snapToGrid w:val="0"/>
        <w:spacing w:before="0" w:beforeAutospacing="0" w:after="0" w:afterAutospacing="0" w:line="500" w:lineRule="exact"/>
        <w:ind w:left="0" w:right="0" w:firstLine="480" w:firstLineChars="200"/>
        <w:jc w:val="both"/>
        <w:rPr>
          <w:rFonts w:hint="eastAsia" w:ascii="宋体" w:hAnsi="宋体" w:eastAsia="宋体" w:cs="黑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投标人为残疾人福利性单位提供此函。</w:t>
      </w:r>
    </w:p>
    <w:p w14:paraId="7E88CA24">
      <w:pPr>
        <w:keepNext w:val="0"/>
        <w:keepLines w:val="0"/>
        <w:widowControl w:val="0"/>
        <w:suppressLineNumbers w:val="0"/>
        <w:spacing w:before="100" w:beforeAutospacing="1" w:after="120" w:afterAutospacing="0" w:line="500" w:lineRule="exact"/>
        <w:ind w:left="0" w:right="0" w:firstLine="480" w:firstLineChars="200"/>
        <w:jc w:val="both"/>
        <w:rPr>
          <w:rFonts w:hint="eastAsia" w:ascii="宋体" w:hAnsi="宋体" w:eastAsia="宋体" w:cs="黑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备注：中标人为残疾人福利性单位的，应当随中标结果同时公告其《残疾人福利性单位声明函》，接受社会监督。</w:t>
      </w:r>
    </w:p>
    <w:p w14:paraId="3F847FE3">
      <w:pPr>
        <w:keepNext w:val="0"/>
        <w:keepLines w:val="0"/>
        <w:widowControl w:val="0"/>
        <w:suppressLineNumbers w:val="0"/>
        <w:spacing w:before="0" w:beforeLines="0" w:beforeAutospacing="0" w:after="0" w:afterLines="0" w:afterAutospacing="0" w:line="360" w:lineRule="auto"/>
        <w:ind w:left="0" w:right="0" w:firstLine="0" w:firstLineChars="0"/>
        <w:jc w:val="left"/>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 xml:space="preserve"> </w:t>
      </w:r>
    </w:p>
    <w:p w14:paraId="36B81E38">
      <w:pPr>
        <w:pStyle w:val="6"/>
        <w:rPr>
          <w:rFonts w:hint="eastAsia"/>
          <w:color w:val="auto"/>
          <w:highlight w:val="none"/>
          <w:lang w:eastAsia="zh-CN"/>
        </w:rPr>
      </w:pPr>
    </w:p>
    <w:sectPr>
      <w:headerReference r:id="rId7" w:type="first"/>
      <w:headerReference r:id="rId5" w:type="default"/>
      <w:footerReference r:id="rId8" w:type="default"/>
      <w:headerReference r:id="rId6" w:type="even"/>
      <w:pgSz w:w="11906" w:h="16838"/>
      <w:pgMar w:top="1440" w:right="1080" w:bottom="1440" w:left="1080" w:header="737" w:footer="964" w:gutter="0"/>
      <w:pgBorders>
        <w:top w:val="thinThickSmallGap" w:color="auto" w:sz="12" w:space="10"/>
        <w:left w:val="none" w:sz="0" w:space="0"/>
        <w:bottom w:val="thinThickSmallGap" w:color="auto" w:sz="12" w:space="10"/>
        <w:right w:val="none" w:sz="0" w:space="0"/>
      </w:pgBorders>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Helvetica">
    <w:panose1 w:val="020B0504020202030204"/>
    <w:charset w:val="00"/>
    <w:family w:val="swiss"/>
    <w:pitch w:val="default"/>
    <w:sig w:usb0="00000007" w:usb1="00000000" w:usb2="00000000" w:usb3="00000000" w:csb0="00000093" w:csb1="00000000"/>
  </w:font>
  <w:font w:name="ヒラギノ角ゴ Pro W3">
    <w:altName w:val="Yu Gothic"/>
    <w:panose1 w:val="00000000000000000000"/>
    <w:charset w:val="80"/>
    <w:family w:val="auto"/>
    <w:pitch w:val="default"/>
    <w:sig w:usb0="00000000" w:usb1="00000000" w:usb2="00000012" w:usb3="00000000" w:csb0="0002000D" w:csb1="00000000"/>
  </w:font>
  <w:font w:name="Yu Gothic">
    <w:panose1 w:val="020B0400000000000000"/>
    <w:charset w:val="80"/>
    <w:family w:val="auto"/>
    <w:pitch w:val="default"/>
    <w:sig w:usb0="E00002FF" w:usb1="2AC7FDFF" w:usb2="00000016" w:usb3="00000000" w:csb0="200200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微软雅黑 Light">
    <w:panose1 w:val="020B0502040204020203"/>
    <w:charset w:val="86"/>
    <w:family w:val="swiss"/>
    <w:pitch w:val="default"/>
    <w:sig w:usb0="80000287" w:usb1="2ACF0010" w:usb2="00000016" w:usb3="00000000" w:csb0="0004001F" w:csb1="00000000"/>
  </w:font>
  <w:font w:name="???|CS?o｡ﾀ?">
    <w:altName w:val="Yu Gothic"/>
    <w:panose1 w:val="00000000000000000000"/>
    <w:charset w:val="80"/>
    <w:family w:val="modern"/>
    <w:pitch w:val="default"/>
    <w:sig w:usb0="00000000" w:usb1="00000000" w:usb2="00000010" w:usb3="00000000" w:csb0="00020000" w:csb1="00000000"/>
  </w:font>
  <w:font w:name="等线">
    <w:panose1 w:val="02010600030101010101"/>
    <w:charset w:val="86"/>
    <w:family w:val="auto"/>
    <w:pitch w:val="default"/>
    <w:sig w:usb0="A00002BF" w:usb1="38CF7CFA" w:usb2="00000016" w:usb3="00000000" w:csb0="0004000F" w:csb1="00000000"/>
  </w:font>
  <w:font w:name="微软简标宋">
    <w:altName w:val="宋体"/>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987A2">
    <w:pPr>
      <w:pStyle w:val="28"/>
    </w:pPr>
    <w:r>
      <mc:AlternateContent>
        <mc:Choice Requires="wps">
          <w:drawing>
            <wp:anchor distT="0" distB="0" distL="114300" distR="114300" simplePos="0" relativeHeight="251660288" behindDoc="0" locked="0" layoutInCell="1" allowOverlap="1">
              <wp:simplePos x="0" y="0"/>
              <wp:positionH relativeFrom="margin">
                <wp:posOffset>2444115</wp:posOffset>
              </wp:positionH>
              <wp:positionV relativeFrom="paragraph">
                <wp:posOffset>60960</wp:posOffset>
              </wp:positionV>
              <wp:extent cx="1406525" cy="3327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406525" cy="3327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0571B3">
                          <w:pPr>
                            <w:pStyle w:val="28"/>
                            <w:ind w:firstLine="361"/>
                            <w:rPr>
                              <w:rFonts w:ascii="宋体" w:hAnsi="宋体" w:cs="宋体"/>
                              <w:b/>
                              <w:bCs/>
                            </w:rPr>
                          </w:pPr>
                          <w:r>
                            <w:rPr>
                              <w:rFonts w:hint="eastAsia" w:ascii="宋体" w:hAnsi="宋体" w:cs="宋体"/>
                              <w:b/>
                              <w:bCs/>
                            </w:rPr>
                            <w:t xml:space="preserve">第 </w:t>
                          </w:r>
                          <w:r>
                            <w:rPr>
                              <w:rFonts w:hint="eastAsia" w:ascii="宋体" w:hAnsi="宋体" w:cs="宋体"/>
                              <w:b/>
                              <w:bCs/>
                            </w:rPr>
                            <w:fldChar w:fldCharType="begin"/>
                          </w:r>
                          <w:r>
                            <w:rPr>
                              <w:rFonts w:hint="eastAsia" w:ascii="宋体" w:hAnsi="宋体" w:cs="宋体"/>
                              <w:b/>
                              <w:bCs/>
                            </w:rPr>
                            <w:instrText xml:space="preserve"> PAGE  \* MERGEFORMAT </w:instrText>
                          </w:r>
                          <w:r>
                            <w:rPr>
                              <w:rFonts w:hint="eastAsia" w:ascii="宋体" w:hAnsi="宋体" w:cs="宋体"/>
                              <w:b/>
                              <w:bCs/>
                            </w:rPr>
                            <w:fldChar w:fldCharType="separate"/>
                          </w:r>
                          <w:r>
                            <w:rPr>
                              <w:rFonts w:ascii="宋体" w:hAnsi="宋体" w:cs="宋体"/>
                              <w:b/>
                              <w:bCs/>
                            </w:rPr>
                            <w:t>55</w:t>
                          </w:r>
                          <w:r>
                            <w:rPr>
                              <w:rFonts w:hint="eastAsia" w:ascii="宋体" w:hAnsi="宋体" w:cs="宋体"/>
                              <w:b/>
                              <w:bCs/>
                            </w:rPr>
                            <w:fldChar w:fldCharType="end"/>
                          </w:r>
                          <w:r>
                            <w:rPr>
                              <w:rFonts w:hint="eastAsia" w:ascii="宋体" w:hAnsi="宋体" w:cs="宋体"/>
                              <w:b/>
                              <w:bCs/>
                            </w:rPr>
                            <w:t xml:space="preserve"> 页 共 </w:t>
                          </w:r>
                          <w:r>
                            <w:rPr>
                              <w:rFonts w:hint="eastAsia" w:ascii="宋体" w:hAnsi="宋体" w:cs="宋体"/>
                              <w:b/>
                              <w:bCs/>
                            </w:rPr>
                            <w:fldChar w:fldCharType="begin"/>
                          </w:r>
                          <w:r>
                            <w:rPr>
                              <w:rFonts w:hint="eastAsia" w:ascii="宋体" w:hAnsi="宋体" w:cs="宋体"/>
                              <w:b/>
                              <w:bCs/>
                            </w:rPr>
                            <w:instrText xml:space="preserve"> NUMPAGES  \* MERGEFORMAT </w:instrText>
                          </w:r>
                          <w:r>
                            <w:rPr>
                              <w:rFonts w:hint="eastAsia" w:ascii="宋体" w:hAnsi="宋体" w:cs="宋体"/>
                              <w:b/>
                              <w:bCs/>
                            </w:rPr>
                            <w:fldChar w:fldCharType="separate"/>
                          </w:r>
                          <w:r>
                            <w:rPr>
                              <w:rFonts w:ascii="宋体" w:hAnsi="宋体" w:cs="宋体"/>
                              <w:b/>
                              <w:bCs/>
                            </w:rPr>
                            <w:t>55</w:t>
                          </w:r>
                          <w:r>
                            <w:rPr>
                              <w:rFonts w:hint="eastAsia" w:ascii="宋体" w:hAnsi="宋体" w:cs="宋体"/>
                              <w:b/>
                              <w:bCs/>
                            </w:rPr>
                            <w:fldChar w:fldCharType="end"/>
                          </w:r>
                          <w:r>
                            <w:rPr>
                              <w:rFonts w:hint="eastAsia" w:ascii="宋体" w:hAnsi="宋体" w:cs="宋体"/>
                              <w:b/>
                              <w:bCs/>
                            </w:rPr>
                            <w:t xml:space="preserve"> 页</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92.45pt;margin-top:4.8pt;height:26.2pt;width:110.75pt;mso-position-horizontal-relative:margin;z-index:251660288;mso-width-relative:page;mso-height-relative:page;" filled="f" stroked="f" coordsize="21600,21600" o:gfxdata="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1TiuN2AAAAAgBAAAPAAAAAAAAAAEAIAAAACIAAABkcnMvZG93bnJldi54bWxQ&#10;SwECFAAUAAAACACHTuJAwOal3DACAABWBAAADgAAAAAAAAABACAAAAAnAQAAZHJzL2Uyb0RvYy54&#10;bWxQSwUGAAAAAAYABgBZAQAAyQUAAAAA&#10;">
              <v:fill on="f" focussize="0,0"/>
              <v:stroke on="f" weight="0.5pt"/>
              <v:imagedata o:title=""/>
              <o:lock v:ext="edit" aspectratio="f"/>
              <v:textbox inset="0mm,0mm,0mm,0mm">
                <w:txbxContent>
                  <w:p w14:paraId="320571B3">
                    <w:pPr>
                      <w:pStyle w:val="28"/>
                      <w:ind w:firstLine="361"/>
                      <w:rPr>
                        <w:rFonts w:ascii="宋体" w:hAnsi="宋体" w:cs="宋体"/>
                        <w:b/>
                        <w:bCs/>
                      </w:rPr>
                    </w:pPr>
                    <w:r>
                      <w:rPr>
                        <w:rFonts w:hint="eastAsia" w:ascii="宋体" w:hAnsi="宋体" w:cs="宋体"/>
                        <w:b/>
                        <w:bCs/>
                      </w:rPr>
                      <w:t xml:space="preserve">第 </w:t>
                    </w:r>
                    <w:r>
                      <w:rPr>
                        <w:rFonts w:hint="eastAsia" w:ascii="宋体" w:hAnsi="宋体" w:cs="宋体"/>
                        <w:b/>
                        <w:bCs/>
                      </w:rPr>
                      <w:fldChar w:fldCharType="begin"/>
                    </w:r>
                    <w:r>
                      <w:rPr>
                        <w:rFonts w:hint="eastAsia" w:ascii="宋体" w:hAnsi="宋体" w:cs="宋体"/>
                        <w:b/>
                        <w:bCs/>
                      </w:rPr>
                      <w:instrText xml:space="preserve"> PAGE  \* MERGEFORMAT </w:instrText>
                    </w:r>
                    <w:r>
                      <w:rPr>
                        <w:rFonts w:hint="eastAsia" w:ascii="宋体" w:hAnsi="宋体" w:cs="宋体"/>
                        <w:b/>
                        <w:bCs/>
                      </w:rPr>
                      <w:fldChar w:fldCharType="separate"/>
                    </w:r>
                    <w:r>
                      <w:rPr>
                        <w:rFonts w:ascii="宋体" w:hAnsi="宋体" w:cs="宋体"/>
                        <w:b/>
                        <w:bCs/>
                      </w:rPr>
                      <w:t>55</w:t>
                    </w:r>
                    <w:r>
                      <w:rPr>
                        <w:rFonts w:hint="eastAsia" w:ascii="宋体" w:hAnsi="宋体" w:cs="宋体"/>
                        <w:b/>
                        <w:bCs/>
                      </w:rPr>
                      <w:fldChar w:fldCharType="end"/>
                    </w:r>
                    <w:r>
                      <w:rPr>
                        <w:rFonts w:hint="eastAsia" w:ascii="宋体" w:hAnsi="宋体" w:cs="宋体"/>
                        <w:b/>
                        <w:bCs/>
                      </w:rPr>
                      <w:t xml:space="preserve"> 页 共 </w:t>
                    </w:r>
                    <w:r>
                      <w:rPr>
                        <w:rFonts w:hint="eastAsia" w:ascii="宋体" w:hAnsi="宋体" w:cs="宋体"/>
                        <w:b/>
                        <w:bCs/>
                      </w:rPr>
                      <w:fldChar w:fldCharType="begin"/>
                    </w:r>
                    <w:r>
                      <w:rPr>
                        <w:rFonts w:hint="eastAsia" w:ascii="宋体" w:hAnsi="宋体" w:cs="宋体"/>
                        <w:b/>
                        <w:bCs/>
                      </w:rPr>
                      <w:instrText xml:space="preserve"> NUMPAGES  \* MERGEFORMAT </w:instrText>
                    </w:r>
                    <w:r>
                      <w:rPr>
                        <w:rFonts w:hint="eastAsia" w:ascii="宋体" w:hAnsi="宋体" w:cs="宋体"/>
                        <w:b/>
                        <w:bCs/>
                      </w:rPr>
                      <w:fldChar w:fldCharType="separate"/>
                    </w:r>
                    <w:r>
                      <w:rPr>
                        <w:rFonts w:ascii="宋体" w:hAnsi="宋体" w:cs="宋体"/>
                        <w:b/>
                        <w:bCs/>
                      </w:rPr>
                      <w:t>55</w:t>
                    </w:r>
                    <w:r>
                      <w:rPr>
                        <w:rFonts w:hint="eastAsia" w:ascii="宋体" w:hAnsi="宋体" w:cs="宋体"/>
                        <w:b/>
                        <w:bCs/>
                      </w:rPr>
                      <w:fldChar w:fldCharType="end"/>
                    </w:r>
                    <w:r>
                      <w:rPr>
                        <w:rFonts w:hint="eastAsia" w:ascii="宋体" w:hAnsi="宋体" w:cs="宋体"/>
                        <w:b/>
                        <w:bCs/>
                      </w:rPr>
                      <w:t xml:space="preserve"> 页</w:t>
                    </w:r>
                  </w:p>
                </w:txbxContent>
              </v:textbox>
            </v:shape>
          </w:pict>
        </mc:Fallback>
      </mc:AlternateContent>
    </w:r>
    <w:r>
      <w:rPr>
        <w:rFonts w:ascii="宋体" w:hAnsi="宋体"/>
        <w:b/>
        <w:bCs/>
        <w:i/>
        <w:iCs/>
        <w:color w:val="00B050"/>
      </w:rPr>
      <w:drawing>
        <wp:anchor distT="0" distB="0" distL="114300" distR="114300" simplePos="0" relativeHeight="251659264" behindDoc="1" locked="0" layoutInCell="1" allowOverlap="1">
          <wp:simplePos x="0" y="0"/>
          <wp:positionH relativeFrom="column">
            <wp:posOffset>64770</wp:posOffset>
          </wp:positionH>
          <wp:positionV relativeFrom="page">
            <wp:posOffset>9950450</wp:posOffset>
          </wp:positionV>
          <wp:extent cx="927735" cy="184785"/>
          <wp:effectExtent l="0" t="0" r="5715" b="43815"/>
          <wp:wrapTight wrapText="bothSides">
            <wp:wrapPolygon>
              <wp:start x="0" y="0"/>
              <wp:lineTo x="0" y="19373"/>
              <wp:lineTo x="21290" y="19373"/>
              <wp:lineTo x="21290" y="0"/>
              <wp:lineTo x="0" y="0"/>
            </wp:wrapPolygon>
          </wp:wrapTight>
          <wp:docPr id="4" name="图片 4" descr="16607886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60788654(1)"/>
                  <pic:cNvPicPr>
                    <a:picLocks noChangeAspect="1"/>
                  </pic:cNvPicPr>
                </pic:nvPicPr>
                <pic:blipFill>
                  <a:blip r:embed="rId1"/>
                  <a:stretch>
                    <a:fillRect/>
                  </a:stretch>
                </pic:blipFill>
                <pic:spPr>
                  <a:xfrm>
                    <a:off x="0" y="0"/>
                    <a:ext cx="927735" cy="18478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731F4">
    <w:pPr>
      <w:pStyle w:val="29"/>
      <w:pBdr>
        <w:bottom w:val="none" w:color="auto" w:sz="0" w:space="1"/>
      </w:pBdr>
      <w:ind w:firstLine="0" w:firstLineChars="0"/>
      <w:jc w:val="left"/>
    </w:pPr>
    <w:r>
      <w:rPr>
        <w:rFonts w:hint="eastAsia" w:ascii="宋体" w:hAnsi="宋体" w:cs="宋体"/>
        <w:lang w:eastAsia="zh-CN"/>
      </w:rPr>
      <w:t>商品砼事业部2025年度装载机维修保养服务采购</w:t>
    </w:r>
    <w:r>
      <w:rPr>
        <w:rFonts w:hint="eastAsia" w:ascii="宋体" w:hAnsi="宋体" w:cs="宋体"/>
      </w:rPr>
      <w:t xml:space="preserve">的公开招标文件                            </w:t>
    </w:r>
    <w:r>
      <w:rPr>
        <w:rFonts w:hint="eastAsia" w:ascii="宋体" w:hAnsi="宋体" w:cs="宋体"/>
        <w:lang w:val="en-US" w:eastAsia="zh-CN"/>
      </w:rPr>
      <w:t xml:space="preserve">        </w:t>
    </w:r>
    <w:r>
      <w:rPr>
        <w:rFonts w:hint="eastAsia" w:ascii="宋体" w:hAnsi="宋体" w:cs="宋体"/>
        <w:lang w:eastAsia="zh-CN"/>
      </w:rPr>
      <w:t>LYCG2025YX-044</w:t>
    </w:r>
    <w:r>
      <w:rPr>
        <w:rFonts w:hint="eastAsia" w:ascii="宋体" w:hAnsi="宋体" w:cs="宋体"/>
      </w:rPr>
      <w:t xml:space="preserve"> </w:t>
    </w:r>
    <w:r>
      <w:rPr>
        <w:rFonts w:hint="eastAsia" w:ascii="宋体" w:hAnsi="宋体" w:cs="宋体"/>
        <w:lang w:val="en-US" w:eastAsia="zh-CN"/>
      </w:rPr>
      <w:t xml:space="preserve">   </w:t>
    </w:r>
    <w:r>
      <w:rPr>
        <w:rFonts w:hint="eastAsia" w:ascii="宋体" w:hAnsi="宋体" w:cs="宋体"/>
      </w:rPr>
      <w:t xml:space="preserve">  </w:t>
    </w:r>
    <w:r>
      <w:rPr>
        <w:rFonts w:hint="eastAsia" w:ascii="宋体" w:hAnsi="宋体" w:cs="宋体"/>
        <w:lang w:val="en-US" w:eastAsia="zh-CN"/>
      </w:rPr>
      <w:t xml:space="preserve">       </w:t>
    </w:r>
    <w:r>
      <w:rPr>
        <w:rFonts w:ascii="宋体" w:hAnsi="宋体" w:cs="宋体"/>
      </w:rPr>
      <w:t xml:space="preserve"> </w:t>
    </w:r>
    <w:r>
      <w:rPr>
        <w:rFonts w:hint="eastAsia" w:ascii="宋体" w:hAnsi="宋体" w:cs="宋体"/>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D6225">
    <w:pPr>
      <w:pStyle w:val="29"/>
      <w:ind w:firstLine="36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95EF6">
    <w:pPr>
      <w:pStyle w:val="29"/>
      <w:ind w:firstLine="36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AE1AAC"/>
    <w:multiLevelType w:val="multilevel"/>
    <w:tmpl w:val="84AE1AAC"/>
    <w:lvl w:ilvl="0" w:tentative="0">
      <w:start w:val="37"/>
      <w:numFmt w:val="decimal"/>
      <w:suff w:val="nothing"/>
      <w:lvlText w:val="%1."/>
      <w:lvlJc w:val="left"/>
      <w:pPr>
        <w:tabs>
          <w:tab w:val="left" w:pos="0"/>
        </w:tabs>
        <w:ind w:left="0" w:firstLine="0"/>
      </w:pPr>
      <w:rPr>
        <w:rFonts w:hint="default" w:ascii="宋体" w:hAnsi="宋体" w:eastAsia="宋体" w:cs="宋体"/>
        <w:sz w:val="28"/>
      </w:rPr>
    </w:lvl>
    <w:lvl w:ilvl="1" w:tentative="0">
      <w:start w:val="1"/>
      <w:numFmt w:val="decimal"/>
      <w:suff w:val="nothing"/>
      <w:lvlText w:val="%1.%2."/>
      <w:lvlJc w:val="left"/>
      <w:pPr>
        <w:tabs>
          <w:tab w:val="left" w:pos="0"/>
        </w:tabs>
        <w:ind w:left="0" w:firstLine="0"/>
      </w:pPr>
      <w:rPr>
        <w:rFonts w:hint="default" w:ascii="宋体" w:hAnsi="宋体" w:eastAsia="宋体" w:cs="宋体"/>
        <w:b w:val="0"/>
        <w:bCs w:val="0"/>
        <w:sz w:val="24"/>
        <w:szCs w:val="24"/>
      </w:rPr>
    </w:lvl>
    <w:lvl w:ilvl="2" w:tentative="0">
      <w:start w:val="1"/>
      <w:numFmt w:val="decimal"/>
      <w:suff w:val="nothing"/>
      <w:lvlText w:val="%1.%2.%3."/>
      <w:lvlJc w:val="left"/>
      <w:pPr>
        <w:tabs>
          <w:tab w:val="left" w:pos="0"/>
        </w:tabs>
        <w:ind w:left="1508" w:hanging="708"/>
      </w:pPr>
      <w:rPr>
        <w:rFonts w:hint="default" w:ascii="宋体" w:hAnsi="宋体" w:eastAsia="宋体" w:cs="宋体"/>
        <w:sz w:val="22"/>
      </w:rPr>
    </w:lvl>
    <w:lvl w:ilvl="3" w:tentative="0">
      <w:start w:val="1"/>
      <w:numFmt w:val="decimal"/>
      <w:suff w:val="nothing"/>
      <w:lvlText w:val="%1.%2.%3.%4."/>
      <w:lvlJc w:val="left"/>
      <w:pPr>
        <w:tabs>
          <w:tab w:val="left" w:pos="0"/>
        </w:tabs>
        <w:ind w:left="2053" w:hanging="853"/>
      </w:pPr>
      <w:rPr>
        <w:rFonts w:hint="default" w:ascii="黑体" w:hAnsi="黑体" w:eastAsia="黑体" w:cs="黑体"/>
      </w:rPr>
    </w:lvl>
    <w:lvl w:ilvl="4" w:tentative="0">
      <w:start w:val="1"/>
      <w:numFmt w:val="decimal"/>
      <w:lvlText w:val="%1.%2.%3.%4.%5."/>
      <w:lvlJc w:val="left"/>
      <w:pPr>
        <w:tabs>
          <w:tab w:val="left" w:pos="0"/>
        </w:tabs>
        <w:ind w:left="2495" w:hanging="895"/>
      </w:pPr>
      <w:rPr>
        <w:rFonts w:hint="default"/>
      </w:rPr>
    </w:lvl>
    <w:lvl w:ilvl="5" w:tentative="0">
      <w:start w:val="1"/>
      <w:numFmt w:val="decimal"/>
      <w:lvlText w:val="%1.%2.%3.%4.%5.%6."/>
      <w:lvlJc w:val="left"/>
      <w:pPr>
        <w:tabs>
          <w:tab w:val="left" w:pos="0"/>
        </w:tabs>
        <w:ind w:left="3136" w:hanging="1136"/>
      </w:pPr>
      <w:rPr>
        <w:rFonts w:hint="default"/>
      </w:rPr>
    </w:lvl>
    <w:lvl w:ilvl="6" w:tentative="0">
      <w:start w:val="1"/>
      <w:numFmt w:val="decimal"/>
      <w:lvlText w:val="%1.%2.%3.%4.%5.%6.%7."/>
      <w:lvlJc w:val="left"/>
      <w:pPr>
        <w:tabs>
          <w:tab w:val="left" w:pos="0"/>
        </w:tabs>
        <w:ind w:left="3673" w:hanging="1273"/>
      </w:pPr>
      <w:rPr>
        <w:rFonts w:hint="default"/>
      </w:rPr>
    </w:lvl>
    <w:lvl w:ilvl="7" w:tentative="0">
      <w:start w:val="1"/>
      <w:numFmt w:val="decimal"/>
      <w:lvlText w:val="%1.%2.%3.%4.%5.%6.%7.%8."/>
      <w:lvlJc w:val="left"/>
      <w:pPr>
        <w:tabs>
          <w:tab w:val="left" w:pos="0"/>
        </w:tabs>
        <w:ind w:left="4218" w:hanging="1418"/>
      </w:pPr>
      <w:rPr>
        <w:rFonts w:hint="default"/>
      </w:rPr>
    </w:lvl>
    <w:lvl w:ilvl="8" w:tentative="0">
      <w:start w:val="1"/>
      <w:numFmt w:val="decimal"/>
      <w:lvlText w:val="%1.%2.%3.%4.%5.%6.%7.%8.%9."/>
      <w:lvlJc w:val="left"/>
      <w:pPr>
        <w:tabs>
          <w:tab w:val="left" w:pos="0"/>
        </w:tabs>
        <w:ind w:left="4648" w:hanging="1448"/>
      </w:pPr>
      <w:rPr>
        <w:rFonts w:hint="default"/>
      </w:rPr>
    </w:lvl>
  </w:abstractNum>
  <w:abstractNum w:abstractNumId="1">
    <w:nsid w:val="85F771E9"/>
    <w:multiLevelType w:val="multilevel"/>
    <w:tmpl w:val="85F771E9"/>
    <w:lvl w:ilvl="0" w:tentative="0">
      <w:start w:val="33"/>
      <w:numFmt w:val="decimal"/>
      <w:suff w:val="nothing"/>
      <w:lvlText w:val="%1."/>
      <w:lvlJc w:val="left"/>
      <w:pPr>
        <w:tabs>
          <w:tab w:val="left" w:pos="0"/>
        </w:tabs>
        <w:ind w:left="0" w:firstLine="0"/>
      </w:pPr>
      <w:rPr>
        <w:rFonts w:hint="default" w:ascii="宋体" w:hAnsi="宋体" w:eastAsia="宋体" w:cs="宋体"/>
        <w:sz w:val="28"/>
      </w:rPr>
    </w:lvl>
    <w:lvl w:ilvl="1" w:tentative="0">
      <w:start w:val="1"/>
      <w:numFmt w:val="decimal"/>
      <w:suff w:val="nothing"/>
      <w:lvlText w:val="%1.%2."/>
      <w:lvlJc w:val="left"/>
      <w:pPr>
        <w:tabs>
          <w:tab w:val="left" w:pos="0"/>
        </w:tabs>
        <w:ind w:left="0" w:firstLine="0"/>
      </w:pPr>
      <w:rPr>
        <w:rFonts w:hint="default" w:ascii="宋体" w:hAnsi="宋体" w:eastAsia="宋体" w:cs="宋体"/>
        <w:b w:val="0"/>
        <w:bCs w:val="0"/>
        <w:sz w:val="24"/>
        <w:szCs w:val="24"/>
      </w:rPr>
    </w:lvl>
    <w:lvl w:ilvl="2" w:tentative="0">
      <w:start w:val="1"/>
      <w:numFmt w:val="decimal"/>
      <w:suff w:val="nothing"/>
      <w:lvlText w:val="%1.%2.%3."/>
      <w:lvlJc w:val="left"/>
      <w:pPr>
        <w:tabs>
          <w:tab w:val="left" w:pos="0"/>
        </w:tabs>
        <w:ind w:left="1508" w:hanging="708"/>
      </w:pPr>
      <w:rPr>
        <w:rFonts w:hint="default" w:ascii="宋体" w:hAnsi="宋体" w:eastAsia="宋体" w:cs="宋体"/>
        <w:sz w:val="22"/>
      </w:rPr>
    </w:lvl>
    <w:lvl w:ilvl="3" w:tentative="0">
      <w:start w:val="1"/>
      <w:numFmt w:val="decimal"/>
      <w:suff w:val="nothing"/>
      <w:lvlText w:val="%1.%2.%3.%4."/>
      <w:lvlJc w:val="left"/>
      <w:pPr>
        <w:tabs>
          <w:tab w:val="left" w:pos="0"/>
        </w:tabs>
        <w:ind w:left="2053" w:hanging="853"/>
      </w:pPr>
      <w:rPr>
        <w:rFonts w:hint="default" w:ascii="黑体" w:hAnsi="黑体" w:eastAsia="黑体" w:cs="黑体"/>
      </w:rPr>
    </w:lvl>
    <w:lvl w:ilvl="4" w:tentative="0">
      <w:start w:val="1"/>
      <w:numFmt w:val="decimal"/>
      <w:lvlText w:val="%1.%2.%3.%4.%5."/>
      <w:lvlJc w:val="left"/>
      <w:pPr>
        <w:tabs>
          <w:tab w:val="left" w:pos="0"/>
        </w:tabs>
        <w:ind w:left="2495" w:hanging="895"/>
      </w:pPr>
      <w:rPr>
        <w:rFonts w:hint="default"/>
      </w:rPr>
    </w:lvl>
    <w:lvl w:ilvl="5" w:tentative="0">
      <w:start w:val="1"/>
      <w:numFmt w:val="decimal"/>
      <w:lvlText w:val="%1.%2.%3.%4.%5.%6."/>
      <w:lvlJc w:val="left"/>
      <w:pPr>
        <w:tabs>
          <w:tab w:val="left" w:pos="0"/>
        </w:tabs>
        <w:ind w:left="3136" w:hanging="1136"/>
      </w:pPr>
      <w:rPr>
        <w:rFonts w:hint="default"/>
      </w:rPr>
    </w:lvl>
    <w:lvl w:ilvl="6" w:tentative="0">
      <w:start w:val="1"/>
      <w:numFmt w:val="decimal"/>
      <w:lvlText w:val="%1.%2.%3.%4.%5.%6.%7."/>
      <w:lvlJc w:val="left"/>
      <w:pPr>
        <w:tabs>
          <w:tab w:val="left" w:pos="0"/>
        </w:tabs>
        <w:ind w:left="3673" w:hanging="1273"/>
      </w:pPr>
      <w:rPr>
        <w:rFonts w:hint="default"/>
      </w:rPr>
    </w:lvl>
    <w:lvl w:ilvl="7" w:tentative="0">
      <w:start w:val="1"/>
      <w:numFmt w:val="decimal"/>
      <w:lvlText w:val="%1.%2.%3.%4.%5.%6.%7.%8."/>
      <w:lvlJc w:val="left"/>
      <w:pPr>
        <w:tabs>
          <w:tab w:val="left" w:pos="0"/>
        </w:tabs>
        <w:ind w:left="4218" w:hanging="1418"/>
      </w:pPr>
      <w:rPr>
        <w:rFonts w:hint="default"/>
      </w:rPr>
    </w:lvl>
    <w:lvl w:ilvl="8" w:tentative="0">
      <w:start w:val="1"/>
      <w:numFmt w:val="decimal"/>
      <w:lvlText w:val="%1.%2.%3.%4.%5.%6.%7.%8.%9."/>
      <w:lvlJc w:val="left"/>
      <w:pPr>
        <w:tabs>
          <w:tab w:val="left" w:pos="0"/>
        </w:tabs>
        <w:ind w:left="4648" w:hanging="1448"/>
      </w:pPr>
      <w:rPr>
        <w:rFonts w:hint="default"/>
      </w:rPr>
    </w:lvl>
  </w:abstractNum>
  <w:abstractNum w:abstractNumId="2">
    <w:nsid w:val="93AFAFA4"/>
    <w:multiLevelType w:val="multilevel"/>
    <w:tmpl w:val="93AFAFA4"/>
    <w:lvl w:ilvl="0" w:tentative="0">
      <w:start w:val="34"/>
      <w:numFmt w:val="decimal"/>
      <w:suff w:val="nothing"/>
      <w:lvlText w:val="%1."/>
      <w:lvlJc w:val="left"/>
      <w:pPr>
        <w:tabs>
          <w:tab w:val="left" w:pos="0"/>
        </w:tabs>
        <w:ind w:left="0" w:firstLine="0"/>
      </w:pPr>
      <w:rPr>
        <w:rFonts w:hint="default" w:ascii="宋体" w:hAnsi="宋体" w:eastAsia="宋体" w:cs="宋体"/>
        <w:sz w:val="28"/>
      </w:rPr>
    </w:lvl>
    <w:lvl w:ilvl="1" w:tentative="0">
      <w:start w:val="1"/>
      <w:numFmt w:val="decimal"/>
      <w:suff w:val="nothing"/>
      <w:lvlText w:val="%1.%2."/>
      <w:lvlJc w:val="left"/>
      <w:pPr>
        <w:tabs>
          <w:tab w:val="left" w:pos="0"/>
        </w:tabs>
        <w:ind w:left="0" w:firstLine="0"/>
      </w:pPr>
      <w:rPr>
        <w:rFonts w:hint="default" w:ascii="宋体" w:hAnsi="宋体" w:eastAsia="宋体" w:cs="宋体"/>
        <w:b w:val="0"/>
        <w:bCs w:val="0"/>
        <w:sz w:val="24"/>
        <w:szCs w:val="24"/>
      </w:rPr>
    </w:lvl>
    <w:lvl w:ilvl="2" w:tentative="0">
      <w:start w:val="1"/>
      <w:numFmt w:val="decimal"/>
      <w:suff w:val="nothing"/>
      <w:lvlText w:val="%1.%2.%3."/>
      <w:lvlJc w:val="left"/>
      <w:pPr>
        <w:tabs>
          <w:tab w:val="left" w:pos="0"/>
        </w:tabs>
        <w:ind w:left="1508" w:hanging="708"/>
      </w:pPr>
      <w:rPr>
        <w:rFonts w:hint="default" w:ascii="宋体" w:hAnsi="宋体" w:eastAsia="宋体" w:cs="宋体"/>
        <w:sz w:val="22"/>
      </w:rPr>
    </w:lvl>
    <w:lvl w:ilvl="3" w:tentative="0">
      <w:start w:val="1"/>
      <w:numFmt w:val="decimal"/>
      <w:suff w:val="nothing"/>
      <w:lvlText w:val="%1.%2.%3.%4."/>
      <w:lvlJc w:val="left"/>
      <w:pPr>
        <w:tabs>
          <w:tab w:val="left" w:pos="0"/>
        </w:tabs>
        <w:ind w:left="2053" w:hanging="853"/>
      </w:pPr>
      <w:rPr>
        <w:rFonts w:hint="default" w:ascii="黑体" w:hAnsi="黑体" w:eastAsia="黑体" w:cs="黑体"/>
      </w:rPr>
    </w:lvl>
    <w:lvl w:ilvl="4" w:tentative="0">
      <w:start w:val="1"/>
      <w:numFmt w:val="decimal"/>
      <w:lvlText w:val="%1.%2.%3.%4.%5."/>
      <w:lvlJc w:val="left"/>
      <w:pPr>
        <w:tabs>
          <w:tab w:val="left" w:pos="0"/>
        </w:tabs>
        <w:ind w:left="2495" w:hanging="895"/>
      </w:pPr>
      <w:rPr>
        <w:rFonts w:hint="default"/>
      </w:rPr>
    </w:lvl>
    <w:lvl w:ilvl="5" w:tentative="0">
      <w:start w:val="1"/>
      <w:numFmt w:val="decimal"/>
      <w:lvlText w:val="%1.%2.%3.%4.%5.%6."/>
      <w:lvlJc w:val="left"/>
      <w:pPr>
        <w:tabs>
          <w:tab w:val="left" w:pos="0"/>
        </w:tabs>
        <w:ind w:left="3136" w:hanging="1136"/>
      </w:pPr>
      <w:rPr>
        <w:rFonts w:hint="default"/>
      </w:rPr>
    </w:lvl>
    <w:lvl w:ilvl="6" w:tentative="0">
      <w:start w:val="1"/>
      <w:numFmt w:val="decimal"/>
      <w:lvlText w:val="%1.%2.%3.%4.%5.%6.%7."/>
      <w:lvlJc w:val="left"/>
      <w:pPr>
        <w:tabs>
          <w:tab w:val="left" w:pos="0"/>
        </w:tabs>
        <w:ind w:left="3673" w:hanging="1273"/>
      </w:pPr>
      <w:rPr>
        <w:rFonts w:hint="default"/>
      </w:rPr>
    </w:lvl>
    <w:lvl w:ilvl="7" w:tentative="0">
      <w:start w:val="1"/>
      <w:numFmt w:val="decimal"/>
      <w:lvlText w:val="%1.%2.%3.%4.%5.%6.%7.%8."/>
      <w:lvlJc w:val="left"/>
      <w:pPr>
        <w:tabs>
          <w:tab w:val="left" w:pos="0"/>
        </w:tabs>
        <w:ind w:left="4218" w:hanging="1418"/>
      </w:pPr>
      <w:rPr>
        <w:rFonts w:hint="default"/>
      </w:rPr>
    </w:lvl>
    <w:lvl w:ilvl="8" w:tentative="0">
      <w:start w:val="1"/>
      <w:numFmt w:val="decimal"/>
      <w:lvlText w:val="%1.%2.%3.%4.%5.%6.%7.%8.%9."/>
      <w:lvlJc w:val="left"/>
      <w:pPr>
        <w:tabs>
          <w:tab w:val="left" w:pos="0"/>
        </w:tabs>
        <w:ind w:left="4648" w:hanging="1448"/>
      </w:pPr>
      <w:rPr>
        <w:rFonts w:hint="default"/>
      </w:rPr>
    </w:lvl>
  </w:abstractNum>
  <w:abstractNum w:abstractNumId="3">
    <w:nsid w:val="96C99190"/>
    <w:multiLevelType w:val="multilevel"/>
    <w:tmpl w:val="96C99190"/>
    <w:lvl w:ilvl="0" w:tentative="0">
      <w:start w:val="25"/>
      <w:numFmt w:val="decimal"/>
      <w:suff w:val="nothing"/>
      <w:lvlText w:val="%1."/>
      <w:lvlJc w:val="left"/>
      <w:pPr>
        <w:tabs>
          <w:tab w:val="left" w:pos="0"/>
        </w:tabs>
        <w:ind w:left="903" w:hanging="425"/>
      </w:pPr>
      <w:rPr>
        <w:rFonts w:hint="default" w:ascii="宋体" w:hAnsi="宋体" w:eastAsia="宋体" w:cs="宋体"/>
        <w:sz w:val="28"/>
      </w:rPr>
    </w:lvl>
    <w:lvl w:ilvl="1" w:tentative="0">
      <w:start w:val="1"/>
      <w:numFmt w:val="decimal"/>
      <w:suff w:val="nothing"/>
      <w:lvlText w:val="%1.%2."/>
      <w:lvlJc w:val="left"/>
      <w:pPr>
        <w:tabs>
          <w:tab w:val="left" w:pos="0"/>
        </w:tabs>
        <w:ind w:left="0" w:firstLine="0"/>
      </w:pPr>
      <w:rPr>
        <w:rFonts w:hint="default" w:ascii="宋体" w:hAnsi="宋体" w:eastAsia="宋体" w:cs="宋体"/>
        <w:b w:val="0"/>
        <w:bCs w:val="0"/>
        <w:sz w:val="24"/>
        <w:szCs w:val="24"/>
      </w:rPr>
    </w:lvl>
    <w:lvl w:ilvl="2" w:tentative="0">
      <w:start w:val="1"/>
      <w:numFmt w:val="decimal"/>
      <w:suff w:val="nothing"/>
      <w:lvlText w:val="%1.%2.%3."/>
      <w:lvlJc w:val="left"/>
      <w:pPr>
        <w:tabs>
          <w:tab w:val="left" w:pos="0"/>
        </w:tabs>
        <w:ind w:left="1508" w:hanging="708"/>
      </w:pPr>
      <w:rPr>
        <w:rFonts w:hint="default" w:ascii="宋体" w:hAnsi="宋体" w:eastAsia="宋体" w:cs="宋体"/>
        <w:sz w:val="22"/>
      </w:rPr>
    </w:lvl>
    <w:lvl w:ilvl="3" w:tentative="0">
      <w:start w:val="1"/>
      <w:numFmt w:val="decimal"/>
      <w:suff w:val="nothing"/>
      <w:lvlText w:val="%1.%2.%3.%4."/>
      <w:lvlJc w:val="left"/>
      <w:pPr>
        <w:tabs>
          <w:tab w:val="left" w:pos="0"/>
        </w:tabs>
        <w:ind w:left="2053" w:hanging="853"/>
      </w:pPr>
      <w:rPr>
        <w:rFonts w:hint="default" w:ascii="黑体" w:hAnsi="黑体" w:eastAsia="黑体" w:cs="黑体"/>
      </w:rPr>
    </w:lvl>
    <w:lvl w:ilvl="4" w:tentative="0">
      <w:start w:val="1"/>
      <w:numFmt w:val="decimal"/>
      <w:lvlText w:val="%1.%2.%3.%4.%5."/>
      <w:lvlJc w:val="left"/>
      <w:pPr>
        <w:tabs>
          <w:tab w:val="left" w:pos="0"/>
        </w:tabs>
        <w:ind w:left="2495" w:hanging="895"/>
      </w:pPr>
      <w:rPr>
        <w:rFonts w:hint="default"/>
      </w:rPr>
    </w:lvl>
    <w:lvl w:ilvl="5" w:tentative="0">
      <w:start w:val="1"/>
      <w:numFmt w:val="decimal"/>
      <w:lvlText w:val="%1.%2.%3.%4.%5.%6."/>
      <w:lvlJc w:val="left"/>
      <w:pPr>
        <w:tabs>
          <w:tab w:val="left" w:pos="0"/>
        </w:tabs>
        <w:ind w:left="3136" w:hanging="1136"/>
      </w:pPr>
      <w:rPr>
        <w:rFonts w:hint="default"/>
      </w:rPr>
    </w:lvl>
    <w:lvl w:ilvl="6" w:tentative="0">
      <w:start w:val="1"/>
      <w:numFmt w:val="decimal"/>
      <w:lvlText w:val="%1.%2.%3.%4.%5.%6.%7."/>
      <w:lvlJc w:val="left"/>
      <w:pPr>
        <w:tabs>
          <w:tab w:val="left" w:pos="0"/>
        </w:tabs>
        <w:ind w:left="3673" w:hanging="1273"/>
      </w:pPr>
      <w:rPr>
        <w:rFonts w:hint="default"/>
      </w:rPr>
    </w:lvl>
    <w:lvl w:ilvl="7" w:tentative="0">
      <w:start w:val="1"/>
      <w:numFmt w:val="decimal"/>
      <w:lvlText w:val="%1.%2.%3.%4.%5.%6.%7.%8."/>
      <w:lvlJc w:val="left"/>
      <w:pPr>
        <w:tabs>
          <w:tab w:val="left" w:pos="0"/>
        </w:tabs>
        <w:ind w:left="4218" w:hanging="1418"/>
      </w:pPr>
      <w:rPr>
        <w:rFonts w:hint="default"/>
      </w:rPr>
    </w:lvl>
    <w:lvl w:ilvl="8" w:tentative="0">
      <w:start w:val="1"/>
      <w:numFmt w:val="decimal"/>
      <w:lvlText w:val="%1.%2.%3.%4.%5.%6.%7.%8.%9."/>
      <w:lvlJc w:val="left"/>
      <w:pPr>
        <w:tabs>
          <w:tab w:val="left" w:pos="0"/>
        </w:tabs>
        <w:ind w:left="4648" w:hanging="1448"/>
      </w:pPr>
      <w:rPr>
        <w:rFonts w:hint="default"/>
      </w:rPr>
    </w:lvl>
  </w:abstractNum>
  <w:abstractNum w:abstractNumId="4">
    <w:nsid w:val="A21EAE92"/>
    <w:multiLevelType w:val="multilevel"/>
    <w:tmpl w:val="A21EAE92"/>
    <w:lvl w:ilvl="0" w:tentative="0">
      <w:start w:val="1"/>
      <w:numFmt w:val="decimal"/>
      <w:suff w:val="nothing"/>
      <w:lvlText w:val="%1."/>
      <w:lvlJc w:val="left"/>
      <w:pPr>
        <w:tabs>
          <w:tab w:val="left" w:pos="0"/>
        </w:tabs>
        <w:ind w:left="960" w:hanging="425"/>
      </w:pPr>
      <w:rPr>
        <w:rFonts w:hint="default" w:ascii="宋体" w:hAnsi="宋体" w:eastAsia="宋体" w:cs="宋体"/>
        <w:sz w:val="28"/>
      </w:rPr>
    </w:lvl>
    <w:lvl w:ilvl="1" w:tentative="0">
      <w:start w:val="1"/>
      <w:numFmt w:val="decimal"/>
      <w:suff w:val="nothing"/>
      <w:lvlText w:val="%1.%2."/>
      <w:lvlJc w:val="left"/>
      <w:pPr>
        <w:tabs>
          <w:tab w:val="left" w:pos="0"/>
        </w:tabs>
        <w:ind w:left="0" w:leftChars="0" w:firstLine="0" w:firstLineChars="0"/>
      </w:pPr>
      <w:rPr>
        <w:rFonts w:hint="default" w:ascii="宋体" w:hAnsi="宋体" w:eastAsia="宋体" w:cs="宋体"/>
        <w:b w:val="0"/>
        <w:bCs w:val="0"/>
        <w:sz w:val="24"/>
        <w:szCs w:val="24"/>
      </w:rPr>
    </w:lvl>
    <w:lvl w:ilvl="2" w:tentative="0">
      <w:start w:val="1"/>
      <w:numFmt w:val="decimal"/>
      <w:suff w:val="nothing"/>
      <w:lvlText w:val="%1.%2.%3."/>
      <w:lvlJc w:val="left"/>
      <w:pPr>
        <w:tabs>
          <w:tab w:val="left" w:pos="0"/>
        </w:tabs>
        <w:ind w:left="1508" w:hanging="708"/>
      </w:pPr>
      <w:rPr>
        <w:rFonts w:hint="default" w:ascii="宋体" w:hAnsi="宋体" w:eastAsia="宋体" w:cs="宋体"/>
        <w:sz w:val="22"/>
      </w:rPr>
    </w:lvl>
    <w:lvl w:ilvl="3" w:tentative="0">
      <w:start w:val="1"/>
      <w:numFmt w:val="decimal"/>
      <w:suff w:val="nothing"/>
      <w:lvlText w:val="%1.%2.%3.%4."/>
      <w:lvlJc w:val="left"/>
      <w:pPr>
        <w:tabs>
          <w:tab w:val="left" w:pos="0"/>
        </w:tabs>
        <w:ind w:left="2053" w:hanging="853"/>
      </w:pPr>
      <w:rPr>
        <w:rFonts w:hint="default" w:ascii="黑体" w:hAnsi="黑体" w:eastAsia="黑体" w:cs="黑体"/>
      </w:rPr>
    </w:lvl>
    <w:lvl w:ilvl="4" w:tentative="0">
      <w:start w:val="1"/>
      <w:numFmt w:val="decimal"/>
      <w:lvlText w:val="%1.%2.%3.%4.%5."/>
      <w:lvlJc w:val="left"/>
      <w:pPr>
        <w:tabs>
          <w:tab w:val="left" w:pos="0"/>
        </w:tabs>
        <w:ind w:left="2495" w:hanging="895"/>
      </w:pPr>
      <w:rPr>
        <w:rFonts w:hint="default"/>
      </w:rPr>
    </w:lvl>
    <w:lvl w:ilvl="5" w:tentative="0">
      <w:start w:val="1"/>
      <w:numFmt w:val="decimal"/>
      <w:lvlText w:val="%1.%2.%3.%4.%5.%6."/>
      <w:lvlJc w:val="left"/>
      <w:pPr>
        <w:tabs>
          <w:tab w:val="left" w:pos="0"/>
        </w:tabs>
        <w:ind w:left="3136" w:hanging="1136"/>
      </w:pPr>
      <w:rPr>
        <w:rFonts w:hint="default"/>
      </w:rPr>
    </w:lvl>
    <w:lvl w:ilvl="6" w:tentative="0">
      <w:start w:val="1"/>
      <w:numFmt w:val="decimal"/>
      <w:lvlText w:val="%1.%2.%3.%4.%5.%6.%7."/>
      <w:lvlJc w:val="left"/>
      <w:pPr>
        <w:tabs>
          <w:tab w:val="left" w:pos="0"/>
        </w:tabs>
        <w:ind w:left="3673" w:hanging="1273"/>
      </w:pPr>
      <w:rPr>
        <w:rFonts w:hint="default"/>
      </w:rPr>
    </w:lvl>
    <w:lvl w:ilvl="7" w:tentative="0">
      <w:start w:val="1"/>
      <w:numFmt w:val="decimal"/>
      <w:lvlText w:val="%1.%2.%3.%4.%5.%6.%7.%8."/>
      <w:lvlJc w:val="left"/>
      <w:pPr>
        <w:tabs>
          <w:tab w:val="left" w:pos="0"/>
        </w:tabs>
        <w:ind w:left="4218" w:hanging="1418"/>
      </w:pPr>
      <w:rPr>
        <w:rFonts w:hint="default"/>
      </w:rPr>
    </w:lvl>
    <w:lvl w:ilvl="8" w:tentative="0">
      <w:start w:val="1"/>
      <w:numFmt w:val="decimal"/>
      <w:lvlText w:val="%1.%2.%3.%4.%5.%6.%7.%8.%9."/>
      <w:lvlJc w:val="left"/>
      <w:pPr>
        <w:tabs>
          <w:tab w:val="left" w:pos="0"/>
        </w:tabs>
        <w:ind w:left="4648" w:hanging="1448"/>
      </w:pPr>
      <w:rPr>
        <w:rFonts w:hint="default"/>
      </w:rPr>
    </w:lvl>
  </w:abstractNum>
  <w:abstractNum w:abstractNumId="5">
    <w:nsid w:val="AB3B11DE"/>
    <w:multiLevelType w:val="multilevel"/>
    <w:tmpl w:val="AB3B11DE"/>
    <w:lvl w:ilvl="0" w:tentative="0">
      <w:start w:val="22"/>
      <w:numFmt w:val="decimal"/>
      <w:suff w:val="nothing"/>
      <w:lvlText w:val="%1."/>
      <w:lvlJc w:val="left"/>
      <w:pPr>
        <w:tabs>
          <w:tab w:val="left" w:pos="0"/>
        </w:tabs>
        <w:ind w:left="903" w:hanging="425"/>
      </w:pPr>
      <w:rPr>
        <w:rFonts w:hint="default" w:ascii="宋体" w:hAnsi="宋体" w:eastAsia="宋体" w:cs="宋体"/>
        <w:sz w:val="28"/>
      </w:rPr>
    </w:lvl>
    <w:lvl w:ilvl="1" w:tentative="0">
      <w:start w:val="1"/>
      <w:numFmt w:val="decimal"/>
      <w:suff w:val="nothing"/>
      <w:lvlText w:val="%1.%2."/>
      <w:lvlJc w:val="left"/>
      <w:pPr>
        <w:tabs>
          <w:tab w:val="left" w:pos="0"/>
        </w:tabs>
        <w:ind w:left="0" w:leftChars="0" w:firstLine="0" w:firstLineChars="0"/>
      </w:pPr>
      <w:rPr>
        <w:rFonts w:hint="default" w:ascii="宋体" w:hAnsi="宋体" w:eastAsia="宋体" w:cs="宋体"/>
        <w:b w:val="0"/>
        <w:bCs w:val="0"/>
        <w:sz w:val="24"/>
        <w:szCs w:val="24"/>
      </w:rPr>
    </w:lvl>
    <w:lvl w:ilvl="2" w:tentative="0">
      <w:start w:val="1"/>
      <w:numFmt w:val="decimal"/>
      <w:suff w:val="nothing"/>
      <w:lvlText w:val="%1.%2.%3."/>
      <w:lvlJc w:val="left"/>
      <w:pPr>
        <w:tabs>
          <w:tab w:val="left" w:pos="0"/>
        </w:tabs>
        <w:ind w:left="1508" w:hanging="708"/>
      </w:pPr>
      <w:rPr>
        <w:rFonts w:hint="default" w:ascii="宋体" w:hAnsi="宋体" w:eastAsia="宋体" w:cs="宋体"/>
        <w:sz w:val="22"/>
      </w:rPr>
    </w:lvl>
    <w:lvl w:ilvl="3" w:tentative="0">
      <w:start w:val="1"/>
      <w:numFmt w:val="decimal"/>
      <w:suff w:val="nothing"/>
      <w:lvlText w:val="%1.%2.%3.%4."/>
      <w:lvlJc w:val="left"/>
      <w:pPr>
        <w:tabs>
          <w:tab w:val="left" w:pos="0"/>
        </w:tabs>
        <w:ind w:left="2053" w:hanging="853"/>
      </w:pPr>
      <w:rPr>
        <w:rFonts w:hint="default" w:ascii="黑体" w:hAnsi="黑体" w:eastAsia="黑体" w:cs="黑体"/>
      </w:rPr>
    </w:lvl>
    <w:lvl w:ilvl="4" w:tentative="0">
      <w:start w:val="1"/>
      <w:numFmt w:val="decimal"/>
      <w:lvlText w:val="%1.%2.%3.%4.%5."/>
      <w:lvlJc w:val="left"/>
      <w:pPr>
        <w:tabs>
          <w:tab w:val="left" w:pos="0"/>
        </w:tabs>
        <w:ind w:left="2495" w:hanging="895"/>
      </w:pPr>
      <w:rPr>
        <w:rFonts w:hint="default"/>
      </w:rPr>
    </w:lvl>
    <w:lvl w:ilvl="5" w:tentative="0">
      <w:start w:val="1"/>
      <w:numFmt w:val="decimal"/>
      <w:lvlText w:val="%1.%2.%3.%4.%5.%6."/>
      <w:lvlJc w:val="left"/>
      <w:pPr>
        <w:tabs>
          <w:tab w:val="left" w:pos="0"/>
        </w:tabs>
        <w:ind w:left="3136" w:hanging="1136"/>
      </w:pPr>
      <w:rPr>
        <w:rFonts w:hint="default"/>
      </w:rPr>
    </w:lvl>
    <w:lvl w:ilvl="6" w:tentative="0">
      <w:start w:val="1"/>
      <w:numFmt w:val="decimal"/>
      <w:lvlText w:val="%1.%2.%3.%4.%5.%6.%7."/>
      <w:lvlJc w:val="left"/>
      <w:pPr>
        <w:tabs>
          <w:tab w:val="left" w:pos="0"/>
        </w:tabs>
        <w:ind w:left="3673" w:hanging="1273"/>
      </w:pPr>
      <w:rPr>
        <w:rFonts w:hint="default"/>
      </w:rPr>
    </w:lvl>
    <w:lvl w:ilvl="7" w:tentative="0">
      <w:start w:val="1"/>
      <w:numFmt w:val="decimal"/>
      <w:lvlText w:val="%1.%2.%3.%4.%5.%6.%7.%8."/>
      <w:lvlJc w:val="left"/>
      <w:pPr>
        <w:tabs>
          <w:tab w:val="left" w:pos="0"/>
        </w:tabs>
        <w:ind w:left="4218" w:hanging="1418"/>
      </w:pPr>
      <w:rPr>
        <w:rFonts w:hint="default"/>
      </w:rPr>
    </w:lvl>
    <w:lvl w:ilvl="8" w:tentative="0">
      <w:start w:val="1"/>
      <w:numFmt w:val="decimal"/>
      <w:lvlText w:val="%1.%2.%3.%4.%5.%6.%7.%8.%9."/>
      <w:lvlJc w:val="left"/>
      <w:pPr>
        <w:tabs>
          <w:tab w:val="left" w:pos="0"/>
        </w:tabs>
        <w:ind w:left="4648" w:hanging="1448"/>
      </w:pPr>
      <w:rPr>
        <w:rFonts w:hint="default"/>
      </w:rPr>
    </w:lvl>
  </w:abstractNum>
  <w:abstractNum w:abstractNumId="6">
    <w:nsid w:val="B962F18F"/>
    <w:multiLevelType w:val="multilevel"/>
    <w:tmpl w:val="B962F18F"/>
    <w:lvl w:ilvl="0" w:tentative="0">
      <w:start w:val="48"/>
      <w:numFmt w:val="decimal"/>
      <w:suff w:val="nothing"/>
      <w:lvlText w:val="%1."/>
      <w:lvlJc w:val="left"/>
      <w:pPr>
        <w:tabs>
          <w:tab w:val="left" w:pos="0"/>
        </w:tabs>
        <w:ind w:left="0" w:firstLine="0"/>
      </w:pPr>
      <w:rPr>
        <w:rFonts w:hint="default" w:ascii="宋体" w:hAnsi="宋体" w:eastAsia="宋体" w:cs="宋体"/>
        <w:sz w:val="28"/>
      </w:rPr>
    </w:lvl>
    <w:lvl w:ilvl="1" w:tentative="0">
      <w:start w:val="1"/>
      <w:numFmt w:val="decimal"/>
      <w:suff w:val="nothing"/>
      <w:lvlText w:val="%1.%2."/>
      <w:lvlJc w:val="left"/>
      <w:pPr>
        <w:tabs>
          <w:tab w:val="left" w:pos="0"/>
        </w:tabs>
        <w:ind w:left="0" w:firstLine="0"/>
      </w:pPr>
      <w:rPr>
        <w:rFonts w:hint="default" w:ascii="宋体" w:hAnsi="宋体" w:eastAsia="宋体" w:cs="宋体"/>
        <w:b w:val="0"/>
        <w:bCs w:val="0"/>
        <w:sz w:val="24"/>
        <w:szCs w:val="24"/>
      </w:rPr>
    </w:lvl>
    <w:lvl w:ilvl="2" w:tentative="0">
      <w:start w:val="1"/>
      <w:numFmt w:val="decimal"/>
      <w:suff w:val="nothing"/>
      <w:lvlText w:val="%1.%2.%3."/>
      <w:lvlJc w:val="left"/>
      <w:pPr>
        <w:tabs>
          <w:tab w:val="left" w:pos="0"/>
        </w:tabs>
        <w:ind w:left="1508" w:hanging="708"/>
      </w:pPr>
      <w:rPr>
        <w:rFonts w:hint="default" w:ascii="宋体" w:hAnsi="宋体" w:eastAsia="宋体" w:cs="宋体"/>
        <w:sz w:val="22"/>
      </w:rPr>
    </w:lvl>
    <w:lvl w:ilvl="3" w:tentative="0">
      <w:start w:val="1"/>
      <w:numFmt w:val="decimal"/>
      <w:suff w:val="nothing"/>
      <w:lvlText w:val="%1.%2.%3.%4."/>
      <w:lvlJc w:val="left"/>
      <w:pPr>
        <w:tabs>
          <w:tab w:val="left" w:pos="0"/>
        </w:tabs>
        <w:ind w:left="2053" w:hanging="853"/>
      </w:pPr>
      <w:rPr>
        <w:rFonts w:hint="default" w:ascii="黑体" w:hAnsi="黑体" w:eastAsia="黑体" w:cs="黑体"/>
      </w:rPr>
    </w:lvl>
    <w:lvl w:ilvl="4" w:tentative="0">
      <w:start w:val="1"/>
      <w:numFmt w:val="decimal"/>
      <w:lvlText w:val="%1.%2.%3.%4.%5."/>
      <w:lvlJc w:val="left"/>
      <w:pPr>
        <w:tabs>
          <w:tab w:val="left" w:pos="0"/>
        </w:tabs>
        <w:ind w:left="2495" w:hanging="895"/>
      </w:pPr>
      <w:rPr>
        <w:rFonts w:hint="default"/>
      </w:rPr>
    </w:lvl>
    <w:lvl w:ilvl="5" w:tentative="0">
      <w:start w:val="1"/>
      <w:numFmt w:val="decimal"/>
      <w:lvlText w:val="%1.%2.%3.%4.%5.%6."/>
      <w:lvlJc w:val="left"/>
      <w:pPr>
        <w:tabs>
          <w:tab w:val="left" w:pos="0"/>
        </w:tabs>
        <w:ind w:left="3136" w:hanging="1136"/>
      </w:pPr>
      <w:rPr>
        <w:rFonts w:hint="default"/>
      </w:rPr>
    </w:lvl>
    <w:lvl w:ilvl="6" w:tentative="0">
      <w:start w:val="1"/>
      <w:numFmt w:val="decimal"/>
      <w:lvlText w:val="%1.%2.%3.%4.%5.%6.%7."/>
      <w:lvlJc w:val="left"/>
      <w:pPr>
        <w:tabs>
          <w:tab w:val="left" w:pos="0"/>
        </w:tabs>
        <w:ind w:left="3673" w:hanging="1273"/>
      </w:pPr>
      <w:rPr>
        <w:rFonts w:hint="default"/>
      </w:rPr>
    </w:lvl>
    <w:lvl w:ilvl="7" w:tentative="0">
      <w:start w:val="1"/>
      <w:numFmt w:val="decimal"/>
      <w:lvlText w:val="%1.%2.%3.%4.%5.%6.%7.%8."/>
      <w:lvlJc w:val="left"/>
      <w:pPr>
        <w:tabs>
          <w:tab w:val="left" w:pos="0"/>
        </w:tabs>
        <w:ind w:left="4218" w:hanging="1418"/>
      </w:pPr>
      <w:rPr>
        <w:rFonts w:hint="default"/>
      </w:rPr>
    </w:lvl>
    <w:lvl w:ilvl="8" w:tentative="0">
      <w:start w:val="1"/>
      <w:numFmt w:val="decimal"/>
      <w:lvlText w:val="%1.%2.%3.%4.%5.%6.%7.%8.%9."/>
      <w:lvlJc w:val="left"/>
      <w:pPr>
        <w:tabs>
          <w:tab w:val="left" w:pos="0"/>
        </w:tabs>
        <w:ind w:left="4648" w:hanging="1448"/>
      </w:pPr>
      <w:rPr>
        <w:rFonts w:hint="default"/>
      </w:rPr>
    </w:lvl>
  </w:abstractNum>
  <w:abstractNum w:abstractNumId="7">
    <w:nsid w:val="BEAE6844"/>
    <w:multiLevelType w:val="multilevel"/>
    <w:tmpl w:val="BEAE6844"/>
    <w:lvl w:ilvl="0" w:tentative="0">
      <w:start w:val="38"/>
      <w:numFmt w:val="decimal"/>
      <w:suff w:val="nothing"/>
      <w:lvlText w:val="%1."/>
      <w:lvlJc w:val="left"/>
      <w:pPr>
        <w:tabs>
          <w:tab w:val="left" w:pos="0"/>
        </w:tabs>
        <w:ind w:left="0" w:firstLine="0"/>
      </w:pPr>
      <w:rPr>
        <w:rFonts w:hint="default" w:ascii="宋体" w:hAnsi="宋体" w:eastAsia="宋体" w:cs="宋体"/>
        <w:sz w:val="28"/>
      </w:rPr>
    </w:lvl>
    <w:lvl w:ilvl="1" w:tentative="0">
      <w:start w:val="1"/>
      <w:numFmt w:val="decimal"/>
      <w:suff w:val="nothing"/>
      <w:lvlText w:val="%1.%2."/>
      <w:lvlJc w:val="left"/>
      <w:pPr>
        <w:tabs>
          <w:tab w:val="left" w:pos="0"/>
        </w:tabs>
        <w:ind w:left="0" w:firstLine="0"/>
      </w:pPr>
      <w:rPr>
        <w:rFonts w:hint="default" w:ascii="宋体" w:hAnsi="宋体" w:eastAsia="宋体" w:cs="宋体"/>
        <w:b w:val="0"/>
        <w:bCs w:val="0"/>
        <w:sz w:val="24"/>
        <w:szCs w:val="24"/>
      </w:rPr>
    </w:lvl>
    <w:lvl w:ilvl="2" w:tentative="0">
      <w:start w:val="1"/>
      <w:numFmt w:val="decimal"/>
      <w:suff w:val="nothing"/>
      <w:lvlText w:val="%1.%2.%3."/>
      <w:lvlJc w:val="left"/>
      <w:pPr>
        <w:tabs>
          <w:tab w:val="left" w:pos="0"/>
        </w:tabs>
        <w:ind w:left="1508" w:hanging="708"/>
      </w:pPr>
      <w:rPr>
        <w:rFonts w:hint="default" w:ascii="宋体" w:hAnsi="宋体" w:eastAsia="宋体" w:cs="宋体"/>
        <w:sz w:val="22"/>
      </w:rPr>
    </w:lvl>
    <w:lvl w:ilvl="3" w:tentative="0">
      <w:start w:val="1"/>
      <w:numFmt w:val="decimal"/>
      <w:suff w:val="nothing"/>
      <w:lvlText w:val="%1.%2.%3.%4."/>
      <w:lvlJc w:val="left"/>
      <w:pPr>
        <w:tabs>
          <w:tab w:val="left" w:pos="0"/>
        </w:tabs>
        <w:ind w:left="2053" w:hanging="853"/>
      </w:pPr>
      <w:rPr>
        <w:rFonts w:hint="default" w:ascii="黑体" w:hAnsi="黑体" w:eastAsia="黑体" w:cs="黑体"/>
      </w:rPr>
    </w:lvl>
    <w:lvl w:ilvl="4" w:tentative="0">
      <w:start w:val="1"/>
      <w:numFmt w:val="decimal"/>
      <w:lvlText w:val="%1.%2.%3.%4.%5."/>
      <w:lvlJc w:val="left"/>
      <w:pPr>
        <w:tabs>
          <w:tab w:val="left" w:pos="0"/>
        </w:tabs>
        <w:ind w:left="2495" w:hanging="895"/>
      </w:pPr>
      <w:rPr>
        <w:rFonts w:hint="default"/>
      </w:rPr>
    </w:lvl>
    <w:lvl w:ilvl="5" w:tentative="0">
      <w:start w:val="1"/>
      <w:numFmt w:val="decimal"/>
      <w:lvlText w:val="%1.%2.%3.%4.%5.%6."/>
      <w:lvlJc w:val="left"/>
      <w:pPr>
        <w:tabs>
          <w:tab w:val="left" w:pos="0"/>
        </w:tabs>
        <w:ind w:left="3136" w:hanging="1136"/>
      </w:pPr>
      <w:rPr>
        <w:rFonts w:hint="default"/>
      </w:rPr>
    </w:lvl>
    <w:lvl w:ilvl="6" w:tentative="0">
      <w:start w:val="1"/>
      <w:numFmt w:val="decimal"/>
      <w:lvlText w:val="%1.%2.%3.%4.%5.%6.%7."/>
      <w:lvlJc w:val="left"/>
      <w:pPr>
        <w:tabs>
          <w:tab w:val="left" w:pos="0"/>
        </w:tabs>
        <w:ind w:left="3673" w:hanging="1273"/>
      </w:pPr>
      <w:rPr>
        <w:rFonts w:hint="default"/>
      </w:rPr>
    </w:lvl>
    <w:lvl w:ilvl="7" w:tentative="0">
      <w:start w:val="1"/>
      <w:numFmt w:val="decimal"/>
      <w:lvlText w:val="%1.%2.%3.%4.%5.%6.%7.%8."/>
      <w:lvlJc w:val="left"/>
      <w:pPr>
        <w:tabs>
          <w:tab w:val="left" w:pos="0"/>
        </w:tabs>
        <w:ind w:left="4218" w:hanging="1418"/>
      </w:pPr>
      <w:rPr>
        <w:rFonts w:hint="default"/>
      </w:rPr>
    </w:lvl>
    <w:lvl w:ilvl="8" w:tentative="0">
      <w:start w:val="1"/>
      <w:numFmt w:val="decimal"/>
      <w:lvlText w:val="%1.%2.%3.%4.%5.%6.%7.%8.%9."/>
      <w:lvlJc w:val="left"/>
      <w:pPr>
        <w:tabs>
          <w:tab w:val="left" w:pos="0"/>
        </w:tabs>
        <w:ind w:left="4648" w:hanging="1448"/>
      </w:pPr>
      <w:rPr>
        <w:rFonts w:hint="default"/>
      </w:rPr>
    </w:lvl>
  </w:abstractNum>
  <w:abstractNum w:abstractNumId="8">
    <w:nsid w:val="C9E241E8"/>
    <w:multiLevelType w:val="multilevel"/>
    <w:tmpl w:val="C9E241E8"/>
    <w:lvl w:ilvl="0" w:tentative="0">
      <w:start w:val="11"/>
      <w:numFmt w:val="decimal"/>
      <w:suff w:val="nothing"/>
      <w:lvlText w:val="%1."/>
      <w:lvlJc w:val="left"/>
      <w:pPr>
        <w:tabs>
          <w:tab w:val="left" w:pos="0"/>
        </w:tabs>
        <w:ind w:left="425" w:hanging="425"/>
      </w:pPr>
      <w:rPr>
        <w:rFonts w:hint="default" w:ascii="宋体" w:hAnsi="宋体" w:eastAsia="宋体" w:cs="宋体"/>
        <w:sz w:val="28"/>
      </w:rPr>
    </w:lvl>
    <w:lvl w:ilvl="1" w:tentative="0">
      <w:start w:val="1"/>
      <w:numFmt w:val="decimal"/>
      <w:suff w:val="nothing"/>
      <w:lvlText w:val="%1.%2."/>
      <w:lvlJc w:val="left"/>
      <w:pPr>
        <w:tabs>
          <w:tab w:val="left" w:pos="0"/>
        </w:tabs>
        <w:ind w:left="567" w:hanging="567"/>
      </w:pPr>
      <w:rPr>
        <w:rFonts w:hint="default" w:ascii="宋体" w:hAnsi="宋体" w:eastAsia="宋体" w:cs="宋体"/>
        <w:sz w:val="24"/>
        <w:szCs w:val="24"/>
      </w:rPr>
    </w:lvl>
    <w:lvl w:ilvl="2" w:tentative="0">
      <w:start w:val="1"/>
      <w:numFmt w:val="decimal"/>
      <w:suff w:val="nothing"/>
      <w:lvlText w:val="%1.%2.%3."/>
      <w:lvlJc w:val="left"/>
      <w:pPr>
        <w:tabs>
          <w:tab w:val="left" w:pos="0"/>
        </w:tabs>
        <w:ind w:left="709" w:hanging="709"/>
      </w:pPr>
      <w:rPr>
        <w:rFonts w:hint="default" w:ascii="黑体" w:hAnsi="黑体" w:eastAsia="黑体"/>
      </w:rPr>
    </w:lvl>
    <w:lvl w:ilvl="3" w:tentative="0">
      <w:start w:val="1"/>
      <w:numFmt w:val="decimal"/>
      <w:suff w:val="nothing"/>
      <w:lvlText w:val="%1.%2.%3.%4."/>
      <w:lvlJc w:val="left"/>
      <w:pPr>
        <w:tabs>
          <w:tab w:val="left" w:pos="420"/>
        </w:tabs>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9">
    <w:nsid w:val="D5B8C7FA"/>
    <w:multiLevelType w:val="multilevel"/>
    <w:tmpl w:val="D5B8C7FA"/>
    <w:lvl w:ilvl="0" w:tentative="0">
      <w:start w:val="27"/>
      <w:numFmt w:val="decimal"/>
      <w:suff w:val="nothing"/>
      <w:lvlText w:val="%1."/>
      <w:lvlJc w:val="left"/>
      <w:pPr>
        <w:tabs>
          <w:tab w:val="left" w:pos="0"/>
        </w:tabs>
        <w:ind w:left="0" w:firstLine="0"/>
      </w:pPr>
      <w:rPr>
        <w:rFonts w:hint="default" w:ascii="宋体" w:hAnsi="宋体" w:eastAsia="宋体" w:cs="宋体"/>
        <w:sz w:val="28"/>
      </w:rPr>
    </w:lvl>
    <w:lvl w:ilvl="1" w:tentative="0">
      <w:start w:val="1"/>
      <w:numFmt w:val="decimal"/>
      <w:suff w:val="nothing"/>
      <w:lvlText w:val="%1.%2."/>
      <w:lvlJc w:val="left"/>
      <w:pPr>
        <w:tabs>
          <w:tab w:val="left" w:pos="0"/>
        </w:tabs>
        <w:ind w:left="0" w:firstLine="0"/>
      </w:pPr>
      <w:rPr>
        <w:rFonts w:hint="default" w:ascii="宋体" w:hAnsi="宋体" w:eastAsia="宋体" w:cs="宋体"/>
        <w:b w:val="0"/>
        <w:bCs w:val="0"/>
        <w:sz w:val="24"/>
        <w:szCs w:val="24"/>
      </w:rPr>
    </w:lvl>
    <w:lvl w:ilvl="2" w:tentative="0">
      <w:start w:val="1"/>
      <w:numFmt w:val="decimal"/>
      <w:suff w:val="nothing"/>
      <w:lvlText w:val="%1.%2.%3."/>
      <w:lvlJc w:val="left"/>
      <w:pPr>
        <w:tabs>
          <w:tab w:val="left" w:pos="0"/>
        </w:tabs>
        <w:ind w:left="1508" w:hanging="708"/>
      </w:pPr>
      <w:rPr>
        <w:rFonts w:hint="default" w:ascii="宋体" w:hAnsi="宋体" w:eastAsia="宋体" w:cs="宋体"/>
        <w:sz w:val="22"/>
      </w:rPr>
    </w:lvl>
    <w:lvl w:ilvl="3" w:tentative="0">
      <w:start w:val="1"/>
      <w:numFmt w:val="decimal"/>
      <w:suff w:val="nothing"/>
      <w:lvlText w:val="%1.%2.%3.%4."/>
      <w:lvlJc w:val="left"/>
      <w:pPr>
        <w:tabs>
          <w:tab w:val="left" w:pos="0"/>
        </w:tabs>
        <w:ind w:left="2053" w:hanging="853"/>
      </w:pPr>
      <w:rPr>
        <w:rFonts w:hint="default" w:ascii="黑体" w:hAnsi="黑体" w:eastAsia="黑体" w:cs="黑体"/>
      </w:rPr>
    </w:lvl>
    <w:lvl w:ilvl="4" w:tentative="0">
      <w:start w:val="1"/>
      <w:numFmt w:val="decimal"/>
      <w:lvlText w:val="%1.%2.%3.%4.%5."/>
      <w:lvlJc w:val="left"/>
      <w:pPr>
        <w:tabs>
          <w:tab w:val="left" w:pos="0"/>
        </w:tabs>
        <w:ind w:left="2495" w:hanging="895"/>
      </w:pPr>
      <w:rPr>
        <w:rFonts w:hint="default"/>
      </w:rPr>
    </w:lvl>
    <w:lvl w:ilvl="5" w:tentative="0">
      <w:start w:val="1"/>
      <w:numFmt w:val="decimal"/>
      <w:lvlText w:val="%1.%2.%3.%4.%5.%6."/>
      <w:lvlJc w:val="left"/>
      <w:pPr>
        <w:tabs>
          <w:tab w:val="left" w:pos="0"/>
        </w:tabs>
        <w:ind w:left="3136" w:hanging="1136"/>
      </w:pPr>
      <w:rPr>
        <w:rFonts w:hint="default"/>
      </w:rPr>
    </w:lvl>
    <w:lvl w:ilvl="6" w:tentative="0">
      <w:start w:val="1"/>
      <w:numFmt w:val="decimal"/>
      <w:lvlText w:val="%1.%2.%3.%4.%5.%6.%7."/>
      <w:lvlJc w:val="left"/>
      <w:pPr>
        <w:tabs>
          <w:tab w:val="left" w:pos="0"/>
        </w:tabs>
        <w:ind w:left="3673" w:hanging="1273"/>
      </w:pPr>
      <w:rPr>
        <w:rFonts w:hint="default"/>
      </w:rPr>
    </w:lvl>
    <w:lvl w:ilvl="7" w:tentative="0">
      <w:start w:val="1"/>
      <w:numFmt w:val="decimal"/>
      <w:lvlText w:val="%1.%2.%3.%4.%5.%6.%7.%8."/>
      <w:lvlJc w:val="left"/>
      <w:pPr>
        <w:tabs>
          <w:tab w:val="left" w:pos="0"/>
        </w:tabs>
        <w:ind w:left="4218" w:hanging="1418"/>
      </w:pPr>
      <w:rPr>
        <w:rFonts w:hint="default"/>
      </w:rPr>
    </w:lvl>
    <w:lvl w:ilvl="8" w:tentative="0">
      <w:start w:val="1"/>
      <w:numFmt w:val="decimal"/>
      <w:lvlText w:val="%1.%2.%3.%4.%5.%6.%7.%8.%9."/>
      <w:lvlJc w:val="left"/>
      <w:pPr>
        <w:tabs>
          <w:tab w:val="left" w:pos="0"/>
        </w:tabs>
        <w:ind w:left="4648" w:hanging="1448"/>
      </w:pPr>
      <w:rPr>
        <w:rFonts w:hint="default"/>
      </w:rPr>
    </w:lvl>
  </w:abstractNum>
  <w:abstractNum w:abstractNumId="10">
    <w:nsid w:val="DB5FE334"/>
    <w:multiLevelType w:val="multilevel"/>
    <w:tmpl w:val="DB5FE334"/>
    <w:lvl w:ilvl="0" w:tentative="0">
      <w:start w:val="1"/>
      <w:numFmt w:val="chineseCounting"/>
      <w:pStyle w:val="9"/>
      <w:suff w:val="nothing"/>
      <w:lvlText w:val="第%1章 "/>
      <w:lvlJc w:val="left"/>
      <w:pPr>
        <w:ind w:left="432" w:hanging="432"/>
      </w:pPr>
      <w:rPr>
        <w:rFonts w:hint="eastAsia"/>
      </w:rPr>
    </w:lvl>
    <w:lvl w:ilvl="1" w:tentative="0">
      <w:start w:val="1"/>
      <w:numFmt w:val="decimal"/>
      <w:pStyle w:val="10"/>
      <w:isLgl/>
      <w:lvlText w:val="%1.%2."/>
      <w:lvlJc w:val="left"/>
      <w:pPr>
        <w:ind w:left="575" w:hanging="575"/>
      </w:pPr>
      <w:rPr>
        <w:rFonts w:hint="eastAsia"/>
      </w:rPr>
    </w:lvl>
    <w:lvl w:ilvl="2" w:tentative="0">
      <w:start w:val="1"/>
      <w:numFmt w:val="decimal"/>
      <w:pStyle w:val="11"/>
      <w:isLgl/>
      <w:lvlText w:val="%1.%2.%3."/>
      <w:lvlJc w:val="left"/>
      <w:pPr>
        <w:ind w:left="720" w:hanging="720"/>
      </w:pPr>
      <w:rPr>
        <w:rFonts w:hint="eastAsia"/>
      </w:rPr>
    </w:lvl>
    <w:lvl w:ilvl="3" w:tentative="0">
      <w:start w:val="1"/>
      <w:numFmt w:val="decimal"/>
      <w:pStyle w:val="12"/>
      <w:isLgl/>
      <w:lvlText w:val="%1.%2.%3.%4."/>
      <w:lvlJc w:val="left"/>
      <w:pPr>
        <w:ind w:left="864" w:hanging="864"/>
      </w:pPr>
      <w:rPr>
        <w:rFonts w:hint="eastAsia"/>
      </w:rPr>
    </w:lvl>
    <w:lvl w:ilvl="4" w:tentative="0">
      <w:start w:val="1"/>
      <w:numFmt w:val="decimal"/>
      <w:pStyle w:val="13"/>
      <w:isLgl/>
      <w:lvlText w:val="%1.%2.%3.%4.%5."/>
      <w:lvlJc w:val="left"/>
      <w:pPr>
        <w:ind w:left="1008" w:hanging="1008"/>
      </w:pPr>
      <w:rPr>
        <w:rFonts w:hint="eastAsia"/>
      </w:rPr>
    </w:lvl>
    <w:lvl w:ilvl="5" w:tentative="0">
      <w:start w:val="1"/>
      <w:numFmt w:val="decimal"/>
      <w:pStyle w:val="14"/>
      <w:isLgl/>
      <w:lvlText w:val="%1.%2.%3.%4.%5.%6."/>
      <w:lvlJc w:val="left"/>
      <w:pPr>
        <w:ind w:left="1151" w:hanging="1151"/>
      </w:pPr>
      <w:rPr>
        <w:rFonts w:hint="eastAsia"/>
      </w:rPr>
    </w:lvl>
    <w:lvl w:ilvl="6" w:tentative="0">
      <w:start w:val="1"/>
      <w:numFmt w:val="decimal"/>
      <w:pStyle w:val="15"/>
      <w:isLgl/>
      <w:lvlText w:val="%1.%2.%3.%4.%5.%6.%7."/>
      <w:lvlJc w:val="left"/>
      <w:pPr>
        <w:ind w:left="1296" w:hanging="1296"/>
      </w:pPr>
      <w:rPr>
        <w:rFonts w:hint="eastAsia"/>
      </w:rPr>
    </w:lvl>
    <w:lvl w:ilvl="7" w:tentative="0">
      <w:start w:val="1"/>
      <w:numFmt w:val="decimal"/>
      <w:pStyle w:val="16"/>
      <w:isLgl/>
      <w:lvlText w:val="%1.%2.%3.%4.%5.%6.%7.%8."/>
      <w:lvlJc w:val="left"/>
      <w:pPr>
        <w:ind w:left="1440" w:hanging="1440"/>
      </w:pPr>
      <w:rPr>
        <w:rFonts w:hint="eastAsia"/>
      </w:rPr>
    </w:lvl>
    <w:lvl w:ilvl="8" w:tentative="0">
      <w:start w:val="1"/>
      <w:numFmt w:val="decimal"/>
      <w:pStyle w:val="17"/>
      <w:isLgl/>
      <w:lvlText w:val="%1.%2.%3.%4.%5.%6.%7.%8.%9."/>
      <w:lvlJc w:val="left"/>
      <w:pPr>
        <w:ind w:left="1583" w:hanging="1583"/>
      </w:pPr>
      <w:rPr>
        <w:rFonts w:hint="eastAsia"/>
      </w:rPr>
    </w:lvl>
  </w:abstractNum>
  <w:abstractNum w:abstractNumId="11">
    <w:nsid w:val="DE3F5C08"/>
    <w:multiLevelType w:val="multilevel"/>
    <w:tmpl w:val="DE3F5C08"/>
    <w:lvl w:ilvl="0" w:tentative="0">
      <w:start w:val="28"/>
      <w:numFmt w:val="decimal"/>
      <w:suff w:val="nothing"/>
      <w:lvlText w:val="%1."/>
      <w:lvlJc w:val="left"/>
      <w:pPr>
        <w:tabs>
          <w:tab w:val="left" w:pos="0"/>
        </w:tabs>
        <w:ind w:left="0" w:firstLine="0"/>
      </w:pPr>
      <w:rPr>
        <w:rFonts w:hint="default" w:ascii="宋体" w:hAnsi="宋体" w:eastAsia="宋体" w:cs="宋体"/>
        <w:sz w:val="28"/>
      </w:rPr>
    </w:lvl>
    <w:lvl w:ilvl="1" w:tentative="0">
      <w:start w:val="1"/>
      <w:numFmt w:val="decimal"/>
      <w:suff w:val="nothing"/>
      <w:lvlText w:val="%1.%2."/>
      <w:lvlJc w:val="left"/>
      <w:pPr>
        <w:tabs>
          <w:tab w:val="left" w:pos="0"/>
        </w:tabs>
        <w:ind w:left="0" w:firstLine="0"/>
      </w:pPr>
      <w:rPr>
        <w:rFonts w:hint="default" w:ascii="宋体" w:hAnsi="宋体" w:eastAsia="宋体" w:cs="宋体"/>
        <w:b w:val="0"/>
        <w:bCs w:val="0"/>
        <w:sz w:val="24"/>
        <w:szCs w:val="24"/>
      </w:rPr>
    </w:lvl>
    <w:lvl w:ilvl="2" w:tentative="0">
      <w:start w:val="1"/>
      <w:numFmt w:val="decimal"/>
      <w:suff w:val="nothing"/>
      <w:lvlText w:val="%1.%2.%3."/>
      <w:lvlJc w:val="left"/>
      <w:pPr>
        <w:tabs>
          <w:tab w:val="left" w:pos="0"/>
        </w:tabs>
        <w:ind w:left="1508" w:hanging="708"/>
      </w:pPr>
      <w:rPr>
        <w:rFonts w:hint="default" w:ascii="宋体" w:hAnsi="宋体" w:eastAsia="宋体" w:cs="宋体"/>
        <w:sz w:val="22"/>
      </w:rPr>
    </w:lvl>
    <w:lvl w:ilvl="3" w:tentative="0">
      <w:start w:val="1"/>
      <w:numFmt w:val="decimal"/>
      <w:suff w:val="nothing"/>
      <w:lvlText w:val="%1.%2.%3.%4."/>
      <w:lvlJc w:val="left"/>
      <w:pPr>
        <w:tabs>
          <w:tab w:val="left" w:pos="0"/>
        </w:tabs>
        <w:ind w:left="2053" w:hanging="853"/>
      </w:pPr>
      <w:rPr>
        <w:rFonts w:hint="default" w:ascii="黑体" w:hAnsi="黑体" w:eastAsia="黑体" w:cs="黑体"/>
      </w:rPr>
    </w:lvl>
    <w:lvl w:ilvl="4" w:tentative="0">
      <w:start w:val="1"/>
      <w:numFmt w:val="decimal"/>
      <w:lvlText w:val="%1.%2.%3.%4.%5."/>
      <w:lvlJc w:val="left"/>
      <w:pPr>
        <w:tabs>
          <w:tab w:val="left" w:pos="0"/>
        </w:tabs>
        <w:ind w:left="2495" w:hanging="895"/>
      </w:pPr>
      <w:rPr>
        <w:rFonts w:hint="default"/>
      </w:rPr>
    </w:lvl>
    <w:lvl w:ilvl="5" w:tentative="0">
      <w:start w:val="1"/>
      <w:numFmt w:val="decimal"/>
      <w:lvlText w:val="%1.%2.%3.%4.%5.%6."/>
      <w:lvlJc w:val="left"/>
      <w:pPr>
        <w:tabs>
          <w:tab w:val="left" w:pos="0"/>
        </w:tabs>
        <w:ind w:left="3136" w:hanging="1136"/>
      </w:pPr>
      <w:rPr>
        <w:rFonts w:hint="default"/>
      </w:rPr>
    </w:lvl>
    <w:lvl w:ilvl="6" w:tentative="0">
      <w:start w:val="1"/>
      <w:numFmt w:val="decimal"/>
      <w:lvlText w:val="%1.%2.%3.%4.%5.%6.%7."/>
      <w:lvlJc w:val="left"/>
      <w:pPr>
        <w:tabs>
          <w:tab w:val="left" w:pos="0"/>
        </w:tabs>
        <w:ind w:left="3673" w:hanging="1273"/>
      </w:pPr>
      <w:rPr>
        <w:rFonts w:hint="default"/>
      </w:rPr>
    </w:lvl>
    <w:lvl w:ilvl="7" w:tentative="0">
      <w:start w:val="1"/>
      <w:numFmt w:val="decimal"/>
      <w:lvlText w:val="%1.%2.%3.%4.%5.%6.%7.%8."/>
      <w:lvlJc w:val="left"/>
      <w:pPr>
        <w:tabs>
          <w:tab w:val="left" w:pos="0"/>
        </w:tabs>
        <w:ind w:left="4218" w:hanging="1418"/>
      </w:pPr>
      <w:rPr>
        <w:rFonts w:hint="default"/>
      </w:rPr>
    </w:lvl>
    <w:lvl w:ilvl="8" w:tentative="0">
      <w:start w:val="1"/>
      <w:numFmt w:val="decimal"/>
      <w:lvlText w:val="%1.%2.%3.%4.%5.%6.%7.%8.%9."/>
      <w:lvlJc w:val="left"/>
      <w:pPr>
        <w:tabs>
          <w:tab w:val="left" w:pos="0"/>
        </w:tabs>
        <w:ind w:left="4648" w:hanging="1448"/>
      </w:pPr>
      <w:rPr>
        <w:rFonts w:hint="default"/>
      </w:rPr>
    </w:lvl>
  </w:abstractNum>
  <w:abstractNum w:abstractNumId="12">
    <w:nsid w:val="E083E63C"/>
    <w:multiLevelType w:val="multilevel"/>
    <w:tmpl w:val="E083E63C"/>
    <w:lvl w:ilvl="0" w:tentative="0">
      <w:start w:val="1"/>
      <w:numFmt w:val="japaneseCounting"/>
      <w:lvlText w:val="第%1条"/>
      <w:lvlJc w:val="left"/>
      <w:pPr>
        <w:tabs>
          <w:tab w:val="left" w:pos="1560"/>
        </w:tabs>
        <w:ind w:left="1560" w:hanging="840"/>
      </w:pPr>
      <w:rPr>
        <w:rFonts w:hint="eastAsia" w:ascii="宋体" w:hAnsi="宋体" w:eastAsia="宋体" w:cs="宋体"/>
      </w:rPr>
    </w:lvl>
    <w:lvl w:ilvl="1" w:tentative="0">
      <w:start w:val="1"/>
      <w:numFmt w:val="lowerLetter"/>
      <w:lvlText w:val="%2)"/>
      <w:lvlJc w:val="left"/>
      <w:pPr>
        <w:tabs>
          <w:tab w:val="left" w:pos="1560"/>
        </w:tabs>
        <w:ind w:left="1560" w:hanging="420"/>
      </w:pPr>
      <w:rPr>
        <w:rFonts w:hint="default" w:ascii="Times New Roman" w:hAnsi="Times New Roman" w:cs="Times New Roman"/>
      </w:rPr>
    </w:lvl>
    <w:lvl w:ilvl="2" w:tentative="0">
      <w:start w:val="1"/>
      <w:numFmt w:val="lowerRoman"/>
      <w:lvlText w:val="%3."/>
      <w:lvlJc w:val="right"/>
      <w:pPr>
        <w:tabs>
          <w:tab w:val="left" w:pos="1980"/>
        </w:tabs>
        <w:ind w:left="1980" w:hanging="420"/>
      </w:pPr>
      <w:rPr>
        <w:rFonts w:hint="default" w:ascii="Times New Roman" w:hAnsi="Times New Roman" w:cs="Times New Roman"/>
      </w:rPr>
    </w:lvl>
    <w:lvl w:ilvl="3" w:tentative="0">
      <w:start w:val="1"/>
      <w:numFmt w:val="decimal"/>
      <w:lvlText w:val="%4."/>
      <w:lvlJc w:val="left"/>
      <w:pPr>
        <w:tabs>
          <w:tab w:val="left" w:pos="2400"/>
        </w:tabs>
        <w:ind w:left="2400" w:hanging="420"/>
      </w:pPr>
      <w:rPr>
        <w:rFonts w:hint="default" w:ascii="Times New Roman" w:hAnsi="Times New Roman" w:cs="Times New Roman"/>
      </w:rPr>
    </w:lvl>
    <w:lvl w:ilvl="4" w:tentative="0">
      <w:start w:val="1"/>
      <w:numFmt w:val="lowerLetter"/>
      <w:lvlText w:val="%5)"/>
      <w:lvlJc w:val="left"/>
      <w:pPr>
        <w:tabs>
          <w:tab w:val="left" w:pos="2820"/>
        </w:tabs>
        <w:ind w:left="2820" w:hanging="420"/>
      </w:pPr>
      <w:rPr>
        <w:rFonts w:hint="default" w:ascii="Times New Roman" w:hAnsi="Times New Roman" w:cs="Times New Roman"/>
      </w:rPr>
    </w:lvl>
    <w:lvl w:ilvl="5" w:tentative="0">
      <w:start w:val="1"/>
      <w:numFmt w:val="lowerRoman"/>
      <w:lvlText w:val="%6."/>
      <w:lvlJc w:val="right"/>
      <w:pPr>
        <w:tabs>
          <w:tab w:val="left" w:pos="3240"/>
        </w:tabs>
        <w:ind w:left="3240" w:hanging="420"/>
      </w:pPr>
      <w:rPr>
        <w:rFonts w:hint="default" w:ascii="Times New Roman" w:hAnsi="Times New Roman" w:cs="Times New Roman"/>
      </w:rPr>
    </w:lvl>
    <w:lvl w:ilvl="6" w:tentative="0">
      <w:start w:val="1"/>
      <w:numFmt w:val="decimal"/>
      <w:lvlText w:val="%7."/>
      <w:lvlJc w:val="left"/>
      <w:pPr>
        <w:tabs>
          <w:tab w:val="left" w:pos="3660"/>
        </w:tabs>
        <w:ind w:left="3660" w:hanging="420"/>
      </w:pPr>
      <w:rPr>
        <w:rFonts w:hint="default" w:ascii="Times New Roman" w:hAnsi="Times New Roman" w:cs="Times New Roman"/>
      </w:rPr>
    </w:lvl>
    <w:lvl w:ilvl="7" w:tentative="0">
      <w:start w:val="1"/>
      <w:numFmt w:val="lowerLetter"/>
      <w:lvlText w:val="%8)"/>
      <w:lvlJc w:val="left"/>
      <w:pPr>
        <w:tabs>
          <w:tab w:val="left" w:pos="4080"/>
        </w:tabs>
        <w:ind w:left="4080" w:hanging="420"/>
      </w:pPr>
      <w:rPr>
        <w:rFonts w:hint="default" w:ascii="Times New Roman" w:hAnsi="Times New Roman" w:cs="Times New Roman"/>
      </w:rPr>
    </w:lvl>
    <w:lvl w:ilvl="8" w:tentative="0">
      <w:start w:val="1"/>
      <w:numFmt w:val="lowerRoman"/>
      <w:lvlText w:val="%9."/>
      <w:lvlJc w:val="right"/>
      <w:pPr>
        <w:tabs>
          <w:tab w:val="left" w:pos="4500"/>
        </w:tabs>
        <w:ind w:left="4500" w:hanging="420"/>
      </w:pPr>
      <w:rPr>
        <w:rFonts w:hint="default" w:ascii="Times New Roman" w:hAnsi="Times New Roman" w:cs="Times New Roman"/>
      </w:rPr>
    </w:lvl>
  </w:abstractNum>
  <w:abstractNum w:abstractNumId="13">
    <w:nsid w:val="E2293074"/>
    <w:multiLevelType w:val="multilevel"/>
    <w:tmpl w:val="E2293074"/>
    <w:lvl w:ilvl="0" w:tentative="0">
      <w:start w:val="51"/>
      <w:numFmt w:val="decimal"/>
      <w:suff w:val="nothing"/>
      <w:lvlText w:val="%1."/>
      <w:lvlJc w:val="left"/>
      <w:pPr>
        <w:tabs>
          <w:tab w:val="left" w:pos="0"/>
        </w:tabs>
        <w:ind w:left="0" w:firstLine="0"/>
      </w:pPr>
      <w:rPr>
        <w:rFonts w:hint="default" w:ascii="宋体" w:hAnsi="宋体" w:eastAsia="宋体" w:cs="宋体"/>
        <w:sz w:val="28"/>
      </w:rPr>
    </w:lvl>
    <w:lvl w:ilvl="1" w:tentative="0">
      <w:start w:val="1"/>
      <w:numFmt w:val="decimal"/>
      <w:suff w:val="nothing"/>
      <w:lvlText w:val="%1.%2."/>
      <w:lvlJc w:val="left"/>
      <w:pPr>
        <w:tabs>
          <w:tab w:val="left" w:pos="0"/>
        </w:tabs>
        <w:ind w:left="0" w:firstLine="0"/>
      </w:pPr>
      <w:rPr>
        <w:rFonts w:hint="default" w:ascii="宋体" w:hAnsi="宋体" w:eastAsia="宋体" w:cs="宋体"/>
        <w:b w:val="0"/>
        <w:bCs w:val="0"/>
        <w:sz w:val="24"/>
        <w:szCs w:val="24"/>
      </w:rPr>
    </w:lvl>
    <w:lvl w:ilvl="2" w:tentative="0">
      <w:start w:val="1"/>
      <w:numFmt w:val="decimal"/>
      <w:suff w:val="nothing"/>
      <w:lvlText w:val="%1.%2.%3."/>
      <w:lvlJc w:val="left"/>
      <w:pPr>
        <w:tabs>
          <w:tab w:val="left" w:pos="0"/>
        </w:tabs>
        <w:ind w:left="1508" w:hanging="708"/>
      </w:pPr>
      <w:rPr>
        <w:rFonts w:hint="default" w:ascii="宋体" w:hAnsi="宋体" w:eastAsia="宋体" w:cs="宋体"/>
        <w:sz w:val="22"/>
      </w:rPr>
    </w:lvl>
    <w:lvl w:ilvl="3" w:tentative="0">
      <w:start w:val="1"/>
      <w:numFmt w:val="decimal"/>
      <w:suff w:val="nothing"/>
      <w:lvlText w:val="%1.%2.%3.%4."/>
      <w:lvlJc w:val="left"/>
      <w:pPr>
        <w:tabs>
          <w:tab w:val="left" w:pos="0"/>
        </w:tabs>
        <w:ind w:left="2053" w:hanging="853"/>
      </w:pPr>
      <w:rPr>
        <w:rFonts w:hint="default" w:ascii="黑体" w:hAnsi="黑体" w:eastAsia="黑体" w:cs="黑体"/>
      </w:rPr>
    </w:lvl>
    <w:lvl w:ilvl="4" w:tentative="0">
      <w:start w:val="1"/>
      <w:numFmt w:val="decimal"/>
      <w:lvlText w:val="%1.%2.%3.%4.%5."/>
      <w:lvlJc w:val="left"/>
      <w:pPr>
        <w:tabs>
          <w:tab w:val="left" w:pos="0"/>
        </w:tabs>
        <w:ind w:left="2495" w:hanging="895"/>
      </w:pPr>
      <w:rPr>
        <w:rFonts w:hint="default"/>
      </w:rPr>
    </w:lvl>
    <w:lvl w:ilvl="5" w:tentative="0">
      <w:start w:val="1"/>
      <w:numFmt w:val="decimal"/>
      <w:lvlText w:val="%1.%2.%3.%4.%5.%6."/>
      <w:lvlJc w:val="left"/>
      <w:pPr>
        <w:tabs>
          <w:tab w:val="left" w:pos="0"/>
        </w:tabs>
        <w:ind w:left="3136" w:hanging="1136"/>
      </w:pPr>
      <w:rPr>
        <w:rFonts w:hint="default"/>
      </w:rPr>
    </w:lvl>
    <w:lvl w:ilvl="6" w:tentative="0">
      <w:start w:val="1"/>
      <w:numFmt w:val="decimal"/>
      <w:lvlText w:val="%1.%2.%3.%4.%5.%6.%7."/>
      <w:lvlJc w:val="left"/>
      <w:pPr>
        <w:tabs>
          <w:tab w:val="left" w:pos="0"/>
        </w:tabs>
        <w:ind w:left="3673" w:hanging="1273"/>
      </w:pPr>
      <w:rPr>
        <w:rFonts w:hint="default"/>
      </w:rPr>
    </w:lvl>
    <w:lvl w:ilvl="7" w:tentative="0">
      <w:start w:val="1"/>
      <w:numFmt w:val="decimal"/>
      <w:lvlText w:val="%1.%2.%3.%4.%5.%6.%7.%8."/>
      <w:lvlJc w:val="left"/>
      <w:pPr>
        <w:tabs>
          <w:tab w:val="left" w:pos="0"/>
        </w:tabs>
        <w:ind w:left="4218" w:hanging="1418"/>
      </w:pPr>
      <w:rPr>
        <w:rFonts w:hint="default"/>
      </w:rPr>
    </w:lvl>
    <w:lvl w:ilvl="8" w:tentative="0">
      <w:start w:val="1"/>
      <w:numFmt w:val="decimal"/>
      <w:lvlText w:val="%1.%2.%3.%4.%5.%6.%7.%8.%9."/>
      <w:lvlJc w:val="left"/>
      <w:pPr>
        <w:tabs>
          <w:tab w:val="left" w:pos="0"/>
        </w:tabs>
        <w:ind w:left="4648" w:hanging="1448"/>
      </w:pPr>
      <w:rPr>
        <w:rFonts w:hint="default"/>
      </w:rPr>
    </w:lvl>
  </w:abstractNum>
  <w:abstractNum w:abstractNumId="14">
    <w:nsid w:val="F11A53AA"/>
    <w:multiLevelType w:val="multilevel"/>
    <w:tmpl w:val="F11A53AA"/>
    <w:lvl w:ilvl="0" w:tentative="0">
      <w:start w:val="5"/>
      <w:numFmt w:val="decimal"/>
      <w:suff w:val="nothing"/>
      <w:lvlText w:val="%1."/>
      <w:lvlJc w:val="left"/>
      <w:pPr>
        <w:tabs>
          <w:tab w:val="left" w:pos="0"/>
        </w:tabs>
        <w:ind w:left="425" w:hanging="425"/>
      </w:pPr>
      <w:rPr>
        <w:rFonts w:hint="default" w:ascii="宋体" w:hAnsi="宋体" w:eastAsia="宋体" w:cs="宋体"/>
        <w:sz w:val="28"/>
      </w:rPr>
    </w:lvl>
    <w:lvl w:ilvl="1" w:tentative="0">
      <w:start w:val="1"/>
      <w:numFmt w:val="decimal"/>
      <w:suff w:val="nothing"/>
      <w:lvlText w:val="%1.%2."/>
      <w:lvlJc w:val="left"/>
      <w:pPr>
        <w:tabs>
          <w:tab w:val="left" w:pos="0"/>
        </w:tabs>
        <w:ind w:left="567" w:hanging="567"/>
      </w:pPr>
      <w:rPr>
        <w:rFonts w:hint="default" w:ascii="黑体" w:hAnsi="黑体" w:eastAsia="黑体" w:cs="黑体"/>
        <w:sz w:val="22"/>
      </w:rPr>
    </w:lvl>
    <w:lvl w:ilvl="2" w:tentative="0">
      <w:start w:val="1"/>
      <w:numFmt w:val="decimal"/>
      <w:suff w:val="nothing"/>
      <w:lvlText w:val="%1.%2.%3."/>
      <w:lvlJc w:val="left"/>
      <w:pPr>
        <w:tabs>
          <w:tab w:val="left" w:pos="0"/>
        </w:tabs>
        <w:ind w:left="709" w:hanging="709"/>
      </w:pPr>
      <w:rPr>
        <w:rFonts w:hint="default" w:ascii="宋体" w:hAnsi="宋体" w:eastAsia="宋体" w:cs="宋体"/>
        <w:sz w:val="22"/>
        <w:szCs w:val="22"/>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5">
    <w:nsid w:val="0000001C"/>
    <w:multiLevelType w:val="singleLevel"/>
    <w:tmpl w:val="0000001C"/>
    <w:lvl w:ilvl="0" w:tentative="0">
      <w:start w:val="1"/>
      <w:numFmt w:val="decimal"/>
      <w:pStyle w:val="116"/>
      <w:lvlText w:val="(%1)"/>
      <w:lvlJc w:val="left"/>
      <w:pPr>
        <w:tabs>
          <w:tab w:val="left" w:pos="750"/>
        </w:tabs>
        <w:ind w:left="750" w:hanging="270"/>
      </w:pPr>
      <w:rPr>
        <w:rFonts w:hint="default"/>
      </w:rPr>
    </w:lvl>
  </w:abstractNum>
  <w:abstractNum w:abstractNumId="16">
    <w:nsid w:val="0818F3E6"/>
    <w:multiLevelType w:val="multilevel"/>
    <w:tmpl w:val="0818F3E6"/>
    <w:lvl w:ilvl="0" w:tentative="0">
      <w:start w:val="21"/>
      <w:numFmt w:val="decimal"/>
      <w:suff w:val="nothing"/>
      <w:lvlText w:val="%1."/>
      <w:lvlJc w:val="left"/>
      <w:pPr>
        <w:tabs>
          <w:tab w:val="left" w:pos="0"/>
        </w:tabs>
        <w:ind w:left="0" w:leftChars="0" w:firstLine="0" w:firstLineChars="0"/>
      </w:pPr>
      <w:rPr>
        <w:rFonts w:hint="default" w:ascii="宋体" w:hAnsi="宋体" w:eastAsia="宋体" w:cs="宋体"/>
        <w:sz w:val="28"/>
      </w:rPr>
    </w:lvl>
    <w:lvl w:ilvl="1" w:tentative="0">
      <w:start w:val="1"/>
      <w:numFmt w:val="decimal"/>
      <w:suff w:val="nothing"/>
      <w:lvlText w:val="%1.%2."/>
      <w:lvlJc w:val="left"/>
      <w:pPr>
        <w:tabs>
          <w:tab w:val="left" w:pos="171"/>
        </w:tabs>
        <w:ind w:left="1440" w:hanging="453"/>
      </w:pPr>
      <w:rPr>
        <w:rFonts w:hint="default" w:ascii="宋体" w:hAnsi="宋体" w:eastAsia="宋体" w:cs="宋体"/>
        <w:b w:val="0"/>
        <w:bCs w:val="0"/>
        <w:sz w:val="24"/>
        <w:szCs w:val="24"/>
      </w:rPr>
    </w:lvl>
    <w:lvl w:ilvl="2" w:tentative="0">
      <w:start w:val="1"/>
      <w:numFmt w:val="decimal"/>
      <w:suff w:val="nothing"/>
      <w:lvlText w:val="%1.%2.%3."/>
      <w:lvlJc w:val="left"/>
      <w:pPr>
        <w:tabs>
          <w:tab w:val="left" w:pos="0"/>
        </w:tabs>
        <w:ind w:left="1508" w:hanging="708"/>
      </w:pPr>
      <w:rPr>
        <w:rFonts w:hint="default" w:ascii="宋体" w:hAnsi="宋体" w:eastAsia="宋体" w:cs="宋体"/>
        <w:sz w:val="22"/>
      </w:rPr>
    </w:lvl>
    <w:lvl w:ilvl="3" w:tentative="0">
      <w:start w:val="1"/>
      <w:numFmt w:val="decimal"/>
      <w:suff w:val="nothing"/>
      <w:lvlText w:val="%1.%2.%3.%4."/>
      <w:lvlJc w:val="left"/>
      <w:pPr>
        <w:tabs>
          <w:tab w:val="left" w:pos="0"/>
        </w:tabs>
        <w:ind w:left="2053" w:hanging="853"/>
      </w:pPr>
      <w:rPr>
        <w:rFonts w:hint="default" w:ascii="黑体" w:hAnsi="黑体" w:eastAsia="黑体" w:cs="黑体"/>
      </w:rPr>
    </w:lvl>
    <w:lvl w:ilvl="4" w:tentative="0">
      <w:start w:val="1"/>
      <w:numFmt w:val="decimal"/>
      <w:lvlText w:val="%1.%2.%3.%4.%5."/>
      <w:lvlJc w:val="left"/>
      <w:pPr>
        <w:tabs>
          <w:tab w:val="left" w:pos="0"/>
        </w:tabs>
        <w:ind w:left="2495" w:hanging="895"/>
      </w:pPr>
      <w:rPr>
        <w:rFonts w:hint="default"/>
      </w:rPr>
    </w:lvl>
    <w:lvl w:ilvl="5" w:tentative="0">
      <w:start w:val="1"/>
      <w:numFmt w:val="decimal"/>
      <w:lvlText w:val="%1.%2.%3.%4.%5.%6."/>
      <w:lvlJc w:val="left"/>
      <w:pPr>
        <w:tabs>
          <w:tab w:val="left" w:pos="0"/>
        </w:tabs>
        <w:ind w:left="3136" w:hanging="1136"/>
      </w:pPr>
      <w:rPr>
        <w:rFonts w:hint="default"/>
      </w:rPr>
    </w:lvl>
    <w:lvl w:ilvl="6" w:tentative="0">
      <w:start w:val="1"/>
      <w:numFmt w:val="decimal"/>
      <w:lvlText w:val="%1.%2.%3.%4.%5.%6.%7."/>
      <w:lvlJc w:val="left"/>
      <w:pPr>
        <w:tabs>
          <w:tab w:val="left" w:pos="0"/>
        </w:tabs>
        <w:ind w:left="3673" w:hanging="1273"/>
      </w:pPr>
      <w:rPr>
        <w:rFonts w:hint="default"/>
      </w:rPr>
    </w:lvl>
    <w:lvl w:ilvl="7" w:tentative="0">
      <w:start w:val="1"/>
      <w:numFmt w:val="decimal"/>
      <w:lvlText w:val="%1.%2.%3.%4.%5.%6.%7.%8."/>
      <w:lvlJc w:val="left"/>
      <w:pPr>
        <w:tabs>
          <w:tab w:val="left" w:pos="0"/>
        </w:tabs>
        <w:ind w:left="4218" w:hanging="1418"/>
      </w:pPr>
      <w:rPr>
        <w:rFonts w:hint="default"/>
      </w:rPr>
    </w:lvl>
    <w:lvl w:ilvl="8" w:tentative="0">
      <w:start w:val="1"/>
      <w:numFmt w:val="decimal"/>
      <w:lvlText w:val="%1.%2.%3.%4.%5.%6.%7.%8.%9."/>
      <w:lvlJc w:val="left"/>
      <w:pPr>
        <w:tabs>
          <w:tab w:val="left" w:pos="0"/>
        </w:tabs>
        <w:ind w:left="4648" w:hanging="1448"/>
      </w:pPr>
      <w:rPr>
        <w:rFonts w:hint="default"/>
      </w:rPr>
    </w:lvl>
  </w:abstractNum>
  <w:abstractNum w:abstractNumId="17">
    <w:nsid w:val="0FB2C440"/>
    <w:multiLevelType w:val="multilevel"/>
    <w:tmpl w:val="0FB2C440"/>
    <w:lvl w:ilvl="0" w:tentative="0">
      <w:start w:val="32"/>
      <w:numFmt w:val="decimal"/>
      <w:suff w:val="nothing"/>
      <w:lvlText w:val="%1."/>
      <w:lvlJc w:val="left"/>
      <w:pPr>
        <w:tabs>
          <w:tab w:val="left" w:pos="0"/>
        </w:tabs>
        <w:ind w:left="0" w:firstLine="0"/>
      </w:pPr>
      <w:rPr>
        <w:rFonts w:hint="default" w:ascii="宋体" w:hAnsi="宋体" w:eastAsia="宋体" w:cs="宋体"/>
        <w:sz w:val="28"/>
      </w:rPr>
    </w:lvl>
    <w:lvl w:ilvl="1" w:tentative="0">
      <w:start w:val="1"/>
      <w:numFmt w:val="decimal"/>
      <w:suff w:val="nothing"/>
      <w:lvlText w:val="%1.%2."/>
      <w:lvlJc w:val="left"/>
      <w:pPr>
        <w:tabs>
          <w:tab w:val="left" w:pos="0"/>
        </w:tabs>
        <w:ind w:left="0" w:firstLine="0"/>
      </w:pPr>
      <w:rPr>
        <w:rFonts w:hint="default" w:ascii="宋体" w:hAnsi="宋体" w:eastAsia="宋体" w:cs="宋体"/>
        <w:b w:val="0"/>
        <w:bCs w:val="0"/>
        <w:sz w:val="24"/>
        <w:szCs w:val="24"/>
      </w:rPr>
    </w:lvl>
    <w:lvl w:ilvl="2" w:tentative="0">
      <w:start w:val="1"/>
      <w:numFmt w:val="decimal"/>
      <w:suff w:val="nothing"/>
      <w:lvlText w:val="%1.%2.%3."/>
      <w:lvlJc w:val="left"/>
      <w:pPr>
        <w:tabs>
          <w:tab w:val="left" w:pos="0"/>
        </w:tabs>
        <w:ind w:left="1508" w:hanging="708"/>
      </w:pPr>
      <w:rPr>
        <w:rFonts w:hint="default" w:ascii="宋体" w:hAnsi="宋体" w:eastAsia="宋体" w:cs="宋体"/>
        <w:sz w:val="22"/>
      </w:rPr>
    </w:lvl>
    <w:lvl w:ilvl="3" w:tentative="0">
      <w:start w:val="1"/>
      <w:numFmt w:val="decimal"/>
      <w:suff w:val="nothing"/>
      <w:lvlText w:val="%1.%2.%3.%4."/>
      <w:lvlJc w:val="left"/>
      <w:pPr>
        <w:tabs>
          <w:tab w:val="left" w:pos="0"/>
        </w:tabs>
        <w:ind w:left="2053" w:hanging="853"/>
      </w:pPr>
      <w:rPr>
        <w:rFonts w:hint="default" w:ascii="黑体" w:hAnsi="黑体" w:eastAsia="黑体" w:cs="黑体"/>
      </w:rPr>
    </w:lvl>
    <w:lvl w:ilvl="4" w:tentative="0">
      <w:start w:val="1"/>
      <w:numFmt w:val="decimal"/>
      <w:lvlText w:val="%1.%2.%3.%4.%5."/>
      <w:lvlJc w:val="left"/>
      <w:pPr>
        <w:tabs>
          <w:tab w:val="left" w:pos="0"/>
        </w:tabs>
        <w:ind w:left="2495" w:hanging="895"/>
      </w:pPr>
      <w:rPr>
        <w:rFonts w:hint="default"/>
      </w:rPr>
    </w:lvl>
    <w:lvl w:ilvl="5" w:tentative="0">
      <w:start w:val="1"/>
      <w:numFmt w:val="decimal"/>
      <w:lvlText w:val="%1.%2.%3.%4.%5.%6."/>
      <w:lvlJc w:val="left"/>
      <w:pPr>
        <w:tabs>
          <w:tab w:val="left" w:pos="0"/>
        </w:tabs>
        <w:ind w:left="3136" w:hanging="1136"/>
      </w:pPr>
      <w:rPr>
        <w:rFonts w:hint="default"/>
      </w:rPr>
    </w:lvl>
    <w:lvl w:ilvl="6" w:tentative="0">
      <w:start w:val="1"/>
      <w:numFmt w:val="decimal"/>
      <w:lvlText w:val="%1.%2.%3.%4.%5.%6.%7."/>
      <w:lvlJc w:val="left"/>
      <w:pPr>
        <w:tabs>
          <w:tab w:val="left" w:pos="0"/>
        </w:tabs>
        <w:ind w:left="3673" w:hanging="1273"/>
      </w:pPr>
      <w:rPr>
        <w:rFonts w:hint="default"/>
      </w:rPr>
    </w:lvl>
    <w:lvl w:ilvl="7" w:tentative="0">
      <w:start w:val="1"/>
      <w:numFmt w:val="decimal"/>
      <w:lvlText w:val="%1.%2.%3.%4.%5.%6.%7.%8."/>
      <w:lvlJc w:val="left"/>
      <w:pPr>
        <w:tabs>
          <w:tab w:val="left" w:pos="0"/>
        </w:tabs>
        <w:ind w:left="4218" w:hanging="1418"/>
      </w:pPr>
      <w:rPr>
        <w:rFonts w:hint="default"/>
      </w:rPr>
    </w:lvl>
    <w:lvl w:ilvl="8" w:tentative="0">
      <w:start w:val="1"/>
      <w:numFmt w:val="decimal"/>
      <w:lvlText w:val="%1.%2.%3.%4.%5.%6.%7.%8.%9."/>
      <w:lvlJc w:val="left"/>
      <w:pPr>
        <w:tabs>
          <w:tab w:val="left" w:pos="0"/>
        </w:tabs>
        <w:ind w:left="4648" w:hanging="1448"/>
      </w:pPr>
      <w:rPr>
        <w:rFonts w:hint="default"/>
      </w:rPr>
    </w:lvl>
  </w:abstractNum>
  <w:abstractNum w:abstractNumId="18">
    <w:nsid w:val="25324779"/>
    <w:multiLevelType w:val="multilevel"/>
    <w:tmpl w:val="25324779"/>
    <w:lvl w:ilvl="0" w:tentative="0">
      <w:start w:val="50"/>
      <w:numFmt w:val="decimal"/>
      <w:suff w:val="nothing"/>
      <w:lvlText w:val="%1."/>
      <w:lvlJc w:val="left"/>
      <w:pPr>
        <w:tabs>
          <w:tab w:val="left" w:pos="0"/>
        </w:tabs>
        <w:ind w:left="0" w:firstLine="0"/>
      </w:pPr>
      <w:rPr>
        <w:rFonts w:hint="default" w:ascii="宋体" w:hAnsi="宋体" w:eastAsia="宋体" w:cs="宋体"/>
        <w:sz w:val="28"/>
      </w:rPr>
    </w:lvl>
    <w:lvl w:ilvl="1" w:tentative="0">
      <w:start w:val="1"/>
      <w:numFmt w:val="decimal"/>
      <w:suff w:val="nothing"/>
      <w:lvlText w:val="%1.%2."/>
      <w:lvlJc w:val="left"/>
      <w:pPr>
        <w:tabs>
          <w:tab w:val="left" w:pos="0"/>
        </w:tabs>
        <w:ind w:left="0" w:firstLine="0"/>
      </w:pPr>
      <w:rPr>
        <w:rFonts w:hint="default" w:ascii="宋体" w:hAnsi="宋体" w:eastAsia="宋体" w:cs="宋体"/>
        <w:b w:val="0"/>
        <w:bCs w:val="0"/>
        <w:sz w:val="24"/>
        <w:szCs w:val="24"/>
      </w:rPr>
    </w:lvl>
    <w:lvl w:ilvl="2" w:tentative="0">
      <w:start w:val="1"/>
      <w:numFmt w:val="decimal"/>
      <w:suff w:val="nothing"/>
      <w:lvlText w:val="%1.%2.%3."/>
      <w:lvlJc w:val="left"/>
      <w:pPr>
        <w:tabs>
          <w:tab w:val="left" w:pos="0"/>
        </w:tabs>
        <w:ind w:left="1508" w:hanging="708"/>
      </w:pPr>
      <w:rPr>
        <w:rFonts w:hint="default" w:ascii="宋体" w:hAnsi="宋体" w:eastAsia="宋体" w:cs="宋体"/>
        <w:sz w:val="22"/>
      </w:rPr>
    </w:lvl>
    <w:lvl w:ilvl="3" w:tentative="0">
      <w:start w:val="1"/>
      <w:numFmt w:val="decimal"/>
      <w:suff w:val="nothing"/>
      <w:lvlText w:val="%1.%2.%3.%4."/>
      <w:lvlJc w:val="left"/>
      <w:pPr>
        <w:tabs>
          <w:tab w:val="left" w:pos="0"/>
        </w:tabs>
        <w:ind w:left="2053" w:hanging="853"/>
      </w:pPr>
      <w:rPr>
        <w:rFonts w:hint="default" w:ascii="黑体" w:hAnsi="黑体" w:eastAsia="黑体" w:cs="黑体"/>
      </w:rPr>
    </w:lvl>
    <w:lvl w:ilvl="4" w:tentative="0">
      <w:start w:val="1"/>
      <w:numFmt w:val="decimal"/>
      <w:lvlText w:val="%1.%2.%3.%4.%5."/>
      <w:lvlJc w:val="left"/>
      <w:pPr>
        <w:tabs>
          <w:tab w:val="left" w:pos="0"/>
        </w:tabs>
        <w:ind w:left="2495" w:hanging="895"/>
      </w:pPr>
      <w:rPr>
        <w:rFonts w:hint="default"/>
      </w:rPr>
    </w:lvl>
    <w:lvl w:ilvl="5" w:tentative="0">
      <w:start w:val="1"/>
      <w:numFmt w:val="decimal"/>
      <w:lvlText w:val="%1.%2.%3.%4.%5.%6."/>
      <w:lvlJc w:val="left"/>
      <w:pPr>
        <w:tabs>
          <w:tab w:val="left" w:pos="0"/>
        </w:tabs>
        <w:ind w:left="3136" w:hanging="1136"/>
      </w:pPr>
      <w:rPr>
        <w:rFonts w:hint="default"/>
      </w:rPr>
    </w:lvl>
    <w:lvl w:ilvl="6" w:tentative="0">
      <w:start w:val="1"/>
      <w:numFmt w:val="decimal"/>
      <w:lvlText w:val="%1.%2.%3.%4.%5.%6.%7."/>
      <w:lvlJc w:val="left"/>
      <w:pPr>
        <w:tabs>
          <w:tab w:val="left" w:pos="0"/>
        </w:tabs>
        <w:ind w:left="3673" w:hanging="1273"/>
      </w:pPr>
      <w:rPr>
        <w:rFonts w:hint="default"/>
      </w:rPr>
    </w:lvl>
    <w:lvl w:ilvl="7" w:tentative="0">
      <w:start w:val="1"/>
      <w:numFmt w:val="decimal"/>
      <w:lvlText w:val="%1.%2.%3.%4.%5.%6.%7.%8."/>
      <w:lvlJc w:val="left"/>
      <w:pPr>
        <w:tabs>
          <w:tab w:val="left" w:pos="0"/>
        </w:tabs>
        <w:ind w:left="4218" w:hanging="1418"/>
      </w:pPr>
      <w:rPr>
        <w:rFonts w:hint="default"/>
      </w:rPr>
    </w:lvl>
    <w:lvl w:ilvl="8" w:tentative="0">
      <w:start w:val="1"/>
      <w:numFmt w:val="decimal"/>
      <w:lvlText w:val="%1.%2.%3.%4.%5.%6.%7.%8.%9."/>
      <w:lvlJc w:val="left"/>
      <w:pPr>
        <w:tabs>
          <w:tab w:val="left" w:pos="0"/>
        </w:tabs>
        <w:ind w:left="4648" w:hanging="1448"/>
      </w:pPr>
      <w:rPr>
        <w:rFonts w:hint="default"/>
      </w:rPr>
    </w:lvl>
  </w:abstractNum>
  <w:abstractNum w:abstractNumId="19">
    <w:nsid w:val="2A3B505F"/>
    <w:multiLevelType w:val="multilevel"/>
    <w:tmpl w:val="2A3B505F"/>
    <w:lvl w:ilvl="0" w:tentative="0">
      <w:start w:val="29"/>
      <w:numFmt w:val="decimal"/>
      <w:suff w:val="nothing"/>
      <w:lvlText w:val="%1."/>
      <w:lvlJc w:val="left"/>
      <w:pPr>
        <w:tabs>
          <w:tab w:val="left" w:pos="0"/>
        </w:tabs>
        <w:ind w:left="0" w:firstLine="0"/>
      </w:pPr>
      <w:rPr>
        <w:rFonts w:hint="default" w:ascii="宋体" w:hAnsi="宋体" w:eastAsia="宋体" w:cs="宋体"/>
        <w:sz w:val="28"/>
      </w:rPr>
    </w:lvl>
    <w:lvl w:ilvl="1" w:tentative="0">
      <w:start w:val="1"/>
      <w:numFmt w:val="decimal"/>
      <w:suff w:val="nothing"/>
      <w:lvlText w:val="%1.%2."/>
      <w:lvlJc w:val="left"/>
      <w:pPr>
        <w:tabs>
          <w:tab w:val="left" w:pos="0"/>
        </w:tabs>
        <w:ind w:left="0" w:firstLine="0"/>
      </w:pPr>
      <w:rPr>
        <w:rFonts w:hint="default" w:ascii="宋体" w:hAnsi="宋体" w:eastAsia="宋体" w:cs="宋体"/>
        <w:b w:val="0"/>
        <w:bCs w:val="0"/>
        <w:sz w:val="24"/>
        <w:szCs w:val="24"/>
      </w:rPr>
    </w:lvl>
    <w:lvl w:ilvl="2" w:tentative="0">
      <w:start w:val="1"/>
      <w:numFmt w:val="decimal"/>
      <w:suff w:val="nothing"/>
      <w:lvlText w:val="%1.%2.%3."/>
      <w:lvlJc w:val="left"/>
      <w:pPr>
        <w:tabs>
          <w:tab w:val="left" w:pos="0"/>
        </w:tabs>
        <w:ind w:left="1508" w:hanging="708"/>
      </w:pPr>
      <w:rPr>
        <w:rFonts w:hint="default" w:ascii="宋体" w:hAnsi="宋体" w:eastAsia="宋体" w:cs="宋体"/>
        <w:sz w:val="22"/>
      </w:rPr>
    </w:lvl>
    <w:lvl w:ilvl="3" w:tentative="0">
      <w:start w:val="1"/>
      <w:numFmt w:val="decimal"/>
      <w:suff w:val="nothing"/>
      <w:lvlText w:val="%1.%2.%3.%4."/>
      <w:lvlJc w:val="left"/>
      <w:pPr>
        <w:tabs>
          <w:tab w:val="left" w:pos="0"/>
        </w:tabs>
        <w:ind w:left="2053" w:hanging="853"/>
      </w:pPr>
      <w:rPr>
        <w:rFonts w:hint="default" w:ascii="黑体" w:hAnsi="黑体" w:eastAsia="黑体" w:cs="黑体"/>
      </w:rPr>
    </w:lvl>
    <w:lvl w:ilvl="4" w:tentative="0">
      <w:start w:val="1"/>
      <w:numFmt w:val="decimal"/>
      <w:lvlText w:val="%1.%2.%3.%4.%5."/>
      <w:lvlJc w:val="left"/>
      <w:pPr>
        <w:tabs>
          <w:tab w:val="left" w:pos="0"/>
        </w:tabs>
        <w:ind w:left="2495" w:hanging="895"/>
      </w:pPr>
      <w:rPr>
        <w:rFonts w:hint="default"/>
      </w:rPr>
    </w:lvl>
    <w:lvl w:ilvl="5" w:tentative="0">
      <w:start w:val="1"/>
      <w:numFmt w:val="decimal"/>
      <w:lvlText w:val="%1.%2.%3.%4.%5.%6."/>
      <w:lvlJc w:val="left"/>
      <w:pPr>
        <w:tabs>
          <w:tab w:val="left" w:pos="0"/>
        </w:tabs>
        <w:ind w:left="3136" w:hanging="1136"/>
      </w:pPr>
      <w:rPr>
        <w:rFonts w:hint="default"/>
      </w:rPr>
    </w:lvl>
    <w:lvl w:ilvl="6" w:tentative="0">
      <w:start w:val="1"/>
      <w:numFmt w:val="decimal"/>
      <w:lvlText w:val="%1.%2.%3.%4.%5.%6.%7."/>
      <w:lvlJc w:val="left"/>
      <w:pPr>
        <w:tabs>
          <w:tab w:val="left" w:pos="0"/>
        </w:tabs>
        <w:ind w:left="3673" w:hanging="1273"/>
      </w:pPr>
      <w:rPr>
        <w:rFonts w:hint="default"/>
      </w:rPr>
    </w:lvl>
    <w:lvl w:ilvl="7" w:tentative="0">
      <w:start w:val="1"/>
      <w:numFmt w:val="decimal"/>
      <w:lvlText w:val="%1.%2.%3.%4.%5.%6.%7.%8."/>
      <w:lvlJc w:val="left"/>
      <w:pPr>
        <w:tabs>
          <w:tab w:val="left" w:pos="0"/>
        </w:tabs>
        <w:ind w:left="4218" w:hanging="1418"/>
      </w:pPr>
      <w:rPr>
        <w:rFonts w:hint="default"/>
      </w:rPr>
    </w:lvl>
    <w:lvl w:ilvl="8" w:tentative="0">
      <w:start w:val="1"/>
      <w:numFmt w:val="decimal"/>
      <w:lvlText w:val="%1.%2.%3.%4.%5.%6.%7.%8.%9."/>
      <w:lvlJc w:val="left"/>
      <w:pPr>
        <w:tabs>
          <w:tab w:val="left" w:pos="0"/>
        </w:tabs>
        <w:ind w:left="4648" w:hanging="1448"/>
      </w:pPr>
      <w:rPr>
        <w:rFonts w:hint="default"/>
      </w:rPr>
    </w:lvl>
  </w:abstractNum>
  <w:abstractNum w:abstractNumId="20">
    <w:nsid w:val="2A89B273"/>
    <w:multiLevelType w:val="singleLevel"/>
    <w:tmpl w:val="2A89B273"/>
    <w:lvl w:ilvl="0" w:tentative="0">
      <w:start w:val="1"/>
      <w:numFmt w:val="decimal"/>
      <w:suff w:val="nothing"/>
      <w:lvlText w:val="(%1)"/>
      <w:lvlJc w:val="left"/>
      <w:pPr>
        <w:tabs>
          <w:tab w:val="left" w:pos="420"/>
        </w:tabs>
        <w:ind w:left="425" w:hanging="425"/>
      </w:pPr>
      <w:rPr>
        <w:rFonts w:hint="default" w:ascii="宋体" w:hAnsi="宋体" w:eastAsia="宋体" w:cs="宋体"/>
        <w:sz w:val="22"/>
        <w:szCs w:val="22"/>
      </w:rPr>
    </w:lvl>
  </w:abstractNum>
  <w:abstractNum w:abstractNumId="21">
    <w:nsid w:val="3DF0D2DC"/>
    <w:multiLevelType w:val="singleLevel"/>
    <w:tmpl w:val="3DF0D2DC"/>
    <w:lvl w:ilvl="0" w:tentative="0">
      <w:start w:val="6"/>
      <w:numFmt w:val="chineseCounting"/>
      <w:suff w:val="space"/>
      <w:lvlText w:val="第%1章"/>
      <w:lvlJc w:val="left"/>
      <w:rPr>
        <w:rFonts w:hint="eastAsia"/>
      </w:rPr>
    </w:lvl>
  </w:abstractNum>
  <w:abstractNum w:abstractNumId="22">
    <w:nsid w:val="435328E5"/>
    <w:multiLevelType w:val="singleLevel"/>
    <w:tmpl w:val="435328E5"/>
    <w:lvl w:ilvl="0" w:tentative="0">
      <w:start w:val="3"/>
      <w:numFmt w:val="chineseCounting"/>
      <w:suff w:val="space"/>
      <w:lvlText w:val="第%1章"/>
      <w:lvlJc w:val="left"/>
      <w:rPr>
        <w:rFonts w:hint="eastAsia"/>
      </w:rPr>
    </w:lvl>
  </w:abstractNum>
  <w:abstractNum w:abstractNumId="23">
    <w:nsid w:val="58200E77"/>
    <w:multiLevelType w:val="multilevel"/>
    <w:tmpl w:val="58200E77"/>
    <w:lvl w:ilvl="0" w:tentative="0">
      <w:start w:val="52"/>
      <w:numFmt w:val="decimal"/>
      <w:suff w:val="nothing"/>
      <w:lvlText w:val="%1."/>
      <w:lvlJc w:val="left"/>
      <w:pPr>
        <w:tabs>
          <w:tab w:val="left" w:pos="0"/>
        </w:tabs>
        <w:ind w:left="0" w:firstLine="0"/>
      </w:pPr>
      <w:rPr>
        <w:rFonts w:hint="default" w:ascii="宋体" w:hAnsi="宋体" w:eastAsia="宋体" w:cs="宋体"/>
        <w:sz w:val="28"/>
      </w:rPr>
    </w:lvl>
    <w:lvl w:ilvl="1" w:tentative="0">
      <w:start w:val="1"/>
      <w:numFmt w:val="decimal"/>
      <w:suff w:val="nothing"/>
      <w:lvlText w:val="%1.%2."/>
      <w:lvlJc w:val="left"/>
      <w:pPr>
        <w:tabs>
          <w:tab w:val="left" w:pos="0"/>
        </w:tabs>
        <w:ind w:left="0" w:firstLine="0"/>
      </w:pPr>
      <w:rPr>
        <w:rFonts w:hint="default" w:ascii="宋体" w:hAnsi="宋体" w:eastAsia="宋体" w:cs="宋体"/>
        <w:b w:val="0"/>
        <w:bCs w:val="0"/>
        <w:sz w:val="24"/>
        <w:szCs w:val="24"/>
      </w:rPr>
    </w:lvl>
    <w:lvl w:ilvl="2" w:tentative="0">
      <w:start w:val="1"/>
      <w:numFmt w:val="decimal"/>
      <w:suff w:val="nothing"/>
      <w:lvlText w:val="%1.%2.%3."/>
      <w:lvlJc w:val="left"/>
      <w:pPr>
        <w:tabs>
          <w:tab w:val="left" w:pos="0"/>
        </w:tabs>
        <w:ind w:left="1508" w:hanging="708"/>
      </w:pPr>
      <w:rPr>
        <w:rFonts w:hint="default" w:ascii="宋体" w:hAnsi="宋体" w:eastAsia="宋体" w:cs="宋体"/>
        <w:sz w:val="22"/>
      </w:rPr>
    </w:lvl>
    <w:lvl w:ilvl="3" w:tentative="0">
      <w:start w:val="1"/>
      <w:numFmt w:val="decimal"/>
      <w:suff w:val="nothing"/>
      <w:lvlText w:val="%1.%2.%3.%4."/>
      <w:lvlJc w:val="left"/>
      <w:pPr>
        <w:tabs>
          <w:tab w:val="left" w:pos="0"/>
        </w:tabs>
        <w:ind w:left="2053" w:hanging="853"/>
      </w:pPr>
      <w:rPr>
        <w:rFonts w:hint="default" w:ascii="黑体" w:hAnsi="黑体" w:eastAsia="黑体" w:cs="黑体"/>
      </w:rPr>
    </w:lvl>
    <w:lvl w:ilvl="4" w:tentative="0">
      <w:start w:val="1"/>
      <w:numFmt w:val="decimal"/>
      <w:lvlText w:val="%1.%2.%3.%4.%5."/>
      <w:lvlJc w:val="left"/>
      <w:pPr>
        <w:tabs>
          <w:tab w:val="left" w:pos="0"/>
        </w:tabs>
        <w:ind w:left="2495" w:hanging="895"/>
      </w:pPr>
      <w:rPr>
        <w:rFonts w:hint="default"/>
      </w:rPr>
    </w:lvl>
    <w:lvl w:ilvl="5" w:tentative="0">
      <w:start w:val="1"/>
      <w:numFmt w:val="decimal"/>
      <w:lvlText w:val="%1.%2.%3.%4.%5.%6."/>
      <w:lvlJc w:val="left"/>
      <w:pPr>
        <w:tabs>
          <w:tab w:val="left" w:pos="0"/>
        </w:tabs>
        <w:ind w:left="3136" w:hanging="1136"/>
      </w:pPr>
      <w:rPr>
        <w:rFonts w:hint="default"/>
      </w:rPr>
    </w:lvl>
    <w:lvl w:ilvl="6" w:tentative="0">
      <w:start w:val="1"/>
      <w:numFmt w:val="decimal"/>
      <w:lvlText w:val="%1.%2.%3.%4.%5.%6.%7."/>
      <w:lvlJc w:val="left"/>
      <w:pPr>
        <w:tabs>
          <w:tab w:val="left" w:pos="0"/>
        </w:tabs>
        <w:ind w:left="3673" w:hanging="1273"/>
      </w:pPr>
      <w:rPr>
        <w:rFonts w:hint="default"/>
      </w:rPr>
    </w:lvl>
    <w:lvl w:ilvl="7" w:tentative="0">
      <w:start w:val="1"/>
      <w:numFmt w:val="decimal"/>
      <w:lvlText w:val="%1.%2.%3.%4.%5.%6.%7.%8."/>
      <w:lvlJc w:val="left"/>
      <w:pPr>
        <w:tabs>
          <w:tab w:val="left" w:pos="0"/>
        </w:tabs>
        <w:ind w:left="4218" w:hanging="1418"/>
      </w:pPr>
      <w:rPr>
        <w:rFonts w:hint="default"/>
      </w:rPr>
    </w:lvl>
    <w:lvl w:ilvl="8" w:tentative="0">
      <w:start w:val="1"/>
      <w:numFmt w:val="decimal"/>
      <w:lvlText w:val="%1.%2.%3.%4.%5.%6.%7.%8.%9."/>
      <w:lvlJc w:val="left"/>
      <w:pPr>
        <w:tabs>
          <w:tab w:val="left" w:pos="0"/>
        </w:tabs>
        <w:ind w:left="4648" w:hanging="1448"/>
      </w:pPr>
      <w:rPr>
        <w:rFonts w:hint="default"/>
      </w:rPr>
    </w:lvl>
  </w:abstractNum>
  <w:abstractNum w:abstractNumId="24">
    <w:nsid w:val="5ABB7CDF"/>
    <w:multiLevelType w:val="multilevel"/>
    <w:tmpl w:val="5ABB7CDF"/>
    <w:lvl w:ilvl="0" w:tentative="0">
      <w:start w:val="23"/>
      <w:numFmt w:val="decimal"/>
      <w:suff w:val="nothing"/>
      <w:lvlText w:val="%1."/>
      <w:lvlJc w:val="left"/>
      <w:pPr>
        <w:tabs>
          <w:tab w:val="left" w:pos="0"/>
        </w:tabs>
        <w:ind w:left="0" w:leftChars="0" w:firstLine="0" w:firstLineChars="0"/>
      </w:pPr>
      <w:rPr>
        <w:rFonts w:hint="default" w:ascii="宋体" w:hAnsi="宋体" w:eastAsia="宋体" w:cs="宋体"/>
        <w:sz w:val="28"/>
      </w:rPr>
    </w:lvl>
    <w:lvl w:ilvl="1" w:tentative="0">
      <w:start w:val="1"/>
      <w:numFmt w:val="decimal"/>
      <w:suff w:val="nothing"/>
      <w:lvlText w:val="%1.%2."/>
      <w:lvlJc w:val="left"/>
      <w:pPr>
        <w:tabs>
          <w:tab w:val="left" w:pos="0"/>
        </w:tabs>
        <w:ind w:left="0" w:leftChars="0" w:firstLine="0" w:firstLineChars="0"/>
      </w:pPr>
      <w:rPr>
        <w:rFonts w:hint="default" w:ascii="宋体" w:hAnsi="宋体" w:eastAsia="宋体" w:cs="宋体"/>
        <w:b w:val="0"/>
        <w:bCs w:val="0"/>
        <w:sz w:val="24"/>
        <w:szCs w:val="24"/>
      </w:rPr>
    </w:lvl>
    <w:lvl w:ilvl="2" w:tentative="0">
      <w:start w:val="1"/>
      <w:numFmt w:val="decimal"/>
      <w:suff w:val="nothing"/>
      <w:lvlText w:val="%1.%2.%3."/>
      <w:lvlJc w:val="left"/>
      <w:pPr>
        <w:tabs>
          <w:tab w:val="left" w:pos="0"/>
        </w:tabs>
        <w:ind w:left="1508" w:hanging="708"/>
      </w:pPr>
      <w:rPr>
        <w:rFonts w:hint="default" w:ascii="宋体" w:hAnsi="宋体" w:eastAsia="宋体" w:cs="宋体"/>
        <w:sz w:val="22"/>
      </w:rPr>
    </w:lvl>
    <w:lvl w:ilvl="3" w:tentative="0">
      <w:start w:val="1"/>
      <w:numFmt w:val="decimal"/>
      <w:suff w:val="nothing"/>
      <w:lvlText w:val="%1.%2.%3.%4."/>
      <w:lvlJc w:val="left"/>
      <w:pPr>
        <w:tabs>
          <w:tab w:val="left" w:pos="0"/>
        </w:tabs>
        <w:ind w:left="2053" w:hanging="853"/>
      </w:pPr>
      <w:rPr>
        <w:rFonts w:hint="default" w:ascii="黑体" w:hAnsi="黑体" w:eastAsia="黑体" w:cs="黑体"/>
      </w:rPr>
    </w:lvl>
    <w:lvl w:ilvl="4" w:tentative="0">
      <w:start w:val="1"/>
      <w:numFmt w:val="decimal"/>
      <w:lvlText w:val="%1.%2.%3.%4.%5."/>
      <w:lvlJc w:val="left"/>
      <w:pPr>
        <w:tabs>
          <w:tab w:val="left" w:pos="0"/>
        </w:tabs>
        <w:ind w:left="2495" w:hanging="895"/>
      </w:pPr>
      <w:rPr>
        <w:rFonts w:hint="default"/>
      </w:rPr>
    </w:lvl>
    <w:lvl w:ilvl="5" w:tentative="0">
      <w:start w:val="1"/>
      <w:numFmt w:val="decimal"/>
      <w:lvlText w:val="%1.%2.%3.%4.%5.%6."/>
      <w:lvlJc w:val="left"/>
      <w:pPr>
        <w:tabs>
          <w:tab w:val="left" w:pos="0"/>
        </w:tabs>
        <w:ind w:left="3136" w:hanging="1136"/>
      </w:pPr>
      <w:rPr>
        <w:rFonts w:hint="default"/>
      </w:rPr>
    </w:lvl>
    <w:lvl w:ilvl="6" w:tentative="0">
      <w:start w:val="1"/>
      <w:numFmt w:val="decimal"/>
      <w:lvlText w:val="%1.%2.%3.%4.%5.%6.%7."/>
      <w:lvlJc w:val="left"/>
      <w:pPr>
        <w:tabs>
          <w:tab w:val="left" w:pos="0"/>
        </w:tabs>
        <w:ind w:left="3673" w:hanging="1273"/>
      </w:pPr>
      <w:rPr>
        <w:rFonts w:hint="default"/>
      </w:rPr>
    </w:lvl>
    <w:lvl w:ilvl="7" w:tentative="0">
      <w:start w:val="1"/>
      <w:numFmt w:val="decimal"/>
      <w:lvlText w:val="%1.%2.%3.%4.%5.%6.%7.%8."/>
      <w:lvlJc w:val="left"/>
      <w:pPr>
        <w:tabs>
          <w:tab w:val="left" w:pos="0"/>
        </w:tabs>
        <w:ind w:left="4218" w:hanging="1418"/>
      </w:pPr>
      <w:rPr>
        <w:rFonts w:hint="default"/>
      </w:rPr>
    </w:lvl>
    <w:lvl w:ilvl="8" w:tentative="0">
      <w:start w:val="1"/>
      <w:numFmt w:val="decimal"/>
      <w:lvlText w:val="%1.%2.%3.%4.%5.%6.%7.%8.%9."/>
      <w:lvlJc w:val="left"/>
      <w:pPr>
        <w:tabs>
          <w:tab w:val="left" w:pos="0"/>
        </w:tabs>
        <w:ind w:left="4648" w:hanging="1448"/>
      </w:pPr>
      <w:rPr>
        <w:rFonts w:hint="default"/>
      </w:rPr>
    </w:lvl>
  </w:abstractNum>
  <w:abstractNum w:abstractNumId="25">
    <w:nsid w:val="63C6A213"/>
    <w:multiLevelType w:val="multilevel"/>
    <w:tmpl w:val="63C6A213"/>
    <w:lvl w:ilvl="0" w:tentative="0">
      <w:start w:val="21"/>
      <w:numFmt w:val="decimal"/>
      <w:suff w:val="nothing"/>
      <w:lvlText w:val="%1."/>
      <w:lvlJc w:val="left"/>
      <w:pPr>
        <w:tabs>
          <w:tab w:val="left" w:pos="0"/>
        </w:tabs>
        <w:ind w:left="0" w:leftChars="0" w:firstLine="0" w:firstLineChars="0"/>
      </w:pPr>
      <w:rPr>
        <w:rFonts w:hint="default" w:ascii="宋体" w:hAnsi="宋体" w:eastAsia="宋体" w:cs="宋体"/>
        <w:sz w:val="28"/>
      </w:rPr>
    </w:lvl>
    <w:lvl w:ilvl="1" w:tentative="0">
      <w:start w:val="1"/>
      <w:numFmt w:val="decimal"/>
      <w:suff w:val="nothing"/>
      <w:lvlText w:val="%1.%2."/>
      <w:lvlJc w:val="left"/>
      <w:pPr>
        <w:tabs>
          <w:tab w:val="left" w:pos="0"/>
        </w:tabs>
        <w:ind w:left="1440" w:hanging="453"/>
      </w:pPr>
      <w:rPr>
        <w:rFonts w:hint="default" w:ascii="宋体" w:hAnsi="宋体" w:eastAsia="宋体" w:cs="宋体"/>
        <w:b w:val="0"/>
        <w:bCs w:val="0"/>
        <w:sz w:val="24"/>
        <w:szCs w:val="24"/>
      </w:rPr>
    </w:lvl>
    <w:lvl w:ilvl="2" w:tentative="0">
      <w:start w:val="1"/>
      <w:numFmt w:val="decimal"/>
      <w:suff w:val="nothing"/>
      <w:lvlText w:val="%1.%2.%3."/>
      <w:lvlJc w:val="left"/>
      <w:pPr>
        <w:tabs>
          <w:tab w:val="left" w:pos="0"/>
        </w:tabs>
        <w:ind w:left="1508" w:hanging="708"/>
      </w:pPr>
      <w:rPr>
        <w:rFonts w:hint="default" w:ascii="宋体" w:hAnsi="宋体" w:eastAsia="宋体" w:cs="宋体"/>
        <w:sz w:val="22"/>
      </w:rPr>
    </w:lvl>
    <w:lvl w:ilvl="3" w:tentative="0">
      <w:start w:val="1"/>
      <w:numFmt w:val="decimal"/>
      <w:suff w:val="nothing"/>
      <w:lvlText w:val="%1.%2.%3.%4."/>
      <w:lvlJc w:val="left"/>
      <w:pPr>
        <w:tabs>
          <w:tab w:val="left" w:pos="0"/>
        </w:tabs>
        <w:ind w:left="2053" w:hanging="853"/>
      </w:pPr>
      <w:rPr>
        <w:rFonts w:hint="default" w:ascii="黑体" w:hAnsi="黑体" w:eastAsia="黑体" w:cs="黑体"/>
      </w:rPr>
    </w:lvl>
    <w:lvl w:ilvl="4" w:tentative="0">
      <w:start w:val="1"/>
      <w:numFmt w:val="decimal"/>
      <w:lvlText w:val="%1.%2.%3.%4.%5."/>
      <w:lvlJc w:val="left"/>
      <w:pPr>
        <w:tabs>
          <w:tab w:val="left" w:pos="0"/>
        </w:tabs>
        <w:ind w:left="2495" w:hanging="895"/>
      </w:pPr>
      <w:rPr>
        <w:rFonts w:hint="default"/>
      </w:rPr>
    </w:lvl>
    <w:lvl w:ilvl="5" w:tentative="0">
      <w:start w:val="1"/>
      <w:numFmt w:val="decimal"/>
      <w:lvlText w:val="%1.%2.%3.%4.%5.%6."/>
      <w:lvlJc w:val="left"/>
      <w:pPr>
        <w:tabs>
          <w:tab w:val="left" w:pos="0"/>
        </w:tabs>
        <w:ind w:left="3136" w:hanging="1136"/>
      </w:pPr>
      <w:rPr>
        <w:rFonts w:hint="default"/>
      </w:rPr>
    </w:lvl>
    <w:lvl w:ilvl="6" w:tentative="0">
      <w:start w:val="1"/>
      <w:numFmt w:val="decimal"/>
      <w:lvlText w:val="%1.%2.%3.%4.%5.%6.%7."/>
      <w:lvlJc w:val="left"/>
      <w:pPr>
        <w:tabs>
          <w:tab w:val="left" w:pos="0"/>
        </w:tabs>
        <w:ind w:left="3673" w:hanging="1273"/>
      </w:pPr>
      <w:rPr>
        <w:rFonts w:hint="default"/>
      </w:rPr>
    </w:lvl>
    <w:lvl w:ilvl="7" w:tentative="0">
      <w:start w:val="1"/>
      <w:numFmt w:val="decimal"/>
      <w:lvlText w:val="%1.%2.%3.%4.%5.%6.%7.%8."/>
      <w:lvlJc w:val="left"/>
      <w:pPr>
        <w:tabs>
          <w:tab w:val="left" w:pos="0"/>
        </w:tabs>
        <w:ind w:left="4218" w:hanging="1418"/>
      </w:pPr>
      <w:rPr>
        <w:rFonts w:hint="default"/>
      </w:rPr>
    </w:lvl>
    <w:lvl w:ilvl="8" w:tentative="0">
      <w:start w:val="1"/>
      <w:numFmt w:val="decimal"/>
      <w:lvlText w:val="%1.%2.%3.%4.%5.%6.%7.%8.%9."/>
      <w:lvlJc w:val="left"/>
      <w:pPr>
        <w:tabs>
          <w:tab w:val="left" w:pos="0"/>
        </w:tabs>
        <w:ind w:left="4648" w:hanging="1448"/>
      </w:pPr>
      <w:rPr>
        <w:rFonts w:hint="default"/>
      </w:rPr>
    </w:lvl>
  </w:abstractNum>
  <w:abstractNum w:abstractNumId="26">
    <w:nsid w:val="6BD6CB78"/>
    <w:multiLevelType w:val="multilevel"/>
    <w:tmpl w:val="6BD6CB78"/>
    <w:lvl w:ilvl="0" w:tentative="0">
      <w:start w:val="45"/>
      <w:numFmt w:val="decimal"/>
      <w:suff w:val="nothing"/>
      <w:lvlText w:val="%1."/>
      <w:lvlJc w:val="left"/>
      <w:pPr>
        <w:tabs>
          <w:tab w:val="left" w:pos="0"/>
        </w:tabs>
        <w:ind w:left="0" w:firstLine="0"/>
      </w:pPr>
      <w:rPr>
        <w:rFonts w:hint="default" w:ascii="宋体" w:hAnsi="宋体" w:eastAsia="宋体" w:cs="宋体"/>
        <w:sz w:val="28"/>
      </w:rPr>
    </w:lvl>
    <w:lvl w:ilvl="1" w:tentative="0">
      <w:start w:val="1"/>
      <w:numFmt w:val="decimal"/>
      <w:suff w:val="nothing"/>
      <w:lvlText w:val="%1.%2."/>
      <w:lvlJc w:val="left"/>
      <w:pPr>
        <w:tabs>
          <w:tab w:val="left" w:pos="0"/>
        </w:tabs>
        <w:ind w:left="0" w:firstLine="0"/>
      </w:pPr>
      <w:rPr>
        <w:rFonts w:hint="default" w:ascii="宋体" w:hAnsi="宋体" w:eastAsia="宋体" w:cs="宋体"/>
        <w:b w:val="0"/>
        <w:bCs w:val="0"/>
        <w:sz w:val="24"/>
        <w:szCs w:val="24"/>
      </w:rPr>
    </w:lvl>
    <w:lvl w:ilvl="2" w:tentative="0">
      <w:start w:val="1"/>
      <w:numFmt w:val="decimal"/>
      <w:suff w:val="nothing"/>
      <w:lvlText w:val="%1.%2.%3."/>
      <w:lvlJc w:val="left"/>
      <w:pPr>
        <w:tabs>
          <w:tab w:val="left" w:pos="0"/>
        </w:tabs>
        <w:ind w:left="1508" w:hanging="708"/>
      </w:pPr>
      <w:rPr>
        <w:rFonts w:hint="default" w:ascii="宋体" w:hAnsi="宋体" w:eastAsia="宋体" w:cs="宋体"/>
        <w:sz w:val="22"/>
      </w:rPr>
    </w:lvl>
    <w:lvl w:ilvl="3" w:tentative="0">
      <w:start w:val="1"/>
      <w:numFmt w:val="decimal"/>
      <w:suff w:val="nothing"/>
      <w:lvlText w:val="%1.%2.%3.%4."/>
      <w:lvlJc w:val="left"/>
      <w:pPr>
        <w:tabs>
          <w:tab w:val="left" w:pos="0"/>
        </w:tabs>
        <w:ind w:left="2053" w:hanging="853"/>
      </w:pPr>
      <w:rPr>
        <w:rFonts w:hint="default" w:ascii="黑体" w:hAnsi="黑体" w:eastAsia="黑体" w:cs="黑体"/>
      </w:rPr>
    </w:lvl>
    <w:lvl w:ilvl="4" w:tentative="0">
      <w:start w:val="1"/>
      <w:numFmt w:val="decimal"/>
      <w:lvlText w:val="%1.%2.%3.%4.%5."/>
      <w:lvlJc w:val="left"/>
      <w:pPr>
        <w:tabs>
          <w:tab w:val="left" w:pos="0"/>
        </w:tabs>
        <w:ind w:left="2495" w:hanging="895"/>
      </w:pPr>
      <w:rPr>
        <w:rFonts w:hint="default"/>
      </w:rPr>
    </w:lvl>
    <w:lvl w:ilvl="5" w:tentative="0">
      <w:start w:val="1"/>
      <w:numFmt w:val="decimal"/>
      <w:lvlText w:val="%1.%2.%3.%4.%5.%6."/>
      <w:lvlJc w:val="left"/>
      <w:pPr>
        <w:tabs>
          <w:tab w:val="left" w:pos="0"/>
        </w:tabs>
        <w:ind w:left="3136" w:hanging="1136"/>
      </w:pPr>
      <w:rPr>
        <w:rFonts w:hint="default"/>
      </w:rPr>
    </w:lvl>
    <w:lvl w:ilvl="6" w:tentative="0">
      <w:start w:val="1"/>
      <w:numFmt w:val="decimal"/>
      <w:lvlText w:val="%1.%2.%3.%4.%5.%6.%7."/>
      <w:lvlJc w:val="left"/>
      <w:pPr>
        <w:tabs>
          <w:tab w:val="left" w:pos="0"/>
        </w:tabs>
        <w:ind w:left="3673" w:hanging="1273"/>
      </w:pPr>
      <w:rPr>
        <w:rFonts w:hint="default"/>
      </w:rPr>
    </w:lvl>
    <w:lvl w:ilvl="7" w:tentative="0">
      <w:start w:val="1"/>
      <w:numFmt w:val="decimal"/>
      <w:lvlText w:val="%1.%2.%3.%4.%5.%6.%7.%8."/>
      <w:lvlJc w:val="left"/>
      <w:pPr>
        <w:tabs>
          <w:tab w:val="left" w:pos="0"/>
        </w:tabs>
        <w:ind w:left="4218" w:hanging="1418"/>
      </w:pPr>
      <w:rPr>
        <w:rFonts w:hint="default"/>
      </w:rPr>
    </w:lvl>
    <w:lvl w:ilvl="8" w:tentative="0">
      <w:start w:val="1"/>
      <w:numFmt w:val="decimal"/>
      <w:lvlText w:val="%1.%2.%3.%4.%5.%6.%7.%8.%9."/>
      <w:lvlJc w:val="left"/>
      <w:pPr>
        <w:tabs>
          <w:tab w:val="left" w:pos="0"/>
        </w:tabs>
        <w:ind w:left="4648" w:hanging="1448"/>
      </w:pPr>
      <w:rPr>
        <w:rFonts w:hint="default"/>
      </w:rPr>
    </w:lvl>
  </w:abstractNum>
  <w:num w:numId="1">
    <w:abstractNumId w:val="10"/>
  </w:num>
  <w:num w:numId="2">
    <w:abstractNumId w:val="15"/>
  </w:num>
  <w:num w:numId="3">
    <w:abstractNumId w:val="4"/>
  </w:num>
  <w:num w:numId="4">
    <w:abstractNumId w:val="14"/>
  </w:num>
  <w:num w:numId="5">
    <w:abstractNumId w:val="20"/>
  </w:num>
  <w:num w:numId="6">
    <w:abstractNumId w:val="8"/>
  </w:num>
  <w:num w:numId="7">
    <w:abstractNumId w:val="16"/>
  </w:num>
  <w:num w:numId="8">
    <w:abstractNumId w:val="25"/>
  </w:num>
  <w:num w:numId="9">
    <w:abstractNumId w:val="5"/>
  </w:num>
  <w:num w:numId="10">
    <w:abstractNumId w:val="24"/>
  </w:num>
  <w:num w:numId="11">
    <w:abstractNumId w:val="3"/>
  </w:num>
  <w:num w:numId="12">
    <w:abstractNumId w:val="9"/>
  </w:num>
  <w:num w:numId="13">
    <w:abstractNumId w:val="11"/>
  </w:num>
  <w:num w:numId="14">
    <w:abstractNumId w:val="19"/>
  </w:num>
  <w:num w:numId="15">
    <w:abstractNumId w:val="17"/>
  </w:num>
  <w:num w:numId="16">
    <w:abstractNumId w:val="1"/>
  </w:num>
  <w:num w:numId="17">
    <w:abstractNumId w:val="2"/>
  </w:num>
  <w:num w:numId="18">
    <w:abstractNumId w:val="0"/>
  </w:num>
  <w:num w:numId="19">
    <w:abstractNumId w:val="7"/>
  </w:num>
  <w:num w:numId="20">
    <w:abstractNumId w:val="26"/>
  </w:num>
  <w:num w:numId="21">
    <w:abstractNumId w:val="6"/>
  </w:num>
  <w:num w:numId="22">
    <w:abstractNumId w:val="18"/>
  </w:num>
  <w:num w:numId="23">
    <w:abstractNumId w:val="13"/>
  </w:num>
  <w:num w:numId="24">
    <w:abstractNumId w:val="23"/>
  </w:num>
  <w:num w:numId="25">
    <w:abstractNumId w:val="22"/>
  </w:num>
  <w:num w:numId="26">
    <w:abstractNumId w:val="12"/>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trackRevisions w:val="1"/>
  <w:documentProtection w:enforcement="0"/>
  <w:defaultTabStop w:val="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NhZDBhZDQ5ZWM5NWUzMTM3YzBlMGYyYzM4ZDhlOTYifQ=="/>
  </w:docVars>
  <w:rsids>
    <w:rsidRoot w:val="00172A27"/>
    <w:rsid w:val="00001B86"/>
    <w:rsid w:val="0001574A"/>
    <w:rsid w:val="00030CA1"/>
    <w:rsid w:val="000720FD"/>
    <w:rsid w:val="00075658"/>
    <w:rsid w:val="00087E9B"/>
    <w:rsid w:val="00095BB3"/>
    <w:rsid w:val="000B12C4"/>
    <w:rsid w:val="000B4D49"/>
    <w:rsid w:val="000C1FF9"/>
    <w:rsid w:val="000E6CB8"/>
    <w:rsid w:val="000F4724"/>
    <w:rsid w:val="00110020"/>
    <w:rsid w:val="001135EF"/>
    <w:rsid w:val="00131DED"/>
    <w:rsid w:val="00134482"/>
    <w:rsid w:val="00160C00"/>
    <w:rsid w:val="00166B83"/>
    <w:rsid w:val="00172A27"/>
    <w:rsid w:val="00174D1F"/>
    <w:rsid w:val="001B43B8"/>
    <w:rsid w:val="001B669C"/>
    <w:rsid w:val="001D2A2C"/>
    <w:rsid w:val="001D3AC9"/>
    <w:rsid w:val="001E3818"/>
    <w:rsid w:val="0023244A"/>
    <w:rsid w:val="00240CE3"/>
    <w:rsid w:val="00244B1B"/>
    <w:rsid w:val="00250784"/>
    <w:rsid w:val="00280EB2"/>
    <w:rsid w:val="002B5669"/>
    <w:rsid w:val="002C2150"/>
    <w:rsid w:val="002C6DBF"/>
    <w:rsid w:val="003206DB"/>
    <w:rsid w:val="00321511"/>
    <w:rsid w:val="0032359B"/>
    <w:rsid w:val="0034086A"/>
    <w:rsid w:val="003532FE"/>
    <w:rsid w:val="00356D83"/>
    <w:rsid w:val="003661AC"/>
    <w:rsid w:val="00372743"/>
    <w:rsid w:val="00393AC1"/>
    <w:rsid w:val="003A1C52"/>
    <w:rsid w:val="003D28DF"/>
    <w:rsid w:val="003E3AC5"/>
    <w:rsid w:val="003F163D"/>
    <w:rsid w:val="003F28D5"/>
    <w:rsid w:val="00442E9B"/>
    <w:rsid w:val="00456C36"/>
    <w:rsid w:val="00464A79"/>
    <w:rsid w:val="004A6B6E"/>
    <w:rsid w:val="004B29DF"/>
    <w:rsid w:val="004C1068"/>
    <w:rsid w:val="004D68B1"/>
    <w:rsid w:val="004D6CFA"/>
    <w:rsid w:val="004E2821"/>
    <w:rsid w:val="005067AA"/>
    <w:rsid w:val="00530FC5"/>
    <w:rsid w:val="005A5587"/>
    <w:rsid w:val="005A66C9"/>
    <w:rsid w:val="005D65F3"/>
    <w:rsid w:val="00637F97"/>
    <w:rsid w:val="00656C7F"/>
    <w:rsid w:val="00681239"/>
    <w:rsid w:val="00682233"/>
    <w:rsid w:val="00687FD5"/>
    <w:rsid w:val="00691733"/>
    <w:rsid w:val="00695207"/>
    <w:rsid w:val="006D2E0A"/>
    <w:rsid w:val="006D5C1D"/>
    <w:rsid w:val="006F1760"/>
    <w:rsid w:val="006F7D98"/>
    <w:rsid w:val="00712D43"/>
    <w:rsid w:val="007170A5"/>
    <w:rsid w:val="00720531"/>
    <w:rsid w:val="007271D6"/>
    <w:rsid w:val="00732090"/>
    <w:rsid w:val="00741652"/>
    <w:rsid w:val="00741A6D"/>
    <w:rsid w:val="00745A51"/>
    <w:rsid w:val="00771A04"/>
    <w:rsid w:val="00794D0F"/>
    <w:rsid w:val="00796568"/>
    <w:rsid w:val="007A53BE"/>
    <w:rsid w:val="007A7EC2"/>
    <w:rsid w:val="007B5D5A"/>
    <w:rsid w:val="007B6021"/>
    <w:rsid w:val="007D6C87"/>
    <w:rsid w:val="0081086A"/>
    <w:rsid w:val="00826647"/>
    <w:rsid w:val="008332A0"/>
    <w:rsid w:val="00867FFD"/>
    <w:rsid w:val="008A56F1"/>
    <w:rsid w:val="008A7D2D"/>
    <w:rsid w:val="008B1210"/>
    <w:rsid w:val="00911744"/>
    <w:rsid w:val="009301A9"/>
    <w:rsid w:val="00951D06"/>
    <w:rsid w:val="0095235D"/>
    <w:rsid w:val="00954876"/>
    <w:rsid w:val="00960603"/>
    <w:rsid w:val="00961809"/>
    <w:rsid w:val="009722FA"/>
    <w:rsid w:val="0099154C"/>
    <w:rsid w:val="009E7C52"/>
    <w:rsid w:val="009F1C84"/>
    <w:rsid w:val="00A04C1C"/>
    <w:rsid w:val="00A17AD8"/>
    <w:rsid w:val="00A37ED3"/>
    <w:rsid w:val="00A65FA9"/>
    <w:rsid w:val="00A73D7D"/>
    <w:rsid w:val="00A9539D"/>
    <w:rsid w:val="00AD217A"/>
    <w:rsid w:val="00AE043D"/>
    <w:rsid w:val="00B23941"/>
    <w:rsid w:val="00B25D5D"/>
    <w:rsid w:val="00B34E87"/>
    <w:rsid w:val="00B41252"/>
    <w:rsid w:val="00B61F45"/>
    <w:rsid w:val="00B9055E"/>
    <w:rsid w:val="00BA4C66"/>
    <w:rsid w:val="00C05CBB"/>
    <w:rsid w:val="00C25FE8"/>
    <w:rsid w:val="00C324D2"/>
    <w:rsid w:val="00C358F9"/>
    <w:rsid w:val="00C41BE3"/>
    <w:rsid w:val="00C65E39"/>
    <w:rsid w:val="00C77BA6"/>
    <w:rsid w:val="00C85511"/>
    <w:rsid w:val="00C95363"/>
    <w:rsid w:val="00D047D9"/>
    <w:rsid w:val="00D23242"/>
    <w:rsid w:val="00D27920"/>
    <w:rsid w:val="00D4030B"/>
    <w:rsid w:val="00D46B8D"/>
    <w:rsid w:val="00D553F0"/>
    <w:rsid w:val="00D735A6"/>
    <w:rsid w:val="00D82BEA"/>
    <w:rsid w:val="00DB32A1"/>
    <w:rsid w:val="00DC6BD3"/>
    <w:rsid w:val="00DD51F1"/>
    <w:rsid w:val="00DD5630"/>
    <w:rsid w:val="00DE3A1B"/>
    <w:rsid w:val="00DF0E7E"/>
    <w:rsid w:val="00DF4EE0"/>
    <w:rsid w:val="00E12664"/>
    <w:rsid w:val="00E14CA4"/>
    <w:rsid w:val="00E27EAD"/>
    <w:rsid w:val="00E367D5"/>
    <w:rsid w:val="00E57A29"/>
    <w:rsid w:val="00E6702C"/>
    <w:rsid w:val="00E76D46"/>
    <w:rsid w:val="00E80E0C"/>
    <w:rsid w:val="00E92EA4"/>
    <w:rsid w:val="00EA263A"/>
    <w:rsid w:val="00EA78D6"/>
    <w:rsid w:val="00EB51E8"/>
    <w:rsid w:val="00ED68A7"/>
    <w:rsid w:val="00F05400"/>
    <w:rsid w:val="00F148F7"/>
    <w:rsid w:val="00F166FD"/>
    <w:rsid w:val="00F453C0"/>
    <w:rsid w:val="00F46DAC"/>
    <w:rsid w:val="00F72CA9"/>
    <w:rsid w:val="00F8095F"/>
    <w:rsid w:val="00F85681"/>
    <w:rsid w:val="00F96F51"/>
    <w:rsid w:val="00F9798D"/>
    <w:rsid w:val="00FA7BB3"/>
    <w:rsid w:val="00FB3CEF"/>
    <w:rsid w:val="00FC6550"/>
    <w:rsid w:val="00FE4E96"/>
    <w:rsid w:val="01023BF0"/>
    <w:rsid w:val="0103164E"/>
    <w:rsid w:val="010333FC"/>
    <w:rsid w:val="010B405F"/>
    <w:rsid w:val="011E7A06"/>
    <w:rsid w:val="012045F7"/>
    <w:rsid w:val="0134060D"/>
    <w:rsid w:val="0136616B"/>
    <w:rsid w:val="01457570"/>
    <w:rsid w:val="0150385C"/>
    <w:rsid w:val="015B4FE6"/>
    <w:rsid w:val="01706634"/>
    <w:rsid w:val="01757B4B"/>
    <w:rsid w:val="018D431C"/>
    <w:rsid w:val="01906A31"/>
    <w:rsid w:val="019C2519"/>
    <w:rsid w:val="01A25893"/>
    <w:rsid w:val="01A802A3"/>
    <w:rsid w:val="01A96691"/>
    <w:rsid w:val="01AD47CF"/>
    <w:rsid w:val="01B11310"/>
    <w:rsid w:val="01C2347D"/>
    <w:rsid w:val="01CF32DE"/>
    <w:rsid w:val="01D42A2B"/>
    <w:rsid w:val="01D61657"/>
    <w:rsid w:val="01E176EE"/>
    <w:rsid w:val="01E84AF7"/>
    <w:rsid w:val="01ED1932"/>
    <w:rsid w:val="01ED5E40"/>
    <w:rsid w:val="020B3367"/>
    <w:rsid w:val="02196989"/>
    <w:rsid w:val="021A0D6B"/>
    <w:rsid w:val="023702FD"/>
    <w:rsid w:val="023C4E17"/>
    <w:rsid w:val="023D73FF"/>
    <w:rsid w:val="02443B62"/>
    <w:rsid w:val="024C71F6"/>
    <w:rsid w:val="02532161"/>
    <w:rsid w:val="02565CC1"/>
    <w:rsid w:val="025A0DEA"/>
    <w:rsid w:val="02632EF4"/>
    <w:rsid w:val="027125E7"/>
    <w:rsid w:val="02923524"/>
    <w:rsid w:val="0299656C"/>
    <w:rsid w:val="029F0F02"/>
    <w:rsid w:val="02A05AD0"/>
    <w:rsid w:val="02A4249C"/>
    <w:rsid w:val="02A93B2F"/>
    <w:rsid w:val="02B96C5E"/>
    <w:rsid w:val="02CE3596"/>
    <w:rsid w:val="02D07463"/>
    <w:rsid w:val="02D22B2F"/>
    <w:rsid w:val="02E96323"/>
    <w:rsid w:val="02EC044F"/>
    <w:rsid w:val="02EC3DA4"/>
    <w:rsid w:val="02F53218"/>
    <w:rsid w:val="030F59F5"/>
    <w:rsid w:val="032130EC"/>
    <w:rsid w:val="03282B7E"/>
    <w:rsid w:val="03284B8C"/>
    <w:rsid w:val="0333397C"/>
    <w:rsid w:val="0339068B"/>
    <w:rsid w:val="033B3E59"/>
    <w:rsid w:val="0353648E"/>
    <w:rsid w:val="035B4572"/>
    <w:rsid w:val="035C5C24"/>
    <w:rsid w:val="03676838"/>
    <w:rsid w:val="039676A9"/>
    <w:rsid w:val="039B54A3"/>
    <w:rsid w:val="03B33B11"/>
    <w:rsid w:val="03BB0082"/>
    <w:rsid w:val="03C6116F"/>
    <w:rsid w:val="03CB00BA"/>
    <w:rsid w:val="03E700DD"/>
    <w:rsid w:val="03FC232D"/>
    <w:rsid w:val="04065EFF"/>
    <w:rsid w:val="040E4592"/>
    <w:rsid w:val="04164480"/>
    <w:rsid w:val="04346851"/>
    <w:rsid w:val="043D4E77"/>
    <w:rsid w:val="045A77D7"/>
    <w:rsid w:val="045D7CA1"/>
    <w:rsid w:val="04893C18"/>
    <w:rsid w:val="04901171"/>
    <w:rsid w:val="04936A23"/>
    <w:rsid w:val="049B4192"/>
    <w:rsid w:val="049D08B8"/>
    <w:rsid w:val="049F168E"/>
    <w:rsid w:val="04A143E4"/>
    <w:rsid w:val="04A276AB"/>
    <w:rsid w:val="04AB3B8E"/>
    <w:rsid w:val="04B41B16"/>
    <w:rsid w:val="04B47F34"/>
    <w:rsid w:val="04B72CCE"/>
    <w:rsid w:val="04C9495C"/>
    <w:rsid w:val="04F05A45"/>
    <w:rsid w:val="04F90435"/>
    <w:rsid w:val="04FD7C2A"/>
    <w:rsid w:val="05156EEC"/>
    <w:rsid w:val="051712DA"/>
    <w:rsid w:val="051C1E78"/>
    <w:rsid w:val="051D78E1"/>
    <w:rsid w:val="052C3B6E"/>
    <w:rsid w:val="052E77A1"/>
    <w:rsid w:val="053172CC"/>
    <w:rsid w:val="053973EC"/>
    <w:rsid w:val="05441FF6"/>
    <w:rsid w:val="05492F7F"/>
    <w:rsid w:val="05540C99"/>
    <w:rsid w:val="055B3C3D"/>
    <w:rsid w:val="056C0D1F"/>
    <w:rsid w:val="057A4A8F"/>
    <w:rsid w:val="05827F45"/>
    <w:rsid w:val="05861FC3"/>
    <w:rsid w:val="058A5E99"/>
    <w:rsid w:val="058E5FA2"/>
    <w:rsid w:val="059B3313"/>
    <w:rsid w:val="059E28D3"/>
    <w:rsid w:val="05AD7DDA"/>
    <w:rsid w:val="05AE18D3"/>
    <w:rsid w:val="05B147D4"/>
    <w:rsid w:val="05C8457A"/>
    <w:rsid w:val="05CF3AC9"/>
    <w:rsid w:val="05D12DB7"/>
    <w:rsid w:val="05DE7F94"/>
    <w:rsid w:val="05DF009E"/>
    <w:rsid w:val="05E530D0"/>
    <w:rsid w:val="05EB7D6B"/>
    <w:rsid w:val="06036426"/>
    <w:rsid w:val="06094F71"/>
    <w:rsid w:val="061609DC"/>
    <w:rsid w:val="062430A3"/>
    <w:rsid w:val="06270B33"/>
    <w:rsid w:val="062D5D65"/>
    <w:rsid w:val="06541E3A"/>
    <w:rsid w:val="06603A00"/>
    <w:rsid w:val="0661460E"/>
    <w:rsid w:val="06731BEF"/>
    <w:rsid w:val="06733D80"/>
    <w:rsid w:val="068D2959"/>
    <w:rsid w:val="068D7C64"/>
    <w:rsid w:val="069B03E5"/>
    <w:rsid w:val="06A7132C"/>
    <w:rsid w:val="06B31420"/>
    <w:rsid w:val="06B50CF4"/>
    <w:rsid w:val="06BD2FE4"/>
    <w:rsid w:val="06BD5D71"/>
    <w:rsid w:val="06D118A6"/>
    <w:rsid w:val="06D8039E"/>
    <w:rsid w:val="06DB2355"/>
    <w:rsid w:val="06F400A7"/>
    <w:rsid w:val="06FF4174"/>
    <w:rsid w:val="07093827"/>
    <w:rsid w:val="071A0A25"/>
    <w:rsid w:val="071E2D3E"/>
    <w:rsid w:val="071E2F3F"/>
    <w:rsid w:val="07300CC3"/>
    <w:rsid w:val="0737639B"/>
    <w:rsid w:val="074104B4"/>
    <w:rsid w:val="074602F4"/>
    <w:rsid w:val="074B4CEF"/>
    <w:rsid w:val="074C6649"/>
    <w:rsid w:val="07511973"/>
    <w:rsid w:val="07623294"/>
    <w:rsid w:val="07741E75"/>
    <w:rsid w:val="078C71BF"/>
    <w:rsid w:val="07A477E7"/>
    <w:rsid w:val="07A95C73"/>
    <w:rsid w:val="07AB7DE9"/>
    <w:rsid w:val="07AD40C1"/>
    <w:rsid w:val="07AE4CE8"/>
    <w:rsid w:val="07B214E9"/>
    <w:rsid w:val="07B76CEE"/>
    <w:rsid w:val="07C5140B"/>
    <w:rsid w:val="07C947F5"/>
    <w:rsid w:val="07CF2B0E"/>
    <w:rsid w:val="07D72A16"/>
    <w:rsid w:val="07DA303C"/>
    <w:rsid w:val="07DE69F8"/>
    <w:rsid w:val="07E775D3"/>
    <w:rsid w:val="07F24573"/>
    <w:rsid w:val="07F7358F"/>
    <w:rsid w:val="07F8458B"/>
    <w:rsid w:val="07FB3286"/>
    <w:rsid w:val="08075E2A"/>
    <w:rsid w:val="080C1275"/>
    <w:rsid w:val="080F2EBC"/>
    <w:rsid w:val="080F30D9"/>
    <w:rsid w:val="082757A5"/>
    <w:rsid w:val="08306989"/>
    <w:rsid w:val="08387E2F"/>
    <w:rsid w:val="08406CE4"/>
    <w:rsid w:val="084B2667"/>
    <w:rsid w:val="08512AD9"/>
    <w:rsid w:val="08560F6B"/>
    <w:rsid w:val="08564759"/>
    <w:rsid w:val="086F75C9"/>
    <w:rsid w:val="08722947"/>
    <w:rsid w:val="0878647D"/>
    <w:rsid w:val="08812363"/>
    <w:rsid w:val="088C71AD"/>
    <w:rsid w:val="089474E5"/>
    <w:rsid w:val="08B53817"/>
    <w:rsid w:val="08BA6A96"/>
    <w:rsid w:val="08C37475"/>
    <w:rsid w:val="08C6440E"/>
    <w:rsid w:val="08CC463A"/>
    <w:rsid w:val="08D06CD2"/>
    <w:rsid w:val="08E476EB"/>
    <w:rsid w:val="08E5207E"/>
    <w:rsid w:val="08EA14B6"/>
    <w:rsid w:val="08EB1612"/>
    <w:rsid w:val="08EF5980"/>
    <w:rsid w:val="08F20C25"/>
    <w:rsid w:val="08FF6B9F"/>
    <w:rsid w:val="09011900"/>
    <w:rsid w:val="090D60CD"/>
    <w:rsid w:val="09154475"/>
    <w:rsid w:val="091F0D16"/>
    <w:rsid w:val="09455276"/>
    <w:rsid w:val="09540C99"/>
    <w:rsid w:val="09722120"/>
    <w:rsid w:val="09931921"/>
    <w:rsid w:val="0994504E"/>
    <w:rsid w:val="09951BEF"/>
    <w:rsid w:val="09C46E19"/>
    <w:rsid w:val="09CC2D1E"/>
    <w:rsid w:val="09D46050"/>
    <w:rsid w:val="09D608DD"/>
    <w:rsid w:val="09DA6E2A"/>
    <w:rsid w:val="09E702DD"/>
    <w:rsid w:val="09E813E1"/>
    <w:rsid w:val="0A242C6D"/>
    <w:rsid w:val="0A2A5EEF"/>
    <w:rsid w:val="0A330EF9"/>
    <w:rsid w:val="0A4347C8"/>
    <w:rsid w:val="0A454634"/>
    <w:rsid w:val="0A5A4272"/>
    <w:rsid w:val="0A613063"/>
    <w:rsid w:val="0A694687"/>
    <w:rsid w:val="0A723725"/>
    <w:rsid w:val="0A785488"/>
    <w:rsid w:val="0A79472F"/>
    <w:rsid w:val="0A7B2E0A"/>
    <w:rsid w:val="0A8448A0"/>
    <w:rsid w:val="0A883255"/>
    <w:rsid w:val="0A913826"/>
    <w:rsid w:val="0A9F0EAA"/>
    <w:rsid w:val="0A9F3102"/>
    <w:rsid w:val="0AA13DB0"/>
    <w:rsid w:val="0AA75F42"/>
    <w:rsid w:val="0AAC48A7"/>
    <w:rsid w:val="0ABA506A"/>
    <w:rsid w:val="0ABC5BC4"/>
    <w:rsid w:val="0ABF0C3B"/>
    <w:rsid w:val="0AEB73DB"/>
    <w:rsid w:val="0AEC6CAF"/>
    <w:rsid w:val="0AEE5CC9"/>
    <w:rsid w:val="0AEF054D"/>
    <w:rsid w:val="0AEF7E7E"/>
    <w:rsid w:val="0AF26D60"/>
    <w:rsid w:val="0AFE24A0"/>
    <w:rsid w:val="0B00170D"/>
    <w:rsid w:val="0B195DEC"/>
    <w:rsid w:val="0B320A29"/>
    <w:rsid w:val="0B375A37"/>
    <w:rsid w:val="0B37608B"/>
    <w:rsid w:val="0B491D94"/>
    <w:rsid w:val="0B534F80"/>
    <w:rsid w:val="0B6131F9"/>
    <w:rsid w:val="0B7B5365"/>
    <w:rsid w:val="0B7D5340"/>
    <w:rsid w:val="0BA45365"/>
    <w:rsid w:val="0BAB69EC"/>
    <w:rsid w:val="0BB26C0D"/>
    <w:rsid w:val="0BD56F10"/>
    <w:rsid w:val="0BDF124C"/>
    <w:rsid w:val="0BDF2CAC"/>
    <w:rsid w:val="0BE66D02"/>
    <w:rsid w:val="0BF2478A"/>
    <w:rsid w:val="0BF60CFA"/>
    <w:rsid w:val="0BF75417"/>
    <w:rsid w:val="0BF87C3C"/>
    <w:rsid w:val="0C075659"/>
    <w:rsid w:val="0C0A5DFC"/>
    <w:rsid w:val="0C1058DE"/>
    <w:rsid w:val="0C2A5F44"/>
    <w:rsid w:val="0C2E0D0E"/>
    <w:rsid w:val="0C2F1549"/>
    <w:rsid w:val="0C332F3F"/>
    <w:rsid w:val="0C3A4DF1"/>
    <w:rsid w:val="0C4F67E2"/>
    <w:rsid w:val="0C522348"/>
    <w:rsid w:val="0C523489"/>
    <w:rsid w:val="0C654F6B"/>
    <w:rsid w:val="0C6E2563"/>
    <w:rsid w:val="0C6F136A"/>
    <w:rsid w:val="0C7C545D"/>
    <w:rsid w:val="0C801DA5"/>
    <w:rsid w:val="0C8B4B82"/>
    <w:rsid w:val="0C8C4C5A"/>
    <w:rsid w:val="0CB01370"/>
    <w:rsid w:val="0CB25637"/>
    <w:rsid w:val="0CBF36BB"/>
    <w:rsid w:val="0CD10852"/>
    <w:rsid w:val="0CEE78D1"/>
    <w:rsid w:val="0CF100B4"/>
    <w:rsid w:val="0CF35DAA"/>
    <w:rsid w:val="0CFD6D07"/>
    <w:rsid w:val="0D0B3AEB"/>
    <w:rsid w:val="0D0D6F08"/>
    <w:rsid w:val="0D1C7D1F"/>
    <w:rsid w:val="0D21323C"/>
    <w:rsid w:val="0D222B68"/>
    <w:rsid w:val="0D224355"/>
    <w:rsid w:val="0D2F4203"/>
    <w:rsid w:val="0D3E2F48"/>
    <w:rsid w:val="0D440F4F"/>
    <w:rsid w:val="0D533015"/>
    <w:rsid w:val="0D556D8D"/>
    <w:rsid w:val="0D5A43A4"/>
    <w:rsid w:val="0D652D27"/>
    <w:rsid w:val="0D6A65BF"/>
    <w:rsid w:val="0D6B5D0D"/>
    <w:rsid w:val="0D72790F"/>
    <w:rsid w:val="0D77268F"/>
    <w:rsid w:val="0D902199"/>
    <w:rsid w:val="0D995086"/>
    <w:rsid w:val="0DA3593E"/>
    <w:rsid w:val="0DAB4895"/>
    <w:rsid w:val="0DAF2891"/>
    <w:rsid w:val="0DBE6564"/>
    <w:rsid w:val="0DC141F2"/>
    <w:rsid w:val="0DC51A08"/>
    <w:rsid w:val="0DC911BB"/>
    <w:rsid w:val="0DCD4F6C"/>
    <w:rsid w:val="0DD02F0F"/>
    <w:rsid w:val="0DD15942"/>
    <w:rsid w:val="0DD4472D"/>
    <w:rsid w:val="0DE87C01"/>
    <w:rsid w:val="0DF376DD"/>
    <w:rsid w:val="0E0E45D2"/>
    <w:rsid w:val="0E19425F"/>
    <w:rsid w:val="0E237841"/>
    <w:rsid w:val="0E243E04"/>
    <w:rsid w:val="0E29730F"/>
    <w:rsid w:val="0E2D7BE3"/>
    <w:rsid w:val="0E342E47"/>
    <w:rsid w:val="0E3D06A0"/>
    <w:rsid w:val="0E462C4C"/>
    <w:rsid w:val="0E4B1A1C"/>
    <w:rsid w:val="0E4D215A"/>
    <w:rsid w:val="0E504189"/>
    <w:rsid w:val="0E5556B2"/>
    <w:rsid w:val="0E561CB2"/>
    <w:rsid w:val="0E583303"/>
    <w:rsid w:val="0E5C693D"/>
    <w:rsid w:val="0E680D42"/>
    <w:rsid w:val="0E8012D9"/>
    <w:rsid w:val="0E810684"/>
    <w:rsid w:val="0E833B53"/>
    <w:rsid w:val="0E8C1749"/>
    <w:rsid w:val="0E9059C9"/>
    <w:rsid w:val="0E972E44"/>
    <w:rsid w:val="0EA7314F"/>
    <w:rsid w:val="0EAE0E4B"/>
    <w:rsid w:val="0EC3752D"/>
    <w:rsid w:val="0ECC307F"/>
    <w:rsid w:val="0ECE4A09"/>
    <w:rsid w:val="0ED57430"/>
    <w:rsid w:val="0ED729EE"/>
    <w:rsid w:val="0EDC5E02"/>
    <w:rsid w:val="0EDF706C"/>
    <w:rsid w:val="0EF06BEB"/>
    <w:rsid w:val="0EF146A7"/>
    <w:rsid w:val="0EF31966"/>
    <w:rsid w:val="0EFA4090"/>
    <w:rsid w:val="0F0A1DF9"/>
    <w:rsid w:val="0F1133CB"/>
    <w:rsid w:val="0F1173AD"/>
    <w:rsid w:val="0F244060"/>
    <w:rsid w:val="0F3239EE"/>
    <w:rsid w:val="0F405BCB"/>
    <w:rsid w:val="0F4E5368"/>
    <w:rsid w:val="0F5D698D"/>
    <w:rsid w:val="0F5F5CA1"/>
    <w:rsid w:val="0F6874B0"/>
    <w:rsid w:val="0F847DFE"/>
    <w:rsid w:val="0F881ACB"/>
    <w:rsid w:val="0F8C5688"/>
    <w:rsid w:val="0F9113E0"/>
    <w:rsid w:val="0F915CF4"/>
    <w:rsid w:val="0F93489A"/>
    <w:rsid w:val="0FAC06D9"/>
    <w:rsid w:val="0FAD016D"/>
    <w:rsid w:val="0FAF0058"/>
    <w:rsid w:val="0FBD5F7F"/>
    <w:rsid w:val="0FC63BDB"/>
    <w:rsid w:val="0FC64AEA"/>
    <w:rsid w:val="0FD41D0C"/>
    <w:rsid w:val="0FE66BBE"/>
    <w:rsid w:val="0FEB415F"/>
    <w:rsid w:val="0FED0C0B"/>
    <w:rsid w:val="0FEF5F5D"/>
    <w:rsid w:val="0FF02D9D"/>
    <w:rsid w:val="0FF0673A"/>
    <w:rsid w:val="0FF42037"/>
    <w:rsid w:val="0FF54080"/>
    <w:rsid w:val="0FF65639"/>
    <w:rsid w:val="0FF7412C"/>
    <w:rsid w:val="10035589"/>
    <w:rsid w:val="101565F4"/>
    <w:rsid w:val="101A3E7C"/>
    <w:rsid w:val="1025642B"/>
    <w:rsid w:val="1027514F"/>
    <w:rsid w:val="102B29FC"/>
    <w:rsid w:val="102D1D40"/>
    <w:rsid w:val="10304C1F"/>
    <w:rsid w:val="10305890"/>
    <w:rsid w:val="10394744"/>
    <w:rsid w:val="103A2396"/>
    <w:rsid w:val="10473C4E"/>
    <w:rsid w:val="10482BD9"/>
    <w:rsid w:val="10497F6A"/>
    <w:rsid w:val="104F6378"/>
    <w:rsid w:val="105B5D70"/>
    <w:rsid w:val="105C0433"/>
    <w:rsid w:val="105C7C29"/>
    <w:rsid w:val="10627D00"/>
    <w:rsid w:val="10663981"/>
    <w:rsid w:val="1072039F"/>
    <w:rsid w:val="10855BDB"/>
    <w:rsid w:val="10867E54"/>
    <w:rsid w:val="1088747A"/>
    <w:rsid w:val="109113BA"/>
    <w:rsid w:val="109802C9"/>
    <w:rsid w:val="10A122E9"/>
    <w:rsid w:val="10A15A4A"/>
    <w:rsid w:val="10A2678D"/>
    <w:rsid w:val="10AC2C78"/>
    <w:rsid w:val="10B06697"/>
    <w:rsid w:val="10B448AF"/>
    <w:rsid w:val="10B77B5F"/>
    <w:rsid w:val="10BA6FC7"/>
    <w:rsid w:val="10C03740"/>
    <w:rsid w:val="10C62793"/>
    <w:rsid w:val="10D0497D"/>
    <w:rsid w:val="10DD6442"/>
    <w:rsid w:val="10E137BD"/>
    <w:rsid w:val="10E51C43"/>
    <w:rsid w:val="10FB1CFE"/>
    <w:rsid w:val="10FB57F0"/>
    <w:rsid w:val="11161E06"/>
    <w:rsid w:val="111B4847"/>
    <w:rsid w:val="11221ADC"/>
    <w:rsid w:val="11241AA9"/>
    <w:rsid w:val="11266649"/>
    <w:rsid w:val="11297EC9"/>
    <w:rsid w:val="11381CFF"/>
    <w:rsid w:val="113E2E5F"/>
    <w:rsid w:val="11407D54"/>
    <w:rsid w:val="114430CC"/>
    <w:rsid w:val="114F5918"/>
    <w:rsid w:val="116133C9"/>
    <w:rsid w:val="11687794"/>
    <w:rsid w:val="11761FC4"/>
    <w:rsid w:val="11777E64"/>
    <w:rsid w:val="11795660"/>
    <w:rsid w:val="117B268D"/>
    <w:rsid w:val="11816503"/>
    <w:rsid w:val="118529A6"/>
    <w:rsid w:val="11880F61"/>
    <w:rsid w:val="11902A8A"/>
    <w:rsid w:val="11913A5E"/>
    <w:rsid w:val="119D70C3"/>
    <w:rsid w:val="11AB27E4"/>
    <w:rsid w:val="11AB3900"/>
    <w:rsid w:val="11B62E1B"/>
    <w:rsid w:val="11BA71FD"/>
    <w:rsid w:val="11BF7BE1"/>
    <w:rsid w:val="11E44B84"/>
    <w:rsid w:val="11F500D0"/>
    <w:rsid w:val="1207193D"/>
    <w:rsid w:val="120A52F6"/>
    <w:rsid w:val="120A5FBD"/>
    <w:rsid w:val="120F1501"/>
    <w:rsid w:val="121012A0"/>
    <w:rsid w:val="121D56EB"/>
    <w:rsid w:val="12250B27"/>
    <w:rsid w:val="12282E23"/>
    <w:rsid w:val="123632B2"/>
    <w:rsid w:val="124878CD"/>
    <w:rsid w:val="124C3DA0"/>
    <w:rsid w:val="125B6724"/>
    <w:rsid w:val="1260465A"/>
    <w:rsid w:val="12641E84"/>
    <w:rsid w:val="126924BD"/>
    <w:rsid w:val="126D63D9"/>
    <w:rsid w:val="127E28A6"/>
    <w:rsid w:val="127F754C"/>
    <w:rsid w:val="128C11D9"/>
    <w:rsid w:val="12986019"/>
    <w:rsid w:val="129A025D"/>
    <w:rsid w:val="12AC3A9D"/>
    <w:rsid w:val="12BD412E"/>
    <w:rsid w:val="12C61325"/>
    <w:rsid w:val="12D40754"/>
    <w:rsid w:val="12DE5A77"/>
    <w:rsid w:val="12E55783"/>
    <w:rsid w:val="12E806A4"/>
    <w:rsid w:val="12F217F1"/>
    <w:rsid w:val="130A100F"/>
    <w:rsid w:val="131A6229"/>
    <w:rsid w:val="131D3F6B"/>
    <w:rsid w:val="13205400"/>
    <w:rsid w:val="1321122C"/>
    <w:rsid w:val="13262314"/>
    <w:rsid w:val="132971BE"/>
    <w:rsid w:val="1332514D"/>
    <w:rsid w:val="133905DA"/>
    <w:rsid w:val="135936B5"/>
    <w:rsid w:val="135B7C44"/>
    <w:rsid w:val="135C4646"/>
    <w:rsid w:val="135F06B7"/>
    <w:rsid w:val="136D5A1C"/>
    <w:rsid w:val="13751FD7"/>
    <w:rsid w:val="138C4596"/>
    <w:rsid w:val="13AA5959"/>
    <w:rsid w:val="13B231DF"/>
    <w:rsid w:val="13B42D6D"/>
    <w:rsid w:val="13BF593A"/>
    <w:rsid w:val="13C36B5C"/>
    <w:rsid w:val="13C509A3"/>
    <w:rsid w:val="13C70B45"/>
    <w:rsid w:val="13CC5951"/>
    <w:rsid w:val="13D84274"/>
    <w:rsid w:val="13DE3954"/>
    <w:rsid w:val="13E0137B"/>
    <w:rsid w:val="13EE2074"/>
    <w:rsid w:val="13F416E5"/>
    <w:rsid w:val="13F624FF"/>
    <w:rsid w:val="13FB15C8"/>
    <w:rsid w:val="14045069"/>
    <w:rsid w:val="1404577A"/>
    <w:rsid w:val="14112514"/>
    <w:rsid w:val="1416601D"/>
    <w:rsid w:val="1423576F"/>
    <w:rsid w:val="1427164E"/>
    <w:rsid w:val="143D7C6D"/>
    <w:rsid w:val="14426230"/>
    <w:rsid w:val="14450686"/>
    <w:rsid w:val="145062A0"/>
    <w:rsid w:val="14554F87"/>
    <w:rsid w:val="145767D9"/>
    <w:rsid w:val="146401FE"/>
    <w:rsid w:val="14643764"/>
    <w:rsid w:val="146975C2"/>
    <w:rsid w:val="146C5A05"/>
    <w:rsid w:val="14765768"/>
    <w:rsid w:val="147B7480"/>
    <w:rsid w:val="147E74D6"/>
    <w:rsid w:val="148D26ED"/>
    <w:rsid w:val="148F1917"/>
    <w:rsid w:val="14901E99"/>
    <w:rsid w:val="14943B26"/>
    <w:rsid w:val="149B5BB4"/>
    <w:rsid w:val="149D34E2"/>
    <w:rsid w:val="14A34882"/>
    <w:rsid w:val="14A62D61"/>
    <w:rsid w:val="14B65343"/>
    <w:rsid w:val="14D26F15"/>
    <w:rsid w:val="14D34889"/>
    <w:rsid w:val="14DD3619"/>
    <w:rsid w:val="14E354DA"/>
    <w:rsid w:val="14F7137E"/>
    <w:rsid w:val="1501324B"/>
    <w:rsid w:val="15035321"/>
    <w:rsid w:val="15136330"/>
    <w:rsid w:val="15233018"/>
    <w:rsid w:val="152B6F63"/>
    <w:rsid w:val="15314A2C"/>
    <w:rsid w:val="153E788E"/>
    <w:rsid w:val="1558225D"/>
    <w:rsid w:val="155E69FB"/>
    <w:rsid w:val="155F58F6"/>
    <w:rsid w:val="1571257F"/>
    <w:rsid w:val="157224A6"/>
    <w:rsid w:val="15852C95"/>
    <w:rsid w:val="159D14F7"/>
    <w:rsid w:val="15B45973"/>
    <w:rsid w:val="15B74140"/>
    <w:rsid w:val="15BC293A"/>
    <w:rsid w:val="15C90318"/>
    <w:rsid w:val="15CA0E7F"/>
    <w:rsid w:val="15D50ACE"/>
    <w:rsid w:val="15D81EF7"/>
    <w:rsid w:val="15DB629E"/>
    <w:rsid w:val="15DD3DC4"/>
    <w:rsid w:val="15DE174F"/>
    <w:rsid w:val="15E3366A"/>
    <w:rsid w:val="16010AFE"/>
    <w:rsid w:val="16063AA0"/>
    <w:rsid w:val="16092E0B"/>
    <w:rsid w:val="16134D55"/>
    <w:rsid w:val="16241D49"/>
    <w:rsid w:val="162B2D81"/>
    <w:rsid w:val="162B4B2F"/>
    <w:rsid w:val="16314110"/>
    <w:rsid w:val="16347871"/>
    <w:rsid w:val="163C065A"/>
    <w:rsid w:val="163D73D7"/>
    <w:rsid w:val="164901B2"/>
    <w:rsid w:val="164A6B9C"/>
    <w:rsid w:val="165273CF"/>
    <w:rsid w:val="166813E7"/>
    <w:rsid w:val="16687394"/>
    <w:rsid w:val="16711794"/>
    <w:rsid w:val="16763849"/>
    <w:rsid w:val="167A6959"/>
    <w:rsid w:val="168240D2"/>
    <w:rsid w:val="1686191E"/>
    <w:rsid w:val="16873D30"/>
    <w:rsid w:val="168918A6"/>
    <w:rsid w:val="168E4F39"/>
    <w:rsid w:val="16AB6DCA"/>
    <w:rsid w:val="16B56757"/>
    <w:rsid w:val="16BA4105"/>
    <w:rsid w:val="16BF2C26"/>
    <w:rsid w:val="16C65FA2"/>
    <w:rsid w:val="16C808CD"/>
    <w:rsid w:val="16C91141"/>
    <w:rsid w:val="16D30323"/>
    <w:rsid w:val="16DD1801"/>
    <w:rsid w:val="16DE20A4"/>
    <w:rsid w:val="16DE7170"/>
    <w:rsid w:val="16E42F30"/>
    <w:rsid w:val="16EC15B1"/>
    <w:rsid w:val="16ED44DA"/>
    <w:rsid w:val="16F54E7E"/>
    <w:rsid w:val="16F64EA3"/>
    <w:rsid w:val="1703785A"/>
    <w:rsid w:val="172004E9"/>
    <w:rsid w:val="173D00AC"/>
    <w:rsid w:val="1759391E"/>
    <w:rsid w:val="176014E4"/>
    <w:rsid w:val="176A5686"/>
    <w:rsid w:val="176C5A33"/>
    <w:rsid w:val="17732C32"/>
    <w:rsid w:val="178C3191"/>
    <w:rsid w:val="178E022A"/>
    <w:rsid w:val="179235A8"/>
    <w:rsid w:val="17926D92"/>
    <w:rsid w:val="17932454"/>
    <w:rsid w:val="17973558"/>
    <w:rsid w:val="17A20C6B"/>
    <w:rsid w:val="17AC1A7D"/>
    <w:rsid w:val="17B747D9"/>
    <w:rsid w:val="17BB3400"/>
    <w:rsid w:val="17C37A7E"/>
    <w:rsid w:val="17DB3497"/>
    <w:rsid w:val="17DF7A9B"/>
    <w:rsid w:val="17EB450E"/>
    <w:rsid w:val="17F35B20"/>
    <w:rsid w:val="17F92A0B"/>
    <w:rsid w:val="18007FB7"/>
    <w:rsid w:val="180514C3"/>
    <w:rsid w:val="18057779"/>
    <w:rsid w:val="180E582C"/>
    <w:rsid w:val="181250C7"/>
    <w:rsid w:val="181B0BD3"/>
    <w:rsid w:val="188B645A"/>
    <w:rsid w:val="189152F2"/>
    <w:rsid w:val="18AB4F78"/>
    <w:rsid w:val="18B51CE9"/>
    <w:rsid w:val="18B52AC1"/>
    <w:rsid w:val="18C96988"/>
    <w:rsid w:val="18E727CD"/>
    <w:rsid w:val="18E831AB"/>
    <w:rsid w:val="18E851E1"/>
    <w:rsid w:val="18EC510F"/>
    <w:rsid w:val="18EE70D1"/>
    <w:rsid w:val="18F75BB9"/>
    <w:rsid w:val="19103F29"/>
    <w:rsid w:val="19177273"/>
    <w:rsid w:val="19185113"/>
    <w:rsid w:val="1919248B"/>
    <w:rsid w:val="192352E4"/>
    <w:rsid w:val="192A633A"/>
    <w:rsid w:val="19346A48"/>
    <w:rsid w:val="19363C15"/>
    <w:rsid w:val="194523AD"/>
    <w:rsid w:val="19481E9C"/>
    <w:rsid w:val="194E0E5A"/>
    <w:rsid w:val="196470DC"/>
    <w:rsid w:val="196A4428"/>
    <w:rsid w:val="196C557D"/>
    <w:rsid w:val="19754608"/>
    <w:rsid w:val="197C0D71"/>
    <w:rsid w:val="199B6A17"/>
    <w:rsid w:val="19AC1A4C"/>
    <w:rsid w:val="19BC195B"/>
    <w:rsid w:val="19C01DFB"/>
    <w:rsid w:val="19C64D56"/>
    <w:rsid w:val="19CB567A"/>
    <w:rsid w:val="19D86F64"/>
    <w:rsid w:val="19EB7A42"/>
    <w:rsid w:val="19EC0A79"/>
    <w:rsid w:val="19EF40C6"/>
    <w:rsid w:val="19F32962"/>
    <w:rsid w:val="19F32E2F"/>
    <w:rsid w:val="19FD1C49"/>
    <w:rsid w:val="1A08042B"/>
    <w:rsid w:val="1A0F5222"/>
    <w:rsid w:val="1A111A09"/>
    <w:rsid w:val="1A1621C7"/>
    <w:rsid w:val="1A1A6026"/>
    <w:rsid w:val="1A1C2C19"/>
    <w:rsid w:val="1A24540D"/>
    <w:rsid w:val="1A2A59B6"/>
    <w:rsid w:val="1A346288"/>
    <w:rsid w:val="1A3E71FD"/>
    <w:rsid w:val="1A422994"/>
    <w:rsid w:val="1A542310"/>
    <w:rsid w:val="1A70699F"/>
    <w:rsid w:val="1A7E3DE6"/>
    <w:rsid w:val="1A8018D6"/>
    <w:rsid w:val="1AB86F6A"/>
    <w:rsid w:val="1AC56101"/>
    <w:rsid w:val="1AD80A93"/>
    <w:rsid w:val="1AD90B28"/>
    <w:rsid w:val="1AE5074D"/>
    <w:rsid w:val="1AFA54C9"/>
    <w:rsid w:val="1B01079D"/>
    <w:rsid w:val="1B067919"/>
    <w:rsid w:val="1B134833"/>
    <w:rsid w:val="1B170CA1"/>
    <w:rsid w:val="1B1D009E"/>
    <w:rsid w:val="1B3A53E7"/>
    <w:rsid w:val="1B44346C"/>
    <w:rsid w:val="1B555DD3"/>
    <w:rsid w:val="1B5C39DD"/>
    <w:rsid w:val="1B5F3E2D"/>
    <w:rsid w:val="1B713592"/>
    <w:rsid w:val="1B7156DA"/>
    <w:rsid w:val="1B7818DE"/>
    <w:rsid w:val="1B7E1BA5"/>
    <w:rsid w:val="1B80591D"/>
    <w:rsid w:val="1B9A6B18"/>
    <w:rsid w:val="1BA96CA8"/>
    <w:rsid w:val="1BAA7852"/>
    <w:rsid w:val="1BC44079"/>
    <w:rsid w:val="1BCA4DEA"/>
    <w:rsid w:val="1BCA4F7A"/>
    <w:rsid w:val="1BCA6A0D"/>
    <w:rsid w:val="1BD43F79"/>
    <w:rsid w:val="1BD45C69"/>
    <w:rsid w:val="1BD605F3"/>
    <w:rsid w:val="1BD8525B"/>
    <w:rsid w:val="1BE75189"/>
    <w:rsid w:val="1BE903C0"/>
    <w:rsid w:val="1BF01FFA"/>
    <w:rsid w:val="1BF115FF"/>
    <w:rsid w:val="1BF41E67"/>
    <w:rsid w:val="1C0D72D6"/>
    <w:rsid w:val="1C194EA0"/>
    <w:rsid w:val="1C4454C3"/>
    <w:rsid w:val="1C4671C1"/>
    <w:rsid w:val="1C4B6499"/>
    <w:rsid w:val="1C521ECE"/>
    <w:rsid w:val="1C5446B4"/>
    <w:rsid w:val="1C551849"/>
    <w:rsid w:val="1C554DBE"/>
    <w:rsid w:val="1C5F6D67"/>
    <w:rsid w:val="1C646FED"/>
    <w:rsid w:val="1C7C60E2"/>
    <w:rsid w:val="1CB12E70"/>
    <w:rsid w:val="1CB54FBC"/>
    <w:rsid w:val="1CB67720"/>
    <w:rsid w:val="1CB7443F"/>
    <w:rsid w:val="1CC00F43"/>
    <w:rsid w:val="1CCE2454"/>
    <w:rsid w:val="1CD31210"/>
    <w:rsid w:val="1CDA5429"/>
    <w:rsid w:val="1CDF5444"/>
    <w:rsid w:val="1CE31CB8"/>
    <w:rsid w:val="1CE33463"/>
    <w:rsid w:val="1CFA34AD"/>
    <w:rsid w:val="1CFE7CC5"/>
    <w:rsid w:val="1CFF32CC"/>
    <w:rsid w:val="1D015F90"/>
    <w:rsid w:val="1D0428D1"/>
    <w:rsid w:val="1D0F39CD"/>
    <w:rsid w:val="1D1628DD"/>
    <w:rsid w:val="1D187DD7"/>
    <w:rsid w:val="1D247B2E"/>
    <w:rsid w:val="1D3D6E21"/>
    <w:rsid w:val="1D436C02"/>
    <w:rsid w:val="1D4A104F"/>
    <w:rsid w:val="1D5105FE"/>
    <w:rsid w:val="1D566256"/>
    <w:rsid w:val="1D5E2B68"/>
    <w:rsid w:val="1D682760"/>
    <w:rsid w:val="1D684BFF"/>
    <w:rsid w:val="1D7777EA"/>
    <w:rsid w:val="1D790876"/>
    <w:rsid w:val="1D827D4F"/>
    <w:rsid w:val="1D862C10"/>
    <w:rsid w:val="1D8B7007"/>
    <w:rsid w:val="1D9317D5"/>
    <w:rsid w:val="1D990F18"/>
    <w:rsid w:val="1D994785"/>
    <w:rsid w:val="1D9C1C9E"/>
    <w:rsid w:val="1DA17DCD"/>
    <w:rsid w:val="1DAE7300"/>
    <w:rsid w:val="1DB37F40"/>
    <w:rsid w:val="1DCA7323"/>
    <w:rsid w:val="1DCF11AF"/>
    <w:rsid w:val="1DE71932"/>
    <w:rsid w:val="1DFE0D7B"/>
    <w:rsid w:val="1E067FD0"/>
    <w:rsid w:val="1E0839A8"/>
    <w:rsid w:val="1E1C296E"/>
    <w:rsid w:val="1E2B296F"/>
    <w:rsid w:val="1E3B3DBE"/>
    <w:rsid w:val="1E455902"/>
    <w:rsid w:val="1E482113"/>
    <w:rsid w:val="1E4A0224"/>
    <w:rsid w:val="1E4A0464"/>
    <w:rsid w:val="1E566A9B"/>
    <w:rsid w:val="1E5C1981"/>
    <w:rsid w:val="1E625BA4"/>
    <w:rsid w:val="1E860D4B"/>
    <w:rsid w:val="1E8B091C"/>
    <w:rsid w:val="1E9D147E"/>
    <w:rsid w:val="1EA94266"/>
    <w:rsid w:val="1EAD2EBA"/>
    <w:rsid w:val="1EAF2075"/>
    <w:rsid w:val="1EB37DB8"/>
    <w:rsid w:val="1EB549B3"/>
    <w:rsid w:val="1EC21DA9"/>
    <w:rsid w:val="1EC732BD"/>
    <w:rsid w:val="1ECC0E79"/>
    <w:rsid w:val="1EE9292A"/>
    <w:rsid w:val="1EEC6E65"/>
    <w:rsid w:val="1EEE0DF0"/>
    <w:rsid w:val="1F0717E1"/>
    <w:rsid w:val="1F095C2A"/>
    <w:rsid w:val="1F0B6573"/>
    <w:rsid w:val="1F0E4FEE"/>
    <w:rsid w:val="1F122490"/>
    <w:rsid w:val="1F274071"/>
    <w:rsid w:val="1F2D3EE7"/>
    <w:rsid w:val="1F3429E6"/>
    <w:rsid w:val="1F394761"/>
    <w:rsid w:val="1F453CAA"/>
    <w:rsid w:val="1F510CDC"/>
    <w:rsid w:val="1F58672D"/>
    <w:rsid w:val="1F592A83"/>
    <w:rsid w:val="1F5F584A"/>
    <w:rsid w:val="1F7F116C"/>
    <w:rsid w:val="1F837CBF"/>
    <w:rsid w:val="1F884DA0"/>
    <w:rsid w:val="1F975732"/>
    <w:rsid w:val="1F9A2CFD"/>
    <w:rsid w:val="1F9C1C18"/>
    <w:rsid w:val="1F9C64CE"/>
    <w:rsid w:val="1FA40111"/>
    <w:rsid w:val="1FA82BC2"/>
    <w:rsid w:val="1FB137B2"/>
    <w:rsid w:val="1FB42A55"/>
    <w:rsid w:val="1FB45C7C"/>
    <w:rsid w:val="1FBF6C2C"/>
    <w:rsid w:val="1FC73B9A"/>
    <w:rsid w:val="1FD20DA4"/>
    <w:rsid w:val="1FE44B36"/>
    <w:rsid w:val="1FE521F3"/>
    <w:rsid w:val="1FEE637A"/>
    <w:rsid w:val="1FEF26C4"/>
    <w:rsid w:val="1FF56E00"/>
    <w:rsid w:val="1FF959D3"/>
    <w:rsid w:val="1FFB37C4"/>
    <w:rsid w:val="20022A1A"/>
    <w:rsid w:val="20054643"/>
    <w:rsid w:val="200C59D1"/>
    <w:rsid w:val="200C67DD"/>
    <w:rsid w:val="20120B0E"/>
    <w:rsid w:val="20127FCD"/>
    <w:rsid w:val="20157DC4"/>
    <w:rsid w:val="20182154"/>
    <w:rsid w:val="201A0C7D"/>
    <w:rsid w:val="201F2DDD"/>
    <w:rsid w:val="202069BA"/>
    <w:rsid w:val="202F2518"/>
    <w:rsid w:val="203117E9"/>
    <w:rsid w:val="20522205"/>
    <w:rsid w:val="205D090C"/>
    <w:rsid w:val="20682939"/>
    <w:rsid w:val="20721DF5"/>
    <w:rsid w:val="207C0588"/>
    <w:rsid w:val="20856C7D"/>
    <w:rsid w:val="209617EF"/>
    <w:rsid w:val="20971013"/>
    <w:rsid w:val="20A25BA9"/>
    <w:rsid w:val="20A4708F"/>
    <w:rsid w:val="20AB3D07"/>
    <w:rsid w:val="20B97912"/>
    <w:rsid w:val="20BA4E89"/>
    <w:rsid w:val="20BB11A5"/>
    <w:rsid w:val="20BD1908"/>
    <w:rsid w:val="20BE47F2"/>
    <w:rsid w:val="20BE5C44"/>
    <w:rsid w:val="20C742D6"/>
    <w:rsid w:val="20E029BA"/>
    <w:rsid w:val="20E95D13"/>
    <w:rsid w:val="20EA01C4"/>
    <w:rsid w:val="20EB02CA"/>
    <w:rsid w:val="20EB4E1A"/>
    <w:rsid w:val="20EE0B33"/>
    <w:rsid w:val="20EF35E8"/>
    <w:rsid w:val="20EF4493"/>
    <w:rsid w:val="210539C6"/>
    <w:rsid w:val="210A7749"/>
    <w:rsid w:val="21121E38"/>
    <w:rsid w:val="2112799E"/>
    <w:rsid w:val="2113462E"/>
    <w:rsid w:val="211A0471"/>
    <w:rsid w:val="21323553"/>
    <w:rsid w:val="21362C9F"/>
    <w:rsid w:val="213663E1"/>
    <w:rsid w:val="213960B7"/>
    <w:rsid w:val="213C47A6"/>
    <w:rsid w:val="213D197A"/>
    <w:rsid w:val="214178FD"/>
    <w:rsid w:val="214B42B4"/>
    <w:rsid w:val="214B6D4C"/>
    <w:rsid w:val="21515666"/>
    <w:rsid w:val="215277DE"/>
    <w:rsid w:val="21547189"/>
    <w:rsid w:val="21576A6A"/>
    <w:rsid w:val="21630741"/>
    <w:rsid w:val="2163188D"/>
    <w:rsid w:val="216F5141"/>
    <w:rsid w:val="217016BE"/>
    <w:rsid w:val="217961F5"/>
    <w:rsid w:val="217A2887"/>
    <w:rsid w:val="218A7CDE"/>
    <w:rsid w:val="218B39F0"/>
    <w:rsid w:val="21902632"/>
    <w:rsid w:val="219B4CCB"/>
    <w:rsid w:val="219C4ACE"/>
    <w:rsid w:val="21A645AA"/>
    <w:rsid w:val="21AB4A3D"/>
    <w:rsid w:val="21B836A9"/>
    <w:rsid w:val="21BA4448"/>
    <w:rsid w:val="21C916A0"/>
    <w:rsid w:val="21CE1561"/>
    <w:rsid w:val="21D548FF"/>
    <w:rsid w:val="21D94524"/>
    <w:rsid w:val="21DC5877"/>
    <w:rsid w:val="21E21860"/>
    <w:rsid w:val="21EB1616"/>
    <w:rsid w:val="21F22A09"/>
    <w:rsid w:val="21F65217"/>
    <w:rsid w:val="21FB3E29"/>
    <w:rsid w:val="22065492"/>
    <w:rsid w:val="22127D94"/>
    <w:rsid w:val="2219008B"/>
    <w:rsid w:val="221943D6"/>
    <w:rsid w:val="22197164"/>
    <w:rsid w:val="222734EC"/>
    <w:rsid w:val="222D0915"/>
    <w:rsid w:val="22576CAC"/>
    <w:rsid w:val="22577E9D"/>
    <w:rsid w:val="225A171B"/>
    <w:rsid w:val="225A547C"/>
    <w:rsid w:val="225B5797"/>
    <w:rsid w:val="225C1B8B"/>
    <w:rsid w:val="226B29C3"/>
    <w:rsid w:val="2273006A"/>
    <w:rsid w:val="22791318"/>
    <w:rsid w:val="227D1357"/>
    <w:rsid w:val="227F5DD8"/>
    <w:rsid w:val="22824DB6"/>
    <w:rsid w:val="228D6B72"/>
    <w:rsid w:val="22971DEB"/>
    <w:rsid w:val="229D5613"/>
    <w:rsid w:val="229E5854"/>
    <w:rsid w:val="229F30BB"/>
    <w:rsid w:val="229F6964"/>
    <w:rsid w:val="22AA1450"/>
    <w:rsid w:val="22AA194C"/>
    <w:rsid w:val="22AA7E1E"/>
    <w:rsid w:val="22B45EAC"/>
    <w:rsid w:val="22BC5DEE"/>
    <w:rsid w:val="22CF3CDA"/>
    <w:rsid w:val="22D629CA"/>
    <w:rsid w:val="22E33227"/>
    <w:rsid w:val="22E42C35"/>
    <w:rsid w:val="22E92FB8"/>
    <w:rsid w:val="22EC6B17"/>
    <w:rsid w:val="230D7B6D"/>
    <w:rsid w:val="23183019"/>
    <w:rsid w:val="231F5D2B"/>
    <w:rsid w:val="23241284"/>
    <w:rsid w:val="23321A81"/>
    <w:rsid w:val="235012F5"/>
    <w:rsid w:val="23623B5A"/>
    <w:rsid w:val="23636E2B"/>
    <w:rsid w:val="236A6CF0"/>
    <w:rsid w:val="23704BA9"/>
    <w:rsid w:val="237678AA"/>
    <w:rsid w:val="238F24D8"/>
    <w:rsid w:val="239864BD"/>
    <w:rsid w:val="239947B9"/>
    <w:rsid w:val="23B148E2"/>
    <w:rsid w:val="23D5257E"/>
    <w:rsid w:val="23D82812"/>
    <w:rsid w:val="23D8346C"/>
    <w:rsid w:val="23D84773"/>
    <w:rsid w:val="23E85E15"/>
    <w:rsid w:val="23F016A2"/>
    <w:rsid w:val="23FD2161"/>
    <w:rsid w:val="23FD6E50"/>
    <w:rsid w:val="240424FD"/>
    <w:rsid w:val="240F5C1B"/>
    <w:rsid w:val="240F5CB6"/>
    <w:rsid w:val="241D402C"/>
    <w:rsid w:val="244140D2"/>
    <w:rsid w:val="24467E41"/>
    <w:rsid w:val="245B3B5C"/>
    <w:rsid w:val="246C3480"/>
    <w:rsid w:val="247023F2"/>
    <w:rsid w:val="24733DEA"/>
    <w:rsid w:val="2477721B"/>
    <w:rsid w:val="247E6772"/>
    <w:rsid w:val="248628B3"/>
    <w:rsid w:val="24985DA7"/>
    <w:rsid w:val="249A1A6B"/>
    <w:rsid w:val="24A969C4"/>
    <w:rsid w:val="24BB1FD8"/>
    <w:rsid w:val="24C05D6D"/>
    <w:rsid w:val="24D23C9C"/>
    <w:rsid w:val="24EB7E09"/>
    <w:rsid w:val="24ED6857"/>
    <w:rsid w:val="24F001C4"/>
    <w:rsid w:val="24FA4BE3"/>
    <w:rsid w:val="24FB6014"/>
    <w:rsid w:val="2501017D"/>
    <w:rsid w:val="2501732F"/>
    <w:rsid w:val="25042435"/>
    <w:rsid w:val="250A5532"/>
    <w:rsid w:val="25195BF6"/>
    <w:rsid w:val="251B0465"/>
    <w:rsid w:val="252740A9"/>
    <w:rsid w:val="252F0691"/>
    <w:rsid w:val="25315EDA"/>
    <w:rsid w:val="253C2302"/>
    <w:rsid w:val="254248CC"/>
    <w:rsid w:val="254B4E37"/>
    <w:rsid w:val="255104CE"/>
    <w:rsid w:val="25537674"/>
    <w:rsid w:val="255676EF"/>
    <w:rsid w:val="255F11D7"/>
    <w:rsid w:val="25673A5B"/>
    <w:rsid w:val="257768A5"/>
    <w:rsid w:val="258904E5"/>
    <w:rsid w:val="259F2E44"/>
    <w:rsid w:val="25A05602"/>
    <w:rsid w:val="25A9155F"/>
    <w:rsid w:val="25AA2900"/>
    <w:rsid w:val="25B82B80"/>
    <w:rsid w:val="25BB35C5"/>
    <w:rsid w:val="25C1499B"/>
    <w:rsid w:val="25C56630"/>
    <w:rsid w:val="25CC21FF"/>
    <w:rsid w:val="25CE08CA"/>
    <w:rsid w:val="25DB5394"/>
    <w:rsid w:val="25ED5E58"/>
    <w:rsid w:val="25F077EA"/>
    <w:rsid w:val="25F472CE"/>
    <w:rsid w:val="25F47529"/>
    <w:rsid w:val="26026E9C"/>
    <w:rsid w:val="260D4251"/>
    <w:rsid w:val="260E1D77"/>
    <w:rsid w:val="260F621B"/>
    <w:rsid w:val="260F68D2"/>
    <w:rsid w:val="2616406B"/>
    <w:rsid w:val="261E3E24"/>
    <w:rsid w:val="26241C37"/>
    <w:rsid w:val="26297314"/>
    <w:rsid w:val="264634D2"/>
    <w:rsid w:val="26530E12"/>
    <w:rsid w:val="265E4AAD"/>
    <w:rsid w:val="266A5EAB"/>
    <w:rsid w:val="267017DF"/>
    <w:rsid w:val="267243CA"/>
    <w:rsid w:val="2674607E"/>
    <w:rsid w:val="2677489A"/>
    <w:rsid w:val="267B07EE"/>
    <w:rsid w:val="267C13D7"/>
    <w:rsid w:val="267E5188"/>
    <w:rsid w:val="2698180C"/>
    <w:rsid w:val="269B6CA4"/>
    <w:rsid w:val="26B2676D"/>
    <w:rsid w:val="26BB2FF0"/>
    <w:rsid w:val="26CC6DAE"/>
    <w:rsid w:val="26DB1108"/>
    <w:rsid w:val="26E07A13"/>
    <w:rsid w:val="26FB7E82"/>
    <w:rsid w:val="26FE0477"/>
    <w:rsid w:val="270278E7"/>
    <w:rsid w:val="27062D33"/>
    <w:rsid w:val="27076EF2"/>
    <w:rsid w:val="270A5E16"/>
    <w:rsid w:val="27247AA4"/>
    <w:rsid w:val="27264508"/>
    <w:rsid w:val="27275308"/>
    <w:rsid w:val="272B69DA"/>
    <w:rsid w:val="27300FF9"/>
    <w:rsid w:val="27306961"/>
    <w:rsid w:val="27346B8F"/>
    <w:rsid w:val="273A49A8"/>
    <w:rsid w:val="273E668C"/>
    <w:rsid w:val="273E7F40"/>
    <w:rsid w:val="27452AAD"/>
    <w:rsid w:val="275A34A8"/>
    <w:rsid w:val="275D2FB6"/>
    <w:rsid w:val="276471EB"/>
    <w:rsid w:val="276C6AAD"/>
    <w:rsid w:val="276F1C0A"/>
    <w:rsid w:val="277A535B"/>
    <w:rsid w:val="27B11893"/>
    <w:rsid w:val="27B301F5"/>
    <w:rsid w:val="27B343EB"/>
    <w:rsid w:val="27B506FD"/>
    <w:rsid w:val="27B917D9"/>
    <w:rsid w:val="27BB67F2"/>
    <w:rsid w:val="27CE17BE"/>
    <w:rsid w:val="27D112AE"/>
    <w:rsid w:val="27D26B4F"/>
    <w:rsid w:val="27D36DD5"/>
    <w:rsid w:val="27D371A7"/>
    <w:rsid w:val="27D75C67"/>
    <w:rsid w:val="27D95470"/>
    <w:rsid w:val="27DD3E45"/>
    <w:rsid w:val="27E03472"/>
    <w:rsid w:val="27E7741F"/>
    <w:rsid w:val="27EE38FE"/>
    <w:rsid w:val="27EE440B"/>
    <w:rsid w:val="27F0062F"/>
    <w:rsid w:val="27F33EE4"/>
    <w:rsid w:val="27F409D5"/>
    <w:rsid w:val="28017DE6"/>
    <w:rsid w:val="280612FE"/>
    <w:rsid w:val="280C4618"/>
    <w:rsid w:val="280C5045"/>
    <w:rsid w:val="280D0DD8"/>
    <w:rsid w:val="280D43ED"/>
    <w:rsid w:val="281774F5"/>
    <w:rsid w:val="281F026C"/>
    <w:rsid w:val="28304227"/>
    <w:rsid w:val="28342F2F"/>
    <w:rsid w:val="284B2E0F"/>
    <w:rsid w:val="284C629E"/>
    <w:rsid w:val="285409FA"/>
    <w:rsid w:val="28575C58"/>
    <w:rsid w:val="285D1191"/>
    <w:rsid w:val="285F1FD2"/>
    <w:rsid w:val="286839C1"/>
    <w:rsid w:val="28690923"/>
    <w:rsid w:val="286A4A03"/>
    <w:rsid w:val="28771E56"/>
    <w:rsid w:val="287F70C8"/>
    <w:rsid w:val="28822F06"/>
    <w:rsid w:val="28880DF6"/>
    <w:rsid w:val="28921CDC"/>
    <w:rsid w:val="289D1D9F"/>
    <w:rsid w:val="289E0BE5"/>
    <w:rsid w:val="28B041DE"/>
    <w:rsid w:val="28B96D7F"/>
    <w:rsid w:val="28C2205C"/>
    <w:rsid w:val="28C4446D"/>
    <w:rsid w:val="28C50E13"/>
    <w:rsid w:val="28C976D2"/>
    <w:rsid w:val="28CD36A6"/>
    <w:rsid w:val="28E868B0"/>
    <w:rsid w:val="28EA2628"/>
    <w:rsid w:val="28EF49A4"/>
    <w:rsid w:val="28F507E0"/>
    <w:rsid w:val="28FE0A0E"/>
    <w:rsid w:val="28FF1471"/>
    <w:rsid w:val="28FF3418"/>
    <w:rsid w:val="290424DB"/>
    <w:rsid w:val="290731DA"/>
    <w:rsid w:val="290C43B0"/>
    <w:rsid w:val="290D7B43"/>
    <w:rsid w:val="291612ED"/>
    <w:rsid w:val="29180602"/>
    <w:rsid w:val="291F28E4"/>
    <w:rsid w:val="292178F6"/>
    <w:rsid w:val="292264E0"/>
    <w:rsid w:val="2927228C"/>
    <w:rsid w:val="29286333"/>
    <w:rsid w:val="29386107"/>
    <w:rsid w:val="29394CEC"/>
    <w:rsid w:val="293C10CD"/>
    <w:rsid w:val="29453D02"/>
    <w:rsid w:val="294D5D35"/>
    <w:rsid w:val="29501316"/>
    <w:rsid w:val="29613FA7"/>
    <w:rsid w:val="29720F92"/>
    <w:rsid w:val="29725FA9"/>
    <w:rsid w:val="297D16EE"/>
    <w:rsid w:val="298A5BB9"/>
    <w:rsid w:val="29905D8B"/>
    <w:rsid w:val="2991644E"/>
    <w:rsid w:val="29964799"/>
    <w:rsid w:val="2999687A"/>
    <w:rsid w:val="299C0865"/>
    <w:rsid w:val="29A22E9A"/>
    <w:rsid w:val="29AC3294"/>
    <w:rsid w:val="29AF6A79"/>
    <w:rsid w:val="29B15C29"/>
    <w:rsid w:val="29C33CBE"/>
    <w:rsid w:val="29C53C70"/>
    <w:rsid w:val="29C966E1"/>
    <w:rsid w:val="29D42826"/>
    <w:rsid w:val="29E17ECF"/>
    <w:rsid w:val="29EB19A2"/>
    <w:rsid w:val="29EC7864"/>
    <w:rsid w:val="29EF7509"/>
    <w:rsid w:val="29F06E6F"/>
    <w:rsid w:val="29F174B1"/>
    <w:rsid w:val="2A106F1F"/>
    <w:rsid w:val="2A1F176D"/>
    <w:rsid w:val="2A216FA0"/>
    <w:rsid w:val="2A2C5E20"/>
    <w:rsid w:val="2A2F1F1E"/>
    <w:rsid w:val="2A401D9D"/>
    <w:rsid w:val="2A5E426D"/>
    <w:rsid w:val="2A713C7F"/>
    <w:rsid w:val="2A7147D9"/>
    <w:rsid w:val="2A78126D"/>
    <w:rsid w:val="2A816DE6"/>
    <w:rsid w:val="2A8947DB"/>
    <w:rsid w:val="2A8D1AFD"/>
    <w:rsid w:val="2A921248"/>
    <w:rsid w:val="2A9271E7"/>
    <w:rsid w:val="2A965385"/>
    <w:rsid w:val="2A97233B"/>
    <w:rsid w:val="2A972457"/>
    <w:rsid w:val="2AB078A1"/>
    <w:rsid w:val="2AE17A5A"/>
    <w:rsid w:val="2AE729DA"/>
    <w:rsid w:val="2AF1047D"/>
    <w:rsid w:val="2AFE060C"/>
    <w:rsid w:val="2AFE7F0C"/>
    <w:rsid w:val="2B01314E"/>
    <w:rsid w:val="2B0A3ECC"/>
    <w:rsid w:val="2B0C358F"/>
    <w:rsid w:val="2B211F52"/>
    <w:rsid w:val="2B294DB1"/>
    <w:rsid w:val="2B33447D"/>
    <w:rsid w:val="2B3E5D0E"/>
    <w:rsid w:val="2B567AF0"/>
    <w:rsid w:val="2B610732"/>
    <w:rsid w:val="2B795EE5"/>
    <w:rsid w:val="2B7D025F"/>
    <w:rsid w:val="2B886128"/>
    <w:rsid w:val="2B9335DC"/>
    <w:rsid w:val="2B983ECA"/>
    <w:rsid w:val="2B9B22FF"/>
    <w:rsid w:val="2BA661A4"/>
    <w:rsid w:val="2BA75ECB"/>
    <w:rsid w:val="2BAA2542"/>
    <w:rsid w:val="2BAA609E"/>
    <w:rsid w:val="2BB313F7"/>
    <w:rsid w:val="2BBD71D9"/>
    <w:rsid w:val="2BBF1BF4"/>
    <w:rsid w:val="2BCB64AE"/>
    <w:rsid w:val="2BD12AB9"/>
    <w:rsid w:val="2BD66E93"/>
    <w:rsid w:val="2BEB6DE3"/>
    <w:rsid w:val="2BF612E4"/>
    <w:rsid w:val="2BF71D69"/>
    <w:rsid w:val="2BFB575E"/>
    <w:rsid w:val="2C035777"/>
    <w:rsid w:val="2C0E6DA4"/>
    <w:rsid w:val="2C0E70A9"/>
    <w:rsid w:val="2C1F1AC9"/>
    <w:rsid w:val="2C236410"/>
    <w:rsid w:val="2C2A243C"/>
    <w:rsid w:val="2C4A329A"/>
    <w:rsid w:val="2C4B0C83"/>
    <w:rsid w:val="2C4B162F"/>
    <w:rsid w:val="2C4E1904"/>
    <w:rsid w:val="2C4F180B"/>
    <w:rsid w:val="2C5016D4"/>
    <w:rsid w:val="2C623873"/>
    <w:rsid w:val="2C817F6A"/>
    <w:rsid w:val="2C82199F"/>
    <w:rsid w:val="2C822C4A"/>
    <w:rsid w:val="2C8479B6"/>
    <w:rsid w:val="2C8949FE"/>
    <w:rsid w:val="2CAA1BF4"/>
    <w:rsid w:val="2CC1414B"/>
    <w:rsid w:val="2CD63A16"/>
    <w:rsid w:val="2D0C1B61"/>
    <w:rsid w:val="2D186DEB"/>
    <w:rsid w:val="2D1E19DF"/>
    <w:rsid w:val="2D320D31"/>
    <w:rsid w:val="2D354363"/>
    <w:rsid w:val="2D3F044C"/>
    <w:rsid w:val="2D452523"/>
    <w:rsid w:val="2D47136C"/>
    <w:rsid w:val="2D4744ED"/>
    <w:rsid w:val="2D5504D7"/>
    <w:rsid w:val="2D5664DE"/>
    <w:rsid w:val="2D5A6042"/>
    <w:rsid w:val="2D626C0E"/>
    <w:rsid w:val="2D6410DD"/>
    <w:rsid w:val="2D6918FE"/>
    <w:rsid w:val="2D7D7839"/>
    <w:rsid w:val="2D875713"/>
    <w:rsid w:val="2D8C01F5"/>
    <w:rsid w:val="2D8D245B"/>
    <w:rsid w:val="2D937732"/>
    <w:rsid w:val="2D9A6AF9"/>
    <w:rsid w:val="2D9B7F27"/>
    <w:rsid w:val="2DBB08D7"/>
    <w:rsid w:val="2DC62405"/>
    <w:rsid w:val="2DCA69B9"/>
    <w:rsid w:val="2DD85145"/>
    <w:rsid w:val="2DE9000D"/>
    <w:rsid w:val="2DF94BAE"/>
    <w:rsid w:val="2DFA6269"/>
    <w:rsid w:val="2E03257A"/>
    <w:rsid w:val="2E0C560D"/>
    <w:rsid w:val="2E0F1BDF"/>
    <w:rsid w:val="2E0F5C61"/>
    <w:rsid w:val="2E3D4AF1"/>
    <w:rsid w:val="2E4D2C29"/>
    <w:rsid w:val="2E501652"/>
    <w:rsid w:val="2E514DC3"/>
    <w:rsid w:val="2E520D92"/>
    <w:rsid w:val="2E690493"/>
    <w:rsid w:val="2E770CDA"/>
    <w:rsid w:val="2E924F48"/>
    <w:rsid w:val="2E9A566C"/>
    <w:rsid w:val="2E9B0AC6"/>
    <w:rsid w:val="2EA85073"/>
    <w:rsid w:val="2EB401C1"/>
    <w:rsid w:val="2EC753D2"/>
    <w:rsid w:val="2EC97183"/>
    <w:rsid w:val="2ED11CCD"/>
    <w:rsid w:val="2ED26BAD"/>
    <w:rsid w:val="2EDA40AD"/>
    <w:rsid w:val="2EE2740A"/>
    <w:rsid w:val="2EE43FBD"/>
    <w:rsid w:val="2EEA497C"/>
    <w:rsid w:val="2EEB0EA8"/>
    <w:rsid w:val="2EF444CA"/>
    <w:rsid w:val="2EFB298B"/>
    <w:rsid w:val="2F01691D"/>
    <w:rsid w:val="2F0A4903"/>
    <w:rsid w:val="2F0B0FAD"/>
    <w:rsid w:val="2F0E4F72"/>
    <w:rsid w:val="2F1679A2"/>
    <w:rsid w:val="2F174C3D"/>
    <w:rsid w:val="2F206E4A"/>
    <w:rsid w:val="2F250E3B"/>
    <w:rsid w:val="2F2B157A"/>
    <w:rsid w:val="2F451C2D"/>
    <w:rsid w:val="2F54010C"/>
    <w:rsid w:val="2F541C99"/>
    <w:rsid w:val="2F57046A"/>
    <w:rsid w:val="2F5754AB"/>
    <w:rsid w:val="2F5A089B"/>
    <w:rsid w:val="2F612A17"/>
    <w:rsid w:val="2F672985"/>
    <w:rsid w:val="2F682106"/>
    <w:rsid w:val="2F692858"/>
    <w:rsid w:val="2F7B66D0"/>
    <w:rsid w:val="2F89769B"/>
    <w:rsid w:val="2F8F20DF"/>
    <w:rsid w:val="2F935462"/>
    <w:rsid w:val="2F940399"/>
    <w:rsid w:val="2F9C21A2"/>
    <w:rsid w:val="2FC0489B"/>
    <w:rsid w:val="2FC11C09"/>
    <w:rsid w:val="2FC46619"/>
    <w:rsid w:val="2FCF694B"/>
    <w:rsid w:val="2FD472F4"/>
    <w:rsid w:val="2FD70C5F"/>
    <w:rsid w:val="2FDA5E67"/>
    <w:rsid w:val="2FDD1780"/>
    <w:rsid w:val="2FE9706B"/>
    <w:rsid w:val="2FFB1A6A"/>
    <w:rsid w:val="30000983"/>
    <w:rsid w:val="30055990"/>
    <w:rsid w:val="300B6158"/>
    <w:rsid w:val="300D700E"/>
    <w:rsid w:val="30126B4E"/>
    <w:rsid w:val="30143EEF"/>
    <w:rsid w:val="30153346"/>
    <w:rsid w:val="301C0738"/>
    <w:rsid w:val="30233B2A"/>
    <w:rsid w:val="302D30A6"/>
    <w:rsid w:val="30403C29"/>
    <w:rsid w:val="304A55B1"/>
    <w:rsid w:val="305807BF"/>
    <w:rsid w:val="30644772"/>
    <w:rsid w:val="30722FEE"/>
    <w:rsid w:val="307B25E8"/>
    <w:rsid w:val="308642B3"/>
    <w:rsid w:val="30872E52"/>
    <w:rsid w:val="309D491D"/>
    <w:rsid w:val="30AA3658"/>
    <w:rsid w:val="30AE2286"/>
    <w:rsid w:val="30B644A3"/>
    <w:rsid w:val="30CE166B"/>
    <w:rsid w:val="30DB50D5"/>
    <w:rsid w:val="30DD3F27"/>
    <w:rsid w:val="30EC089E"/>
    <w:rsid w:val="30F304E8"/>
    <w:rsid w:val="30F52CFA"/>
    <w:rsid w:val="30FA11F1"/>
    <w:rsid w:val="30FA7AC8"/>
    <w:rsid w:val="31017ADC"/>
    <w:rsid w:val="310B6B56"/>
    <w:rsid w:val="310E68AD"/>
    <w:rsid w:val="3118459C"/>
    <w:rsid w:val="311917B6"/>
    <w:rsid w:val="311B5252"/>
    <w:rsid w:val="31231DD2"/>
    <w:rsid w:val="312F5B44"/>
    <w:rsid w:val="3131279D"/>
    <w:rsid w:val="31465BAC"/>
    <w:rsid w:val="314B257E"/>
    <w:rsid w:val="314B328A"/>
    <w:rsid w:val="315045FA"/>
    <w:rsid w:val="31523460"/>
    <w:rsid w:val="315630E8"/>
    <w:rsid w:val="31574285"/>
    <w:rsid w:val="315E3A28"/>
    <w:rsid w:val="3160383C"/>
    <w:rsid w:val="316A2F37"/>
    <w:rsid w:val="316B62D0"/>
    <w:rsid w:val="317062B6"/>
    <w:rsid w:val="31725D9D"/>
    <w:rsid w:val="3179289B"/>
    <w:rsid w:val="31795FC2"/>
    <w:rsid w:val="317F50EB"/>
    <w:rsid w:val="31864FFD"/>
    <w:rsid w:val="318869AB"/>
    <w:rsid w:val="318910B3"/>
    <w:rsid w:val="319B5AB3"/>
    <w:rsid w:val="31BB24EE"/>
    <w:rsid w:val="31BD1974"/>
    <w:rsid w:val="31C27FA8"/>
    <w:rsid w:val="31D245A1"/>
    <w:rsid w:val="31D57C0E"/>
    <w:rsid w:val="31D641D8"/>
    <w:rsid w:val="31DD71CE"/>
    <w:rsid w:val="31E61640"/>
    <w:rsid w:val="31ED6B4D"/>
    <w:rsid w:val="31F57241"/>
    <w:rsid w:val="3201418F"/>
    <w:rsid w:val="3205397C"/>
    <w:rsid w:val="32191325"/>
    <w:rsid w:val="322842EF"/>
    <w:rsid w:val="322C1F03"/>
    <w:rsid w:val="32303406"/>
    <w:rsid w:val="323443E6"/>
    <w:rsid w:val="32351D9D"/>
    <w:rsid w:val="32430E48"/>
    <w:rsid w:val="32503088"/>
    <w:rsid w:val="32516877"/>
    <w:rsid w:val="3252061C"/>
    <w:rsid w:val="325D3E6B"/>
    <w:rsid w:val="32634ED6"/>
    <w:rsid w:val="32722C3D"/>
    <w:rsid w:val="32736509"/>
    <w:rsid w:val="327B181C"/>
    <w:rsid w:val="328E671A"/>
    <w:rsid w:val="32976BE6"/>
    <w:rsid w:val="32981347"/>
    <w:rsid w:val="32A71F93"/>
    <w:rsid w:val="32AB773A"/>
    <w:rsid w:val="32B954BB"/>
    <w:rsid w:val="32BE6D38"/>
    <w:rsid w:val="32BF0681"/>
    <w:rsid w:val="32C91500"/>
    <w:rsid w:val="32CE034A"/>
    <w:rsid w:val="32CE3F9C"/>
    <w:rsid w:val="32CE6B16"/>
    <w:rsid w:val="32D103B5"/>
    <w:rsid w:val="32D14ADB"/>
    <w:rsid w:val="32DF2BCE"/>
    <w:rsid w:val="32E35176"/>
    <w:rsid w:val="32E427DE"/>
    <w:rsid w:val="32ED5BC4"/>
    <w:rsid w:val="33016D23"/>
    <w:rsid w:val="33061DB1"/>
    <w:rsid w:val="330771D2"/>
    <w:rsid w:val="330B463D"/>
    <w:rsid w:val="33155ECA"/>
    <w:rsid w:val="3316226B"/>
    <w:rsid w:val="3323216C"/>
    <w:rsid w:val="33260ED7"/>
    <w:rsid w:val="33270F22"/>
    <w:rsid w:val="332D0BC6"/>
    <w:rsid w:val="3333106F"/>
    <w:rsid w:val="333371F3"/>
    <w:rsid w:val="33360887"/>
    <w:rsid w:val="33396201"/>
    <w:rsid w:val="333D0637"/>
    <w:rsid w:val="333D0CEC"/>
    <w:rsid w:val="333F17C2"/>
    <w:rsid w:val="334A3A91"/>
    <w:rsid w:val="334C5311"/>
    <w:rsid w:val="334E5EA9"/>
    <w:rsid w:val="3350065B"/>
    <w:rsid w:val="33547F33"/>
    <w:rsid w:val="33631E0B"/>
    <w:rsid w:val="33641F81"/>
    <w:rsid w:val="336A4256"/>
    <w:rsid w:val="3374417F"/>
    <w:rsid w:val="33872C3D"/>
    <w:rsid w:val="339A78CE"/>
    <w:rsid w:val="339B7340"/>
    <w:rsid w:val="33A32227"/>
    <w:rsid w:val="33A361F5"/>
    <w:rsid w:val="33A67108"/>
    <w:rsid w:val="33B95251"/>
    <w:rsid w:val="33C50529"/>
    <w:rsid w:val="33D04B10"/>
    <w:rsid w:val="33D75164"/>
    <w:rsid w:val="33D94875"/>
    <w:rsid w:val="33EF3432"/>
    <w:rsid w:val="33FA5772"/>
    <w:rsid w:val="340547BA"/>
    <w:rsid w:val="34067514"/>
    <w:rsid w:val="34086C8B"/>
    <w:rsid w:val="341E4DC2"/>
    <w:rsid w:val="3420027C"/>
    <w:rsid w:val="3423623B"/>
    <w:rsid w:val="342A5F2C"/>
    <w:rsid w:val="343126B5"/>
    <w:rsid w:val="34346E4D"/>
    <w:rsid w:val="344233E9"/>
    <w:rsid w:val="344B55E2"/>
    <w:rsid w:val="345A2A58"/>
    <w:rsid w:val="34623692"/>
    <w:rsid w:val="34665642"/>
    <w:rsid w:val="346D124D"/>
    <w:rsid w:val="3480243A"/>
    <w:rsid w:val="3486019B"/>
    <w:rsid w:val="34931A96"/>
    <w:rsid w:val="349561DB"/>
    <w:rsid w:val="349D086A"/>
    <w:rsid w:val="349F7FDC"/>
    <w:rsid w:val="34A03348"/>
    <w:rsid w:val="34A35960"/>
    <w:rsid w:val="34AF629B"/>
    <w:rsid w:val="34B02D58"/>
    <w:rsid w:val="34D649FE"/>
    <w:rsid w:val="34D64D97"/>
    <w:rsid w:val="34DB5BDC"/>
    <w:rsid w:val="34E206E1"/>
    <w:rsid w:val="34E263DB"/>
    <w:rsid w:val="34EC3AC9"/>
    <w:rsid w:val="34F2533E"/>
    <w:rsid w:val="351533ED"/>
    <w:rsid w:val="351D7AE8"/>
    <w:rsid w:val="35301EC3"/>
    <w:rsid w:val="35380BBF"/>
    <w:rsid w:val="35393682"/>
    <w:rsid w:val="354168C4"/>
    <w:rsid w:val="3548790C"/>
    <w:rsid w:val="355D42E6"/>
    <w:rsid w:val="35654127"/>
    <w:rsid w:val="357557F7"/>
    <w:rsid w:val="357A4D33"/>
    <w:rsid w:val="357D1B56"/>
    <w:rsid w:val="357F56BE"/>
    <w:rsid w:val="359258CF"/>
    <w:rsid w:val="359779FE"/>
    <w:rsid w:val="35984047"/>
    <w:rsid w:val="35A3159E"/>
    <w:rsid w:val="35B6181A"/>
    <w:rsid w:val="35BD7658"/>
    <w:rsid w:val="35BE11A8"/>
    <w:rsid w:val="35CD3B05"/>
    <w:rsid w:val="35CE07E8"/>
    <w:rsid w:val="35D723E7"/>
    <w:rsid w:val="35E13004"/>
    <w:rsid w:val="35E23E2E"/>
    <w:rsid w:val="35E7439C"/>
    <w:rsid w:val="35ED2F28"/>
    <w:rsid w:val="35F418C0"/>
    <w:rsid w:val="35F5085E"/>
    <w:rsid w:val="35F900A6"/>
    <w:rsid w:val="36025A84"/>
    <w:rsid w:val="361138EA"/>
    <w:rsid w:val="36147018"/>
    <w:rsid w:val="36360607"/>
    <w:rsid w:val="363C4DE7"/>
    <w:rsid w:val="363D2F83"/>
    <w:rsid w:val="36455341"/>
    <w:rsid w:val="364907A3"/>
    <w:rsid w:val="36571E8A"/>
    <w:rsid w:val="3667669B"/>
    <w:rsid w:val="36706B22"/>
    <w:rsid w:val="367865FB"/>
    <w:rsid w:val="36835E6A"/>
    <w:rsid w:val="369333B7"/>
    <w:rsid w:val="369F5C48"/>
    <w:rsid w:val="36A35C8D"/>
    <w:rsid w:val="36BB1AA7"/>
    <w:rsid w:val="36BE73B3"/>
    <w:rsid w:val="36BF714A"/>
    <w:rsid w:val="36C41988"/>
    <w:rsid w:val="36CC43AF"/>
    <w:rsid w:val="36DC35FA"/>
    <w:rsid w:val="36E0221D"/>
    <w:rsid w:val="36E0288E"/>
    <w:rsid w:val="36E345A3"/>
    <w:rsid w:val="36E67C80"/>
    <w:rsid w:val="36F2632E"/>
    <w:rsid w:val="370F5BF3"/>
    <w:rsid w:val="371F6FE6"/>
    <w:rsid w:val="372B776E"/>
    <w:rsid w:val="372C3876"/>
    <w:rsid w:val="373762B5"/>
    <w:rsid w:val="37432227"/>
    <w:rsid w:val="37455673"/>
    <w:rsid w:val="375901B0"/>
    <w:rsid w:val="37592C62"/>
    <w:rsid w:val="375F1848"/>
    <w:rsid w:val="37672250"/>
    <w:rsid w:val="37695EFA"/>
    <w:rsid w:val="376A7405"/>
    <w:rsid w:val="376B527C"/>
    <w:rsid w:val="376B62D4"/>
    <w:rsid w:val="377C4D93"/>
    <w:rsid w:val="377D6D5D"/>
    <w:rsid w:val="377E2FB7"/>
    <w:rsid w:val="378656E9"/>
    <w:rsid w:val="378C0712"/>
    <w:rsid w:val="378C393B"/>
    <w:rsid w:val="378D61E4"/>
    <w:rsid w:val="37910951"/>
    <w:rsid w:val="379561F9"/>
    <w:rsid w:val="379E7954"/>
    <w:rsid w:val="37A54D04"/>
    <w:rsid w:val="37A75B88"/>
    <w:rsid w:val="37A974A4"/>
    <w:rsid w:val="37AF7EE0"/>
    <w:rsid w:val="37B51B38"/>
    <w:rsid w:val="37B704C1"/>
    <w:rsid w:val="37BE08A2"/>
    <w:rsid w:val="37C87AAE"/>
    <w:rsid w:val="37CF1981"/>
    <w:rsid w:val="37D2440C"/>
    <w:rsid w:val="37DB599D"/>
    <w:rsid w:val="37F2136C"/>
    <w:rsid w:val="37F561E6"/>
    <w:rsid w:val="37FA274B"/>
    <w:rsid w:val="380940D8"/>
    <w:rsid w:val="380B6117"/>
    <w:rsid w:val="38105348"/>
    <w:rsid w:val="38206AF7"/>
    <w:rsid w:val="3821593A"/>
    <w:rsid w:val="3825731A"/>
    <w:rsid w:val="382609A2"/>
    <w:rsid w:val="3828316D"/>
    <w:rsid w:val="382A3096"/>
    <w:rsid w:val="382A6E0F"/>
    <w:rsid w:val="382F0057"/>
    <w:rsid w:val="383D6DF5"/>
    <w:rsid w:val="384818BA"/>
    <w:rsid w:val="385D0CEB"/>
    <w:rsid w:val="3866173D"/>
    <w:rsid w:val="386D6DD1"/>
    <w:rsid w:val="3870318F"/>
    <w:rsid w:val="38877407"/>
    <w:rsid w:val="388B06CF"/>
    <w:rsid w:val="388B5B4D"/>
    <w:rsid w:val="388D4D7E"/>
    <w:rsid w:val="38931E37"/>
    <w:rsid w:val="38936CED"/>
    <w:rsid w:val="389F684B"/>
    <w:rsid w:val="38A32936"/>
    <w:rsid w:val="38B467AE"/>
    <w:rsid w:val="38BD1B07"/>
    <w:rsid w:val="38C81386"/>
    <w:rsid w:val="38C81E6C"/>
    <w:rsid w:val="38C92DDF"/>
    <w:rsid w:val="38D84F92"/>
    <w:rsid w:val="38DE382B"/>
    <w:rsid w:val="38EA7D3C"/>
    <w:rsid w:val="38F5613F"/>
    <w:rsid w:val="38FF40E2"/>
    <w:rsid w:val="391332F6"/>
    <w:rsid w:val="391667AB"/>
    <w:rsid w:val="391B05DB"/>
    <w:rsid w:val="391D4354"/>
    <w:rsid w:val="391E1AF1"/>
    <w:rsid w:val="39225AD9"/>
    <w:rsid w:val="3922727F"/>
    <w:rsid w:val="39285882"/>
    <w:rsid w:val="3932023F"/>
    <w:rsid w:val="393A3157"/>
    <w:rsid w:val="39481B0A"/>
    <w:rsid w:val="394C69E7"/>
    <w:rsid w:val="39512953"/>
    <w:rsid w:val="395A6F01"/>
    <w:rsid w:val="39660B6F"/>
    <w:rsid w:val="396A35A4"/>
    <w:rsid w:val="396B18F5"/>
    <w:rsid w:val="396E6BFE"/>
    <w:rsid w:val="39711B5A"/>
    <w:rsid w:val="397645C5"/>
    <w:rsid w:val="397F31CA"/>
    <w:rsid w:val="39894B3E"/>
    <w:rsid w:val="39A20CFD"/>
    <w:rsid w:val="39A75E83"/>
    <w:rsid w:val="39B62978"/>
    <w:rsid w:val="39CC0F50"/>
    <w:rsid w:val="39F30880"/>
    <w:rsid w:val="39F552D0"/>
    <w:rsid w:val="39FB4D8F"/>
    <w:rsid w:val="39FE4EB6"/>
    <w:rsid w:val="39FF3A59"/>
    <w:rsid w:val="3A067163"/>
    <w:rsid w:val="3A0E43A9"/>
    <w:rsid w:val="3A131647"/>
    <w:rsid w:val="3A207BDC"/>
    <w:rsid w:val="3A287AFD"/>
    <w:rsid w:val="3A2B0CF2"/>
    <w:rsid w:val="3A2B5401"/>
    <w:rsid w:val="3A3E27D3"/>
    <w:rsid w:val="3A4E7A20"/>
    <w:rsid w:val="3A52627F"/>
    <w:rsid w:val="3A5262EA"/>
    <w:rsid w:val="3A5C62C1"/>
    <w:rsid w:val="3A5F7D57"/>
    <w:rsid w:val="3A6A7A6C"/>
    <w:rsid w:val="3A6B3DFF"/>
    <w:rsid w:val="3A6D1460"/>
    <w:rsid w:val="3A7152A8"/>
    <w:rsid w:val="3A7B3A28"/>
    <w:rsid w:val="3A7F3C43"/>
    <w:rsid w:val="3A850402"/>
    <w:rsid w:val="3AA700A1"/>
    <w:rsid w:val="3AA765CB"/>
    <w:rsid w:val="3AAA6FAD"/>
    <w:rsid w:val="3AB947E1"/>
    <w:rsid w:val="3AC32CD9"/>
    <w:rsid w:val="3ADE5D64"/>
    <w:rsid w:val="3AE671D5"/>
    <w:rsid w:val="3AF21490"/>
    <w:rsid w:val="3AFA7DAE"/>
    <w:rsid w:val="3B044EA2"/>
    <w:rsid w:val="3B2B23F5"/>
    <w:rsid w:val="3B390A93"/>
    <w:rsid w:val="3B3A575C"/>
    <w:rsid w:val="3B3F4A55"/>
    <w:rsid w:val="3B526BD4"/>
    <w:rsid w:val="3B5A31DA"/>
    <w:rsid w:val="3B614F1D"/>
    <w:rsid w:val="3B643511"/>
    <w:rsid w:val="3B762441"/>
    <w:rsid w:val="3B8E3833"/>
    <w:rsid w:val="3B9B15AF"/>
    <w:rsid w:val="3B9B7FE9"/>
    <w:rsid w:val="3B9C6D88"/>
    <w:rsid w:val="3B9E45CE"/>
    <w:rsid w:val="3BA63804"/>
    <w:rsid w:val="3BBA0580"/>
    <w:rsid w:val="3BC44F5A"/>
    <w:rsid w:val="3BDE524C"/>
    <w:rsid w:val="3BE26AE1"/>
    <w:rsid w:val="3BE439CC"/>
    <w:rsid w:val="3BF22375"/>
    <w:rsid w:val="3C0161AE"/>
    <w:rsid w:val="3C141845"/>
    <w:rsid w:val="3C212249"/>
    <w:rsid w:val="3C277DB9"/>
    <w:rsid w:val="3C2854E9"/>
    <w:rsid w:val="3C405832"/>
    <w:rsid w:val="3C410359"/>
    <w:rsid w:val="3C537E81"/>
    <w:rsid w:val="3C555A1E"/>
    <w:rsid w:val="3C5B317F"/>
    <w:rsid w:val="3C651580"/>
    <w:rsid w:val="3C7618F5"/>
    <w:rsid w:val="3C770CF1"/>
    <w:rsid w:val="3C892371"/>
    <w:rsid w:val="3C8D0ACB"/>
    <w:rsid w:val="3C9506A5"/>
    <w:rsid w:val="3C987704"/>
    <w:rsid w:val="3CA619B1"/>
    <w:rsid w:val="3CAD6869"/>
    <w:rsid w:val="3CAF3139"/>
    <w:rsid w:val="3CB13731"/>
    <w:rsid w:val="3CB60D47"/>
    <w:rsid w:val="3CC80C7F"/>
    <w:rsid w:val="3CD916F6"/>
    <w:rsid w:val="3CE70DB8"/>
    <w:rsid w:val="3CE83692"/>
    <w:rsid w:val="3CF35A94"/>
    <w:rsid w:val="3CF41400"/>
    <w:rsid w:val="3CFC17D0"/>
    <w:rsid w:val="3D09356D"/>
    <w:rsid w:val="3D0D2FB0"/>
    <w:rsid w:val="3D1513A5"/>
    <w:rsid w:val="3D1825A2"/>
    <w:rsid w:val="3D191A51"/>
    <w:rsid w:val="3D35631F"/>
    <w:rsid w:val="3D3F340A"/>
    <w:rsid w:val="3D467644"/>
    <w:rsid w:val="3D55447E"/>
    <w:rsid w:val="3D6F73FC"/>
    <w:rsid w:val="3D73400A"/>
    <w:rsid w:val="3D8E3A72"/>
    <w:rsid w:val="3D8F7BCA"/>
    <w:rsid w:val="3D9034BE"/>
    <w:rsid w:val="3D917CF4"/>
    <w:rsid w:val="3D9646D4"/>
    <w:rsid w:val="3D9C187B"/>
    <w:rsid w:val="3DAD45E9"/>
    <w:rsid w:val="3DB652AD"/>
    <w:rsid w:val="3DBE0321"/>
    <w:rsid w:val="3DCF03F9"/>
    <w:rsid w:val="3DDF423F"/>
    <w:rsid w:val="3DEF41EA"/>
    <w:rsid w:val="3DF16CDF"/>
    <w:rsid w:val="3DF60BBB"/>
    <w:rsid w:val="3E014687"/>
    <w:rsid w:val="3E1D08B5"/>
    <w:rsid w:val="3E2239FA"/>
    <w:rsid w:val="3E2D28CE"/>
    <w:rsid w:val="3E342DF1"/>
    <w:rsid w:val="3E3846C5"/>
    <w:rsid w:val="3E3A0201"/>
    <w:rsid w:val="3E3A59A8"/>
    <w:rsid w:val="3E4920FF"/>
    <w:rsid w:val="3E4A5B2A"/>
    <w:rsid w:val="3E5C147A"/>
    <w:rsid w:val="3E5C4D5B"/>
    <w:rsid w:val="3E647817"/>
    <w:rsid w:val="3E654263"/>
    <w:rsid w:val="3E7B46E8"/>
    <w:rsid w:val="3E7E66BF"/>
    <w:rsid w:val="3E8E0DB5"/>
    <w:rsid w:val="3E9514D0"/>
    <w:rsid w:val="3E9A368F"/>
    <w:rsid w:val="3E9E6530"/>
    <w:rsid w:val="3EAC1607"/>
    <w:rsid w:val="3EAD30B6"/>
    <w:rsid w:val="3EB81A14"/>
    <w:rsid w:val="3EB85781"/>
    <w:rsid w:val="3EB922F6"/>
    <w:rsid w:val="3EBA3015"/>
    <w:rsid w:val="3EBF0C71"/>
    <w:rsid w:val="3EC52C0E"/>
    <w:rsid w:val="3ECC4F11"/>
    <w:rsid w:val="3ED90C96"/>
    <w:rsid w:val="3ED951C1"/>
    <w:rsid w:val="3EEB7FDC"/>
    <w:rsid w:val="3EF11F0E"/>
    <w:rsid w:val="3EF6342D"/>
    <w:rsid w:val="3F104137"/>
    <w:rsid w:val="3F1400B3"/>
    <w:rsid w:val="3F152851"/>
    <w:rsid w:val="3F1925D1"/>
    <w:rsid w:val="3F2006FA"/>
    <w:rsid w:val="3F3A0789"/>
    <w:rsid w:val="3F456272"/>
    <w:rsid w:val="3F553CBB"/>
    <w:rsid w:val="3F6525B0"/>
    <w:rsid w:val="3F704041"/>
    <w:rsid w:val="3F7222FD"/>
    <w:rsid w:val="3F84512C"/>
    <w:rsid w:val="3F88428B"/>
    <w:rsid w:val="3F92608C"/>
    <w:rsid w:val="3F964792"/>
    <w:rsid w:val="3F997779"/>
    <w:rsid w:val="3FA26DC7"/>
    <w:rsid w:val="3FAA699C"/>
    <w:rsid w:val="3FBD4CDE"/>
    <w:rsid w:val="3FC96FE3"/>
    <w:rsid w:val="3FDE235C"/>
    <w:rsid w:val="3FE0432D"/>
    <w:rsid w:val="3FEF50DC"/>
    <w:rsid w:val="3FF43FD3"/>
    <w:rsid w:val="40001CBC"/>
    <w:rsid w:val="400F2C87"/>
    <w:rsid w:val="401D04E8"/>
    <w:rsid w:val="40200374"/>
    <w:rsid w:val="403673E9"/>
    <w:rsid w:val="40373AAA"/>
    <w:rsid w:val="403C641F"/>
    <w:rsid w:val="4044724F"/>
    <w:rsid w:val="40462F23"/>
    <w:rsid w:val="40464542"/>
    <w:rsid w:val="40503261"/>
    <w:rsid w:val="40523AB7"/>
    <w:rsid w:val="405368AD"/>
    <w:rsid w:val="4067459F"/>
    <w:rsid w:val="40890521"/>
    <w:rsid w:val="4092255F"/>
    <w:rsid w:val="40924E1B"/>
    <w:rsid w:val="409475F1"/>
    <w:rsid w:val="40A04D80"/>
    <w:rsid w:val="40C46DDE"/>
    <w:rsid w:val="40CA06EF"/>
    <w:rsid w:val="40DE2279"/>
    <w:rsid w:val="40E21AD4"/>
    <w:rsid w:val="40E83499"/>
    <w:rsid w:val="40EA121D"/>
    <w:rsid w:val="40EC2411"/>
    <w:rsid w:val="40F63E08"/>
    <w:rsid w:val="40FA4F7A"/>
    <w:rsid w:val="40FC3E1B"/>
    <w:rsid w:val="41034E0B"/>
    <w:rsid w:val="41125455"/>
    <w:rsid w:val="411566A8"/>
    <w:rsid w:val="41212130"/>
    <w:rsid w:val="41275362"/>
    <w:rsid w:val="412768C3"/>
    <w:rsid w:val="412828F9"/>
    <w:rsid w:val="41340BD4"/>
    <w:rsid w:val="413B567A"/>
    <w:rsid w:val="413E755D"/>
    <w:rsid w:val="414B2885"/>
    <w:rsid w:val="414D154E"/>
    <w:rsid w:val="415A48B5"/>
    <w:rsid w:val="41646EE2"/>
    <w:rsid w:val="41651C42"/>
    <w:rsid w:val="4167521D"/>
    <w:rsid w:val="41681C6B"/>
    <w:rsid w:val="416C134E"/>
    <w:rsid w:val="416E4340"/>
    <w:rsid w:val="416F4EB9"/>
    <w:rsid w:val="41752637"/>
    <w:rsid w:val="4176435E"/>
    <w:rsid w:val="417A606C"/>
    <w:rsid w:val="41840C10"/>
    <w:rsid w:val="418A2804"/>
    <w:rsid w:val="41906AC2"/>
    <w:rsid w:val="419F015A"/>
    <w:rsid w:val="41A01FC6"/>
    <w:rsid w:val="41A360B9"/>
    <w:rsid w:val="41B24520"/>
    <w:rsid w:val="41BE7E42"/>
    <w:rsid w:val="41BF3E63"/>
    <w:rsid w:val="41D61543"/>
    <w:rsid w:val="41D63F61"/>
    <w:rsid w:val="41DC1B54"/>
    <w:rsid w:val="41DC7E80"/>
    <w:rsid w:val="41EA3241"/>
    <w:rsid w:val="41F57B8B"/>
    <w:rsid w:val="42072A91"/>
    <w:rsid w:val="42104B67"/>
    <w:rsid w:val="421309EA"/>
    <w:rsid w:val="4217035F"/>
    <w:rsid w:val="42205707"/>
    <w:rsid w:val="42253C46"/>
    <w:rsid w:val="422961A5"/>
    <w:rsid w:val="42326E07"/>
    <w:rsid w:val="42356728"/>
    <w:rsid w:val="42387954"/>
    <w:rsid w:val="423F5835"/>
    <w:rsid w:val="424665ED"/>
    <w:rsid w:val="42507548"/>
    <w:rsid w:val="42513B85"/>
    <w:rsid w:val="42671DAC"/>
    <w:rsid w:val="42687EB7"/>
    <w:rsid w:val="426A0AD7"/>
    <w:rsid w:val="427D161B"/>
    <w:rsid w:val="42882FE1"/>
    <w:rsid w:val="428D4F27"/>
    <w:rsid w:val="42911747"/>
    <w:rsid w:val="4299172F"/>
    <w:rsid w:val="42994B53"/>
    <w:rsid w:val="42A94EAA"/>
    <w:rsid w:val="42AB02FE"/>
    <w:rsid w:val="42B33603"/>
    <w:rsid w:val="42B429A1"/>
    <w:rsid w:val="42B77749"/>
    <w:rsid w:val="42D9385C"/>
    <w:rsid w:val="42DE686E"/>
    <w:rsid w:val="42E47468"/>
    <w:rsid w:val="42E83C24"/>
    <w:rsid w:val="42E9367D"/>
    <w:rsid w:val="42FA7493"/>
    <w:rsid w:val="42FC155B"/>
    <w:rsid w:val="4304511C"/>
    <w:rsid w:val="430B02DB"/>
    <w:rsid w:val="43237164"/>
    <w:rsid w:val="4324422F"/>
    <w:rsid w:val="432A3E57"/>
    <w:rsid w:val="43373E19"/>
    <w:rsid w:val="43374264"/>
    <w:rsid w:val="435172B7"/>
    <w:rsid w:val="43617EE7"/>
    <w:rsid w:val="43653B74"/>
    <w:rsid w:val="436F0A2F"/>
    <w:rsid w:val="436F1C50"/>
    <w:rsid w:val="437159C8"/>
    <w:rsid w:val="4379487C"/>
    <w:rsid w:val="43825A45"/>
    <w:rsid w:val="43876962"/>
    <w:rsid w:val="438A6B52"/>
    <w:rsid w:val="438E177B"/>
    <w:rsid w:val="438E6981"/>
    <w:rsid w:val="43943464"/>
    <w:rsid w:val="43A455EE"/>
    <w:rsid w:val="43B47DBF"/>
    <w:rsid w:val="43B50C33"/>
    <w:rsid w:val="43B807E2"/>
    <w:rsid w:val="43C567F0"/>
    <w:rsid w:val="43CC3138"/>
    <w:rsid w:val="43CD4BC8"/>
    <w:rsid w:val="43D441A9"/>
    <w:rsid w:val="43EA7BD7"/>
    <w:rsid w:val="43EC11EF"/>
    <w:rsid w:val="43F860E9"/>
    <w:rsid w:val="4403400A"/>
    <w:rsid w:val="44077C63"/>
    <w:rsid w:val="442A5B77"/>
    <w:rsid w:val="442E2670"/>
    <w:rsid w:val="44313C40"/>
    <w:rsid w:val="443D2B78"/>
    <w:rsid w:val="44466BA0"/>
    <w:rsid w:val="444F63D4"/>
    <w:rsid w:val="44573F66"/>
    <w:rsid w:val="44587A26"/>
    <w:rsid w:val="44730537"/>
    <w:rsid w:val="44741875"/>
    <w:rsid w:val="44770043"/>
    <w:rsid w:val="447D7693"/>
    <w:rsid w:val="44856A0F"/>
    <w:rsid w:val="44966287"/>
    <w:rsid w:val="449E610E"/>
    <w:rsid w:val="44A50280"/>
    <w:rsid w:val="44AA2602"/>
    <w:rsid w:val="44AC72BB"/>
    <w:rsid w:val="44B31A22"/>
    <w:rsid w:val="44B8098A"/>
    <w:rsid w:val="44C775FA"/>
    <w:rsid w:val="44CD3745"/>
    <w:rsid w:val="44D012CD"/>
    <w:rsid w:val="44F96329"/>
    <w:rsid w:val="44FD0994"/>
    <w:rsid w:val="450D7972"/>
    <w:rsid w:val="45164116"/>
    <w:rsid w:val="452B716C"/>
    <w:rsid w:val="45301F07"/>
    <w:rsid w:val="45370A88"/>
    <w:rsid w:val="453B51F9"/>
    <w:rsid w:val="453E6E0B"/>
    <w:rsid w:val="453F236B"/>
    <w:rsid w:val="45454D35"/>
    <w:rsid w:val="45462260"/>
    <w:rsid w:val="45474125"/>
    <w:rsid w:val="454C31E3"/>
    <w:rsid w:val="454C58BC"/>
    <w:rsid w:val="456D40D6"/>
    <w:rsid w:val="4570237F"/>
    <w:rsid w:val="4571013B"/>
    <w:rsid w:val="457556F4"/>
    <w:rsid w:val="4577128F"/>
    <w:rsid w:val="457C0E68"/>
    <w:rsid w:val="45927E77"/>
    <w:rsid w:val="459300DD"/>
    <w:rsid w:val="45993B25"/>
    <w:rsid w:val="45A71B75"/>
    <w:rsid w:val="45B86804"/>
    <w:rsid w:val="45CE5353"/>
    <w:rsid w:val="45E06E35"/>
    <w:rsid w:val="45E52D76"/>
    <w:rsid w:val="45F3321B"/>
    <w:rsid w:val="45F56F89"/>
    <w:rsid w:val="45F71703"/>
    <w:rsid w:val="46063770"/>
    <w:rsid w:val="460A47DD"/>
    <w:rsid w:val="46122350"/>
    <w:rsid w:val="461261E1"/>
    <w:rsid w:val="46132D66"/>
    <w:rsid w:val="46301D24"/>
    <w:rsid w:val="46413BF9"/>
    <w:rsid w:val="464F0520"/>
    <w:rsid w:val="465869CB"/>
    <w:rsid w:val="465A74D8"/>
    <w:rsid w:val="46622454"/>
    <w:rsid w:val="466261C9"/>
    <w:rsid w:val="46647A66"/>
    <w:rsid w:val="466510A1"/>
    <w:rsid w:val="466E61EE"/>
    <w:rsid w:val="467343E6"/>
    <w:rsid w:val="467C311B"/>
    <w:rsid w:val="46804174"/>
    <w:rsid w:val="469638D6"/>
    <w:rsid w:val="469B3E0F"/>
    <w:rsid w:val="469C7CE9"/>
    <w:rsid w:val="46A85FD1"/>
    <w:rsid w:val="46A911C0"/>
    <w:rsid w:val="46AB4245"/>
    <w:rsid w:val="46C422B2"/>
    <w:rsid w:val="46C50352"/>
    <w:rsid w:val="46D67E95"/>
    <w:rsid w:val="46E05A91"/>
    <w:rsid w:val="46E17613"/>
    <w:rsid w:val="46E453C3"/>
    <w:rsid w:val="46E85CFA"/>
    <w:rsid w:val="46F247B0"/>
    <w:rsid w:val="46F523AE"/>
    <w:rsid w:val="46F55484"/>
    <w:rsid w:val="46FB611D"/>
    <w:rsid w:val="4700324F"/>
    <w:rsid w:val="470531BC"/>
    <w:rsid w:val="470C6BD5"/>
    <w:rsid w:val="470D474B"/>
    <w:rsid w:val="47121268"/>
    <w:rsid w:val="47197F94"/>
    <w:rsid w:val="471E1980"/>
    <w:rsid w:val="47294EB8"/>
    <w:rsid w:val="472E1965"/>
    <w:rsid w:val="47325952"/>
    <w:rsid w:val="473311E6"/>
    <w:rsid w:val="47392CA0"/>
    <w:rsid w:val="473C62ED"/>
    <w:rsid w:val="4751080C"/>
    <w:rsid w:val="4754272C"/>
    <w:rsid w:val="475B0A29"/>
    <w:rsid w:val="47615D53"/>
    <w:rsid w:val="47657CF1"/>
    <w:rsid w:val="477240C5"/>
    <w:rsid w:val="47755FF5"/>
    <w:rsid w:val="477564FB"/>
    <w:rsid w:val="47797FC1"/>
    <w:rsid w:val="477A1E2D"/>
    <w:rsid w:val="478C70C4"/>
    <w:rsid w:val="47917A70"/>
    <w:rsid w:val="47A007B1"/>
    <w:rsid w:val="47B176A2"/>
    <w:rsid w:val="47BB36B5"/>
    <w:rsid w:val="47C336F1"/>
    <w:rsid w:val="47D47AA7"/>
    <w:rsid w:val="47D96D05"/>
    <w:rsid w:val="47DB5B06"/>
    <w:rsid w:val="47DC7C21"/>
    <w:rsid w:val="47DE621E"/>
    <w:rsid w:val="47DF5582"/>
    <w:rsid w:val="47E623BE"/>
    <w:rsid w:val="47F64CDE"/>
    <w:rsid w:val="47F96FE2"/>
    <w:rsid w:val="47FB6455"/>
    <w:rsid w:val="47FC06F6"/>
    <w:rsid w:val="47FF2CCE"/>
    <w:rsid w:val="48014FD9"/>
    <w:rsid w:val="4804261B"/>
    <w:rsid w:val="480A7EDF"/>
    <w:rsid w:val="481B05F8"/>
    <w:rsid w:val="48217D2F"/>
    <w:rsid w:val="482C18D6"/>
    <w:rsid w:val="483314F5"/>
    <w:rsid w:val="48337643"/>
    <w:rsid w:val="48345216"/>
    <w:rsid w:val="483E64A8"/>
    <w:rsid w:val="48482A6B"/>
    <w:rsid w:val="48507027"/>
    <w:rsid w:val="48517B76"/>
    <w:rsid w:val="48627FD5"/>
    <w:rsid w:val="487B4BF3"/>
    <w:rsid w:val="488235FB"/>
    <w:rsid w:val="488A3088"/>
    <w:rsid w:val="48A4239B"/>
    <w:rsid w:val="48AC1250"/>
    <w:rsid w:val="48B33A52"/>
    <w:rsid w:val="48C06AA9"/>
    <w:rsid w:val="48C87033"/>
    <w:rsid w:val="48CE297D"/>
    <w:rsid w:val="48D81613"/>
    <w:rsid w:val="48D9080D"/>
    <w:rsid w:val="48E94164"/>
    <w:rsid w:val="48EC40CC"/>
    <w:rsid w:val="48EC71F7"/>
    <w:rsid w:val="48EE43F2"/>
    <w:rsid w:val="48F15CCF"/>
    <w:rsid w:val="48F30756"/>
    <w:rsid w:val="48FD385A"/>
    <w:rsid w:val="490A460A"/>
    <w:rsid w:val="490C51FD"/>
    <w:rsid w:val="491E5F31"/>
    <w:rsid w:val="493915B4"/>
    <w:rsid w:val="49404E3D"/>
    <w:rsid w:val="494B3609"/>
    <w:rsid w:val="496436C2"/>
    <w:rsid w:val="496D072A"/>
    <w:rsid w:val="49731300"/>
    <w:rsid w:val="4977360C"/>
    <w:rsid w:val="498C5EA9"/>
    <w:rsid w:val="499833AA"/>
    <w:rsid w:val="49997FE4"/>
    <w:rsid w:val="49A13675"/>
    <w:rsid w:val="49A563CB"/>
    <w:rsid w:val="49A65473"/>
    <w:rsid w:val="49A941EB"/>
    <w:rsid w:val="49AD05AC"/>
    <w:rsid w:val="49B70B21"/>
    <w:rsid w:val="49BC1967"/>
    <w:rsid w:val="49BC23EF"/>
    <w:rsid w:val="49C03205"/>
    <w:rsid w:val="49C302EC"/>
    <w:rsid w:val="49D104C6"/>
    <w:rsid w:val="49D2193C"/>
    <w:rsid w:val="49D339AC"/>
    <w:rsid w:val="49E76045"/>
    <w:rsid w:val="49E92BC2"/>
    <w:rsid w:val="49ED7E45"/>
    <w:rsid w:val="49FB7CC2"/>
    <w:rsid w:val="4A0045CB"/>
    <w:rsid w:val="4A0A430E"/>
    <w:rsid w:val="4A190449"/>
    <w:rsid w:val="4A19137E"/>
    <w:rsid w:val="4A260D4B"/>
    <w:rsid w:val="4A275032"/>
    <w:rsid w:val="4A3A0FE8"/>
    <w:rsid w:val="4A3E794E"/>
    <w:rsid w:val="4A407FFE"/>
    <w:rsid w:val="4A45001D"/>
    <w:rsid w:val="4A5B2F2E"/>
    <w:rsid w:val="4A5E7F48"/>
    <w:rsid w:val="4A607D77"/>
    <w:rsid w:val="4A6326F0"/>
    <w:rsid w:val="4A6609C3"/>
    <w:rsid w:val="4A6C59EA"/>
    <w:rsid w:val="4A6F0787"/>
    <w:rsid w:val="4A750DD0"/>
    <w:rsid w:val="4A816BF6"/>
    <w:rsid w:val="4A8A7705"/>
    <w:rsid w:val="4A915B36"/>
    <w:rsid w:val="4A926343"/>
    <w:rsid w:val="4A987CDE"/>
    <w:rsid w:val="4A9B1E46"/>
    <w:rsid w:val="4AA409BB"/>
    <w:rsid w:val="4ABB58F0"/>
    <w:rsid w:val="4ABD1B22"/>
    <w:rsid w:val="4AC15147"/>
    <w:rsid w:val="4ACF60CC"/>
    <w:rsid w:val="4AD468AE"/>
    <w:rsid w:val="4AE82413"/>
    <w:rsid w:val="4AE91D72"/>
    <w:rsid w:val="4AEF38E4"/>
    <w:rsid w:val="4AEF7CB9"/>
    <w:rsid w:val="4AF60EA8"/>
    <w:rsid w:val="4AFF792F"/>
    <w:rsid w:val="4B053908"/>
    <w:rsid w:val="4B1A6453"/>
    <w:rsid w:val="4B2952C4"/>
    <w:rsid w:val="4B3F36B0"/>
    <w:rsid w:val="4B400C48"/>
    <w:rsid w:val="4B4277BB"/>
    <w:rsid w:val="4B4314B3"/>
    <w:rsid w:val="4B432E15"/>
    <w:rsid w:val="4B4734B2"/>
    <w:rsid w:val="4B5C5FAA"/>
    <w:rsid w:val="4B5D4A84"/>
    <w:rsid w:val="4B640C01"/>
    <w:rsid w:val="4B651BDE"/>
    <w:rsid w:val="4B6B53F2"/>
    <w:rsid w:val="4B793EB9"/>
    <w:rsid w:val="4B841097"/>
    <w:rsid w:val="4B8E0948"/>
    <w:rsid w:val="4B9613D7"/>
    <w:rsid w:val="4B992311"/>
    <w:rsid w:val="4BA26746"/>
    <w:rsid w:val="4BA43605"/>
    <w:rsid w:val="4BC15DF2"/>
    <w:rsid w:val="4BCB75EB"/>
    <w:rsid w:val="4BD028C4"/>
    <w:rsid w:val="4BDC1831"/>
    <w:rsid w:val="4BDC1E4C"/>
    <w:rsid w:val="4BE05D3B"/>
    <w:rsid w:val="4BE154E9"/>
    <w:rsid w:val="4BE62CCB"/>
    <w:rsid w:val="4BEA41FD"/>
    <w:rsid w:val="4BED6D03"/>
    <w:rsid w:val="4BF0670A"/>
    <w:rsid w:val="4BF13385"/>
    <w:rsid w:val="4BF6222F"/>
    <w:rsid w:val="4C1F5620"/>
    <w:rsid w:val="4C282812"/>
    <w:rsid w:val="4C2D08FA"/>
    <w:rsid w:val="4C3A68AE"/>
    <w:rsid w:val="4C42074B"/>
    <w:rsid w:val="4C497E6E"/>
    <w:rsid w:val="4C561A87"/>
    <w:rsid w:val="4C5C21C4"/>
    <w:rsid w:val="4C616357"/>
    <w:rsid w:val="4C67500F"/>
    <w:rsid w:val="4C8853C2"/>
    <w:rsid w:val="4C8A3125"/>
    <w:rsid w:val="4C8E7373"/>
    <w:rsid w:val="4C9046DD"/>
    <w:rsid w:val="4C940979"/>
    <w:rsid w:val="4C9F3A4C"/>
    <w:rsid w:val="4CB74274"/>
    <w:rsid w:val="4CC63A4B"/>
    <w:rsid w:val="4CC81333"/>
    <w:rsid w:val="4CC92202"/>
    <w:rsid w:val="4CD77BB3"/>
    <w:rsid w:val="4CDE7960"/>
    <w:rsid w:val="4CE76CFB"/>
    <w:rsid w:val="4CEC7A64"/>
    <w:rsid w:val="4CF569C8"/>
    <w:rsid w:val="4CF67373"/>
    <w:rsid w:val="4CFF6B5B"/>
    <w:rsid w:val="4D0A3706"/>
    <w:rsid w:val="4D0F059F"/>
    <w:rsid w:val="4D1E1728"/>
    <w:rsid w:val="4D1F6804"/>
    <w:rsid w:val="4D2E6AE0"/>
    <w:rsid w:val="4D34761C"/>
    <w:rsid w:val="4D4C3002"/>
    <w:rsid w:val="4D5325E2"/>
    <w:rsid w:val="4D536117"/>
    <w:rsid w:val="4D53613E"/>
    <w:rsid w:val="4D5B3250"/>
    <w:rsid w:val="4D7215A8"/>
    <w:rsid w:val="4D765CAE"/>
    <w:rsid w:val="4D770AC3"/>
    <w:rsid w:val="4D784C61"/>
    <w:rsid w:val="4D786533"/>
    <w:rsid w:val="4D79113C"/>
    <w:rsid w:val="4D7A4E0D"/>
    <w:rsid w:val="4D7B6D5F"/>
    <w:rsid w:val="4D8330FD"/>
    <w:rsid w:val="4D8B58D8"/>
    <w:rsid w:val="4D8F614E"/>
    <w:rsid w:val="4D9A4ACC"/>
    <w:rsid w:val="4D9A7089"/>
    <w:rsid w:val="4DA150FB"/>
    <w:rsid w:val="4DA65614"/>
    <w:rsid w:val="4DBC6F01"/>
    <w:rsid w:val="4DBD5EE2"/>
    <w:rsid w:val="4DBD6446"/>
    <w:rsid w:val="4DC7118D"/>
    <w:rsid w:val="4DCC1EF1"/>
    <w:rsid w:val="4DD454D1"/>
    <w:rsid w:val="4DE02888"/>
    <w:rsid w:val="4DE53D67"/>
    <w:rsid w:val="4DE96862"/>
    <w:rsid w:val="4DEB15BA"/>
    <w:rsid w:val="4DEC260A"/>
    <w:rsid w:val="4DEE5E67"/>
    <w:rsid w:val="4DF13C53"/>
    <w:rsid w:val="4DF7375A"/>
    <w:rsid w:val="4DFE254E"/>
    <w:rsid w:val="4E037EC3"/>
    <w:rsid w:val="4E1213FF"/>
    <w:rsid w:val="4E151983"/>
    <w:rsid w:val="4E1C5480"/>
    <w:rsid w:val="4E1F4EB6"/>
    <w:rsid w:val="4E2A50F1"/>
    <w:rsid w:val="4E31591A"/>
    <w:rsid w:val="4E385522"/>
    <w:rsid w:val="4E396368"/>
    <w:rsid w:val="4E451F2B"/>
    <w:rsid w:val="4E54712C"/>
    <w:rsid w:val="4E7A3016"/>
    <w:rsid w:val="4E7B3B9E"/>
    <w:rsid w:val="4E943B74"/>
    <w:rsid w:val="4E9514C2"/>
    <w:rsid w:val="4E9D7BB0"/>
    <w:rsid w:val="4E9F52F3"/>
    <w:rsid w:val="4E9F6CDA"/>
    <w:rsid w:val="4EA07042"/>
    <w:rsid w:val="4EA65FA5"/>
    <w:rsid w:val="4EAA2AF5"/>
    <w:rsid w:val="4EAA6232"/>
    <w:rsid w:val="4EAD4A8B"/>
    <w:rsid w:val="4EB653D7"/>
    <w:rsid w:val="4EC70B92"/>
    <w:rsid w:val="4EC7378F"/>
    <w:rsid w:val="4ECE001C"/>
    <w:rsid w:val="4ECF54AB"/>
    <w:rsid w:val="4EED611E"/>
    <w:rsid w:val="4EF37BD9"/>
    <w:rsid w:val="4EFA0F67"/>
    <w:rsid w:val="4EFB05E3"/>
    <w:rsid w:val="4F0065C6"/>
    <w:rsid w:val="4F060C85"/>
    <w:rsid w:val="4F0E4A13"/>
    <w:rsid w:val="4F1B20E2"/>
    <w:rsid w:val="4F247867"/>
    <w:rsid w:val="4F356E50"/>
    <w:rsid w:val="4F363A2B"/>
    <w:rsid w:val="4F562E5E"/>
    <w:rsid w:val="4F586999"/>
    <w:rsid w:val="4F5A4EBF"/>
    <w:rsid w:val="4F5D14F6"/>
    <w:rsid w:val="4F5D32A4"/>
    <w:rsid w:val="4F6102D1"/>
    <w:rsid w:val="4F665099"/>
    <w:rsid w:val="4F7C239F"/>
    <w:rsid w:val="4F8115BD"/>
    <w:rsid w:val="4F813436"/>
    <w:rsid w:val="4F8A7F6A"/>
    <w:rsid w:val="4F8D1DDB"/>
    <w:rsid w:val="4F8D7575"/>
    <w:rsid w:val="4F974A08"/>
    <w:rsid w:val="4F9C4764"/>
    <w:rsid w:val="4FA00D06"/>
    <w:rsid w:val="4FAB09B6"/>
    <w:rsid w:val="4FB159EC"/>
    <w:rsid w:val="4FB23A3B"/>
    <w:rsid w:val="4FB57E74"/>
    <w:rsid w:val="4FB6744C"/>
    <w:rsid w:val="4FBD09B0"/>
    <w:rsid w:val="4FBD1088"/>
    <w:rsid w:val="4FBD4BBB"/>
    <w:rsid w:val="4FC652ED"/>
    <w:rsid w:val="4FD16062"/>
    <w:rsid w:val="4FD60B72"/>
    <w:rsid w:val="4FE15C83"/>
    <w:rsid w:val="4FE17A31"/>
    <w:rsid w:val="4FE22A38"/>
    <w:rsid w:val="4FE77CEF"/>
    <w:rsid w:val="4FF17B27"/>
    <w:rsid w:val="50011E81"/>
    <w:rsid w:val="50041972"/>
    <w:rsid w:val="50046123"/>
    <w:rsid w:val="50050846"/>
    <w:rsid w:val="500C0B37"/>
    <w:rsid w:val="502412EE"/>
    <w:rsid w:val="502845FF"/>
    <w:rsid w:val="50304F7E"/>
    <w:rsid w:val="504F4A7B"/>
    <w:rsid w:val="50500713"/>
    <w:rsid w:val="50593A6B"/>
    <w:rsid w:val="50764D94"/>
    <w:rsid w:val="507F0E7D"/>
    <w:rsid w:val="50817100"/>
    <w:rsid w:val="50845B41"/>
    <w:rsid w:val="508D5E0B"/>
    <w:rsid w:val="509168AF"/>
    <w:rsid w:val="509349BC"/>
    <w:rsid w:val="509C5AF8"/>
    <w:rsid w:val="50A8223C"/>
    <w:rsid w:val="50A96514"/>
    <w:rsid w:val="50AC5050"/>
    <w:rsid w:val="50C21B20"/>
    <w:rsid w:val="50C90D77"/>
    <w:rsid w:val="50EE4701"/>
    <w:rsid w:val="50F145FC"/>
    <w:rsid w:val="50FA0581"/>
    <w:rsid w:val="50FA5805"/>
    <w:rsid w:val="50FB33AC"/>
    <w:rsid w:val="511E7880"/>
    <w:rsid w:val="514211CD"/>
    <w:rsid w:val="51452242"/>
    <w:rsid w:val="515A24AA"/>
    <w:rsid w:val="51696C3D"/>
    <w:rsid w:val="516B2E85"/>
    <w:rsid w:val="517111FF"/>
    <w:rsid w:val="51722E6E"/>
    <w:rsid w:val="517374E0"/>
    <w:rsid w:val="51750350"/>
    <w:rsid w:val="51793207"/>
    <w:rsid w:val="51955B7D"/>
    <w:rsid w:val="519568F3"/>
    <w:rsid w:val="51993FF5"/>
    <w:rsid w:val="519F3032"/>
    <w:rsid w:val="51B25266"/>
    <w:rsid w:val="51BA1DFF"/>
    <w:rsid w:val="51BC2848"/>
    <w:rsid w:val="51C3412D"/>
    <w:rsid w:val="51CF3F45"/>
    <w:rsid w:val="51E406C2"/>
    <w:rsid w:val="51E47232"/>
    <w:rsid w:val="51E63A25"/>
    <w:rsid w:val="51ED15F6"/>
    <w:rsid w:val="51F021AD"/>
    <w:rsid w:val="51F31C9E"/>
    <w:rsid w:val="51F83758"/>
    <w:rsid w:val="51FC1391"/>
    <w:rsid w:val="5201085F"/>
    <w:rsid w:val="52015F60"/>
    <w:rsid w:val="520C4C6B"/>
    <w:rsid w:val="521A2F7C"/>
    <w:rsid w:val="5226558C"/>
    <w:rsid w:val="52326C6A"/>
    <w:rsid w:val="523302EC"/>
    <w:rsid w:val="52462F0A"/>
    <w:rsid w:val="524D78D0"/>
    <w:rsid w:val="525077B8"/>
    <w:rsid w:val="52687C58"/>
    <w:rsid w:val="526A78D5"/>
    <w:rsid w:val="527E5EBE"/>
    <w:rsid w:val="529E7E5B"/>
    <w:rsid w:val="52AD3580"/>
    <w:rsid w:val="52B04B3F"/>
    <w:rsid w:val="52B46657"/>
    <w:rsid w:val="52B61649"/>
    <w:rsid w:val="52BA3273"/>
    <w:rsid w:val="52BB0A0D"/>
    <w:rsid w:val="52BB31BE"/>
    <w:rsid w:val="52BC4786"/>
    <w:rsid w:val="52CC2C1B"/>
    <w:rsid w:val="52CD60C9"/>
    <w:rsid w:val="52D25F4F"/>
    <w:rsid w:val="52D816BB"/>
    <w:rsid w:val="52D834A1"/>
    <w:rsid w:val="52D86965"/>
    <w:rsid w:val="52D90E94"/>
    <w:rsid w:val="52DC0984"/>
    <w:rsid w:val="52E873D0"/>
    <w:rsid w:val="52FA31DE"/>
    <w:rsid w:val="52FE1B35"/>
    <w:rsid w:val="52FE6B4C"/>
    <w:rsid w:val="531776E2"/>
    <w:rsid w:val="5326161A"/>
    <w:rsid w:val="53263C79"/>
    <w:rsid w:val="53275D9B"/>
    <w:rsid w:val="533F3014"/>
    <w:rsid w:val="534053B7"/>
    <w:rsid w:val="534810C4"/>
    <w:rsid w:val="535C6B19"/>
    <w:rsid w:val="537138C7"/>
    <w:rsid w:val="53761013"/>
    <w:rsid w:val="537B5AAA"/>
    <w:rsid w:val="53822C25"/>
    <w:rsid w:val="53861605"/>
    <w:rsid w:val="538C4314"/>
    <w:rsid w:val="53933738"/>
    <w:rsid w:val="539F4F04"/>
    <w:rsid w:val="53A150D9"/>
    <w:rsid w:val="53A21BCD"/>
    <w:rsid w:val="53A92F5C"/>
    <w:rsid w:val="53B645B0"/>
    <w:rsid w:val="53BB6616"/>
    <w:rsid w:val="53BC6E3E"/>
    <w:rsid w:val="53C30DAF"/>
    <w:rsid w:val="53C743DD"/>
    <w:rsid w:val="53D578AD"/>
    <w:rsid w:val="53D76D2B"/>
    <w:rsid w:val="53F4213D"/>
    <w:rsid w:val="540733F7"/>
    <w:rsid w:val="5418487E"/>
    <w:rsid w:val="542E16B3"/>
    <w:rsid w:val="54411FA2"/>
    <w:rsid w:val="54466335"/>
    <w:rsid w:val="546213C7"/>
    <w:rsid w:val="54635B77"/>
    <w:rsid w:val="54646E83"/>
    <w:rsid w:val="54696247"/>
    <w:rsid w:val="54807B62"/>
    <w:rsid w:val="5483293F"/>
    <w:rsid w:val="549E05E7"/>
    <w:rsid w:val="54A51629"/>
    <w:rsid w:val="54AE41A3"/>
    <w:rsid w:val="54B42CDF"/>
    <w:rsid w:val="54CB7CD3"/>
    <w:rsid w:val="54CF345E"/>
    <w:rsid w:val="54DD36E3"/>
    <w:rsid w:val="54DE7E84"/>
    <w:rsid w:val="54E824C4"/>
    <w:rsid w:val="54EA03CE"/>
    <w:rsid w:val="54FA797C"/>
    <w:rsid w:val="55017C9A"/>
    <w:rsid w:val="55021383"/>
    <w:rsid w:val="55083E20"/>
    <w:rsid w:val="550B6A5E"/>
    <w:rsid w:val="5510119D"/>
    <w:rsid w:val="55160A03"/>
    <w:rsid w:val="55172B07"/>
    <w:rsid w:val="551F7930"/>
    <w:rsid w:val="55236D3E"/>
    <w:rsid w:val="55274B8B"/>
    <w:rsid w:val="552A24B9"/>
    <w:rsid w:val="553920BD"/>
    <w:rsid w:val="553D7BAB"/>
    <w:rsid w:val="553E34B3"/>
    <w:rsid w:val="55484B22"/>
    <w:rsid w:val="55547B4D"/>
    <w:rsid w:val="555667CB"/>
    <w:rsid w:val="55653051"/>
    <w:rsid w:val="556A7BF9"/>
    <w:rsid w:val="558E065B"/>
    <w:rsid w:val="559E2882"/>
    <w:rsid w:val="55A25378"/>
    <w:rsid w:val="55AA1478"/>
    <w:rsid w:val="55B31E70"/>
    <w:rsid w:val="55B82787"/>
    <w:rsid w:val="55C025A8"/>
    <w:rsid w:val="55CE0A58"/>
    <w:rsid w:val="55D41DE6"/>
    <w:rsid w:val="55F174E6"/>
    <w:rsid w:val="55F21B08"/>
    <w:rsid w:val="560E6B90"/>
    <w:rsid w:val="56187F25"/>
    <w:rsid w:val="562170F5"/>
    <w:rsid w:val="56347138"/>
    <w:rsid w:val="563A5842"/>
    <w:rsid w:val="564330AF"/>
    <w:rsid w:val="56676126"/>
    <w:rsid w:val="567048C3"/>
    <w:rsid w:val="56737851"/>
    <w:rsid w:val="56773959"/>
    <w:rsid w:val="567A7A0A"/>
    <w:rsid w:val="56861205"/>
    <w:rsid w:val="56A570FE"/>
    <w:rsid w:val="56B44264"/>
    <w:rsid w:val="56B57101"/>
    <w:rsid w:val="56B64591"/>
    <w:rsid w:val="56C55F1E"/>
    <w:rsid w:val="56C87B9D"/>
    <w:rsid w:val="56CD0598"/>
    <w:rsid w:val="56D20E7B"/>
    <w:rsid w:val="56D26FEF"/>
    <w:rsid w:val="56D504FC"/>
    <w:rsid w:val="56DB78D0"/>
    <w:rsid w:val="56DF58C0"/>
    <w:rsid w:val="56E74337"/>
    <w:rsid w:val="56E9366F"/>
    <w:rsid w:val="56F13B6C"/>
    <w:rsid w:val="56F24197"/>
    <w:rsid w:val="56F72230"/>
    <w:rsid w:val="56FE711B"/>
    <w:rsid w:val="57013134"/>
    <w:rsid w:val="570255EE"/>
    <w:rsid w:val="57047E91"/>
    <w:rsid w:val="57160E80"/>
    <w:rsid w:val="57280E28"/>
    <w:rsid w:val="573A44C2"/>
    <w:rsid w:val="57492E02"/>
    <w:rsid w:val="5759180F"/>
    <w:rsid w:val="575D64F8"/>
    <w:rsid w:val="57734909"/>
    <w:rsid w:val="5780605D"/>
    <w:rsid w:val="57840BFE"/>
    <w:rsid w:val="5784697D"/>
    <w:rsid w:val="57AD449F"/>
    <w:rsid w:val="57B1418D"/>
    <w:rsid w:val="57B27F05"/>
    <w:rsid w:val="57B679F5"/>
    <w:rsid w:val="57D24312"/>
    <w:rsid w:val="57D4682F"/>
    <w:rsid w:val="57EB2F39"/>
    <w:rsid w:val="57EB5809"/>
    <w:rsid w:val="57EF4CB5"/>
    <w:rsid w:val="57F45209"/>
    <w:rsid w:val="57F675D1"/>
    <w:rsid w:val="57FF1CF3"/>
    <w:rsid w:val="58005114"/>
    <w:rsid w:val="58022C3B"/>
    <w:rsid w:val="58030761"/>
    <w:rsid w:val="58092ACC"/>
    <w:rsid w:val="580C10C0"/>
    <w:rsid w:val="58136982"/>
    <w:rsid w:val="58153D79"/>
    <w:rsid w:val="58226D2A"/>
    <w:rsid w:val="582316B5"/>
    <w:rsid w:val="582330AF"/>
    <w:rsid w:val="582368E1"/>
    <w:rsid w:val="582D4846"/>
    <w:rsid w:val="582E1C82"/>
    <w:rsid w:val="583152CE"/>
    <w:rsid w:val="58346D28"/>
    <w:rsid w:val="5838762D"/>
    <w:rsid w:val="58411733"/>
    <w:rsid w:val="58513CB5"/>
    <w:rsid w:val="585766E9"/>
    <w:rsid w:val="585D2255"/>
    <w:rsid w:val="58663BE5"/>
    <w:rsid w:val="5868282C"/>
    <w:rsid w:val="587E182B"/>
    <w:rsid w:val="5882708A"/>
    <w:rsid w:val="588C69A8"/>
    <w:rsid w:val="589A10C5"/>
    <w:rsid w:val="58AB7214"/>
    <w:rsid w:val="58AD02DF"/>
    <w:rsid w:val="58B17390"/>
    <w:rsid w:val="58BB2E28"/>
    <w:rsid w:val="58BF7AF2"/>
    <w:rsid w:val="58C8591B"/>
    <w:rsid w:val="58DE20A4"/>
    <w:rsid w:val="58DF354B"/>
    <w:rsid w:val="58F509F1"/>
    <w:rsid w:val="58FA005E"/>
    <w:rsid w:val="58FB4971"/>
    <w:rsid w:val="590039E6"/>
    <w:rsid w:val="590315FB"/>
    <w:rsid w:val="59103CDB"/>
    <w:rsid w:val="591231C6"/>
    <w:rsid w:val="591767C2"/>
    <w:rsid w:val="59190C7F"/>
    <w:rsid w:val="591F15CA"/>
    <w:rsid w:val="59223548"/>
    <w:rsid w:val="593244F7"/>
    <w:rsid w:val="59345076"/>
    <w:rsid w:val="593D576E"/>
    <w:rsid w:val="59402C3A"/>
    <w:rsid w:val="594149BA"/>
    <w:rsid w:val="5947124D"/>
    <w:rsid w:val="595125BE"/>
    <w:rsid w:val="5955323E"/>
    <w:rsid w:val="59607878"/>
    <w:rsid w:val="596A13DB"/>
    <w:rsid w:val="596A685A"/>
    <w:rsid w:val="596B480F"/>
    <w:rsid w:val="596D0A4F"/>
    <w:rsid w:val="597B59E0"/>
    <w:rsid w:val="597E7CD2"/>
    <w:rsid w:val="598730EE"/>
    <w:rsid w:val="598D6AC3"/>
    <w:rsid w:val="59910483"/>
    <w:rsid w:val="59A07700"/>
    <w:rsid w:val="59A41DA7"/>
    <w:rsid w:val="59B60D7B"/>
    <w:rsid w:val="59B65BAF"/>
    <w:rsid w:val="59BB12F3"/>
    <w:rsid w:val="59C25EAF"/>
    <w:rsid w:val="59C469A8"/>
    <w:rsid w:val="59D67CEC"/>
    <w:rsid w:val="59DA6D1C"/>
    <w:rsid w:val="59E036D4"/>
    <w:rsid w:val="59E07580"/>
    <w:rsid w:val="59E30A31"/>
    <w:rsid w:val="59E54492"/>
    <w:rsid w:val="59E5617B"/>
    <w:rsid w:val="59EA607C"/>
    <w:rsid w:val="59EF06CC"/>
    <w:rsid w:val="59FD52BD"/>
    <w:rsid w:val="5A0674E6"/>
    <w:rsid w:val="5A1A070F"/>
    <w:rsid w:val="5A1F0F30"/>
    <w:rsid w:val="5A2E64FD"/>
    <w:rsid w:val="5A32309C"/>
    <w:rsid w:val="5A3643B2"/>
    <w:rsid w:val="5A487EB0"/>
    <w:rsid w:val="5A4F5EDF"/>
    <w:rsid w:val="5A614E09"/>
    <w:rsid w:val="5A63069A"/>
    <w:rsid w:val="5A6D4478"/>
    <w:rsid w:val="5A897643"/>
    <w:rsid w:val="5A8C2C8F"/>
    <w:rsid w:val="5A915ACF"/>
    <w:rsid w:val="5A9234A3"/>
    <w:rsid w:val="5AA8188C"/>
    <w:rsid w:val="5AA91877"/>
    <w:rsid w:val="5ACC3540"/>
    <w:rsid w:val="5AD67599"/>
    <w:rsid w:val="5AD924D5"/>
    <w:rsid w:val="5AE919DD"/>
    <w:rsid w:val="5B182775"/>
    <w:rsid w:val="5B1A27D1"/>
    <w:rsid w:val="5B1A7284"/>
    <w:rsid w:val="5B1F1DFE"/>
    <w:rsid w:val="5B386973"/>
    <w:rsid w:val="5B417F1E"/>
    <w:rsid w:val="5B4578E7"/>
    <w:rsid w:val="5B69661C"/>
    <w:rsid w:val="5B6C0858"/>
    <w:rsid w:val="5B6E783F"/>
    <w:rsid w:val="5B7C04A8"/>
    <w:rsid w:val="5B8337E5"/>
    <w:rsid w:val="5B855579"/>
    <w:rsid w:val="5B867AC2"/>
    <w:rsid w:val="5B8743CF"/>
    <w:rsid w:val="5B8837FD"/>
    <w:rsid w:val="5B8D4F11"/>
    <w:rsid w:val="5B90523D"/>
    <w:rsid w:val="5B9E4722"/>
    <w:rsid w:val="5BA81D4B"/>
    <w:rsid w:val="5BAB6D76"/>
    <w:rsid w:val="5BB5647A"/>
    <w:rsid w:val="5BC03DE2"/>
    <w:rsid w:val="5BC621D1"/>
    <w:rsid w:val="5BCA73D9"/>
    <w:rsid w:val="5BE070DC"/>
    <w:rsid w:val="5BE7170C"/>
    <w:rsid w:val="5BEC5D3A"/>
    <w:rsid w:val="5BFF7E6A"/>
    <w:rsid w:val="5C0056E3"/>
    <w:rsid w:val="5C007DBB"/>
    <w:rsid w:val="5C04435B"/>
    <w:rsid w:val="5C1A6677"/>
    <w:rsid w:val="5C1B4392"/>
    <w:rsid w:val="5C1F25FB"/>
    <w:rsid w:val="5C270EC2"/>
    <w:rsid w:val="5C2F21B3"/>
    <w:rsid w:val="5C321615"/>
    <w:rsid w:val="5C3B671B"/>
    <w:rsid w:val="5C3D172A"/>
    <w:rsid w:val="5C4004DF"/>
    <w:rsid w:val="5C473312"/>
    <w:rsid w:val="5C4F21B0"/>
    <w:rsid w:val="5C51136D"/>
    <w:rsid w:val="5C552A3C"/>
    <w:rsid w:val="5C556EA6"/>
    <w:rsid w:val="5C650FB0"/>
    <w:rsid w:val="5C743C34"/>
    <w:rsid w:val="5C7A4279"/>
    <w:rsid w:val="5C7B5266"/>
    <w:rsid w:val="5C8E17F7"/>
    <w:rsid w:val="5C913139"/>
    <w:rsid w:val="5C9F4EFC"/>
    <w:rsid w:val="5CA354AC"/>
    <w:rsid w:val="5CB45F05"/>
    <w:rsid w:val="5CB52971"/>
    <w:rsid w:val="5CB55CD5"/>
    <w:rsid w:val="5CBC678C"/>
    <w:rsid w:val="5CBF3BEB"/>
    <w:rsid w:val="5CC77597"/>
    <w:rsid w:val="5CC9106E"/>
    <w:rsid w:val="5CD50321"/>
    <w:rsid w:val="5CD50908"/>
    <w:rsid w:val="5D043BDE"/>
    <w:rsid w:val="5D0638C7"/>
    <w:rsid w:val="5D0B274A"/>
    <w:rsid w:val="5D2071FB"/>
    <w:rsid w:val="5D253F3F"/>
    <w:rsid w:val="5D2573D0"/>
    <w:rsid w:val="5D2A5237"/>
    <w:rsid w:val="5D2B6EAA"/>
    <w:rsid w:val="5D395FE0"/>
    <w:rsid w:val="5D453167"/>
    <w:rsid w:val="5D4533D9"/>
    <w:rsid w:val="5D811D91"/>
    <w:rsid w:val="5D8331ED"/>
    <w:rsid w:val="5D84646B"/>
    <w:rsid w:val="5D8547EA"/>
    <w:rsid w:val="5D892330"/>
    <w:rsid w:val="5D8C1B29"/>
    <w:rsid w:val="5D940211"/>
    <w:rsid w:val="5D9A027D"/>
    <w:rsid w:val="5DA97B86"/>
    <w:rsid w:val="5DAA1DF2"/>
    <w:rsid w:val="5DB865F0"/>
    <w:rsid w:val="5DB873CE"/>
    <w:rsid w:val="5DC801B2"/>
    <w:rsid w:val="5DC92D73"/>
    <w:rsid w:val="5DCB1D21"/>
    <w:rsid w:val="5DD17991"/>
    <w:rsid w:val="5DDE1A54"/>
    <w:rsid w:val="5DE033F9"/>
    <w:rsid w:val="5DE66C20"/>
    <w:rsid w:val="5DEB6FF5"/>
    <w:rsid w:val="5DF10618"/>
    <w:rsid w:val="5E046A15"/>
    <w:rsid w:val="5E056147"/>
    <w:rsid w:val="5E0A45F7"/>
    <w:rsid w:val="5E1E4A95"/>
    <w:rsid w:val="5E2A6BBC"/>
    <w:rsid w:val="5E3A3ABF"/>
    <w:rsid w:val="5E4107AB"/>
    <w:rsid w:val="5E45554E"/>
    <w:rsid w:val="5E573E48"/>
    <w:rsid w:val="5E59597F"/>
    <w:rsid w:val="5E597ADD"/>
    <w:rsid w:val="5E5F64F0"/>
    <w:rsid w:val="5E6107E9"/>
    <w:rsid w:val="5E6957C1"/>
    <w:rsid w:val="5E6C52B2"/>
    <w:rsid w:val="5E744166"/>
    <w:rsid w:val="5E785A05"/>
    <w:rsid w:val="5E792416"/>
    <w:rsid w:val="5E8817D8"/>
    <w:rsid w:val="5E8F570F"/>
    <w:rsid w:val="5E9255DC"/>
    <w:rsid w:val="5E935F94"/>
    <w:rsid w:val="5E96029E"/>
    <w:rsid w:val="5E9622BA"/>
    <w:rsid w:val="5E974CB5"/>
    <w:rsid w:val="5E985DD6"/>
    <w:rsid w:val="5E997FDC"/>
    <w:rsid w:val="5E9B254F"/>
    <w:rsid w:val="5EA7453C"/>
    <w:rsid w:val="5EB84053"/>
    <w:rsid w:val="5EC8397E"/>
    <w:rsid w:val="5ECB2990"/>
    <w:rsid w:val="5ED80DC1"/>
    <w:rsid w:val="5ED9084B"/>
    <w:rsid w:val="5EDF0ADA"/>
    <w:rsid w:val="5EE10235"/>
    <w:rsid w:val="5EE140E7"/>
    <w:rsid w:val="5EED7FF0"/>
    <w:rsid w:val="5EFC21FA"/>
    <w:rsid w:val="5EFC7E35"/>
    <w:rsid w:val="5F024DA9"/>
    <w:rsid w:val="5F070A50"/>
    <w:rsid w:val="5F0F2476"/>
    <w:rsid w:val="5F1542AB"/>
    <w:rsid w:val="5F28567D"/>
    <w:rsid w:val="5F2B17C7"/>
    <w:rsid w:val="5F365651"/>
    <w:rsid w:val="5F471F31"/>
    <w:rsid w:val="5F481892"/>
    <w:rsid w:val="5F4959FC"/>
    <w:rsid w:val="5F4B5F0B"/>
    <w:rsid w:val="5F52038F"/>
    <w:rsid w:val="5F526256"/>
    <w:rsid w:val="5F6274AD"/>
    <w:rsid w:val="5F664883"/>
    <w:rsid w:val="5F7B08DC"/>
    <w:rsid w:val="5F8E3006"/>
    <w:rsid w:val="5F9C0158"/>
    <w:rsid w:val="5F9C45C2"/>
    <w:rsid w:val="5F9D2510"/>
    <w:rsid w:val="5FA12D39"/>
    <w:rsid w:val="5FB03BDB"/>
    <w:rsid w:val="5FB16998"/>
    <w:rsid w:val="5FB310AE"/>
    <w:rsid w:val="5FBA204D"/>
    <w:rsid w:val="5FBE06A9"/>
    <w:rsid w:val="5FC36ABF"/>
    <w:rsid w:val="5FC41A99"/>
    <w:rsid w:val="5FCB3F5F"/>
    <w:rsid w:val="5FCB59BA"/>
    <w:rsid w:val="5FCD2D18"/>
    <w:rsid w:val="5FD43F14"/>
    <w:rsid w:val="5FD82F7C"/>
    <w:rsid w:val="5FE002F9"/>
    <w:rsid w:val="5FEF4E02"/>
    <w:rsid w:val="5FF62290"/>
    <w:rsid w:val="5FFD062D"/>
    <w:rsid w:val="600129B9"/>
    <w:rsid w:val="60031C46"/>
    <w:rsid w:val="600B022B"/>
    <w:rsid w:val="601D1CCD"/>
    <w:rsid w:val="60237F71"/>
    <w:rsid w:val="60262323"/>
    <w:rsid w:val="60290E01"/>
    <w:rsid w:val="602C19B8"/>
    <w:rsid w:val="602E3115"/>
    <w:rsid w:val="6037544B"/>
    <w:rsid w:val="603911C4"/>
    <w:rsid w:val="60483AFC"/>
    <w:rsid w:val="604A35BC"/>
    <w:rsid w:val="604C2094"/>
    <w:rsid w:val="60511C70"/>
    <w:rsid w:val="60512F41"/>
    <w:rsid w:val="607C0D31"/>
    <w:rsid w:val="607D1EBB"/>
    <w:rsid w:val="60904C36"/>
    <w:rsid w:val="60916139"/>
    <w:rsid w:val="60934D78"/>
    <w:rsid w:val="60A109EB"/>
    <w:rsid w:val="60A46028"/>
    <w:rsid w:val="60B3541A"/>
    <w:rsid w:val="60B90EC4"/>
    <w:rsid w:val="60BC53FD"/>
    <w:rsid w:val="60C07B37"/>
    <w:rsid w:val="60C16719"/>
    <w:rsid w:val="60CE1E64"/>
    <w:rsid w:val="60E229A9"/>
    <w:rsid w:val="60ED166D"/>
    <w:rsid w:val="60F0112B"/>
    <w:rsid w:val="60F31D02"/>
    <w:rsid w:val="60F66586"/>
    <w:rsid w:val="60F831B7"/>
    <w:rsid w:val="61027F57"/>
    <w:rsid w:val="61066DAA"/>
    <w:rsid w:val="610B6D0D"/>
    <w:rsid w:val="610E47E7"/>
    <w:rsid w:val="61125A96"/>
    <w:rsid w:val="61157B25"/>
    <w:rsid w:val="613D7AC0"/>
    <w:rsid w:val="61412A26"/>
    <w:rsid w:val="6142324B"/>
    <w:rsid w:val="614372F4"/>
    <w:rsid w:val="61440E6E"/>
    <w:rsid w:val="61457884"/>
    <w:rsid w:val="6160135D"/>
    <w:rsid w:val="616F1A8B"/>
    <w:rsid w:val="61767CB3"/>
    <w:rsid w:val="617952FC"/>
    <w:rsid w:val="61812E22"/>
    <w:rsid w:val="6190308F"/>
    <w:rsid w:val="61936D8B"/>
    <w:rsid w:val="6196079C"/>
    <w:rsid w:val="61A56914"/>
    <w:rsid w:val="61A84853"/>
    <w:rsid w:val="61AA6062"/>
    <w:rsid w:val="61B27CA1"/>
    <w:rsid w:val="61B3707D"/>
    <w:rsid w:val="61C001CC"/>
    <w:rsid w:val="61C952DF"/>
    <w:rsid w:val="61FF27FC"/>
    <w:rsid w:val="62013FEA"/>
    <w:rsid w:val="620C2033"/>
    <w:rsid w:val="620F48D2"/>
    <w:rsid w:val="620F6F18"/>
    <w:rsid w:val="62117EBD"/>
    <w:rsid w:val="621C0778"/>
    <w:rsid w:val="622C4470"/>
    <w:rsid w:val="623460E6"/>
    <w:rsid w:val="623F2EA5"/>
    <w:rsid w:val="62474AF6"/>
    <w:rsid w:val="625130FB"/>
    <w:rsid w:val="62556940"/>
    <w:rsid w:val="625C615E"/>
    <w:rsid w:val="625F7ED6"/>
    <w:rsid w:val="62683FE2"/>
    <w:rsid w:val="6271444B"/>
    <w:rsid w:val="629870A2"/>
    <w:rsid w:val="62A74B0A"/>
    <w:rsid w:val="62AE6250"/>
    <w:rsid w:val="62B1643E"/>
    <w:rsid w:val="62B45479"/>
    <w:rsid w:val="62B74D35"/>
    <w:rsid w:val="62BF209A"/>
    <w:rsid w:val="62CA2184"/>
    <w:rsid w:val="62CF5E0F"/>
    <w:rsid w:val="63011F0B"/>
    <w:rsid w:val="63027F93"/>
    <w:rsid w:val="6305370E"/>
    <w:rsid w:val="630D3399"/>
    <w:rsid w:val="630E7347"/>
    <w:rsid w:val="63175209"/>
    <w:rsid w:val="631F28F3"/>
    <w:rsid w:val="632720A3"/>
    <w:rsid w:val="632A0138"/>
    <w:rsid w:val="63367D3F"/>
    <w:rsid w:val="63384BF1"/>
    <w:rsid w:val="633F11E7"/>
    <w:rsid w:val="633F3CAA"/>
    <w:rsid w:val="63551285"/>
    <w:rsid w:val="635E6E8C"/>
    <w:rsid w:val="635F6D2C"/>
    <w:rsid w:val="63624ED5"/>
    <w:rsid w:val="63690012"/>
    <w:rsid w:val="636F24BB"/>
    <w:rsid w:val="63890E28"/>
    <w:rsid w:val="639170EF"/>
    <w:rsid w:val="63950E07"/>
    <w:rsid w:val="63A1155A"/>
    <w:rsid w:val="63A8695F"/>
    <w:rsid w:val="63BA169B"/>
    <w:rsid w:val="63C15836"/>
    <w:rsid w:val="63CE7510"/>
    <w:rsid w:val="63D119F0"/>
    <w:rsid w:val="63D27BE3"/>
    <w:rsid w:val="63D50605"/>
    <w:rsid w:val="63DA2CBD"/>
    <w:rsid w:val="63DC1055"/>
    <w:rsid w:val="63DD33CD"/>
    <w:rsid w:val="63E90FE0"/>
    <w:rsid w:val="63F749B9"/>
    <w:rsid w:val="63FB7C3B"/>
    <w:rsid w:val="63FE4BFE"/>
    <w:rsid w:val="64080705"/>
    <w:rsid w:val="64120C1E"/>
    <w:rsid w:val="642632AF"/>
    <w:rsid w:val="64382901"/>
    <w:rsid w:val="643979E4"/>
    <w:rsid w:val="643A1643"/>
    <w:rsid w:val="643E2670"/>
    <w:rsid w:val="6445778C"/>
    <w:rsid w:val="644C6871"/>
    <w:rsid w:val="64515ACD"/>
    <w:rsid w:val="645D7C18"/>
    <w:rsid w:val="645E390D"/>
    <w:rsid w:val="64604B5D"/>
    <w:rsid w:val="64654DEB"/>
    <w:rsid w:val="647A412F"/>
    <w:rsid w:val="647C4325"/>
    <w:rsid w:val="64813139"/>
    <w:rsid w:val="649607A0"/>
    <w:rsid w:val="64A82548"/>
    <w:rsid w:val="64AF1213"/>
    <w:rsid w:val="64B477E8"/>
    <w:rsid w:val="64B703EC"/>
    <w:rsid w:val="64B84F5C"/>
    <w:rsid w:val="64BD45B3"/>
    <w:rsid w:val="64C431C0"/>
    <w:rsid w:val="64CF569C"/>
    <w:rsid w:val="64E9096A"/>
    <w:rsid w:val="64E969EC"/>
    <w:rsid w:val="64F728D5"/>
    <w:rsid w:val="6513691A"/>
    <w:rsid w:val="651641C9"/>
    <w:rsid w:val="65173519"/>
    <w:rsid w:val="65295CAB"/>
    <w:rsid w:val="65426481"/>
    <w:rsid w:val="657049D2"/>
    <w:rsid w:val="65711400"/>
    <w:rsid w:val="657A6A22"/>
    <w:rsid w:val="657D21FF"/>
    <w:rsid w:val="65870C23"/>
    <w:rsid w:val="65875458"/>
    <w:rsid w:val="658904F7"/>
    <w:rsid w:val="6591290B"/>
    <w:rsid w:val="659C51A1"/>
    <w:rsid w:val="659D508A"/>
    <w:rsid w:val="65BD3CE7"/>
    <w:rsid w:val="65E16585"/>
    <w:rsid w:val="65E21B63"/>
    <w:rsid w:val="65E6592A"/>
    <w:rsid w:val="65E93451"/>
    <w:rsid w:val="65EC3BB8"/>
    <w:rsid w:val="65EE2A50"/>
    <w:rsid w:val="65F4293E"/>
    <w:rsid w:val="65F71905"/>
    <w:rsid w:val="65FC516D"/>
    <w:rsid w:val="65FC7FFD"/>
    <w:rsid w:val="65FF605F"/>
    <w:rsid w:val="66091638"/>
    <w:rsid w:val="660F5F33"/>
    <w:rsid w:val="66154DA9"/>
    <w:rsid w:val="661E48F9"/>
    <w:rsid w:val="66246472"/>
    <w:rsid w:val="662A2DCE"/>
    <w:rsid w:val="662E541A"/>
    <w:rsid w:val="662F296E"/>
    <w:rsid w:val="66320B8F"/>
    <w:rsid w:val="66362D25"/>
    <w:rsid w:val="663A3EE7"/>
    <w:rsid w:val="663B23F4"/>
    <w:rsid w:val="663C3275"/>
    <w:rsid w:val="663D12E2"/>
    <w:rsid w:val="66413EAD"/>
    <w:rsid w:val="66490FDC"/>
    <w:rsid w:val="66503810"/>
    <w:rsid w:val="66555EDF"/>
    <w:rsid w:val="665777F9"/>
    <w:rsid w:val="66652862"/>
    <w:rsid w:val="667239F8"/>
    <w:rsid w:val="667C2102"/>
    <w:rsid w:val="667F4267"/>
    <w:rsid w:val="66884460"/>
    <w:rsid w:val="6698362A"/>
    <w:rsid w:val="66A0076C"/>
    <w:rsid w:val="66A75B12"/>
    <w:rsid w:val="66AB4480"/>
    <w:rsid w:val="66BC66AA"/>
    <w:rsid w:val="66C537B1"/>
    <w:rsid w:val="66C71671"/>
    <w:rsid w:val="66DA57BF"/>
    <w:rsid w:val="66E229A8"/>
    <w:rsid w:val="66E70059"/>
    <w:rsid w:val="66E75E31"/>
    <w:rsid w:val="66ED5DE6"/>
    <w:rsid w:val="66FB7F14"/>
    <w:rsid w:val="67090533"/>
    <w:rsid w:val="670E6D38"/>
    <w:rsid w:val="67142208"/>
    <w:rsid w:val="67172593"/>
    <w:rsid w:val="671868DB"/>
    <w:rsid w:val="6719585F"/>
    <w:rsid w:val="671A724E"/>
    <w:rsid w:val="672A7AB8"/>
    <w:rsid w:val="67351635"/>
    <w:rsid w:val="675237A4"/>
    <w:rsid w:val="67601121"/>
    <w:rsid w:val="6760797E"/>
    <w:rsid w:val="677218E4"/>
    <w:rsid w:val="67923912"/>
    <w:rsid w:val="679A69EC"/>
    <w:rsid w:val="679E2FBD"/>
    <w:rsid w:val="679F2DEE"/>
    <w:rsid w:val="67A61B38"/>
    <w:rsid w:val="67A67F21"/>
    <w:rsid w:val="67A700E1"/>
    <w:rsid w:val="67B0377C"/>
    <w:rsid w:val="67B55E60"/>
    <w:rsid w:val="67C248FD"/>
    <w:rsid w:val="67CA1B05"/>
    <w:rsid w:val="67EA2533"/>
    <w:rsid w:val="67EB3C17"/>
    <w:rsid w:val="67EE31DB"/>
    <w:rsid w:val="67EF02A9"/>
    <w:rsid w:val="67F05B41"/>
    <w:rsid w:val="67FB1A94"/>
    <w:rsid w:val="67FC44E7"/>
    <w:rsid w:val="67FF0F45"/>
    <w:rsid w:val="680203FF"/>
    <w:rsid w:val="68133A7A"/>
    <w:rsid w:val="68161920"/>
    <w:rsid w:val="6817003C"/>
    <w:rsid w:val="681F180F"/>
    <w:rsid w:val="6824015A"/>
    <w:rsid w:val="68272B82"/>
    <w:rsid w:val="6832311B"/>
    <w:rsid w:val="683D4A7A"/>
    <w:rsid w:val="683D4DCE"/>
    <w:rsid w:val="684265A9"/>
    <w:rsid w:val="6843583A"/>
    <w:rsid w:val="68437083"/>
    <w:rsid w:val="68444BA9"/>
    <w:rsid w:val="68455962"/>
    <w:rsid w:val="68471CFA"/>
    <w:rsid w:val="684E052E"/>
    <w:rsid w:val="684E25C4"/>
    <w:rsid w:val="685643E1"/>
    <w:rsid w:val="6858637B"/>
    <w:rsid w:val="68594929"/>
    <w:rsid w:val="686D4D23"/>
    <w:rsid w:val="68702277"/>
    <w:rsid w:val="68753642"/>
    <w:rsid w:val="688974A8"/>
    <w:rsid w:val="68931CD5"/>
    <w:rsid w:val="68936434"/>
    <w:rsid w:val="689A6B90"/>
    <w:rsid w:val="68A33B0C"/>
    <w:rsid w:val="68B8164F"/>
    <w:rsid w:val="68B9594A"/>
    <w:rsid w:val="68D661BE"/>
    <w:rsid w:val="68DB4126"/>
    <w:rsid w:val="68E34AC6"/>
    <w:rsid w:val="68E56BBE"/>
    <w:rsid w:val="68EF4209"/>
    <w:rsid w:val="68FA08FF"/>
    <w:rsid w:val="68FE744E"/>
    <w:rsid w:val="690523FE"/>
    <w:rsid w:val="690A656D"/>
    <w:rsid w:val="6911105D"/>
    <w:rsid w:val="69117A34"/>
    <w:rsid w:val="6916655A"/>
    <w:rsid w:val="691935FF"/>
    <w:rsid w:val="691B0000"/>
    <w:rsid w:val="69227F89"/>
    <w:rsid w:val="69277146"/>
    <w:rsid w:val="693764BC"/>
    <w:rsid w:val="69381564"/>
    <w:rsid w:val="693E2568"/>
    <w:rsid w:val="69594A47"/>
    <w:rsid w:val="695E1C9B"/>
    <w:rsid w:val="696F6D2D"/>
    <w:rsid w:val="69777C6C"/>
    <w:rsid w:val="698600A5"/>
    <w:rsid w:val="699F3D19"/>
    <w:rsid w:val="699F5A0A"/>
    <w:rsid w:val="69A04061"/>
    <w:rsid w:val="69A37450"/>
    <w:rsid w:val="69AF594B"/>
    <w:rsid w:val="69B04C83"/>
    <w:rsid w:val="69B960E8"/>
    <w:rsid w:val="69BC044F"/>
    <w:rsid w:val="69BF520A"/>
    <w:rsid w:val="69C77FE8"/>
    <w:rsid w:val="69CE59BB"/>
    <w:rsid w:val="69DF5C48"/>
    <w:rsid w:val="69E24846"/>
    <w:rsid w:val="69F90ABF"/>
    <w:rsid w:val="6A0D2B94"/>
    <w:rsid w:val="6A10568B"/>
    <w:rsid w:val="6A1A62CD"/>
    <w:rsid w:val="6A1C0E4B"/>
    <w:rsid w:val="6A2140B2"/>
    <w:rsid w:val="6A2F23AB"/>
    <w:rsid w:val="6A3C67A6"/>
    <w:rsid w:val="6A405DAE"/>
    <w:rsid w:val="6A472B90"/>
    <w:rsid w:val="6A5006F6"/>
    <w:rsid w:val="6A553A32"/>
    <w:rsid w:val="6A560DAC"/>
    <w:rsid w:val="6A6432E1"/>
    <w:rsid w:val="6A663538"/>
    <w:rsid w:val="6A8D304D"/>
    <w:rsid w:val="6A8E5EDF"/>
    <w:rsid w:val="6A994787"/>
    <w:rsid w:val="6AA033E6"/>
    <w:rsid w:val="6AA803C3"/>
    <w:rsid w:val="6AAC355D"/>
    <w:rsid w:val="6AAD49C9"/>
    <w:rsid w:val="6AAD5F0E"/>
    <w:rsid w:val="6AB3597F"/>
    <w:rsid w:val="6AB62A0E"/>
    <w:rsid w:val="6ABF6E0B"/>
    <w:rsid w:val="6AC12A16"/>
    <w:rsid w:val="6AD10D9A"/>
    <w:rsid w:val="6AE70210"/>
    <w:rsid w:val="6AEB2A78"/>
    <w:rsid w:val="6AF0332D"/>
    <w:rsid w:val="6B00125C"/>
    <w:rsid w:val="6B0D5727"/>
    <w:rsid w:val="6B106C62"/>
    <w:rsid w:val="6B106FC5"/>
    <w:rsid w:val="6B1533AD"/>
    <w:rsid w:val="6B16771A"/>
    <w:rsid w:val="6B17611C"/>
    <w:rsid w:val="6B197A81"/>
    <w:rsid w:val="6B1F11E2"/>
    <w:rsid w:val="6B325BF7"/>
    <w:rsid w:val="6B3A429E"/>
    <w:rsid w:val="6B3A697D"/>
    <w:rsid w:val="6B3B484B"/>
    <w:rsid w:val="6B3C3C68"/>
    <w:rsid w:val="6B42603A"/>
    <w:rsid w:val="6B431030"/>
    <w:rsid w:val="6B436A8D"/>
    <w:rsid w:val="6B4E5778"/>
    <w:rsid w:val="6B58613A"/>
    <w:rsid w:val="6B607E5C"/>
    <w:rsid w:val="6B684B2B"/>
    <w:rsid w:val="6B756B41"/>
    <w:rsid w:val="6B782B8D"/>
    <w:rsid w:val="6B7A412B"/>
    <w:rsid w:val="6B98412E"/>
    <w:rsid w:val="6BA81FC6"/>
    <w:rsid w:val="6BA972A1"/>
    <w:rsid w:val="6BBB3BA0"/>
    <w:rsid w:val="6BCB1032"/>
    <w:rsid w:val="6BCD6965"/>
    <w:rsid w:val="6BD16ED3"/>
    <w:rsid w:val="6BD275B7"/>
    <w:rsid w:val="6BDD7E70"/>
    <w:rsid w:val="6BEA6C23"/>
    <w:rsid w:val="6BF80185"/>
    <w:rsid w:val="6BFC1155"/>
    <w:rsid w:val="6C043D76"/>
    <w:rsid w:val="6C054650"/>
    <w:rsid w:val="6C0601F1"/>
    <w:rsid w:val="6C075B03"/>
    <w:rsid w:val="6C0D5B92"/>
    <w:rsid w:val="6C112B24"/>
    <w:rsid w:val="6C164AAF"/>
    <w:rsid w:val="6C3F24CA"/>
    <w:rsid w:val="6C4130C1"/>
    <w:rsid w:val="6C4C4A8D"/>
    <w:rsid w:val="6C5147F6"/>
    <w:rsid w:val="6C5527E5"/>
    <w:rsid w:val="6C553EED"/>
    <w:rsid w:val="6C5B406F"/>
    <w:rsid w:val="6C6058A7"/>
    <w:rsid w:val="6C683B9C"/>
    <w:rsid w:val="6C697BBF"/>
    <w:rsid w:val="6C6B0957"/>
    <w:rsid w:val="6C6B350B"/>
    <w:rsid w:val="6C7520FA"/>
    <w:rsid w:val="6C802C8A"/>
    <w:rsid w:val="6C8C4686"/>
    <w:rsid w:val="6CB21A56"/>
    <w:rsid w:val="6CB56076"/>
    <w:rsid w:val="6CB86E80"/>
    <w:rsid w:val="6CCA7D73"/>
    <w:rsid w:val="6CD45945"/>
    <w:rsid w:val="6CDA60C2"/>
    <w:rsid w:val="6CDC3602"/>
    <w:rsid w:val="6CDC43E9"/>
    <w:rsid w:val="6CDF25C2"/>
    <w:rsid w:val="6CE80A80"/>
    <w:rsid w:val="6CF245FA"/>
    <w:rsid w:val="6D00090C"/>
    <w:rsid w:val="6D0B3EE8"/>
    <w:rsid w:val="6D165E10"/>
    <w:rsid w:val="6D181281"/>
    <w:rsid w:val="6D2A08D5"/>
    <w:rsid w:val="6D517303"/>
    <w:rsid w:val="6D590593"/>
    <w:rsid w:val="6D5E6497"/>
    <w:rsid w:val="6D5E6EBF"/>
    <w:rsid w:val="6D6209B3"/>
    <w:rsid w:val="6D673814"/>
    <w:rsid w:val="6D6B416B"/>
    <w:rsid w:val="6D6D1B92"/>
    <w:rsid w:val="6D720BA9"/>
    <w:rsid w:val="6D740DA5"/>
    <w:rsid w:val="6D7B16CC"/>
    <w:rsid w:val="6D7C3DDB"/>
    <w:rsid w:val="6D8C327A"/>
    <w:rsid w:val="6D8E6624"/>
    <w:rsid w:val="6DA01445"/>
    <w:rsid w:val="6DB04CB2"/>
    <w:rsid w:val="6DB4178C"/>
    <w:rsid w:val="6DC03450"/>
    <w:rsid w:val="6DDE4298"/>
    <w:rsid w:val="6DE91B45"/>
    <w:rsid w:val="6DF61D70"/>
    <w:rsid w:val="6DF7425E"/>
    <w:rsid w:val="6DFA03C4"/>
    <w:rsid w:val="6E076D34"/>
    <w:rsid w:val="6E096679"/>
    <w:rsid w:val="6E0A1325"/>
    <w:rsid w:val="6E1A7B10"/>
    <w:rsid w:val="6E207B4E"/>
    <w:rsid w:val="6E276AFF"/>
    <w:rsid w:val="6E355FE3"/>
    <w:rsid w:val="6E3D0A6D"/>
    <w:rsid w:val="6E4848D8"/>
    <w:rsid w:val="6E4E22DE"/>
    <w:rsid w:val="6E5C7B73"/>
    <w:rsid w:val="6E757270"/>
    <w:rsid w:val="6E884778"/>
    <w:rsid w:val="6E891A4E"/>
    <w:rsid w:val="6E8A4814"/>
    <w:rsid w:val="6E932533"/>
    <w:rsid w:val="6E940421"/>
    <w:rsid w:val="6E9A4FA5"/>
    <w:rsid w:val="6EA90FDE"/>
    <w:rsid w:val="6EB34837"/>
    <w:rsid w:val="6EB96D3E"/>
    <w:rsid w:val="6EBD1C57"/>
    <w:rsid w:val="6EC151A6"/>
    <w:rsid w:val="6EC30F1E"/>
    <w:rsid w:val="6EC64922"/>
    <w:rsid w:val="6ECB55B8"/>
    <w:rsid w:val="6ED24951"/>
    <w:rsid w:val="6ED43694"/>
    <w:rsid w:val="6ED87E74"/>
    <w:rsid w:val="6EED40D9"/>
    <w:rsid w:val="6EED7DC5"/>
    <w:rsid w:val="6EFA2466"/>
    <w:rsid w:val="6F0B5CC5"/>
    <w:rsid w:val="6F0F3FB5"/>
    <w:rsid w:val="6F1E2296"/>
    <w:rsid w:val="6F23498B"/>
    <w:rsid w:val="6F3659D8"/>
    <w:rsid w:val="6F466612"/>
    <w:rsid w:val="6F5002D8"/>
    <w:rsid w:val="6F5C7A75"/>
    <w:rsid w:val="6F6048FE"/>
    <w:rsid w:val="6F614293"/>
    <w:rsid w:val="6F633146"/>
    <w:rsid w:val="6F655B31"/>
    <w:rsid w:val="6F6C3363"/>
    <w:rsid w:val="6F6C691B"/>
    <w:rsid w:val="6F864031"/>
    <w:rsid w:val="6F9B6305"/>
    <w:rsid w:val="6FB27708"/>
    <w:rsid w:val="6FB478B7"/>
    <w:rsid w:val="6FBF4BFE"/>
    <w:rsid w:val="6FC8448B"/>
    <w:rsid w:val="6FD35191"/>
    <w:rsid w:val="6FD83771"/>
    <w:rsid w:val="6FD900B8"/>
    <w:rsid w:val="6FDE202A"/>
    <w:rsid w:val="6FE43C35"/>
    <w:rsid w:val="6FEA5A1C"/>
    <w:rsid w:val="6FEB253B"/>
    <w:rsid w:val="6FFE09D9"/>
    <w:rsid w:val="70041B6B"/>
    <w:rsid w:val="700E7FC4"/>
    <w:rsid w:val="7012558D"/>
    <w:rsid w:val="701652F1"/>
    <w:rsid w:val="702A2886"/>
    <w:rsid w:val="703674CE"/>
    <w:rsid w:val="703951EF"/>
    <w:rsid w:val="703B0129"/>
    <w:rsid w:val="703C27F4"/>
    <w:rsid w:val="703E6382"/>
    <w:rsid w:val="705F2162"/>
    <w:rsid w:val="70630383"/>
    <w:rsid w:val="70696A50"/>
    <w:rsid w:val="707C7333"/>
    <w:rsid w:val="70866B41"/>
    <w:rsid w:val="709A3F00"/>
    <w:rsid w:val="709F3B54"/>
    <w:rsid w:val="70AB523A"/>
    <w:rsid w:val="70CD23C0"/>
    <w:rsid w:val="70D32B61"/>
    <w:rsid w:val="70D36C12"/>
    <w:rsid w:val="70D85FC1"/>
    <w:rsid w:val="70E231B1"/>
    <w:rsid w:val="70F516CE"/>
    <w:rsid w:val="70F55357"/>
    <w:rsid w:val="710971B5"/>
    <w:rsid w:val="7114113C"/>
    <w:rsid w:val="711C0906"/>
    <w:rsid w:val="71292B19"/>
    <w:rsid w:val="712B2BDC"/>
    <w:rsid w:val="712C10F3"/>
    <w:rsid w:val="713C1844"/>
    <w:rsid w:val="71450BD3"/>
    <w:rsid w:val="7146355D"/>
    <w:rsid w:val="714B6FA9"/>
    <w:rsid w:val="7162419C"/>
    <w:rsid w:val="716A7B93"/>
    <w:rsid w:val="716B31A7"/>
    <w:rsid w:val="718A6801"/>
    <w:rsid w:val="718E6353"/>
    <w:rsid w:val="71AF5213"/>
    <w:rsid w:val="71BB71E6"/>
    <w:rsid w:val="71BE0B36"/>
    <w:rsid w:val="71C54FAD"/>
    <w:rsid w:val="71C81340"/>
    <w:rsid w:val="71C8398B"/>
    <w:rsid w:val="71E34424"/>
    <w:rsid w:val="71EA1030"/>
    <w:rsid w:val="71EE5577"/>
    <w:rsid w:val="71F92EA9"/>
    <w:rsid w:val="71FE1AD4"/>
    <w:rsid w:val="72007BEE"/>
    <w:rsid w:val="720B51B6"/>
    <w:rsid w:val="721E1F6F"/>
    <w:rsid w:val="72234D69"/>
    <w:rsid w:val="722766ED"/>
    <w:rsid w:val="724759C2"/>
    <w:rsid w:val="725D5379"/>
    <w:rsid w:val="726447C6"/>
    <w:rsid w:val="726A1EA4"/>
    <w:rsid w:val="72730565"/>
    <w:rsid w:val="727F12F9"/>
    <w:rsid w:val="728269FA"/>
    <w:rsid w:val="72895D82"/>
    <w:rsid w:val="72945E87"/>
    <w:rsid w:val="72953AC7"/>
    <w:rsid w:val="7296204E"/>
    <w:rsid w:val="72BF4F7D"/>
    <w:rsid w:val="72C15774"/>
    <w:rsid w:val="72CB188C"/>
    <w:rsid w:val="72CF3B0D"/>
    <w:rsid w:val="72EA091E"/>
    <w:rsid w:val="72EB11D1"/>
    <w:rsid w:val="72FB4772"/>
    <w:rsid w:val="72FD24F2"/>
    <w:rsid w:val="73020966"/>
    <w:rsid w:val="730423A2"/>
    <w:rsid w:val="732249A1"/>
    <w:rsid w:val="732950C8"/>
    <w:rsid w:val="732F3313"/>
    <w:rsid w:val="73441807"/>
    <w:rsid w:val="734464A7"/>
    <w:rsid w:val="7346211D"/>
    <w:rsid w:val="7347663E"/>
    <w:rsid w:val="734D3BC8"/>
    <w:rsid w:val="73506918"/>
    <w:rsid w:val="735230D5"/>
    <w:rsid w:val="735465E8"/>
    <w:rsid w:val="73554010"/>
    <w:rsid w:val="73786272"/>
    <w:rsid w:val="737C0FFA"/>
    <w:rsid w:val="739619CC"/>
    <w:rsid w:val="73992B41"/>
    <w:rsid w:val="739C1D3D"/>
    <w:rsid w:val="739E08B8"/>
    <w:rsid w:val="73A111BE"/>
    <w:rsid w:val="73A95B56"/>
    <w:rsid w:val="73BB13AD"/>
    <w:rsid w:val="73BC1C0C"/>
    <w:rsid w:val="73C4268A"/>
    <w:rsid w:val="73CA2CA4"/>
    <w:rsid w:val="73CA314A"/>
    <w:rsid w:val="73CC3327"/>
    <w:rsid w:val="73DB5F43"/>
    <w:rsid w:val="73DE3F69"/>
    <w:rsid w:val="73EF130E"/>
    <w:rsid w:val="73F2319F"/>
    <w:rsid w:val="73FA085C"/>
    <w:rsid w:val="740775BE"/>
    <w:rsid w:val="741A1465"/>
    <w:rsid w:val="743E44FA"/>
    <w:rsid w:val="74453829"/>
    <w:rsid w:val="744A3547"/>
    <w:rsid w:val="74547455"/>
    <w:rsid w:val="74624D35"/>
    <w:rsid w:val="747301B7"/>
    <w:rsid w:val="747D1B6F"/>
    <w:rsid w:val="747F58E7"/>
    <w:rsid w:val="74803981"/>
    <w:rsid w:val="748E671C"/>
    <w:rsid w:val="74922AC0"/>
    <w:rsid w:val="749420F2"/>
    <w:rsid w:val="74A225EF"/>
    <w:rsid w:val="74B45395"/>
    <w:rsid w:val="74C87F16"/>
    <w:rsid w:val="74CB28DA"/>
    <w:rsid w:val="74D04DB6"/>
    <w:rsid w:val="74D90969"/>
    <w:rsid w:val="74DA48CB"/>
    <w:rsid w:val="74E92D60"/>
    <w:rsid w:val="74EC7067"/>
    <w:rsid w:val="74F5194B"/>
    <w:rsid w:val="74F72AF3"/>
    <w:rsid w:val="74F7365D"/>
    <w:rsid w:val="74F87C2C"/>
    <w:rsid w:val="75097D55"/>
    <w:rsid w:val="750A2CD7"/>
    <w:rsid w:val="750A5428"/>
    <w:rsid w:val="751B03B0"/>
    <w:rsid w:val="752124FA"/>
    <w:rsid w:val="752437F8"/>
    <w:rsid w:val="75243D99"/>
    <w:rsid w:val="752A12F1"/>
    <w:rsid w:val="752E0142"/>
    <w:rsid w:val="754378F0"/>
    <w:rsid w:val="75442B0B"/>
    <w:rsid w:val="754430F8"/>
    <w:rsid w:val="75454B54"/>
    <w:rsid w:val="75456373"/>
    <w:rsid w:val="755B7C0B"/>
    <w:rsid w:val="756019C9"/>
    <w:rsid w:val="756659DC"/>
    <w:rsid w:val="756D53EE"/>
    <w:rsid w:val="75705230"/>
    <w:rsid w:val="757D256E"/>
    <w:rsid w:val="757F58D8"/>
    <w:rsid w:val="758C51E5"/>
    <w:rsid w:val="75A03342"/>
    <w:rsid w:val="75AA6994"/>
    <w:rsid w:val="75AF16E6"/>
    <w:rsid w:val="75AF3FAA"/>
    <w:rsid w:val="75BD3566"/>
    <w:rsid w:val="75D10E0C"/>
    <w:rsid w:val="75D4260F"/>
    <w:rsid w:val="75DD0582"/>
    <w:rsid w:val="75EB3CEA"/>
    <w:rsid w:val="75F428A6"/>
    <w:rsid w:val="75F52486"/>
    <w:rsid w:val="76110158"/>
    <w:rsid w:val="76126652"/>
    <w:rsid w:val="76182072"/>
    <w:rsid w:val="761B7D80"/>
    <w:rsid w:val="761C0A74"/>
    <w:rsid w:val="762B0D2A"/>
    <w:rsid w:val="76382F12"/>
    <w:rsid w:val="764F2B2D"/>
    <w:rsid w:val="765C5EC2"/>
    <w:rsid w:val="765D7381"/>
    <w:rsid w:val="766E67FF"/>
    <w:rsid w:val="767E7C63"/>
    <w:rsid w:val="768A39BC"/>
    <w:rsid w:val="768F2D9D"/>
    <w:rsid w:val="76A10C81"/>
    <w:rsid w:val="76AF6C28"/>
    <w:rsid w:val="76B15B00"/>
    <w:rsid w:val="76B57B1A"/>
    <w:rsid w:val="76B62E18"/>
    <w:rsid w:val="76B73919"/>
    <w:rsid w:val="76B8516C"/>
    <w:rsid w:val="76D574BC"/>
    <w:rsid w:val="76DB492B"/>
    <w:rsid w:val="76DC73B5"/>
    <w:rsid w:val="76DD0A13"/>
    <w:rsid w:val="76E81C8A"/>
    <w:rsid w:val="76F8612E"/>
    <w:rsid w:val="77061685"/>
    <w:rsid w:val="770A73B3"/>
    <w:rsid w:val="770C3AED"/>
    <w:rsid w:val="77182CF2"/>
    <w:rsid w:val="77251B93"/>
    <w:rsid w:val="772B318E"/>
    <w:rsid w:val="772B3B04"/>
    <w:rsid w:val="772E5490"/>
    <w:rsid w:val="773B0D91"/>
    <w:rsid w:val="773C7ABF"/>
    <w:rsid w:val="776042C2"/>
    <w:rsid w:val="77633E9B"/>
    <w:rsid w:val="77665300"/>
    <w:rsid w:val="776F6A13"/>
    <w:rsid w:val="7771703D"/>
    <w:rsid w:val="77752FD1"/>
    <w:rsid w:val="777C3A99"/>
    <w:rsid w:val="778A6B73"/>
    <w:rsid w:val="778F321E"/>
    <w:rsid w:val="779A6594"/>
    <w:rsid w:val="77A4357D"/>
    <w:rsid w:val="77AE670B"/>
    <w:rsid w:val="77C11D73"/>
    <w:rsid w:val="77C91286"/>
    <w:rsid w:val="77CB114B"/>
    <w:rsid w:val="77CB1A30"/>
    <w:rsid w:val="77DE1039"/>
    <w:rsid w:val="77E05069"/>
    <w:rsid w:val="77E108A2"/>
    <w:rsid w:val="77F55D5D"/>
    <w:rsid w:val="780138A2"/>
    <w:rsid w:val="780974B2"/>
    <w:rsid w:val="78144598"/>
    <w:rsid w:val="783464A7"/>
    <w:rsid w:val="78423D48"/>
    <w:rsid w:val="78464158"/>
    <w:rsid w:val="785D33E7"/>
    <w:rsid w:val="785D489D"/>
    <w:rsid w:val="78614E88"/>
    <w:rsid w:val="786372CE"/>
    <w:rsid w:val="7866720A"/>
    <w:rsid w:val="78686692"/>
    <w:rsid w:val="786B69AD"/>
    <w:rsid w:val="786C14C2"/>
    <w:rsid w:val="78774B27"/>
    <w:rsid w:val="7877762E"/>
    <w:rsid w:val="787A7E9F"/>
    <w:rsid w:val="788B1F02"/>
    <w:rsid w:val="788E5C50"/>
    <w:rsid w:val="789D458E"/>
    <w:rsid w:val="789E0D65"/>
    <w:rsid w:val="78A76272"/>
    <w:rsid w:val="78A8679B"/>
    <w:rsid w:val="78AC7D6F"/>
    <w:rsid w:val="78B86684"/>
    <w:rsid w:val="78CA2E70"/>
    <w:rsid w:val="78CA2EA9"/>
    <w:rsid w:val="78CD15F4"/>
    <w:rsid w:val="78CF2423"/>
    <w:rsid w:val="78E34B02"/>
    <w:rsid w:val="78E811D1"/>
    <w:rsid w:val="78E96C93"/>
    <w:rsid w:val="78F92AA4"/>
    <w:rsid w:val="78FA0EF3"/>
    <w:rsid w:val="78FA19E0"/>
    <w:rsid w:val="78FA7D70"/>
    <w:rsid w:val="78FD03CE"/>
    <w:rsid w:val="790A7005"/>
    <w:rsid w:val="790F5FD1"/>
    <w:rsid w:val="791B040F"/>
    <w:rsid w:val="791F3A81"/>
    <w:rsid w:val="79254583"/>
    <w:rsid w:val="793228FA"/>
    <w:rsid w:val="793B7250"/>
    <w:rsid w:val="793C51B2"/>
    <w:rsid w:val="79464C25"/>
    <w:rsid w:val="794F0D9D"/>
    <w:rsid w:val="794F5DED"/>
    <w:rsid w:val="79517126"/>
    <w:rsid w:val="7954485D"/>
    <w:rsid w:val="795542EC"/>
    <w:rsid w:val="79561AC8"/>
    <w:rsid w:val="795D3771"/>
    <w:rsid w:val="79681A30"/>
    <w:rsid w:val="79733540"/>
    <w:rsid w:val="79782905"/>
    <w:rsid w:val="79844921"/>
    <w:rsid w:val="798E2A40"/>
    <w:rsid w:val="799460F3"/>
    <w:rsid w:val="79B43898"/>
    <w:rsid w:val="79C616A5"/>
    <w:rsid w:val="79D42231"/>
    <w:rsid w:val="79DD09BA"/>
    <w:rsid w:val="79E47F9A"/>
    <w:rsid w:val="79F53FAD"/>
    <w:rsid w:val="7A020420"/>
    <w:rsid w:val="7A070175"/>
    <w:rsid w:val="7A1A0752"/>
    <w:rsid w:val="7A2B2B3C"/>
    <w:rsid w:val="7A401675"/>
    <w:rsid w:val="7A4602B8"/>
    <w:rsid w:val="7A505DAD"/>
    <w:rsid w:val="7A637111"/>
    <w:rsid w:val="7A6A1AB9"/>
    <w:rsid w:val="7A6A78DB"/>
    <w:rsid w:val="7A710BA7"/>
    <w:rsid w:val="7A754286"/>
    <w:rsid w:val="7A807F4C"/>
    <w:rsid w:val="7A8378C2"/>
    <w:rsid w:val="7A88301C"/>
    <w:rsid w:val="7A8D62FA"/>
    <w:rsid w:val="7AA833A4"/>
    <w:rsid w:val="7AAF67FA"/>
    <w:rsid w:val="7ABB3F96"/>
    <w:rsid w:val="7ABC24D7"/>
    <w:rsid w:val="7ABF6014"/>
    <w:rsid w:val="7ACF47A6"/>
    <w:rsid w:val="7ADD519D"/>
    <w:rsid w:val="7AEC4D72"/>
    <w:rsid w:val="7AF65D6A"/>
    <w:rsid w:val="7AF7106B"/>
    <w:rsid w:val="7AFF62DC"/>
    <w:rsid w:val="7AFF67A2"/>
    <w:rsid w:val="7B05660A"/>
    <w:rsid w:val="7B1165E0"/>
    <w:rsid w:val="7B2B077A"/>
    <w:rsid w:val="7B3311D9"/>
    <w:rsid w:val="7B396B7D"/>
    <w:rsid w:val="7B3D4B20"/>
    <w:rsid w:val="7B537186"/>
    <w:rsid w:val="7B581AC3"/>
    <w:rsid w:val="7B6B5B27"/>
    <w:rsid w:val="7B713AB0"/>
    <w:rsid w:val="7B7D06A6"/>
    <w:rsid w:val="7B831689"/>
    <w:rsid w:val="7B903899"/>
    <w:rsid w:val="7B952505"/>
    <w:rsid w:val="7BA9512D"/>
    <w:rsid w:val="7BC254CF"/>
    <w:rsid w:val="7BC26C10"/>
    <w:rsid w:val="7BE00B87"/>
    <w:rsid w:val="7BEC12EC"/>
    <w:rsid w:val="7BED75E5"/>
    <w:rsid w:val="7BEE728A"/>
    <w:rsid w:val="7BEF3120"/>
    <w:rsid w:val="7BEFF81C"/>
    <w:rsid w:val="7BF96898"/>
    <w:rsid w:val="7C0051D3"/>
    <w:rsid w:val="7C021BFF"/>
    <w:rsid w:val="7C0972AA"/>
    <w:rsid w:val="7C0B3F04"/>
    <w:rsid w:val="7C1B3D98"/>
    <w:rsid w:val="7C246D74"/>
    <w:rsid w:val="7C377F58"/>
    <w:rsid w:val="7C4C264F"/>
    <w:rsid w:val="7C53272D"/>
    <w:rsid w:val="7C655B98"/>
    <w:rsid w:val="7C687DAB"/>
    <w:rsid w:val="7C691019"/>
    <w:rsid w:val="7C760E26"/>
    <w:rsid w:val="7C97070F"/>
    <w:rsid w:val="7C9D177F"/>
    <w:rsid w:val="7C9F2371"/>
    <w:rsid w:val="7CA7192E"/>
    <w:rsid w:val="7CB34B68"/>
    <w:rsid w:val="7CB46824"/>
    <w:rsid w:val="7CCC021E"/>
    <w:rsid w:val="7CCE4FF6"/>
    <w:rsid w:val="7CD2057E"/>
    <w:rsid w:val="7CD4792B"/>
    <w:rsid w:val="7CD940D7"/>
    <w:rsid w:val="7CDE1088"/>
    <w:rsid w:val="7CEA7E2C"/>
    <w:rsid w:val="7CF3248A"/>
    <w:rsid w:val="7CF32E54"/>
    <w:rsid w:val="7D0042EC"/>
    <w:rsid w:val="7D0F49D7"/>
    <w:rsid w:val="7D1053DC"/>
    <w:rsid w:val="7D126987"/>
    <w:rsid w:val="7D180687"/>
    <w:rsid w:val="7D1965EB"/>
    <w:rsid w:val="7D1D6273"/>
    <w:rsid w:val="7D281EBD"/>
    <w:rsid w:val="7D2C0EF9"/>
    <w:rsid w:val="7D2D66F6"/>
    <w:rsid w:val="7D3E1060"/>
    <w:rsid w:val="7D4B43A1"/>
    <w:rsid w:val="7D6C5449"/>
    <w:rsid w:val="7D751B04"/>
    <w:rsid w:val="7D7B492C"/>
    <w:rsid w:val="7D8A1BBB"/>
    <w:rsid w:val="7DA15DA2"/>
    <w:rsid w:val="7DAE456B"/>
    <w:rsid w:val="7DAF3575"/>
    <w:rsid w:val="7DB87774"/>
    <w:rsid w:val="7DCB56F9"/>
    <w:rsid w:val="7DCE4DF6"/>
    <w:rsid w:val="7DDC0914"/>
    <w:rsid w:val="7DE33C3D"/>
    <w:rsid w:val="7DEC58BF"/>
    <w:rsid w:val="7DF03033"/>
    <w:rsid w:val="7E0470FA"/>
    <w:rsid w:val="7E163E97"/>
    <w:rsid w:val="7E1739A0"/>
    <w:rsid w:val="7E1B24C9"/>
    <w:rsid w:val="7E1C4C96"/>
    <w:rsid w:val="7E244BDB"/>
    <w:rsid w:val="7E251AE0"/>
    <w:rsid w:val="7E293579"/>
    <w:rsid w:val="7E2B3DA2"/>
    <w:rsid w:val="7E3C190F"/>
    <w:rsid w:val="7E5020A2"/>
    <w:rsid w:val="7E5A648D"/>
    <w:rsid w:val="7E5F4740"/>
    <w:rsid w:val="7E6401F6"/>
    <w:rsid w:val="7E663305"/>
    <w:rsid w:val="7E6D055E"/>
    <w:rsid w:val="7E6F077A"/>
    <w:rsid w:val="7E7074A7"/>
    <w:rsid w:val="7E720703"/>
    <w:rsid w:val="7E751B09"/>
    <w:rsid w:val="7E757ABD"/>
    <w:rsid w:val="7E8104AE"/>
    <w:rsid w:val="7E87442F"/>
    <w:rsid w:val="7E996E25"/>
    <w:rsid w:val="7E9F76F2"/>
    <w:rsid w:val="7EA12A16"/>
    <w:rsid w:val="7EA339B2"/>
    <w:rsid w:val="7EA94FED"/>
    <w:rsid w:val="7EBD3942"/>
    <w:rsid w:val="7ECD225B"/>
    <w:rsid w:val="7ED17B3E"/>
    <w:rsid w:val="7EDF04BA"/>
    <w:rsid w:val="7EE23801"/>
    <w:rsid w:val="7EE50A3C"/>
    <w:rsid w:val="7EF300D6"/>
    <w:rsid w:val="7EF63574"/>
    <w:rsid w:val="7EF73380"/>
    <w:rsid w:val="7EFF74C5"/>
    <w:rsid w:val="7F1C1F84"/>
    <w:rsid w:val="7F1EC1CF"/>
    <w:rsid w:val="7F3207CA"/>
    <w:rsid w:val="7F5A27DA"/>
    <w:rsid w:val="7F5B7CB9"/>
    <w:rsid w:val="7F663065"/>
    <w:rsid w:val="7F6B1BAD"/>
    <w:rsid w:val="7F701B3E"/>
    <w:rsid w:val="7F783734"/>
    <w:rsid w:val="7F7D5708"/>
    <w:rsid w:val="7F8832D3"/>
    <w:rsid w:val="7F911DDB"/>
    <w:rsid w:val="7F9A7290"/>
    <w:rsid w:val="7FAD6F33"/>
    <w:rsid w:val="7FB02E22"/>
    <w:rsid w:val="7FC00703"/>
    <w:rsid w:val="7FD73216"/>
    <w:rsid w:val="7FD76069"/>
    <w:rsid w:val="7FE117F7"/>
    <w:rsid w:val="7FE57A5D"/>
    <w:rsid w:val="AB7E4BDD"/>
    <w:rsid w:val="B9391AD9"/>
    <w:rsid w:val="BDDDAB8D"/>
    <w:rsid w:val="FBDF351C"/>
    <w:rsid w:val="FFDB31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iPriority="0" w:semiHidden="0" w:name="toc 3"/>
    <w:lsdException w:qFormat="1" w:unhideWhenUsed="0" w:uiPriority="0" w:semiHidden="0" w:name="toc 4"/>
    <w:lsdException w:uiPriority="0" w:name="toc 5"/>
    <w:lsdException w:qFormat="1" w:uiPriority="39" w:semiHidden="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iPriority="0" w:semiHidden="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qFormat="1" w:unhideWhenUsed="0" w:uiPriority="99"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500" w:lineRule="exact"/>
      <w:ind w:firstLine="360" w:firstLineChars="200"/>
      <w:jc w:val="both"/>
    </w:pPr>
    <w:rPr>
      <w:rFonts w:ascii="Times New Roman" w:hAnsi="Times New Roman" w:eastAsia="宋体" w:cstheme="minorBidi"/>
      <w:kern w:val="2"/>
      <w:sz w:val="24"/>
      <w:szCs w:val="24"/>
      <w:lang w:val="en-US" w:eastAsia="zh-CN" w:bidi="ar-SA"/>
    </w:rPr>
  </w:style>
  <w:style w:type="paragraph" w:styleId="9">
    <w:name w:val="heading 1"/>
    <w:basedOn w:val="1"/>
    <w:next w:val="1"/>
    <w:link w:val="108"/>
    <w:autoRedefine/>
    <w:qFormat/>
    <w:uiPriority w:val="0"/>
    <w:pPr>
      <w:keepNext/>
      <w:numPr>
        <w:ilvl w:val="0"/>
        <w:numId w:val="1"/>
      </w:numPr>
      <w:tabs>
        <w:tab w:val="left" w:pos="480"/>
      </w:tabs>
      <w:spacing w:beforeLines="100" w:afterLines="100" w:line="240" w:lineRule="auto"/>
      <w:ind w:firstLineChars="0"/>
      <w:jc w:val="center"/>
      <w:outlineLvl w:val="0"/>
    </w:pPr>
    <w:rPr>
      <w:b/>
      <w:sz w:val="36"/>
      <w:szCs w:val="20"/>
    </w:rPr>
  </w:style>
  <w:style w:type="paragraph" w:styleId="10">
    <w:name w:val="heading 2"/>
    <w:basedOn w:val="1"/>
    <w:next w:val="1"/>
    <w:link w:val="70"/>
    <w:autoRedefine/>
    <w:unhideWhenUsed/>
    <w:qFormat/>
    <w:uiPriority w:val="0"/>
    <w:pPr>
      <w:keepNext/>
      <w:keepLines/>
      <w:numPr>
        <w:ilvl w:val="1"/>
        <w:numId w:val="1"/>
      </w:numPr>
      <w:tabs>
        <w:tab w:val="left" w:pos="480"/>
      </w:tabs>
      <w:spacing w:beforeLines="50" w:afterLines="50" w:line="240" w:lineRule="auto"/>
      <w:ind w:firstLineChars="0"/>
      <w:jc w:val="center"/>
      <w:outlineLvl w:val="1"/>
    </w:pPr>
    <w:rPr>
      <w:rFonts w:ascii="Arial" w:hAnsi="Arial"/>
      <w:bCs/>
      <w:sz w:val="30"/>
      <w:szCs w:val="32"/>
    </w:rPr>
  </w:style>
  <w:style w:type="paragraph" w:styleId="11">
    <w:name w:val="heading 3"/>
    <w:basedOn w:val="1"/>
    <w:next w:val="1"/>
    <w:link w:val="87"/>
    <w:autoRedefine/>
    <w:unhideWhenUsed/>
    <w:qFormat/>
    <w:uiPriority w:val="0"/>
    <w:pPr>
      <w:numPr>
        <w:ilvl w:val="2"/>
        <w:numId w:val="1"/>
      </w:numPr>
      <w:tabs>
        <w:tab w:val="left" w:pos="2651"/>
      </w:tabs>
      <w:ind w:firstLineChars="0"/>
      <w:jc w:val="left"/>
      <w:outlineLvl w:val="2"/>
    </w:pPr>
    <w:rPr>
      <w:rFonts w:ascii="仿宋_GB2312" w:hAnsi="仿宋_GB2312"/>
      <w:b/>
      <w:kern w:val="0"/>
      <w:sz w:val="28"/>
      <w:szCs w:val="20"/>
    </w:rPr>
  </w:style>
  <w:style w:type="paragraph" w:styleId="12">
    <w:name w:val="heading 4"/>
    <w:basedOn w:val="1"/>
    <w:next w:val="1"/>
    <w:autoRedefine/>
    <w:unhideWhenUsed/>
    <w:qFormat/>
    <w:uiPriority w:val="0"/>
    <w:pPr>
      <w:keepNext/>
      <w:keepLines/>
      <w:numPr>
        <w:ilvl w:val="3"/>
        <w:numId w:val="1"/>
      </w:numPr>
      <w:spacing w:line="372" w:lineRule="auto"/>
      <w:ind w:firstLineChars="0"/>
      <w:outlineLvl w:val="3"/>
    </w:pPr>
    <w:rPr>
      <w:rFonts w:ascii="Arial" w:hAnsi="Arial" w:eastAsia="黑体"/>
      <w:b/>
      <w:sz w:val="28"/>
    </w:rPr>
  </w:style>
  <w:style w:type="paragraph" w:styleId="13">
    <w:name w:val="heading 5"/>
    <w:basedOn w:val="1"/>
    <w:next w:val="1"/>
    <w:autoRedefine/>
    <w:unhideWhenUsed/>
    <w:qFormat/>
    <w:uiPriority w:val="0"/>
    <w:pPr>
      <w:keepNext/>
      <w:keepLines/>
      <w:numPr>
        <w:ilvl w:val="4"/>
        <w:numId w:val="1"/>
      </w:numPr>
      <w:spacing w:line="372" w:lineRule="auto"/>
      <w:ind w:firstLineChars="0"/>
      <w:outlineLvl w:val="4"/>
    </w:pPr>
    <w:rPr>
      <w:b/>
      <w:sz w:val="28"/>
    </w:rPr>
  </w:style>
  <w:style w:type="paragraph" w:styleId="14">
    <w:name w:val="heading 6"/>
    <w:basedOn w:val="1"/>
    <w:next w:val="1"/>
    <w:autoRedefine/>
    <w:qFormat/>
    <w:uiPriority w:val="0"/>
    <w:pPr>
      <w:keepNext/>
      <w:keepLines/>
      <w:widowControl/>
      <w:numPr>
        <w:ilvl w:val="5"/>
        <w:numId w:val="1"/>
      </w:numPr>
      <w:tabs>
        <w:tab w:val="left" w:pos="1440"/>
      </w:tabs>
      <w:spacing w:before="240" w:after="64" w:line="317" w:lineRule="auto"/>
      <w:ind w:firstLineChars="0"/>
      <w:jc w:val="left"/>
      <w:outlineLvl w:val="5"/>
    </w:pPr>
    <w:rPr>
      <w:rFonts w:ascii="Arial" w:hAnsi="Arial" w:eastAsia="黑体"/>
      <w:b/>
      <w:kern w:val="0"/>
      <w:szCs w:val="20"/>
    </w:rPr>
  </w:style>
  <w:style w:type="paragraph" w:styleId="15">
    <w:name w:val="heading 7"/>
    <w:basedOn w:val="1"/>
    <w:next w:val="1"/>
    <w:autoRedefine/>
    <w:semiHidden/>
    <w:unhideWhenUsed/>
    <w:qFormat/>
    <w:uiPriority w:val="0"/>
    <w:pPr>
      <w:keepNext/>
      <w:keepLines/>
      <w:numPr>
        <w:ilvl w:val="6"/>
        <w:numId w:val="1"/>
      </w:numPr>
      <w:spacing w:before="240" w:after="64" w:line="317" w:lineRule="auto"/>
      <w:ind w:firstLineChars="0"/>
      <w:outlineLvl w:val="6"/>
    </w:pPr>
    <w:rPr>
      <w:b/>
    </w:rPr>
  </w:style>
  <w:style w:type="paragraph" w:styleId="16">
    <w:name w:val="heading 8"/>
    <w:basedOn w:val="1"/>
    <w:next w:val="1"/>
    <w:autoRedefine/>
    <w:semiHidden/>
    <w:unhideWhenUsed/>
    <w:qFormat/>
    <w:uiPriority w:val="0"/>
    <w:pPr>
      <w:keepNext/>
      <w:keepLines/>
      <w:numPr>
        <w:ilvl w:val="7"/>
        <w:numId w:val="1"/>
      </w:numPr>
      <w:spacing w:before="240" w:after="64" w:line="317" w:lineRule="auto"/>
      <w:ind w:firstLineChars="0"/>
      <w:outlineLvl w:val="7"/>
    </w:pPr>
    <w:rPr>
      <w:rFonts w:ascii="Arial" w:hAnsi="Arial" w:eastAsia="黑体"/>
    </w:rPr>
  </w:style>
  <w:style w:type="paragraph" w:styleId="17">
    <w:name w:val="heading 9"/>
    <w:basedOn w:val="1"/>
    <w:next w:val="1"/>
    <w:autoRedefine/>
    <w:semiHidden/>
    <w:unhideWhenUsed/>
    <w:qFormat/>
    <w:uiPriority w:val="0"/>
    <w:pPr>
      <w:keepNext/>
      <w:keepLines/>
      <w:numPr>
        <w:ilvl w:val="8"/>
        <w:numId w:val="1"/>
      </w:numPr>
      <w:spacing w:before="240" w:after="64" w:line="317" w:lineRule="auto"/>
      <w:ind w:firstLineChars="0"/>
      <w:outlineLvl w:val="8"/>
    </w:pPr>
    <w:rPr>
      <w:rFonts w:ascii="Arial" w:hAnsi="Arial" w:eastAsia="黑体"/>
      <w:sz w:val="21"/>
    </w:rPr>
  </w:style>
  <w:style w:type="character" w:default="1" w:styleId="43">
    <w:name w:val="Default Paragraph Font"/>
    <w:autoRedefine/>
    <w:semiHidden/>
    <w:unhideWhenUsed/>
    <w:qFormat/>
    <w:uiPriority w:val="1"/>
  </w:style>
  <w:style w:type="table" w:default="1" w:styleId="41">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3"/>
    <w:link w:val="59"/>
    <w:autoRedefine/>
    <w:qFormat/>
    <w:uiPriority w:val="0"/>
    <w:pPr>
      <w:jc w:val="left"/>
    </w:pPr>
    <w:rPr>
      <w:bCs/>
    </w:rPr>
  </w:style>
  <w:style w:type="paragraph" w:customStyle="1" w:styleId="3">
    <w:name w:val="样式 表格正文 + 两端对齐"/>
    <w:basedOn w:val="1"/>
    <w:next w:val="4"/>
    <w:autoRedefine/>
    <w:qFormat/>
    <w:uiPriority w:val="0"/>
    <w:pPr>
      <w:spacing w:line="300" w:lineRule="auto"/>
      <w:ind w:firstLine="0"/>
    </w:pPr>
  </w:style>
  <w:style w:type="paragraph" w:customStyle="1" w:styleId="4">
    <w:name w:val="正文1"/>
    <w:basedOn w:val="5"/>
    <w:next w:val="6"/>
    <w:autoRedefine/>
    <w:qFormat/>
    <w:uiPriority w:val="0"/>
    <w:pPr>
      <w:widowControl/>
      <w:snapToGrid w:val="0"/>
      <w:ind w:firstLine="567"/>
    </w:pPr>
    <w:rPr>
      <w:rFonts w:ascii="楷体_GB2312" w:eastAsia="楷体_GB2312"/>
      <w:kern w:val="0"/>
      <w:sz w:val="28"/>
      <w:szCs w:val="20"/>
    </w:rPr>
  </w:style>
  <w:style w:type="paragraph" w:styleId="5">
    <w:name w:val="toc 3"/>
    <w:basedOn w:val="1"/>
    <w:next w:val="1"/>
    <w:autoRedefine/>
    <w:unhideWhenUsed/>
    <w:qFormat/>
    <w:uiPriority w:val="0"/>
    <w:pPr>
      <w:ind w:left="840" w:leftChars="400"/>
    </w:pPr>
  </w:style>
  <w:style w:type="paragraph" w:customStyle="1" w:styleId="6">
    <w:name w:val="自动更正"/>
    <w:next w:val="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
    <w:name w:val="xl39"/>
    <w:basedOn w:val="1"/>
    <w:next w:val="8"/>
    <w:autoRedefine/>
    <w:qFormat/>
    <w:uiPriority w:val="0"/>
    <w:pPr>
      <w:widowControl/>
      <w:pBdr>
        <w:top w:val="single" w:color="auto" w:sz="4" w:space="0"/>
        <w:bottom w:val="single" w:color="auto" w:sz="4" w:space="0"/>
        <w:right w:val="single" w:color="auto" w:sz="4" w:space="0"/>
      </w:pBdr>
      <w:spacing w:before="100" w:after="100"/>
      <w:jc w:val="left"/>
      <w:textAlignment w:val="center"/>
    </w:pPr>
    <w:rPr>
      <w:kern w:val="0"/>
      <w:szCs w:val="20"/>
    </w:rPr>
  </w:style>
  <w:style w:type="paragraph" w:customStyle="1" w:styleId="8">
    <w:name w:val="分手多日，近况如何？"/>
    <w:next w:val="1"/>
    <w:autoRedefine/>
    <w:qFormat/>
    <w:uiPriority w:val="0"/>
    <w:pPr>
      <w:widowControl w:val="0"/>
      <w:jc w:val="both"/>
    </w:pPr>
    <w:rPr>
      <w:rFonts w:ascii="Times New Roman" w:hAnsi="Times New Roman" w:eastAsia="宋体" w:cs="Times New Roman"/>
      <w:sz w:val="21"/>
      <w:lang w:val="en-US" w:eastAsia="zh-CN" w:bidi="ar-SA"/>
    </w:rPr>
  </w:style>
  <w:style w:type="paragraph" w:styleId="18">
    <w:name w:val="Normal Indent"/>
    <w:basedOn w:val="1"/>
    <w:autoRedefine/>
    <w:qFormat/>
    <w:uiPriority w:val="0"/>
    <w:pPr>
      <w:ind w:firstLine="420"/>
    </w:pPr>
    <w:rPr>
      <w:rFonts w:ascii="Calibri" w:hAnsi="Calibri" w:cs="Times New Roman"/>
    </w:rPr>
  </w:style>
  <w:style w:type="paragraph" w:styleId="19">
    <w:name w:val="caption"/>
    <w:basedOn w:val="1"/>
    <w:next w:val="1"/>
    <w:autoRedefine/>
    <w:qFormat/>
    <w:uiPriority w:val="0"/>
    <w:rPr>
      <w:rFonts w:ascii="Arial" w:hAnsi="Arial" w:eastAsia="黑体" w:cs="Arial"/>
      <w:sz w:val="20"/>
      <w:szCs w:val="20"/>
    </w:rPr>
  </w:style>
  <w:style w:type="paragraph" w:styleId="20">
    <w:name w:val="annotation text"/>
    <w:basedOn w:val="1"/>
    <w:autoRedefine/>
    <w:unhideWhenUsed/>
    <w:qFormat/>
    <w:uiPriority w:val="0"/>
    <w:pPr>
      <w:jc w:val="left"/>
    </w:pPr>
  </w:style>
  <w:style w:type="paragraph" w:styleId="21">
    <w:name w:val="Body Text 3"/>
    <w:basedOn w:val="1"/>
    <w:autoRedefine/>
    <w:qFormat/>
    <w:uiPriority w:val="0"/>
    <w:pPr>
      <w:snapToGrid w:val="0"/>
    </w:pPr>
  </w:style>
  <w:style w:type="paragraph" w:styleId="22">
    <w:name w:val="Body Text Indent"/>
    <w:basedOn w:val="1"/>
    <w:link w:val="77"/>
    <w:autoRedefine/>
    <w:qFormat/>
    <w:uiPriority w:val="0"/>
    <w:pPr>
      <w:ind w:left="420" w:leftChars="200"/>
    </w:pPr>
  </w:style>
  <w:style w:type="paragraph" w:styleId="23">
    <w:name w:val="List 2"/>
    <w:basedOn w:val="1"/>
    <w:autoRedefine/>
    <w:qFormat/>
    <w:uiPriority w:val="99"/>
    <w:pPr>
      <w:ind w:left="100" w:leftChars="200" w:hanging="200" w:hangingChars="200"/>
      <w:contextualSpacing/>
    </w:pPr>
  </w:style>
  <w:style w:type="paragraph" w:styleId="24">
    <w:name w:val="Plain Text"/>
    <w:basedOn w:val="1"/>
    <w:next w:val="1"/>
    <w:autoRedefine/>
    <w:qFormat/>
    <w:uiPriority w:val="0"/>
    <w:rPr>
      <w:rFonts w:ascii="宋体" w:hAnsi="Courier New"/>
      <w:szCs w:val="20"/>
    </w:rPr>
  </w:style>
  <w:style w:type="paragraph" w:styleId="25">
    <w:name w:val="Date"/>
    <w:basedOn w:val="1"/>
    <w:next w:val="1"/>
    <w:autoRedefine/>
    <w:qFormat/>
    <w:uiPriority w:val="0"/>
    <w:rPr>
      <w:rFonts w:ascii="楷体_GB2312" w:eastAsia="楷体_GB2312"/>
      <w:b/>
      <w:sz w:val="28"/>
    </w:rPr>
  </w:style>
  <w:style w:type="paragraph" w:styleId="26">
    <w:name w:val="Body Text Indent 2"/>
    <w:basedOn w:val="1"/>
    <w:autoRedefine/>
    <w:qFormat/>
    <w:uiPriority w:val="0"/>
    <w:pPr>
      <w:spacing w:line="432" w:lineRule="auto"/>
      <w:ind w:firstLine="480"/>
    </w:pPr>
    <w:rPr>
      <w:szCs w:val="21"/>
    </w:rPr>
  </w:style>
  <w:style w:type="paragraph" w:styleId="27">
    <w:name w:val="Balloon Text"/>
    <w:basedOn w:val="1"/>
    <w:link w:val="76"/>
    <w:autoRedefine/>
    <w:qFormat/>
    <w:uiPriority w:val="0"/>
    <w:pPr>
      <w:spacing w:line="240" w:lineRule="auto"/>
    </w:pPr>
    <w:rPr>
      <w:sz w:val="18"/>
      <w:szCs w:val="18"/>
    </w:rPr>
  </w:style>
  <w:style w:type="paragraph" w:styleId="28">
    <w:name w:val="footer"/>
    <w:basedOn w:val="1"/>
    <w:autoRedefine/>
    <w:qFormat/>
    <w:uiPriority w:val="0"/>
    <w:pPr>
      <w:tabs>
        <w:tab w:val="center" w:pos="4153"/>
        <w:tab w:val="right" w:pos="8306"/>
      </w:tabs>
      <w:snapToGrid w:val="0"/>
      <w:jc w:val="left"/>
    </w:pPr>
    <w:rPr>
      <w:sz w:val="18"/>
      <w:szCs w:val="18"/>
    </w:rPr>
  </w:style>
  <w:style w:type="paragraph" w:styleId="29">
    <w:name w:val="header"/>
    <w:basedOn w:val="1"/>
    <w:autoRedefine/>
    <w:qFormat/>
    <w:uiPriority w:val="0"/>
    <w:pPr>
      <w:pBdr>
        <w:bottom w:val="single" w:color="auto" w:sz="6" w:space="1"/>
      </w:pBdr>
      <w:tabs>
        <w:tab w:val="center" w:pos="4153"/>
        <w:tab w:val="right" w:pos="8306"/>
      </w:tabs>
      <w:snapToGrid w:val="0"/>
      <w:jc w:val="center"/>
    </w:pPr>
    <w:rPr>
      <w:b/>
      <w:sz w:val="18"/>
      <w:szCs w:val="18"/>
    </w:rPr>
  </w:style>
  <w:style w:type="paragraph" w:styleId="30">
    <w:name w:val="toc 1"/>
    <w:basedOn w:val="1"/>
    <w:next w:val="1"/>
    <w:autoRedefine/>
    <w:qFormat/>
    <w:uiPriority w:val="0"/>
    <w:pPr>
      <w:tabs>
        <w:tab w:val="right" w:leader="hyphen" w:pos="9628"/>
      </w:tabs>
      <w:spacing w:line="800" w:lineRule="exact"/>
      <w:jc w:val="left"/>
    </w:pPr>
    <w:rPr>
      <w:rFonts w:ascii="新宋体" w:hAnsi="新宋体" w:eastAsia="新宋体"/>
      <w:b/>
      <w:bCs/>
      <w:caps/>
      <w:sz w:val="28"/>
      <w:szCs w:val="28"/>
    </w:rPr>
  </w:style>
  <w:style w:type="paragraph" w:styleId="31">
    <w:name w:val="toc 4"/>
    <w:basedOn w:val="1"/>
    <w:next w:val="1"/>
    <w:autoRedefine/>
    <w:qFormat/>
    <w:uiPriority w:val="0"/>
    <w:pPr>
      <w:ind w:left="630"/>
      <w:jc w:val="left"/>
    </w:pPr>
    <w:rPr>
      <w:sz w:val="18"/>
      <w:szCs w:val="18"/>
    </w:rPr>
  </w:style>
  <w:style w:type="paragraph" w:styleId="32">
    <w:name w:val="Subtitle"/>
    <w:basedOn w:val="1"/>
    <w:next w:val="1"/>
    <w:autoRedefine/>
    <w:qFormat/>
    <w:uiPriority w:val="0"/>
    <w:pPr>
      <w:spacing w:before="240" w:after="60" w:line="312" w:lineRule="auto"/>
      <w:jc w:val="center"/>
      <w:outlineLvl w:val="1"/>
    </w:pPr>
    <w:rPr>
      <w:rFonts w:ascii="Cambria" w:hAnsi="Cambria"/>
      <w:b/>
      <w:bCs/>
      <w:kern w:val="28"/>
      <w:sz w:val="32"/>
      <w:szCs w:val="32"/>
    </w:rPr>
  </w:style>
  <w:style w:type="paragraph" w:styleId="33">
    <w:name w:val="toc 6"/>
    <w:basedOn w:val="1"/>
    <w:next w:val="1"/>
    <w:autoRedefine/>
    <w:unhideWhenUsed/>
    <w:qFormat/>
    <w:uiPriority w:val="39"/>
    <w:pPr>
      <w:spacing w:line="240" w:lineRule="auto"/>
      <w:ind w:left="1050" w:firstLine="0" w:firstLineChars="0"/>
      <w:jc w:val="left"/>
    </w:pPr>
    <w:rPr>
      <w:szCs w:val="21"/>
    </w:rPr>
  </w:style>
  <w:style w:type="paragraph" w:styleId="34">
    <w:name w:val="table of figures"/>
    <w:basedOn w:val="1"/>
    <w:next w:val="1"/>
    <w:autoRedefine/>
    <w:unhideWhenUsed/>
    <w:qFormat/>
    <w:uiPriority w:val="0"/>
    <w:pPr>
      <w:tabs>
        <w:tab w:val="left" w:pos="1270"/>
      </w:tabs>
      <w:spacing w:line="360" w:lineRule="auto"/>
      <w:ind w:left="1270" w:hanging="420"/>
      <w:jc w:val="left"/>
    </w:pPr>
    <w:rPr>
      <w:smallCaps/>
      <w:sz w:val="20"/>
      <w:szCs w:val="20"/>
    </w:rPr>
  </w:style>
  <w:style w:type="paragraph" w:styleId="35">
    <w:name w:val="toc 2"/>
    <w:basedOn w:val="1"/>
    <w:next w:val="1"/>
    <w:autoRedefine/>
    <w:qFormat/>
    <w:uiPriority w:val="0"/>
    <w:pPr>
      <w:tabs>
        <w:tab w:val="right" w:leader="hyphen" w:pos="9628"/>
      </w:tabs>
      <w:spacing w:line="800" w:lineRule="exact"/>
      <w:ind w:left="420" w:leftChars="200"/>
      <w:jc w:val="left"/>
    </w:pPr>
    <w:rPr>
      <w:rFonts w:ascii="宋体" w:hAnsi="宋体"/>
      <w:b/>
      <w:smallCaps/>
    </w:rPr>
  </w:style>
  <w:style w:type="paragraph" w:styleId="36">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style>
  <w:style w:type="paragraph" w:styleId="37">
    <w:name w:val="Normal (Web)"/>
    <w:basedOn w:val="1"/>
    <w:autoRedefine/>
    <w:qFormat/>
    <w:uiPriority w:val="0"/>
    <w:pPr>
      <w:widowControl/>
      <w:spacing w:before="100" w:beforeAutospacing="1" w:after="100" w:afterAutospacing="1"/>
      <w:jc w:val="left"/>
    </w:pPr>
    <w:rPr>
      <w:rFonts w:ascii="宋体" w:hAnsi="宋体"/>
      <w:kern w:val="0"/>
    </w:rPr>
  </w:style>
  <w:style w:type="paragraph" w:styleId="38">
    <w:name w:val="Body Text First Indent"/>
    <w:basedOn w:val="2"/>
    <w:next w:val="39"/>
    <w:autoRedefine/>
    <w:qFormat/>
    <w:uiPriority w:val="0"/>
    <w:pPr>
      <w:spacing w:after="120"/>
      <w:ind w:firstLine="420" w:firstLineChars="100"/>
      <w:jc w:val="both"/>
    </w:pPr>
    <w:rPr>
      <w:rFonts w:ascii="Calibri" w:hAnsi="Calibri" w:cs="Times New Roman"/>
      <w:sz w:val="21"/>
      <w:szCs w:val="21"/>
    </w:rPr>
  </w:style>
  <w:style w:type="paragraph" w:customStyle="1" w:styleId="39">
    <w:name w:val="toc 11"/>
    <w:next w:val="1"/>
    <w:autoRedefine/>
    <w:qFormat/>
    <w:uiPriority w:val="0"/>
    <w:pPr>
      <w:wordWrap w:val="0"/>
      <w:jc w:val="both"/>
    </w:pPr>
    <w:rPr>
      <w:rFonts w:ascii="Times New Roman" w:hAnsi="Times New Roman" w:eastAsia="宋体" w:cs="Times New Roman"/>
      <w:sz w:val="21"/>
      <w:lang w:val="en-US" w:eastAsia="zh-CN" w:bidi="ar-SA"/>
    </w:rPr>
  </w:style>
  <w:style w:type="paragraph" w:styleId="40">
    <w:name w:val="Body Text First Indent 2"/>
    <w:basedOn w:val="22"/>
    <w:autoRedefine/>
    <w:qFormat/>
    <w:uiPriority w:val="0"/>
    <w:pPr>
      <w:snapToGrid w:val="0"/>
      <w:spacing w:after="120" w:line="240" w:lineRule="auto"/>
      <w:ind w:firstLine="420"/>
    </w:pPr>
    <w:rPr>
      <w:rFonts w:hint="eastAsia" w:ascii="宋体" w:cs="Times New Roman"/>
      <w:kern w:val="0"/>
      <w:sz w:val="21"/>
      <w:szCs w:val="21"/>
    </w:rPr>
  </w:style>
  <w:style w:type="table" w:styleId="42">
    <w:name w:val="Table Grid"/>
    <w:basedOn w:val="41"/>
    <w:autoRedefine/>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44">
    <w:name w:val="Strong"/>
    <w:basedOn w:val="43"/>
    <w:autoRedefine/>
    <w:qFormat/>
    <w:uiPriority w:val="0"/>
    <w:rPr>
      <w:b/>
      <w:bCs/>
    </w:rPr>
  </w:style>
  <w:style w:type="character" w:styleId="45">
    <w:name w:val="page number"/>
    <w:basedOn w:val="43"/>
    <w:autoRedefine/>
    <w:unhideWhenUsed/>
    <w:qFormat/>
    <w:uiPriority w:val="99"/>
  </w:style>
  <w:style w:type="character" w:styleId="46">
    <w:name w:val="Hyperlink"/>
    <w:basedOn w:val="43"/>
    <w:autoRedefine/>
    <w:qFormat/>
    <w:uiPriority w:val="0"/>
    <w:rPr>
      <w:color w:val="0000FF"/>
      <w:u w:val="single"/>
    </w:rPr>
  </w:style>
  <w:style w:type="paragraph" w:customStyle="1" w:styleId="47">
    <w:name w:val="xl53"/>
    <w:basedOn w:val="1"/>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48">
    <w:name w:val="文章正文"/>
    <w:basedOn w:val="1"/>
    <w:next w:val="49"/>
    <w:autoRedefine/>
    <w:qFormat/>
    <w:uiPriority w:val="0"/>
    <w:pPr>
      <w:spacing w:line="360" w:lineRule="auto"/>
      <w:ind w:firstLine="200"/>
    </w:pPr>
    <w:rPr>
      <w:rFonts w:ascii="Calibri" w:hAnsi="Calibri" w:cs="Times New Roman"/>
    </w:rPr>
  </w:style>
  <w:style w:type="paragraph" w:customStyle="1" w:styleId="49">
    <w:name w:val="公式样式 变量"/>
    <w:autoRedefine/>
    <w:qFormat/>
    <w:uiPriority w:val="0"/>
    <w:rPr>
      <w:rFonts w:ascii="Times New Roman" w:hAnsi="Times New Roman" w:eastAsia="宋体" w:cs="Times New Roman"/>
      <w:i/>
      <w:lang w:val="en-US" w:eastAsia="zh-CN" w:bidi="ar-SA"/>
    </w:rPr>
  </w:style>
  <w:style w:type="paragraph" w:customStyle="1" w:styleId="50">
    <w:name w:val="BodyText1I"/>
    <w:basedOn w:val="51"/>
    <w:autoRedefine/>
    <w:qFormat/>
    <w:uiPriority w:val="0"/>
    <w:pPr>
      <w:spacing w:after="120"/>
      <w:ind w:firstLine="420"/>
    </w:pPr>
    <w:rPr>
      <w:rFonts w:ascii="仿宋_GB2312" w:hAnsi="Times New Roman" w:eastAsia="仿宋_GB2312"/>
      <w:sz w:val="28"/>
      <w:lang w:bidi="ar-SA"/>
    </w:rPr>
  </w:style>
  <w:style w:type="paragraph" w:customStyle="1" w:styleId="51">
    <w:name w:val="BodyText"/>
    <w:basedOn w:val="1"/>
    <w:autoRedefine/>
    <w:qFormat/>
    <w:uiPriority w:val="0"/>
    <w:pPr>
      <w:textAlignment w:val="baseline"/>
    </w:pPr>
    <w:rPr>
      <w:rFonts w:ascii="仿宋" w:hAnsi="仿宋" w:eastAsia="仿宋"/>
      <w:lang w:val="zh-CN" w:bidi="zh-CN"/>
    </w:rPr>
  </w:style>
  <w:style w:type="paragraph" w:customStyle="1" w:styleId="52">
    <w:name w:val="标准正文"/>
    <w:basedOn w:val="1"/>
    <w:autoRedefine/>
    <w:qFormat/>
    <w:uiPriority w:val="0"/>
    <w:pPr>
      <w:spacing w:line="360" w:lineRule="auto"/>
      <w:ind w:firstLine="200"/>
    </w:pPr>
    <w:rPr>
      <w:szCs w:val="20"/>
    </w:rPr>
  </w:style>
  <w:style w:type="paragraph" w:customStyle="1" w:styleId="53">
    <w:name w:val="章正文"/>
    <w:basedOn w:val="1"/>
    <w:autoRedefine/>
    <w:qFormat/>
    <w:uiPriority w:val="0"/>
    <w:pPr>
      <w:spacing w:before="156" w:beforeLines="50" w:after="120" w:line="300" w:lineRule="auto"/>
      <w:ind w:firstLine="480"/>
    </w:pPr>
    <w:rPr>
      <w:rFonts w:ascii="Helvetica" w:hAnsi="Helvetica"/>
      <w:kern w:val="0"/>
    </w:rPr>
  </w:style>
  <w:style w:type="paragraph" w:customStyle="1" w:styleId="54">
    <w:name w:val="正文文本 31"/>
    <w:basedOn w:val="1"/>
    <w:autoRedefine/>
    <w:qFormat/>
    <w:uiPriority w:val="0"/>
    <w:rPr>
      <w:sz w:val="16"/>
      <w:szCs w:val="16"/>
    </w:rPr>
  </w:style>
  <w:style w:type="paragraph" w:customStyle="1" w:styleId="55">
    <w:name w:val="Char Char1 Char"/>
    <w:basedOn w:val="1"/>
    <w:autoRedefine/>
    <w:qFormat/>
    <w:uiPriority w:val="0"/>
  </w:style>
  <w:style w:type="character" w:customStyle="1" w:styleId="56">
    <w:name w:val="标题 2 Char"/>
    <w:basedOn w:val="43"/>
    <w:autoRedefine/>
    <w:qFormat/>
    <w:uiPriority w:val="0"/>
    <w:rPr>
      <w:rFonts w:ascii="Arial" w:hAnsi="Arial" w:eastAsia="宋体" w:cstheme="minorBidi"/>
      <w:b/>
      <w:bCs/>
      <w:sz w:val="28"/>
      <w:szCs w:val="32"/>
    </w:rPr>
  </w:style>
  <w:style w:type="character" w:customStyle="1" w:styleId="57">
    <w:name w:val="标题 3 Char"/>
    <w:autoRedefine/>
    <w:qFormat/>
    <w:uiPriority w:val="9"/>
    <w:rPr>
      <w:rFonts w:ascii="仿宋_GB2312" w:hAnsi="仿宋_GB2312" w:eastAsia="宋体" w:cstheme="minorBidi"/>
      <w:b/>
      <w:bCs/>
      <w:sz w:val="28"/>
      <w:szCs w:val="20"/>
    </w:rPr>
  </w:style>
  <w:style w:type="character" w:customStyle="1" w:styleId="58">
    <w:name w:val="标题 1 Char"/>
    <w:autoRedefine/>
    <w:qFormat/>
    <w:locked/>
    <w:uiPriority w:val="99"/>
    <w:rPr>
      <w:rFonts w:ascii="Times New Roman" w:hAnsi="Times New Roman" w:eastAsia="宋体" w:cstheme="minorBidi"/>
      <w:b/>
      <w:sz w:val="36"/>
      <w:szCs w:val="20"/>
    </w:rPr>
  </w:style>
  <w:style w:type="character" w:customStyle="1" w:styleId="59">
    <w:name w:val="正文文本 字符"/>
    <w:basedOn w:val="43"/>
    <w:link w:val="2"/>
    <w:autoRedefine/>
    <w:semiHidden/>
    <w:qFormat/>
    <w:locked/>
    <w:uiPriority w:val="99"/>
    <w:rPr>
      <w:rFonts w:ascii="Calibri" w:hAnsi="Calibri" w:eastAsia="仿宋" w:cs="Times New Roman"/>
      <w:sz w:val="24"/>
    </w:rPr>
  </w:style>
  <w:style w:type="paragraph" w:customStyle="1" w:styleId="60">
    <w:name w:val="普通(网站)1"/>
    <w:basedOn w:val="1"/>
    <w:autoRedefine/>
    <w:qFormat/>
    <w:uiPriority w:val="0"/>
    <w:pPr>
      <w:widowControl/>
      <w:spacing w:beforeAutospacing="1" w:afterAutospacing="1"/>
      <w:jc w:val="left"/>
    </w:pPr>
    <w:rPr>
      <w:rFonts w:ascii="宋体" w:hAnsi="宋体"/>
      <w:kern w:val="0"/>
      <w:szCs w:val="20"/>
    </w:rPr>
  </w:style>
  <w:style w:type="paragraph" w:customStyle="1" w:styleId="61">
    <w:name w:val="索引 11"/>
    <w:basedOn w:val="1"/>
    <w:next w:val="1"/>
    <w:autoRedefine/>
    <w:qFormat/>
    <w:uiPriority w:val="0"/>
    <w:pPr>
      <w:snapToGrid w:val="0"/>
    </w:pPr>
    <w:rPr>
      <w:szCs w:val="21"/>
    </w:rPr>
  </w:style>
  <w:style w:type="character" w:customStyle="1" w:styleId="62">
    <w:name w:val="large1"/>
    <w:autoRedefine/>
    <w:qFormat/>
    <w:uiPriority w:val="0"/>
    <w:rPr>
      <w:rFonts w:hint="eastAsia" w:ascii="宋体" w:hAnsi="宋体" w:eastAsia="宋体"/>
      <w:sz w:val="21"/>
      <w:szCs w:val="21"/>
    </w:rPr>
  </w:style>
  <w:style w:type="paragraph" w:customStyle="1" w:styleId="63">
    <w:name w:val="List Paragraph1"/>
    <w:basedOn w:val="1"/>
    <w:autoRedefine/>
    <w:qFormat/>
    <w:uiPriority w:val="0"/>
    <w:pPr>
      <w:widowControl/>
      <w:ind w:firstLine="420"/>
      <w:jc w:val="left"/>
    </w:pPr>
    <w:rPr>
      <w:rFonts w:ascii="Calibri" w:hAnsi="Calibri"/>
      <w:szCs w:val="22"/>
    </w:rPr>
  </w:style>
  <w:style w:type="paragraph" w:customStyle="1" w:styleId="64">
    <w:name w:val="Default"/>
    <w:next w:val="65"/>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5">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66">
    <w:name w:val="无间隔1"/>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67">
    <w:name w:val="正文_17"/>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68">
    <w:name w:val="DG正文"/>
    <w:basedOn w:val="1"/>
    <w:autoRedefine/>
    <w:qFormat/>
    <w:uiPriority w:val="0"/>
    <w:pPr>
      <w:widowControl/>
      <w:spacing w:line="360" w:lineRule="auto"/>
      <w:ind w:right="142" w:firstLine="640"/>
      <w:jc w:val="left"/>
    </w:pPr>
    <w:rPr>
      <w:rFonts w:ascii="Calibri" w:hAnsi="Calibri" w:cs="Calibri"/>
    </w:rPr>
  </w:style>
  <w:style w:type="paragraph" w:customStyle="1" w:styleId="69">
    <w:name w:val="正文 A"/>
    <w:autoRedefine/>
    <w:qFormat/>
    <w:uiPriority w:val="0"/>
    <w:rPr>
      <w:rFonts w:ascii="Times New Roman" w:hAnsi="Times New Roman" w:eastAsia="ヒラギノ角ゴ Pro W3" w:cs="Times New Roman"/>
      <w:color w:val="000000"/>
      <w:sz w:val="24"/>
      <w:szCs w:val="22"/>
      <w:lang w:val="en-US" w:eastAsia="zh-CN" w:bidi="ar-SA"/>
    </w:rPr>
  </w:style>
  <w:style w:type="character" w:customStyle="1" w:styleId="70">
    <w:name w:val="标题 2 字符"/>
    <w:basedOn w:val="43"/>
    <w:link w:val="10"/>
    <w:autoRedefine/>
    <w:qFormat/>
    <w:uiPriority w:val="0"/>
    <w:rPr>
      <w:rFonts w:ascii="Arial" w:hAnsi="Arial" w:eastAsia="宋体"/>
      <w:bCs/>
      <w:kern w:val="2"/>
      <w:sz w:val="30"/>
      <w:szCs w:val="32"/>
      <w:lang w:val="en-US" w:eastAsia="zh-CN" w:bidi="ar-SA"/>
    </w:rPr>
  </w:style>
  <w:style w:type="paragraph" w:customStyle="1" w:styleId="71">
    <w:name w:val="Proposals body"/>
    <w:basedOn w:val="1"/>
    <w:next w:val="1"/>
    <w:autoRedefine/>
    <w:qFormat/>
    <w:uiPriority w:val="0"/>
    <w:pPr>
      <w:widowControl/>
      <w:spacing w:line="360" w:lineRule="auto"/>
      <w:jc w:val="left"/>
    </w:pPr>
    <w:rPr>
      <w:rFonts w:ascii="宋体" w:eastAsia="仿宋_GB2312"/>
      <w:snapToGrid w:val="0"/>
      <w:color w:val="000000"/>
      <w:kern w:val="0"/>
      <w:szCs w:val="20"/>
    </w:rPr>
  </w:style>
  <w:style w:type="paragraph" w:customStyle="1" w:styleId="72">
    <w:name w:val="列出段落1"/>
    <w:basedOn w:val="1"/>
    <w:autoRedefine/>
    <w:qFormat/>
    <w:uiPriority w:val="34"/>
    <w:pPr>
      <w:ind w:firstLine="420"/>
    </w:pPr>
  </w:style>
  <w:style w:type="paragraph" w:customStyle="1" w:styleId="73">
    <w:name w:val="L正文"/>
    <w:basedOn w:val="1"/>
    <w:autoRedefine/>
    <w:qFormat/>
    <w:uiPriority w:val="0"/>
    <w:pPr>
      <w:spacing w:afterLines="50" w:line="240" w:lineRule="auto"/>
      <w:ind w:left="160" w:leftChars="160"/>
    </w:pPr>
    <w:rPr>
      <w:rFonts w:cs="Times New Roman"/>
      <w:sz w:val="21"/>
    </w:rPr>
  </w:style>
  <w:style w:type="paragraph" w:customStyle="1" w:styleId="74">
    <w:name w:val="列出段落11"/>
    <w:basedOn w:val="1"/>
    <w:autoRedefine/>
    <w:qFormat/>
    <w:uiPriority w:val="34"/>
    <w:pPr>
      <w:spacing w:line="240" w:lineRule="auto"/>
      <w:ind w:firstLine="420"/>
    </w:pPr>
    <w:rPr>
      <w:rFonts w:cs="宋体"/>
      <w:sz w:val="21"/>
      <w:szCs w:val="21"/>
    </w:rPr>
  </w:style>
  <w:style w:type="paragraph" w:customStyle="1" w:styleId="75">
    <w:name w:val="Char"/>
    <w:basedOn w:val="1"/>
    <w:next w:val="1"/>
    <w:autoRedefine/>
    <w:qFormat/>
    <w:uiPriority w:val="0"/>
    <w:rPr>
      <w:rFonts w:ascii="Tahoma" w:hAnsi="Tahoma"/>
      <w:szCs w:val="20"/>
    </w:rPr>
  </w:style>
  <w:style w:type="character" w:customStyle="1" w:styleId="76">
    <w:name w:val="批注框文本 字符"/>
    <w:basedOn w:val="43"/>
    <w:link w:val="27"/>
    <w:autoRedefine/>
    <w:qFormat/>
    <w:uiPriority w:val="0"/>
    <w:rPr>
      <w:rFonts w:ascii="Times New Roman" w:hAnsi="Times New Roman" w:cstheme="minorBidi"/>
      <w:kern w:val="2"/>
      <w:sz w:val="18"/>
      <w:szCs w:val="18"/>
    </w:rPr>
  </w:style>
  <w:style w:type="character" w:customStyle="1" w:styleId="77">
    <w:name w:val="正文文本缩进 字符"/>
    <w:basedOn w:val="43"/>
    <w:link w:val="22"/>
    <w:autoRedefine/>
    <w:qFormat/>
    <w:uiPriority w:val="0"/>
    <w:rPr>
      <w:rFonts w:ascii="Times New Roman" w:hAnsi="Times New Roman" w:cstheme="minorBidi"/>
      <w:kern w:val="2"/>
      <w:sz w:val="24"/>
      <w:szCs w:val="24"/>
    </w:rPr>
  </w:style>
  <w:style w:type="character" w:customStyle="1" w:styleId="78">
    <w:name w:val="未命名4"/>
    <w:basedOn w:val="43"/>
    <w:autoRedefine/>
    <w:qFormat/>
    <w:uiPriority w:val="0"/>
  </w:style>
  <w:style w:type="paragraph" w:customStyle="1" w:styleId="79">
    <w:name w:val="表格文字"/>
    <w:basedOn w:val="24"/>
    <w:next w:val="2"/>
    <w:autoRedefine/>
    <w:qFormat/>
    <w:uiPriority w:val="0"/>
    <w:pPr>
      <w:adjustRightInd w:val="0"/>
      <w:spacing w:line="420" w:lineRule="atLeast"/>
      <w:jc w:val="left"/>
      <w:textAlignment w:val="baseline"/>
    </w:pPr>
    <w:rPr>
      <w:kern w:val="0"/>
    </w:rPr>
  </w:style>
  <w:style w:type="paragraph" w:customStyle="1" w:styleId="80">
    <w:name w:val="reader-word-layer reader-word-s27-4"/>
    <w:basedOn w:val="1"/>
    <w:autoRedefine/>
    <w:qFormat/>
    <w:uiPriority w:val="99"/>
    <w:pPr>
      <w:widowControl/>
      <w:spacing w:before="100" w:beforeAutospacing="1" w:after="100" w:afterAutospacing="1" w:line="440" w:lineRule="exact"/>
      <w:ind w:firstLine="1040"/>
      <w:jc w:val="left"/>
    </w:pPr>
    <w:rPr>
      <w:rFonts w:ascii="宋体" w:hAnsi="宋体" w:eastAsia="微软雅黑" w:cs="宋体"/>
      <w:kern w:val="0"/>
    </w:rPr>
  </w:style>
  <w:style w:type="character" w:customStyle="1" w:styleId="81">
    <w:name w:val="font81"/>
    <w:basedOn w:val="43"/>
    <w:autoRedefine/>
    <w:qFormat/>
    <w:uiPriority w:val="0"/>
    <w:rPr>
      <w:rFonts w:hint="default" w:ascii="Times New Roman" w:hAnsi="Times New Roman" w:cs="Times New Roman"/>
      <w:color w:val="000000"/>
      <w:sz w:val="24"/>
      <w:szCs w:val="24"/>
      <w:u w:val="none"/>
    </w:rPr>
  </w:style>
  <w:style w:type="paragraph" w:customStyle="1" w:styleId="82">
    <w:name w:val="WPSOffice手动目录 1"/>
    <w:autoRedefine/>
    <w:qFormat/>
    <w:uiPriority w:val="0"/>
    <w:rPr>
      <w:rFonts w:ascii="Times New Roman" w:hAnsi="Times New Roman" w:eastAsia="宋体" w:cs="Times New Roman"/>
      <w:lang w:val="en-US" w:eastAsia="zh-CN" w:bidi="ar-SA"/>
    </w:rPr>
  </w:style>
  <w:style w:type="paragraph" w:customStyle="1" w:styleId="83">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84">
    <w:name w:val="普通(网站)2"/>
    <w:basedOn w:val="1"/>
    <w:autoRedefine/>
    <w:qFormat/>
    <w:uiPriority w:val="0"/>
    <w:pPr>
      <w:widowControl/>
      <w:spacing w:before="100" w:beforeAutospacing="1" w:after="100" w:afterAutospacing="1"/>
      <w:jc w:val="left"/>
    </w:pPr>
    <w:rPr>
      <w:rFonts w:ascii="宋体" w:hAnsi="宋体"/>
      <w:kern w:val="0"/>
      <w:szCs w:val="20"/>
    </w:rPr>
  </w:style>
  <w:style w:type="paragraph" w:customStyle="1" w:styleId="85">
    <w:name w:val="保留正文"/>
    <w:basedOn w:val="2"/>
    <w:autoRedefine/>
    <w:qFormat/>
    <w:uiPriority w:val="0"/>
    <w:pPr>
      <w:keepNext/>
      <w:spacing w:after="160"/>
    </w:pPr>
    <w:rPr>
      <w:sz w:val="21"/>
    </w:rPr>
  </w:style>
  <w:style w:type="paragraph" w:customStyle="1" w:styleId="86">
    <w:name w:val="首行缩进"/>
    <w:basedOn w:val="1"/>
    <w:autoRedefine/>
    <w:qFormat/>
    <w:uiPriority w:val="0"/>
    <w:pPr>
      <w:spacing w:line="360" w:lineRule="auto"/>
      <w:ind w:firstLine="420"/>
    </w:pPr>
    <w:rPr>
      <w:rFonts w:ascii="宋体" w:hAnsi="宋体"/>
    </w:rPr>
  </w:style>
  <w:style w:type="character" w:customStyle="1" w:styleId="87">
    <w:name w:val="标题 3 字符"/>
    <w:link w:val="11"/>
    <w:autoRedefine/>
    <w:qFormat/>
    <w:uiPriority w:val="9"/>
    <w:rPr>
      <w:rFonts w:ascii="仿宋_GB2312" w:hAnsi="仿宋_GB2312" w:eastAsia="仿宋" w:cs="Times New Roman"/>
      <w:b/>
      <w:bCs/>
      <w:sz w:val="24"/>
      <w:szCs w:val="20"/>
    </w:rPr>
  </w:style>
  <w:style w:type="paragraph" w:customStyle="1" w:styleId="88">
    <w:name w:val="_Style 3"/>
    <w:autoRedefine/>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89">
    <w:name w:val="font31"/>
    <w:basedOn w:val="43"/>
    <w:autoRedefine/>
    <w:qFormat/>
    <w:uiPriority w:val="0"/>
    <w:rPr>
      <w:rFonts w:hint="eastAsia" w:ascii="微软雅黑" w:hAnsi="微软雅黑" w:eastAsia="微软雅黑" w:cs="微软雅黑"/>
      <w:color w:val="000000"/>
      <w:sz w:val="22"/>
      <w:szCs w:val="22"/>
      <w:u w:val="none"/>
    </w:rPr>
  </w:style>
  <w:style w:type="character" w:customStyle="1" w:styleId="90">
    <w:name w:val="font71"/>
    <w:basedOn w:val="43"/>
    <w:autoRedefine/>
    <w:qFormat/>
    <w:uiPriority w:val="0"/>
    <w:rPr>
      <w:rFonts w:hint="eastAsia" w:ascii="微软雅黑" w:hAnsi="微软雅黑" w:eastAsia="微软雅黑" w:cs="微软雅黑"/>
      <w:color w:val="000000"/>
      <w:sz w:val="22"/>
      <w:szCs w:val="22"/>
      <w:u w:val="none"/>
      <w:vertAlign w:val="superscript"/>
    </w:rPr>
  </w:style>
  <w:style w:type="character" w:customStyle="1" w:styleId="91">
    <w:name w:val="font21"/>
    <w:basedOn w:val="43"/>
    <w:autoRedefine/>
    <w:qFormat/>
    <w:uiPriority w:val="0"/>
    <w:rPr>
      <w:rFonts w:hint="eastAsia" w:ascii="微软雅黑" w:hAnsi="微软雅黑" w:eastAsia="微软雅黑" w:cs="微软雅黑"/>
      <w:color w:val="000000"/>
      <w:sz w:val="22"/>
      <w:szCs w:val="22"/>
      <w:u w:val="none"/>
    </w:rPr>
  </w:style>
  <w:style w:type="character" w:customStyle="1" w:styleId="92">
    <w:name w:val="font61"/>
    <w:basedOn w:val="43"/>
    <w:autoRedefine/>
    <w:qFormat/>
    <w:uiPriority w:val="0"/>
    <w:rPr>
      <w:rFonts w:hint="eastAsia" w:ascii="微软雅黑" w:hAnsi="微软雅黑" w:eastAsia="微软雅黑" w:cs="微软雅黑"/>
      <w:color w:val="000000"/>
      <w:sz w:val="22"/>
      <w:szCs w:val="22"/>
      <w:u w:val="none"/>
      <w:vertAlign w:val="superscript"/>
    </w:rPr>
  </w:style>
  <w:style w:type="character" w:customStyle="1" w:styleId="93">
    <w:name w:val="font01"/>
    <w:basedOn w:val="43"/>
    <w:autoRedefine/>
    <w:qFormat/>
    <w:uiPriority w:val="0"/>
    <w:rPr>
      <w:rFonts w:hint="eastAsia" w:ascii="宋体" w:hAnsi="宋体" w:eastAsia="宋体" w:cs="宋体"/>
      <w:color w:val="000000"/>
      <w:sz w:val="22"/>
      <w:szCs w:val="22"/>
      <w:u w:val="none"/>
    </w:rPr>
  </w:style>
  <w:style w:type="paragraph" w:customStyle="1" w:styleId="94">
    <w:name w:val="p0"/>
    <w:basedOn w:val="1"/>
    <w:autoRedefine/>
    <w:qFormat/>
    <w:uiPriority w:val="0"/>
    <w:pPr>
      <w:widowControl/>
    </w:pPr>
    <w:rPr>
      <w:kern w:val="0"/>
      <w:szCs w:val="21"/>
    </w:rPr>
  </w:style>
  <w:style w:type="paragraph" w:customStyle="1" w:styleId="95">
    <w:name w:val="表头文字"/>
    <w:basedOn w:val="1"/>
    <w:autoRedefine/>
    <w:qFormat/>
    <w:uiPriority w:val="0"/>
    <w:pPr>
      <w:widowControl/>
      <w:jc w:val="left"/>
    </w:pPr>
    <w:rPr>
      <w:rFonts w:eastAsia="仿宋" w:cs="宋体"/>
      <w:b/>
      <w:kern w:val="0"/>
      <w:szCs w:val="21"/>
    </w:rPr>
  </w:style>
  <w:style w:type="character" w:customStyle="1" w:styleId="96">
    <w:name w:val="font41"/>
    <w:basedOn w:val="43"/>
    <w:autoRedefine/>
    <w:qFormat/>
    <w:uiPriority w:val="0"/>
    <w:rPr>
      <w:rFonts w:hint="eastAsia" w:ascii="微软雅黑" w:hAnsi="微软雅黑" w:eastAsia="微软雅黑" w:cs="微软雅黑"/>
      <w:color w:val="000000"/>
      <w:sz w:val="20"/>
      <w:szCs w:val="20"/>
      <w:u w:val="none"/>
    </w:rPr>
  </w:style>
  <w:style w:type="character" w:customStyle="1" w:styleId="97">
    <w:name w:val="font111"/>
    <w:basedOn w:val="43"/>
    <w:autoRedefine/>
    <w:qFormat/>
    <w:uiPriority w:val="0"/>
    <w:rPr>
      <w:rFonts w:hint="eastAsia" w:ascii="微软雅黑" w:hAnsi="微软雅黑" w:eastAsia="微软雅黑" w:cs="微软雅黑"/>
      <w:color w:val="000000"/>
      <w:sz w:val="20"/>
      <w:szCs w:val="20"/>
      <w:u w:val="none"/>
      <w:vertAlign w:val="superscript"/>
    </w:rPr>
  </w:style>
  <w:style w:type="character" w:customStyle="1" w:styleId="98">
    <w:name w:val="font101"/>
    <w:basedOn w:val="43"/>
    <w:autoRedefine/>
    <w:qFormat/>
    <w:uiPriority w:val="0"/>
    <w:rPr>
      <w:rFonts w:hint="eastAsia" w:ascii="微软雅黑" w:hAnsi="微软雅黑" w:eastAsia="微软雅黑" w:cs="微软雅黑"/>
      <w:color w:val="000000"/>
      <w:sz w:val="20"/>
      <w:szCs w:val="20"/>
      <w:u w:val="none"/>
      <w:vertAlign w:val="superscript"/>
    </w:rPr>
  </w:style>
  <w:style w:type="character" w:customStyle="1" w:styleId="99">
    <w:name w:val="font122"/>
    <w:basedOn w:val="43"/>
    <w:autoRedefine/>
    <w:qFormat/>
    <w:uiPriority w:val="0"/>
    <w:rPr>
      <w:rFonts w:hint="eastAsia" w:ascii="宋体" w:hAnsi="宋体" w:eastAsia="宋体" w:cs="宋体"/>
      <w:b/>
      <w:bCs/>
      <w:color w:val="FF0000"/>
      <w:sz w:val="22"/>
      <w:szCs w:val="22"/>
      <w:u w:val="none"/>
    </w:rPr>
  </w:style>
  <w:style w:type="character" w:customStyle="1" w:styleId="100">
    <w:name w:val="font91"/>
    <w:basedOn w:val="43"/>
    <w:autoRedefine/>
    <w:qFormat/>
    <w:uiPriority w:val="0"/>
    <w:rPr>
      <w:rFonts w:hint="eastAsia" w:ascii="宋体" w:hAnsi="宋体" w:eastAsia="宋体" w:cs="宋体"/>
      <w:color w:val="000000"/>
      <w:sz w:val="22"/>
      <w:szCs w:val="22"/>
      <w:u w:val="none"/>
    </w:rPr>
  </w:style>
  <w:style w:type="character" w:customStyle="1" w:styleId="101">
    <w:name w:val="font51"/>
    <w:basedOn w:val="43"/>
    <w:autoRedefine/>
    <w:qFormat/>
    <w:uiPriority w:val="0"/>
    <w:rPr>
      <w:rFonts w:hint="eastAsia" w:ascii="微软雅黑" w:hAnsi="微软雅黑" w:eastAsia="微软雅黑" w:cs="微软雅黑"/>
      <w:color w:val="000000"/>
      <w:sz w:val="20"/>
      <w:szCs w:val="20"/>
      <w:u w:val="none"/>
      <w:vertAlign w:val="superscript"/>
    </w:rPr>
  </w:style>
  <w:style w:type="character" w:customStyle="1" w:styleId="102">
    <w:name w:val="font112"/>
    <w:basedOn w:val="43"/>
    <w:autoRedefine/>
    <w:qFormat/>
    <w:uiPriority w:val="0"/>
    <w:rPr>
      <w:rFonts w:hint="eastAsia" w:ascii="宋体" w:hAnsi="宋体" w:eastAsia="宋体" w:cs="宋体"/>
      <w:color w:val="000000"/>
      <w:sz w:val="24"/>
      <w:szCs w:val="24"/>
      <w:u w:val="none"/>
    </w:rPr>
  </w:style>
  <w:style w:type="paragraph" w:customStyle="1" w:styleId="103">
    <w:name w:val="样式1"/>
    <w:basedOn w:val="1"/>
    <w:autoRedefine/>
    <w:qFormat/>
    <w:uiPriority w:val="0"/>
    <w:pPr>
      <w:spacing w:line="360" w:lineRule="exact"/>
      <w:ind w:firstLine="200"/>
    </w:pPr>
    <w:rPr>
      <w:rFonts w:ascii="Arial" w:hAnsi="Arial"/>
    </w:rPr>
  </w:style>
  <w:style w:type="paragraph" w:customStyle="1" w:styleId="104">
    <w:name w:val="无间隔2"/>
    <w:autoRedefine/>
    <w:qFormat/>
    <w:uiPriority w:val="1"/>
    <w:rPr>
      <w:rFonts w:ascii="Times New Roman" w:hAnsi="Times New Roman" w:eastAsia="宋体" w:cs="Times New Roman"/>
      <w:sz w:val="22"/>
      <w:szCs w:val="22"/>
      <w:lang w:val="en-US" w:eastAsia="en-US" w:bidi="en-US"/>
    </w:rPr>
  </w:style>
  <w:style w:type="paragraph" w:customStyle="1" w:styleId="105">
    <w:name w:val="_Style 1"/>
    <w:basedOn w:val="1"/>
    <w:link w:val="114"/>
    <w:autoRedefine/>
    <w:qFormat/>
    <w:uiPriority w:val="0"/>
    <w:pPr>
      <w:widowControl/>
      <w:jc w:val="left"/>
    </w:pPr>
    <w:rPr>
      <w:rFonts w:ascii="Calibri" w:hAnsi="Calibri" w:cs="Times New Roman"/>
      <w:sz w:val="28"/>
      <w:szCs w:val="28"/>
    </w:rPr>
  </w:style>
  <w:style w:type="paragraph" w:customStyle="1" w:styleId="106">
    <w:name w:val="Table Paragraph"/>
    <w:basedOn w:val="1"/>
    <w:autoRedefine/>
    <w:qFormat/>
    <w:uiPriority w:val="99"/>
    <w:rPr>
      <w:rFonts w:ascii="宋体" w:hAnsi="宋体" w:cs="宋体"/>
      <w:lang w:val="zh-CN"/>
    </w:rPr>
  </w:style>
  <w:style w:type="character" w:customStyle="1" w:styleId="107">
    <w:name w:val="NormalCharacter"/>
    <w:autoRedefine/>
    <w:qFormat/>
    <w:uiPriority w:val="0"/>
  </w:style>
  <w:style w:type="character" w:customStyle="1" w:styleId="108">
    <w:name w:val="标题 1 字符"/>
    <w:basedOn w:val="43"/>
    <w:link w:val="9"/>
    <w:autoRedefine/>
    <w:qFormat/>
    <w:locked/>
    <w:uiPriority w:val="99"/>
    <w:rPr>
      <w:rFonts w:ascii="宋体" w:hAnsi="宋体" w:eastAsia="宋体" w:cs="宋体"/>
      <w:b/>
      <w:bCs/>
      <w:kern w:val="36"/>
      <w:sz w:val="48"/>
      <w:szCs w:val="48"/>
    </w:rPr>
  </w:style>
  <w:style w:type="paragraph" w:customStyle="1" w:styleId="109">
    <w:name w:val="正文首行缩进两字符"/>
    <w:basedOn w:val="1"/>
    <w:autoRedefine/>
    <w:qFormat/>
    <w:uiPriority w:val="0"/>
    <w:pPr>
      <w:spacing w:line="360" w:lineRule="auto"/>
      <w:ind w:firstLine="200"/>
    </w:pPr>
  </w:style>
  <w:style w:type="paragraph" w:customStyle="1" w:styleId="110">
    <w:name w:val="正文（文章）"/>
    <w:basedOn w:val="1"/>
    <w:autoRedefine/>
    <w:qFormat/>
    <w:uiPriority w:val="0"/>
    <w:pPr>
      <w:ind w:firstLine="560"/>
    </w:pPr>
    <w:rPr>
      <w:rFonts w:cs="宋体"/>
      <w:szCs w:val="20"/>
    </w:rPr>
  </w:style>
  <w:style w:type="paragraph" w:styleId="111">
    <w:name w:val="List Paragraph"/>
    <w:basedOn w:val="1"/>
    <w:autoRedefine/>
    <w:qFormat/>
    <w:uiPriority w:val="34"/>
    <w:pPr>
      <w:ind w:firstLine="420"/>
    </w:pPr>
  </w:style>
  <w:style w:type="paragraph" w:customStyle="1" w:styleId="112">
    <w:name w:val="正文缩进1"/>
    <w:basedOn w:val="1"/>
    <w:autoRedefine/>
    <w:qFormat/>
    <w:uiPriority w:val="0"/>
    <w:pPr>
      <w:ind w:firstLine="420"/>
    </w:pPr>
  </w:style>
  <w:style w:type="paragraph" w:customStyle="1" w:styleId="113">
    <w:name w:val="Heading #2|1"/>
    <w:basedOn w:val="1"/>
    <w:autoRedefine/>
    <w:qFormat/>
    <w:uiPriority w:val="0"/>
    <w:pPr>
      <w:spacing w:after="5580"/>
      <w:jc w:val="center"/>
      <w:outlineLvl w:val="1"/>
    </w:pPr>
    <w:rPr>
      <w:b/>
      <w:bCs/>
      <w:sz w:val="44"/>
      <w:szCs w:val="44"/>
      <w:lang w:val="zh-TW" w:eastAsia="zh-TW" w:bidi="zh-TW"/>
    </w:rPr>
  </w:style>
  <w:style w:type="character" w:customStyle="1" w:styleId="114">
    <w:name w:val="_Style 1 Char"/>
    <w:link w:val="105"/>
    <w:autoRedefine/>
    <w:qFormat/>
    <w:uiPriority w:val="0"/>
    <w:rPr>
      <w:rFonts w:ascii="Calibri" w:hAnsi="Calibri" w:cs="Times New Roman"/>
      <w:sz w:val="28"/>
      <w:szCs w:val="28"/>
    </w:rPr>
  </w:style>
  <w:style w:type="paragraph" w:customStyle="1" w:styleId="115">
    <w:name w:val="+正文 Char Char"/>
    <w:basedOn w:val="1"/>
    <w:autoRedefine/>
    <w:qFormat/>
    <w:uiPriority w:val="0"/>
    <w:pPr>
      <w:spacing w:line="360" w:lineRule="auto"/>
      <w:ind w:firstLine="200"/>
    </w:pPr>
    <w:rPr>
      <w:szCs w:val="28"/>
    </w:rPr>
  </w:style>
  <w:style w:type="paragraph" w:customStyle="1" w:styleId="116">
    <w:name w:val="+●"/>
    <w:autoRedefine/>
    <w:qFormat/>
    <w:uiPriority w:val="0"/>
    <w:pPr>
      <w:numPr>
        <w:ilvl w:val="0"/>
        <w:numId w:val="2"/>
      </w:numPr>
      <w:tabs>
        <w:tab w:val="left" w:pos="900"/>
        <w:tab w:val="left" w:pos="958"/>
      </w:tabs>
      <w:ind w:firstLine="0"/>
    </w:pPr>
    <w:rPr>
      <w:rFonts w:ascii="Times New Roman" w:hAnsi="Times New Roman" w:eastAsia="宋体" w:cs="Times New Roman"/>
      <w:lang w:val="en-US" w:eastAsia="zh-CN" w:bidi="ar-SA"/>
    </w:rPr>
  </w:style>
  <w:style w:type="paragraph" w:customStyle="1" w:styleId="117">
    <w:name w:val="文字"/>
    <w:basedOn w:val="1"/>
    <w:autoRedefine/>
    <w:qFormat/>
    <w:uiPriority w:val="0"/>
    <w:pPr>
      <w:tabs>
        <w:tab w:val="left" w:pos="8520"/>
      </w:tabs>
      <w:spacing w:line="312" w:lineRule="auto"/>
      <w:ind w:right="-210" w:firstLine="556"/>
    </w:pPr>
    <w:rPr>
      <w:rFonts w:ascii="楷体_GB2312" w:eastAsia="楷体_GB2312"/>
      <w:sz w:val="28"/>
      <w:szCs w:val="20"/>
    </w:rPr>
  </w:style>
  <w:style w:type="paragraph" w:customStyle="1" w:styleId="118">
    <w:name w:val="_正文"/>
    <w:basedOn w:val="1"/>
    <w:autoRedefine/>
    <w:qFormat/>
    <w:uiPriority w:val="0"/>
    <w:pPr>
      <w:tabs>
        <w:tab w:val="left" w:pos="540"/>
      </w:tabs>
    </w:pPr>
    <w:rPr>
      <w:rFonts w:cs="Arial"/>
    </w:rPr>
  </w:style>
  <w:style w:type="paragraph" w:customStyle="1" w:styleId="119">
    <w:name w:val="+正文"/>
    <w:basedOn w:val="1"/>
    <w:autoRedefine/>
    <w:qFormat/>
    <w:uiPriority w:val="0"/>
    <w:pPr>
      <w:spacing w:line="360" w:lineRule="auto"/>
      <w:ind w:firstLine="200"/>
    </w:pPr>
  </w:style>
  <w:style w:type="character" w:customStyle="1" w:styleId="120">
    <w:name w:val="fontstyle01"/>
    <w:autoRedefine/>
    <w:qFormat/>
    <w:uiPriority w:val="0"/>
    <w:rPr>
      <w:rFonts w:hint="eastAsia" w:ascii="宋体" w:hAnsi="宋体" w:eastAsia="宋体"/>
      <w:color w:val="000000"/>
      <w:sz w:val="22"/>
      <w:szCs w:val="22"/>
    </w:rPr>
  </w:style>
  <w:style w:type="paragraph" w:customStyle="1" w:styleId="121">
    <w:name w:val="标题4"/>
    <w:basedOn w:val="1"/>
    <w:autoRedefine/>
    <w:qFormat/>
    <w:uiPriority w:val="0"/>
    <w:rPr>
      <w:rFonts w:eastAsia="仿宋_GB2312"/>
      <w:sz w:val="32"/>
      <w:szCs w:val="20"/>
    </w:rPr>
  </w:style>
  <w:style w:type="character" w:customStyle="1" w:styleId="122">
    <w:name w:val="标题 4 Char"/>
    <w:autoRedefine/>
    <w:qFormat/>
    <w:uiPriority w:val="0"/>
    <w:rPr>
      <w:rFonts w:eastAsia="黑体"/>
      <w:b/>
      <w:bCs/>
      <w:kern w:val="2"/>
      <w:sz w:val="30"/>
      <w:szCs w:val="30"/>
      <w:lang w:val="en-US" w:eastAsia="zh-CN" w:bidi="ar-SA"/>
    </w:rPr>
  </w:style>
  <w:style w:type="paragraph" w:customStyle="1" w:styleId="123">
    <w:name w:val="reader-word-layer reader-word-s1-7"/>
    <w:basedOn w:val="1"/>
    <w:autoRedefine/>
    <w:qFormat/>
    <w:uiPriority w:val="0"/>
    <w:pPr>
      <w:widowControl/>
      <w:spacing w:before="100" w:beforeAutospacing="1" w:after="100" w:afterAutospacing="1"/>
      <w:jc w:val="left"/>
    </w:pPr>
    <w:rPr>
      <w:rFonts w:ascii="宋体" w:hAnsi="宋体" w:cs="宋体"/>
      <w:kern w:val="0"/>
    </w:rPr>
  </w:style>
  <w:style w:type="character" w:customStyle="1" w:styleId="124">
    <w:name w:val="font11"/>
    <w:basedOn w:val="43"/>
    <w:autoRedefine/>
    <w:qFormat/>
    <w:uiPriority w:val="0"/>
    <w:rPr>
      <w:rFonts w:hint="eastAsia" w:ascii="宋体" w:hAnsi="宋体" w:eastAsia="宋体" w:cs="宋体"/>
      <w:color w:val="000000"/>
      <w:sz w:val="20"/>
      <w:szCs w:val="20"/>
      <w:u w:val="none"/>
    </w:rPr>
  </w:style>
  <w:style w:type="character" w:customStyle="1" w:styleId="125">
    <w:name w:val="10"/>
    <w:autoRedefine/>
    <w:qFormat/>
    <w:uiPriority w:val="0"/>
    <w:rPr>
      <w:rFonts w:hint="default" w:ascii="Times New Roman" w:hAnsi="Times New Roman" w:cs="Times New Roman"/>
    </w:rPr>
  </w:style>
  <w:style w:type="paragraph" w:customStyle="1" w:styleId="126">
    <w:name w:val="blockquote"/>
    <w:basedOn w:val="1"/>
    <w:autoRedefine/>
    <w:qFormat/>
    <w:uiPriority w:val="0"/>
    <w:pPr>
      <w:widowControl/>
      <w:spacing w:before="100" w:beforeAutospacing="1" w:after="100" w:afterAutospacing="1"/>
      <w:jc w:val="left"/>
    </w:pPr>
    <w:rPr>
      <w:rFonts w:ascii="宋体" w:hAnsi="宋体"/>
      <w:kern w:val="0"/>
    </w:rPr>
  </w:style>
  <w:style w:type="paragraph" w:customStyle="1" w:styleId="127">
    <w:name w:val="无间隔3"/>
    <w:autoRedefine/>
    <w:qFormat/>
    <w:uiPriority w:val="1"/>
    <w:rPr>
      <w:rFonts w:ascii="Times New Roman" w:hAnsi="Times New Roman" w:eastAsia="宋体" w:cs="Times New Roman"/>
      <w:sz w:val="22"/>
      <w:szCs w:val="22"/>
      <w:lang w:val="en-US" w:eastAsia="en-US" w:bidi="en-US"/>
    </w:rPr>
  </w:style>
  <w:style w:type="paragraph" w:customStyle="1" w:styleId="128">
    <w:name w:val="正文文本缩进1"/>
    <w:basedOn w:val="1"/>
    <w:autoRedefine/>
    <w:qFormat/>
    <w:uiPriority w:val="0"/>
    <w:pPr>
      <w:spacing w:line="360" w:lineRule="auto"/>
      <w:ind w:firstLine="435"/>
    </w:pPr>
    <w:rPr>
      <w:sz w:val="28"/>
    </w:rPr>
  </w:style>
  <w:style w:type="paragraph" w:customStyle="1" w:styleId="129">
    <w:name w:val="No Spacing_7e509324-65a2-4ed7-bf10-9eaa9c0383f4"/>
    <w:autoRedefine/>
    <w:qFormat/>
    <w:uiPriority w:val="1"/>
    <w:rPr>
      <w:rFonts w:ascii="Times New Roman" w:hAnsi="Times New Roman" w:eastAsia="宋体" w:cs="Times New Roman"/>
      <w:sz w:val="22"/>
      <w:szCs w:val="22"/>
      <w:lang w:val="en-US" w:eastAsia="en-US" w:bidi="en-US"/>
    </w:rPr>
  </w:style>
  <w:style w:type="paragraph" w:customStyle="1" w:styleId="130">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131">
    <w:name w:val="无间距1"/>
    <w:autoRedefine/>
    <w:qFormat/>
    <w:uiPriority w:val="1"/>
    <w:pPr>
      <w:widowControl w:val="0"/>
      <w:jc w:val="both"/>
    </w:pPr>
    <w:rPr>
      <w:rFonts w:ascii="Calibri" w:hAnsi="Calibri" w:eastAsia="微软雅黑 Light" w:cs="Times New Roman"/>
      <w:kern w:val="2"/>
      <w:sz w:val="24"/>
      <w:szCs w:val="22"/>
      <w:lang w:val="en-US" w:eastAsia="zh-CN" w:bidi="ar-SA"/>
    </w:rPr>
  </w:style>
  <w:style w:type="paragraph" w:customStyle="1" w:styleId="132">
    <w:name w:val="正文（缩进）"/>
    <w:autoRedefine/>
    <w:qFormat/>
    <w:uiPriority w:val="0"/>
    <w:pPr>
      <w:widowControl w:val="0"/>
      <w:spacing w:before="156" w:after="156"/>
      <w:ind w:firstLine="480" w:firstLineChars="200"/>
      <w:jc w:val="both"/>
    </w:pPr>
    <w:rPr>
      <w:rFonts w:ascii="Times New Roman" w:hAnsi="Times New Roman" w:eastAsia="宋体" w:cs="Times New Roman"/>
      <w:kern w:val="2"/>
      <w:sz w:val="21"/>
      <w:szCs w:val="24"/>
      <w:lang w:val="en-US" w:eastAsia="zh-CN" w:bidi="ar-SA"/>
    </w:rPr>
  </w:style>
  <w:style w:type="paragraph" w:customStyle="1" w:styleId="133">
    <w:name w:val="_正文段落"/>
    <w:basedOn w:val="1"/>
    <w:autoRedefine/>
    <w:qFormat/>
    <w:uiPriority w:val="0"/>
    <w:pPr>
      <w:spacing w:beforeLines="15" w:afterLines="15" w:line="360" w:lineRule="auto"/>
      <w:ind w:firstLine="560"/>
    </w:pPr>
    <w:rPr>
      <w:rFonts w:eastAsia="仿宋"/>
      <w:sz w:val="28"/>
    </w:rPr>
  </w:style>
  <w:style w:type="paragraph" w:customStyle="1" w:styleId="134">
    <w:name w:val="正文2"/>
    <w:basedOn w:val="1"/>
    <w:next w:val="30"/>
    <w:autoRedefine/>
    <w:qFormat/>
    <w:uiPriority w:val="0"/>
    <w:pPr>
      <w:spacing w:before="156" w:line="360" w:lineRule="auto"/>
      <w:ind w:firstLine="510"/>
    </w:pPr>
  </w:style>
  <w:style w:type="paragraph" w:customStyle="1" w:styleId="135">
    <w:name w:val="Other|1"/>
    <w:basedOn w:val="1"/>
    <w:autoRedefine/>
    <w:qFormat/>
    <w:uiPriority w:val="0"/>
    <w:pPr>
      <w:spacing w:line="415" w:lineRule="auto"/>
      <w:ind w:firstLine="400"/>
    </w:pPr>
    <w:rPr>
      <w:rFonts w:ascii="宋体" w:hAnsi="宋体" w:cs="宋体"/>
      <w:sz w:val="22"/>
      <w:szCs w:val="22"/>
      <w:lang w:val="zh-TW" w:eastAsia="zh-TW" w:bidi="zh-TW"/>
    </w:rPr>
  </w:style>
  <w:style w:type="paragraph" w:customStyle="1" w:styleId="136">
    <w:name w:val="内文正文"/>
    <w:autoRedefine/>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137">
    <w:name w:val="正文_0"/>
    <w:next w:val="138"/>
    <w:autoRedefine/>
    <w:qFormat/>
    <w:uiPriority w:val="1"/>
    <w:pPr>
      <w:jc w:val="both"/>
    </w:pPr>
    <w:rPr>
      <w:rFonts w:ascii="Times New Roman" w:hAnsi="Times New Roman" w:eastAsia="宋体" w:cs="Times New Roman"/>
      <w:sz w:val="21"/>
      <w:szCs w:val="21"/>
      <w:lang w:val="en-US" w:eastAsia="zh-CN" w:bidi="ar-SA"/>
    </w:rPr>
  </w:style>
  <w:style w:type="paragraph" w:customStyle="1" w:styleId="138">
    <w:name w:val="正文首行缩进_0"/>
    <w:basedOn w:val="139"/>
    <w:next w:val="137"/>
    <w:autoRedefine/>
    <w:qFormat/>
    <w:uiPriority w:val="0"/>
    <w:pPr>
      <w:spacing w:after="0"/>
      <w:ind w:firstLine="420"/>
      <w:jc w:val="left"/>
    </w:pPr>
    <w:rPr>
      <w:sz w:val="20"/>
      <w:szCs w:val="20"/>
    </w:rPr>
  </w:style>
  <w:style w:type="paragraph" w:customStyle="1" w:styleId="139">
    <w:name w:val="正文文本_0"/>
    <w:basedOn w:val="137"/>
    <w:next w:val="138"/>
    <w:autoRedefine/>
    <w:qFormat/>
    <w:uiPriority w:val="0"/>
    <w:pPr>
      <w:spacing w:after="120"/>
    </w:pPr>
  </w:style>
  <w:style w:type="paragraph" w:customStyle="1" w:styleId="140">
    <w:name w:val="正文_1"/>
    <w:next w:val="141"/>
    <w:autoRedefine/>
    <w:qFormat/>
    <w:uiPriority w:val="1"/>
    <w:pPr>
      <w:jc w:val="both"/>
    </w:pPr>
    <w:rPr>
      <w:rFonts w:ascii="Times New Roman" w:hAnsi="Times New Roman" w:eastAsia="宋体" w:cs="Times New Roman"/>
      <w:sz w:val="21"/>
      <w:szCs w:val="21"/>
      <w:lang w:val="en-US" w:eastAsia="zh-CN" w:bidi="ar-SA"/>
    </w:rPr>
  </w:style>
  <w:style w:type="paragraph" w:customStyle="1" w:styleId="141">
    <w:name w:val="标题 2_1"/>
    <w:basedOn w:val="142"/>
    <w:next w:val="140"/>
    <w:autoRedefine/>
    <w:qFormat/>
    <w:uiPriority w:val="8"/>
    <w:pPr>
      <w:keepNext/>
      <w:keepLines/>
      <w:outlineLvl w:val="1"/>
    </w:pPr>
    <w:rPr>
      <w:rFonts w:ascii="Arial" w:hAnsi="Arial" w:eastAsia="Arial"/>
      <w:b/>
      <w:sz w:val="24"/>
      <w:szCs w:val="24"/>
    </w:rPr>
  </w:style>
  <w:style w:type="paragraph" w:customStyle="1" w:styleId="142">
    <w:name w:val="正文_5_0"/>
    <w:autoRedefine/>
    <w:qFormat/>
    <w:uiPriority w:val="1"/>
    <w:pPr>
      <w:jc w:val="both"/>
    </w:pPr>
    <w:rPr>
      <w:rFonts w:ascii="等线" w:hAnsi="等线" w:eastAsia="等线" w:cs="Times New Roman"/>
      <w:sz w:val="21"/>
      <w:szCs w:val="21"/>
      <w:lang w:val="en-US" w:eastAsia="zh-CN" w:bidi="ar-SA"/>
    </w:rPr>
  </w:style>
  <w:style w:type="paragraph" w:customStyle="1" w:styleId="143">
    <w:name w:val="正文_1_1"/>
    <w:next w:val="144"/>
    <w:autoRedefine/>
    <w:qFormat/>
    <w:uiPriority w:val="1"/>
    <w:pPr>
      <w:jc w:val="both"/>
    </w:pPr>
    <w:rPr>
      <w:rFonts w:ascii="Times New Roman" w:hAnsi="Times New Roman" w:eastAsia="宋体" w:cs="Times New Roman"/>
      <w:sz w:val="21"/>
      <w:szCs w:val="21"/>
      <w:lang w:val="en-US" w:eastAsia="zh-CN" w:bidi="ar-SA"/>
    </w:rPr>
  </w:style>
  <w:style w:type="paragraph" w:customStyle="1" w:styleId="144">
    <w:name w:val="正文首行缩进_1_0"/>
    <w:basedOn w:val="145"/>
    <w:next w:val="143"/>
    <w:autoRedefine/>
    <w:qFormat/>
    <w:uiPriority w:val="0"/>
    <w:pPr>
      <w:ind w:firstLine="420"/>
    </w:pPr>
  </w:style>
  <w:style w:type="paragraph" w:customStyle="1" w:styleId="145">
    <w:name w:val="正文文本_1_0"/>
    <w:basedOn w:val="146"/>
    <w:next w:val="144"/>
    <w:autoRedefine/>
    <w:unhideWhenUsed/>
    <w:qFormat/>
    <w:uiPriority w:val="0"/>
    <w:pPr>
      <w:spacing w:after="120"/>
    </w:pPr>
    <w:rPr>
      <w:sz w:val="20"/>
    </w:rPr>
  </w:style>
  <w:style w:type="paragraph" w:customStyle="1" w:styleId="146">
    <w:name w:val="正文_1_0"/>
    <w:next w:val="145"/>
    <w:autoRedefine/>
    <w:qFormat/>
    <w:uiPriority w:val="1"/>
    <w:pPr>
      <w:jc w:val="both"/>
    </w:pPr>
    <w:rPr>
      <w:rFonts w:ascii="Times New Roman" w:hAnsi="Times New Roman"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4610C7-9720-4661-92D6-CA247C55786F}">
  <ds:schemaRefs/>
</ds:datastoreItem>
</file>

<file path=docProps/app.xml><?xml version="1.0" encoding="utf-8"?>
<Properties xmlns="http://schemas.openxmlformats.org/officeDocument/2006/extended-properties" xmlns:vt="http://schemas.openxmlformats.org/officeDocument/2006/docPropsVTypes">
  <Template>Normal</Template>
  <Pages>64</Pages>
  <Words>16866</Words>
  <Characters>18345</Characters>
  <Lines>1</Lines>
  <Paragraphs>1</Paragraphs>
  <TotalTime>3</TotalTime>
  <ScaleCrop>false</ScaleCrop>
  <LinksUpToDate>false</LinksUpToDate>
  <CharactersWithSpaces>18490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2021-09-14T03:18:00Z</dcterms:created>
  <dc:creator>宇正-王</dc:creator>
  <cp:lastModifiedBy>Administrator</cp:lastModifiedBy>
  <cp:lastPrinted>2023-04-13T06:05:00Z</cp:lastPrinted>
  <dcterms:modified xsi:type="dcterms:W3CDTF">2025-06-19T08:31:45Z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0BD70801E5A8438DAE3A951C5CFB100D_13</vt:lpwstr>
  </property>
  <property fmtid="{D5CDD505-2E9C-101B-9397-08002B2CF9AE}" pid="4" name="KSOTemplateDocerSaveRecord">
    <vt:lpwstr>eyJoZGlkIjoiYmNhZDBhZDQ5ZWM5NWUzMTM3YzBlMGYyYzM4ZDhlOTYiLCJ1c2VySWQiOiIxMTU5NDcwNzk3In0=</vt:lpwstr>
  </property>
</Properties>
</file>