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34B96">
      <w:pPr>
        <w:pageBreakBefore w:val="0"/>
        <w:kinsoku/>
        <w:topLinePunct w:val="0"/>
        <w:bidi w:val="0"/>
        <w:spacing w:line="360" w:lineRule="auto"/>
        <w:jc w:val="center"/>
        <w:rPr>
          <w:rFonts w:hint="eastAsia" w:ascii="仿宋" w:hAnsi="仿宋" w:eastAsia="仿宋" w:cs="仿宋"/>
          <w:b/>
          <w:color w:val="000000"/>
          <w:sz w:val="84"/>
          <w:szCs w:val="84"/>
          <w:highlight w:val="none"/>
          <w:lang w:eastAsia="zh-CN"/>
        </w:rPr>
      </w:pPr>
      <w:r>
        <w:rPr>
          <w:rFonts w:hint="eastAsia" w:ascii="仿宋" w:hAnsi="仿宋" w:eastAsia="仿宋" w:cs="仿宋"/>
          <w:b/>
          <w:color w:val="000000"/>
          <w:sz w:val="48"/>
          <w:szCs w:val="48"/>
          <w:highlight w:val="none"/>
          <w:lang w:val="en-US" w:eastAsia="zh-CN"/>
        </w:rPr>
        <w:t>浙江省芳村溪幸福河湖建设项目招标代理及施工阶段全过程工程造价控制</w:t>
      </w:r>
    </w:p>
    <w:p w14:paraId="2802E586">
      <w:pPr>
        <w:pageBreakBefore w:val="0"/>
        <w:kinsoku/>
        <w:topLinePunct w:val="0"/>
        <w:bidi w:val="0"/>
        <w:spacing w:line="360" w:lineRule="auto"/>
        <w:jc w:val="both"/>
        <w:rPr>
          <w:rFonts w:hint="eastAsia" w:ascii="仿宋" w:hAnsi="仿宋" w:eastAsia="仿宋" w:cs="仿宋"/>
          <w:b/>
          <w:color w:val="000000"/>
          <w:sz w:val="84"/>
          <w:szCs w:val="84"/>
          <w:highlight w:val="none"/>
          <w:lang w:eastAsia="zh-CN"/>
        </w:rPr>
      </w:pPr>
    </w:p>
    <w:p w14:paraId="7C503D7A">
      <w:pPr>
        <w:pageBreakBefore w:val="0"/>
        <w:kinsoku/>
        <w:topLinePunct w:val="0"/>
        <w:bidi w:val="0"/>
        <w:spacing w:line="360" w:lineRule="auto"/>
        <w:jc w:val="center"/>
        <w:rPr>
          <w:rFonts w:hint="eastAsia" w:ascii="仿宋" w:hAnsi="仿宋" w:eastAsia="仿宋" w:cs="仿宋"/>
          <w:b/>
          <w:color w:val="000000"/>
          <w:szCs w:val="21"/>
          <w:highlight w:val="none"/>
          <w:lang w:eastAsia="zh-CN"/>
        </w:rPr>
      </w:pPr>
      <w:r>
        <w:rPr>
          <w:rFonts w:hint="eastAsia" w:ascii="仿宋" w:hAnsi="仿宋" w:eastAsia="仿宋" w:cs="仿宋"/>
          <w:b/>
          <w:color w:val="000000"/>
          <w:sz w:val="84"/>
          <w:szCs w:val="84"/>
          <w:highlight w:val="none"/>
          <w:lang w:eastAsia="zh-CN"/>
        </w:rPr>
        <w:t>磋商文件</w:t>
      </w:r>
    </w:p>
    <w:p w14:paraId="6CA1714E">
      <w:pPr>
        <w:pageBreakBefore w:val="0"/>
        <w:kinsoku/>
        <w:topLinePunct w:val="0"/>
        <w:bidi w:val="0"/>
        <w:spacing w:line="360" w:lineRule="auto"/>
        <w:jc w:val="center"/>
        <w:rPr>
          <w:rFonts w:hint="eastAsia" w:ascii="仿宋" w:hAnsi="仿宋" w:eastAsia="仿宋" w:cs="仿宋"/>
          <w:color w:val="000000"/>
          <w:sz w:val="32"/>
          <w:szCs w:val="32"/>
          <w:highlight w:val="none"/>
        </w:rPr>
      </w:pPr>
      <w:r>
        <w:rPr>
          <w:rFonts w:hint="eastAsia" w:ascii="仿宋" w:hAnsi="仿宋" w:eastAsia="仿宋" w:cs="仿宋"/>
          <w:b/>
          <w:color w:val="000000"/>
          <w:sz w:val="30"/>
          <w:szCs w:val="30"/>
          <w:highlight w:val="none"/>
        </w:rPr>
        <w:t xml:space="preserve"> </w:t>
      </w:r>
    </w:p>
    <w:p w14:paraId="791F0CA9">
      <w:pPr>
        <w:pageBreakBefore w:val="0"/>
        <w:kinsoku/>
        <w:topLinePunct w:val="0"/>
        <w:bidi w:val="0"/>
        <w:spacing w:line="360" w:lineRule="auto"/>
        <w:jc w:val="center"/>
        <w:rPr>
          <w:rFonts w:hint="eastAsia" w:ascii="仿宋" w:hAnsi="仿宋" w:eastAsia="仿宋" w:cs="仿宋"/>
          <w:b/>
          <w:color w:val="000000"/>
          <w:sz w:val="32"/>
          <w:szCs w:val="32"/>
          <w:highlight w:val="none"/>
          <w:lang w:eastAsia="zh-CN"/>
        </w:rPr>
      </w:pPr>
      <w:r>
        <w:rPr>
          <w:rFonts w:hint="eastAsia" w:ascii="仿宋" w:hAnsi="仿宋" w:eastAsia="仿宋" w:cs="仿宋"/>
          <w:color w:val="000000"/>
          <w:sz w:val="32"/>
          <w:szCs w:val="32"/>
          <w:highlight w:val="none"/>
        </w:rPr>
        <w:t>项目编号：</w:t>
      </w:r>
      <w:r>
        <w:rPr>
          <w:rFonts w:hint="eastAsia" w:ascii="仿宋" w:hAnsi="仿宋" w:eastAsia="仿宋" w:cs="仿宋"/>
          <w:color w:val="000000"/>
          <w:sz w:val="32"/>
          <w:szCs w:val="32"/>
          <w:highlight w:val="none"/>
          <w:lang w:eastAsia="zh-CN"/>
        </w:rPr>
        <w:t>ZSCG2025107-CS107</w:t>
      </w:r>
    </w:p>
    <w:p w14:paraId="1C1020F7">
      <w:pPr>
        <w:pageBreakBefore w:val="0"/>
        <w:kinsoku/>
        <w:topLinePunct w:val="0"/>
        <w:bidi w:val="0"/>
        <w:spacing w:line="360" w:lineRule="auto"/>
        <w:jc w:val="center"/>
        <w:rPr>
          <w:rFonts w:hint="eastAsia" w:ascii="仿宋" w:hAnsi="仿宋" w:eastAsia="仿宋" w:cs="仿宋"/>
          <w:color w:val="000000"/>
          <w:sz w:val="32"/>
          <w:szCs w:val="32"/>
          <w:highlight w:val="none"/>
        </w:rPr>
      </w:pPr>
    </w:p>
    <w:p w14:paraId="7E5CD0E8">
      <w:pPr>
        <w:pageBreakBefore w:val="0"/>
        <w:kinsoku/>
        <w:topLinePunct w:val="0"/>
        <w:bidi w:val="0"/>
        <w:spacing w:line="360" w:lineRule="auto"/>
        <w:jc w:val="center"/>
        <w:rPr>
          <w:rFonts w:hint="eastAsia" w:ascii="仿宋" w:hAnsi="仿宋" w:eastAsia="仿宋" w:cs="仿宋"/>
          <w:color w:val="000000"/>
          <w:sz w:val="32"/>
          <w:szCs w:val="32"/>
          <w:highlight w:val="none"/>
        </w:rPr>
      </w:pPr>
    </w:p>
    <w:p w14:paraId="7C5BD478">
      <w:pPr>
        <w:pageBreakBefore w:val="0"/>
        <w:kinsoku/>
        <w:topLinePunct w:val="0"/>
        <w:bidi w:val="0"/>
        <w:spacing w:line="360" w:lineRule="auto"/>
        <w:jc w:val="both"/>
        <w:rPr>
          <w:rFonts w:hint="eastAsia" w:ascii="仿宋" w:hAnsi="仿宋" w:eastAsia="仿宋" w:cs="仿宋"/>
          <w:color w:val="000000"/>
          <w:sz w:val="32"/>
          <w:szCs w:val="32"/>
          <w:highlight w:val="none"/>
        </w:rPr>
      </w:pPr>
    </w:p>
    <w:p w14:paraId="3A0BF4D1">
      <w:pPr>
        <w:pageBreakBefore w:val="0"/>
        <w:kinsoku/>
        <w:topLinePunct w:val="0"/>
        <w:bidi w:val="0"/>
        <w:spacing w:line="360" w:lineRule="auto"/>
        <w:ind w:firstLine="1772" w:firstLineChars="554"/>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采购人：</w:t>
      </w:r>
      <w:r>
        <w:rPr>
          <w:rFonts w:hint="eastAsia" w:ascii="仿宋" w:hAnsi="仿宋" w:eastAsia="仿宋" w:cs="仿宋"/>
          <w:color w:val="000000"/>
          <w:sz w:val="32"/>
          <w:szCs w:val="32"/>
          <w:highlight w:val="none"/>
          <w:lang w:eastAsia="zh-CN"/>
        </w:rPr>
        <w:t>常山县水利发展投资有限责任公司</w:t>
      </w:r>
    </w:p>
    <w:p w14:paraId="002DF90A">
      <w:pPr>
        <w:pageBreakBefore w:val="0"/>
        <w:kinsoku/>
        <w:topLinePunct w:val="0"/>
        <w:bidi w:val="0"/>
        <w:spacing w:line="360" w:lineRule="auto"/>
        <w:ind w:firstLine="1772" w:firstLineChars="554"/>
        <w:rPr>
          <w:rFonts w:hint="eastAsia" w:ascii="仿宋" w:hAnsi="仿宋" w:eastAsia="仿宋" w:cs="仿宋"/>
          <w:color w:val="000000"/>
          <w:sz w:val="32"/>
          <w:highlight w:val="none"/>
          <w:lang w:val="en-US" w:eastAsia="zh-CN"/>
        </w:rPr>
      </w:pPr>
      <w:r>
        <w:rPr>
          <w:rFonts w:hint="eastAsia" w:ascii="仿宋" w:hAnsi="仿宋" w:eastAsia="仿宋" w:cs="仿宋"/>
          <w:color w:val="000000"/>
          <w:sz w:val="32"/>
          <w:highlight w:val="none"/>
        </w:rPr>
        <w:t>代理机构</w:t>
      </w:r>
      <w:r>
        <w:rPr>
          <w:rFonts w:hint="eastAsia" w:ascii="仿宋" w:hAnsi="仿宋" w:eastAsia="仿宋" w:cs="仿宋"/>
          <w:color w:val="000000"/>
          <w:sz w:val="32"/>
          <w:highlight w:val="none"/>
          <w:lang w:eastAsia="zh-CN"/>
        </w:rPr>
        <w:t>：浙江哲晟工程项目管理有限公司</w:t>
      </w:r>
    </w:p>
    <w:p w14:paraId="100A9D4C">
      <w:pPr>
        <w:pageBreakBefore w:val="0"/>
        <w:kinsoku/>
        <w:topLinePunct w:val="0"/>
        <w:bidi w:val="0"/>
        <w:spacing w:line="360" w:lineRule="auto"/>
        <w:jc w:val="center"/>
        <w:rPr>
          <w:rFonts w:hint="eastAsia" w:ascii="仿宋" w:hAnsi="仿宋" w:eastAsia="仿宋" w:cs="仿宋"/>
          <w:color w:val="000000"/>
          <w:sz w:val="32"/>
          <w:highlight w:val="none"/>
          <w:lang w:val="en-US" w:eastAsia="zh-CN"/>
        </w:rPr>
      </w:pPr>
    </w:p>
    <w:p w14:paraId="5C5EFAC8">
      <w:pPr>
        <w:pageBreakBefore w:val="0"/>
        <w:kinsoku/>
        <w:topLinePunct w:val="0"/>
        <w:bidi w:val="0"/>
        <w:spacing w:line="360" w:lineRule="auto"/>
        <w:jc w:val="center"/>
        <w:rPr>
          <w:rFonts w:hint="eastAsia" w:ascii="仿宋" w:hAnsi="仿宋" w:eastAsia="仿宋" w:cs="仿宋"/>
          <w:color w:val="000000"/>
          <w:sz w:val="32"/>
          <w:highlight w:val="none"/>
        </w:rPr>
      </w:pPr>
      <w:r>
        <w:rPr>
          <w:rFonts w:hint="eastAsia" w:ascii="仿宋" w:hAnsi="仿宋" w:eastAsia="仿宋" w:cs="仿宋"/>
          <w:color w:val="000000"/>
          <w:sz w:val="32"/>
          <w:highlight w:val="none"/>
          <w:lang w:val="en-US" w:eastAsia="zh-CN"/>
        </w:rPr>
        <w:t>2025</w:t>
      </w:r>
      <w:r>
        <w:rPr>
          <w:rFonts w:hint="eastAsia" w:ascii="仿宋" w:hAnsi="仿宋" w:eastAsia="仿宋" w:cs="仿宋"/>
          <w:color w:val="000000"/>
          <w:sz w:val="32"/>
          <w:highlight w:val="none"/>
          <w:lang w:eastAsia="zh-CN"/>
        </w:rPr>
        <w:t>年</w:t>
      </w:r>
      <w:r>
        <w:rPr>
          <w:rFonts w:hint="eastAsia" w:ascii="仿宋" w:hAnsi="仿宋" w:eastAsia="仿宋" w:cs="仿宋"/>
          <w:color w:val="000000"/>
          <w:sz w:val="32"/>
          <w:highlight w:val="none"/>
          <w:lang w:val="en-US" w:eastAsia="zh-CN"/>
        </w:rPr>
        <w:t>06</w:t>
      </w:r>
      <w:r>
        <w:rPr>
          <w:rFonts w:hint="eastAsia" w:ascii="仿宋" w:hAnsi="仿宋" w:eastAsia="仿宋" w:cs="仿宋"/>
          <w:color w:val="000000"/>
          <w:sz w:val="32"/>
          <w:highlight w:val="none"/>
          <w:lang w:eastAsia="zh-CN"/>
        </w:rPr>
        <w:t>月</w:t>
      </w:r>
      <w:r>
        <w:rPr>
          <w:rFonts w:hint="eastAsia" w:ascii="仿宋" w:hAnsi="仿宋" w:eastAsia="仿宋" w:cs="仿宋"/>
          <w:b/>
          <w:color w:val="000000"/>
          <w:sz w:val="48"/>
          <w:szCs w:val="48"/>
          <w:highlight w:val="none"/>
          <w:lang w:val="en-US" w:eastAsia="zh-CN"/>
        </w:rPr>
        <w:t xml:space="preserve"> </w:t>
      </w:r>
    </w:p>
    <w:p w14:paraId="15838F62">
      <w:pPr>
        <w:pStyle w:val="26"/>
        <w:pageBreakBefore w:val="0"/>
        <w:kinsoku/>
        <w:topLinePunct w:val="0"/>
        <w:bidi w:val="0"/>
        <w:spacing w:line="360" w:lineRule="auto"/>
        <w:jc w:val="center"/>
        <w:rPr>
          <w:rFonts w:hint="eastAsia" w:ascii="仿宋" w:hAnsi="仿宋" w:eastAsia="仿宋" w:cs="仿宋"/>
          <w:bCs/>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559" w:right="1134" w:bottom="1134" w:left="1134" w:header="720" w:footer="706" w:gutter="0"/>
          <w:pgNumType w:fmt="decimal" w:start="1"/>
          <w:cols w:space="720" w:num="1"/>
          <w:titlePg/>
          <w:docGrid w:type="linesAndChars" w:linePitch="380" w:charSpace="0"/>
        </w:sectPr>
      </w:pPr>
    </w:p>
    <w:p w14:paraId="585836B9">
      <w:pPr>
        <w:pStyle w:val="26"/>
        <w:pageBreakBefore w:val="0"/>
        <w:kinsoku/>
        <w:topLinePunct w:val="0"/>
        <w:bidi w:val="0"/>
        <w:spacing w:line="360" w:lineRule="auto"/>
        <w:jc w:val="center"/>
        <w:rPr>
          <w:rFonts w:hint="eastAsia" w:ascii="仿宋" w:hAnsi="仿宋" w:eastAsia="仿宋" w:cs="仿宋"/>
          <w:bCs/>
          <w:sz w:val="44"/>
          <w:szCs w:val="44"/>
          <w:highlight w:val="none"/>
          <w:lang w:eastAsia="zh-CN"/>
        </w:rPr>
      </w:pPr>
    </w:p>
    <w:p w14:paraId="26DFFF25">
      <w:pPr>
        <w:pStyle w:val="26"/>
        <w:pageBreakBefore w:val="0"/>
        <w:kinsoku/>
        <w:topLinePunct w:val="0"/>
        <w:bidi w:val="0"/>
        <w:spacing w:line="360" w:lineRule="auto"/>
        <w:jc w:val="center"/>
        <w:rPr>
          <w:rFonts w:hint="eastAsia" w:ascii="仿宋" w:hAnsi="仿宋" w:eastAsia="仿宋" w:cs="仿宋"/>
          <w:bCs/>
          <w:sz w:val="44"/>
          <w:szCs w:val="44"/>
          <w:highlight w:val="none"/>
        </w:rPr>
      </w:pPr>
      <w:r>
        <w:rPr>
          <w:rFonts w:hint="eastAsia" w:ascii="仿宋" w:hAnsi="仿宋" w:eastAsia="仿宋" w:cs="仿宋"/>
          <w:bCs/>
          <w:sz w:val="44"/>
          <w:szCs w:val="44"/>
          <w:highlight w:val="none"/>
        </w:rPr>
        <w:t>目    录</w:t>
      </w:r>
    </w:p>
    <w:p w14:paraId="7BE35450">
      <w:pPr>
        <w:pStyle w:val="26"/>
        <w:pageBreakBefore w:val="0"/>
        <w:kinsoku/>
        <w:topLinePunct w:val="0"/>
        <w:bidi w:val="0"/>
        <w:spacing w:line="360" w:lineRule="auto"/>
        <w:jc w:val="center"/>
        <w:rPr>
          <w:rFonts w:hint="eastAsia" w:ascii="仿宋" w:hAnsi="仿宋" w:eastAsia="仿宋" w:cs="仿宋"/>
          <w:b/>
          <w:bCs/>
          <w:szCs w:val="21"/>
          <w:highlight w:val="none"/>
        </w:rPr>
      </w:pPr>
    </w:p>
    <w:p w14:paraId="00310936">
      <w:pPr>
        <w:pStyle w:val="35"/>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TOC \o "1-3" \h \z \u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_Toc7256 </w:instrText>
      </w:r>
      <w:r>
        <w:rPr>
          <w:rFonts w:hint="eastAsia" w:ascii="仿宋" w:hAnsi="仿宋" w:eastAsia="仿宋" w:cs="仿宋"/>
          <w:szCs w:val="21"/>
          <w:highlight w:val="none"/>
        </w:rPr>
        <w:fldChar w:fldCharType="separate"/>
      </w:r>
      <w:r>
        <w:rPr>
          <w:rFonts w:hint="eastAsia" w:ascii="仿宋" w:hAnsi="仿宋" w:eastAsia="仿宋" w:cs="仿宋"/>
          <w:szCs w:val="32"/>
          <w:highlight w:val="none"/>
          <w:lang w:val="zh-CN" w:eastAsia="zh-CN"/>
        </w:rPr>
        <w:t>第一章  磋商公告</w:t>
      </w:r>
      <w:r>
        <w:rPr>
          <w:highlight w:val="none"/>
        </w:rPr>
        <w:tab/>
      </w:r>
      <w:r>
        <w:rPr>
          <w:highlight w:val="none"/>
        </w:rPr>
        <w:fldChar w:fldCharType="begin"/>
      </w:r>
      <w:r>
        <w:rPr>
          <w:highlight w:val="none"/>
        </w:rPr>
        <w:instrText xml:space="preserve"> PAGEREF _Toc7256 \h </w:instrText>
      </w:r>
      <w:r>
        <w:rPr>
          <w:highlight w:val="none"/>
        </w:rPr>
        <w:fldChar w:fldCharType="separate"/>
      </w:r>
      <w:r>
        <w:rPr>
          <w:highlight w:val="none"/>
        </w:rPr>
        <w:t>3</w:t>
      </w:r>
      <w:r>
        <w:rPr>
          <w:highlight w:val="none"/>
        </w:rPr>
        <w:fldChar w:fldCharType="end"/>
      </w:r>
      <w:r>
        <w:rPr>
          <w:rFonts w:hint="eastAsia" w:ascii="仿宋" w:hAnsi="仿宋" w:eastAsia="仿宋" w:cs="仿宋"/>
          <w:szCs w:val="21"/>
          <w:highlight w:val="none"/>
        </w:rPr>
        <w:fldChar w:fldCharType="end"/>
      </w:r>
    </w:p>
    <w:p w14:paraId="04618476">
      <w:pPr>
        <w:pStyle w:val="35"/>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_Toc17305 </w:instrText>
      </w:r>
      <w:r>
        <w:rPr>
          <w:rFonts w:hint="eastAsia" w:ascii="仿宋" w:hAnsi="仿宋" w:eastAsia="仿宋" w:cs="仿宋"/>
          <w:szCs w:val="21"/>
          <w:highlight w:val="none"/>
        </w:rPr>
        <w:fldChar w:fldCharType="separate"/>
      </w:r>
      <w:r>
        <w:rPr>
          <w:rFonts w:hint="eastAsia" w:ascii="仿宋" w:hAnsi="仿宋" w:eastAsia="仿宋" w:cs="仿宋"/>
          <w:szCs w:val="32"/>
          <w:highlight w:val="none"/>
          <w:lang w:val="zh-CN" w:eastAsia="zh-CN"/>
        </w:rPr>
        <w:t>第二章  供应商须知</w:t>
      </w:r>
      <w:r>
        <w:rPr>
          <w:highlight w:val="none"/>
        </w:rPr>
        <w:tab/>
      </w:r>
      <w:r>
        <w:rPr>
          <w:highlight w:val="none"/>
        </w:rPr>
        <w:fldChar w:fldCharType="begin"/>
      </w:r>
      <w:r>
        <w:rPr>
          <w:highlight w:val="none"/>
        </w:rPr>
        <w:instrText xml:space="preserve"> PAGEREF _Toc17305 \h </w:instrText>
      </w:r>
      <w:r>
        <w:rPr>
          <w:highlight w:val="none"/>
        </w:rPr>
        <w:fldChar w:fldCharType="separate"/>
      </w:r>
      <w:r>
        <w:rPr>
          <w:highlight w:val="none"/>
        </w:rPr>
        <w:t>7</w:t>
      </w:r>
      <w:r>
        <w:rPr>
          <w:highlight w:val="none"/>
        </w:rPr>
        <w:fldChar w:fldCharType="end"/>
      </w:r>
      <w:r>
        <w:rPr>
          <w:rFonts w:hint="eastAsia" w:ascii="仿宋" w:hAnsi="仿宋" w:eastAsia="仿宋" w:cs="仿宋"/>
          <w:szCs w:val="21"/>
          <w:highlight w:val="none"/>
        </w:rPr>
        <w:fldChar w:fldCharType="end"/>
      </w:r>
    </w:p>
    <w:p w14:paraId="72EA0C99">
      <w:pPr>
        <w:pStyle w:val="41"/>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_Toc23978 </w:instrText>
      </w:r>
      <w:r>
        <w:rPr>
          <w:rFonts w:hint="eastAsia" w:ascii="仿宋" w:hAnsi="仿宋" w:eastAsia="仿宋" w:cs="仿宋"/>
          <w:szCs w:val="21"/>
          <w:highlight w:val="none"/>
        </w:rPr>
        <w:fldChar w:fldCharType="separate"/>
      </w:r>
      <w:r>
        <w:rPr>
          <w:rFonts w:hint="eastAsia" w:ascii="仿宋" w:hAnsi="仿宋" w:eastAsia="仿宋" w:cs="仿宋"/>
          <w:bCs w:val="0"/>
          <w:szCs w:val="28"/>
          <w:highlight w:val="none"/>
          <w:lang w:val="zh-CN"/>
        </w:rPr>
        <w:t>供应商须知前附表</w:t>
      </w:r>
      <w:r>
        <w:rPr>
          <w:highlight w:val="none"/>
        </w:rPr>
        <w:tab/>
      </w:r>
      <w:r>
        <w:rPr>
          <w:highlight w:val="none"/>
        </w:rPr>
        <w:fldChar w:fldCharType="begin"/>
      </w:r>
      <w:r>
        <w:rPr>
          <w:highlight w:val="none"/>
        </w:rPr>
        <w:instrText xml:space="preserve"> PAGEREF _Toc23978 \h </w:instrText>
      </w:r>
      <w:r>
        <w:rPr>
          <w:highlight w:val="none"/>
        </w:rPr>
        <w:fldChar w:fldCharType="separate"/>
      </w:r>
      <w:r>
        <w:rPr>
          <w:highlight w:val="none"/>
        </w:rPr>
        <w:t>7</w:t>
      </w:r>
      <w:r>
        <w:rPr>
          <w:highlight w:val="none"/>
        </w:rPr>
        <w:fldChar w:fldCharType="end"/>
      </w:r>
      <w:r>
        <w:rPr>
          <w:rFonts w:hint="eastAsia" w:ascii="仿宋" w:hAnsi="仿宋" w:eastAsia="仿宋" w:cs="仿宋"/>
          <w:szCs w:val="21"/>
          <w:highlight w:val="none"/>
        </w:rPr>
        <w:fldChar w:fldCharType="end"/>
      </w:r>
    </w:p>
    <w:p w14:paraId="60475ECB">
      <w:pPr>
        <w:pStyle w:val="41"/>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_Toc15599 </w:instrText>
      </w:r>
      <w:r>
        <w:rPr>
          <w:rFonts w:hint="eastAsia" w:ascii="仿宋" w:hAnsi="仿宋" w:eastAsia="仿宋" w:cs="仿宋"/>
          <w:szCs w:val="21"/>
          <w:highlight w:val="none"/>
        </w:rPr>
        <w:fldChar w:fldCharType="separate"/>
      </w:r>
      <w:r>
        <w:rPr>
          <w:rFonts w:hint="eastAsia" w:ascii="仿宋" w:hAnsi="仿宋" w:eastAsia="仿宋" w:cs="仿宋"/>
          <w:bCs w:val="0"/>
          <w:szCs w:val="28"/>
          <w:highlight w:val="none"/>
          <w:lang w:val="zh-CN"/>
        </w:rPr>
        <w:t>一、综合说明</w:t>
      </w:r>
      <w:r>
        <w:rPr>
          <w:highlight w:val="none"/>
        </w:rPr>
        <w:tab/>
      </w:r>
      <w:r>
        <w:rPr>
          <w:highlight w:val="none"/>
        </w:rPr>
        <w:fldChar w:fldCharType="begin"/>
      </w:r>
      <w:r>
        <w:rPr>
          <w:highlight w:val="none"/>
        </w:rPr>
        <w:instrText xml:space="preserve"> PAGEREF _Toc15599 \h </w:instrText>
      </w:r>
      <w:r>
        <w:rPr>
          <w:highlight w:val="none"/>
        </w:rPr>
        <w:fldChar w:fldCharType="separate"/>
      </w:r>
      <w:r>
        <w:rPr>
          <w:highlight w:val="none"/>
        </w:rPr>
        <w:t>10</w:t>
      </w:r>
      <w:r>
        <w:rPr>
          <w:highlight w:val="none"/>
        </w:rPr>
        <w:fldChar w:fldCharType="end"/>
      </w:r>
      <w:r>
        <w:rPr>
          <w:rFonts w:hint="eastAsia" w:ascii="仿宋" w:hAnsi="仿宋" w:eastAsia="仿宋" w:cs="仿宋"/>
          <w:szCs w:val="21"/>
          <w:highlight w:val="none"/>
        </w:rPr>
        <w:fldChar w:fldCharType="end"/>
      </w:r>
    </w:p>
    <w:p w14:paraId="03E39D36">
      <w:pPr>
        <w:pStyle w:val="41"/>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_Toc16357 </w:instrText>
      </w:r>
      <w:r>
        <w:rPr>
          <w:rFonts w:hint="eastAsia" w:ascii="仿宋" w:hAnsi="仿宋" w:eastAsia="仿宋" w:cs="仿宋"/>
          <w:szCs w:val="21"/>
          <w:highlight w:val="none"/>
        </w:rPr>
        <w:fldChar w:fldCharType="separate"/>
      </w:r>
      <w:r>
        <w:rPr>
          <w:rFonts w:hint="eastAsia" w:ascii="仿宋" w:hAnsi="仿宋" w:eastAsia="仿宋" w:cs="仿宋"/>
          <w:bCs w:val="0"/>
          <w:szCs w:val="28"/>
          <w:highlight w:val="none"/>
          <w:lang w:val="zh-CN"/>
        </w:rPr>
        <w:t>二、磋商文件</w:t>
      </w:r>
      <w:r>
        <w:rPr>
          <w:highlight w:val="none"/>
        </w:rPr>
        <w:tab/>
      </w:r>
      <w:r>
        <w:rPr>
          <w:highlight w:val="none"/>
        </w:rPr>
        <w:fldChar w:fldCharType="begin"/>
      </w:r>
      <w:r>
        <w:rPr>
          <w:highlight w:val="none"/>
        </w:rPr>
        <w:instrText xml:space="preserve"> PAGEREF _Toc16357 \h </w:instrText>
      </w:r>
      <w:r>
        <w:rPr>
          <w:highlight w:val="none"/>
        </w:rPr>
        <w:fldChar w:fldCharType="separate"/>
      </w:r>
      <w:r>
        <w:rPr>
          <w:highlight w:val="none"/>
        </w:rPr>
        <w:t>11</w:t>
      </w:r>
      <w:r>
        <w:rPr>
          <w:highlight w:val="none"/>
        </w:rPr>
        <w:fldChar w:fldCharType="end"/>
      </w:r>
      <w:r>
        <w:rPr>
          <w:rFonts w:hint="eastAsia" w:ascii="仿宋" w:hAnsi="仿宋" w:eastAsia="仿宋" w:cs="仿宋"/>
          <w:szCs w:val="21"/>
          <w:highlight w:val="none"/>
        </w:rPr>
        <w:fldChar w:fldCharType="end"/>
      </w:r>
    </w:p>
    <w:p w14:paraId="069AB1B1">
      <w:pPr>
        <w:pStyle w:val="41"/>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_Toc6432 </w:instrText>
      </w:r>
      <w:r>
        <w:rPr>
          <w:rFonts w:hint="eastAsia" w:ascii="仿宋" w:hAnsi="仿宋" w:eastAsia="仿宋" w:cs="仿宋"/>
          <w:szCs w:val="21"/>
          <w:highlight w:val="none"/>
        </w:rPr>
        <w:fldChar w:fldCharType="separate"/>
      </w:r>
      <w:r>
        <w:rPr>
          <w:rFonts w:hint="eastAsia" w:ascii="仿宋" w:hAnsi="仿宋" w:eastAsia="仿宋" w:cs="仿宋"/>
          <w:bCs w:val="0"/>
          <w:szCs w:val="28"/>
          <w:highlight w:val="none"/>
          <w:lang w:val="zh-CN"/>
        </w:rPr>
        <w:t>三、响应文件</w:t>
      </w:r>
      <w:r>
        <w:rPr>
          <w:highlight w:val="none"/>
        </w:rPr>
        <w:tab/>
      </w:r>
      <w:r>
        <w:rPr>
          <w:highlight w:val="none"/>
        </w:rPr>
        <w:fldChar w:fldCharType="begin"/>
      </w:r>
      <w:r>
        <w:rPr>
          <w:highlight w:val="none"/>
        </w:rPr>
        <w:instrText xml:space="preserve"> PAGEREF _Toc6432 \h </w:instrText>
      </w:r>
      <w:r>
        <w:rPr>
          <w:highlight w:val="none"/>
        </w:rPr>
        <w:fldChar w:fldCharType="separate"/>
      </w:r>
      <w:r>
        <w:rPr>
          <w:highlight w:val="none"/>
        </w:rPr>
        <w:t>12</w:t>
      </w:r>
      <w:r>
        <w:rPr>
          <w:highlight w:val="none"/>
        </w:rPr>
        <w:fldChar w:fldCharType="end"/>
      </w:r>
      <w:r>
        <w:rPr>
          <w:rFonts w:hint="eastAsia" w:ascii="仿宋" w:hAnsi="仿宋" w:eastAsia="仿宋" w:cs="仿宋"/>
          <w:szCs w:val="21"/>
          <w:highlight w:val="none"/>
        </w:rPr>
        <w:fldChar w:fldCharType="end"/>
      </w:r>
    </w:p>
    <w:p w14:paraId="1A52C355">
      <w:pPr>
        <w:pStyle w:val="41"/>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_Toc22986 </w:instrText>
      </w:r>
      <w:r>
        <w:rPr>
          <w:rFonts w:hint="eastAsia" w:ascii="仿宋" w:hAnsi="仿宋" w:eastAsia="仿宋" w:cs="仿宋"/>
          <w:szCs w:val="21"/>
          <w:highlight w:val="none"/>
        </w:rPr>
        <w:fldChar w:fldCharType="separate"/>
      </w:r>
      <w:r>
        <w:rPr>
          <w:rFonts w:hint="eastAsia" w:ascii="仿宋" w:hAnsi="仿宋" w:eastAsia="仿宋" w:cs="仿宋"/>
          <w:bCs w:val="0"/>
          <w:szCs w:val="28"/>
          <w:highlight w:val="none"/>
          <w:lang w:val="zh-CN"/>
        </w:rPr>
        <w:t>四、</w:t>
      </w:r>
      <w:r>
        <w:rPr>
          <w:rFonts w:hint="eastAsia" w:ascii="仿宋" w:hAnsi="仿宋" w:eastAsia="仿宋" w:cs="仿宋"/>
          <w:bCs w:val="0"/>
          <w:szCs w:val="28"/>
          <w:highlight w:val="none"/>
          <w:lang w:val="en-US" w:eastAsia="zh-CN"/>
        </w:rPr>
        <w:t>开标</w:t>
      </w:r>
      <w:r>
        <w:rPr>
          <w:highlight w:val="none"/>
        </w:rPr>
        <w:tab/>
      </w:r>
      <w:r>
        <w:rPr>
          <w:highlight w:val="none"/>
        </w:rPr>
        <w:fldChar w:fldCharType="begin"/>
      </w:r>
      <w:r>
        <w:rPr>
          <w:highlight w:val="none"/>
        </w:rPr>
        <w:instrText xml:space="preserve"> PAGEREF _Toc22986 \h </w:instrText>
      </w:r>
      <w:r>
        <w:rPr>
          <w:highlight w:val="none"/>
        </w:rPr>
        <w:fldChar w:fldCharType="separate"/>
      </w:r>
      <w:r>
        <w:rPr>
          <w:highlight w:val="none"/>
        </w:rPr>
        <w:t>16</w:t>
      </w:r>
      <w:r>
        <w:rPr>
          <w:highlight w:val="none"/>
        </w:rPr>
        <w:fldChar w:fldCharType="end"/>
      </w:r>
      <w:r>
        <w:rPr>
          <w:rFonts w:hint="eastAsia" w:ascii="仿宋" w:hAnsi="仿宋" w:eastAsia="仿宋" w:cs="仿宋"/>
          <w:szCs w:val="21"/>
          <w:highlight w:val="none"/>
        </w:rPr>
        <w:fldChar w:fldCharType="end"/>
      </w:r>
    </w:p>
    <w:p w14:paraId="68250FE0">
      <w:pPr>
        <w:pStyle w:val="41"/>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_Toc6832 </w:instrText>
      </w:r>
      <w:r>
        <w:rPr>
          <w:rFonts w:hint="eastAsia" w:ascii="仿宋" w:hAnsi="仿宋" w:eastAsia="仿宋" w:cs="仿宋"/>
          <w:szCs w:val="21"/>
          <w:highlight w:val="none"/>
        </w:rPr>
        <w:fldChar w:fldCharType="separate"/>
      </w:r>
      <w:r>
        <w:rPr>
          <w:rFonts w:hint="eastAsia" w:ascii="仿宋" w:hAnsi="仿宋" w:eastAsia="仿宋" w:cs="仿宋"/>
          <w:bCs w:val="0"/>
          <w:szCs w:val="28"/>
          <w:highlight w:val="none"/>
          <w:lang w:val="zh-CN"/>
        </w:rPr>
        <w:t>五、评审</w:t>
      </w:r>
      <w:r>
        <w:rPr>
          <w:highlight w:val="none"/>
        </w:rPr>
        <w:tab/>
      </w:r>
      <w:r>
        <w:rPr>
          <w:highlight w:val="none"/>
        </w:rPr>
        <w:fldChar w:fldCharType="begin"/>
      </w:r>
      <w:r>
        <w:rPr>
          <w:highlight w:val="none"/>
        </w:rPr>
        <w:instrText xml:space="preserve"> PAGEREF _Toc6832 \h </w:instrText>
      </w:r>
      <w:r>
        <w:rPr>
          <w:highlight w:val="none"/>
        </w:rPr>
        <w:fldChar w:fldCharType="separate"/>
      </w:r>
      <w:r>
        <w:rPr>
          <w:highlight w:val="none"/>
        </w:rPr>
        <w:t>16</w:t>
      </w:r>
      <w:r>
        <w:rPr>
          <w:highlight w:val="none"/>
        </w:rPr>
        <w:fldChar w:fldCharType="end"/>
      </w:r>
      <w:r>
        <w:rPr>
          <w:rFonts w:hint="eastAsia" w:ascii="仿宋" w:hAnsi="仿宋" w:eastAsia="仿宋" w:cs="仿宋"/>
          <w:szCs w:val="21"/>
          <w:highlight w:val="none"/>
        </w:rPr>
        <w:fldChar w:fldCharType="end"/>
      </w:r>
    </w:p>
    <w:p w14:paraId="3EC51605">
      <w:pPr>
        <w:pStyle w:val="41"/>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_Toc22400 </w:instrText>
      </w:r>
      <w:r>
        <w:rPr>
          <w:rFonts w:hint="eastAsia" w:ascii="仿宋" w:hAnsi="仿宋" w:eastAsia="仿宋" w:cs="仿宋"/>
          <w:szCs w:val="21"/>
          <w:highlight w:val="none"/>
        </w:rPr>
        <w:fldChar w:fldCharType="separate"/>
      </w:r>
      <w:r>
        <w:rPr>
          <w:rFonts w:hint="eastAsia" w:ascii="仿宋" w:hAnsi="仿宋" w:eastAsia="仿宋" w:cs="仿宋"/>
          <w:bCs w:val="0"/>
          <w:szCs w:val="28"/>
          <w:highlight w:val="none"/>
          <w:lang w:val="zh-CN"/>
        </w:rPr>
        <w:t>六、定标</w:t>
      </w:r>
      <w:r>
        <w:rPr>
          <w:highlight w:val="none"/>
        </w:rPr>
        <w:tab/>
      </w:r>
      <w:r>
        <w:rPr>
          <w:highlight w:val="none"/>
        </w:rPr>
        <w:fldChar w:fldCharType="begin"/>
      </w:r>
      <w:r>
        <w:rPr>
          <w:highlight w:val="none"/>
        </w:rPr>
        <w:instrText xml:space="preserve"> PAGEREF _Toc22400 \h </w:instrText>
      </w:r>
      <w:r>
        <w:rPr>
          <w:highlight w:val="none"/>
        </w:rPr>
        <w:fldChar w:fldCharType="separate"/>
      </w:r>
      <w:r>
        <w:rPr>
          <w:highlight w:val="none"/>
        </w:rPr>
        <w:t>20</w:t>
      </w:r>
      <w:r>
        <w:rPr>
          <w:highlight w:val="none"/>
        </w:rPr>
        <w:fldChar w:fldCharType="end"/>
      </w:r>
      <w:r>
        <w:rPr>
          <w:rFonts w:hint="eastAsia" w:ascii="仿宋" w:hAnsi="仿宋" w:eastAsia="仿宋" w:cs="仿宋"/>
          <w:szCs w:val="21"/>
          <w:highlight w:val="none"/>
        </w:rPr>
        <w:fldChar w:fldCharType="end"/>
      </w:r>
    </w:p>
    <w:p w14:paraId="1440CA6E">
      <w:pPr>
        <w:pStyle w:val="41"/>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_Toc18935 </w:instrText>
      </w:r>
      <w:r>
        <w:rPr>
          <w:rFonts w:hint="eastAsia" w:ascii="仿宋" w:hAnsi="仿宋" w:eastAsia="仿宋" w:cs="仿宋"/>
          <w:szCs w:val="21"/>
          <w:highlight w:val="none"/>
        </w:rPr>
        <w:fldChar w:fldCharType="separate"/>
      </w:r>
      <w:r>
        <w:rPr>
          <w:rFonts w:hint="eastAsia" w:ascii="仿宋" w:hAnsi="仿宋" w:eastAsia="仿宋" w:cs="仿宋"/>
          <w:bCs w:val="0"/>
          <w:szCs w:val="28"/>
          <w:highlight w:val="none"/>
          <w:lang w:val="zh-CN"/>
        </w:rPr>
        <w:t>七、合同授予</w:t>
      </w:r>
      <w:r>
        <w:rPr>
          <w:highlight w:val="none"/>
        </w:rPr>
        <w:tab/>
      </w:r>
      <w:r>
        <w:rPr>
          <w:highlight w:val="none"/>
        </w:rPr>
        <w:fldChar w:fldCharType="begin"/>
      </w:r>
      <w:r>
        <w:rPr>
          <w:highlight w:val="none"/>
        </w:rPr>
        <w:instrText xml:space="preserve"> PAGEREF _Toc18935 \h </w:instrText>
      </w:r>
      <w:r>
        <w:rPr>
          <w:highlight w:val="none"/>
        </w:rPr>
        <w:fldChar w:fldCharType="separate"/>
      </w:r>
      <w:r>
        <w:rPr>
          <w:highlight w:val="none"/>
        </w:rPr>
        <w:t>20</w:t>
      </w:r>
      <w:r>
        <w:rPr>
          <w:highlight w:val="none"/>
        </w:rPr>
        <w:fldChar w:fldCharType="end"/>
      </w:r>
      <w:r>
        <w:rPr>
          <w:rFonts w:hint="eastAsia" w:ascii="仿宋" w:hAnsi="仿宋" w:eastAsia="仿宋" w:cs="仿宋"/>
          <w:szCs w:val="21"/>
          <w:highlight w:val="none"/>
        </w:rPr>
        <w:fldChar w:fldCharType="end"/>
      </w:r>
    </w:p>
    <w:p w14:paraId="39DCF4B1">
      <w:pPr>
        <w:pStyle w:val="35"/>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_Toc16781 </w:instrText>
      </w:r>
      <w:r>
        <w:rPr>
          <w:rFonts w:hint="eastAsia" w:ascii="仿宋" w:hAnsi="仿宋" w:eastAsia="仿宋" w:cs="仿宋"/>
          <w:szCs w:val="21"/>
          <w:highlight w:val="none"/>
        </w:rPr>
        <w:fldChar w:fldCharType="separate"/>
      </w:r>
      <w:r>
        <w:rPr>
          <w:rFonts w:hint="eastAsia" w:ascii="仿宋" w:hAnsi="仿宋" w:eastAsia="仿宋" w:cs="仿宋"/>
          <w:szCs w:val="32"/>
          <w:highlight w:val="none"/>
          <w:lang w:val="zh-CN" w:eastAsia="zh-CN"/>
        </w:rPr>
        <w:t xml:space="preserve">第三章  </w:t>
      </w:r>
      <w:r>
        <w:rPr>
          <w:rFonts w:hint="eastAsia" w:ascii="仿宋" w:hAnsi="仿宋" w:eastAsia="仿宋" w:cs="仿宋"/>
          <w:bCs/>
          <w:szCs w:val="32"/>
          <w:highlight w:val="none"/>
          <w:lang w:val="en-US" w:eastAsia="zh-CN"/>
        </w:rPr>
        <w:t>磋商</w:t>
      </w:r>
      <w:r>
        <w:rPr>
          <w:rFonts w:hint="eastAsia" w:ascii="仿宋" w:hAnsi="仿宋" w:eastAsia="仿宋" w:cs="仿宋"/>
          <w:bCs/>
          <w:szCs w:val="32"/>
          <w:highlight w:val="none"/>
          <w:lang w:val="zh-CN" w:eastAsia="zh-CN"/>
        </w:rPr>
        <w:t>内容及</w:t>
      </w:r>
      <w:r>
        <w:rPr>
          <w:rFonts w:hint="eastAsia" w:ascii="仿宋" w:hAnsi="仿宋" w:eastAsia="仿宋" w:cs="仿宋"/>
          <w:bCs/>
          <w:szCs w:val="32"/>
          <w:highlight w:val="none"/>
          <w:lang w:val="en-US" w:eastAsia="zh-CN"/>
        </w:rPr>
        <w:t>技术</w:t>
      </w:r>
      <w:r>
        <w:rPr>
          <w:rFonts w:hint="eastAsia" w:ascii="仿宋" w:hAnsi="仿宋" w:eastAsia="仿宋" w:cs="仿宋"/>
          <w:bCs/>
          <w:szCs w:val="32"/>
          <w:highlight w:val="none"/>
          <w:lang w:val="zh-CN" w:eastAsia="zh-CN"/>
        </w:rPr>
        <w:t>要求</w:t>
      </w:r>
      <w:r>
        <w:rPr>
          <w:highlight w:val="none"/>
        </w:rPr>
        <w:tab/>
      </w:r>
      <w:r>
        <w:rPr>
          <w:highlight w:val="none"/>
        </w:rPr>
        <w:fldChar w:fldCharType="begin"/>
      </w:r>
      <w:r>
        <w:rPr>
          <w:highlight w:val="none"/>
        </w:rPr>
        <w:instrText xml:space="preserve"> PAGEREF _Toc16781 \h </w:instrText>
      </w:r>
      <w:r>
        <w:rPr>
          <w:highlight w:val="none"/>
        </w:rPr>
        <w:fldChar w:fldCharType="separate"/>
      </w:r>
      <w:r>
        <w:rPr>
          <w:highlight w:val="none"/>
        </w:rPr>
        <w:t>21</w:t>
      </w:r>
      <w:r>
        <w:rPr>
          <w:highlight w:val="none"/>
        </w:rPr>
        <w:fldChar w:fldCharType="end"/>
      </w:r>
      <w:r>
        <w:rPr>
          <w:rFonts w:hint="eastAsia" w:ascii="仿宋" w:hAnsi="仿宋" w:eastAsia="仿宋" w:cs="仿宋"/>
          <w:szCs w:val="21"/>
          <w:highlight w:val="none"/>
        </w:rPr>
        <w:fldChar w:fldCharType="end"/>
      </w:r>
    </w:p>
    <w:p w14:paraId="5148566C">
      <w:pPr>
        <w:pStyle w:val="35"/>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_Toc25243 </w:instrText>
      </w:r>
      <w:r>
        <w:rPr>
          <w:rFonts w:hint="eastAsia" w:ascii="仿宋" w:hAnsi="仿宋" w:eastAsia="仿宋" w:cs="仿宋"/>
          <w:szCs w:val="21"/>
          <w:highlight w:val="none"/>
        </w:rPr>
        <w:fldChar w:fldCharType="separate"/>
      </w:r>
      <w:r>
        <w:rPr>
          <w:rFonts w:hint="eastAsia" w:ascii="仿宋" w:hAnsi="仿宋" w:eastAsia="仿宋" w:cs="仿宋"/>
          <w:szCs w:val="30"/>
          <w:highlight w:val="none"/>
          <w:lang w:val="zh-CN" w:eastAsia="zh-CN"/>
        </w:rPr>
        <w:t>第四章  合同文本</w:t>
      </w:r>
      <w:r>
        <w:rPr>
          <w:highlight w:val="none"/>
        </w:rPr>
        <w:tab/>
      </w:r>
      <w:r>
        <w:rPr>
          <w:highlight w:val="none"/>
        </w:rPr>
        <w:fldChar w:fldCharType="begin"/>
      </w:r>
      <w:r>
        <w:rPr>
          <w:highlight w:val="none"/>
        </w:rPr>
        <w:instrText xml:space="preserve"> PAGEREF _Toc25243 \h </w:instrText>
      </w:r>
      <w:r>
        <w:rPr>
          <w:highlight w:val="none"/>
        </w:rPr>
        <w:fldChar w:fldCharType="separate"/>
      </w:r>
      <w:r>
        <w:rPr>
          <w:highlight w:val="none"/>
        </w:rPr>
        <w:t>25</w:t>
      </w:r>
      <w:r>
        <w:rPr>
          <w:highlight w:val="none"/>
        </w:rPr>
        <w:fldChar w:fldCharType="end"/>
      </w:r>
      <w:r>
        <w:rPr>
          <w:rFonts w:hint="eastAsia" w:ascii="仿宋" w:hAnsi="仿宋" w:eastAsia="仿宋" w:cs="仿宋"/>
          <w:szCs w:val="21"/>
          <w:highlight w:val="none"/>
        </w:rPr>
        <w:fldChar w:fldCharType="end"/>
      </w:r>
    </w:p>
    <w:p w14:paraId="72FEE3CA">
      <w:pPr>
        <w:pStyle w:val="35"/>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_Toc9888 </w:instrText>
      </w:r>
      <w:r>
        <w:rPr>
          <w:rFonts w:hint="eastAsia" w:ascii="仿宋" w:hAnsi="仿宋" w:eastAsia="仿宋" w:cs="仿宋"/>
          <w:szCs w:val="21"/>
          <w:highlight w:val="none"/>
        </w:rPr>
        <w:fldChar w:fldCharType="separate"/>
      </w:r>
      <w:r>
        <w:rPr>
          <w:rFonts w:hint="eastAsia" w:ascii="仿宋" w:hAnsi="仿宋" w:eastAsia="仿宋" w:cs="仿宋"/>
          <w:highlight w:val="none"/>
          <w:lang w:val="zh-CN" w:eastAsia="zh-CN"/>
        </w:rPr>
        <w:t>第五章  评审方法及评审标准</w:t>
      </w:r>
      <w:r>
        <w:rPr>
          <w:highlight w:val="none"/>
        </w:rPr>
        <w:tab/>
      </w:r>
      <w:r>
        <w:rPr>
          <w:highlight w:val="none"/>
        </w:rPr>
        <w:fldChar w:fldCharType="begin"/>
      </w:r>
      <w:r>
        <w:rPr>
          <w:highlight w:val="none"/>
        </w:rPr>
        <w:instrText xml:space="preserve"> PAGEREF _Toc9888 \h </w:instrText>
      </w:r>
      <w:r>
        <w:rPr>
          <w:highlight w:val="none"/>
        </w:rPr>
        <w:fldChar w:fldCharType="separate"/>
      </w:r>
      <w:r>
        <w:rPr>
          <w:highlight w:val="none"/>
        </w:rPr>
        <w:t>36</w:t>
      </w:r>
      <w:r>
        <w:rPr>
          <w:highlight w:val="none"/>
        </w:rPr>
        <w:fldChar w:fldCharType="end"/>
      </w:r>
      <w:r>
        <w:rPr>
          <w:rFonts w:hint="eastAsia" w:ascii="仿宋" w:hAnsi="仿宋" w:eastAsia="仿宋" w:cs="仿宋"/>
          <w:szCs w:val="21"/>
          <w:highlight w:val="none"/>
        </w:rPr>
        <w:fldChar w:fldCharType="end"/>
      </w:r>
    </w:p>
    <w:p w14:paraId="751FB534">
      <w:pPr>
        <w:pStyle w:val="35"/>
        <w:tabs>
          <w:tab w:val="right" w:leader="dot" w:pos="8820"/>
        </w:tabs>
        <w:rPr>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_Toc24614 </w:instrText>
      </w:r>
      <w:r>
        <w:rPr>
          <w:rFonts w:hint="eastAsia" w:ascii="仿宋" w:hAnsi="仿宋" w:eastAsia="仿宋" w:cs="仿宋"/>
          <w:szCs w:val="21"/>
          <w:highlight w:val="none"/>
        </w:rPr>
        <w:fldChar w:fldCharType="separate"/>
      </w:r>
      <w:r>
        <w:rPr>
          <w:rFonts w:hint="eastAsia" w:ascii="仿宋" w:hAnsi="仿宋" w:eastAsia="仿宋" w:cs="仿宋"/>
          <w:szCs w:val="32"/>
          <w:highlight w:val="none"/>
          <w:lang w:val="zh-CN" w:eastAsia="zh-CN"/>
        </w:rPr>
        <w:t>第六章  响应文件相关格式</w:t>
      </w:r>
      <w:r>
        <w:rPr>
          <w:highlight w:val="none"/>
        </w:rPr>
        <w:tab/>
      </w:r>
      <w:r>
        <w:rPr>
          <w:highlight w:val="none"/>
        </w:rPr>
        <w:fldChar w:fldCharType="begin"/>
      </w:r>
      <w:r>
        <w:rPr>
          <w:highlight w:val="none"/>
        </w:rPr>
        <w:instrText xml:space="preserve"> PAGEREF _Toc24614 \h </w:instrText>
      </w:r>
      <w:r>
        <w:rPr>
          <w:highlight w:val="none"/>
        </w:rPr>
        <w:fldChar w:fldCharType="separate"/>
      </w:r>
      <w:r>
        <w:rPr>
          <w:highlight w:val="none"/>
        </w:rPr>
        <w:t>41</w:t>
      </w:r>
      <w:r>
        <w:rPr>
          <w:highlight w:val="none"/>
        </w:rPr>
        <w:fldChar w:fldCharType="end"/>
      </w:r>
      <w:r>
        <w:rPr>
          <w:rFonts w:hint="eastAsia" w:ascii="仿宋" w:hAnsi="仿宋" w:eastAsia="仿宋" w:cs="仿宋"/>
          <w:szCs w:val="21"/>
          <w:highlight w:val="none"/>
        </w:rPr>
        <w:fldChar w:fldCharType="end"/>
      </w:r>
    </w:p>
    <w:p w14:paraId="44FF8B51">
      <w:pPr>
        <w:pStyle w:val="2"/>
        <w:pageBreakBefore w:val="0"/>
        <w:kinsoku/>
        <w:topLinePunct w:val="0"/>
        <w:bidi w:val="0"/>
        <w:spacing w:line="360" w:lineRule="auto"/>
        <w:outlineLvl w:val="0"/>
        <w:rPr>
          <w:rFonts w:hint="eastAsia" w:ascii="仿宋" w:hAnsi="仿宋" w:eastAsia="仿宋" w:cs="仿宋"/>
          <w:szCs w:val="21"/>
          <w:highlight w:val="none"/>
        </w:rPr>
      </w:pPr>
      <w:r>
        <w:rPr>
          <w:rFonts w:hint="eastAsia" w:ascii="仿宋" w:hAnsi="仿宋" w:eastAsia="仿宋" w:cs="仿宋"/>
          <w:szCs w:val="21"/>
          <w:highlight w:val="none"/>
        </w:rPr>
        <w:fldChar w:fldCharType="end"/>
      </w:r>
    </w:p>
    <w:p w14:paraId="7329B080">
      <w:pPr>
        <w:rPr>
          <w:rFonts w:hint="eastAsia" w:ascii="仿宋" w:hAnsi="仿宋" w:eastAsia="仿宋" w:cs="仿宋"/>
          <w:szCs w:val="21"/>
          <w:highlight w:val="none"/>
        </w:rPr>
      </w:pPr>
      <w:r>
        <w:rPr>
          <w:rFonts w:hint="eastAsia" w:ascii="仿宋" w:hAnsi="仿宋" w:eastAsia="仿宋" w:cs="仿宋"/>
          <w:szCs w:val="21"/>
          <w:highlight w:val="none"/>
        </w:rPr>
        <w:br w:type="page"/>
      </w:r>
    </w:p>
    <w:p w14:paraId="5BD35A02">
      <w:pPr>
        <w:pStyle w:val="2"/>
        <w:pageBreakBefore w:val="0"/>
        <w:kinsoku/>
        <w:topLinePunct w:val="0"/>
        <w:bidi w:val="0"/>
        <w:spacing w:line="360" w:lineRule="auto"/>
        <w:outlineLvl w:val="0"/>
        <w:rPr>
          <w:rFonts w:hint="eastAsia" w:ascii="仿宋" w:hAnsi="仿宋" w:eastAsia="仿宋" w:cs="仿宋"/>
          <w:b w:val="0"/>
          <w:color w:val="FF0000"/>
          <w:sz w:val="30"/>
          <w:szCs w:val="30"/>
          <w:highlight w:val="none"/>
          <w:u w:val="single"/>
          <w:lang w:eastAsia="zh-CN"/>
        </w:rPr>
      </w:pPr>
      <w:bookmarkStart w:id="0" w:name="_Toc7256"/>
      <w:r>
        <w:rPr>
          <w:rFonts w:hint="eastAsia" w:ascii="仿宋" w:hAnsi="仿宋" w:eastAsia="仿宋" w:cs="仿宋"/>
          <w:color w:val="000000"/>
          <w:sz w:val="30"/>
          <w:szCs w:val="32"/>
          <w:highlight w:val="none"/>
          <w:lang w:val="zh-CN" w:eastAsia="zh-CN"/>
        </w:rPr>
        <w:t>第一章  竞争性磋商公告</w:t>
      </w:r>
      <w:bookmarkEnd w:id="0"/>
    </w:p>
    <w:p w14:paraId="446D8C9B">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highlight w:val="none"/>
          <w:lang w:val="zh-CN" w:eastAsia="zh-CN"/>
        </w:rPr>
      </w:pPr>
      <w:r>
        <w:rPr>
          <w:rFonts w:hint="eastAsia" w:ascii="仿宋" w:hAnsi="仿宋" w:eastAsia="仿宋" w:cs="仿宋"/>
          <w:b w:val="0"/>
          <w:bCs/>
          <w:color w:val="000000"/>
          <w:szCs w:val="21"/>
          <w:highlight w:val="none"/>
          <w:lang w:val="zh-CN" w:eastAsia="zh-CN"/>
        </w:rPr>
        <w:t>浙江哲晟</w:t>
      </w:r>
      <w:r>
        <w:rPr>
          <w:rFonts w:hint="eastAsia" w:ascii="仿宋" w:hAnsi="仿宋" w:eastAsia="仿宋" w:cs="仿宋"/>
          <w:highlight w:val="none"/>
          <w:lang w:val="zh-CN" w:eastAsia="zh-CN"/>
        </w:rPr>
        <w:t>工程项目管理有限公司受常山县水利发展投资有限责任公司委托，就下列项目组织竞争性磋商采购活动，欢迎符合要求的供应商参加。现将有关事项公告如下：</w:t>
      </w:r>
    </w:p>
    <w:p w14:paraId="30A36B0A">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b w:val="0"/>
          <w:bCs w:val="0"/>
          <w:highlight w:val="none"/>
          <w:lang w:eastAsia="zh-CN"/>
        </w:rPr>
      </w:pPr>
      <w:r>
        <w:rPr>
          <w:rFonts w:hint="eastAsia" w:ascii="仿宋" w:hAnsi="仿宋" w:eastAsia="仿宋" w:cs="仿宋"/>
          <w:b/>
          <w:bCs/>
          <w:highlight w:val="none"/>
          <w:lang w:val="en-US" w:eastAsia="zh-CN"/>
        </w:rPr>
        <w:t>一、</w:t>
      </w:r>
      <w:r>
        <w:rPr>
          <w:rFonts w:hint="eastAsia" w:ascii="仿宋" w:hAnsi="仿宋" w:eastAsia="仿宋" w:cs="仿宋"/>
          <w:b/>
          <w:bCs/>
          <w:highlight w:val="none"/>
        </w:rPr>
        <w:t>项目名称：</w:t>
      </w:r>
      <w:r>
        <w:rPr>
          <w:rFonts w:hint="eastAsia" w:ascii="仿宋" w:hAnsi="仿宋" w:eastAsia="仿宋" w:cs="仿宋"/>
          <w:b w:val="0"/>
          <w:bCs w:val="0"/>
          <w:highlight w:val="none"/>
          <w:lang w:val="en-US" w:eastAsia="zh-CN"/>
        </w:rPr>
        <w:t>浙江省芳村溪幸福河湖建设项目招标代理及施工阶段全过程工程造价控制</w:t>
      </w:r>
    </w:p>
    <w:p w14:paraId="4B0A5665">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highlight w:val="none"/>
          <w:lang w:eastAsia="zh-CN"/>
        </w:rPr>
      </w:pPr>
      <w:r>
        <w:rPr>
          <w:rFonts w:hint="eastAsia" w:ascii="仿宋" w:hAnsi="仿宋" w:eastAsia="仿宋" w:cs="仿宋"/>
          <w:b/>
          <w:bCs/>
          <w:highlight w:val="none"/>
        </w:rPr>
        <w:t>二、项目编号：</w:t>
      </w:r>
      <w:r>
        <w:rPr>
          <w:rFonts w:hint="eastAsia" w:ascii="仿宋" w:hAnsi="仿宋" w:eastAsia="仿宋" w:cs="仿宋"/>
          <w:highlight w:val="none"/>
          <w:lang w:eastAsia="zh-CN"/>
        </w:rPr>
        <w:t>ZSCG2025107-CS107</w:t>
      </w:r>
    </w:p>
    <w:p w14:paraId="32E97DEE">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highlight w:val="none"/>
        </w:rPr>
      </w:pPr>
      <w:r>
        <w:rPr>
          <w:rFonts w:hint="eastAsia" w:ascii="仿宋" w:hAnsi="仿宋" w:eastAsia="仿宋" w:cs="仿宋"/>
          <w:b/>
          <w:bCs/>
          <w:highlight w:val="none"/>
        </w:rPr>
        <w:t>三、采购方式：</w:t>
      </w:r>
      <w:r>
        <w:rPr>
          <w:rFonts w:hint="eastAsia" w:ascii="仿宋" w:hAnsi="仿宋" w:eastAsia="仿宋" w:cs="仿宋"/>
          <w:highlight w:val="none"/>
        </w:rPr>
        <w:t>竞争性磋商</w:t>
      </w:r>
    </w:p>
    <w:p w14:paraId="2C3F3659">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四、磋商内容：</w:t>
      </w:r>
    </w:p>
    <w:tbl>
      <w:tblPr>
        <w:tblStyle w:val="48"/>
        <w:tblW w:w="89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2881"/>
        <w:gridCol w:w="710"/>
        <w:gridCol w:w="790"/>
        <w:gridCol w:w="2227"/>
        <w:gridCol w:w="1696"/>
      </w:tblGrid>
      <w:tr w14:paraId="79BDF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6FA32A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序号</w:t>
            </w:r>
          </w:p>
        </w:tc>
        <w:tc>
          <w:tcPr>
            <w:tcW w:w="2881" w:type="dxa"/>
            <w:tcBorders>
              <w:top w:val="single" w:color="auto" w:sz="4" w:space="0"/>
              <w:left w:val="single" w:color="auto" w:sz="4" w:space="0"/>
              <w:bottom w:val="single" w:color="auto" w:sz="4" w:space="0"/>
              <w:right w:val="single" w:color="auto" w:sz="4" w:space="0"/>
            </w:tcBorders>
            <w:vAlign w:val="center"/>
          </w:tcPr>
          <w:p w14:paraId="51E0B3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磋商内容</w:t>
            </w:r>
          </w:p>
        </w:tc>
        <w:tc>
          <w:tcPr>
            <w:tcW w:w="710" w:type="dxa"/>
            <w:tcBorders>
              <w:top w:val="single" w:color="auto" w:sz="4" w:space="0"/>
              <w:left w:val="single" w:color="auto" w:sz="4" w:space="0"/>
              <w:bottom w:val="single" w:color="auto" w:sz="4" w:space="0"/>
              <w:right w:val="single" w:color="auto" w:sz="4" w:space="0"/>
            </w:tcBorders>
            <w:vAlign w:val="center"/>
          </w:tcPr>
          <w:p w14:paraId="7094E4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790" w:type="dxa"/>
            <w:tcBorders>
              <w:top w:val="single" w:color="auto" w:sz="4" w:space="0"/>
              <w:left w:val="single" w:color="auto" w:sz="4" w:space="0"/>
              <w:bottom w:val="single" w:color="auto" w:sz="4" w:space="0"/>
              <w:right w:val="single" w:color="auto" w:sz="4" w:space="0"/>
            </w:tcBorders>
            <w:vAlign w:val="center"/>
          </w:tcPr>
          <w:p w14:paraId="50E4DD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单位</w:t>
            </w:r>
          </w:p>
        </w:tc>
        <w:tc>
          <w:tcPr>
            <w:tcW w:w="2227" w:type="dxa"/>
            <w:tcBorders>
              <w:top w:val="single" w:color="auto" w:sz="4" w:space="0"/>
              <w:left w:val="single" w:color="auto" w:sz="4" w:space="0"/>
              <w:bottom w:val="single" w:color="auto" w:sz="4" w:space="0"/>
              <w:right w:val="single" w:color="auto" w:sz="4" w:space="0"/>
            </w:tcBorders>
            <w:vAlign w:val="center"/>
          </w:tcPr>
          <w:p w14:paraId="5FFEA8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采购最高限价</w:t>
            </w:r>
          </w:p>
        </w:tc>
        <w:tc>
          <w:tcPr>
            <w:tcW w:w="1696" w:type="dxa"/>
            <w:tcBorders>
              <w:top w:val="single" w:color="auto" w:sz="4" w:space="0"/>
              <w:left w:val="single" w:color="auto" w:sz="4" w:space="0"/>
              <w:bottom w:val="single" w:color="auto" w:sz="4" w:space="0"/>
              <w:right w:val="single" w:color="auto" w:sz="4" w:space="0"/>
            </w:tcBorders>
            <w:vAlign w:val="center"/>
          </w:tcPr>
          <w:p w14:paraId="6B6680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简要技术要求、用途</w:t>
            </w:r>
          </w:p>
        </w:tc>
      </w:tr>
      <w:tr w14:paraId="570C3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3" w:hRule="atLeast"/>
          <w:jc w:val="center"/>
        </w:trPr>
        <w:tc>
          <w:tcPr>
            <w:tcW w:w="642" w:type="dxa"/>
            <w:tcBorders>
              <w:top w:val="single" w:color="auto" w:sz="4" w:space="0"/>
              <w:left w:val="single" w:color="auto" w:sz="4" w:space="0"/>
              <w:right w:val="single" w:color="auto" w:sz="4" w:space="0"/>
            </w:tcBorders>
            <w:vAlign w:val="center"/>
          </w:tcPr>
          <w:p w14:paraId="12334F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sz w:val="21"/>
                <w:szCs w:val="21"/>
                <w:highlight w:val="none"/>
                <w:lang w:val="en-US" w:eastAsia="zh-CN"/>
              </w:rPr>
              <w:t>1</w:t>
            </w:r>
          </w:p>
        </w:tc>
        <w:tc>
          <w:tcPr>
            <w:tcW w:w="2881" w:type="dxa"/>
            <w:tcBorders>
              <w:top w:val="single" w:color="auto" w:sz="4" w:space="0"/>
              <w:left w:val="single" w:color="auto" w:sz="4" w:space="0"/>
              <w:right w:val="single" w:color="auto" w:sz="4" w:space="0"/>
            </w:tcBorders>
            <w:vAlign w:val="center"/>
          </w:tcPr>
          <w:p w14:paraId="645D97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b w:val="0"/>
                <w:bCs w:val="0"/>
                <w:highlight w:val="none"/>
                <w:lang w:val="en-US" w:eastAsia="zh-CN"/>
              </w:rPr>
              <w:t>浙江省芳村溪幸福河湖建设项目招标代理及施工阶段全过程工程造价控制</w:t>
            </w:r>
          </w:p>
        </w:tc>
        <w:tc>
          <w:tcPr>
            <w:tcW w:w="710" w:type="dxa"/>
            <w:tcBorders>
              <w:top w:val="single" w:color="auto" w:sz="4" w:space="0"/>
              <w:left w:val="single" w:color="auto" w:sz="4" w:space="0"/>
              <w:right w:val="single" w:color="auto" w:sz="4" w:space="0"/>
            </w:tcBorders>
            <w:vAlign w:val="center"/>
          </w:tcPr>
          <w:p w14:paraId="481448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790" w:type="dxa"/>
            <w:tcBorders>
              <w:top w:val="single" w:color="auto" w:sz="4" w:space="0"/>
              <w:left w:val="single" w:color="auto" w:sz="4" w:space="0"/>
              <w:right w:val="single" w:color="auto" w:sz="4" w:space="0"/>
            </w:tcBorders>
            <w:vAlign w:val="center"/>
          </w:tcPr>
          <w:p w14:paraId="05C8C2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项</w:t>
            </w:r>
          </w:p>
        </w:tc>
        <w:tc>
          <w:tcPr>
            <w:tcW w:w="2227" w:type="dxa"/>
            <w:tcBorders>
              <w:top w:val="single" w:color="auto" w:sz="4" w:space="0"/>
              <w:left w:val="single" w:color="auto" w:sz="4" w:space="0"/>
              <w:bottom w:val="single" w:color="auto" w:sz="4" w:space="0"/>
              <w:right w:val="single" w:color="auto" w:sz="4" w:space="0"/>
            </w:tcBorders>
            <w:vAlign w:val="center"/>
          </w:tcPr>
          <w:p w14:paraId="5C12C7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highlight w:val="none"/>
                <w:lang w:val="en-US"/>
              </w:rPr>
            </w:pPr>
            <w:r>
              <w:rPr>
                <w:rFonts w:hint="eastAsia" w:ascii="仿宋" w:hAnsi="仿宋" w:eastAsia="仿宋" w:cs="仿宋"/>
                <w:color w:val="auto"/>
                <w:szCs w:val="21"/>
                <w:highlight w:val="none"/>
                <w:lang w:val="en-US" w:eastAsia="zh-CN"/>
              </w:rPr>
              <w:t>54.575万元（招标代理服务费用最高限价18.33万元、施工阶段全过程工程造价控制费用最高限价36.245万元）</w:t>
            </w:r>
          </w:p>
        </w:tc>
        <w:tc>
          <w:tcPr>
            <w:tcW w:w="1696" w:type="dxa"/>
            <w:tcBorders>
              <w:top w:val="single" w:color="auto" w:sz="4" w:space="0"/>
              <w:left w:val="single" w:color="auto" w:sz="4" w:space="0"/>
              <w:right w:val="single" w:color="auto" w:sz="4" w:space="0"/>
            </w:tcBorders>
            <w:vAlign w:val="center"/>
          </w:tcPr>
          <w:p w14:paraId="5B9FF2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详见</w:t>
            </w:r>
            <w:r>
              <w:rPr>
                <w:rFonts w:hint="eastAsia" w:ascii="仿宋" w:hAnsi="仿宋" w:eastAsia="仿宋" w:cs="仿宋"/>
                <w:sz w:val="21"/>
                <w:szCs w:val="21"/>
                <w:highlight w:val="none"/>
                <w:lang w:eastAsia="zh-CN"/>
              </w:rPr>
              <w:t>竞争性</w:t>
            </w:r>
            <w:r>
              <w:rPr>
                <w:rFonts w:hint="eastAsia" w:ascii="仿宋" w:hAnsi="仿宋" w:eastAsia="仿宋" w:cs="仿宋"/>
                <w:sz w:val="21"/>
                <w:szCs w:val="21"/>
                <w:highlight w:val="none"/>
              </w:rPr>
              <w:t>磋商文件第三章</w:t>
            </w:r>
          </w:p>
        </w:tc>
      </w:tr>
    </w:tbl>
    <w:p w14:paraId="319F5FFC">
      <w:pPr>
        <w:keepNext w:val="0"/>
        <w:keepLines w:val="0"/>
        <w:pageBreakBefore w:val="0"/>
        <w:kinsoku/>
        <w:wordWrap/>
        <w:overflowPunct/>
        <w:topLinePunct w:val="0"/>
        <w:bidi w:val="0"/>
        <w:snapToGrid w:val="0"/>
        <w:spacing w:line="360" w:lineRule="auto"/>
        <w:ind w:firstLine="420" w:firstLineChars="200"/>
        <w:textAlignment w:val="auto"/>
        <w:rPr>
          <w:rFonts w:hint="eastAsia" w:ascii="仿宋" w:hAnsi="仿宋" w:eastAsia="仿宋" w:cs="仿宋"/>
          <w:bCs/>
          <w:color w:val="000000"/>
          <w:sz w:val="21"/>
          <w:szCs w:val="21"/>
          <w:highlight w:val="none"/>
        </w:rPr>
      </w:pPr>
      <w:r>
        <w:rPr>
          <w:rFonts w:hint="eastAsia" w:ascii="仿宋" w:hAnsi="仿宋" w:eastAsia="仿宋" w:cs="仿宋"/>
          <w:b/>
          <w:color w:val="000000"/>
          <w:sz w:val="21"/>
          <w:szCs w:val="21"/>
          <w:highlight w:val="none"/>
        </w:rPr>
        <w:t>▲五、合格供应商的资格条件要求</w:t>
      </w:r>
    </w:p>
    <w:p w14:paraId="0F25AAC0">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1.符合《衢州市国有企业采购管理办法（试行）》第十五条规定：</w:t>
      </w:r>
    </w:p>
    <w:p w14:paraId="6601C477">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⑴具有独立承担民事责任的能力；</w:t>
      </w:r>
    </w:p>
    <w:p w14:paraId="5B4A754D">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⑵具有良好的商业信誉和健全的财务会计制度；</w:t>
      </w:r>
    </w:p>
    <w:p w14:paraId="26790152">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⑶具有履行合同所必需的设备、技术和售后保障等能力；</w:t>
      </w:r>
    </w:p>
    <w:p w14:paraId="62D05219">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⑷有依法缴纳税收和社会保障资金的良好记录；</w:t>
      </w:r>
    </w:p>
    <w:p w14:paraId="2F808058">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⑸参加采购、招投标等活动前3年内，在经营活动中没有重大违法记录和行贿犯罪记录；</w:t>
      </w:r>
    </w:p>
    <w:p w14:paraId="0156B214">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⑹具有法律法规和规范性文件规定的其他条件。</w:t>
      </w:r>
    </w:p>
    <w:p w14:paraId="76A0AD18">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且</w:t>
      </w:r>
      <w:r>
        <w:rPr>
          <w:rFonts w:hint="eastAsia" w:ascii="仿宋" w:hAnsi="仿宋" w:eastAsia="仿宋" w:cs="仿宋"/>
          <w:color w:val="auto"/>
          <w:sz w:val="21"/>
          <w:szCs w:val="21"/>
          <w:highlight w:val="none"/>
        </w:rPr>
        <w:t>必须为未被列入“信用中国”网站</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www.creditchina.gov.cn</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、中国政府采购网</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www.ccgp.gov.cn</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渠道信用记录失信被执行人、重大税收违法案件当事人名单、政府采购严重违法失信行为记录名单的供应商。</w:t>
      </w:r>
    </w:p>
    <w:p w14:paraId="46EE01D5">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3.单位负责人为同一人或者存在直接控股、管理关系的不同供应商，不得参加同一合同项下的采购活动。</w:t>
      </w:r>
    </w:p>
    <w:p w14:paraId="2DCB748E">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4</w:t>
      </w:r>
      <w:r>
        <w:rPr>
          <w:rFonts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eastAsia="zh-CN"/>
        </w:rPr>
        <w:t>供应商自</w:t>
      </w:r>
      <w:r>
        <w:rPr>
          <w:rFonts w:hint="eastAsia" w:ascii="仿宋" w:hAnsi="仿宋" w:eastAsia="仿宋" w:cs="仿宋"/>
          <w:b w:val="0"/>
          <w:bCs w:val="0"/>
          <w:color w:val="auto"/>
          <w:sz w:val="21"/>
          <w:szCs w:val="21"/>
          <w:highlight w:val="none"/>
          <w:lang w:val="en-US" w:eastAsia="zh-CN"/>
        </w:rPr>
        <w:t>投标截止时间前三年内无行贿犯罪记录（以中国裁判文书网（网址：http://wenshu.court.gov.cn/）查询到的行贿判决书为准）。</w:t>
      </w:r>
    </w:p>
    <w:p w14:paraId="2FA51897">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本项目的特定资格要求：</w:t>
      </w:r>
      <w:r>
        <w:rPr>
          <w:rFonts w:hint="eastAsia" w:ascii="仿宋" w:hAnsi="仿宋" w:eastAsia="仿宋" w:cs="仿宋"/>
          <w:b w:val="0"/>
          <w:bCs w:val="0"/>
          <w:color w:val="auto"/>
          <w:sz w:val="21"/>
          <w:szCs w:val="21"/>
          <w:highlight w:val="none"/>
          <w:lang w:val="en-US" w:eastAsia="zh-CN"/>
        </w:rPr>
        <w:t>无。</w:t>
      </w:r>
    </w:p>
    <w:p w14:paraId="6A753DCB">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6</w:t>
      </w:r>
      <w:r>
        <w:rPr>
          <w:rFonts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eastAsia="zh-CN"/>
        </w:rPr>
        <w:t>本项目</w:t>
      </w:r>
      <w:r>
        <w:rPr>
          <w:rFonts w:hint="eastAsia" w:ascii="仿宋" w:hAnsi="仿宋" w:eastAsia="仿宋" w:cs="仿宋"/>
          <w:b w:val="0"/>
          <w:bCs w:val="0"/>
          <w:color w:val="auto"/>
          <w:sz w:val="21"/>
          <w:szCs w:val="21"/>
          <w:highlight w:val="none"/>
          <w:lang w:val="en-US" w:eastAsia="zh-CN"/>
        </w:rPr>
        <w:t>不</w:t>
      </w:r>
      <w:r>
        <w:rPr>
          <w:rFonts w:hint="eastAsia" w:ascii="仿宋" w:hAnsi="仿宋" w:eastAsia="仿宋" w:cs="仿宋"/>
          <w:b w:val="0"/>
          <w:bCs w:val="0"/>
          <w:color w:val="auto"/>
          <w:sz w:val="21"/>
          <w:szCs w:val="21"/>
          <w:highlight w:val="none"/>
          <w:lang w:eastAsia="zh-CN"/>
        </w:rPr>
        <w:t>接受联合体参加磋商。</w:t>
      </w:r>
    </w:p>
    <w:p w14:paraId="4FB1D82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b/>
          <w:bCs w:val="0"/>
          <w:color w:val="auto"/>
          <w:sz w:val="24"/>
          <w:szCs w:val="24"/>
          <w:highlight w:val="none"/>
        </w:rPr>
      </w:pPr>
      <w:bookmarkStart w:id="1" w:name="_Toc28359009"/>
      <w:bookmarkStart w:id="2" w:name="_Toc28359086"/>
      <w:r>
        <w:rPr>
          <w:rFonts w:hint="eastAsia" w:ascii="仿宋" w:hAnsi="仿宋" w:eastAsia="仿宋" w:cs="仿宋"/>
          <w:b/>
          <w:bCs w:val="0"/>
          <w:color w:val="auto"/>
          <w:sz w:val="24"/>
          <w:szCs w:val="24"/>
          <w:highlight w:val="none"/>
          <w:lang w:val="en-US" w:eastAsia="zh-CN"/>
        </w:rPr>
        <w:t>六</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eastAsia="zh-CN"/>
        </w:rPr>
        <w:t>采购文件（</w:t>
      </w:r>
      <w:r>
        <w:rPr>
          <w:rFonts w:hint="eastAsia" w:ascii="仿宋" w:hAnsi="仿宋" w:eastAsia="仿宋" w:cs="仿宋"/>
          <w:b/>
          <w:bCs w:val="0"/>
          <w:color w:val="auto"/>
          <w:sz w:val="24"/>
          <w:szCs w:val="24"/>
          <w:highlight w:val="none"/>
          <w:lang w:val="en-US" w:eastAsia="zh-CN"/>
        </w:rPr>
        <w:t>磋商文件</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获取方式</w:t>
      </w:r>
    </w:p>
    <w:p w14:paraId="2A39154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CN"/>
        </w:rPr>
        <w:t>供应商按下述要求获取</w:t>
      </w:r>
      <w:r>
        <w:rPr>
          <w:rFonts w:hint="eastAsia" w:ascii="仿宋" w:hAnsi="仿宋" w:eastAsia="仿宋" w:cs="仿宋"/>
          <w:color w:val="auto"/>
          <w:sz w:val="21"/>
          <w:szCs w:val="21"/>
          <w:highlight w:val="none"/>
          <w:lang w:val="zh-CN" w:eastAsia="zh-CN"/>
        </w:rPr>
        <w:t>采购文件</w:t>
      </w:r>
      <w:r>
        <w:rPr>
          <w:rFonts w:hint="eastAsia" w:ascii="仿宋" w:hAnsi="仿宋" w:eastAsia="仿宋" w:cs="仿宋"/>
          <w:color w:val="auto"/>
          <w:sz w:val="21"/>
          <w:szCs w:val="21"/>
          <w:highlight w:val="none"/>
          <w:lang w:val="zh-CN"/>
        </w:rPr>
        <w:t>，如未在“衢州市阳光交易服务平台”系统内完成相关流程，引起投标无效，责任自负。</w:t>
      </w:r>
    </w:p>
    <w:p w14:paraId="663524E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CN"/>
        </w:rPr>
        <w:t>本项目</w:t>
      </w:r>
      <w:r>
        <w:rPr>
          <w:rFonts w:hint="eastAsia" w:ascii="仿宋" w:hAnsi="仿宋" w:eastAsia="仿宋" w:cs="仿宋"/>
          <w:color w:val="auto"/>
          <w:sz w:val="21"/>
          <w:szCs w:val="21"/>
          <w:highlight w:val="none"/>
          <w:lang w:val="zh-CN" w:eastAsia="zh-CN"/>
        </w:rPr>
        <w:t>采购文件</w:t>
      </w:r>
      <w:r>
        <w:rPr>
          <w:rFonts w:hint="eastAsia" w:ascii="仿宋" w:hAnsi="仿宋" w:eastAsia="仿宋" w:cs="仿宋"/>
          <w:color w:val="auto"/>
          <w:sz w:val="21"/>
          <w:szCs w:val="21"/>
          <w:highlight w:val="none"/>
          <w:lang w:val="zh-CN"/>
        </w:rPr>
        <w:t>实行“衢州市阳光交易服务平台”在线申请获取</w:t>
      </w:r>
      <w:r>
        <w:rPr>
          <w:rFonts w:hint="eastAsia" w:ascii="仿宋" w:hAnsi="仿宋" w:eastAsia="仿宋" w:cs="仿宋"/>
          <w:color w:val="auto"/>
          <w:sz w:val="21"/>
          <w:szCs w:val="21"/>
          <w:highlight w:val="none"/>
          <w:lang w:val="zh-CN" w:eastAsia="zh-CN"/>
        </w:rPr>
        <w:t>采购文件</w:t>
      </w:r>
      <w:r>
        <w:rPr>
          <w:rFonts w:hint="eastAsia" w:ascii="仿宋" w:hAnsi="仿宋" w:eastAsia="仿宋" w:cs="仿宋"/>
          <w:color w:val="auto"/>
          <w:sz w:val="21"/>
          <w:szCs w:val="21"/>
          <w:highlight w:val="none"/>
          <w:lang w:val="zh-CN"/>
        </w:rPr>
        <w:t>，不提供纸质版</w:t>
      </w:r>
      <w:r>
        <w:rPr>
          <w:rFonts w:hint="eastAsia" w:ascii="仿宋" w:hAnsi="仿宋" w:eastAsia="仿宋" w:cs="仿宋"/>
          <w:color w:val="auto"/>
          <w:sz w:val="21"/>
          <w:szCs w:val="21"/>
          <w:highlight w:val="none"/>
          <w:lang w:val="zh-CN" w:eastAsia="zh-CN"/>
        </w:rPr>
        <w:t>采购文件</w:t>
      </w:r>
      <w:r>
        <w:rPr>
          <w:rFonts w:hint="eastAsia" w:ascii="仿宋" w:hAnsi="仿宋" w:eastAsia="仿宋" w:cs="仿宋"/>
          <w:color w:val="auto"/>
          <w:sz w:val="21"/>
          <w:szCs w:val="21"/>
          <w:highlight w:val="none"/>
          <w:lang w:val="zh-CN"/>
        </w:rPr>
        <w:t>。供应商获取</w:t>
      </w:r>
      <w:r>
        <w:rPr>
          <w:rFonts w:hint="eastAsia" w:ascii="仿宋" w:hAnsi="仿宋" w:eastAsia="仿宋" w:cs="仿宋"/>
          <w:color w:val="auto"/>
          <w:sz w:val="21"/>
          <w:szCs w:val="21"/>
          <w:highlight w:val="none"/>
          <w:lang w:val="zh-CN" w:eastAsia="zh-CN"/>
        </w:rPr>
        <w:t>采购文件</w:t>
      </w:r>
      <w:r>
        <w:rPr>
          <w:rFonts w:hint="eastAsia" w:ascii="仿宋" w:hAnsi="仿宋" w:eastAsia="仿宋" w:cs="仿宋"/>
          <w:color w:val="auto"/>
          <w:sz w:val="21"/>
          <w:szCs w:val="21"/>
          <w:highlight w:val="none"/>
          <w:lang w:val="zh-CN"/>
        </w:rPr>
        <w:t>前应先办理“衢州市阳光交易服务平台”供应商信息入库备案同时办理介质CA锁。完成介质CA锁办理预计2～3个工作日，建议各供应商合理安排办理时间。</w:t>
      </w:r>
    </w:p>
    <w:p w14:paraId="2973909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潜在供应商登录衢州市阳光交易服务平台（https://qzygjy.com/）办理供应商信息入库备案事宜。</w:t>
      </w:r>
    </w:p>
    <w:p w14:paraId="2ED29D71">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CN"/>
        </w:rPr>
        <w:t>未办理企业信息入库的</w:t>
      </w:r>
      <w:r>
        <w:rPr>
          <w:rFonts w:hint="eastAsia" w:ascii="仿宋" w:hAnsi="仿宋" w:eastAsia="仿宋" w:cs="仿宋"/>
          <w:color w:val="auto"/>
          <w:sz w:val="21"/>
          <w:szCs w:val="21"/>
          <w:highlight w:val="none"/>
          <w:lang w:val="zh-CN" w:eastAsia="zh-CN"/>
        </w:rPr>
        <w:t>供应商</w:t>
      </w:r>
      <w:r>
        <w:rPr>
          <w:rFonts w:hint="eastAsia" w:ascii="仿宋" w:hAnsi="仿宋" w:eastAsia="仿宋" w:cs="仿宋"/>
          <w:color w:val="auto"/>
          <w:sz w:val="21"/>
          <w:szCs w:val="21"/>
          <w:highlight w:val="none"/>
          <w:lang w:val="zh-CN"/>
        </w:rPr>
        <w:t>，根据显示界面提示免费注册，填写、上传相关主体信息，带“*”号的必填，填好后“提交”。</w:t>
      </w:r>
      <w:r>
        <w:rPr>
          <w:rFonts w:hint="eastAsia" w:ascii="仿宋" w:hAnsi="仿宋" w:eastAsia="仿宋" w:cs="仿宋"/>
          <w:color w:val="auto"/>
          <w:sz w:val="21"/>
          <w:szCs w:val="21"/>
          <w:highlight w:val="none"/>
          <w:lang w:val="zh-CN" w:eastAsia="zh-CN"/>
        </w:rPr>
        <w:t>供应商</w:t>
      </w:r>
      <w:r>
        <w:rPr>
          <w:rFonts w:hint="eastAsia" w:ascii="仿宋" w:hAnsi="仿宋" w:eastAsia="仿宋" w:cs="仿宋"/>
          <w:color w:val="auto"/>
          <w:sz w:val="21"/>
          <w:szCs w:val="21"/>
          <w:highlight w:val="none"/>
          <w:lang w:val="zh-CN"/>
        </w:rPr>
        <w:t>须提前申领介质CA锁及电子签章，具体操作可参考衢州市阳光交易服务平台交易乙方操作手册。</w:t>
      </w:r>
    </w:p>
    <w:p w14:paraId="56D6724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CN"/>
        </w:rPr>
        <w:t>CA办理：</w:t>
      </w:r>
    </w:p>
    <w:p w14:paraId="450A27D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天谷CA：http://www.tseal.cn/tcloud/common.xhtml?projId=307 联系电话：400-087-8198</w:t>
      </w:r>
    </w:p>
    <w:p w14:paraId="1FB0CAE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新点标证通：https://www.ebpu.com/epbzt/index.html 联系电话：</w:t>
      </w:r>
      <w:r>
        <w:rPr>
          <w:rFonts w:hint="eastAsia" w:ascii="仿宋" w:hAnsi="仿宋" w:eastAsia="仿宋" w:cs="仿宋"/>
          <w:color w:val="auto"/>
          <w:sz w:val="21"/>
          <w:szCs w:val="21"/>
          <w:highlight w:val="none"/>
          <w:lang w:val="en-US" w:eastAsia="zh-CN"/>
        </w:rPr>
        <w:t>0512-58188591</w:t>
      </w:r>
    </w:p>
    <w:p w14:paraId="7B83BD8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6.招标</w:t>
      </w:r>
      <w:r>
        <w:rPr>
          <w:rFonts w:hint="eastAsia" w:ascii="仿宋" w:hAnsi="仿宋" w:eastAsia="仿宋" w:cs="仿宋"/>
          <w:color w:val="auto"/>
          <w:sz w:val="21"/>
          <w:szCs w:val="21"/>
          <w:highlight w:val="none"/>
          <w:lang w:val="zh-CN" w:eastAsia="zh-CN"/>
        </w:rPr>
        <w:t>文件</w:t>
      </w:r>
      <w:r>
        <w:rPr>
          <w:rFonts w:hint="eastAsia" w:ascii="仿宋" w:hAnsi="仿宋" w:eastAsia="仿宋" w:cs="仿宋"/>
          <w:color w:val="auto"/>
          <w:sz w:val="21"/>
          <w:szCs w:val="21"/>
          <w:highlight w:val="none"/>
          <w:lang w:val="zh-CN"/>
        </w:rPr>
        <w:t>下载：</w:t>
      </w:r>
    </w:p>
    <w:p w14:paraId="61355EBD">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（1）潜在投标人登录“衢州市阳光交易服务平台”，在线申请获取招标文件(选择招标公告，进入项目,选择“投标前阶段”进入项目在获取招标文件菜单中选择项目,选择“招标文件下载”)。</w:t>
      </w:r>
    </w:p>
    <w:p w14:paraId="7944FA2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（2）投标文件的解密：投标人按照平台提示和招标文件的规定在30分钟内于衢州市阳光交易服务平台不见面开标大厅完成在线解密。</w:t>
      </w:r>
    </w:p>
    <w:p w14:paraId="0D228F8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b/>
          <w:bCs/>
          <w:color w:val="auto"/>
          <w:sz w:val="21"/>
          <w:szCs w:val="21"/>
          <w:highlight w:val="none"/>
          <w:lang w:val="zh-CN"/>
        </w:rPr>
      </w:pPr>
      <w:r>
        <w:rPr>
          <w:rFonts w:hint="eastAsia" w:ascii="仿宋" w:hAnsi="仿宋" w:eastAsia="仿宋" w:cs="仿宋"/>
          <w:color w:val="auto"/>
          <w:sz w:val="21"/>
          <w:szCs w:val="21"/>
          <w:highlight w:val="none"/>
          <w:lang w:val="zh-CN"/>
        </w:rPr>
        <w:t>7</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CN"/>
        </w:rPr>
        <w:t>具体操作指南：</w:t>
      </w:r>
      <w:r>
        <w:rPr>
          <w:rFonts w:hint="eastAsia" w:ascii="仿宋" w:hAnsi="仿宋" w:eastAsia="仿宋" w:cs="仿宋"/>
          <w:color w:val="auto"/>
          <w:sz w:val="21"/>
          <w:szCs w:val="21"/>
          <w:highlight w:val="none"/>
          <w:lang w:val="zh-CN" w:eastAsia="zh-CN"/>
        </w:rPr>
        <w:t>详见衢州市阳光交易服务平台“办事指南-衢州市阳光交易服务平台-工程建设交易乙方操作手册”，</w:t>
      </w:r>
      <w:r>
        <w:rPr>
          <w:rFonts w:hint="eastAsia" w:ascii="仿宋" w:hAnsi="仿宋" w:eastAsia="仿宋" w:cs="仿宋"/>
          <w:b/>
          <w:bCs/>
          <w:color w:val="auto"/>
          <w:sz w:val="21"/>
          <w:szCs w:val="21"/>
          <w:highlight w:val="none"/>
          <w:lang w:val="zh-CN" w:eastAsia="zh-CN"/>
        </w:rPr>
        <w:t>如遇平台技术问题详询0512-58188591、0570-3878007</w:t>
      </w:r>
      <w:r>
        <w:rPr>
          <w:rFonts w:hint="eastAsia" w:ascii="仿宋" w:hAnsi="仿宋" w:eastAsia="仿宋" w:cs="仿宋"/>
          <w:b/>
          <w:bCs/>
          <w:color w:val="auto"/>
          <w:sz w:val="21"/>
          <w:szCs w:val="21"/>
          <w:highlight w:val="none"/>
          <w:lang w:val="zh-CN"/>
        </w:rPr>
        <w:t>。</w:t>
      </w:r>
    </w:p>
    <w:p w14:paraId="092151DB">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b/>
          <w:bCs/>
          <w:color w:val="auto"/>
          <w:sz w:val="21"/>
          <w:szCs w:val="21"/>
          <w:highlight w:val="none"/>
          <w:lang w:val="en-US" w:eastAsia="zh-CN"/>
        </w:rPr>
        <w:t>七</w:t>
      </w:r>
      <w:r>
        <w:rPr>
          <w:rFonts w:hint="eastAsia" w:ascii="仿宋" w:hAnsi="仿宋" w:eastAsia="仿宋" w:cs="仿宋"/>
          <w:b/>
          <w:bCs/>
          <w:color w:val="auto"/>
          <w:sz w:val="21"/>
          <w:szCs w:val="21"/>
          <w:highlight w:val="none"/>
          <w:lang w:val="zh-CN"/>
        </w:rPr>
        <w:t>、投标工具一标通投标制作工具</w:t>
      </w:r>
    </w:p>
    <w:p w14:paraId="5BBCA98D">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下载地址：</w:t>
      </w:r>
    </w:p>
    <w:p w14:paraId="1E6ED477">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https://download.bqpoint.com/download/downloaddetail.html?SourceFrom=Ztb&amp;ZtbSoftXiaQuCode=1155&amp;ZtbSoftType=tballinclusive</w:t>
      </w:r>
    </w:p>
    <w:p w14:paraId="16E94DD5">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1"/>
          <w:szCs w:val="21"/>
          <w:highlight w:val="none"/>
          <w:lang w:val="zh-CN"/>
        </w:rPr>
        <w:t>新点软件客服电话：</w:t>
      </w:r>
      <w:r>
        <w:rPr>
          <w:rFonts w:hint="eastAsia" w:ascii="仿宋" w:hAnsi="仿宋" w:eastAsia="仿宋" w:cs="仿宋"/>
          <w:b/>
          <w:bCs/>
          <w:color w:val="auto"/>
          <w:sz w:val="21"/>
          <w:szCs w:val="21"/>
          <w:highlight w:val="none"/>
          <w:lang w:val="zh-CN" w:eastAsia="zh-CN"/>
        </w:rPr>
        <w:t>0512-58188591、0570-3878007</w:t>
      </w:r>
      <w:r>
        <w:rPr>
          <w:rFonts w:hint="eastAsia" w:ascii="仿宋" w:hAnsi="仿宋" w:eastAsia="仿宋" w:cs="仿宋"/>
          <w:b/>
          <w:bCs/>
          <w:color w:val="auto"/>
          <w:sz w:val="21"/>
          <w:szCs w:val="21"/>
          <w:highlight w:val="none"/>
          <w:lang w:val="zh-CN"/>
        </w:rPr>
        <w:t>。</w:t>
      </w:r>
    </w:p>
    <w:p w14:paraId="2A98F83D">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八、提交</w:t>
      </w:r>
      <w:r>
        <w:rPr>
          <w:rFonts w:hint="eastAsia" w:ascii="仿宋" w:hAnsi="仿宋" w:eastAsia="仿宋" w:cs="仿宋"/>
          <w:b/>
          <w:bCs/>
          <w:color w:val="auto"/>
          <w:sz w:val="24"/>
          <w:szCs w:val="24"/>
          <w:highlight w:val="none"/>
          <w:lang w:eastAsia="zh-CN"/>
        </w:rPr>
        <w:t>投标（响应）文件</w:t>
      </w:r>
      <w:r>
        <w:rPr>
          <w:rFonts w:hint="eastAsia" w:ascii="仿宋" w:hAnsi="仿宋" w:eastAsia="仿宋" w:cs="仿宋"/>
          <w:b/>
          <w:bCs/>
          <w:color w:val="auto"/>
          <w:sz w:val="24"/>
          <w:szCs w:val="24"/>
          <w:highlight w:val="none"/>
        </w:rPr>
        <w:t>截止时间、开标时间和地点</w:t>
      </w:r>
    </w:p>
    <w:p w14:paraId="18B72FBF">
      <w:pPr>
        <w:pStyle w:val="170"/>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投标（响应）文件</w:t>
      </w:r>
      <w:r>
        <w:rPr>
          <w:rFonts w:hint="eastAsia" w:ascii="仿宋" w:hAnsi="仿宋" w:eastAsia="仿宋" w:cs="仿宋"/>
          <w:color w:val="auto"/>
          <w:sz w:val="21"/>
          <w:szCs w:val="21"/>
          <w:highlight w:val="none"/>
        </w:rPr>
        <w:t>递交截止时间（开标时间，下同）：</w:t>
      </w:r>
      <w:r>
        <w:rPr>
          <w:rFonts w:hint="eastAsia" w:ascii="仿宋" w:hAnsi="仿宋" w:eastAsia="仿宋" w:cs="仿宋"/>
          <w:color w:val="auto"/>
          <w:sz w:val="21"/>
          <w:szCs w:val="21"/>
          <w:highlight w:val="none"/>
          <w:lang w:val="en-US" w:eastAsia="zh-CN"/>
        </w:rPr>
        <w:t>2025年07月07日09时30分00</w:t>
      </w:r>
      <w:r>
        <w:rPr>
          <w:rFonts w:hint="eastAsia" w:ascii="仿宋" w:hAnsi="仿宋" w:eastAsia="仿宋" w:cs="仿宋"/>
          <w:color w:val="auto"/>
          <w:sz w:val="21"/>
          <w:szCs w:val="21"/>
          <w:highlight w:val="none"/>
          <w:lang w:eastAsia="zh-CN"/>
        </w:rPr>
        <w:t>秒</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 </w:t>
      </w:r>
    </w:p>
    <w:p w14:paraId="35EFB2CB">
      <w:pPr>
        <w:pStyle w:val="170"/>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投标（响应）文件</w:t>
      </w:r>
      <w:r>
        <w:rPr>
          <w:rFonts w:hint="eastAsia" w:ascii="仿宋" w:hAnsi="仿宋" w:eastAsia="仿宋" w:cs="仿宋"/>
          <w:color w:val="auto"/>
          <w:sz w:val="21"/>
          <w:szCs w:val="21"/>
          <w:highlight w:val="none"/>
        </w:rPr>
        <w:t>递交方式：电子</w:t>
      </w:r>
      <w:r>
        <w:rPr>
          <w:rFonts w:hint="eastAsia" w:ascii="仿宋" w:hAnsi="仿宋" w:eastAsia="仿宋" w:cs="仿宋"/>
          <w:color w:val="auto"/>
          <w:sz w:val="21"/>
          <w:szCs w:val="21"/>
          <w:highlight w:val="none"/>
          <w:lang w:eastAsia="zh-CN"/>
        </w:rPr>
        <w:t>投标（响应）文件</w:t>
      </w:r>
      <w:r>
        <w:rPr>
          <w:rFonts w:hint="eastAsia" w:ascii="仿宋" w:hAnsi="仿宋" w:eastAsia="仿宋" w:cs="仿宋"/>
          <w:color w:val="auto"/>
          <w:sz w:val="21"/>
          <w:szCs w:val="21"/>
          <w:highlight w:val="none"/>
        </w:rPr>
        <w:t>采用网上递交的方式，上传至衢州市阳光交易服务平台（https://qzygjy.com/TPBidder/memberLogin?type=13）。</w:t>
      </w:r>
    </w:p>
    <w:p w14:paraId="28A836A7">
      <w:pPr>
        <w:pStyle w:val="170"/>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3.网上开标地点：衢州市阳光交易服务平台不见面开标大厅（网址：https://qzygjy.com/BidOpening/bidopeninghallaction/hall/login）。操作手册见官网首页下载中心。</w:t>
      </w:r>
    </w:p>
    <w:p w14:paraId="5FF2F398">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lang w:val="zh-CN"/>
        </w:rPr>
        <w:t>、解密</w:t>
      </w:r>
    </w:p>
    <w:p w14:paraId="1FB2E59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CN"/>
        </w:rPr>
        <w:t>投标（响应）文件开启时间到后，代理机构（或公证人员）宣布开始解密，30分钟内供应商应完成投标（响应）文件的解密。供应商解密方式：供应商自行登录衢州市阳光交易服务平台不见面开标大厅（https://qzygjy.com/BidOpening/bidopeninghallaction/hall/login）——供应商身份——我的项目——选择标段——待招标代理开启解密后进行解密操作供应商在规定的时间内都已完成解密，则系统自动结束解密；供应商因自身原因未在规定时间内完成解密，则默认自动放弃；</w:t>
      </w:r>
    </w:p>
    <w:p w14:paraId="5609C51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CN"/>
        </w:rPr>
        <w:t>代理机构导入投标（响应）文件成功后进入评标流程。</w:t>
      </w:r>
    </w:p>
    <w:p w14:paraId="50291464">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lang w:val="zh-CN"/>
        </w:rPr>
        <w:t>、开标特别说明</w:t>
      </w:r>
    </w:p>
    <w:p w14:paraId="5EDA126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 xml:space="preserve">1、开标解密使用投标人上传的电子投标文件。 </w:t>
      </w:r>
    </w:p>
    <w:p w14:paraId="5F4416A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2、因投标人原因（包括投标人自主选择的CA证书、电脑环境、网络等），造成其电子投标文件未解密的，或投标文件解密了，但投标文件无法识别、读取的，视为撤销其投标文件。（综合评估法需要、双随机删除）</w:t>
      </w:r>
    </w:p>
    <w:p w14:paraId="1B33D3D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eastAsia="zh-CN"/>
        </w:rPr>
        <w:t>3、投标人必须使用生成电子投标文件的CA数字证书解密电子投标文件</w:t>
      </w:r>
      <w:r>
        <w:rPr>
          <w:rFonts w:hint="eastAsia" w:ascii="仿宋" w:hAnsi="仿宋" w:eastAsia="仿宋" w:cs="仿宋"/>
          <w:color w:val="auto"/>
          <w:sz w:val="21"/>
          <w:szCs w:val="21"/>
          <w:highlight w:val="none"/>
          <w:lang w:val="zh-CN"/>
        </w:rPr>
        <w:t>。</w:t>
      </w:r>
    </w:p>
    <w:p w14:paraId="00F3B86D">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bCs/>
          <w:color w:val="auto"/>
          <w:sz w:val="24"/>
          <w:szCs w:val="24"/>
          <w:highlight w:val="none"/>
          <w:lang w:val="zh-CN"/>
        </w:rPr>
      </w:pPr>
      <w:bookmarkStart w:id="3" w:name="_Toc2707"/>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lang w:val="zh-CN"/>
        </w:rPr>
        <w:t>、公告期限</w:t>
      </w:r>
    </w:p>
    <w:p w14:paraId="7AB4868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1"/>
          <w:szCs w:val="21"/>
          <w:highlight w:val="none"/>
        </w:rPr>
        <w:t>自本公告发布之日起3个工作日。</w:t>
      </w:r>
    </w:p>
    <w:p w14:paraId="55A885DE">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、其他补充事宜</w:t>
      </w:r>
      <w:bookmarkEnd w:id="3"/>
    </w:p>
    <w:p w14:paraId="6A54D88E">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1"/>
          <w:szCs w:val="21"/>
          <w:highlight w:val="none"/>
        </w:rPr>
        <w:t>供应商认为</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使自己的权益受到损害的，可以自获取</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之日或者</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公告期限届满之日（公告期限届满后获取</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w:t>
      </w:r>
      <w:r>
        <w:rPr>
          <w:rFonts w:hint="eastAsia" w:ascii="仿宋" w:hAnsi="仿宋" w:eastAsia="仿宋" w:cs="仿宋"/>
          <w:color w:val="auto"/>
          <w:sz w:val="21"/>
          <w:szCs w:val="21"/>
          <w:highlight w:val="none"/>
          <w:lang w:val="en-US" w:eastAsia="zh-CN"/>
        </w:rPr>
        <w:t>人</w:t>
      </w:r>
      <w:r>
        <w:rPr>
          <w:rFonts w:hint="eastAsia" w:ascii="仿宋" w:hAnsi="仿宋" w:eastAsia="仿宋" w:cs="仿宋"/>
          <w:color w:val="auto"/>
          <w:sz w:val="21"/>
          <w:szCs w:val="21"/>
          <w:highlight w:val="none"/>
        </w:rPr>
        <w:t>监督管理部门投诉。</w:t>
      </w:r>
    </w:p>
    <w:p w14:paraId="3A19A0D8">
      <w:pPr>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、业务咨询</w:t>
      </w:r>
    </w:p>
    <w:p w14:paraId="17A5DBFF">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1.招标人信息</w:t>
      </w:r>
    </w:p>
    <w:p w14:paraId="5DAABEB8">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名称：常山县水利发展投资有限责任公司</w:t>
      </w:r>
    </w:p>
    <w:p w14:paraId="7A3AC85B">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地址：常山县天马街道大桥路18号</w:t>
      </w:r>
    </w:p>
    <w:p w14:paraId="558FAB31">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项目联系人（询问）：叶工</w:t>
      </w:r>
    </w:p>
    <w:p w14:paraId="34034254">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项目联系方式（询问）：0570-5033009</w:t>
      </w:r>
    </w:p>
    <w:p w14:paraId="42CF65CE">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质疑联系人：李工</w:t>
      </w:r>
    </w:p>
    <w:p w14:paraId="65C4294D">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质疑联系方式：0570-5033009</w:t>
      </w:r>
    </w:p>
    <w:p w14:paraId="7DB22759">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2.招标代理机构信息</w:t>
      </w:r>
      <w:bookmarkEnd w:id="1"/>
      <w:bookmarkEnd w:id="2"/>
    </w:p>
    <w:p w14:paraId="051403DF">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名 称：</w:t>
      </w: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浙江哲晟工程项目管理有限公司</w:t>
      </w:r>
    </w:p>
    <w:p w14:paraId="0FADFF31">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地址：浙江省</w:t>
      </w: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衢州市常山县天马街道定阳南路859幢</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432</w:t>
      </w: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-43</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5</w:t>
      </w: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室</w:t>
      </w:r>
    </w:p>
    <w:p w14:paraId="77211B31">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 xml:space="preserve">项目联系人（询问）：华梅君  </w:t>
      </w:r>
    </w:p>
    <w:p w14:paraId="2C12C558">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项目联系方式（询问）：</w:t>
      </w:r>
      <w:bookmarkStart w:id="4" w:name="_Toc28359087"/>
      <w:bookmarkStart w:id="5" w:name="_Toc28359010"/>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 xml:space="preserve">13675706826   </w:t>
      </w: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 xml:space="preserve"> 0570-</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5016907</w:t>
      </w:r>
    </w:p>
    <w:p w14:paraId="51933819">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质疑联系人：姚剑</w:t>
      </w:r>
    </w:p>
    <w:p w14:paraId="1F19158C">
      <w:pPr>
        <w:pStyle w:val="15"/>
        <w:keepNext w:val="0"/>
        <w:keepLines w:val="0"/>
        <w:pageBreakBefore w:val="0"/>
        <w:widowControl w:val="0"/>
        <w:tabs>
          <w:tab w:val="clear" w:pos="900"/>
        </w:tabs>
        <w:kinsoku/>
        <w:wordWrap/>
        <w:overflowPunct/>
        <w:topLinePunct w:val="0"/>
        <w:bidi w:val="0"/>
        <w:snapToGrid w:val="0"/>
        <w:spacing w:line="360" w:lineRule="auto"/>
        <w:ind w:firstLine="420" w:firstLineChars="20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质疑联系方式：</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13857020755</w:t>
      </w:r>
      <w:bookmarkEnd w:id="4"/>
      <w:bookmarkEnd w:id="5"/>
    </w:p>
    <w:p w14:paraId="61EA927E">
      <w:pPr>
        <w:pStyle w:val="15"/>
        <w:keepNext w:val="0"/>
        <w:keepLines w:val="0"/>
        <w:pageBreakBefore w:val="0"/>
        <w:widowControl w:val="0"/>
        <w:tabs>
          <w:tab w:val="clear" w:pos="900"/>
        </w:tabs>
        <w:kinsoku/>
        <w:wordWrap/>
        <w:overflowPunct/>
        <w:topLinePunct w:val="0"/>
        <w:bidi w:val="0"/>
        <w:snapToGrid w:val="0"/>
        <w:spacing w:line="360" w:lineRule="auto"/>
        <w:ind w:firstLine="4760" w:firstLineChars="2267"/>
        <w:jc w:val="righ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常山县水利发展投资有限责任公司</w:t>
      </w:r>
    </w:p>
    <w:p w14:paraId="6F0E79A2">
      <w:pPr>
        <w:pStyle w:val="15"/>
        <w:keepNext w:val="0"/>
        <w:keepLines w:val="0"/>
        <w:pageBreakBefore w:val="0"/>
        <w:widowControl w:val="0"/>
        <w:tabs>
          <w:tab w:val="clear" w:pos="900"/>
        </w:tabs>
        <w:kinsoku/>
        <w:wordWrap/>
        <w:overflowPunct/>
        <w:topLinePunct w:val="0"/>
        <w:bidi w:val="0"/>
        <w:snapToGrid w:val="0"/>
        <w:spacing w:line="360" w:lineRule="auto"/>
        <w:ind w:firstLine="4760" w:firstLineChars="2267"/>
        <w:jc w:val="right"/>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浙江哲晟工程项目管理有限公司</w:t>
      </w:r>
    </w:p>
    <w:p w14:paraId="754119DA">
      <w:pPr>
        <w:pStyle w:val="15"/>
        <w:keepNext w:val="0"/>
        <w:keepLines w:val="0"/>
        <w:pageBreakBefore w:val="0"/>
        <w:widowControl w:val="0"/>
        <w:tabs>
          <w:tab w:val="clear" w:pos="900"/>
        </w:tabs>
        <w:kinsoku/>
        <w:wordWrap/>
        <w:overflowPunct/>
        <w:topLinePunct w:val="0"/>
        <w:bidi w:val="0"/>
        <w:snapToGrid w:val="0"/>
        <w:spacing w:line="360" w:lineRule="auto"/>
        <w:ind w:firstLine="5600" w:firstLineChars="2667"/>
        <w:jc w:val="righ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2025年06月</w:t>
      </w:r>
    </w:p>
    <w:p w14:paraId="5E779E00">
      <w:pPr>
        <w:pStyle w:val="15"/>
        <w:keepNext w:val="0"/>
        <w:keepLines w:val="0"/>
        <w:pageBreakBefore w:val="0"/>
        <w:widowControl w:val="0"/>
        <w:tabs>
          <w:tab w:val="clear" w:pos="900"/>
        </w:tabs>
        <w:kinsoku/>
        <w:wordWrap/>
        <w:overflowPunct/>
        <w:topLinePunct w:val="0"/>
        <w:bidi w:val="0"/>
        <w:snapToGrid w:val="0"/>
        <w:spacing w:line="360" w:lineRule="auto"/>
        <w:ind w:firstLine="5600" w:firstLineChars="2667"/>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br w:type="page"/>
      </w:r>
    </w:p>
    <w:p w14:paraId="57F85AD0">
      <w:pPr>
        <w:pStyle w:val="2"/>
        <w:pageBreakBefore w:val="0"/>
        <w:kinsoku/>
        <w:topLinePunct w:val="0"/>
        <w:bidi w:val="0"/>
        <w:spacing w:line="360" w:lineRule="auto"/>
        <w:outlineLvl w:val="0"/>
        <w:rPr>
          <w:rStyle w:val="123"/>
          <w:rFonts w:hint="eastAsia" w:ascii="仿宋" w:hAnsi="仿宋" w:eastAsia="仿宋" w:cs="仿宋"/>
          <w:b/>
          <w:sz w:val="30"/>
          <w:szCs w:val="30"/>
          <w:highlight w:val="none"/>
          <w:lang w:val="zh-CN" w:eastAsia="zh-CN"/>
        </w:rPr>
      </w:pPr>
      <w:bookmarkStart w:id="6" w:name="_Toc17305"/>
      <w:r>
        <w:rPr>
          <w:rFonts w:hint="eastAsia" w:ascii="仿宋" w:hAnsi="仿宋" w:eastAsia="仿宋" w:cs="仿宋"/>
          <w:color w:val="000000"/>
          <w:sz w:val="30"/>
          <w:szCs w:val="32"/>
          <w:highlight w:val="none"/>
          <w:lang w:val="zh-CN" w:eastAsia="zh-CN"/>
        </w:rPr>
        <w:t>第二章  供应商须知</w:t>
      </w:r>
      <w:bookmarkEnd w:id="6"/>
    </w:p>
    <w:p w14:paraId="3CD42C80">
      <w:pPr>
        <w:pStyle w:val="4"/>
        <w:pageBreakBefore w:val="0"/>
        <w:kinsoku/>
        <w:topLinePunct w:val="0"/>
        <w:bidi w:val="0"/>
        <w:spacing w:before="0" w:after="0" w:line="360" w:lineRule="auto"/>
        <w:jc w:val="center"/>
        <w:rPr>
          <w:rFonts w:hint="eastAsia" w:ascii="仿宋" w:hAnsi="仿宋" w:eastAsia="仿宋" w:cs="仿宋"/>
          <w:bCs w:val="0"/>
          <w:color w:val="000000"/>
          <w:sz w:val="28"/>
          <w:szCs w:val="28"/>
          <w:highlight w:val="none"/>
          <w:lang w:val="zh-CN"/>
        </w:rPr>
      </w:pPr>
      <w:bookmarkStart w:id="7" w:name="_Toc23978"/>
      <w:r>
        <w:rPr>
          <w:rFonts w:hint="eastAsia" w:ascii="仿宋" w:hAnsi="仿宋" w:eastAsia="仿宋" w:cs="仿宋"/>
          <w:bCs w:val="0"/>
          <w:color w:val="000000"/>
          <w:sz w:val="28"/>
          <w:szCs w:val="28"/>
          <w:highlight w:val="none"/>
          <w:lang w:val="zh-CN"/>
        </w:rPr>
        <w:t>供应商须知前附表</w:t>
      </w:r>
      <w:bookmarkEnd w:id="7"/>
    </w:p>
    <w:p w14:paraId="33CA5F85">
      <w:pPr>
        <w:pStyle w:val="26"/>
        <w:pageBreakBefore w:val="0"/>
        <w:kinsoku/>
        <w:topLinePunct w:val="0"/>
        <w:bidi w:val="0"/>
        <w:snapToGrid w:val="0"/>
        <w:spacing w:line="360" w:lineRule="auto"/>
        <w:rPr>
          <w:rFonts w:hint="eastAsia" w:ascii="仿宋" w:hAnsi="仿宋" w:eastAsia="仿宋" w:cs="仿宋"/>
          <w:szCs w:val="21"/>
          <w:highlight w:val="none"/>
        </w:rPr>
      </w:pPr>
    </w:p>
    <w:tbl>
      <w:tblPr>
        <w:tblStyle w:val="48"/>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7318"/>
      </w:tblGrid>
      <w:tr w14:paraId="718E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top w:val="double" w:color="auto" w:sz="4" w:space="0"/>
              <w:left w:val="double" w:color="auto" w:sz="4" w:space="0"/>
            </w:tcBorders>
            <w:vAlign w:val="center"/>
          </w:tcPr>
          <w:p w14:paraId="6AD70994">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磋商项目概况</w:t>
            </w:r>
          </w:p>
        </w:tc>
        <w:tc>
          <w:tcPr>
            <w:tcW w:w="7318" w:type="dxa"/>
            <w:tcBorders>
              <w:top w:val="double" w:color="auto" w:sz="4" w:space="0"/>
              <w:right w:val="double" w:color="auto" w:sz="4" w:space="0"/>
            </w:tcBorders>
            <w:vAlign w:val="center"/>
          </w:tcPr>
          <w:p w14:paraId="49CB38F4">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项目名称：</w:t>
            </w:r>
            <w:r>
              <w:rPr>
                <w:rFonts w:hint="eastAsia" w:ascii="仿宋" w:hAnsi="仿宋" w:eastAsia="仿宋" w:cs="仿宋"/>
                <w:bCs/>
                <w:color w:val="000000"/>
                <w:kern w:val="0"/>
                <w:sz w:val="21"/>
                <w:szCs w:val="21"/>
                <w:highlight w:val="none"/>
                <w:lang w:val="en-US" w:eastAsia="zh-CN" w:bidi="ar-SA"/>
              </w:rPr>
              <w:t>浙江省芳村溪幸福河湖建设项目招标代理及施工阶段全过程工程造价控制</w:t>
            </w:r>
          </w:p>
          <w:p w14:paraId="43B381C0">
            <w:pPr>
              <w:pStyle w:val="45"/>
              <w:keepNext w:val="0"/>
              <w:keepLines w:val="0"/>
              <w:pageBreakBefore w:val="0"/>
              <w:tabs>
                <w:tab w:val="left" w:pos="6930"/>
              </w:tabs>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eastAsia" w:ascii="仿宋" w:hAnsi="仿宋" w:eastAsia="仿宋" w:cs="仿宋"/>
                <w:b/>
                <w:bCs/>
                <w:kern w:val="2"/>
                <w:sz w:val="21"/>
                <w:szCs w:val="21"/>
                <w:highlight w:val="none"/>
                <w:lang w:val="en-US" w:eastAsia="zh-CN"/>
              </w:rPr>
            </w:pPr>
            <w:r>
              <w:rPr>
                <w:rFonts w:hint="eastAsia" w:ascii="仿宋" w:hAnsi="仿宋" w:eastAsia="仿宋" w:cs="仿宋"/>
                <w:bCs/>
                <w:color w:val="000000"/>
                <w:sz w:val="21"/>
                <w:szCs w:val="21"/>
                <w:highlight w:val="none"/>
              </w:rPr>
              <w:t>项目编号：</w:t>
            </w:r>
            <w:r>
              <w:rPr>
                <w:rFonts w:hint="eastAsia" w:ascii="仿宋" w:hAnsi="仿宋" w:eastAsia="仿宋" w:cs="仿宋"/>
                <w:bCs/>
                <w:color w:val="000000"/>
                <w:sz w:val="21"/>
                <w:szCs w:val="21"/>
                <w:highlight w:val="none"/>
                <w:lang w:val="en-US" w:eastAsia="zh-CN"/>
              </w:rPr>
              <w:t>ZSCG2025107-CS107</w:t>
            </w:r>
          </w:p>
        </w:tc>
      </w:tr>
      <w:tr w14:paraId="46C4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475" w:type="dxa"/>
            <w:tcBorders>
              <w:left w:val="double" w:color="auto" w:sz="4" w:space="0"/>
            </w:tcBorders>
            <w:vAlign w:val="center"/>
          </w:tcPr>
          <w:p w14:paraId="62F91DC5">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采购内容</w:t>
            </w:r>
          </w:p>
        </w:tc>
        <w:tc>
          <w:tcPr>
            <w:tcW w:w="7318" w:type="dxa"/>
            <w:tcBorders>
              <w:right w:val="double" w:color="auto" w:sz="4" w:space="0"/>
            </w:tcBorders>
            <w:vAlign w:val="center"/>
          </w:tcPr>
          <w:p w14:paraId="5B9D7675">
            <w:pPr>
              <w:pStyle w:val="45"/>
              <w:keepNext w:val="0"/>
              <w:keepLines w:val="0"/>
              <w:pageBreakBefore w:val="0"/>
              <w:tabs>
                <w:tab w:val="left" w:pos="6930"/>
              </w:tabs>
              <w:kinsoku/>
              <w:wordWrap/>
              <w:overflowPunct/>
              <w:topLinePunct w:val="0"/>
              <w:bidi w:val="0"/>
              <w:spacing w:before="0" w:beforeLines="0" w:beforeAutospacing="0" w:after="0" w:afterLines="0" w:afterAutospacing="0" w:line="360" w:lineRule="auto"/>
              <w:textAlignment w:val="auto"/>
              <w:rPr>
                <w:rFonts w:hint="eastAsia" w:ascii="仿宋" w:hAnsi="仿宋" w:eastAsia="仿宋" w:cs="仿宋"/>
                <w:b/>
                <w:bCs/>
                <w:kern w:val="2"/>
                <w:sz w:val="21"/>
                <w:szCs w:val="21"/>
                <w:highlight w:val="none"/>
              </w:rPr>
            </w:pPr>
            <w:r>
              <w:rPr>
                <w:rFonts w:hint="eastAsia" w:ascii="仿宋" w:hAnsi="仿宋" w:eastAsia="仿宋" w:cs="仿宋"/>
                <w:bCs/>
                <w:color w:val="000000"/>
                <w:kern w:val="0"/>
                <w:sz w:val="21"/>
                <w:szCs w:val="21"/>
                <w:highlight w:val="none"/>
                <w:lang w:val="en-US" w:eastAsia="zh-CN" w:bidi="ar-SA"/>
              </w:rPr>
              <w:t>详见采购文件第三章采购内容及要求</w:t>
            </w:r>
          </w:p>
        </w:tc>
      </w:tr>
      <w:tr w14:paraId="4982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475" w:type="dxa"/>
            <w:tcBorders>
              <w:left w:val="double" w:color="auto" w:sz="4" w:space="0"/>
            </w:tcBorders>
            <w:vAlign w:val="center"/>
          </w:tcPr>
          <w:p w14:paraId="12EA5BC3">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采购最高限价</w:t>
            </w:r>
          </w:p>
        </w:tc>
        <w:tc>
          <w:tcPr>
            <w:tcW w:w="7318" w:type="dxa"/>
            <w:tcBorders>
              <w:right w:val="double" w:color="auto" w:sz="4" w:space="0"/>
            </w:tcBorders>
            <w:vAlign w:val="center"/>
          </w:tcPr>
          <w:p w14:paraId="36C184DC">
            <w:pPr>
              <w:pStyle w:val="18"/>
              <w:keepNext w:val="0"/>
              <w:keepLines w:val="0"/>
              <w:pageBreakBefore w:val="0"/>
              <w:kinsoku/>
              <w:wordWrap/>
              <w:overflowPunct/>
              <w:topLinePunct w:val="0"/>
              <w:bidi w:val="0"/>
              <w:adjustRightInd w:val="0"/>
              <w:snapToGrid w:val="0"/>
              <w:spacing w:before="0" w:beforeAutospacing="0" w:afterAutospacing="0" w:line="360" w:lineRule="auto"/>
              <w:textAlignment w:val="auto"/>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▲采购最高限价：</w:t>
            </w:r>
            <w:r>
              <w:rPr>
                <w:rFonts w:hint="eastAsia" w:ascii="仿宋" w:hAnsi="仿宋" w:eastAsia="仿宋" w:cs="仿宋"/>
                <w:b/>
                <w:bCs/>
                <w:color w:val="auto"/>
                <w:kern w:val="2"/>
                <w:sz w:val="21"/>
                <w:szCs w:val="21"/>
                <w:highlight w:val="none"/>
                <w:lang w:val="en-US" w:eastAsia="zh-CN"/>
              </w:rPr>
              <w:t>54.575万元（招标代理服务费用最高限价18.33万元、施工阶段全过程工程造价控制费用最高限价36.245万元）。</w:t>
            </w:r>
            <w:r>
              <w:rPr>
                <w:rFonts w:hint="eastAsia" w:ascii="仿宋" w:hAnsi="仿宋" w:eastAsia="仿宋" w:cs="仿宋"/>
                <w:b/>
                <w:bCs/>
                <w:color w:val="auto"/>
                <w:kern w:val="2"/>
                <w:sz w:val="21"/>
                <w:szCs w:val="21"/>
                <w:highlight w:val="none"/>
              </w:rPr>
              <w:t>磋商报价（含初次报价和最后报价）高于采购最高限价的，按无效响应处理。</w:t>
            </w:r>
          </w:p>
        </w:tc>
      </w:tr>
      <w:tr w14:paraId="3D8E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75" w:type="dxa"/>
            <w:tcBorders>
              <w:left w:val="double" w:color="auto" w:sz="4" w:space="0"/>
            </w:tcBorders>
            <w:vAlign w:val="center"/>
          </w:tcPr>
          <w:p w14:paraId="7F362A9A">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服务期限</w:t>
            </w:r>
          </w:p>
        </w:tc>
        <w:tc>
          <w:tcPr>
            <w:tcW w:w="7318" w:type="dxa"/>
            <w:tcBorders>
              <w:right w:val="double" w:color="auto" w:sz="4" w:space="0"/>
            </w:tcBorders>
            <w:vAlign w:val="center"/>
          </w:tcPr>
          <w:p w14:paraId="4668CB66">
            <w:pPr>
              <w:pStyle w:val="18"/>
              <w:keepNext w:val="0"/>
              <w:keepLines w:val="0"/>
              <w:pageBreakBefore w:val="0"/>
              <w:kinsoku/>
              <w:wordWrap/>
              <w:overflowPunct/>
              <w:topLinePunct w:val="0"/>
              <w:bidi w:val="0"/>
              <w:adjustRightInd w:val="0"/>
              <w:snapToGrid w:val="0"/>
              <w:spacing w:before="0" w:beforeAutospacing="0" w:afterAutospacing="0" w:line="36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rPr>
              <w:t>详见第三章采购内容及服务要求。</w:t>
            </w:r>
          </w:p>
        </w:tc>
      </w:tr>
      <w:tr w14:paraId="5C4F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04344781">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评审方法</w:t>
            </w:r>
          </w:p>
        </w:tc>
        <w:tc>
          <w:tcPr>
            <w:tcW w:w="7318" w:type="dxa"/>
            <w:tcBorders>
              <w:right w:val="double" w:color="auto" w:sz="4" w:space="0"/>
            </w:tcBorders>
            <w:vAlign w:val="center"/>
          </w:tcPr>
          <w:p w14:paraId="54605525">
            <w:pPr>
              <w:pStyle w:val="18"/>
              <w:keepNext w:val="0"/>
              <w:keepLines w:val="0"/>
              <w:pageBreakBefore w:val="0"/>
              <w:kinsoku/>
              <w:wordWrap/>
              <w:overflowPunct/>
              <w:topLinePunct w:val="0"/>
              <w:bidi w:val="0"/>
              <w:adjustRightInd w:val="0"/>
              <w:snapToGrid w:val="0"/>
              <w:spacing w:before="0" w:beforeAutospacing="0" w:afterAutospacing="0" w:line="360" w:lineRule="auto"/>
              <w:textAlignment w:val="auto"/>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rPr>
              <w:t>综合评分法。</w:t>
            </w:r>
          </w:p>
        </w:tc>
      </w:tr>
      <w:tr w14:paraId="5B3D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75" w:type="dxa"/>
            <w:tcBorders>
              <w:left w:val="double" w:color="auto" w:sz="4" w:space="0"/>
            </w:tcBorders>
            <w:vAlign w:val="center"/>
          </w:tcPr>
          <w:p w14:paraId="222DE4C1">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响应文件有效期</w:t>
            </w:r>
          </w:p>
        </w:tc>
        <w:tc>
          <w:tcPr>
            <w:tcW w:w="7318" w:type="dxa"/>
            <w:tcBorders>
              <w:right w:val="double" w:color="auto" w:sz="4" w:space="0"/>
            </w:tcBorders>
            <w:vAlign w:val="center"/>
          </w:tcPr>
          <w:p w14:paraId="11D2DC91">
            <w:pPr>
              <w:pStyle w:val="18"/>
              <w:keepNext w:val="0"/>
              <w:keepLines w:val="0"/>
              <w:pageBreakBefore w:val="0"/>
              <w:kinsoku/>
              <w:wordWrap/>
              <w:overflowPunct/>
              <w:topLinePunct w:val="0"/>
              <w:bidi w:val="0"/>
              <w:adjustRightInd w:val="0"/>
              <w:snapToGrid w:val="0"/>
              <w:spacing w:before="0" w:beforeAutospacing="0" w:afterAutospacing="0" w:line="360" w:lineRule="auto"/>
              <w:textAlignment w:val="auto"/>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rPr>
              <w:t>90日历天（从提交首次响应文件截止日起算）</w:t>
            </w:r>
          </w:p>
        </w:tc>
      </w:tr>
      <w:tr w14:paraId="3340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75" w:type="dxa"/>
            <w:tcBorders>
              <w:left w:val="double" w:color="auto" w:sz="4" w:space="0"/>
            </w:tcBorders>
            <w:vAlign w:val="center"/>
          </w:tcPr>
          <w:p w14:paraId="305F96CE">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是否采用电子招标投标</w:t>
            </w:r>
          </w:p>
        </w:tc>
        <w:tc>
          <w:tcPr>
            <w:tcW w:w="7318" w:type="dxa"/>
            <w:tcBorders>
              <w:right w:val="double" w:color="auto" w:sz="4" w:space="0"/>
            </w:tcBorders>
            <w:vAlign w:val="center"/>
          </w:tcPr>
          <w:p w14:paraId="7F1AE89A">
            <w:pPr>
              <w:pStyle w:val="18"/>
              <w:keepNext w:val="0"/>
              <w:keepLines w:val="0"/>
              <w:pageBreakBefore w:val="0"/>
              <w:kinsoku/>
              <w:wordWrap/>
              <w:overflowPunct/>
              <w:topLinePunct w:val="0"/>
              <w:bidi w:val="0"/>
              <w:adjustRightInd w:val="0"/>
              <w:snapToGrid w:val="0"/>
              <w:spacing w:before="0" w:beforeAutospacing="0" w:afterAutospacing="0" w:line="360" w:lineRule="auto"/>
              <w:textAlignment w:val="auto"/>
              <w:rPr>
                <w:rFonts w:hint="eastAsia" w:ascii="仿宋" w:hAnsi="仿宋" w:eastAsia="仿宋" w:cs="仿宋"/>
                <w:b w:val="0"/>
                <w:bCs w:val="0"/>
                <w:color w:val="auto"/>
                <w:kern w:val="2"/>
                <w:sz w:val="21"/>
                <w:szCs w:val="21"/>
                <w:highlight w:val="none"/>
                <w:lang w:eastAsia="zh-CN"/>
              </w:rPr>
            </w:pPr>
            <w:r>
              <w:rPr>
                <w:rFonts w:hint="eastAsia" w:ascii="仿宋" w:hAnsi="仿宋" w:eastAsia="仿宋" w:cs="仿宋"/>
                <w:b w:val="0"/>
                <w:bCs w:val="0"/>
                <w:color w:val="auto"/>
                <w:kern w:val="2"/>
                <w:sz w:val="21"/>
                <w:szCs w:val="21"/>
                <w:highlight w:val="none"/>
                <w:lang w:eastAsia="zh-CN"/>
              </w:rPr>
              <w:t>是，本项目实行不见面电子招投标方式</w:t>
            </w:r>
          </w:p>
        </w:tc>
      </w:tr>
      <w:tr w14:paraId="41F4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475" w:type="dxa"/>
            <w:tcBorders>
              <w:left w:val="double" w:color="auto" w:sz="4" w:space="0"/>
            </w:tcBorders>
            <w:vAlign w:val="center"/>
          </w:tcPr>
          <w:p w14:paraId="44A03CF3">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响应文件份数</w:t>
            </w:r>
          </w:p>
        </w:tc>
        <w:tc>
          <w:tcPr>
            <w:tcW w:w="7318" w:type="dxa"/>
            <w:tcBorders>
              <w:right w:val="double" w:color="auto" w:sz="4" w:space="0"/>
            </w:tcBorders>
            <w:vAlign w:val="center"/>
          </w:tcPr>
          <w:p w14:paraId="12DF3549">
            <w:pPr>
              <w:pStyle w:val="18"/>
              <w:keepNext w:val="0"/>
              <w:keepLines w:val="0"/>
              <w:pageBreakBefore w:val="0"/>
              <w:kinsoku/>
              <w:wordWrap/>
              <w:overflowPunct/>
              <w:topLinePunct w:val="0"/>
              <w:bidi w:val="0"/>
              <w:adjustRightInd w:val="0"/>
              <w:snapToGrid w:val="0"/>
              <w:spacing w:before="0" w:beforeAutospacing="0" w:afterAutospacing="0" w:line="360" w:lineRule="auto"/>
              <w:textAlignment w:val="auto"/>
              <w:rPr>
                <w:rFonts w:hint="eastAsia" w:ascii="仿宋" w:hAnsi="仿宋" w:eastAsia="仿宋" w:cs="仿宋"/>
                <w:b/>
                <w:bCs/>
                <w:kern w:val="2"/>
                <w:sz w:val="21"/>
                <w:szCs w:val="21"/>
                <w:highlight w:val="none"/>
                <w:lang w:val="en-US" w:eastAsia="zh-CN"/>
              </w:rPr>
            </w:pPr>
            <w:bookmarkStart w:id="8" w:name="OLE_LINK26"/>
            <w:r>
              <w:rPr>
                <w:rFonts w:hint="eastAsia" w:ascii="仿宋" w:hAnsi="仿宋" w:eastAsia="仿宋" w:cs="仿宋"/>
                <w:b/>
                <w:bCs/>
                <w:kern w:val="2"/>
                <w:sz w:val="21"/>
                <w:szCs w:val="21"/>
                <w:highlight w:val="none"/>
                <w:lang w:val="en-US" w:eastAsia="zh-CN"/>
              </w:rPr>
              <w:t>加密电子响应文件一份，包括“资格审查文件”“技术商务文件”“报价文件”三个部分组成，按规定上传至衢州市阳光交易服务平台。在中标结果公告结束后，</w:t>
            </w:r>
            <w:bookmarkEnd w:id="8"/>
            <w:r>
              <w:rPr>
                <w:rFonts w:hint="eastAsia" w:ascii="仿宋" w:hAnsi="仿宋" w:eastAsia="仿宋" w:cs="仿宋"/>
                <w:b/>
                <w:bCs/>
                <w:kern w:val="2"/>
                <w:sz w:val="21"/>
                <w:szCs w:val="21"/>
                <w:highlight w:val="none"/>
                <w:lang w:val="en-US" w:eastAsia="zh-CN"/>
              </w:rPr>
              <w:t>中标人应提供与电子响应文件内容一致的纸质响应文件（资格审查文件、技术商务文件、报价文件）各四份。中标人在领取中标通知书时提供纸质投标文件。</w:t>
            </w:r>
          </w:p>
        </w:tc>
      </w:tr>
      <w:tr w14:paraId="54CC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475" w:type="dxa"/>
            <w:tcBorders>
              <w:left w:val="double" w:color="auto" w:sz="4" w:space="0"/>
            </w:tcBorders>
            <w:vAlign w:val="center"/>
          </w:tcPr>
          <w:p w14:paraId="3ADC861C">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响应文件的形式</w:t>
            </w:r>
          </w:p>
        </w:tc>
        <w:tc>
          <w:tcPr>
            <w:tcW w:w="7318" w:type="dxa"/>
            <w:tcBorders>
              <w:right w:val="double" w:color="auto" w:sz="4" w:space="0"/>
            </w:tcBorders>
            <w:vAlign w:val="center"/>
          </w:tcPr>
          <w:p w14:paraId="2F7E3A2B">
            <w:pPr>
              <w:pStyle w:val="18"/>
              <w:keepNext w:val="0"/>
              <w:keepLines w:val="0"/>
              <w:pageBreakBefore w:val="0"/>
              <w:kinsoku/>
              <w:wordWrap/>
              <w:overflowPunct/>
              <w:topLinePunct w:val="0"/>
              <w:bidi w:val="0"/>
              <w:adjustRightInd w:val="0"/>
              <w:snapToGrid w:val="0"/>
              <w:spacing w:before="0" w:beforeAutospacing="0" w:afterAutospacing="0" w:line="360" w:lineRule="auto"/>
              <w:textAlignment w:val="auto"/>
              <w:rPr>
                <w:rFonts w:hint="eastAsia" w:ascii="仿宋" w:hAnsi="仿宋" w:eastAsia="仿宋" w:cs="仿宋"/>
                <w:b/>
                <w:bCs/>
                <w:kern w:val="2"/>
                <w:sz w:val="21"/>
                <w:szCs w:val="21"/>
                <w:highlight w:val="none"/>
                <w:lang w:val="en-US" w:eastAsia="zh-CN"/>
              </w:rPr>
            </w:pPr>
            <w:r>
              <w:rPr>
                <w:rFonts w:hint="eastAsia" w:ascii="仿宋" w:hAnsi="仿宋" w:eastAsia="仿宋" w:cs="仿宋"/>
                <w:b w:val="0"/>
                <w:bCs w:val="0"/>
                <w:kern w:val="2"/>
                <w:sz w:val="21"/>
                <w:szCs w:val="21"/>
                <w:highlight w:val="none"/>
                <w:lang w:val="en-US" w:eastAsia="zh-CN"/>
              </w:rPr>
              <w:t>电子磋商响应文件即本文件所述“电子加密磋商响应文件”，在“投标文件制作软件（衢州产交版）”磋商响应文件编制完成后同时生成）；“电子加密磋商响应文件”是指通过“投标文件制作软件（衢州产交版）”完成磋商响应文件编制后生成并加密的数据电文形式的磋商响应文件。</w:t>
            </w:r>
          </w:p>
        </w:tc>
      </w:tr>
      <w:tr w14:paraId="0920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475" w:type="dxa"/>
            <w:tcBorders>
              <w:left w:val="double" w:color="auto" w:sz="4" w:space="0"/>
            </w:tcBorders>
            <w:vAlign w:val="center"/>
          </w:tcPr>
          <w:p w14:paraId="437776FB">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响应文件的上传和递交</w:t>
            </w:r>
          </w:p>
        </w:tc>
        <w:tc>
          <w:tcPr>
            <w:tcW w:w="7318" w:type="dxa"/>
            <w:tcBorders>
              <w:right w:val="double" w:color="auto" w:sz="4" w:space="0"/>
            </w:tcBorders>
            <w:vAlign w:val="center"/>
          </w:tcPr>
          <w:p w14:paraId="2671C999">
            <w:pPr>
              <w:pStyle w:val="18"/>
              <w:keepNext w:val="0"/>
              <w:keepLines w:val="0"/>
              <w:pageBreakBefore w:val="0"/>
              <w:kinsoku/>
              <w:wordWrap/>
              <w:overflowPunct/>
              <w:topLinePunct w:val="0"/>
              <w:bidi w:val="0"/>
              <w:adjustRightInd w:val="0"/>
              <w:snapToGrid w:val="0"/>
              <w:spacing w:before="0" w:beforeAutospacing="0" w:afterAutospacing="0" w:line="360" w:lineRule="auto"/>
              <w:textAlignment w:val="auto"/>
              <w:rPr>
                <w:rFonts w:hint="eastAsia" w:ascii="仿宋" w:hAnsi="仿宋" w:eastAsia="仿宋" w:cs="仿宋"/>
                <w:b w:val="0"/>
                <w:bCs w:val="0"/>
                <w:kern w:val="2"/>
                <w:sz w:val="21"/>
                <w:szCs w:val="21"/>
                <w:highlight w:val="none"/>
                <w:lang w:val="en-US" w:eastAsia="zh-CN"/>
              </w:rPr>
            </w:pPr>
            <w:r>
              <w:rPr>
                <w:rFonts w:hint="eastAsia" w:ascii="仿宋" w:hAnsi="仿宋" w:eastAsia="仿宋" w:cs="仿宋"/>
                <w:b w:val="0"/>
                <w:bCs w:val="0"/>
                <w:kern w:val="2"/>
                <w:sz w:val="21"/>
                <w:szCs w:val="21"/>
                <w:highlight w:val="none"/>
                <w:lang w:val="en-US" w:eastAsia="zh-CN"/>
              </w:rPr>
              <w:t>电子加密磋商响应文件：磋商响应文件制作完成并生成加密标书，在提交磋商响应文件截止时间前，供应商需将加密的磋商响应文件上传至衢州市阳光交易服务平台，到达开标时间后，在线解密磋商响应文 7件。 供应商应在磋商响应文件截止时间前将“电子加密磋商响应文件”成功上传递交至衢州市阳光交易服务平台，否则响应无效。</w:t>
            </w:r>
          </w:p>
        </w:tc>
      </w:tr>
      <w:tr w14:paraId="76E9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475" w:type="dxa"/>
            <w:tcBorders>
              <w:left w:val="double" w:color="auto" w:sz="4" w:space="0"/>
            </w:tcBorders>
            <w:vAlign w:val="center"/>
          </w:tcPr>
          <w:p w14:paraId="2DB8B2D9">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响应文件的签章</w:t>
            </w:r>
          </w:p>
        </w:tc>
        <w:tc>
          <w:tcPr>
            <w:tcW w:w="7318" w:type="dxa"/>
            <w:tcBorders>
              <w:right w:val="double" w:color="auto" w:sz="4" w:space="0"/>
            </w:tcBorders>
            <w:vAlign w:val="center"/>
          </w:tcPr>
          <w:p w14:paraId="6C6B3E8F">
            <w:pPr>
              <w:pStyle w:val="18"/>
              <w:keepNext w:val="0"/>
              <w:keepLines w:val="0"/>
              <w:pageBreakBefore w:val="0"/>
              <w:kinsoku/>
              <w:wordWrap/>
              <w:overflowPunct/>
              <w:topLinePunct w:val="0"/>
              <w:bidi w:val="0"/>
              <w:adjustRightInd w:val="0"/>
              <w:snapToGrid w:val="0"/>
              <w:spacing w:before="0" w:beforeAutospacing="0" w:afterAutospacing="0" w:line="360" w:lineRule="auto"/>
              <w:textAlignment w:val="auto"/>
              <w:rPr>
                <w:rFonts w:hint="eastAsia" w:ascii="仿宋" w:hAnsi="仿宋" w:eastAsia="仿宋" w:cs="仿宋"/>
                <w:b/>
                <w:bCs/>
                <w:kern w:val="2"/>
                <w:sz w:val="21"/>
                <w:szCs w:val="21"/>
                <w:highlight w:val="none"/>
                <w:lang w:val="en-US" w:eastAsia="zh-CN"/>
              </w:rPr>
            </w:pPr>
            <w:r>
              <w:rPr>
                <w:rFonts w:hint="eastAsia" w:ascii="仿宋" w:hAnsi="仿宋" w:eastAsia="仿宋" w:cs="仿宋"/>
                <w:b/>
                <w:bCs/>
                <w:kern w:val="2"/>
                <w:sz w:val="21"/>
                <w:szCs w:val="21"/>
                <w:highlight w:val="none"/>
                <w:lang w:val="en-US" w:eastAsia="zh-CN"/>
              </w:rPr>
              <w:t>电子签章</w:t>
            </w:r>
          </w:p>
        </w:tc>
      </w:tr>
      <w:tr w14:paraId="2002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75" w:type="dxa"/>
            <w:tcBorders>
              <w:left w:val="double" w:color="auto" w:sz="4" w:space="0"/>
            </w:tcBorders>
            <w:vAlign w:val="center"/>
          </w:tcPr>
          <w:p w14:paraId="36CEC9B2">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获取磋商文件</w:t>
            </w:r>
          </w:p>
        </w:tc>
        <w:tc>
          <w:tcPr>
            <w:tcW w:w="7318" w:type="dxa"/>
            <w:tcBorders>
              <w:right w:val="double" w:color="auto" w:sz="4" w:space="0"/>
            </w:tcBorders>
            <w:vAlign w:val="center"/>
          </w:tcPr>
          <w:p w14:paraId="49002406">
            <w:pPr>
              <w:pStyle w:val="45"/>
              <w:keepNext w:val="0"/>
              <w:keepLines w:val="0"/>
              <w:pageBreakBefore w:val="0"/>
              <w:tabs>
                <w:tab w:val="left" w:pos="6930"/>
              </w:tabs>
              <w:kinsoku/>
              <w:wordWrap/>
              <w:overflowPunct/>
              <w:topLinePunct w:val="0"/>
              <w:bidi w:val="0"/>
              <w:spacing w:before="0" w:beforeLines="0" w:beforeAutospacing="0" w:after="0" w:afterLines="0" w:afterAutospacing="0" w:line="360" w:lineRule="auto"/>
              <w:textAlignment w:val="auto"/>
              <w:rPr>
                <w:rFonts w:hint="eastAsia" w:ascii="仿宋" w:hAnsi="仿宋" w:eastAsia="仿宋" w:cs="仿宋"/>
                <w:sz w:val="21"/>
                <w:szCs w:val="21"/>
                <w:highlight w:val="none"/>
                <w:lang w:eastAsia="zh-CN"/>
              </w:rPr>
            </w:pPr>
            <w:r>
              <w:rPr>
                <w:rFonts w:hint="eastAsia" w:ascii="仿宋" w:hAnsi="仿宋" w:eastAsia="仿宋" w:cs="仿宋"/>
                <w:color w:val="000000"/>
                <w:sz w:val="21"/>
                <w:szCs w:val="21"/>
                <w:highlight w:val="none"/>
              </w:rPr>
              <w:t>详见</w:t>
            </w:r>
            <w:r>
              <w:rPr>
                <w:rFonts w:hint="eastAsia" w:ascii="仿宋" w:hAnsi="仿宋" w:eastAsia="仿宋" w:cs="仿宋"/>
                <w:color w:val="000000"/>
                <w:sz w:val="21"/>
                <w:szCs w:val="21"/>
                <w:highlight w:val="none"/>
                <w:lang w:eastAsia="zh-CN"/>
              </w:rPr>
              <w:t>磋商公告。</w:t>
            </w:r>
          </w:p>
        </w:tc>
      </w:tr>
      <w:tr w14:paraId="28FF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214A42DA">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bCs/>
                <w:color w:val="000000"/>
                <w:sz w:val="21"/>
                <w:szCs w:val="21"/>
                <w:highlight w:val="none"/>
              </w:rPr>
              <w:t>磋商保证金</w:t>
            </w:r>
          </w:p>
        </w:tc>
        <w:tc>
          <w:tcPr>
            <w:tcW w:w="7318" w:type="dxa"/>
            <w:tcBorders>
              <w:right w:val="double" w:color="auto" w:sz="4" w:space="0"/>
            </w:tcBorders>
            <w:vAlign w:val="center"/>
          </w:tcPr>
          <w:p w14:paraId="0F059BE3">
            <w:pPr>
              <w:keepNext w:val="0"/>
              <w:keepLines w:val="0"/>
              <w:pageBreakBefore w:val="0"/>
              <w:kinsoku/>
              <w:wordWrap/>
              <w:overflowPunct/>
              <w:topLinePunct w:val="0"/>
              <w:bidi w:val="0"/>
              <w:spacing w:beforeAutospacing="0" w:afterAutospacing="0" w:line="360" w:lineRule="auto"/>
              <w:textAlignment w:val="auto"/>
              <w:rPr>
                <w:rFonts w:hint="eastAsia" w:ascii="仿宋" w:hAnsi="仿宋" w:eastAsia="仿宋" w:cs="仿宋"/>
                <w:b/>
                <w:sz w:val="21"/>
                <w:szCs w:val="21"/>
                <w:highlight w:val="none"/>
              </w:rPr>
            </w:pPr>
            <w:r>
              <w:rPr>
                <w:rFonts w:hint="eastAsia" w:ascii="仿宋" w:hAnsi="仿宋" w:eastAsia="仿宋" w:cs="仿宋"/>
                <w:color w:val="000000"/>
                <w:sz w:val="21"/>
                <w:szCs w:val="21"/>
                <w:highlight w:val="none"/>
                <w:lang w:val="zh-CN"/>
              </w:rPr>
              <w:t>本项目无需缴纳磋商保证金</w:t>
            </w:r>
          </w:p>
        </w:tc>
      </w:tr>
      <w:tr w14:paraId="086F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14:paraId="60E2FC21">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现场踏勘</w:t>
            </w:r>
          </w:p>
        </w:tc>
        <w:tc>
          <w:tcPr>
            <w:tcW w:w="7318" w:type="dxa"/>
            <w:tcBorders>
              <w:right w:val="double" w:color="auto" w:sz="4" w:space="0"/>
            </w:tcBorders>
            <w:vAlign w:val="center"/>
          </w:tcPr>
          <w:p w14:paraId="340E0359">
            <w:pPr>
              <w:pStyle w:val="45"/>
              <w:keepNext w:val="0"/>
              <w:keepLines w:val="0"/>
              <w:pageBreakBefore w:val="0"/>
              <w:tabs>
                <w:tab w:val="left" w:pos="6930"/>
              </w:tabs>
              <w:kinsoku/>
              <w:wordWrap/>
              <w:overflowPunct/>
              <w:topLinePunct w:val="0"/>
              <w:bidi w:val="0"/>
              <w:spacing w:before="0" w:beforeLines="0" w:beforeAutospacing="0" w:after="0" w:afterLines="0" w:afterAutospacing="0" w:line="360" w:lineRule="auto"/>
              <w:textAlignment w:val="auto"/>
              <w:rPr>
                <w:rFonts w:hint="eastAsia" w:ascii="仿宋" w:hAnsi="仿宋" w:eastAsia="仿宋" w:cs="仿宋"/>
                <w:sz w:val="21"/>
                <w:szCs w:val="21"/>
                <w:highlight w:val="none"/>
              </w:rPr>
            </w:pPr>
            <w:r>
              <w:rPr>
                <w:rFonts w:hint="eastAsia" w:ascii="仿宋" w:hAnsi="仿宋" w:eastAsia="仿宋" w:cs="仿宋"/>
                <w:bCs/>
                <w:color w:val="000000"/>
                <w:sz w:val="21"/>
                <w:szCs w:val="21"/>
                <w:highlight w:val="none"/>
              </w:rPr>
              <w:t>本次采购不组织集中踏勘现场，如有需要，由供应商联系采购人后自行前往。</w:t>
            </w:r>
          </w:p>
        </w:tc>
      </w:tr>
      <w:tr w14:paraId="5E36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032D6EA2">
            <w:pPr>
              <w:keepNext w:val="0"/>
              <w:keepLines w:val="0"/>
              <w:pageBreakBefore w:val="0"/>
              <w:kinsoku/>
              <w:wordWrap/>
              <w:overflowPunct/>
              <w:topLinePunct w:val="0"/>
              <w:bidi w:val="0"/>
              <w:snapToGrid/>
              <w:spacing w:beforeAutospacing="0" w:afterAutospacing="0" w:line="36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响应文件递交截止时间</w:t>
            </w:r>
            <w:r>
              <w:rPr>
                <w:rFonts w:hint="eastAsia" w:ascii="仿宋" w:hAnsi="仿宋" w:eastAsia="仿宋" w:cs="仿宋"/>
                <w:sz w:val="21"/>
                <w:szCs w:val="21"/>
                <w:highlight w:val="none"/>
                <w:lang w:eastAsia="zh-CN"/>
              </w:rPr>
              <w:t>及地点</w:t>
            </w:r>
          </w:p>
        </w:tc>
        <w:tc>
          <w:tcPr>
            <w:tcW w:w="7318" w:type="dxa"/>
            <w:tcBorders>
              <w:right w:val="double" w:color="auto" w:sz="4" w:space="0"/>
            </w:tcBorders>
            <w:vAlign w:val="center"/>
          </w:tcPr>
          <w:p w14:paraId="161907D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000000"/>
                <w:sz w:val="21"/>
                <w:szCs w:val="21"/>
                <w:highlight w:val="none"/>
                <w:lang w:val="en-US" w:eastAsia="zh-CN" w:bidi="ar"/>
              </w:rPr>
            </w:pPr>
            <w:r>
              <w:rPr>
                <w:rFonts w:hint="eastAsia" w:ascii="仿宋" w:hAnsi="仿宋" w:eastAsia="仿宋" w:cs="仿宋"/>
                <w:color w:val="000000"/>
                <w:sz w:val="21"/>
                <w:szCs w:val="21"/>
                <w:highlight w:val="none"/>
                <w:lang w:val="en-US" w:eastAsia="zh-CN" w:bidi="ar"/>
              </w:rPr>
              <w:t>1.响应文件递交截止时间：</w:t>
            </w:r>
            <w:r>
              <w:rPr>
                <w:rFonts w:hint="eastAsia" w:ascii="仿宋" w:hAnsi="仿宋" w:eastAsia="仿宋" w:cs="仿宋"/>
                <w:color w:val="000000"/>
                <w:sz w:val="21"/>
                <w:szCs w:val="21"/>
                <w:highlight w:val="none"/>
                <w:u w:val="single"/>
                <w:lang w:val="en-US" w:eastAsia="zh-CN" w:bidi="ar"/>
              </w:rPr>
              <w:t>2025年07月07日09：30</w:t>
            </w:r>
          </w:p>
          <w:p w14:paraId="422FD63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sz w:val="21"/>
                <w:szCs w:val="21"/>
                <w:highlight w:val="none"/>
              </w:rPr>
            </w:pPr>
            <w:r>
              <w:rPr>
                <w:rFonts w:hint="eastAsia" w:ascii="仿宋" w:hAnsi="仿宋" w:eastAsia="仿宋" w:cs="仿宋"/>
                <w:color w:val="000000"/>
                <w:sz w:val="21"/>
                <w:szCs w:val="21"/>
                <w:highlight w:val="none"/>
                <w:lang w:val="en-US" w:eastAsia="zh-CN" w:bidi="ar"/>
              </w:rPr>
              <w:t>2.</w:t>
            </w:r>
            <w:r>
              <w:rPr>
                <w:rFonts w:hint="eastAsia" w:ascii="仿宋" w:hAnsi="仿宋" w:eastAsia="仿宋" w:cs="仿宋"/>
                <w:color w:val="000000"/>
                <w:sz w:val="21"/>
                <w:szCs w:val="21"/>
                <w:highlight w:val="none"/>
                <w:lang w:bidi="ar"/>
              </w:rPr>
              <w:t>将由投标文件制作工具制作生成的加密投标文件在投标截止时间前（以上传完成时间为准）上传至衢州市阳光交易服务平台（网址：https://qzygjy.com/</w:t>
            </w:r>
            <w:r>
              <w:rPr>
                <w:rFonts w:hint="eastAsia" w:ascii="仿宋" w:hAnsi="仿宋" w:eastAsia="仿宋" w:cs="仿宋"/>
                <w:color w:val="000000"/>
                <w:sz w:val="21"/>
                <w:szCs w:val="21"/>
                <w:highlight w:val="none"/>
                <w:lang w:eastAsia="zh-CN" w:bidi="ar"/>
              </w:rPr>
              <w:t>）</w:t>
            </w:r>
            <w:r>
              <w:rPr>
                <w:rFonts w:hint="eastAsia" w:ascii="仿宋" w:hAnsi="仿宋" w:eastAsia="仿宋" w:cs="仿宋"/>
                <w:color w:val="000000"/>
                <w:sz w:val="21"/>
                <w:szCs w:val="21"/>
                <w:highlight w:val="none"/>
                <w:lang w:bidi="ar"/>
              </w:rPr>
              <w:t>。</w:t>
            </w:r>
          </w:p>
        </w:tc>
      </w:tr>
      <w:tr w14:paraId="41FD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13583C96">
            <w:pPr>
              <w:keepNext w:val="0"/>
              <w:keepLines w:val="0"/>
              <w:pageBreakBefore w:val="0"/>
              <w:kinsoku/>
              <w:wordWrap/>
              <w:overflowPunct/>
              <w:topLinePunct w:val="0"/>
              <w:bidi w:val="0"/>
              <w:snapToGrid/>
              <w:spacing w:beforeAutospacing="0" w:afterAutospacing="0" w:line="36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开标时间</w:t>
            </w:r>
          </w:p>
        </w:tc>
        <w:tc>
          <w:tcPr>
            <w:tcW w:w="7318" w:type="dxa"/>
            <w:tcBorders>
              <w:right w:val="double" w:color="auto" w:sz="4" w:space="0"/>
            </w:tcBorders>
            <w:vAlign w:val="center"/>
          </w:tcPr>
          <w:p w14:paraId="5C70C7E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000000"/>
                <w:sz w:val="21"/>
                <w:szCs w:val="21"/>
                <w:highlight w:val="none"/>
                <w:lang w:val="en-US" w:eastAsia="zh-CN" w:bidi="ar"/>
              </w:rPr>
            </w:pPr>
            <w:r>
              <w:rPr>
                <w:rFonts w:hint="eastAsia" w:ascii="仿宋" w:hAnsi="仿宋" w:eastAsia="仿宋" w:cs="仿宋"/>
                <w:color w:val="000000"/>
                <w:sz w:val="21"/>
                <w:szCs w:val="21"/>
                <w:highlight w:val="none"/>
                <w:lang w:val="en-US" w:eastAsia="zh-CN" w:bidi="ar"/>
              </w:rPr>
              <w:t>2025年07月07</w:t>
            </w:r>
            <w:bookmarkStart w:id="78" w:name="_GoBack"/>
            <w:bookmarkEnd w:id="78"/>
            <w:r>
              <w:rPr>
                <w:rFonts w:hint="eastAsia" w:ascii="仿宋" w:hAnsi="仿宋" w:eastAsia="仿宋" w:cs="仿宋"/>
                <w:color w:val="000000"/>
                <w:sz w:val="21"/>
                <w:szCs w:val="21"/>
                <w:highlight w:val="none"/>
                <w:lang w:val="en-US" w:eastAsia="zh-CN" w:bidi="ar"/>
              </w:rPr>
              <w:t>日09时30分00秒（北京时间）</w:t>
            </w:r>
          </w:p>
        </w:tc>
      </w:tr>
      <w:tr w14:paraId="011A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5555A6DD">
            <w:pPr>
              <w:keepNext w:val="0"/>
              <w:keepLines w:val="0"/>
              <w:pageBreakBefore w:val="0"/>
              <w:kinsoku/>
              <w:wordWrap/>
              <w:overflowPunct/>
              <w:topLinePunct w:val="0"/>
              <w:bidi w:val="0"/>
              <w:snapToGrid/>
              <w:spacing w:beforeAutospacing="0" w:afterAutospacing="0" w:line="36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开标地点及平台</w:t>
            </w:r>
          </w:p>
        </w:tc>
        <w:tc>
          <w:tcPr>
            <w:tcW w:w="7318" w:type="dxa"/>
            <w:tcBorders>
              <w:right w:val="double" w:color="auto" w:sz="4" w:space="0"/>
            </w:tcBorders>
            <w:vAlign w:val="center"/>
          </w:tcPr>
          <w:p w14:paraId="6954FC4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地点：常山县天马街道南前坊村里坞1号（常正检测三楼）开标室。</w:t>
            </w:r>
          </w:p>
          <w:p w14:paraId="1969106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开标平台：衢州市阳光交易服务平台不见面开标大厅</w:t>
            </w:r>
          </w:p>
          <w:p w14:paraId="25C90BB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1"/>
                <w:szCs w:val="21"/>
                <w:highlight w:val="none"/>
                <w:lang w:val="en-US" w:eastAsia="zh-CN" w:bidi="ar"/>
              </w:rPr>
            </w:pPr>
            <w:r>
              <w:rPr>
                <w:rFonts w:hint="eastAsia" w:ascii="仿宋" w:hAnsi="仿宋" w:eastAsia="仿宋" w:cs="仿宋"/>
                <w:color w:val="000000"/>
                <w:kern w:val="2"/>
                <w:sz w:val="21"/>
                <w:szCs w:val="21"/>
                <w:highlight w:val="none"/>
                <w:lang w:val="en-US" w:eastAsia="zh-CN" w:bidi="ar-SA"/>
              </w:rPr>
              <w:t>（https://qzygjy.com/BidOpening/bidopeninghallaction/hall/login）。</w:t>
            </w:r>
          </w:p>
        </w:tc>
      </w:tr>
      <w:tr w14:paraId="5A2B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shd w:val="clear" w:color="auto" w:fill="auto"/>
            <w:vAlign w:val="center"/>
          </w:tcPr>
          <w:p w14:paraId="7AE5A01A">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eastAsia="zh-CN"/>
              </w:rPr>
              <w:t>响应</w:t>
            </w:r>
            <w:r>
              <w:rPr>
                <w:rFonts w:hint="eastAsia" w:ascii="仿宋" w:hAnsi="仿宋" w:eastAsia="仿宋" w:cs="仿宋"/>
                <w:color w:val="000000"/>
                <w:sz w:val="21"/>
                <w:szCs w:val="21"/>
                <w:highlight w:val="none"/>
              </w:rPr>
              <w:t>文件开启程序</w:t>
            </w:r>
          </w:p>
        </w:tc>
        <w:tc>
          <w:tcPr>
            <w:tcW w:w="7318" w:type="dxa"/>
            <w:tcBorders>
              <w:right w:val="double" w:color="auto" w:sz="4" w:space="0"/>
            </w:tcBorders>
            <w:shd w:val="clear" w:color="auto" w:fill="auto"/>
            <w:vAlign w:val="center"/>
          </w:tcPr>
          <w:p w14:paraId="23322D5F">
            <w:pPr>
              <w:keepNext w:val="0"/>
              <w:keepLines w:val="0"/>
              <w:pageBreakBefore w:val="0"/>
              <w:widowControl w:val="0"/>
              <w:kinsoku/>
              <w:wordWrap/>
              <w:overflowPunct/>
              <w:topLinePunct w:val="0"/>
              <w:bidi w:val="0"/>
              <w:spacing w:line="48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响应文件开启时间到后，代理机构宣布开始解密，30分钟内供应商应完成响应文件的解密。供应商解密方式：供应商自行登录衢州市阳光交易服务平台不见面开标大厅（https://qzygjy.com/BidOpening/bidopeninghallaction/hall/login)——投标人身份——我的项目——选择标段——待代理开启解密后进行解密操作供应商在规定的时间内都已完成解密，则系统自动结束解密；供应商因自身原因未在规定时间内完成解密，则默认自动放弃；</w:t>
            </w:r>
          </w:p>
          <w:p w14:paraId="0FCF354D">
            <w:pPr>
              <w:keepNext w:val="0"/>
              <w:keepLines w:val="0"/>
              <w:pageBreakBefore w:val="0"/>
              <w:widowControl w:val="0"/>
              <w:kinsoku/>
              <w:wordWrap/>
              <w:overflowPunct/>
              <w:topLinePunct w:val="0"/>
              <w:bidi w:val="0"/>
              <w:spacing w:line="480" w:lineRule="exact"/>
              <w:jc w:val="left"/>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(2)采购代理机构导入响应文件成功后进入评标流程。</w:t>
            </w:r>
          </w:p>
        </w:tc>
      </w:tr>
      <w:tr w14:paraId="1450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55ACF04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Cs/>
                <w:color w:val="000000"/>
                <w:sz w:val="21"/>
                <w:szCs w:val="21"/>
                <w:highlight w:val="none"/>
                <w:lang w:eastAsia="zh-CN"/>
              </w:rPr>
            </w:pPr>
            <w:r>
              <w:rPr>
                <w:rFonts w:hint="eastAsia" w:ascii="仿宋" w:hAnsi="仿宋" w:eastAsia="仿宋" w:cs="仿宋"/>
                <w:b w:val="0"/>
                <w:bCs w:val="0"/>
                <w:color w:val="auto"/>
                <w:kern w:val="2"/>
                <w:sz w:val="21"/>
                <w:highlight w:val="none"/>
                <w:lang w:eastAsia="zh-CN"/>
              </w:rPr>
              <w:t>中标（成交）候选供应商的确定及推荐数量</w:t>
            </w:r>
          </w:p>
        </w:tc>
        <w:tc>
          <w:tcPr>
            <w:tcW w:w="7318" w:type="dxa"/>
            <w:tcBorders>
              <w:right w:val="double" w:color="auto" w:sz="4" w:space="0"/>
            </w:tcBorders>
            <w:vAlign w:val="center"/>
          </w:tcPr>
          <w:p w14:paraId="0F50334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auto"/>
                <w:sz w:val="21"/>
                <w:szCs w:val="21"/>
                <w:highlight w:val="none"/>
                <w:lang w:val="en-US" w:eastAsia="zh-CN"/>
              </w:rPr>
              <w:t>评审小组应当根据综合评分情况，按照评审得分由高到低顺序推荐不少于3名成交候选供应商，采购人根据评审小组的推荐结果最终确定一名成交供应商。</w:t>
            </w:r>
          </w:p>
        </w:tc>
      </w:tr>
      <w:tr w14:paraId="5B31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0CDD69C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成交结果公告期限</w:t>
            </w:r>
          </w:p>
        </w:tc>
        <w:tc>
          <w:tcPr>
            <w:tcW w:w="7318" w:type="dxa"/>
            <w:tcBorders>
              <w:right w:val="double" w:color="auto" w:sz="4" w:space="0"/>
            </w:tcBorders>
            <w:vAlign w:val="center"/>
          </w:tcPr>
          <w:p w14:paraId="5DB643D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公告期限为</w:t>
            </w:r>
            <w:r>
              <w:rPr>
                <w:rFonts w:hint="eastAsia" w:ascii="仿宋" w:hAnsi="仿宋" w:eastAsia="仿宋" w:cs="仿宋"/>
                <w:bCs/>
                <w:color w:val="000000"/>
                <w:sz w:val="21"/>
                <w:szCs w:val="21"/>
                <w:highlight w:val="none"/>
                <w:lang w:eastAsia="zh-CN"/>
              </w:rPr>
              <w:t>成交结果通知发出</w:t>
            </w:r>
            <w:r>
              <w:rPr>
                <w:rFonts w:hint="eastAsia" w:ascii="仿宋" w:hAnsi="仿宋" w:eastAsia="仿宋" w:cs="仿宋"/>
                <w:bCs/>
                <w:color w:val="000000"/>
                <w:sz w:val="21"/>
                <w:szCs w:val="21"/>
                <w:highlight w:val="none"/>
              </w:rPr>
              <w:t>之日起至第2个工作日止。</w:t>
            </w:r>
          </w:p>
        </w:tc>
      </w:tr>
      <w:tr w14:paraId="186B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3851AC56">
            <w:pPr>
              <w:keepNext w:val="0"/>
              <w:keepLines w:val="0"/>
              <w:pageBreakBefore w:val="0"/>
              <w:kinsoku/>
              <w:wordWrap/>
              <w:overflowPunct/>
              <w:topLinePunct w:val="0"/>
              <w:autoSpaceDE w:val="0"/>
              <w:autoSpaceDN w:val="0"/>
              <w:bidi w:val="0"/>
              <w:adjustRightIn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履约保证金</w:t>
            </w:r>
          </w:p>
        </w:tc>
        <w:tc>
          <w:tcPr>
            <w:tcW w:w="7318" w:type="dxa"/>
            <w:tcBorders>
              <w:right w:val="double" w:color="auto" w:sz="4" w:space="0"/>
            </w:tcBorders>
            <w:vAlign w:val="center"/>
          </w:tcPr>
          <w:p w14:paraId="7227F4A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bCs/>
                <w:color w:val="000000"/>
                <w:sz w:val="21"/>
                <w:szCs w:val="21"/>
                <w:highlight w:val="none"/>
                <w:lang w:val="en-US" w:eastAsia="zh-CN"/>
              </w:rPr>
            </w:pPr>
            <w:r>
              <w:rPr>
                <w:rFonts w:hint="eastAsia" w:ascii="仿宋" w:hAnsi="仿宋" w:eastAsia="仿宋" w:cs="仿宋"/>
                <w:bCs/>
                <w:color w:val="000000"/>
                <w:sz w:val="21"/>
                <w:szCs w:val="21"/>
                <w:highlight w:val="none"/>
                <w:lang w:val="en-US" w:eastAsia="zh-CN"/>
              </w:rPr>
              <w:t>本项目无需缴纳履约保证金</w:t>
            </w:r>
          </w:p>
        </w:tc>
      </w:tr>
      <w:tr w14:paraId="79D3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2CC8BD42">
            <w:pPr>
              <w:keepNext w:val="0"/>
              <w:keepLines w:val="0"/>
              <w:pageBreakBefore w:val="0"/>
              <w:kinsoku/>
              <w:wordWrap/>
              <w:overflowPunct/>
              <w:topLinePunct w:val="0"/>
              <w:autoSpaceDE w:val="0"/>
              <w:autoSpaceDN w:val="0"/>
              <w:bidi w:val="0"/>
              <w:adjustRightIn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签订合同</w:t>
            </w:r>
          </w:p>
        </w:tc>
        <w:tc>
          <w:tcPr>
            <w:tcW w:w="7318" w:type="dxa"/>
            <w:tcBorders>
              <w:right w:val="double" w:color="auto" w:sz="4" w:space="0"/>
            </w:tcBorders>
            <w:vAlign w:val="center"/>
          </w:tcPr>
          <w:p w14:paraId="16CD5E5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采购人与</w:t>
            </w:r>
            <w:r>
              <w:rPr>
                <w:rFonts w:hint="eastAsia" w:ascii="仿宋" w:hAnsi="仿宋" w:eastAsia="仿宋" w:cs="仿宋"/>
                <w:bCs/>
                <w:color w:val="000000"/>
                <w:sz w:val="21"/>
                <w:szCs w:val="21"/>
                <w:highlight w:val="none"/>
                <w:lang w:eastAsia="zh-CN"/>
              </w:rPr>
              <w:t>成交</w:t>
            </w:r>
            <w:r>
              <w:rPr>
                <w:rFonts w:hint="eastAsia" w:ascii="仿宋" w:hAnsi="仿宋" w:eastAsia="仿宋" w:cs="仿宋"/>
                <w:bCs/>
                <w:color w:val="000000"/>
                <w:sz w:val="21"/>
                <w:szCs w:val="21"/>
                <w:highlight w:val="none"/>
              </w:rPr>
              <w:t>供应商应当在成交通知书发出之日起</w:t>
            </w:r>
            <w:r>
              <w:rPr>
                <w:rFonts w:hint="eastAsia" w:ascii="仿宋" w:hAnsi="仿宋" w:eastAsia="仿宋" w:cs="仿宋"/>
                <w:bCs/>
                <w:color w:val="000000"/>
                <w:sz w:val="21"/>
                <w:szCs w:val="21"/>
                <w:highlight w:val="none"/>
                <w:lang w:val="en-US" w:eastAsia="zh-CN"/>
              </w:rPr>
              <w:t>30</w:t>
            </w:r>
            <w:r>
              <w:rPr>
                <w:rFonts w:hint="eastAsia" w:ascii="仿宋" w:hAnsi="仿宋" w:eastAsia="仿宋" w:cs="仿宋"/>
                <w:bCs/>
                <w:color w:val="000000"/>
                <w:sz w:val="21"/>
                <w:szCs w:val="21"/>
                <w:highlight w:val="none"/>
                <w:lang w:eastAsia="zh-CN"/>
              </w:rPr>
              <w:t>天</w:t>
            </w:r>
            <w:r>
              <w:rPr>
                <w:rFonts w:hint="eastAsia" w:ascii="仿宋" w:hAnsi="仿宋" w:eastAsia="仿宋" w:cs="仿宋"/>
                <w:bCs/>
                <w:color w:val="000000"/>
                <w:sz w:val="21"/>
                <w:szCs w:val="21"/>
                <w:highlight w:val="none"/>
              </w:rPr>
              <w:t>内，按照采购文件确定的事项及</w:t>
            </w:r>
            <w:r>
              <w:rPr>
                <w:rFonts w:hint="eastAsia" w:ascii="仿宋" w:hAnsi="仿宋" w:eastAsia="仿宋" w:cs="仿宋"/>
                <w:bCs/>
                <w:color w:val="000000"/>
                <w:sz w:val="21"/>
                <w:szCs w:val="21"/>
                <w:highlight w:val="none"/>
                <w:lang w:eastAsia="zh-CN"/>
              </w:rPr>
              <w:t>响应文件</w:t>
            </w:r>
            <w:r>
              <w:rPr>
                <w:rFonts w:hint="eastAsia" w:ascii="仿宋" w:hAnsi="仿宋" w:eastAsia="仿宋" w:cs="仿宋"/>
                <w:bCs/>
                <w:color w:val="000000"/>
                <w:sz w:val="21"/>
                <w:szCs w:val="21"/>
                <w:highlight w:val="none"/>
              </w:rPr>
              <w:t>承诺签订采购合同。</w:t>
            </w:r>
          </w:p>
        </w:tc>
      </w:tr>
      <w:tr w14:paraId="4716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3C47D1B3">
            <w:pPr>
              <w:keepNext w:val="0"/>
              <w:keepLines w:val="0"/>
              <w:pageBreakBefore w:val="0"/>
              <w:kinsoku/>
              <w:wordWrap/>
              <w:overflowPunct/>
              <w:topLinePunct w:val="0"/>
              <w:autoSpaceDE w:val="0"/>
              <w:autoSpaceDN w:val="0"/>
              <w:bidi w:val="0"/>
              <w:adjustRightInd w:val="0"/>
              <w:spacing w:beforeAutospacing="0" w:afterAutospacing="0" w:line="36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合同备案</w:t>
            </w:r>
          </w:p>
        </w:tc>
        <w:tc>
          <w:tcPr>
            <w:tcW w:w="7318" w:type="dxa"/>
            <w:tcBorders>
              <w:right w:val="double" w:color="auto" w:sz="4" w:space="0"/>
            </w:tcBorders>
            <w:vAlign w:val="center"/>
          </w:tcPr>
          <w:p w14:paraId="3ED3B0D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bCs/>
                <w:color w:val="000000"/>
                <w:sz w:val="21"/>
                <w:szCs w:val="21"/>
                <w:highlight w:val="none"/>
                <w:lang w:val="en-US" w:eastAsia="zh-CN"/>
              </w:rPr>
            </w:pPr>
            <w:r>
              <w:rPr>
                <w:rFonts w:hint="eastAsia" w:ascii="仿宋" w:hAnsi="仿宋" w:eastAsia="仿宋" w:cs="仿宋"/>
                <w:bCs/>
                <w:color w:val="000000"/>
                <w:sz w:val="21"/>
                <w:szCs w:val="21"/>
                <w:highlight w:val="none"/>
                <w:lang w:eastAsia="zh-CN"/>
              </w:rPr>
              <w:t>中标供应商与采购人签订合同后，</w:t>
            </w:r>
            <w:r>
              <w:rPr>
                <w:rFonts w:hint="eastAsia" w:ascii="仿宋" w:hAnsi="仿宋" w:eastAsia="仿宋" w:cs="仿宋"/>
                <w:bCs/>
                <w:color w:val="000000"/>
                <w:sz w:val="21"/>
                <w:szCs w:val="21"/>
                <w:highlight w:val="none"/>
                <w:lang w:val="en-US" w:eastAsia="zh-CN"/>
              </w:rPr>
              <w:t>2个日历天内将合同扫描件电子</w:t>
            </w:r>
            <w:r>
              <w:rPr>
                <w:rFonts w:hint="eastAsia" w:ascii="仿宋" w:hAnsi="仿宋" w:eastAsia="仿宋" w:cs="仿宋"/>
                <w:color w:val="000000"/>
                <w:sz w:val="21"/>
                <w:szCs w:val="21"/>
                <w:highlight w:val="none"/>
              </w:rPr>
              <w:t>版发送至邮箱：</w:t>
            </w:r>
            <w:r>
              <w:rPr>
                <w:rFonts w:hint="eastAsia" w:ascii="仿宋" w:hAnsi="仿宋" w:eastAsia="仿宋" w:cs="仿宋"/>
                <w:color w:val="000000"/>
                <w:sz w:val="21"/>
                <w:szCs w:val="21"/>
                <w:highlight w:val="none"/>
                <w:lang w:val="en-US" w:eastAsia="zh-CN"/>
              </w:rPr>
              <w:t>245132933@qq.com</w:t>
            </w:r>
            <w:r>
              <w:rPr>
                <w:rFonts w:hint="eastAsia" w:ascii="仿宋" w:hAnsi="仿宋" w:eastAsia="仿宋" w:cs="仿宋"/>
                <w:color w:val="000000"/>
                <w:sz w:val="21"/>
                <w:szCs w:val="21"/>
                <w:highlight w:val="none"/>
              </w:rPr>
              <w:t>；本项目</w:t>
            </w:r>
            <w:r>
              <w:rPr>
                <w:rFonts w:hint="eastAsia" w:ascii="仿宋" w:hAnsi="仿宋" w:eastAsia="仿宋" w:cs="仿宋"/>
                <w:color w:val="000000"/>
                <w:sz w:val="21"/>
                <w:szCs w:val="21"/>
                <w:highlight w:val="none"/>
                <w:lang w:val="en-US" w:eastAsia="zh-CN"/>
              </w:rPr>
              <w:t>采购</w:t>
            </w:r>
            <w:r>
              <w:rPr>
                <w:rFonts w:hint="eastAsia" w:ascii="仿宋" w:hAnsi="仿宋" w:eastAsia="仿宋" w:cs="仿宋"/>
                <w:color w:val="000000"/>
                <w:sz w:val="21"/>
                <w:szCs w:val="21"/>
                <w:highlight w:val="none"/>
              </w:rPr>
              <w:t>合同按规定在</w:t>
            </w:r>
            <w:r>
              <w:rPr>
                <w:rFonts w:hint="eastAsia" w:ascii="仿宋" w:hAnsi="仿宋" w:eastAsia="仿宋" w:cs="仿宋"/>
                <w:color w:val="000000"/>
                <w:sz w:val="21"/>
                <w:szCs w:val="21"/>
                <w:highlight w:val="none"/>
                <w:lang w:bidi="ar"/>
              </w:rPr>
              <w:t>衢州市阳光交易服务平台（网址：https://qzygjy.com/</w:t>
            </w:r>
            <w:r>
              <w:rPr>
                <w:rFonts w:hint="eastAsia" w:ascii="仿宋" w:hAnsi="仿宋" w:eastAsia="仿宋" w:cs="仿宋"/>
                <w:color w:val="000000"/>
                <w:sz w:val="21"/>
                <w:szCs w:val="21"/>
                <w:highlight w:val="none"/>
                <w:lang w:eastAsia="zh-CN" w:bidi="ar"/>
              </w:rPr>
              <w:t>）</w:t>
            </w:r>
            <w:r>
              <w:rPr>
                <w:rFonts w:hint="eastAsia" w:ascii="仿宋" w:hAnsi="仿宋" w:eastAsia="仿宋" w:cs="仿宋"/>
                <w:color w:val="000000"/>
                <w:sz w:val="21"/>
                <w:szCs w:val="21"/>
                <w:highlight w:val="none"/>
              </w:rPr>
              <w:t>予以备案。</w:t>
            </w:r>
          </w:p>
        </w:tc>
      </w:tr>
      <w:tr w14:paraId="5828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20B56C82">
            <w:pPr>
              <w:keepNext w:val="0"/>
              <w:keepLines w:val="0"/>
              <w:pageBreakBefore w:val="0"/>
              <w:kinsoku/>
              <w:wordWrap/>
              <w:overflowPunct/>
              <w:topLinePunct w:val="0"/>
              <w:autoSpaceDE w:val="0"/>
              <w:autoSpaceDN w:val="0"/>
              <w:bidi w:val="0"/>
              <w:adjustRightInd w:val="0"/>
              <w:spacing w:beforeAutospacing="0" w:afterAutospacing="0" w:line="36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磋商公告、更正公告、中标结果公告发布网址</w:t>
            </w:r>
          </w:p>
        </w:tc>
        <w:tc>
          <w:tcPr>
            <w:tcW w:w="7318" w:type="dxa"/>
            <w:tcBorders>
              <w:right w:val="double" w:color="auto" w:sz="4" w:space="0"/>
            </w:tcBorders>
            <w:vAlign w:val="center"/>
          </w:tcPr>
          <w:p w14:paraId="4DDE321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lang w:eastAsia="zh-CN"/>
              </w:rPr>
            </w:pPr>
            <w:bookmarkStart w:id="9" w:name="OLE_LINK29"/>
            <w:r>
              <w:rPr>
                <w:rFonts w:hint="eastAsia" w:ascii="仿宋" w:hAnsi="仿宋" w:eastAsia="仿宋" w:cs="仿宋"/>
                <w:color w:val="000000"/>
                <w:sz w:val="21"/>
                <w:szCs w:val="21"/>
                <w:highlight w:val="none"/>
              </w:rPr>
              <w:t>衢州市阳光交易服务平台（</w:t>
            </w:r>
            <w:r>
              <w:rPr>
                <w:rFonts w:hint="eastAsia" w:ascii="仿宋" w:hAnsi="仿宋" w:eastAsia="仿宋" w:cs="仿宋"/>
                <w:color w:val="000000"/>
                <w:sz w:val="21"/>
                <w:szCs w:val="21"/>
                <w:highlight w:val="none"/>
              </w:rPr>
              <w:fldChar w:fldCharType="begin"/>
            </w:r>
            <w:r>
              <w:rPr>
                <w:rFonts w:hint="eastAsia" w:ascii="仿宋" w:hAnsi="仿宋" w:eastAsia="仿宋" w:cs="仿宋"/>
                <w:color w:val="000000"/>
                <w:sz w:val="21"/>
                <w:szCs w:val="21"/>
                <w:highlight w:val="none"/>
              </w:rPr>
              <w:instrText xml:space="preserve"> HYPERLINK "https://qzygjy.com/" \t "_blank" </w:instrText>
            </w:r>
            <w:r>
              <w:rPr>
                <w:rFonts w:hint="eastAsia" w:ascii="仿宋" w:hAnsi="仿宋" w:eastAsia="仿宋" w:cs="仿宋"/>
                <w:color w:val="000000"/>
                <w:sz w:val="21"/>
                <w:szCs w:val="21"/>
                <w:highlight w:val="none"/>
              </w:rPr>
              <w:fldChar w:fldCharType="separate"/>
            </w:r>
            <w:r>
              <w:rPr>
                <w:rFonts w:hint="eastAsia" w:ascii="仿宋" w:hAnsi="仿宋" w:eastAsia="仿宋" w:cs="仿宋"/>
                <w:color w:val="000000"/>
                <w:sz w:val="21"/>
                <w:szCs w:val="21"/>
                <w:highlight w:val="none"/>
              </w:rPr>
              <w:t>https://qzygjy.com</w:t>
            </w:r>
            <w:r>
              <w:rPr>
                <w:rFonts w:hint="eastAsia" w:ascii="仿宋" w:hAnsi="仿宋" w:eastAsia="仿宋" w:cs="仿宋"/>
                <w:color w:val="000000"/>
                <w:sz w:val="21"/>
                <w:szCs w:val="21"/>
                <w:highlight w:val="none"/>
              </w:rPr>
              <w:fldChar w:fldCharType="end"/>
            </w:r>
            <w:r>
              <w:rPr>
                <w:rFonts w:hint="eastAsia" w:ascii="仿宋" w:hAnsi="仿宋" w:eastAsia="仿宋" w:cs="仿宋"/>
                <w:color w:val="000000"/>
                <w:sz w:val="21"/>
                <w:szCs w:val="21"/>
                <w:highlight w:val="none"/>
              </w:rPr>
              <w:t>/）、浙江政府采购网（</w:t>
            </w:r>
            <w:r>
              <w:rPr>
                <w:rFonts w:hint="eastAsia" w:ascii="仿宋" w:hAnsi="仿宋" w:eastAsia="仿宋" w:cs="仿宋"/>
                <w:color w:val="000000"/>
                <w:sz w:val="21"/>
                <w:szCs w:val="21"/>
                <w:highlight w:val="none"/>
              </w:rPr>
              <w:fldChar w:fldCharType="begin"/>
            </w:r>
            <w:r>
              <w:rPr>
                <w:rFonts w:hint="eastAsia" w:ascii="仿宋" w:hAnsi="仿宋" w:eastAsia="仿宋" w:cs="仿宋"/>
                <w:color w:val="000000"/>
                <w:sz w:val="21"/>
                <w:szCs w:val="21"/>
                <w:highlight w:val="none"/>
              </w:rPr>
              <w:instrText xml:space="preserve"> HYPERLINK "https://zfcg.czt.zj.gov.cn/" \t "_blank" </w:instrText>
            </w:r>
            <w:r>
              <w:rPr>
                <w:rFonts w:hint="eastAsia" w:ascii="仿宋" w:hAnsi="仿宋" w:eastAsia="仿宋" w:cs="仿宋"/>
                <w:color w:val="000000"/>
                <w:sz w:val="21"/>
                <w:szCs w:val="21"/>
                <w:highlight w:val="none"/>
              </w:rPr>
              <w:fldChar w:fldCharType="separate"/>
            </w:r>
            <w:r>
              <w:rPr>
                <w:rFonts w:hint="eastAsia" w:ascii="仿宋" w:hAnsi="仿宋" w:eastAsia="仿宋" w:cs="仿宋"/>
                <w:color w:val="000000"/>
                <w:sz w:val="21"/>
                <w:szCs w:val="21"/>
                <w:highlight w:val="none"/>
              </w:rPr>
              <w:t>https://zfcg.czt.zj.gov.cn</w:t>
            </w:r>
            <w:r>
              <w:rPr>
                <w:rFonts w:hint="eastAsia" w:ascii="仿宋" w:hAnsi="仿宋" w:eastAsia="仿宋" w:cs="仿宋"/>
                <w:color w:val="000000"/>
                <w:sz w:val="21"/>
                <w:szCs w:val="21"/>
                <w:highlight w:val="none"/>
              </w:rPr>
              <w:fldChar w:fldCharType="end"/>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eastAsia="zh-CN"/>
              </w:rPr>
              <w:t>。</w:t>
            </w:r>
            <w:bookmarkEnd w:id="9"/>
          </w:p>
        </w:tc>
      </w:tr>
      <w:tr w14:paraId="327C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475" w:type="dxa"/>
            <w:tcBorders>
              <w:left w:val="double" w:color="auto" w:sz="4" w:space="0"/>
            </w:tcBorders>
            <w:vAlign w:val="center"/>
          </w:tcPr>
          <w:p w14:paraId="20B1A1F9">
            <w:pPr>
              <w:pStyle w:val="18"/>
              <w:keepNext w:val="0"/>
              <w:keepLines w:val="0"/>
              <w:pageBreakBefore w:val="0"/>
              <w:kinsoku/>
              <w:wordWrap/>
              <w:overflowPunct/>
              <w:topLinePunct w:val="0"/>
              <w:bidi w:val="0"/>
              <w:snapToGrid w:val="0"/>
              <w:spacing w:before="0" w:beforeAutospacing="0" w:afterAutospacing="0" w:line="360" w:lineRule="auto"/>
              <w:jc w:val="center"/>
              <w:textAlignment w:val="auto"/>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rPr>
              <w:t>磋商文件的澄清与修改</w:t>
            </w:r>
          </w:p>
        </w:tc>
        <w:tc>
          <w:tcPr>
            <w:tcW w:w="7318" w:type="dxa"/>
            <w:tcBorders>
              <w:right w:val="double" w:color="auto" w:sz="4" w:space="0"/>
            </w:tcBorders>
            <w:vAlign w:val="center"/>
          </w:tcPr>
          <w:p w14:paraId="5560BF2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kern w:val="2"/>
                <w:sz w:val="21"/>
                <w:szCs w:val="21"/>
                <w:highlight w:val="none"/>
              </w:rPr>
            </w:pPr>
            <w:r>
              <w:rPr>
                <w:rFonts w:hint="eastAsia" w:ascii="仿宋" w:hAnsi="仿宋" w:eastAsia="仿宋" w:cs="仿宋"/>
                <w:bCs/>
                <w:color w:val="000000"/>
                <w:sz w:val="21"/>
                <w:szCs w:val="21"/>
                <w:highlight w:val="none"/>
                <w:lang w:eastAsia="zh-CN"/>
              </w:rPr>
              <w:t>采购</w:t>
            </w:r>
            <w:r>
              <w:rPr>
                <w:rFonts w:hint="eastAsia" w:ascii="仿宋" w:hAnsi="仿宋" w:eastAsia="仿宋" w:cs="仿宋"/>
                <w:bCs/>
                <w:color w:val="000000"/>
                <w:sz w:val="21"/>
                <w:szCs w:val="21"/>
                <w:highlight w:val="none"/>
              </w:rPr>
              <w:t>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投标截止时间不足5日的，将顺延响应文件提交截止时间。</w:t>
            </w:r>
          </w:p>
        </w:tc>
      </w:tr>
      <w:tr w14:paraId="1523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75" w:type="dxa"/>
            <w:tcBorders>
              <w:left w:val="double" w:color="auto" w:sz="4" w:space="0"/>
            </w:tcBorders>
            <w:vAlign w:val="center"/>
          </w:tcPr>
          <w:p w14:paraId="088412FC">
            <w:pPr>
              <w:pStyle w:val="18"/>
              <w:keepNext w:val="0"/>
              <w:keepLines w:val="0"/>
              <w:pageBreakBefore w:val="0"/>
              <w:kinsoku/>
              <w:wordWrap/>
              <w:overflowPunct/>
              <w:topLinePunct w:val="0"/>
              <w:bidi w:val="0"/>
              <w:snapToGrid w:val="0"/>
              <w:spacing w:before="0" w:beforeAutospacing="0" w:afterAutospacing="0" w:line="360" w:lineRule="auto"/>
              <w:jc w:val="center"/>
              <w:textAlignment w:val="auto"/>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rPr>
              <w:t>供应商信用查询</w:t>
            </w:r>
          </w:p>
        </w:tc>
        <w:tc>
          <w:tcPr>
            <w:tcW w:w="7318" w:type="dxa"/>
            <w:tcBorders>
              <w:right w:val="double" w:color="auto" w:sz="4" w:space="0"/>
            </w:tcBorders>
            <w:vAlign w:val="center"/>
          </w:tcPr>
          <w:p w14:paraId="1196C86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lang w:eastAsia="zh-CN"/>
              </w:rPr>
              <w:t>参照</w:t>
            </w:r>
            <w:r>
              <w:rPr>
                <w:rFonts w:hint="eastAsia" w:ascii="仿宋" w:hAnsi="仿宋" w:eastAsia="仿宋" w:cs="仿宋"/>
                <w:bCs/>
                <w:color w:val="000000"/>
                <w:sz w:val="21"/>
                <w:szCs w:val="21"/>
                <w:highlight w:val="none"/>
              </w:rPr>
              <w:t>《关于在政府采购活动中查询及使用信用记录有关问题的通知》财库[2016]125号的规定：</w:t>
            </w:r>
          </w:p>
          <w:p w14:paraId="640AAC9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1）采购代理机构将对本项目响应供应商的信用信息进行查询和甄别；信用信息截止时点为响应文件递交截止日。</w:t>
            </w:r>
          </w:p>
          <w:p w14:paraId="3F4FEBF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2）查询渠道为信用中国网站（www.creditchina.gov.cn）、中国政府采购网（www.ccgp.gov.cn）。</w:t>
            </w:r>
          </w:p>
          <w:p w14:paraId="0E55F3E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3）</w:t>
            </w:r>
            <w:r>
              <w:rPr>
                <w:rFonts w:hint="eastAsia" w:ascii="仿宋" w:hAnsi="仿宋" w:eastAsia="仿宋" w:cs="仿宋"/>
                <w:bCs/>
                <w:color w:val="000000"/>
                <w:sz w:val="21"/>
                <w:szCs w:val="21"/>
                <w:highlight w:val="none"/>
                <w:lang w:eastAsia="zh-CN"/>
              </w:rPr>
              <w:t>信用</w:t>
            </w:r>
            <w:r>
              <w:rPr>
                <w:rFonts w:hint="eastAsia" w:ascii="仿宋" w:hAnsi="仿宋" w:eastAsia="仿宋" w:cs="仿宋"/>
                <w:bCs/>
                <w:color w:val="000000"/>
                <w:sz w:val="21"/>
                <w:szCs w:val="21"/>
                <w:highlight w:val="none"/>
              </w:rPr>
              <w:t>信息查询记录和证据以网页截图方式留存。</w:t>
            </w:r>
          </w:p>
          <w:p w14:paraId="17ADF8E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4）1.被列入信用中国网站“失信被执行人”“ 重大税收违法案件当事人”名单；2.被列入中国政府采购网“政府采购严重违法失信行为记录名单”；</w:t>
            </w:r>
          </w:p>
          <w:p w14:paraId="585B9A9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5）信用信息的使用规则：供应商存在不良信用记录的，其响应文件将被拒绝。</w:t>
            </w:r>
          </w:p>
          <w:p w14:paraId="3A14623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sz w:val="21"/>
                <w:szCs w:val="21"/>
                <w:highlight w:val="none"/>
              </w:rPr>
            </w:pPr>
            <w:r>
              <w:rPr>
                <w:rFonts w:hint="eastAsia" w:ascii="仿宋" w:hAnsi="仿宋" w:eastAsia="仿宋" w:cs="仿宋"/>
                <w:bCs/>
                <w:color w:val="000000"/>
                <w:sz w:val="21"/>
                <w:szCs w:val="21"/>
                <w:highlight w:val="none"/>
              </w:rPr>
              <w:t>6）如允许联合体投标的，联合体成员存在不良信用记录视同联合体存在不良信用记录。</w:t>
            </w:r>
          </w:p>
        </w:tc>
      </w:tr>
      <w:tr w14:paraId="3CB3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75" w:type="dxa"/>
            <w:tcBorders>
              <w:left w:val="double" w:color="auto" w:sz="4" w:space="0"/>
            </w:tcBorders>
            <w:vAlign w:val="center"/>
          </w:tcPr>
          <w:p w14:paraId="3A0369DB">
            <w:pPr>
              <w:pStyle w:val="18"/>
              <w:keepNext w:val="0"/>
              <w:keepLines w:val="0"/>
              <w:pageBreakBefore w:val="0"/>
              <w:kinsoku/>
              <w:wordWrap/>
              <w:overflowPunct/>
              <w:topLinePunct w:val="0"/>
              <w:bidi w:val="0"/>
              <w:snapToGrid w:val="0"/>
              <w:spacing w:before="0" w:beforeAutospacing="0" w:afterAutospacing="0" w:line="360" w:lineRule="auto"/>
              <w:jc w:val="center"/>
              <w:textAlignment w:val="auto"/>
              <w:rPr>
                <w:rFonts w:hint="eastAsia" w:ascii="仿宋" w:hAnsi="仿宋" w:eastAsia="仿宋" w:cs="仿宋"/>
                <w:b w:val="0"/>
                <w:bCs w:val="0"/>
                <w:color w:val="auto"/>
                <w:kern w:val="2"/>
                <w:sz w:val="21"/>
                <w:szCs w:val="21"/>
                <w:highlight w:val="none"/>
                <w:lang w:eastAsia="zh-CN"/>
              </w:rPr>
            </w:pPr>
            <w:r>
              <w:rPr>
                <w:rFonts w:hint="eastAsia" w:ascii="仿宋" w:hAnsi="仿宋" w:eastAsia="仿宋" w:cs="仿宋"/>
                <w:b w:val="0"/>
                <w:bCs w:val="0"/>
                <w:color w:val="auto"/>
                <w:kern w:val="2"/>
                <w:sz w:val="21"/>
                <w:szCs w:val="21"/>
                <w:highlight w:val="none"/>
                <w:lang w:eastAsia="zh-CN"/>
              </w:rPr>
              <w:t>开标特别说明</w:t>
            </w:r>
          </w:p>
        </w:tc>
        <w:tc>
          <w:tcPr>
            <w:tcW w:w="7318" w:type="dxa"/>
            <w:tcBorders>
              <w:right w:val="double" w:color="auto" w:sz="4" w:space="0"/>
            </w:tcBorders>
            <w:vAlign w:val="center"/>
          </w:tcPr>
          <w:p w14:paraId="1C70003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lang w:eastAsia="zh-CN"/>
              </w:rPr>
            </w:pPr>
            <w:r>
              <w:rPr>
                <w:rFonts w:hint="eastAsia" w:ascii="仿宋" w:hAnsi="仿宋" w:eastAsia="仿宋" w:cs="仿宋"/>
                <w:bCs/>
                <w:color w:val="000000"/>
                <w:sz w:val="21"/>
                <w:szCs w:val="21"/>
                <w:highlight w:val="none"/>
              </w:rPr>
              <w:t>⑴开标解密使用</w:t>
            </w:r>
            <w:r>
              <w:rPr>
                <w:rFonts w:hint="eastAsia" w:ascii="仿宋" w:hAnsi="仿宋" w:eastAsia="仿宋" w:cs="仿宋"/>
                <w:bCs/>
                <w:color w:val="000000"/>
                <w:sz w:val="21"/>
                <w:szCs w:val="21"/>
                <w:highlight w:val="none"/>
                <w:lang w:eastAsia="zh-CN"/>
              </w:rPr>
              <w:t>投标人</w:t>
            </w:r>
            <w:r>
              <w:rPr>
                <w:rFonts w:hint="eastAsia" w:ascii="仿宋" w:hAnsi="仿宋" w:eastAsia="仿宋" w:cs="仿宋"/>
                <w:bCs/>
                <w:color w:val="000000"/>
                <w:sz w:val="21"/>
                <w:szCs w:val="21"/>
                <w:highlight w:val="none"/>
              </w:rPr>
              <w:t>上传的电子投标文件</w:t>
            </w:r>
            <w:r>
              <w:rPr>
                <w:rFonts w:hint="eastAsia" w:ascii="仿宋" w:hAnsi="仿宋" w:eastAsia="仿宋" w:cs="仿宋"/>
                <w:bCs/>
                <w:color w:val="000000"/>
                <w:sz w:val="21"/>
                <w:szCs w:val="21"/>
                <w:highlight w:val="none"/>
                <w:lang w:eastAsia="zh-CN"/>
              </w:rPr>
              <w:t>；</w:t>
            </w:r>
          </w:p>
          <w:p w14:paraId="686730B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⑵因</w:t>
            </w:r>
            <w:r>
              <w:rPr>
                <w:rFonts w:hint="eastAsia" w:ascii="仿宋" w:hAnsi="仿宋" w:eastAsia="仿宋" w:cs="仿宋"/>
                <w:bCs/>
                <w:color w:val="000000"/>
                <w:sz w:val="21"/>
                <w:szCs w:val="21"/>
                <w:highlight w:val="none"/>
                <w:lang w:eastAsia="zh-CN"/>
              </w:rPr>
              <w:t>投标人</w:t>
            </w:r>
            <w:r>
              <w:rPr>
                <w:rFonts w:hint="eastAsia" w:ascii="仿宋" w:hAnsi="仿宋" w:eastAsia="仿宋" w:cs="仿宋"/>
                <w:bCs/>
                <w:color w:val="000000"/>
                <w:sz w:val="21"/>
                <w:szCs w:val="21"/>
                <w:highlight w:val="none"/>
              </w:rPr>
              <w:t>原因（包括</w:t>
            </w:r>
            <w:r>
              <w:rPr>
                <w:rFonts w:hint="eastAsia" w:ascii="仿宋" w:hAnsi="仿宋" w:eastAsia="仿宋" w:cs="仿宋"/>
                <w:bCs/>
                <w:color w:val="000000"/>
                <w:sz w:val="21"/>
                <w:szCs w:val="21"/>
                <w:highlight w:val="none"/>
                <w:lang w:eastAsia="zh-CN"/>
              </w:rPr>
              <w:t>投标人</w:t>
            </w:r>
            <w:r>
              <w:rPr>
                <w:rFonts w:hint="eastAsia" w:ascii="仿宋" w:hAnsi="仿宋" w:eastAsia="仿宋" w:cs="仿宋"/>
                <w:bCs/>
                <w:color w:val="000000"/>
                <w:sz w:val="21"/>
                <w:szCs w:val="21"/>
                <w:highlight w:val="none"/>
              </w:rPr>
              <w:t>自主选择的CA证书、电脑环境、网络等），造成其电子投标文件未解密的，或投标文件解密了，但投标文件无法识别、读取的，视为撤销其投标文件</w:t>
            </w:r>
            <w:r>
              <w:rPr>
                <w:rFonts w:hint="eastAsia" w:ascii="仿宋" w:hAnsi="仿宋" w:eastAsia="仿宋" w:cs="仿宋"/>
                <w:bCs/>
                <w:color w:val="000000"/>
                <w:sz w:val="21"/>
                <w:szCs w:val="21"/>
                <w:highlight w:val="none"/>
                <w:lang w:eastAsia="zh-CN"/>
              </w:rPr>
              <w:t>；</w:t>
            </w:r>
            <w:r>
              <w:rPr>
                <w:rFonts w:hint="eastAsia" w:ascii="仿宋" w:hAnsi="仿宋" w:eastAsia="仿宋" w:cs="仿宋"/>
                <w:bCs/>
                <w:color w:val="000000"/>
                <w:sz w:val="21"/>
                <w:szCs w:val="21"/>
                <w:highlight w:val="none"/>
              </w:rPr>
              <w:t xml:space="preserve"> </w:t>
            </w:r>
          </w:p>
          <w:p w14:paraId="7FAEEE3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⑶</w:t>
            </w:r>
            <w:r>
              <w:rPr>
                <w:rFonts w:hint="eastAsia" w:ascii="仿宋" w:hAnsi="仿宋" w:eastAsia="仿宋" w:cs="仿宋"/>
                <w:bCs/>
                <w:color w:val="000000"/>
                <w:sz w:val="21"/>
                <w:szCs w:val="21"/>
                <w:highlight w:val="none"/>
                <w:lang w:eastAsia="zh-CN"/>
              </w:rPr>
              <w:t>投标人</w:t>
            </w:r>
            <w:r>
              <w:rPr>
                <w:rFonts w:hint="eastAsia" w:ascii="仿宋" w:hAnsi="仿宋" w:eastAsia="仿宋" w:cs="仿宋"/>
                <w:bCs/>
                <w:color w:val="000000"/>
                <w:sz w:val="21"/>
                <w:szCs w:val="21"/>
                <w:highlight w:val="none"/>
              </w:rPr>
              <w:t>必须使用生成电子投标文件的CA数字证书解密电子投标文件。</w:t>
            </w:r>
          </w:p>
        </w:tc>
      </w:tr>
      <w:tr w14:paraId="40C2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75" w:type="dxa"/>
            <w:tcBorders>
              <w:left w:val="double" w:color="auto" w:sz="4" w:space="0"/>
            </w:tcBorders>
            <w:vAlign w:val="center"/>
          </w:tcPr>
          <w:p w14:paraId="1C5CE89D">
            <w:pPr>
              <w:pStyle w:val="18"/>
              <w:keepNext w:val="0"/>
              <w:keepLines w:val="0"/>
              <w:pageBreakBefore w:val="0"/>
              <w:kinsoku/>
              <w:wordWrap/>
              <w:overflowPunct/>
              <w:topLinePunct w:val="0"/>
              <w:bidi w:val="0"/>
              <w:snapToGrid w:val="0"/>
              <w:spacing w:before="0" w:beforeAutospacing="0" w:afterAutospacing="0" w:line="360" w:lineRule="auto"/>
              <w:jc w:val="center"/>
              <w:textAlignment w:val="auto"/>
              <w:rPr>
                <w:rFonts w:hint="eastAsia" w:ascii="仿宋" w:hAnsi="仿宋" w:eastAsia="仿宋" w:cs="仿宋"/>
                <w:b w:val="0"/>
                <w:bCs w:val="0"/>
                <w:color w:val="auto"/>
                <w:kern w:val="2"/>
                <w:sz w:val="21"/>
                <w:szCs w:val="21"/>
                <w:highlight w:val="none"/>
                <w:lang w:eastAsia="zh-CN"/>
              </w:rPr>
            </w:pPr>
            <w:r>
              <w:rPr>
                <w:rFonts w:hint="eastAsia" w:ascii="仿宋" w:hAnsi="仿宋" w:eastAsia="仿宋" w:cs="仿宋"/>
                <w:b w:val="0"/>
                <w:bCs w:val="0"/>
                <w:color w:val="auto"/>
                <w:kern w:val="2"/>
                <w:sz w:val="21"/>
                <w:szCs w:val="21"/>
                <w:highlight w:val="none"/>
                <w:lang w:eastAsia="zh-CN"/>
              </w:rPr>
              <w:t>其他注意事项</w:t>
            </w:r>
          </w:p>
        </w:tc>
        <w:tc>
          <w:tcPr>
            <w:tcW w:w="7318" w:type="dxa"/>
            <w:tcBorders>
              <w:right w:val="double" w:color="auto" w:sz="4" w:space="0"/>
            </w:tcBorders>
            <w:vAlign w:val="center"/>
          </w:tcPr>
          <w:p w14:paraId="14B6BB4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lang w:val="en-US" w:eastAsia="zh-CN"/>
              </w:rPr>
              <w:t>1.</w:t>
            </w:r>
            <w:r>
              <w:rPr>
                <w:rFonts w:hint="eastAsia" w:ascii="仿宋" w:hAnsi="仿宋" w:eastAsia="仿宋" w:cs="仿宋"/>
                <w:bCs/>
                <w:color w:val="000000"/>
                <w:sz w:val="21"/>
                <w:szCs w:val="21"/>
                <w:highlight w:val="none"/>
              </w:rPr>
              <w:t>磋商文件中部分加“▲”的条款，属于磋商文件的实质性要求和条件，着重提醒各供应商注意，并认真查看磋商文件中的每一个条款及要求，因误读磋商文件而造成的后果，采购人概不负责。</w:t>
            </w:r>
          </w:p>
          <w:p w14:paraId="216E819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lang w:val="en-US" w:eastAsia="zh-CN"/>
              </w:rPr>
              <w:t>2.</w:t>
            </w:r>
            <w:r>
              <w:rPr>
                <w:rFonts w:hint="eastAsia" w:ascii="仿宋" w:hAnsi="仿宋" w:eastAsia="仿宋" w:cs="仿宋"/>
                <w:bCs/>
                <w:color w:val="000000"/>
                <w:sz w:val="21"/>
                <w:szCs w:val="21"/>
                <w:highlight w:val="none"/>
              </w:rPr>
              <w:t xml:space="preserve">本项目采购过程中经采购人代表同意，可能实质性变动采购需求中的技术、服务要求以及合同草案条款。 </w:t>
            </w:r>
          </w:p>
          <w:p w14:paraId="001C523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lang w:val="en-US" w:eastAsia="zh-CN"/>
              </w:rPr>
              <w:t>3.</w:t>
            </w:r>
            <w:r>
              <w:rPr>
                <w:rFonts w:hint="eastAsia" w:ascii="仿宋" w:hAnsi="仿宋" w:eastAsia="仿宋" w:cs="仿宋"/>
                <w:bCs/>
                <w:color w:val="000000"/>
                <w:sz w:val="21"/>
                <w:szCs w:val="21"/>
                <w:highlight w:val="none"/>
              </w:rPr>
              <w:t xml:space="preserve">以上内容如有变化将另行通知，如通知其中某一项内容发生变化，其余未提及的内容将不作变动。 </w:t>
            </w:r>
          </w:p>
          <w:p w14:paraId="7DDC03B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1"/>
                <w:szCs w:val="21"/>
                <w:highlight w:val="none"/>
              </w:rPr>
            </w:pPr>
            <w:r>
              <w:rPr>
                <w:rFonts w:hint="eastAsia" w:ascii="仿宋" w:hAnsi="仿宋" w:eastAsia="仿宋" w:cs="仿宋"/>
                <w:bCs/>
                <w:color w:val="000000"/>
                <w:sz w:val="21"/>
                <w:szCs w:val="21"/>
                <w:highlight w:val="none"/>
              </w:rPr>
              <w:t>4.本项目采用不见面开评标，供应商无需到开标现场，提交磋商响应文件截止时间后供应商凭介质CA锁完成磋商文件解密等事宜。供应商的联系电话在响应当天保持通信畅通，因通信问题无法联系到供应商造成的后果由供应商自行承担。</w:t>
            </w:r>
          </w:p>
        </w:tc>
      </w:tr>
      <w:tr w14:paraId="6BF3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75" w:type="dxa"/>
            <w:tcBorders>
              <w:left w:val="double" w:color="auto" w:sz="4" w:space="0"/>
            </w:tcBorders>
            <w:vAlign w:val="center"/>
          </w:tcPr>
          <w:p w14:paraId="61069A09">
            <w:pPr>
              <w:pStyle w:val="18"/>
              <w:keepNext w:val="0"/>
              <w:keepLines w:val="0"/>
              <w:pageBreakBefore w:val="0"/>
              <w:kinsoku/>
              <w:wordWrap/>
              <w:overflowPunct/>
              <w:topLinePunct w:val="0"/>
              <w:bidi w:val="0"/>
              <w:snapToGrid w:val="0"/>
              <w:spacing w:before="0" w:beforeAutospacing="0" w:afterAutospacing="0" w:line="360" w:lineRule="auto"/>
              <w:jc w:val="center"/>
              <w:textAlignment w:val="auto"/>
              <w:rPr>
                <w:rFonts w:hint="eastAsia" w:ascii="仿宋" w:hAnsi="仿宋" w:eastAsia="仿宋" w:cs="仿宋"/>
                <w:b w:val="0"/>
                <w:bCs w:val="0"/>
                <w:color w:val="auto"/>
                <w:kern w:val="2"/>
                <w:sz w:val="21"/>
                <w:szCs w:val="21"/>
                <w:highlight w:val="none"/>
                <w:lang w:eastAsia="zh-CN"/>
              </w:rPr>
            </w:pPr>
            <w:r>
              <w:rPr>
                <w:rFonts w:hint="eastAsia" w:ascii="仿宋" w:hAnsi="仿宋" w:eastAsia="仿宋" w:cs="仿宋"/>
                <w:b w:val="0"/>
                <w:bCs w:val="0"/>
                <w:color w:val="auto"/>
                <w:kern w:val="2"/>
                <w:sz w:val="21"/>
                <w:szCs w:val="21"/>
                <w:highlight w:val="none"/>
                <w:lang w:eastAsia="zh-CN"/>
              </w:rPr>
              <w:t>解释</w:t>
            </w:r>
          </w:p>
        </w:tc>
        <w:tc>
          <w:tcPr>
            <w:tcW w:w="7318" w:type="dxa"/>
            <w:tcBorders>
              <w:right w:val="double" w:color="auto" w:sz="4" w:space="0"/>
            </w:tcBorders>
            <w:vAlign w:val="center"/>
          </w:tcPr>
          <w:p w14:paraId="7D8E6F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left"/>
              <w:textAlignment w:val="auto"/>
              <w:rPr>
                <w:rFonts w:hint="eastAsia" w:ascii="仿宋" w:hAnsi="仿宋" w:eastAsia="仿宋" w:cs="仿宋"/>
                <w:color w:val="000000"/>
                <w:sz w:val="21"/>
                <w:szCs w:val="21"/>
                <w:highlight w:val="none"/>
              </w:rPr>
            </w:pPr>
            <w:r>
              <w:rPr>
                <w:rFonts w:hint="eastAsia" w:ascii="仿宋" w:hAnsi="仿宋" w:eastAsia="仿宋" w:cs="仿宋"/>
                <w:bCs/>
                <w:color w:val="000000"/>
                <w:sz w:val="21"/>
                <w:szCs w:val="21"/>
                <w:highlight w:val="none"/>
              </w:rPr>
              <w:t>本磋商文件的解释权归采购人和采购代理机构所有。</w:t>
            </w:r>
          </w:p>
        </w:tc>
      </w:tr>
      <w:tr w14:paraId="72F2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2475" w:type="dxa"/>
            <w:tcBorders>
              <w:left w:val="double" w:color="auto" w:sz="4" w:space="0"/>
              <w:bottom w:val="double" w:color="auto" w:sz="4" w:space="0"/>
            </w:tcBorders>
            <w:vAlign w:val="center"/>
          </w:tcPr>
          <w:p w14:paraId="7E4A90B3">
            <w:pPr>
              <w:pStyle w:val="18"/>
              <w:keepNext w:val="0"/>
              <w:keepLines w:val="0"/>
              <w:pageBreakBefore w:val="0"/>
              <w:kinsoku/>
              <w:wordWrap/>
              <w:overflowPunct/>
              <w:topLinePunct w:val="0"/>
              <w:bidi w:val="0"/>
              <w:snapToGrid w:val="0"/>
              <w:spacing w:before="0" w:beforeAutospacing="0" w:afterAutospacing="0" w:line="360" w:lineRule="auto"/>
              <w:jc w:val="center"/>
              <w:textAlignment w:val="auto"/>
              <w:rPr>
                <w:rFonts w:hint="eastAsia" w:ascii="仿宋" w:hAnsi="仿宋" w:eastAsia="仿宋" w:cs="仿宋"/>
                <w:b w:val="0"/>
                <w:sz w:val="21"/>
                <w:szCs w:val="21"/>
                <w:highlight w:val="none"/>
                <w:lang w:eastAsia="zh-CN"/>
              </w:rPr>
            </w:pPr>
            <w:r>
              <w:rPr>
                <w:rFonts w:hint="eastAsia" w:ascii="仿宋" w:hAnsi="仿宋" w:eastAsia="仿宋" w:cs="仿宋"/>
                <w:b/>
                <w:bCs w:val="0"/>
                <w:sz w:val="21"/>
                <w:szCs w:val="21"/>
                <w:highlight w:val="none"/>
              </w:rPr>
              <w:t>代理服务费</w:t>
            </w:r>
            <w:r>
              <w:rPr>
                <w:rFonts w:hint="eastAsia" w:ascii="仿宋" w:hAnsi="仿宋" w:eastAsia="仿宋" w:cs="仿宋"/>
                <w:b/>
                <w:bCs w:val="0"/>
                <w:sz w:val="21"/>
                <w:szCs w:val="21"/>
                <w:highlight w:val="none"/>
                <w:lang w:eastAsia="zh-CN"/>
              </w:rPr>
              <w:t>及其他</w:t>
            </w:r>
          </w:p>
        </w:tc>
        <w:tc>
          <w:tcPr>
            <w:tcW w:w="7318" w:type="dxa"/>
            <w:tcBorders>
              <w:bottom w:val="double" w:color="auto" w:sz="4" w:space="0"/>
              <w:right w:val="double" w:color="auto" w:sz="4" w:space="0"/>
            </w:tcBorders>
            <w:vAlign w:val="center"/>
          </w:tcPr>
          <w:p w14:paraId="11E4392A">
            <w:pPr>
              <w:pStyle w:val="45"/>
              <w:keepNext w:val="0"/>
              <w:keepLines w:val="0"/>
              <w:pageBreakBefore w:val="0"/>
              <w:tabs>
                <w:tab w:val="left" w:pos="6930"/>
              </w:tabs>
              <w:kinsoku/>
              <w:wordWrap/>
              <w:overflowPunct/>
              <w:topLinePunct w:val="0"/>
              <w:autoSpaceDE/>
              <w:autoSpaceDN/>
              <w:bidi w:val="0"/>
              <w:snapToGrid/>
              <w:spacing w:before="0" w:beforeLines="0" w:beforeAutospacing="0" w:after="0" w:afterLines="0" w:afterAutospacing="0" w:line="240" w:lineRule="auto"/>
              <w:textAlignment w:val="auto"/>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1、本项目采购代理服务费参照国家计委关于印发《招标代理服务费管理暂行办法》的通知（计价格【2002】1980号）规定的“服务招标”收费标准的45%收取，不足2000元按2000元计取。</w:t>
            </w:r>
          </w:p>
          <w:p w14:paraId="5D3F33D1">
            <w:pPr>
              <w:pStyle w:val="45"/>
              <w:keepNext w:val="0"/>
              <w:keepLines w:val="0"/>
              <w:pageBreakBefore w:val="0"/>
              <w:tabs>
                <w:tab w:val="left" w:pos="6930"/>
              </w:tabs>
              <w:kinsoku/>
              <w:wordWrap/>
              <w:overflowPunct/>
              <w:topLinePunct w:val="0"/>
              <w:autoSpaceDE/>
              <w:autoSpaceDN/>
              <w:bidi w:val="0"/>
              <w:snapToGrid/>
              <w:spacing w:before="0" w:beforeLines="0" w:beforeAutospacing="0" w:after="0" w:afterLines="0" w:afterAutospacing="0" w:line="360" w:lineRule="auto"/>
              <w:jc w:val="center"/>
              <w:textAlignment w:val="auto"/>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《招标代理服务费管理暂行办法》的通知规定的收费标准</w:t>
            </w:r>
          </w:p>
          <w:tbl>
            <w:tblPr>
              <w:tblStyle w:val="48"/>
              <w:tblW w:w="6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6"/>
              <w:gridCol w:w="2057"/>
              <w:gridCol w:w="2045"/>
            </w:tblGrid>
            <w:tr w14:paraId="111B1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056" w:type="dxa"/>
                  <w:noWrap w:val="0"/>
                  <w:vAlign w:val="top"/>
                </w:tcPr>
                <w:p w14:paraId="6237E57B">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中标金额（万元）</w:t>
                  </w:r>
                </w:p>
              </w:tc>
              <w:tc>
                <w:tcPr>
                  <w:tcW w:w="2057" w:type="dxa"/>
                  <w:noWrap w:val="0"/>
                  <w:vAlign w:val="top"/>
                </w:tcPr>
                <w:p w14:paraId="06A912B5">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货物费率</w:t>
                  </w:r>
                </w:p>
              </w:tc>
              <w:tc>
                <w:tcPr>
                  <w:tcW w:w="2045" w:type="dxa"/>
                  <w:noWrap w:val="0"/>
                  <w:vAlign w:val="top"/>
                </w:tcPr>
                <w:p w14:paraId="44F67F8D">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服务费率</w:t>
                  </w:r>
                </w:p>
              </w:tc>
            </w:tr>
            <w:tr w14:paraId="25D5E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2056" w:type="dxa"/>
                  <w:noWrap w:val="0"/>
                  <w:vAlign w:val="top"/>
                </w:tcPr>
                <w:p w14:paraId="1BD6D7FC">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100以下</w:t>
                  </w:r>
                </w:p>
              </w:tc>
              <w:tc>
                <w:tcPr>
                  <w:tcW w:w="2057" w:type="dxa"/>
                  <w:noWrap w:val="0"/>
                  <w:vAlign w:val="top"/>
                </w:tcPr>
                <w:p w14:paraId="1CAADB61">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1.5%</w:t>
                  </w:r>
                </w:p>
              </w:tc>
              <w:tc>
                <w:tcPr>
                  <w:tcW w:w="2045" w:type="dxa"/>
                  <w:noWrap w:val="0"/>
                  <w:vAlign w:val="top"/>
                </w:tcPr>
                <w:p w14:paraId="4347F04E">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1.5%</w:t>
                  </w:r>
                </w:p>
              </w:tc>
            </w:tr>
            <w:tr w14:paraId="5B35D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56" w:type="dxa"/>
                  <w:noWrap w:val="0"/>
                  <w:vAlign w:val="top"/>
                </w:tcPr>
                <w:p w14:paraId="53038EA2">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100-500</w:t>
                  </w:r>
                </w:p>
              </w:tc>
              <w:tc>
                <w:tcPr>
                  <w:tcW w:w="2057" w:type="dxa"/>
                  <w:noWrap w:val="0"/>
                  <w:vAlign w:val="top"/>
                </w:tcPr>
                <w:p w14:paraId="7115DA16">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1.1%</w:t>
                  </w:r>
                </w:p>
              </w:tc>
              <w:tc>
                <w:tcPr>
                  <w:tcW w:w="2045" w:type="dxa"/>
                  <w:noWrap w:val="0"/>
                  <w:vAlign w:val="top"/>
                </w:tcPr>
                <w:p w14:paraId="7B4CC226">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0.8%</w:t>
                  </w:r>
                </w:p>
              </w:tc>
            </w:tr>
            <w:tr w14:paraId="052B6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2056" w:type="dxa"/>
                  <w:noWrap w:val="0"/>
                  <w:vAlign w:val="top"/>
                </w:tcPr>
                <w:p w14:paraId="437A12E8">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500-1000</w:t>
                  </w:r>
                </w:p>
              </w:tc>
              <w:tc>
                <w:tcPr>
                  <w:tcW w:w="2057" w:type="dxa"/>
                  <w:noWrap w:val="0"/>
                  <w:vAlign w:val="top"/>
                </w:tcPr>
                <w:p w14:paraId="40F25439">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0.8%</w:t>
                  </w:r>
                </w:p>
              </w:tc>
              <w:tc>
                <w:tcPr>
                  <w:tcW w:w="2045" w:type="dxa"/>
                  <w:noWrap w:val="0"/>
                  <w:vAlign w:val="top"/>
                </w:tcPr>
                <w:p w14:paraId="38111431">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0.45%</w:t>
                  </w:r>
                </w:p>
              </w:tc>
            </w:tr>
          </w:tbl>
          <w:p w14:paraId="070DCF1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2、开评标过程中产生的其他费用（论证费、评审费），按实际支出收取。</w:t>
            </w:r>
          </w:p>
          <w:p w14:paraId="2B59B621">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b/>
                <w:bCs w:val="0"/>
                <w:color w:val="000000"/>
                <w:kern w:val="2"/>
                <w:sz w:val="21"/>
                <w:szCs w:val="21"/>
                <w:highlight w:val="none"/>
                <w:lang w:val="en-US" w:eastAsia="zh-CN" w:bidi="ar-SA"/>
              </w:rPr>
              <w:t>注：以上两笔费均由中标供应商支付给代理机构，各投标供应商在投标报价时自行考虑在投标报价中，由中标供应商在领取中标通知书前一次性支付给代理机构。</w:t>
            </w:r>
          </w:p>
        </w:tc>
      </w:tr>
    </w:tbl>
    <w:p w14:paraId="5DF93F04">
      <w:pPr>
        <w:pStyle w:val="4"/>
        <w:pageBreakBefore w:val="0"/>
        <w:kinsoku/>
        <w:wordWrap/>
        <w:topLinePunct w:val="0"/>
        <w:bidi w:val="0"/>
        <w:spacing w:before="0" w:beforeAutospacing="0" w:after="0" w:afterAutospacing="0" w:line="360" w:lineRule="auto"/>
        <w:jc w:val="left"/>
        <w:rPr>
          <w:rFonts w:hint="eastAsia" w:ascii="仿宋" w:hAnsi="仿宋" w:eastAsia="仿宋" w:cs="仿宋"/>
          <w:bCs w:val="0"/>
          <w:color w:val="000000"/>
          <w:sz w:val="28"/>
          <w:szCs w:val="28"/>
          <w:highlight w:val="none"/>
          <w:lang w:val="zh-CN"/>
        </w:rPr>
      </w:pPr>
      <w:bookmarkStart w:id="10" w:name="_Toc15599"/>
      <w:r>
        <w:rPr>
          <w:rFonts w:hint="eastAsia" w:ascii="仿宋" w:hAnsi="仿宋" w:eastAsia="仿宋" w:cs="仿宋"/>
          <w:bCs w:val="0"/>
          <w:color w:val="000000"/>
          <w:sz w:val="28"/>
          <w:szCs w:val="28"/>
          <w:highlight w:val="none"/>
          <w:lang w:val="zh-CN"/>
        </w:rPr>
        <w:t>一、综合说明</w:t>
      </w:r>
      <w:bookmarkEnd w:id="10"/>
    </w:p>
    <w:p w14:paraId="10042E7E">
      <w:pPr>
        <w:pageBreakBefore w:val="0"/>
        <w:kinsoku/>
        <w:wordWrap/>
        <w:topLinePunct w:val="0"/>
        <w:autoSpaceDE w:val="0"/>
        <w:autoSpaceDN w:val="0"/>
        <w:bidi w:val="0"/>
        <w:adjustRightInd w:val="0"/>
        <w:spacing w:beforeAutospacing="0" w:afterAutospacing="0" w:line="360" w:lineRule="auto"/>
        <w:ind w:firstLine="210" w:firstLineChars="100"/>
        <w:jc w:val="left"/>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lang w:val="zh-CN"/>
        </w:rPr>
        <w:t>（一）适用范围</w:t>
      </w:r>
    </w:p>
    <w:p w14:paraId="1EC8562D">
      <w:pPr>
        <w:pageBreakBefore w:val="0"/>
        <w:kinsoku/>
        <w:wordWrap/>
        <w:topLinePunct w:val="0"/>
        <w:bidi w:val="0"/>
        <w:snapToGrid w:val="0"/>
        <w:spacing w:beforeAutospacing="0" w:afterAutospacing="0" w:line="360" w:lineRule="auto"/>
        <w:ind w:firstLine="420"/>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lang w:val="zh-CN"/>
        </w:rPr>
        <w:t>本磋商文件适用于本次所述项目的磋商、评审、定标、验收、合同履约、付款等（法律、法规另有规定的，从其规定）。</w:t>
      </w:r>
    </w:p>
    <w:p w14:paraId="1D5818B2">
      <w:pPr>
        <w:pageBreakBefore w:val="0"/>
        <w:kinsoku/>
        <w:wordWrap/>
        <w:topLinePunct w:val="0"/>
        <w:autoSpaceDE w:val="0"/>
        <w:autoSpaceDN w:val="0"/>
        <w:bidi w:val="0"/>
        <w:adjustRightInd w:val="0"/>
        <w:snapToGrid w:val="0"/>
        <w:spacing w:beforeAutospacing="0" w:afterAutospacing="0" w:line="360" w:lineRule="auto"/>
        <w:ind w:firstLine="210" w:firstLineChars="100"/>
        <w:jc w:val="left"/>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（二）定义</w:t>
      </w:r>
    </w:p>
    <w:p w14:paraId="283E3F9D">
      <w:pPr>
        <w:pageBreakBefore w:val="0"/>
        <w:kinsoku/>
        <w:wordWrap/>
        <w:topLinePunct w:val="0"/>
        <w:bidi w:val="0"/>
        <w:snapToGrid w:val="0"/>
        <w:spacing w:beforeAutospacing="0" w:afterAutospacing="0"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1.“采购人（采购单位）”是指依法进行</w:t>
      </w:r>
      <w:r>
        <w:rPr>
          <w:rFonts w:hint="eastAsia" w:ascii="仿宋" w:hAnsi="仿宋" w:eastAsia="仿宋" w:cs="仿宋"/>
          <w:color w:val="000000"/>
          <w:sz w:val="21"/>
          <w:szCs w:val="21"/>
          <w:highlight w:val="none"/>
          <w:lang w:eastAsia="zh-CN"/>
        </w:rPr>
        <w:t>项目</w:t>
      </w:r>
      <w:r>
        <w:rPr>
          <w:rFonts w:hint="eastAsia" w:ascii="仿宋" w:hAnsi="仿宋" w:eastAsia="仿宋" w:cs="仿宋"/>
          <w:color w:val="000000"/>
          <w:sz w:val="21"/>
          <w:szCs w:val="21"/>
          <w:highlight w:val="none"/>
        </w:rPr>
        <w:t>采购的“</w:t>
      </w:r>
      <w:r>
        <w:rPr>
          <w:rFonts w:hint="eastAsia" w:ascii="仿宋" w:hAnsi="仿宋" w:eastAsia="仿宋" w:cs="仿宋"/>
          <w:color w:val="000000"/>
          <w:sz w:val="21"/>
          <w:szCs w:val="21"/>
          <w:highlight w:val="none"/>
          <w:lang w:eastAsia="zh-CN"/>
        </w:rPr>
        <w:t>常山县水利发展投资有限责任公司</w:t>
      </w:r>
      <w:r>
        <w:rPr>
          <w:rFonts w:hint="eastAsia" w:ascii="仿宋" w:hAnsi="仿宋" w:eastAsia="仿宋" w:cs="仿宋"/>
          <w:color w:val="000000"/>
          <w:sz w:val="21"/>
          <w:szCs w:val="21"/>
          <w:highlight w:val="none"/>
        </w:rPr>
        <w:t>”；</w:t>
      </w:r>
    </w:p>
    <w:p w14:paraId="4D259B5C">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3.“供应商（响应供应商）”是指向本采购项目提交响应文件的法人、其他组织或自然人；</w:t>
      </w:r>
    </w:p>
    <w:p w14:paraId="53E6A50C">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4.“制造商”是指投标产品的制造（生产）企业或对投标产品拥有所有权的单位；</w:t>
      </w:r>
    </w:p>
    <w:p w14:paraId="2704643E">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5.“成交供应商（成交单位）”是指经评审后获得成交和签订合同资格的供应商；</w:t>
      </w:r>
    </w:p>
    <w:p w14:paraId="3A11D106">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6.“产品（货物）”是指按磋商文件要求配置的一切设备、机械、仪器仪表、备品备件、工具、手册及其它有关技术资料和文字材料；</w:t>
      </w:r>
    </w:p>
    <w:p w14:paraId="44E50824">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7.“服务”在货物类采购项目中是指磋商文件规定供方须承担的货物运输、操作使用、技术支持、培训、维修保养服务；在服务类采购项目是指采购内容本身及相关的售后技术支持、培训服务；</w:t>
      </w:r>
    </w:p>
    <w:p w14:paraId="1F184C1C">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8.“书面形式”包括纸质文件、电子邮件、信函、传真等。</w:t>
      </w:r>
    </w:p>
    <w:p w14:paraId="72D02902">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9.实质性响应：是指响应文件相关内容满足或优于磋商（采购）文件规定的实质性内容、条款和规定。</w:t>
      </w:r>
    </w:p>
    <w:p w14:paraId="04CDC22E">
      <w:pPr>
        <w:spacing w:line="360" w:lineRule="auto"/>
        <w:ind w:firstLine="420"/>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10.除另行说明外，采购文件中标注 “▲” 的内容为必须满足的实质性内容或不可负偏离指标，供应商未实质性响应的，按响应无效处理；标注 “★” 表示重点提醒供应商注意该内容。【在货物采购项目中，采购需求产品名称标注 “★” 并加下划线标明的，表示该产品为项目的核心产品（仅适用于货物采购项目）】</w:t>
      </w:r>
    </w:p>
    <w:p w14:paraId="472B818E">
      <w:pPr>
        <w:pageBreakBefore w:val="0"/>
        <w:kinsoku/>
        <w:wordWrap/>
        <w:topLinePunct w:val="0"/>
        <w:autoSpaceDE w:val="0"/>
        <w:autoSpaceDN w:val="0"/>
        <w:bidi w:val="0"/>
        <w:adjustRightInd w:val="0"/>
        <w:snapToGrid w:val="0"/>
        <w:spacing w:beforeAutospacing="0" w:afterAutospacing="0" w:line="360" w:lineRule="auto"/>
        <w:ind w:firstLine="210" w:firstLineChars="100"/>
        <w:jc w:val="left"/>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（三）采购方式：</w:t>
      </w:r>
    </w:p>
    <w:p w14:paraId="475CF1A9">
      <w:pPr>
        <w:pageBreakBefore w:val="0"/>
        <w:kinsoku/>
        <w:wordWrap/>
        <w:topLinePunct w:val="0"/>
        <w:autoSpaceDE w:val="0"/>
        <w:autoSpaceDN w:val="0"/>
        <w:bidi w:val="0"/>
        <w:adjustRightInd w:val="0"/>
        <w:snapToGrid w:val="0"/>
        <w:spacing w:beforeAutospacing="0" w:afterAutospacing="0" w:line="360" w:lineRule="auto"/>
        <w:ind w:firstLine="210" w:firstLineChars="100"/>
        <w:jc w:val="left"/>
        <w:rPr>
          <w:rFonts w:hint="eastAsia" w:ascii="仿宋" w:hAnsi="仿宋" w:eastAsia="仿宋" w:cs="仿宋"/>
          <w:b/>
          <w:color w:val="000000"/>
          <w:sz w:val="21"/>
          <w:szCs w:val="21"/>
          <w:highlight w:val="none"/>
          <w:lang w:val="zh-CN"/>
        </w:rPr>
      </w:pPr>
      <w:r>
        <w:rPr>
          <w:rFonts w:hint="eastAsia" w:ascii="仿宋" w:hAnsi="仿宋" w:eastAsia="仿宋" w:cs="仿宋"/>
          <w:color w:val="000000"/>
          <w:sz w:val="21"/>
          <w:szCs w:val="21"/>
          <w:highlight w:val="none"/>
        </w:rPr>
        <w:t>竞争性磋商。</w:t>
      </w:r>
    </w:p>
    <w:p w14:paraId="73ABE333">
      <w:pPr>
        <w:pageBreakBefore w:val="0"/>
        <w:kinsoku/>
        <w:wordWrap/>
        <w:topLinePunct w:val="0"/>
        <w:autoSpaceDE w:val="0"/>
        <w:autoSpaceDN w:val="0"/>
        <w:bidi w:val="0"/>
        <w:adjustRightInd w:val="0"/>
        <w:snapToGrid w:val="0"/>
        <w:spacing w:beforeAutospacing="0" w:afterAutospacing="0" w:line="360" w:lineRule="auto"/>
        <w:ind w:firstLine="210" w:firstLineChars="100"/>
        <w:jc w:val="left"/>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（四）</w:t>
      </w:r>
      <w:r>
        <w:rPr>
          <w:rFonts w:hint="eastAsia" w:ascii="仿宋" w:hAnsi="仿宋" w:eastAsia="仿宋" w:cs="仿宋"/>
          <w:b/>
          <w:color w:val="000000"/>
          <w:sz w:val="21"/>
          <w:szCs w:val="21"/>
          <w:highlight w:val="none"/>
          <w:lang w:val="en-US" w:eastAsia="zh-CN"/>
        </w:rPr>
        <w:t>响应</w:t>
      </w:r>
      <w:r>
        <w:rPr>
          <w:rFonts w:hint="eastAsia" w:ascii="仿宋" w:hAnsi="仿宋" w:eastAsia="仿宋" w:cs="仿宋"/>
          <w:b/>
          <w:color w:val="000000"/>
          <w:sz w:val="21"/>
          <w:szCs w:val="21"/>
          <w:highlight w:val="none"/>
          <w:lang w:val="zh-CN"/>
        </w:rPr>
        <w:t>委托</w:t>
      </w:r>
    </w:p>
    <w:p w14:paraId="34C541A4">
      <w:pPr>
        <w:pStyle w:val="15"/>
        <w:pageBreakBefore w:val="0"/>
        <w:kinsoku/>
        <w:wordWrap/>
        <w:topLinePunct w:val="0"/>
        <w:bidi w:val="0"/>
        <w:snapToGrid w:val="0"/>
        <w:spacing w:beforeAutospacing="0" w:afterAutospacing="0"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供应商代表须携带本人有效身</w:t>
      </w:r>
      <w:r>
        <w:rPr>
          <w:rFonts w:hint="eastAsia" w:ascii="仿宋" w:hAnsi="仿宋" w:eastAsia="仿宋" w:cs="仿宋"/>
          <w:color w:val="000000"/>
          <w:sz w:val="21"/>
          <w:szCs w:val="21"/>
          <w:highlight w:val="none"/>
          <w:lang w:eastAsia="zh-CN"/>
        </w:rPr>
        <w:t>份证</w:t>
      </w:r>
      <w:r>
        <w:rPr>
          <w:rFonts w:hint="eastAsia" w:ascii="仿宋" w:hAnsi="仿宋" w:eastAsia="仿宋" w:cs="仿宋"/>
          <w:color w:val="000000"/>
          <w:sz w:val="21"/>
          <w:szCs w:val="21"/>
          <w:highlight w:val="none"/>
        </w:rPr>
        <w:t>证件，同时，如供应商代表是法定代表人</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单位负责人</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的，需持有法定代表人</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单位负责人</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身份证明【格式见</w:t>
      </w:r>
      <w:r>
        <w:rPr>
          <w:rFonts w:hint="eastAsia" w:ascii="仿宋" w:hAnsi="仿宋" w:eastAsia="仿宋" w:cs="仿宋"/>
          <w:color w:val="000000"/>
          <w:sz w:val="21"/>
          <w:szCs w:val="21"/>
          <w:highlight w:val="none"/>
        </w:rPr>
        <w:fldChar w:fldCharType="begin"/>
      </w:r>
      <w:r>
        <w:rPr>
          <w:rFonts w:hint="eastAsia" w:ascii="仿宋" w:hAnsi="仿宋" w:eastAsia="仿宋" w:cs="仿宋"/>
          <w:color w:val="000000"/>
          <w:sz w:val="21"/>
          <w:szCs w:val="21"/>
          <w:highlight w:val="none"/>
        </w:rPr>
        <w:instrText xml:space="preserve"> HYPERLINK  \l "附件1" </w:instrText>
      </w:r>
      <w:r>
        <w:rPr>
          <w:rFonts w:hint="eastAsia" w:ascii="仿宋" w:hAnsi="仿宋" w:eastAsia="仿宋" w:cs="仿宋"/>
          <w:color w:val="000000"/>
          <w:sz w:val="21"/>
          <w:szCs w:val="21"/>
          <w:highlight w:val="none"/>
        </w:rPr>
        <w:fldChar w:fldCharType="separate"/>
      </w:r>
      <w:r>
        <w:rPr>
          <w:rStyle w:val="55"/>
          <w:rFonts w:hint="eastAsia" w:ascii="仿宋" w:hAnsi="仿宋" w:eastAsia="仿宋" w:cs="仿宋"/>
          <w:sz w:val="21"/>
          <w:szCs w:val="21"/>
          <w:highlight w:val="none"/>
        </w:rPr>
        <w:t>附</w:t>
      </w:r>
      <w:bookmarkStart w:id="11" w:name="_Hlt515886231"/>
      <w:r>
        <w:rPr>
          <w:rStyle w:val="55"/>
          <w:rFonts w:hint="eastAsia" w:ascii="仿宋" w:hAnsi="仿宋" w:eastAsia="仿宋" w:cs="仿宋"/>
          <w:sz w:val="21"/>
          <w:szCs w:val="21"/>
          <w:highlight w:val="none"/>
        </w:rPr>
        <w:t>件</w:t>
      </w:r>
      <w:bookmarkEnd w:id="11"/>
      <w:r>
        <w:rPr>
          <w:rStyle w:val="55"/>
          <w:rFonts w:hint="eastAsia" w:ascii="仿宋" w:hAnsi="仿宋" w:eastAsia="仿宋" w:cs="仿宋"/>
          <w:sz w:val="21"/>
          <w:szCs w:val="21"/>
          <w:highlight w:val="none"/>
        </w:rPr>
        <w:t>1</w:t>
      </w:r>
      <w:r>
        <w:rPr>
          <w:rFonts w:hint="eastAsia" w:ascii="仿宋" w:hAnsi="仿宋" w:eastAsia="仿宋" w:cs="仿宋"/>
          <w:color w:val="000000"/>
          <w:sz w:val="21"/>
          <w:szCs w:val="21"/>
          <w:highlight w:val="none"/>
        </w:rPr>
        <w:fldChar w:fldCharType="end"/>
      </w:r>
      <w:r>
        <w:rPr>
          <w:rFonts w:hint="eastAsia" w:ascii="仿宋" w:hAnsi="仿宋" w:eastAsia="仿宋" w:cs="仿宋"/>
          <w:color w:val="000000"/>
          <w:sz w:val="21"/>
          <w:szCs w:val="21"/>
          <w:highlight w:val="none"/>
        </w:rPr>
        <w:t>】，如供应商代表不是法定代表人</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单位负责人</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的，需持有法定代表人</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单位负责人</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出具的授权委托书【格式见</w:t>
      </w:r>
      <w:r>
        <w:rPr>
          <w:rFonts w:hint="eastAsia" w:ascii="仿宋" w:hAnsi="仿宋" w:eastAsia="仿宋" w:cs="仿宋"/>
          <w:color w:val="000000"/>
          <w:sz w:val="21"/>
          <w:szCs w:val="21"/>
          <w:highlight w:val="none"/>
        </w:rPr>
        <w:fldChar w:fldCharType="begin"/>
      </w:r>
      <w:r>
        <w:rPr>
          <w:rFonts w:hint="eastAsia" w:ascii="仿宋" w:hAnsi="仿宋" w:eastAsia="仿宋" w:cs="仿宋"/>
          <w:color w:val="000000"/>
          <w:sz w:val="21"/>
          <w:szCs w:val="21"/>
          <w:highlight w:val="none"/>
        </w:rPr>
        <w:instrText xml:space="preserve"> HYPERLINK  \l "法定代表人授权委托书" </w:instrText>
      </w:r>
      <w:r>
        <w:rPr>
          <w:rFonts w:hint="eastAsia" w:ascii="仿宋" w:hAnsi="仿宋" w:eastAsia="仿宋" w:cs="仿宋"/>
          <w:color w:val="000000"/>
          <w:sz w:val="21"/>
          <w:szCs w:val="21"/>
          <w:highlight w:val="none"/>
        </w:rPr>
        <w:fldChar w:fldCharType="separate"/>
      </w:r>
      <w:r>
        <w:rPr>
          <w:rStyle w:val="55"/>
          <w:rFonts w:hint="eastAsia" w:ascii="仿宋" w:hAnsi="仿宋" w:eastAsia="仿宋" w:cs="仿宋"/>
          <w:sz w:val="21"/>
          <w:szCs w:val="21"/>
          <w:highlight w:val="none"/>
        </w:rPr>
        <w:t>附</w:t>
      </w:r>
      <w:bookmarkStart w:id="12" w:name="_Hlt515892856"/>
      <w:r>
        <w:rPr>
          <w:rStyle w:val="55"/>
          <w:rFonts w:hint="eastAsia" w:ascii="仿宋" w:hAnsi="仿宋" w:eastAsia="仿宋" w:cs="仿宋"/>
          <w:sz w:val="21"/>
          <w:szCs w:val="21"/>
          <w:highlight w:val="none"/>
        </w:rPr>
        <w:t>件</w:t>
      </w:r>
      <w:bookmarkEnd w:id="12"/>
      <w:r>
        <w:rPr>
          <w:rStyle w:val="55"/>
          <w:rFonts w:hint="eastAsia" w:ascii="仿宋" w:hAnsi="仿宋" w:eastAsia="仿宋" w:cs="仿宋"/>
          <w:sz w:val="21"/>
          <w:szCs w:val="21"/>
          <w:highlight w:val="none"/>
        </w:rPr>
        <w:t>1</w:t>
      </w:r>
      <w:bookmarkStart w:id="13" w:name="_Hlt515886192"/>
      <w:r>
        <w:rPr>
          <w:rStyle w:val="55"/>
          <w:rFonts w:hint="eastAsia" w:ascii="仿宋" w:hAnsi="仿宋" w:eastAsia="仿宋" w:cs="仿宋"/>
          <w:sz w:val="21"/>
          <w:szCs w:val="21"/>
          <w:highlight w:val="none"/>
        </w:rPr>
        <w:t>-</w:t>
      </w:r>
      <w:bookmarkEnd w:id="13"/>
      <w:r>
        <w:rPr>
          <w:rStyle w:val="55"/>
          <w:rFonts w:hint="eastAsia" w:ascii="仿宋" w:hAnsi="仿宋" w:eastAsia="仿宋" w:cs="仿宋"/>
          <w:sz w:val="21"/>
          <w:szCs w:val="21"/>
          <w:highlight w:val="none"/>
        </w:rPr>
        <w:t>1</w:t>
      </w:r>
      <w:r>
        <w:rPr>
          <w:rFonts w:hint="eastAsia" w:ascii="仿宋" w:hAnsi="仿宋" w:eastAsia="仿宋" w:cs="仿宋"/>
          <w:color w:val="000000"/>
          <w:sz w:val="21"/>
          <w:szCs w:val="21"/>
          <w:highlight w:val="none"/>
        </w:rPr>
        <w:fldChar w:fldCharType="end"/>
      </w:r>
      <w:r>
        <w:rPr>
          <w:rFonts w:hint="eastAsia" w:ascii="仿宋" w:hAnsi="仿宋" w:eastAsia="仿宋" w:cs="仿宋"/>
          <w:color w:val="000000"/>
          <w:sz w:val="21"/>
          <w:szCs w:val="21"/>
          <w:highlight w:val="none"/>
        </w:rPr>
        <w:t>】。</w:t>
      </w:r>
    </w:p>
    <w:p w14:paraId="01452355">
      <w:pPr>
        <w:pStyle w:val="166"/>
        <w:spacing w:line="300" w:lineRule="auto"/>
        <w:ind w:left="0" w:leftChars="0" w:firstLine="210" w:firstLineChars="100"/>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（五）</w:t>
      </w:r>
      <w:r>
        <w:rPr>
          <w:rFonts w:hint="eastAsia" w:ascii="仿宋" w:hAnsi="仿宋" w:eastAsia="仿宋" w:cs="仿宋"/>
          <w:b/>
          <w:color w:val="000000"/>
          <w:sz w:val="21"/>
          <w:szCs w:val="21"/>
          <w:highlight w:val="none"/>
          <w:lang w:val="en-US" w:eastAsia="zh-CN"/>
        </w:rPr>
        <w:t>响应</w:t>
      </w:r>
      <w:r>
        <w:rPr>
          <w:rFonts w:hint="eastAsia" w:ascii="仿宋" w:hAnsi="仿宋" w:eastAsia="仿宋" w:cs="仿宋"/>
          <w:b/>
          <w:color w:val="000000"/>
          <w:sz w:val="21"/>
          <w:szCs w:val="21"/>
          <w:highlight w:val="none"/>
          <w:lang w:val="zh-CN"/>
        </w:rPr>
        <w:t>费用：</w:t>
      </w:r>
      <w:r>
        <w:rPr>
          <w:rFonts w:hint="eastAsia" w:ascii="仿宋" w:hAnsi="仿宋" w:eastAsia="仿宋" w:cs="仿宋"/>
          <w:szCs w:val="21"/>
          <w:highlight w:val="none"/>
        </w:rPr>
        <w:t>不论采购结果如何，供应商均应自行承担所有与采购活动有关的全部费用。</w:t>
      </w:r>
    </w:p>
    <w:p w14:paraId="69F161AA">
      <w:pPr>
        <w:pageBreakBefore w:val="0"/>
        <w:kinsoku/>
        <w:wordWrap/>
        <w:topLinePunct w:val="0"/>
        <w:autoSpaceDE w:val="0"/>
        <w:autoSpaceDN w:val="0"/>
        <w:bidi w:val="0"/>
        <w:adjustRightInd w:val="0"/>
        <w:snapToGrid w:val="0"/>
        <w:spacing w:beforeAutospacing="0" w:afterAutospacing="0" w:line="360" w:lineRule="auto"/>
        <w:ind w:firstLine="210" w:firstLineChars="100"/>
        <w:jc w:val="left"/>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（六）联合体</w:t>
      </w:r>
      <w:r>
        <w:rPr>
          <w:rFonts w:hint="eastAsia" w:ascii="仿宋" w:hAnsi="仿宋" w:eastAsia="仿宋" w:cs="仿宋"/>
          <w:b/>
          <w:color w:val="000000"/>
          <w:sz w:val="21"/>
          <w:szCs w:val="21"/>
          <w:highlight w:val="none"/>
          <w:lang w:val="en-US" w:eastAsia="zh-CN"/>
        </w:rPr>
        <w:t>响应</w:t>
      </w:r>
      <w:r>
        <w:rPr>
          <w:rFonts w:hint="eastAsia" w:ascii="仿宋" w:hAnsi="仿宋" w:eastAsia="仿宋" w:cs="仿宋"/>
          <w:b/>
          <w:color w:val="000000"/>
          <w:sz w:val="21"/>
          <w:szCs w:val="21"/>
          <w:highlight w:val="none"/>
          <w:lang w:val="zh-CN"/>
        </w:rPr>
        <w:t>：</w:t>
      </w:r>
      <w:r>
        <w:rPr>
          <w:rFonts w:hint="eastAsia" w:ascii="仿宋" w:hAnsi="仿宋" w:eastAsia="仿宋" w:cs="仿宋"/>
          <w:color w:val="000000"/>
          <w:sz w:val="21"/>
          <w:szCs w:val="21"/>
          <w:highlight w:val="none"/>
        </w:rPr>
        <w:t>本项目不接受联合体投标。</w:t>
      </w:r>
    </w:p>
    <w:p w14:paraId="6107B14D">
      <w:pPr>
        <w:pageBreakBefore w:val="0"/>
        <w:kinsoku/>
        <w:wordWrap/>
        <w:topLinePunct w:val="0"/>
        <w:autoSpaceDE w:val="0"/>
        <w:autoSpaceDN w:val="0"/>
        <w:bidi w:val="0"/>
        <w:adjustRightInd w:val="0"/>
        <w:snapToGrid w:val="0"/>
        <w:spacing w:beforeAutospacing="0" w:afterAutospacing="0" w:line="360" w:lineRule="auto"/>
        <w:ind w:firstLine="210" w:firstLineChars="100"/>
        <w:jc w:val="left"/>
        <w:rPr>
          <w:rFonts w:hint="eastAsia" w:ascii="仿宋" w:hAnsi="仿宋" w:eastAsia="仿宋" w:cs="仿宋"/>
          <w:highlight w:val="none"/>
          <w:lang w:val="zh-CN"/>
        </w:rPr>
      </w:pPr>
      <w:r>
        <w:rPr>
          <w:rFonts w:hint="eastAsia" w:ascii="仿宋" w:hAnsi="仿宋" w:eastAsia="仿宋" w:cs="仿宋"/>
          <w:b/>
          <w:color w:val="000000"/>
          <w:sz w:val="21"/>
          <w:szCs w:val="21"/>
          <w:highlight w:val="none"/>
          <w:lang w:val="zh-CN"/>
        </w:rPr>
        <w:t>（七）转包与分包；</w:t>
      </w:r>
    </w:p>
    <w:p w14:paraId="230F7EBE">
      <w:pPr>
        <w:pageBreakBefore w:val="0"/>
        <w:kinsoku/>
        <w:wordWrap/>
        <w:topLinePunct w:val="0"/>
        <w:bidi w:val="0"/>
        <w:snapToGrid w:val="0"/>
        <w:spacing w:beforeAutospacing="0" w:afterAutospacing="0" w:line="360" w:lineRule="auto"/>
        <w:ind w:firstLine="525" w:firstLineChars="25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1.本项目不允许转包。</w:t>
      </w:r>
    </w:p>
    <w:p w14:paraId="380FF4FC">
      <w:pPr>
        <w:pageBreakBefore w:val="0"/>
        <w:kinsoku/>
        <w:wordWrap/>
        <w:topLinePunct w:val="0"/>
        <w:bidi w:val="0"/>
        <w:snapToGrid w:val="0"/>
        <w:spacing w:beforeAutospacing="0" w:afterAutospacing="0" w:line="360" w:lineRule="auto"/>
        <w:ind w:firstLine="525" w:firstLineChars="250"/>
        <w:rPr>
          <w:rFonts w:hint="eastAsia" w:ascii="仿宋" w:hAnsi="仿宋" w:eastAsia="仿宋" w:cs="仿宋"/>
          <w:sz w:val="21"/>
          <w:szCs w:val="21"/>
          <w:highlight w:val="none"/>
        </w:rPr>
      </w:pPr>
      <w:r>
        <w:rPr>
          <w:rFonts w:hint="eastAsia" w:ascii="仿宋" w:hAnsi="仿宋" w:eastAsia="仿宋" w:cs="仿宋"/>
          <w:kern w:val="0"/>
          <w:sz w:val="21"/>
          <w:szCs w:val="21"/>
          <w:highlight w:val="none"/>
        </w:rPr>
        <w:t>2.本项目</w:t>
      </w:r>
      <w:r>
        <w:rPr>
          <w:rFonts w:hint="eastAsia" w:ascii="仿宋" w:hAnsi="仿宋" w:eastAsia="仿宋" w:cs="仿宋"/>
          <w:kern w:val="0"/>
          <w:sz w:val="21"/>
          <w:szCs w:val="21"/>
          <w:highlight w:val="none"/>
          <w:lang w:eastAsia="zh-CN"/>
        </w:rPr>
        <w:t>未经采购单位书面同意不得擅自</w:t>
      </w:r>
      <w:r>
        <w:rPr>
          <w:rFonts w:hint="eastAsia" w:ascii="仿宋" w:hAnsi="仿宋" w:eastAsia="仿宋" w:cs="仿宋"/>
          <w:kern w:val="0"/>
          <w:sz w:val="21"/>
          <w:szCs w:val="21"/>
          <w:highlight w:val="none"/>
        </w:rPr>
        <w:t>分包。</w:t>
      </w:r>
    </w:p>
    <w:p w14:paraId="43AA676E">
      <w:pPr>
        <w:pStyle w:val="4"/>
        <w:pageBreakBefore w:val="0"/>
        <w:kinsoku/>
        <w:wordWrap/>
        <w:topLinePunct w:val="0"/>
        <w:bidi w:val="0"/>
        <w:snapToGrid w:val="0"/>
        <w:spacing w:before="0" w:beforeAutospacing="0" w:after="0" w:afterAutospacing="0" w:line="360" w:lineRule="auto"/>
        <w:jc w:val="center"/>
        <w:rPr>
          <w:rFonts w:hint="eastAsia" w:ascii="仿宋" w:hAnsi="仿宋" w:eastAsia="仿宋" w:cs="仿宋"/>
          <w:bCs w:val="0"/>
          <w:color w:val="000000"/>
          <w:sz w:val="21"/>
          <w:szCs w:val="21"/>
          <w:highlight w:val="none"/>
          <w:lang w:val="zh-CN"/>
        </w:rPr>
      </w:pPr>
    </w:p>
    <w:p w14:paraId="2FD2AE45">
      <w:pPr>
        <w:pStyle w:val="4"/>
        <w:pageBreakBefore w:val="0"/>
        <w:kinsoku/>
        <w:wordWrap/>
        <w:topLinePunct w:val="0"/>
        <w:bidi w:val="0"/>
        <w:snapToGrid w:val="0"/>
        <w:spacing w:before="0" w:beforeAutospacing="0" w:after="0" w:afterAutospacing="0" w:line="360" w:lineRule="auto"/>
        <w:jc w:val="center"/>
        <w:rPr>
          <w:rFonts w:hint="eastAsia" w:ascii="仿宋" w:hAnsi="仿宋" w:eastAsia="仿宋" w:cs="仿宋"/>
          <w:bCs w:val="0"/>
          <w:color w:val="000000"/>
          <w:sz w:val="28"/>
          <w:szCs w:val="28"/>
          <w:highlight w:val="none"/>
          <w:lang w:val="zh-CN"/>
        </w:rPr>
      </w:pPr>
      <w:bookmarkStart w:id="14" w:name="_Toc16357"/>
      <w:r>
        <w:rPr>
          <w:rFonts w:hint="eastAsia" w:ascii="仿宋" w:hAnsi="仿宋" w:eastAsia="仿宋" w:cs="仿宋"/>
          <w:bCs w:val="0"/>
          <w:color w:val="000000"/>
          <w:sz w:val="28"/>
          <w:szCs w:val="28"/>
          <w:highlight w:val="none"/>
          <w:lang w:val="zh-CN"/>
        </w:rPr>
        <w:t>二、竞争性磋商文件</w:t>
      </w:r>
      <w:bookmarkEnd w:id="14"/>
    </w:p>
    <w:p w14:paraId="1CF9F517">
      <w:pPr>
        <w:pageBreakBefore w:val="0"/>
        <w:kinsoku/>
        <w:wordWrap/>
        <w:topLinePunct w:val="0"/>
        <w:autoSpaceDE w:val="0"/>
        <w:autoSpaceDN w:val="0"/>
        <w:bidi w:val="0"/>
        <w:adjustRightInd w:val="0"/>
        <w:snapToGrid w:val="0"/>
        <w:spacing w:beforeAutospacing="0" w:afterAutospacing="0" w:line="360" w:lineRule="auto"/>
        <w:ind w:firstLine="210" w:firstLineChars="100"/>
        <w:jc w:val="left"/>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（一）磋商文件的构成。本磋商文件由以下部分组成：</w:t>
      </w:r>
    </w:p>
    <w:p w14:paraId="741B53DF">
      <w:pPr>
        <w:pageBreakBefore w:val="0"/>
        <w:kinsoku/>
        <w:wordWrap/>
        <w:topLinePunct w:val="0"/>
        <w:bidi w:val="0"/>
        <w:snapToGrid w:val="0"/>
        <w:spacing w:beforeAutospacing="0" w:afterAutospacing="0"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eastAsia="zh-CN"/>
        </w:rPr>
        <w:t>竞争性</w:t>
      </w:r>
      <w:r>
        <w:rPr>
          <w:rFonts w:hint="eastAsia" w:ascii="仿宋" w:hAnsi="仿宋" w:eastAsia="仿宋" w:cs="仿宋"/>
          <w:color w:val="000000"/>
          <w:sz w:val="21"/>
          <w:szCs w:val="21"/>
          <w:highlight w:val="none"/>
        </w:rPr>
        <w:t>磋商公告</w:t>
      </w:r>
    </w:p>
    <w:p w14:paraId="5D16B01A">
      <w:pPr>
        <w:pageBreakBefore w:val="0"/>
        <w:kinsoku/>
        <w:wordWrap/>
        <w:topLinePunct w:val="0"/>
        <w:bidi w:val="0"/>
        <w:snapToGrid w:val="0"/>
        <w:spacing w:beforeAutospacing="0" w:afterAutospacing="0"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2.供应商须知</w:t>
      </w:r>
    </w:p>
    <w:p w14:paraId="171780D2">
      <w:pPr>
        <w:pageBreakBefore w:val="0"/>
        <w:kinsoku/>
        <w:wordWrap/>
        <w:topLinePunct w:val="0"/>
        <w:bidi w:val="0"/>
        <w:snapToGrid w:val="0"/>
        <w:spacing w:beforeAutospacing="0" w:afterAutospacing="0"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rPr>
        <w:t>内容及</w:t>
      </w:r>
      <w:r>
        <w:rPr>
          <w:rFonts w:hint="eastAsia" w:ascii="仿宋" w:hAnsi="仿宋" w:eastAsia="仿宋" w:cs="仿宋"/>
          <w:color w:val="000000"/>
          <w:sz w:val="21"/>
          <w:szCs w:val="21"/>
          <w:highlight w:val="none"/>
          <w:lang w:val="en-US" w:eastAsia="zh-CN"/>
        </w:rPr>
        <w:t>技术</w:t>
      </w:r>
      <w:r>
        <w:rPr>
          <w:rFonts w:hint="eastAsia" w:ascii="仿宋" w:hAnsi="仿宋" w:eastAsia="仿宋" w:cs="仿宋"/>
          <w:color w:val="000000"/>
          <w:sz w:val="21"/>
          <w:szCs w:val="21"/>
          <w:highlight w:val="none"/>
        </w:rPr>
        <w:t>要求</w:t>
      </w:r>
    </w:p>
    <w:p w14:paraId="36AC879C">
      <w:pPr>
        <w:pageBreakBefore w:val="0"/>
        <w:kinsoku/>
        <w:wordWrap/>
        <w:topLinePunct w:val="0"/>
        <w:bidi w:val="0"/>
        <w:snapToGrid w:val="0"/>
        <w:spacing w:beforeAutospacing="0" w:afterAutospacing="0"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4.合同文本</w:t>
      </w:r>
    </w:p>
    <w:p w14:paraId="7A2E64D0">
      <w:pPr>
        <w:pageBreakBefore w:val="0"/>
        <w:kinsoku/>
        <w:wordWrap/>
        <w:topLinePunct w:val="0"/>
        <w:bidi w:val="0"/>
        <w:snapToGrid w:val="0"/>
        <w:spacing w:beforeAutospacing="0" w:afterAutospacing="0"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5.评审方法及评审标准</w:t>
      </w:r>
    </w:p>
    <w:p w14:paraId="72034683">
      <w:pPr>
        <w:pageBreakBefore w:val="0"/>
        <w:kinsoku/>
        <w:wordWrap/>
        <w:topLinePunct w:val="0"/>
        <w:bidi w:val="0"/>
        <w:snapToGrid w:val="0"/>
        <w:spacing w:beforeAutospacing="0" w:afterAutospacing="0"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6.响应文件格式</w:t>
      </w:r>
    </w:p>
    <w:p w14:paraId="249B8B4D">
      <w:pPr>
        <w:pageBreakBefore w:val="0"/>
        <w:kinsoku/>
        <w:wordWrap/>
        <w:topLinePunct w:val="0"/>
        <w:bidi w:val="0"/>
        <w:snapToGrid w:val="0"/>
        <w:spacing w:beforeAutospacing="0" w:afterAutospacing="0"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7.本项目</w:t>
      </w:r>
      <w:r>
        <w:rPr>
          <w:rFonts w:hint="eastAsia" w:ascii="仿宋" w:hAnsi="仿宋" w:eastAsia="仿宋" w:cs="仿宋"/>
          <w:sz w:val="21"/>
          <w:szCs w:val="21"/>
          <w:highlight w:val="none"/>
        </w:rPr>
        <w:t>磋商文件的澄清、答复、修改、补充的内容（如有）</w:t>
      </w:r>
    </w:p>
    <w:p w14:paraId="0CA923BE">
      <w:pPr>
        <w:pageBreakBefore w:val="0"/>
        <w:kinsoku/>
        <w:wordWrap/>
        <w:topLinePunct w:val="0"/>
        <w:autoSpaceDE w:val="0"/>
        <w:autoSpaceDN w:val="0"/>
        <w:bidi w:val="0"/>
        <w:adjustRightInd w:val="0"/>
        <w:snapToGrid w:val="0"/>
        <w:spacing w:beforeAutospacing="0" w:afterAutospacing="0" w:line="360" w:lineRule="auto"/>
        <w:ind w:firstLine="210" w:firstLineChars="100"/>
        <w:jc w:val="left"/>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（二）供应商的风险</w:t>
      </w:r>
    </w:p>
    <w:p w14:paraId="7F378D40">
      <w:pPr>
        <w:pStyle w:val="15"/>
        <w:pageBreakBefore w:val="0"/>
        <w:kinsoku/>
        <w:wordWrap/>
        <w:topLinePunct w:val="0"/>
        <w:bidi w:val="0"/>
        <w:snapToGrid w:val="0"/>
        <w:spacing w:beforeAutospacing="0" w:afterAutospacing="0"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供应商获取磋商文件后，应仔细检查磋商文件的所有内容，如有残缺等问题，应在获得磋商文件3日内向采购人提出，否则，由此引起的损失由供应商自己承担。供应商同时应认真审阅磋商文件中所有的事项、格式、条款和规范要求等，若供应商的响应文件没有按磋商文件要求提交全部资料，或响应文件没有对磋商文件做出实质性响应，并根据有关条款规定，其风险由供应商自行承担。</w:t>
      </w:r>
    </w:p>
    <w:p w14:paraId="268BA94D">
      <w:pPr>
        <w:pageBreakBefore w:val="0"/>
        <w:kinsoku/>
        <w:wordWrap/>
        <w:topLinePunct w:val="0"/>
        <w:autoSpaceDE w:val="0"/>
        <w:autoSpaceDN w:val="0"/>
        <w:bidi w:val="0"/>
        <w:adjustRightInd w:val="0"/>
        <w:snapToGrid w:val="0"/>
        <w:spacing w:beforeAutospacing="0" w:afterAutospacing="0" w:line="360" w:lineRule="auto"/>
        <w:ind w:firstLine="210" w:firstLineChars="100"/>
        <w:jc w:val="left"/>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zh-CN"/>
        </w:rPr>
        <w:t xml:space="preserve">（三）磋商文件的澄清与修改 </w:t>
      </w:r>
    </w:p>
    <w:p w14:paraId="2B1E3CC4">
      <w:pPr>
        <w:pStyle w:val="15"/>
        <w:pageBreakBefore w:val="0"/>
        <w:kinsoku/>
        <w:wordWrap/>
        <w:topLinePunct w:val="0"/>
        <w:bidi w:val="0"/>
        <w:snapToGrid w:val="0"/>
        <w:spacing w:beforeAutospacing="0" w:afterAutospacing="0"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1.采购人或者采购代理机构可以对已发出的磋商文件进行必要的澄清或者修改。澄清或者修改的内容以补充（更正）公告形式通知所有邀请</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。澄清或者修改的内容作为磋商文件的补充和组成部分，对所有供应商均有约束力。澄清或者修改的内容可能影响响应文件编制且发出时间距投标截止时间不足</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日的，将顺延</w:t>
      </w:r>
      <w:r>
        <w:rPr>
          <w:rFonts w:hint="eastAsia" w:ascii="仿宋" w:hAnsi="仿宋" w:eastAsia="仿宋" w:cs="仿宋"/>
          <w:sz w:val="21"/>
          <w:szCs w:val="21"/>
          <w:highlight w:val="none"/>
          <w:lang w:eastAsia="zh-CN"/>
        </w:rPr>
        <w:t>响应文件提交</w:t>
      </w:r>
      <w:r>
        <w:rPr>
          <w:rFonts w:hint="eastAsia" w:ascii="仿宋" w:hAnsi="仿宋" w:eastAsia="仿宋" w:cs="仿宋"/>
          <w:sz w:val="21"/>
          <w:szCs w:val="21"/>
          <w:highlight w:val="none"/>
        </w:rPr>
        <w:t>截止时间</w:t>
      </w:r>
      <w:r>
        <w:rPr>
          <w:rFonts w:hint="eastAsia" w:ascii="仿宋" w:hAnsi="仿宋" w:eastAsia="仿宋" w:cs="仿宋"/>
          <w:sz w:val="21"/>
          <w:szCs w:val="21"/>
          <w:highlight w:val="none"/>
          <w:lang w:eastAsia="zh-CN"/>
        </w:rPr>
        <w:t>。</w:t>
      </w:r>
    </w:p>
    <w:p w14:paraId="177FA1EC">
      <w:pPr>
        <w:pStyle w:val="15"/>
        <w:pageBreakBefore w:val="0"/>
        <w:kinsoku/>
        <w:wordWrap/>
        <w:topLinePunct w:val="0"/>
        <w:bidi w:val="0"/>
        <w:snapToGrid w:val="0"/>
        <w:spacing w:beforeAutospacing="0" w:afterAutospacing="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2.磋商文件澄清、答复、修改、补充的内容为磋商文件的组成部分</w:t>
      </w:r>
      <w:r>
        <w:rPr>
          <w:rFonts w:hint="eastAsia" w:ascii="仿宋" w:hAnsi="仿宋" w:eastAsia="仿宋" w:cs="仿宋"/>
          <w:sz w:val="21"/>
          <w:szCs w:val="21"/>
          <w:highlight w:val="none"/>
          <w:lang w:eastAsia="zh-CN"/>
        </w:rPr>
        <w:t>，一经在网站发布，视同已通知所有磋商文件的收受人，不再采用其他方式传达相关信息，若因未通及时了解到上述网站上发布的相关信息而导致的一切后果自行承担。</w:t>
      </w:r>
      <w:r>
        <w:rPr>
          <w:rFonts w:hint="eastAsia" w:ascii="仿宋" w:hAnsi="仿宋" w:eastAsia="仿宋" w:cs="仿宋"/>
          <w:sz w:val="21"/>
          <w:szCs w:val="21"/>
          <w:highlight w:val="none"/>
        </w:rPr>
        <w:t>当磋商文件与磋商文件的答复、澄清、修改、补充通知就同一内容的表述不一致时，以最后发出的书面文件为准。</w:t>
      </w:r>
    </w:p>
    <w:p w14:paraId="3EC45775">
      <w:pPr>
        <w:pStyle w:val="15"/>
        <w:pageBreakBefore w:val="0"/>
        <w:kinsoku/>
        <w:wordWrap/>
        <w:topLinePunct w:val="0"/>
        <w:bidi w:val="0"/>
        <w:snapToGrid w:val="0"/>
        <w:spacing w:beforeAutospacing="0" w:afterAutospacing="0" w:line="360" w:lineRule="auto"/>
        <w:ind w:firstLine="420" w:firstLineChars="200"/>
        <w:rPr>
          <w:rFonts w:hint="default" w:eastAsia="仿宋"/>
          <w:highlight w:val="none"/>
          <w:lang w:val="en-US" w:eastAsia="zh-CN"/>
        </w:rPr>
      </w:pPr>
      <w:r>
        <w:rPr>
          <w:rFonts w:hint="eastAsia" w:ascii="仿宋" w:hAnsi="仿宋" w:eastAsia="仿宋" w:cs="仿宋"/>
          <w:sz w:val="21"/>
          <w:szCs w:val="21"/>
          <w:highlight w:val="none"/>
          <w:lang w:val="en-US" w:eastAsia="zh-CN"/>
        </w:rPr>
        <w:t>3.如澄清公告有重新发布电子磋商文件的，供应商应下载最新发布的电子磋商文件制作响应文件。</w:t>
      </w:r>
    </w:p>
    <w:p w14:paraId="1A2F1D71">
      <w:pPr>
        <w:pStyle w:val="4"/>
        <w:pageBreakBefore w:val="0"/>
        <w:kinsoku/>
        <w:wordWrap/>
        <w:topLinePunct w:val="0"/>
        <w:bidi w:val="0"/>
        <w:snapToGrid w:val="0"/>
        <w:spacing w:before="0" w:beforeAutospacing="0" w:after="0" w:afterAutospacing="0" w:line="360" w:lineRule="auto"/>
        <w:jc w:val="center"/>
        <w:rPr>
          <w:rFonts w:hint="eastAsia" w:ascii="仿宋" w:hAnsi="仿宋" w:eastAsia="仿宋" w:cs="仿宋"/>
          <w:bCs w:val="0"/>
          <w:color w:val="000000"/>
          <w:sz w:val="28"/>
          <w:szCs w:val="28"/>
          <w:highlight w:val="none"/>
          <w:lang w:val="zh-CN"/>
        </w:rPr>
      </w:pPr>
      <w:bookmarkStart w:id="15" w:name="_Toc6432"/>
      <w:r>
        <w:rPr>
          <w:rFonts w:hint="eastAsia" w:ascii="仿宋" w:hAnsi="仿宋" w:eastAsia="仿宋" w:cs="仿宋"/>
          <w:bCs w:val="0"/>
          <w:color w:val="000000"/>
          <w:sz w:val="28"/>
          <w:szCs w:val="28"/>
          <w:highlight w:val="none"/>
          <w:lang w:val="zh-CN"/>
        </w:rPr>
        <w:t>三、响应文件</w:t>
      </w:r>
      <w:bookmarkEnd w:id="15"/>
    </w:p>
    <w:p w14:paraId="54D7D406">
      <w:pPr>
        <w:pageBreakBefore w:val="0"/>
        <w:kinsoku/>
        <w:wordWrap/>
        <w:topLinePunct w:val="0"/>
        <w:autoSpaceDE w:val="0"/>
        <w:autoSpaceDN w:val="0"/>
        <w:bidi w:val="0"/>
        <w:adjustRightInd w:val="0"/>
        <w:snapToGrid w:val="0"/>
        <w:spacing w:beforeAutospacing="0" w:afterAutospacing="0" w:line="360" w:lineRule="auto"/>
        <w:ind w:firstLine="210" w:firstLineChars="100"/>
        <w:jc w:val="left"/>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（一）响应文件的组成</w:t>
      </w:r>
    </w:p>
    <w:p w14:paraId="3FEAC309">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ascii="仿宋" w:hAnsi="仿宋" w:eastAsia="仿宋" w:cs="仿宋"/>
          <w:b/>
          <w:sz w:val="21"/>
          <w:szCs w:val="21"/>
          <w:highlight w:val="none"/>
          <w:u w:val="single"/>
          <w:lang w:eastAsia="zh-CN"/>
        </w:rPr>
      </w:pPr>
      <w:r>
        <w:rPr>
          <w:rFonts w:hint="eastAsia" w:ascii="仿宋" w:hAnsi="仿宋" w:eastAsia="仿宋" w:cs="仿宋"/>
          <w:sz w:val="21"/>
          <w:szCs w:val="21"/>
          <w:highlight w:val="none"/>
          <w:u w:val="single"/>
          <w:lang w:val="zh-CN"/>
        </w:rPr>
        <w:t>★</w:t>
      </w:r>
      <w:r>
        <w:rPr>
          <w:rFonts w:hint="eastAsia" w:ascii="仿宋" w:hAnsi="仿宋" w:eastAsia="仿宋" w:cs="仿宋"/>
          <w:b/>
          <w:sz w:val="21"/>
          <w:szCs w:val="21"/>
          <w:highlight w:val="none"/>
          <w:u w:val="single"/>
        </w:rPr>
        <w:t>响应文件</w:t>
      </w:r>
      <w:r>
        <w:rPr>
          <w:rFonts w:hint="eastAsia" w:ascii="仿宋" w:hAnsi="仿宋" w:eastAsia="仿宋" w:cs="仿宋"/>
          <w:b/>
          <w:sz w:val="21"/>
          <w:szCs w:val="21"/>
          <w:highlight w:val="none"/>
          <w:u w:val="single"/>
          <w:lang w:eastAsia="zh-CN"/>
        </w:rPr>
        <w:t>由</w:t>
      </w:r>
      <w:r>
        <w:rPr>
          <w:rFonts w:hint="eastAsia" w:ascii="仿宋" w:hAnsi="仿宋" w:eastAsia="仿宋" w:cs="仿宋"/>
          <w:b/>
          <w:bCs/>
          <w:sz w:val="21"/>
          <w:szCs w:val="21"/>
          <w:highlight w:val="none"/>
          <w:u w:val="single"/>
          <w:lang w:val="zh-CN"/>
        </w:rPr>
        <w:t>【资格文件】</w:t>
      </w:r>
      <w:r>
        <w:rPr>
          <w:rFonts w:hint="eastAsia" w:ascii="仿宋" w:hAnsi="仿宋" w:eastAsia="仿宋" w:cs="仿宋"/>
          <w:b/>
          <w:sz w:val="21"/>
          <w:szCs w:val="21"/>
          <w:highlight w:val="none"/>
          <w:u w:val="single"/>
          <w:lang w:val="zh-CN"/>
        </w:rPr>
        <w:t>、</w:t>
      </w:r>
      <w:r>
        <w:rPr>
          <w:rFonts w:hint="eastAsia" w:ascii="仿宋" w:hAnsi="仿宋" w:eastAsia="仿宋" w:cs="仿宋"/>
          <w:b/>
          <w:bCs/>
          <w:sz w:val="21"/>
          <w:szCs w:val="21"/>
          <w:highlight w:val="none"/>
          <w:u w:val="single"/>
          <w:lang w:val="zh-CN"/>
        </w:rPr>
        <w:t>【商务技术文件】、【报价文件】</w:t>
      </w:r>
      <w:r>
        <w:rPr>
          <w:rFonts w:hint="eastAsia" w:ascii="仿宋" w:hAnsi="仿宋" w:eastAsia="仿宋" w:cs="仿宋"/>
          <w:b/>
          <w:sz w:val="21"/>
          <w:szCs w:val="21"/>
          <w:highlight w:val="none"/>
          <w:u w:val="single"/>
        </w:rPr>
        <w:t>三</w:t>
      </w:r>
      <w:r>
        <w:rPr>
          <w:rFonts w:hint="eastAsia" w:ascii="仿宋" w:hAnsi="仿宋" w:eastAsia="仿宋" w:cs="仿宋"/>
          <w:b/>
          <w:sz w:val="21"/>
          <w:szCs w:val="21"/>
          <w:highlight w:val="none"/>
          <w:u w:val="single"/>
          <w:lang w:eastAsia="zh-CN"/>
        </w:rPr>
        <w:t>部分组成，其中“资格审查文件”“技术商务文件”部分不得包含与本次项目有关的报价，否则作无效标处理。电子投标文件中须加盖公章部分均采用CA签章。</w:t>
      </w:r>
    </w:p>
    <w:p w14:paraId="75C14C77">
      <w:pPr>
        <w:pStyle w:val="15"/>
        <w:pageBreakBefore w:val="0"/>
        <w:kinsoku/>
        <w:wordWrap/>
        <w:topLinePunct w:val="0"/>
        <w:bidi w:val="0"/>
        <w:snapToGrid w:val="0"/>
        <w:spacing w:beforeAutospacing="0" w:afterAutospacing="0" w:line="360" w:lineRule="auto"/>
        <w:ind w:firstLine="420" w:firstLineChars="200"/>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1.【资格文件】包括但不限于以下内容：</w:t>
      </w:r>
    </w:p>
    <w:p w14:paraId="445D51C6">
      <w:pPr>
        <w:pStyle w:val="15"/>
        <w:pageBreakBefore w:val="0"/>
        <w:kinsoku/>
        <w:wordWrap/>
        <w:topLinePunct w:val="0"/>
        <w:bidi w:val="0"/>
        <w:snapToGrid w:val="0"/>
        <w:spacing w:beforeAutospacing="0" w:afterAutospacing="0"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（1）有效的营业执照</w:t>
      </w:r>
      <w:r>
        <w:rPr>
          <w:rFonts w:hint="eastAsia" w:ascii="仿宋" w:hAnsi="仿宋" w:eastAsia="仿宋" w:cs="仿宋"/>
          <w:b/>
          <w:bCs/>
          <w:sz w:val="21"/>
          <w:szCs w:val="21"/>
          <w:highlight w:val="none"/>
          <w:lang w:val="zh-CN"/>
        </w:rPr>
        <w:t>原件扫描件</w:t>
      </w:r>
      <w:r>
        <w:rPr>
          <w:rFonts w:hint="eastAsia" w:ascii="仿宋" w:hAnsi="仿宋" w:eastAsia="仿宋" w:cs="仿宋"/>
          <w:sz w:val="21"/>
          <w:szCs w:val="21"/>
          <w:highlight w:val="none"/>
          <w:lang w:val="zh-CN"/>
        </w:rPr>
        <w:t>；</w:t>
      </w:r>
    </w:p>
    <w:p w14:paraId="6A3DC1AE">
      <w:pPr>
        <w:pStyle w:val="15"/>
        <w:pageBreakBefore w:val="0"/>
        <w:kinsoku/>
        <w:wordWrap/>
        <w:topLinePunct w:val="0"/>
        <w:bidi w:val="0"/>
        <w:snapToGrid w:val="0"/>
        <w:spacing w:beforeAutospacing="0" w:afterAutospacing="0"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）法定代表人（单位负责人）身份证明【格式见附件</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-1】（如供应商代表是法定代表人（单位负责人）的供应商提供）；或法定代表人（单位负责人）授权委托书</w:t>
      </w:r>
      <w:r>
        <w:rPr>
          <w:rFonts w:hint="eastAsia" w:ascii="仿宋" w:hAnsi="仿宋" w:eastAsia="仿宋" w:cs="仿宋"/>
          <w:sz w:val="21"/>
          <w:szCs w:val="21"/>
          <w:highlight w:val="none"/>
        </w:rPr>
        <w:t>【格式见附件</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zh-CN"/>
        </w:rPr>
        <w:t>（如供应商代表是授权代理人的供应商提供，</w:t>
      </w:r>
      <w:r>
        <w:rPr>
          <w:rFonts w:hint="eastAsia" w:ascii="仿宋" w:hAnsi="仿宋" w:eastAsia="仿宋" w:cs="仿宋"/>
          <w:sz w:val="21"/>
          <w:szCs w:val="21"/>
          <w:highlight w:val="none"/>
        </w:rPr>
        <w:t>法定代表人</w:t>
      </w:r>
      <w:r>
        <w:rPr>
          <w:rFonts w:hint="eastAsia" w:ascii="仿宋" w:hAnsi="仿宋" w:eastAsia="仿宋" w:cs="仿宋"/>
          <w:sz w:val="21"/>
          <w:szCs w:val="21"/>
          <w:highlight w:val="none"/>
          <w:lang w:val="zh-CN"/>
        </w:rPr>
        <w:t>（单位负责人）</w:t>
      </w:r>
      <w:r>
        <w:rPr>
          <w:rFonts w:hint="eastAsia" w:ascii="仿宋" w:hAnsi="仿宋" w:eastAsia="仿宋" w:cs="仿宋"/>
          <w:sz w:val="21"/>
          <w:szCs w:val="21"/>
          <w:highlight w:val="none"/>
        </w:rPr>
        <w:t>和授权代表签字或盖章</w:t>
      </w:r>
      <w:r>
        <w:rPr>
          <w:rFonts w:hint="eastAsia" w:ascii="仿宋" w:hAnsi="仿宋" w:eastAsia="仿宋" w:cs="仿宋"/>
          <w:sz w:val="21"/>
          <w:szCs w:val="21"/>
          <w:highlight w:val="none"/>
          <w:lang w:val="zh-CN"/>
        </w:rPr>
        <w:t>可书面签字或盖章后扫描至电子加密投标文件中上传）；</w:t>
      </w:r>
    </w:p>
    <w:p w14:paraId="12D84F9D">
      <w:pPr>
        <w:pStyle w:val="15"/>
        <w:pageBreakBefore w:val="0"/>
        <w:kinsoku/>
        <w:wordWrap/>
        <w:topLinePunct w:val="0"/>
        <w:bidi w:val="0"/>
        <w:snapToGrid w:val="0"/>
        <w:spacing w:beforeAutospacing="0" w:afterAutospacing="0"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符合参与政府采购活动资格条件的承诺函</w:t>
      </w:r>
      <w:r>
        <w:rPr>
          <w:rFonts w:hint="eastAsia" w:ascii="仿宋" w:hAnsi="仿宋" w:eastAsia="仿宋" w:cs="仿宋"/>
          <w:sz w:val="21"/>
          <w:szCs w:val="21"/>
          <w:highlight w:val="none"/>
          <w:lang w:val="zh-CN"/>
        </w:rPr>
        <w:t>【格式见附件</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w:t>
      </w:r>
    </w:p>
    <w:p w14:paraId="1AA87053">
      <w:pPr>
        <w:pageBreakBefore w:val="0"/>
        <w:kinsoku/>
        <w:wordWrap/>
        <w:topLinePunct w:val="0"/>
        <w:autoSpaceDE w:val="0"/>
        <w:autoSpaceDN w:val="0"/>
        <w:bidi w:val="0"/>
        <w:adjustRightInd w:val="0"/>
        <w:snapToGrid w:val="0"/>
        <w:spacing w:beforeAutospacing="0" w:afterAutospacing="0" w:line="360" w:lineRule="auto"/>
        <w:ind w:firstLine="420" w:firstLineChars="200"/>
        <w:rPr>
          <w:rStyle w:val="149"/>
          <w:rFonts w:hint="eastAsia" w:ascii="仿宋" w:hAnsi="仿宋" w:eastAsia="仿宋" w:cs="仿宋"/>
          <w:b/>
          <w:bCs/>
          <w:sz w:val="21"/>
          <w:szCs w:val="21"/>
          <w:highlight w:val="none"/>
          <w:u w:val="single"/>
          <w:lang w:val="zh-CN"/>
        </w:rPr>
      </w:pPr>
      <w:r>
        <w:rPr>
          <w:rFonts w:hint="eastAsia" w:ascii="仿宋" w:hAnsi="仿宋" w:eastAsia="仿宋" w:cs="仿宋"/>
          <w:b/>
          <w:bCs/>
          <w:sz w:val="21"/>
          <w:szCs w:val="21"/>
          <w:highlight w:val="none"/>
          <w:u w:val="single"/>
          <w:lang w:val="zh-CN"/>
        </w:rPr>
        <w:t>★注：以上内容构成完整的资格文件，</w:t>
      </w:r>
      <w:r>
        <w:rPr>
          <w:rStyle w:val="149"/>
          <w:rFonts w:hint="eastAsia" w:ascii="仿宋" w:hAnsi="仿宋" w:eastAsia="仿宋" w:cs="仿宋"/>
          <w:b/>
          <w:bCs/>
          <w:sz w:val="21"/>
          <w:szCs w:val="21"/>
          <w:highlight w:val="none"/>
          <w:u w:val="single"/>
          <w:lang w:val="zh-CN"/>
        </w:rPr>
        <w:t>供应商应当完整提供所有有效证明材料，任何相关证明材料的缺失或无效将导致资格审查结果不合格。</w:t>
      </w:r>
    </w:p>
    <w:p w14:paraId="5CFF2235">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b/>
          <w:sz w:val="21"/>
          <w:szCs w:val="21"/>
          <w:highlight w:val="none"/>
          <w:lang w:val="zh-CN"/>
        </w:rPr>
        <w:t>2.【商务技术文件】：</w:t>
      </w:r>
      <w:r>
        <w:rPr>
          <w:rFonts w:hint="eastAsia" w:ascii="仿宋" w:hAnsi="仿宋" w:eastAsia="仿宋" w:cs="仿宋"/>
          <w:sz w:val="21"/>
          <w:szCs w:val="21"/>
          <w:highlight w:val="none"/>
          <w:lang w:val="zh-CN"/>
        </w:rPr>
        <w:t>（</w:t>
      </w:r>
      <w:r>
        <w:rPr>
          <w:rFonts w:hint="eastAsia" w:ascii="仿宋" w:hAnsi="仿宋" w:eastAsia="仿宋" w:cs="仿宋"/>
          <w:bCs/>
          <w:sz w:val="21"/>
          <w:szCs w:val="21"/>
          <w:highlight w:val="none"/>
          <w:lang w:val="zh-CN"/>
        </w:rPr>
        <w:t>商务技术文件包括但不限于以下内容，</w:t>
      </w:r>
      <w:r>
        <w:rPr>
          <w:rFonts w:hint="eastAsia" w:ascii="仿宋" w:hAnsi="仿宋" w:eastAsia="仿宋" w:cs="仿宋"/>
          <w:sz w:val="21"/>
          <w:szCs w:val="21"/>
          <w:highlight w:val="none"/>
          <w:lang w:val="zh-CN"/>
        </w:rPr>
        <w:t>供应商应编制目录）。</w:t>
      </w:r>
    </w:p>
    <w:p w14:paraId="46321B85">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zh-CN"/>
        </w:rPr>
        <w:t>（1）</w:t>
      </w:r>
      <w:r>
        <w:rPr>
          <w:rFonts w:hint="eastAsia" w:ascii="仿宋" w:hAnsi="仿宋" w:eastAsia="仿宋" w:cs="仿宋"/>
          <w:b w:val="0"/>
          <w:bCs/>
          <w:sz w:val="21"/>
          <w:szCs w:val="21"/>
          <w:highlight w:val="none"/>
          <w:lang w:val="zh-CN"/>
        </w:rPr>
        <w:t>评分因素索引表</w:t>
      </w:r>
      <w:r>
        <w:rPr>
          <w:rFonts w:hint="eastAsia" w:ascii="仿宋" w:hAnsi="仿宋" w:eastAsia="仿宋" w:cs="仿宋"/>
          <w:sz w:val="21"/>
          <w:szCs w:val="21"/>
          <w:highlight w:val="none"/>
        </w:rPr>
        <w:t>【格式见</w:t>
      </w:r>
      <w:r>
        <w:rPr>
          <w:rFonts w:hint="eastAsia" w:ascii="仿宋" w:hAnsi="仿宋" w:eastAsia="仿宋" w:cs="仿宋"/>
          <w:color w:val="auto"/>
          <w:sz w:val="21"/>
          <w:szCs w:val="21"/>
          <w:highlight w:val="none"/>
          <w:u w:val="none"/>
        </w:rPr>
        <w:t>附件</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p>
    <w:p w14:paraId="0BB16B5C">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供应商声明书【格式见</w:t>
      </w:r>
      <w:r>
        <w:rPr>
          <w:rFonts w:hint="eastAsia" w:ascii="仿宋" w:hAnsi="仿宋" w:eastAsia="仿宋" w:cs="仿宋"/>
          <w:color w:val="auto"/>
          <w:sz w:val="21"/>
          <w:szCs w:val="21"/>
          <w:highlight w:val="none"/>
          <w:u w:val="none"/>
        </w:rPr>
        <w:t>附</w:t>
      </w:r>
      <w:bookmarkStart w:id="16" w:name="_Hlt518573485"/>
      <w:r>
        <w:rPr>
          <w:rFonts w:hint="eastAsia" w:ascii="仿宋" w:hAnsi="仿宋" w:eastAsia="仿宋" w:cs="仿宋"/>
          <w:color w:val="auto"/>
          <w:sz w:val="21"/>
          <w:szCs w:val="21"/>
          <w:highlight w:val="none"/>
          <w:u w:val="none"/>
        </w:rPr>
        <w:t>件</w:t>
      </w:r>
      <w:bookmarkEnd w:id="16"/>
      <w:r>
        <w:rPr>
          <w:rFonts w:hint="eastAsia" w:ascii="仿宋" w:hAnsi="仿宋" w:eastAsia="仿宋" w:cs="仿宋"/>
          <w:sz w:val="21"/>
          <w:szCs w:val="21"/>
          <w:highlight w:val="none"/>
        </w:rPr>
        <w:t>】</w:t>
      </w:r>
      <w:r>
        <w:rPr>
          <w:rFonts w:hint="eastAsia" w:ascii="仿宋" w:hAnsi="仿宋" w:eastAsia="仿宋" w:cs="仿宋"/>
          <w:color w:val="000000"/>
          <w:sz w:val="21"/>
          <w:szCs w:val="21"/>
          <w:highlight w:val="none"/>
        </w:rPr>
        <w:t>；</w:t>
      </w:r>
    </w:p>
    <w:p w14:paraId="6F548609">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val="zh-CN"/>
        </w:rPr>
        <w:t>）供应商基本情况表</w:t>
      </w:r>
      <w:r>
        <w:rPr>
          <w:rFonts w:hint="eastAsia" w:ascii="仿宋" w:hAnsi="仿宋" w:eastAsia="仿宋" w:cs="仿宋"/>
          <w:sz w:val="21"/>
          <w:szCs w:val="21"/>
          <w:highlight w:val="none"/>
        </w:rPr>
        <w:t>【格式见</w:t>
      </w:r>
      <w:r>
        <w:rPr>
          <w:rFonts w:hint="eastAsia" w:ascii="仿宋" w:hAnsi="仿宋" w:eastAsia="仿宋" w:cs="仿宋"/>
          <w:color w:val="auto"/>
          <w:sz w:val="21"/>
          <w:szCs w:val="21"/>
          <w:highlight w:val="none"/>
          <w:u w:val="none"/>
        </w:rPr>
        <w:t>附件</w:t>
      </w:r>
      <w:r>
        <w:rPr>
          <w:rFonts w:hint="eastAsia" w:ascii="仿宋" w:hAnsi="仿宋" w:eastAsia="仿宋" w:cs="仿宋"/>
          <w:sz w:val="21"/>
          <w:szCs w:val="21"/>
          <w:highlight w:val="none"/>
        </w:rPr>
        <w:t>】；</w:t>
      </w:r>
    </w:p>
    <w:p w14:paraId="66CCBC86">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zh-CN"/>
        </w:rPr>
        <w:t>）项目负责人简历表</w:t>
      </w:r>
      <w:r>
        <w:rPr>
          <w:rFonts w:hint="eastAsia" w:ascii="仿宋" w:hAnsi="仿宋" w:eastAsia="仿宋" w:cs="仿宋"/>
          <w:sz w:val="21"/>
          <w:szCs w:val="21"/>
          <w:highlight w:val="none"/>
        </w:rPr>
        <w:t>【格式见</w:t>
      </w:r>
      <w:r>
        <w:rPr>
          <w:rFonts w:hint="eastAsia" w:ascii="仿宋" w:hAnsi="仿宋" w:eastAsia="仿宋" w:cs="仿宋"/>
          <w:color w:val="auto"/>
          <w:sz w:val="21"/>
          <w:szCs w:val="21"/>
          <w:highlight w:val="none"/>
          <w:u w:val="none"/>
        </w:rPr>
        <w:t>附件</w:t>
      </w:r>
      <w:r>
        <w:rPr>
          <w:rFonts w:hint="eastAsia" w:ascii="仿宋" w:hAnsi="仿宋" w:eastAsia="仿宋" w:cs="仿宋"/>
          <w:sz w:val="21"/>
          <w:szCs w:val="21"/>
          <w:highlight w:val="none"/>
        </w:rPr>
        <w:t>】；</w:t>
      </w:r>
    </w:p>
    <w:p w14:paraId="18F69738">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val="zh-CN"/>
        </w:rPr>
        <w:t>）</w:t>
      </w:r>
      <w:r>
        <w:rPr>
          <w:rFonts w:hint="eastAsia" w:ascii="仿宋" w:hAnsi="仿宋" w:eastAsia="仿宋" w:cs="仿宋"/>
          <w:szCs w:val="21"/>
          <w:highlight w:val="none"/>
          <w:lang w:val="zh-CN"/>
        </w:rPr>
        <w:t>人员配备表【格式见附件】；</w:t>
      </w:r>
    </w:p>
    <w:p w14:paraId="67E46AC0">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ascii="仿宋" w:hAnsi="仿宋" w:eastAsia="仿宋" w:cs="仿宋"/>
          <w:szCs w:val="21"/>
          <w:highlight w:val="none"/>
          <w:lang w:val="zh-CN"/>
        </w:rPr>
      </w:pPr>
      <w:r>
        <w:rPr>
          <w:rFonts w:hint="eastAsia" w:ascii="宋体" w:hAnsi="宋体" w:eastAsia="宋体" w:cs="宋体"/>
          <w:sz w:val="21"/>
          <w:szCs w:val="21"/>
          <w:highlight w:val="none"/>
          <w:lang w:val="zh-CN"/>
        </w:rPr>
        <w:t>▲</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lang w:val="zh-CN"/>
        </w:rPr>
        <w:t>）采购内容偏离表</w:t>
      </w:r>
      <w:r>
        <w:rPr>
          <w:rFonts w:hint="eastAsia" w:ascii="仿宋" w:hAnsi="仿宋" w:eastAsia="仿宋" w:cs="仿宋"/>
          <w:szCs w:val="21"/>
          <w:highlight w:val="none"/>
          <w:lang w:val="zh-CN"/>
        </w:rPr>
        <w:t>【格式见附件】；</w:t>
      </w:r>
    </w:p>
    <w:p w14:paraId="7DE9B09F">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lang w:val="zh-CN"/>
        </w:rPr>
        <w:t>）根据技术资信评审标准，供应商认为需要提供的其他文件或说明。</w:t>
      </w:r>
    </w:p>
    <w:p w14:paraId="4826C685">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highlight w:val="none"/>
        </w:rPr>
      </w:pPr>
      <w:r>
        <w:rPr>
          <w:rFonts w:hint="eastAsia" w:ascii="仿宋" w:hAnsi="仿宋" w:eastAsia="仿宋" w:cs="仿宋"/>
          <w:b/>
          <w:bCs/>
          <w:szCs w:val="21"/>
          <w:highlight w:val="none"/>
          <w:u w:val="single"/>
          <w:lang w:val="zh-CN"/>
        </w:rPr>
        <w:t>★注：以上内容构成完整的商务技术文件，</w:t>
      </w:r>
      <w:r>
        <w:rPr>
          <w:rStyle w:val="149"/>
          <w:rFonts w:hint="eastAsia" w:ascii="仿宋" w:hAnsi="仿宋" w:eastAsia="仿宋" w:cs="仿宋"/>
          <w:b/>
          <w:bCs/>
          <w:szCs w:val="21"/>
          <w:highlight w:val="none"/>
          <w:u w:val="single"/>
          <w:lang w:val="zh-CN"/>
        </w:rPr>
        <w:t>供应商应当完整提供所有有效证明材料，任何相关证明材料的缺失或无效将导致技术、资信方面的不利评定。以上内容中要求提供原件扫描件的，供应商必须采用相关材料的原件扫描件（因采用复印件再扫描造成资信技术评分项不得分的，责任自负）。</w:t>
      </w:r>
    </w:p>
    <w:p w14:paraId="3AD45F99">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b/>
          <w:bCs/>
          <w:sz w:val="21"/>
          <w:szCs w:val="21"/>
          <w:highlight w:val="none"/>
        </w:rPr>
        <w:t>3</w:t>
      </w:r>
      <w:r>
        <w:rPr>
          <w:rFonts w:hint="eastAsia" w:ascii="仿宋" w:hAnsi="仿宋" w:eastAsia="仿宋" w:cs="仿宋"/>
          <w:b/>
          <w:bCs/>
          <w:sz w:val="21"/>
          <w:szCs w:val="21"/>
          <w:highlight w:val="none"/>
          <w:lang w:val="zh-CN"/>
        </w:rPr>
        <w:t>.【报价文件】</w:t>
      </w:r>
      <w:r>
        <w:rPr>
          <w:rFonts w:hint="eastAsia" w:ascii="仿宋" w:hAnsi="仿宋" w:eastAsia="仿宋" w:cs="仿宋"/>
          <w:sz w:val="21"/>
          <w:szCs w:val="21"/>
          <w:highlight w:val="none"/>
          <w:lang w:val="zh-CN"/>
        </w:rPr>
        <w:t>：（</w:t>
      </w:r>
      <w:r>
        <w:rPr>
          <w:rFonts w:hint="eastAsia" w:ascii="仿宋" w:hAnsi="仿宋" w:eastAsia="仿宋" w:cs="仿宋"/>
          <w:bCs/>
          <w:sz w:val="21"/>
          <w:szCs w:val="21"/>
          <w:highlight w:val="none"/>
          <w:lang w:val="zh-CN"/>
        </w:rPr>
        <w:t>报价文件包含以下内容，</w:t>
      </w:r>
      <w:r>
        <w:rPr>
          <w:rFonts w:hint="eastAsia" w:ascii="仿宋" w:hAnsi="仿宋" w:eastAsia="仿宋" w:cs="仿宋"/>
          <w:sz w:val="21"/>
          <w:szCs w:val="21"/>
          <w:highlight w:val="none"/>
          <w:lang w:val="zh-CN"/>
        </w:rPr>
        <w:t>供应商应按下列顺序自编目录）</w:t>
      </w:r>
    </w:p>
    <w:p w14:paraId="05E7D3DC">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（1）开标一览表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初次报价</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【格式见</w:t>
      </w:r>
      <w:r>
        <w:rPr>
          <w:rFonts w:hint="eastAsia" w:ascii="仿宋" w:hAnsi="仿宋" w:eastAsia="仿宋" w:cs="仿宋"/>
          <w:color w:val="auto"/>
          <w:sz w:val="21"/>
          <w:szCs w:val="21"/>
          <w:highlight w:val="none"/>
          <w:u w:val="none"/>
        </w:rPr>
        <w:t>附件</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p>
    <w:p w14:paraId="74FF04D3">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（2）报价明细表【格式见</w:t>
      </w:r>
      <w:r>
        <w:rPr>
          <w:rFonts w:hint="eastAsia" w:ascii="仿宋" w:hAnsi="仿宋" w:eastAsia="仿宋" w:cs="仿宋"/>
          <w:color w:val="auto"/>
          <w:sz w:val="21"/>
          <w:szCs w:val="21"/>
          <w:highlight w:val="none"/>
          <w:u w:val="none"/>
        </w:rPr>
        <w:t>附件</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p>
    <w:p w14:paraId="0C0ED7FA">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ascii="仿宋" w:hAnsi="仿宋" w:eastAsia="仿宋" w:cs="仿宋"/>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zh-CN"/>
        </w:rPr>
        <w:t>最</w:t>
      </w:r>
      <w:r>
        <w:rPr>
          <w:rFonts w:hint="eastAsia" w:ascii="仿宋" w:hAnsi="仿宋" w:eastAsia="仿宋" w:cs="仿宋"/>
          <w:sz w:val="21"/>
          <w:szCs w:val="21"/>
          <w:highlight w:val="none"/>
          <w:lang w:val="en-US" w:eastAsia="zh-CN"/>
        </w:rPr>
        <w:t>终</w:t>
      </w:r>
      <w:r>
        <w:rPr>
          <w:rFonts w:hint="eastAsia" w:ascii="仿宋" w:hAnsi="仿宋" w:eastAsia="仿宋" w:cs="仿宋"/>
          <w:sz w:val="21"/>
          <w:szCs w:val="21"/>
          <w:highlight w:val="none"/>
          <w:lang w:val="zh-CN"/>
        </w:rPr>
        <w:t>报价（将在阳光交易平台上开启二</w:t>
      </w:r>
      <w:r>
        <w:rPr>
          <w:rFonts w:hint="eastAsia" w:ascii="仿宋" w:hAnsi="仿宋" w:eastAsia="仿宋" w:cs="仿宋"/>
          <w:sz w:val="21"/>
          <w:szCs w:val="21"/>
          <w:highlight w:val="none"/>
          <w:lang w:val="zh-CN" w:eastAsia="zh-CN"/>
        </w:rPr>
        <w:t>次</w:t>
      </w:r>
      <w:r>
        <w:rPr>
          <w:rFonts w:hint="eastAsia" w:ascii="仿宋" w:hAnsi="仿宋" w:eastAsia="仿宋" w:cs="仿宋"/>
          <w:sz w:val="21"/>
          <w:szCs w:val="21"/>
          <w:highlight w:val="none"/>
          <w:lang w:val="zh-CN"/>
        </w:rPr>
        <w:t>报价，供应商需在平台上完成二次报价及相应签章）</w:t>
      </w:r>
      <w:r>
        <w:rPr>
          <w:rFonts w:hint="eastAsia" w:ascii="仿宋" w:hAnsi="仿宋" w:eastAsia="仿宋" w:cs="仿宋"/>
          <w:szCs w:val="21"/>
          <w:highlight w:val="none"/>
        </w:rPr>
        <w:t>；</w:t>
      </w:r>
    </w:p>
    <w:p w14:paraId="6F7A8C1A">
      <w:pPr>
        <w:pageBreakBefore w:val="0"/>
        <w:kinsoku/>
        <w:wordWrap/>
        <w:topLinePunct w:val="0"/>
        <w:autoSpaceDE w:val="0"/>
        <w:autoSpaceDN w:val="0"/>
        <w:bidi w:val="0"/>
        <w:adjustRightInd w:val="0"/>
        <w:snapToGrid w:val="0"/>
        <w:spacing w:beforeAutospacing="0" w:afterAutospacing="0" w:line="360" w:lineRule="auto"/>
        <w:ind w:firstLine="420" w:firstLineChars="200"/>
        <w:rPr>
          <w:rFonts w:hint="eastAsia" w:eastAsia="仿宋"/>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eastAsia="zh-CN"/>
        </w:rPr>
        <w:t>供应商认为需要提供的其他文件或说明。</w:t>
      </w:r>
    </w:p>
    <w:p w14:paraId="5D79538E">
      <w:pPr>
        <w:pageBreakBefore w:val="0"/>
        <w:kinsoku/>
        <w:wordWrap/>
        <w:topLinePunct w:val="0"/>
        <w:autoSpaceDE w:val="0"/>
        <w:autoSpaceDN w:val="0"/>
        <w:bidi w:val="0"/>
        <w:adjustRightInd w:val="0"/>
        <w:snapToGrid w:val="0"/>
        <w:spacing w:beforeAutospacing="0" w:afterAutospacing="0" w:line="360" w:lineRule="auto"/>
        <w:ind w:firstLine="210" w:firstLineChars="100"/>
        <w:jc w:val="left"/>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(二)响应文件的编制</w:t>
      </w:r>
    </w:p>
    <w:p w14:paraId="35278ABF">
      <w:pPr>
        <w:pStyle w:val="15"/>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供应商编制的响应文件应包括第（一）款“响应文件的组成”规定的内容，采购文件已提供标准格式的，应当采用采购文件所提供的响应文件全部格式（可以按同样格式扩展）；采购文件未提供标准格式的，由供应商自行编写。【采购文件提供的标准格式见第六章“响应文件格式”】</w:t>
      </w:r>
    </w:p>
    <w:p w14:paraId="357FE0BE">
      <w:pPr>
        <w:pStyle w:val="15"/>
        <w:wordWrap w:val="0"/>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rPr>
        <w:t>2</w:t>
      </w:r>
      <w:r>
        <w:rPr>
          <w:rFonts w:hint="eastAsia" w:ascii="仿宋" w:hAnsi="仿宋" w:eastAsia="仿宋" w:cs="仿宋"/>
          <w:color w:val="000000"/>
          <w:sz w:val="21"/>
          <w:szCs w:val="21"/>
          <w:highlight w:val="none"/>
        </w:rPr>
        <w:t>.供应商应在认真阅读采购文件所有内容的基础上，按照采购文件的要求编制完整的响应文件。“电子加密响应文件”按政采云平台供应商项目采购-电子招投标操作指南及本采购文件要求制作、关联定位、加密。</w:t>
      </w:r>
    </w:p>
    <w:p w14:paraId="41FD0249">
      <w:pPr>
        <w:pStyle w:val="15"/>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rPr>
        <w:t>3.</w:t>
      </w:r>
      <w:r>
        <w:rPr>
          <w:rFonts w:hint="eastAsia" w:ascii="仿宋" w:hAnsi="仿宋" w:eastAsia="仿宋" w:cs="仿宋"/>
          <w:color w:val="000000"/>
          <w:sz w:val="21"/>
          <w:szCs w:val="21"/>
          <w:highlight w:val="none"/>
        </w:rPr>
        <w:t>供应商必须保证响应文件所提供的全部资料真实可靠，并接受对其中任何资料进一步审查的要求。</w:t>
      </w:r>
    </w:p>
    <w:p w14:paraId="50FFCF2B">
      <w:pPr>
        <w:pageBreakBefore w:val="0"/>
        <w:kinsoku/>
        <w:wordWrap/>
        <w:topLinePunct w:val="0"/>
        <w:autoSpaceDE w:val="0"/>
        <w:autoSpaceDN w:val="0"/>
        <w:bidi w:val="0"/>
        <w:adjustRightInd w:val="0"/>
        <w:snapToGrid w:val="0"/>
        <w:spacing w:beforeAutospacing="0" w:afterAutospacing="0" w:line="360" w:lineRule="auto"/>
        <w:ind w:firstLine="210" w:firstLineChars="100"/>
        <w:jc w:val="left"/>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（三）磋商报价</w:t>
      </w:r>
    </w:p>
    <w:p w14:paraId="6F666470">
      <w:pPr>
        <w:pStyle w:val="15"/>
        <w:pageBreakBefore w:val="0"/>
        <w:kinsoku/>
        <w:wordWrap/>
        <w:topLinePunct w:val="0"/>
        <w:bidi w:val="0"/>
        <w:snapToGrid w:val="0"/>
        <w:spacing w:beforeAutospacing="0" w:afterAutospacing="0" w:line="360" w:lineRule="auto"/>
        <w:ind w:firstLine="420" w:firstLineChars="200"/>
        <w:rPr>
          <w:rFonts w:hint="eastAsia" w:ascii="仿宋" w:hAnsi="仿宋" w:eastAsia="仿宋" w:cs="仿宋"/>
          <w:b/>
          <w:bCs/>
          <w:color w:val="000000"/>
          <w:sz w:val="21"/>
          <w:szCs w:val="21"/>
          <w:highlight w:val="none"/>
        </w:rPr>
      </w:pPr>
      <w:r>
        <w:rPr>
          <w:rFonts w:hint="eastAsia" w:ascii="仿宋" w:hAnsi="仿宋" w:eastAsia="仿宋" w:cs="仿宋"/>
          <w:b/>
          <w:bCs/>
          <w:sz w:val="21"/>
          <w:szCs w:val="21"/>
          <w:highlight w:val="none"/>
        </w:rPr>
        <w:t>▲</w:t>
      </w:r>
      <w:r>
        <w:rPr>
          <w:rFonts w:hint="eastAsia" w:ascii="仿宋" w:hAnsi="仿宋" w:eastAsia="仿宋" w:cs="仿宋"/>
          <w:b/>
          <w:bCs/>
          <w:color w:val="000000"/>
          <w:sz w:val="21"/>
          <w:szCs w:val="21"/>
          <w:highlight w:val="none"/>
        </w:rPr>
        <w:t>1.本项目招标代理服务费用最高限价</w:t>
      </w:r>
      <w:r>
        <w:rPr>
          <w:rFonts w:hint="eastAsia" w:ascii="仿宋" w:hAnsi="仿宋" w:eastAsia="仿宋" w:cs="仿宋"/>
          <w:b/>
          <w:bCs/>
          <w:color w:val="000000"/>
          <w:sz w:val="21"/>
          <w:szCs w:val="21"/>
          <w:highlight w:val="none"/>
          <w:lang w:val="en-US" w:eastAsia="zh-CN"/>
        </w:rPr>
        <w:t>54.575万元（招标代理服务费用最高限价18.33万元、施工阶段全过程工程造价控制费用最高限价36.245万元）</w:t>
      </w:r>
      <w:r>
        <w:rPr>
          <w:rFonts w:hint="eastAsia" w:ascii="仿宋" w:hAnsi="仿宋" w:eastAsia="仿宋" w:cs="仿宋"/>
          <w:b/>
          <w:bCs/>
          <w:color w:val="000000"/>
          <w:sz w:val="21"/>
          <w:szCs w:val="21"/>
          <w:highlight w:val="none"/>
        </w:rPr>
        <w:t>。所有轮次磋商报价（含初次报价和最</w:t>
      </w:r>
      <w:r>
        <w:rPr>
          <w:rFonts w:hint="eastAsia" w:ascii="仿宋" w:hAnsi="仿宋" w:eastAsia="仿宋" w:cs="仿宋"/>
          <w:b/>
          <w:bCs/>
          <w:color w:val="000000"/>
          <w:sz w:val="21"/>
          <w:szCs w:val="21"/>
          <w:highlight w:val="none"/>
          <w:lang w:val="en-US" w:eastAsia="zh-CN"/>
        </w:rPr>
        <w:t>终</w:t>
      </w:r>
      <w:r>
        <w:rPr>
          <w:rFonts w:hint="eastAsia" w:ascii="仿宋" w:hAnsi="仿宋" w:eastAsia="仿宋" w:cs="仿宋"/>
          <w:b/>
          <w:bCs/>
          <w:color w:val="000000"/>
          <w:sz w:val="21"/>
          <w:szCs w:val="21"/>
          <w:highlight w:val="none"/>
        </w:rPr>
        <w:t>报价）均不得高于采购最高限价</w:t>
      </w:r>
      <w:r>
        <w:rPr>
          <w:rFonts w:hint="eastAsia" w:ascii="仿宋" w:hAnsi="仿宋" w:eastAsia="仿宋" w:cs="仿宋"/>
          <w:b/>
          <w:bCs/>
          <w:color w:val="000000"/>
          <w:sz w:val="21"/>
          <w:szCs w:val="21"/>
          <w:highlight w:val="none"/>
          <w:lang w:val="en-US" w:eastAsia="zh-CN"/>
        </w:rPr>
        <w:t>费率</w:t>
      </w:r>
      <w:r>
        <w:rPr>
          <w:rFonts w:hint="eastAsia" w:ascii="仿宋" w:hAnsi="仿宋" w:eastAsia="仿宋" w:cs="仿宋"/>
          <w:b/>
          <w:bCs/>
          <w:color w:val="000000"/>
          <w:sz w:val="21"/>
          <w:szCs w:val="21"/>
          <w:highlight w:val="none"/>
        </w:rPr>
        <w:t>，否则按无效响应处理。</w:t>
      </w:r>
    </w:p>
    <w:p w14:paraId="70E9526D">
      <w:pPr>
        <w:pageBreakBefore w:val="0"/>
        <w:kinsoku/>
        <w:topLinePunct w:val="0"/>
        <w:bidi w:val="0"/>
        <w:snapToGrid/>
        <w:spacing w:line="300" w:lineRule="auto"/>
        <w:ind w:firstLine="420" w:firstLineChars="200"/>
        <w:rPr>
          <w:rFonts w:hint="eastAsia"/>
          <w:highlight w:val="none"/>
        </w:rPr>
      </w:pPr>
      <w:r>
        <w:rPr>
          <w:rFonts w:hint="eastAsia" w:ascii="仿宋" w:hAnsi="仿宋" w:eastAsia="仿宋" w:cs="仿宋"/>
          <w:b/>
          <w:bCs/>
          <w:color w:val="000000"/>
          <w:sz w:val="21"/>
          <w:szCs w:val="21"/>
          <w:highlight w:val="none"/>
          <w:u w:val="single"/>
          <w:lang w:val="en-US"/>
        </w:rPr>
        <w:t>★2.</w:t>
      </w:r>
      <w:r>
        <w:rPr>
          <w:rFonts w:hint="eastAsia" w:ascii="仿宋" w:hAnsi="仿宋" w:eastAsia="仿宋" w:cs="仿宋"/>
          <w:b/>
          <w:bCs/>
          <w:color w:val="000000"/>
          <w:sz w:val="21"/>
          <w:szCs w:val="21"/>
          <w:highlight w:val="none"/>
          <w:u w:val="single"/>
        </w:rPr>
        <w:t>除响应文件中要求提供的初次报价外，磋商环节结束后，评审小组将根据磋商结果要求供应商在衢州市阳光交易服务平台系统上进行最后报价（或二次报价）。</w:t>
      </w:r>
    </w:p>
    <w:p w14:paraId="1F4F970D">
      <w:pPr>
        <w:pStyle w:val="15"/>
        <w:pageBreakBefore w:val="0"/>
        <w:kinsoku/>
        <w:wordWrap/>
        <w:topLinePunct w:val="0"/>
        <w:bidi w:val="0"/>
        <w:snapToGrid w:val="0"/>
        <w:spacing w:beforeAutospacing="0" w:afterAutospacing="0"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磋商报价以人民币为结算货币。</w:t>
      </w:r>
      <w:r>
        <w:rPr>
          <w:rFonts w:hint="eastAsia" w:ascii="仿宋" w:hAnsi="仿宋" w:eastAsia="仿宋" w:cs="仿宋"/>
          <w:color w:val="000000"/>
          <w:sz w:val="21"/>
          <w:szCs w:val="21"/>
          <w:highlight w:val="none"/>
          <w:lang w:val="en-US"/>
        </w:rPr>
        <w:t>磋商报价应是本磋商文件确定的采购范围内全部工作内容的价格表现。</w:t>
      </w:r>
      <w:r>
        <w:rPr>
          <w:rFonts w:hint="eastAsia" w:ascii="仿宋" w:hAnsi="仿宋" w:eastAsia="仿宋" w:cs="仿宋"/>
          <w:color w:val="000000"/>
          <w:sz w:val="21"/>
          <w:szCs w:val="21"/>
          <w:highlight w:val="none"/>
        </w:rPr>
        <w:t>完成本项目</w:t>
      </w:r>
      <w:r>
        <w:rPr>
          <w:rFonts w:hint="eastAsia" w:ascii="仿宋" w:hAnsi="仿宋" w:eastAsia="仿宋" w:cs="仿宋"/>
          <w:color w:val="000000"/>
          <w:sz w:val="21"/>
          <w:szCs w:val="21"/>
          <w:highlight w:val="none"/>
          <w:lang w:val="en-US"/>
        </w:rPr>
        <w:t>采购范围内全部工作内容</w:t>
      </w:r>
      <w:r>
        <w:rPr>
          <w:rFonts w:hint="eastAsia" w:ascii="仿宋" w:hAnsi="仿宋" w:eastAsia="仿宋" w:cs="仿宋"/>
          <w:color w:val="000000"/>
          <w:sz w:val="21"/>
          <w:szCs w:val="21"/>
          <w:highlight w:val="none"/>
        </w:rPr>
        <w:t>所需价款、企业应缴纳的税费及合理利润、合同包含的风险等所有磋商文件提及或磋商文件未提及的全部开支均应计入磋商报价。报价精确至人民币“元”。</w:t>
      </w:r>
    </w:p>
    <w:p w14:paraId="4086473D">
      <w:pPr>
        <w:pStyle w:val="15"/>
        <w:pageBreakBefore w:val="0"/>
        <w:kinsoku/>
        <w:wordWrap/>
        <w:topLinePunct w:val="0"/>
        <w:bidi w:val="0"/>
        <w:snapToGrid w:val="0"/>
        <w:spacing w:beforeAutospacing="0" w:afterAutospacing="0" w:line="360" w:lineRule="auto"/>
        <w:ind w:firstLine="420" w:firstLineChars="200"/>
        <w:rPr>
          <w:rFonts w:hint="default" w:eastAsia="仿宋"/>
          <w:highlight w:val="none"/>
          <w:lang w:val="en-US" w:eastAsia="zh-CN"/>
        </w:rPr>
      </w:pP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最后报价只允许有一个报价，有选择的或有条件的报价将不予接受。经磋商后，如果成交价高于或低于供应商在响应文件首次报价的，分项报价同比例调整。</w:t>
      </w:r>
    </w:p>
    <w:p w14:paraId="361A089E">
      <w:pPr>
        <w:pageBreakBefore w:val="0"/>
        <w:kinsoku/>
        <w:wordWrap/>
        <w:topLinePunct w:val="0"/>
        <w:autoSpaceDE w:val="0"/>
        <w:autoSpaceDN w:val="0"/>
        <w:bidi w:val="0"/>
        <w:adjustRightInd w:val="0"/>
        <w:spacing w:beforeAutospacing="0" w:afterAutospacing="0" w:line="36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（四）响应文件的有效期</w:t>
      </w:r>
    </w:p>
    <w:p w14:paraId="461C8CA7">
      <w:pPr>
        <w:pageBreakBefore w:val="0"/>
        <w:kinsoku/>
        <w:wordWrap/>
        <w:topLinePunct w:val="0"/>
        <w:bidi w:val="0"/>
        <w:snapToGrid w:val="0"/>
        <w:spacing w:beforeAutospacing="0" w:afterAutospacing="0" w:line="360" w:lineRule="auto"/>
        <w:ind w:left="0" w:leftChars="0" w:firstLine="420" w:firstLineChars="200"/>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lang w:val="zh-CN"/>
        </w:rPr>
        <w:t>▲</w:t>
      </w:r>
      <w:r>
        <w:rPr>
          <w:rFonts w:hint="eastAsia" w:ascii="仿宋" w:hAnsi="仿宋" w:eastAsia="仿宋" w:cs="仿宋"/>
          <w:b/>
          <w:bCs w:val="0"/>
          <w:sz w:val="21"/>
          <w:szCs w:val="21"/>
          <w:highlight w:val="none"/>
        </w:rPr>
        <w:t>1.响应文件有效期为自响应截止日起算</w:t>
      </w:r>
      <w:r>
        <w:rPr>
          <w:rFonts w:hint="eastAsia" w:ascii="仿宋" w:hAnsi="仿宋" w:eastAsia="仿宋" w:cs="仿宋"/>
          <w:b/>
          <w:bCs w:val="0"/>
          <w:sz w:val="21"/>
          <w:szCs w:val="21"/>
          <w:highlight w:val="none"/>
          <w:u w:val="single"/>
        </w:rPr>
        <w:t>90</w:t>
      </w:r>
      <w:r>
        <w:rPr>
          <w:rFonts w:hint="eastAsia" w:ascii="仿宋" w:hAnsi="仿宋" w:eastAsia="仿宋" w:cs="仿宋"/>
          <w:b/>
          <w:bCs w:val="0"/>
          <w:sz w:val="21"/>
          <w:szCs w:val="21"/>
          <w:highlight w:val="none"/>
        </w:rPr>
        <w:t>天。有效期不足的响应文件将按无效响应处理。</w:t>
      </w:r>
    </w:p>
    <w:p w14:paraId="58769B64">
      <w:pPr>
        <w:pageBreakBefore w:val="0"/>
        <w:kinsoku/>
        <w:wordWrap/>
        <w:topLinePunct w:val="0"/>
        <w:bidi w:val="0"/>
        <w:snapToGrid w:val="0"/>
        <w:spacing w:beforeAutospacing="0" w:afterAutospacing="0" w:line="360" w:lineRule="auto"/>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2.在特殊情况下，采购人可与供应商协商延长响应文件的有效期，这种要求和答复均以书面形式进行</w:t>
      </w:r>
      <w:r>
        <w:rPr>
          <w:rFonts w:hint="eastAsia" w:ascii="仿宋" w:hAnsi="仿宋" w:eastAsia="仿宋" w:cs="仿宋"/>
          <w:sz w:val="21"/>
          <w:szCs w:val="21"/>
          <w:highlight w:val="none"/>
          <w:lang w:eastAsia="zh-CN"/>
        </w:rPr>
        <w:t>，但</w:t>
      </w:r>
      <w:r>
        <w:rPr>
          <w:rFonts w:hint="eastAsia" w:ascii="仿宋" w:hAnsi="仿宋" w:eastAsia="仿宋" w:cs="仿宋"/>
          <w:sz w:val="21"/>
          <w:szCs w:val="21"/>
          <w:highlight w:val="none"/>
        </w:rPr>
        <w:t>同意延长有效期的供应商不能修改响应文件。</w:t>
      </w:r>
    </w:p>
    <w:p w14:paraId="072AD224">
      <w:pPr>
        <w:pageBreakBefore w:val="0"/>
        <w:kinsoku/>
        <w:wordWrap/>
        <w:topLinePunct w:val="0"/>
        <w:bidi w:val="0"/>
        <w:snapToGrid w:val="0"/>
        <w:spacing w:beforeAutospacing="0" w:afterAutospacing="0" w:line="360" w:lineRule="auto"/>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.成交供应商的响应文件自响应截止日起到项目履行完毕止均应保持有效。</w:t>
      </w:r>
    </w:p>
    <w:p w14:paraId="79D58FA4">
      <w:pPr>
        <w:pageBreakBefore w:val="0"/>
        <w:kinsoku/>
        <w:wordWrap/>
        <w:topLinePunct w:val="0"/>
        <w:autoSpaceDE w:val="0"/>
        <w:autoSpaceDN w:val="0"/>
        <w:bidi w:val="0"/>
        <w:adjustRightInd w:val="0"/>
        <w:snapToGrid w:val="0"/>
        <w:spacing w:beforeAutospacing="0" w:afterAutospacing="0" w:line="360" w:lineRule="auto"/>
        <w:ind w:left="0" w:leftChars="0" w:firstLine="210" w:firstLineChars="100"/>
        <w:jc w:val="left"/>
        <w:rPr>
          <w:rFonts w:hint="eastAsia" w:ascii="仿宋" w:hAnsi="仿宋" w:eastAsia="仿宋" w:cs="仿宋"/>
          <w:color w:val="000000"/>
          <w:sz w:val="21"/>
          <w:szCs w:val="21"/>
          <w:highlight w:val="none"/>
        </w:rPr>
      </w:pPr>
      <w:r>
        <w:rPr>
          <w:rFonts w:hint="eastAsia" w:ascii="仿宋" w:hAnsi="仿宋" w:eastAsia="仿宋" w:cs="仿宋"/>
          <w:b/>
          <w:color w:val="000000"/>
          <w:sz w:val="21"/>
          <w:szCs w:val="21"/>
          <w:highlight w:val="none"/>
          <w:lang w:val="zh-CN"/>
        </w:rPr>
        <w:t>（五）磋商保证金</w:t>
      </w:r>
    </w:p>
    <w:p w14:paraId="12898DB1">
      <w:pPr>
        <w:pageBreakBefore w:val="0"/>
        <w:kinsoku/>
        <w:wordWrap/>
        <w:topLinePunct w:val="0"/>
        <w:bidi w:val="0"/>
        <w:snapToGrid w:val="0"/>
        <w:spacing w:beforeAutospacing="0" w:afterAutospacing="0" w:line="360" w:lineRule="auto"/>
        <w:ind w:left="0" w:leftChars="0" w:firstLine="420" w:firstLineChars="200"/>
        <w:rPr>
          <w:rFonts w:hint="eastAsia" w:ascii="仿宋" w:hAnsi="仿宋" w:eastAsia="仿宋" w:cs="仿宋"/>
          <w:b w:val="0"/>
          <w:bCs/>
          <w:color w:val="000000"/>
          <w:sz w:val="21"/>
          <w:szCs w:val="21"/>
          <w:highlight w:val="none"/>
          <w:lang w:val="zh-CN"/>
        </w:rPr>
      </w:pPr>
      <w:r>
        <w:rPr>
          <w:rFonts w:hint="eastAsia" w:ascii="仿宋" w:hAnsi="仿宋" w:eastAsia="仿宋" w:cs="仿宋"/>
          <w:b w:val="0"/>
          <w:bCs/>
          <w:color w:val="000000"/>
          <w:sz w:val="21"/>
          <w:szCs w:val="21"/>
          <w:highlight w:val="none"/>
          <w:lang w:val="zh-CN"/>
        </w:rPr>
        <w:t>本项目无需缴纳磋商保证金。</w:t>
      </w:r>
    </w:p>
    <w:p w14:paraId="110857EF">
      <w:pPr>
        <w:pageBreakBefore w:val="0"/>
        <w:kinsoku/>
        <w:wordWrap/>
        <w:topLinePunct w:val="0"/>
        <w:bidi w:val="0"/>
        <w:snapToGrid w:val="0"/>
        <w:spacing w:beforeAutospacing="0" w:afterAutospacing="0" w:line="360" w:lineRule="auto"/>
        <w:ind w:firstLine="210" w:firstLineChars="100"/>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（六）响应文件的签署和份数</w:t>
      </w:r>
    </w:p>
    <w:p w14:paraId="7FD906C1">
      <w:pPr>
        <w:pageBreakBefore w:val="0"/>
        <w:kinsoku/>
        <w:wordWrap/>
        <w:topLinePunct w:val="0"/>
        <w:autoSpaceDE w:val="0"/>
        <w:autoSpaceDN w:val="0"/>
        <w:bidi w:val="0"/>
        <w:adjustRightInd w:val="0"/>
        <w:snapToGrid w:val="0"/>
        <w:spacing w:beforeAutospacing="0" w:afterAutospacing="0" w:line="360" w:lineRule="auto"/>
        <w:ind w:left="0" w:leftChars="0" w:firstLine="210" w:firstLineChars="100"/>
        <w:jc w:val="left"/>
        <w:rPr>
          <w:rFonts w:hint="eastAsia" w:ascii="仿宋" w:hAnsi="仿宋" w:eastAsia="仿宋" w:cs="仿宋"/>
          <w:b w:val="0"/>
          <w:bCs/>
          <w:color w:val="000000"/>
          <w:sz w:val="21"/>
          <w:szCs w:val="21"/>
          <w:highlight w:val="none"/>
          <w:lang w:val="zh-CN" w:eastAsia="zh-CN"/>
        </w:rPr>
      </w:pPr>
      <w:r>
        <w:rPr>
          <w:rFonts w:hint="eastAsia" w:ascii="仿宋" w:hAnsi="仿宋" w:eastAsia="仿宋" w:cs="仿宋"/>
          <w:b w:val="0"/>
          <w:bCs/>
          <w:color w:val="000000"/>
          <w:sz w:val="21"/>
          <w:szCs w:val="21"/>
          <w:highlight w:val="none"/>
          <w:lang w:val="zh-CN" w:eastAsia="zh-CN"/>
        </w:rPr>
        <w:fldChar w:fldCharType="begin"/>
      </w:r>
      <w:r>
        <w:rPr>
          <w:rFonts w:hint="eastAsia" w:ascii="仿宋" w:hAnsi="仿宋" w:eastAsia="仿宋" w:cs="仿宋"/>
          <w:b w:val="0"/>
          <w:bCs/>
          <w:color w:val="000000"/>
          <w:sz w:val="21"/>
          <w:szCs w:val="21"/>
          <w:highlight w:val="none"/>
          <w:lang w:val="zh-CN" w:eastAsia="zh-CN"/>
        </w:rPr>
        <w:instrText xml:space="preserve"> = 1 \* GB2 \* MERGEFORMAT </w:instrText>
      </w:r>
      <w:r>
        <w:rPr>
          <w:rFonts w:hint="eastAsia" w:ascii="仿宋" w:hAnsi="仿宋" w:eastAsia="仿宋" w:cs="仿宋"/>
          <w:b w:val="0"/>
          <w:bCs/>
          <w:color w:val="000000"/>
          <w:sz w:val="21"/>
          <w:szCs w:val="21"/>
          <w:highlight w:val="none"/>
          <w:lang w:val="zh-CN" w:eastAsia="zh-CN"/>
        </w:rPr>
        <w:fldChar w:fldCharType="separate"/>
      </w:r>
      <w:r>
        <w:rPr>
          <w:rFonts w:hint="eastAsia" w:ascii="仿宋" w:hAnsi="仿宋" w:eastAsia="仿宋" w:cs="仿宋"/>
          <w:b w:val="0"/>
          <w:bCs/>
          <w:color w:val="000000"/>
          <w:sz w:val="21"/>
          <w:szCs w:val="21"/>
          <w:highlight w:val="none"/>
          <w:lang w:val="zh-CN"/>
        </w:rPr>
        <w:t>⑴</w:t>
      </w:r>
      <w:r>
        <w:rPr>
          <w:rFonts w:hint="eastAsia" w:ascii="仿宋" w:hAnsi="仿宋" w:eastAsia="仿宋" w:cs="仿宋"/>
          <w:b w:val="0"/>
          <w:bCs/>
          <w:color w:val="000000"/>
          <w:sz w:val="21"/>
          <w:szCs w:val="21"/>
          <w:highlight w:val="none"/>
          <w:lang w:val="zh-CN" w:eastAsia="zh-CN"/>
        </w:rPr>
        <w:fldChar w:fldCharType="end"/>
      </w:r>
      <w:r>
        <w:rPr>
          <w:rFonts w:hint="eastAsia" w:ascii="仿宋" w:hAnsi="仿宋" w:eastAsia="仿宋" w:cs="仿宋"/>
          <w:b w:val="0"/>
          <w:bCs/>
          <w:color w:val="000000"/>
          <w:sz w:val="21"/>
          <w:szCs w:val="21"/>
          <w:highlight w:val="none"/>
          <w:lang w:val="zh-CN"/>
        </w:rPr>
        <w:t>供应商应按本</w:t>
      </w:r>
      <w:r>
        <w:rPr>
          <w:rFonts w:hint="eastAsia" w:ascii="仿宋" w:hAnsi="仿宋" w:eastAsia="仿宋" w:cs="仿宋"/>
          <w:b w:val="0"/>
          <w:bCs/>
          <w:color w:val="000000"/>
          <w:sz w:val="21"/>
          <w:szCs w:val="21"/>
          <w:highlight w:val="none"/>
          <w:lang w:val="zh-CN" w:eastAsia="zh-CN"/>
        </w:rPr>
        <w:t>采购文件</w:t>
      </w:r>
      <w:r>
        <w:rPr>
          <w:rFonts w:hint="eastAsia" w:ascii="仿宋" w:hAnsi="仿宋" w:eastAsia="仿宋" w:cs="仿宋"/>
          <w:b w:val="0"/>
          <w:bCs/>
          <w:color w:val="000000"/>
          <w:sz w:val="21"/>
          <w:szCs w:val="21"/>
          <w:highlight w:val="none"/>
          <w:lang w:val="zh-CN"/>
        </w:rPr>
        <w:t>规定份数上传投标文件</w:t>
      </w:r>
      <w:r>
        <w:rPr>
          <w:rFonts w:hint="eastAsia" w:ascii="仿宋" w:hAnsi="仿宋" w:eastAsia="仿宋" w:cs="仿宋"/>
          <w:b w:val="0"/>
          <w:bCs/>
          <w:color w:val="000000"/>
          <w:sz w:val="21"/>
          <w:szCs w:val="21"/>
          <w:highlight w:val="none"/>
          <w:lang w:val="zh-CN" w:eastAsia="zh-CN"/>
        </w:rPr>
        <w:t>。</w:t>
      </w:r>
    </w:p>
    <w:p w14:paraId="01B7598D">
      <w:pPr>
        <w:pageBreakBefore w:val="0"/>
        <w:kinsoku/>
        <w:wordWrap/>
        <w:topLinePunct w:val="0"/>
        <w:autoSpaceDE w:val="0"/>
        <w:autoSpaceDN w:val="0"/>
        <w:bidi w:val="0"/>
        <w:adjustRightInd w:val="0"/>
        <w:snapToGrid w:val="0"/>
        <w:spacing w:beforeAutospacing="0" w:afterAutospacing="0" w:line="360" w:lineRule="auto"/>
        <w:ind w:left="0" w:leftChars="0" w:firstLine="210" w:firstLineChars="100"/>
        <w:jc w:val="left"/>
        <w:rPr>
          <w:rFonts w:hint="eastAsia" w:ascii="仿宋" w:hAnsi="仿宋" w:eastAsia="仿宋" w:cs="仿宋"/>
          <w:b w:val="0"/>
          <w:bCs/>
          <w:color w:val="000000"/>
          <w:sz w:val="21"/>
          <w:szCs w:val="21"/>
          <w:highlight w:val="none"/>
          <w:lang w:val="zh-CN"/>
        </w:rPr>
      </w:pPr>
      <w:r>
        <w:rPr>
          <w:rFonts w:hint="eastAsia" w:ascii="仿宋" w:hAnsi="仿宋" w:eastAsia="仿宋" w:cs="仿宋"/>
          <w:b w:val="0"/>
          <w:bCs/>
          <w:color w:val="000000"/>
          <w:sz w:val="21"/>
          <w:szCs w:val="21"/>
          <w:highlight w:val="none"/>
          <w:lang w:val="zh-CN"/>
        </w:rPr>
        <w:fldChar w:fldCharType="begin"/>
      </w:r>
      <w:r>
        <w:rPr>
          <w:rFonts w:hint="eastAsia" w:ascii="仿宋" w:hAnsi="仿宋" w:eastAsia="仿宋" w:cs="仿宋"/>
          <w:b w:val="0"/>
          <w:bCs/>
          <w:color w:val="000000"/>
          <w:sz w:val="21"/>
          <w:szCs w:val="21"/>
          <w:highlight w:val="none"/>
          <w:lang w:val="zh-CN"/>
        </w:rPr>
        <w:instrText xml:space="preserve"> = 2 \* GB2 \* MERGEFORMAT </w:instrText>
      </w:r>
      <w:r>
        <w:rPr>
          <w:rFonts w:hint="eastAsia" w:ascii="仿宋" w:hAnsi="仿宋" w:eastAsia="仿宋" w:cs="仿宋"/>
          <w:b w:val="0"/>
          <w:bCs/>
          <w:color w:val="000000"/>
          <w:sz w:val="21"/>
          <w:szCs w:val="21"/>
          <w:highlight w:val="none"/>
          <w:lang w:val="zh-CN"/>
        </w:rPr>
        <w:fldChar w:fldCharType="separate"/>
      </w:r>
      <w:r>
        <w:rPr>
          <w:rFonts w:hint="eastAsia" w:ascii="仿宋" w:hAnsi="仿宋" w:eastAsia="仿宋" w:cs="仿宋"/>
          <w:b w:val="0"/>
          <w:bCs/>
          <w:color w:val="000000"/>
          <w:sz w:val="21"/>
          <w:szCs w:val="21"/>
          <w:highlight w:val="none"/>
          <w:lang w:val="zh-CN"/>
        </w:rPr>
        <w:t>⑵</w:t>
      </w:r>
      <w:r>
        <w:rPr>
          <w:rFonts w:hint="eastAsia" w:ascii="仿宋" w:hAnsi="仿宋" w:eastAsia="仿宋" w:cs="仿宋"/>
          <w:b w:val="0"/>
          <w:bCs/>
          <w:color w:val="000000"/>
          <w:sz w:val="21"/>
          <w:szCs w:val="21"/>
          <w:highlight w:val="none"/>
          <w:lang w:val="zh-CN"/>
        </w:rPr>
        <w:fldChar w:fldCharType="end"/>
      </w:r>
      <w:r>
        <w:rPr>
          <w:rFonts w:hint="eastAsia" w:ascii="仿宋" w:hAnsi="仿宋" w:eastAsia="仿宋" w:cs="仿宋"/>
          <w:b w:val="0"/>
          <w:bCs/>
          <w:color w:val="000000"/>
          <w:sz w:val="21"/>
          <w:szCs w:val="21"/>
          <w:highlight w:val="none"/>
          <w:lang w:val="zh-CN"/>
        </w:rPr>
        <w:t>供应商应根据</w:t>
      </w:r>
      <w:r>
        <w:rPr>
          <w:rFonts w:hint="eastAsia" w:ascii="仿宋" w:hAnsi="仿宋" w:eastAsia="仿宋" w:cs="仿宋"/>
          <w:b w:val="0"/>
          <w:bCs/>
          <w:color w:val="000000"/>
          <w:sz w:val="21"/>
          <w:szCs w:val="21"/>
          <w:highlight w:val="none"/>
          <w:lang w:val="zh-CN" w:eastAsia="zh-CN"/>
        </w:rPr>
        <w:t>采购文件</w:t>
      </w:r>
      <w:r>
        <w:rPr>
          <w:rFonts w:hint="eastAsia" w:ascii="仿宋" w:hAnsi="仿宋" w:eastAsia="仿宋" w:cs="仿宋"/>
          <w:b w:val="0"/>
          <w:bCs/>
          <w:color w:val="000000"/>
          <w:sz w:val="21"/>
          <w:szCs w:val="21"/>
          <w:highlight w:val="none"/>
          <w:lang w:val="zh-CN"/>
        </w:rPr>
        <w:t>要求，在响应文件适当的位置填写供应商全称并加盖印章，同时签署供应商代表的全名。响应文件必须由供应商代表</w:t>
      </w:r>
      <w:r>
        <w:rPr>
          <w:rFonts w:hint="eastAsia" w:ascii="仿宋" w:hAnsi="仿宋" w:eastAsia="仿宋" w:cs="仿宋"/>
          <w:b w:val="0"/>
          <w:bCs/>
          <w:color w:val="000000"/>
          <w:sz w:val="21"/>
          <w:szCs w:val="21"/>
          <w:highlight w:val="none"/>
          <w:lang w:val="zh-CN" w:eastAsia="zh-CN"/>
        </w:rPr>
        <w:t>签字或盖章</w:t>
      </w:r>
      <w:r>
        <w:rPr>
          <w:rFonts w:hint="eastAsia" w:ascii="仿宋" w:hAnsi="仿宋" w:eastAsia="仿宋" w:cs="仿宋"/>
          <w:b w:val="0"/>
          <w:bCs/>
          <w:color w:val="000000"/>
          <w:sz w:val="21"/>
          <w:szCs w:val="21"/>
          <w:highlight w:val="none"/>
          <w:lang w:val="zh-CN"/>
        </w:rPr>
        <w:t>。</w:t>
      </w:r>
    </w:p>
    <w:p w14:paraId="0502E25D">
      <w:pPr>
        <w:pageBreakBefore w:val="0"/>
        <w:kinsoku/>
        <w:wordWrap/>
        <w:topLinePunct w:val="0"/>
        <w:autoSpaceDE w:val="0"/>
        <w:autoSpaceDN w:val="0"/>
        <w:bidi w:val="0"/>
        <w:adjustRightInd w:val="0"/>
        <w:snapToGrid w:val="0"/>
        <w:spacing w:beforeAutospacing="0" w:afterAutospacing="0" w:line="360" w:lineRule="auto"/>
        <w:ind w:left="0" w:leftChars="0" w:firstLine="210" w:firstLineChars="100"/>
        <w:jc w:val="left"/>
        <w:rPr>
          <w:rFonts w:hint="eastAsia" w:ascii="仿宋" w:hAnsi="仿宋" w:eastAsia="仿宋" w:cs="仿宋"/>
          <w:b w:val="0"/>
          <w:bCs/>
          <w:color w:val="000000"/>
          <w:sz w:val="21"/>
          <w:szCs w:val="21"/>
          <w:highlight w:val="none"/>
          <w:lang w:val="zh-CN" w:eastAsia="zh-CN"/>
        </w:rPr>
      </w:pPr>
      <w:r>
        <w:rPr>
          <w:rFonts w:hint="eastAsia" w:ascii="仿宋" w:hAnsi="仿宋" w:eastAsia="仿宋" w:cs="仿宋"/>
          <w:b w:val="0"/>
          <w:bCs/>
          <w:color w:val="000000"/>
          <w:sz w:val="21"/>
          <w:szCs w:val="21"/>
          <w:highlight w:val="none"/>
          <w:lang w:val="zh-CN"/>
        </w:rPr>
        <w:fldChar w:fldCharType="begin"/>
      </w:r>
      <w:r>
        <w:rPr>
          <w:rFonts w:hint="eastAsia" w:ascii="仿宋" w:hAnsi="仿宋" w:eastAsia="仿宋" w:cs="仿宋"/>
          <w:b w:val="0"/>
          <w:bCs/>
          <w:color w:val="000000"/>
          <w:sz w:val="21"/>
          <w:szCs w:val="21"/>
          <w:highlight w:val="none"/>
          <w:lang w:val="zh-CN"/>
        </w:rPr>
        <w:instrText xml:space="preserve"> = 3 \* GB2 \* MERGEFORMAT </w:instrText>
      </w:r>
      <w:r>
        <w:rPr>
          <w:rFonts w:hint="eastAsia" w:ascii="仿宋" w:hAnsi="仿宋" w:eastAsia="仿宋" w:cs="仿宋"/>
          <w:b w:val="0"/>
          <w:bCs/>
          <w:color w:val="000000"/>
          <w:sz w:val="21"/>
          <w:szCs w:val="21"/>
          <w:highlight w:val="none"/>
          <w:lang w:val="zh-CN"/>
        </w:rPr>
        <w:fldChar w:fldCharType="separate"/>
      </w:r>
      <w:r>
        <w:rPr>
          <w:rFonts w:hint="eastAsia" w:ascii="仿宋" w:hAnsi="仿宋" w:eastAsia="仿宋" w:cs="仿宋"/>
          <w:b w:val="0"/>
          <w:bCs/>
          <w:color w:val="000000"/>
          <w:sz w:val="21"/>
          <w:szCs w:val="21"/>
          <w:highlight w:val="none"/>
          <w:lang w:val="zh-CN"/>
        </w:rPr>
        <w:t>⑶</w:t>
      </w:r>
      <w:r>
        <w:rPr>
          <w:rFonts w:hint="eastAsia" w:ascii="仿宋" w:hAnsi="仿宋" w:eastAsia="仿宋" w:cs="仿宋"/>
          <w:b w:val="0"/>
          <w:bCs/>
          <w:color w:val="000000"/>
          <w:sz w:val="21"/>
          <w:szCs w:val="21"/>
          <w:highlight w:val="none"/>
          <w:lang w:val="zh-CN"/>
        </w:rPr>
        <w:fldChar w:fldCharType="end"/>
      </w:r>
      <w:r>
        <w:rPr>
          <w:rFonts w:hint="eastAsia" w:ascii="仿宋" w:hAnsi="仿宋" w:eastAsia="仿宋" w:cs="仿宋"/>
          <w:b w:val="0"/>
          <w:bCs/>
          <w:color w:val="000000"/>
          <w:sz w:val="21"/>
          <w:szCs w:val="21"/>
          <w:highlight w:val="none"/>
          <w:lang w:val="zh-CN"/>
        </w:rPr>
        <w:t>响应文件不得涂改和增删，如有修改错漏处，必须由同一供应商加盖公章</w:t>
      </w:r>
      <w:r>
        <w:rPr>
          <w:rFonts w:hint="eastAsia" w:ascii="仿宋" w:hAnsi="仿宋" w:eastAsia="仿宋" w:cs="仿宋"/>
          <w:b w:val="0"/>
          <w:bCs/>
          <w:color w:val="000000"/>
          <w:sz w:val="21"/>
          <w:szCs w:val="21"/>
          <w:highlight w:val="none"/>
          <w:lang w:val="zh-CN" w:eastAsia="zh-CN"/>
        </w:rPr>
        <w:t>。</w:t>
      </w:r>
    </w:p>
    <w:p w14:paraId="44D18B40">
      <w:pPr>
        <w:pageBreakBefore w:val="0"/>
        <w:kinsoku/>
        <w:wordWrap/>
        <w:topLinePunct w:val="0"/>
        <w:autoSpaceDE w:val="0"/>
        <w:autoSpaceDN w:val="0"/>
        <w:bidi w:val="0"/>
        <w:adjustRightInd w:val="0"/>
        <w:snapToGrid w:val="0"/>
        <w:spacing w:beforeAutospacing="0" w:afterAutospacing="0" w:line="360" w:lineRule="auto"/>
        <w:ind w:left="0" w:leftChars="0" w:firstLine="210" w:firstLineChars="100"/>
        <w:jc w:val="left"/>
        <w:rPr>
          <w:rFonts w:hint="eastAsia" w:ascii="仿宋" w:hAnsi="仿宋" w:eastAsia="仿宋" w:cs="仿宋"/>
          <w:b w:val="0"/>
          <w:bCs/>
          <w:color w:val="000000"/>
          <w:sz w:val="21"/>
          <w:szCs w:val="21"/>
          <w:highlight w:val="none"/>
          <w:lang w:val="zh-CN"/>
        </w:rPr>
      </w:pPr>
      <w:r>
        <w:rPr>
          <w:rFonts w:hint="eastAsia" w:ascii="仿宋" w:hAnsi="仿宋" w:eastAsia="仿宋" w:cs="仿宋"/>
          <w:b w:val="0"/>
          <w:bCs/>
          <w:color w:val="000000"/>
          <w:sz w:val="21"/>
          <w:szCs w:val="21"/>
          <w:highlight w:val="none"/>
          <w:lang w:val="zh-CN"/>
        </w:rPr>
        <w:fldChar w:fldCharType="begin"/>
      </w:r>
      <w:r>
        <w:rPr>
          <w:rFonts w:hint="eastAsia" w:ascii="仿宋" w:hAnsi="仿宋" w:eastAsia="仿宋" w:cs="仿宋"/>
          <w:b w:val="0"/>
          <w:bCs/>
          <w:color w:val="000000"/>
          <w:sz w:val="21"/>
          <w:szCs w:val="21"/>
          <w:highlight w:val="none"/>
          <w:lang w:val="zh-CN"/>
        </w:rPr>
        <w:instrText xml:space="preserve"> = 4 \* GB2 \* MERGEFORMAT </w:instrText>
      </w:r>
      <w:r>
        <w:rPr>
          <w:rFonts w:hint="eastAsia" w:ascii="仿宋" w:hAnsi="仿宋" w:eastAsia="仿宋" w:cs="仿宋"/>
          <w:b w:val="0"/>
          <w:bCs/>
          <w:color w:val="000000"/>
          <w:sz w:val="21"/>
          <w:szCs w:val="21"/>
          <w:highlight w:val="none"/>
          <w:lang w:val="zh-CN"/>
        </w:rPr>
        <w:fldChar w:fldCharType="separate"/>
      </w:r>
      <w:r>
        <w:rPr>
          <w:rFonts w:hint="eastAsia" w:ascii="仿宋" w:hAnsi="仿宋" w:eastAsia="仿宋" w:cs="仿宋"/>
          <w:b w:val="0"/>
          <w:bCs/>
          <w:color w:val="000000"/>
          <w:sz w:val="21"/>
          <w:szCs w:val="21"/>
          <w:highlight w:val="none"/>
          <w:lang w:val="zh-CN"/>
        </w:rPr>
        <w:t>⑷</w:t>
      </w:r>
      <w:r>
        <w:rPr>
          <w:rFonts w:hint="eastAsia" w:ascii="仿宋" w:hAnsi="仿宋" w:eastAsia="仿宋" w:cs="仿宋"/>
          <w:b w:val="0"/>
          <w:bCs/>
          <w:color w:val="000000"/>
          <w:sz w:val="21"/>
          <w:szCs w:val="21"/>
          <w:highlight w:val="none"/>
          <w:lang w:val="zh-CN"/>
        </w:rPr>
        <w:fldChar w:fldCharType="end"/>
      </w:r>
      <w:r>
        <w:rPr>
          <w:rFonts w:hint="eastAsia" w:ascii="仿宋" w:hAnsi="仿宋" w:eastAsia="仿宋" w:cs="仿宋"/>
          <w:b w:val="0"/>
          <w:bCs/>
          <w:color w:val="000000"/>
          <w:sz w:val="21"/>
          <w:szCs w:val="21"/>
          <w:highlight w:val="none"/>
          <w:lang w:val="zh-CN"/>
        </w:rPr>
        <w:t>响应文件因字迹潦草或表达不清所引起的后果由投标人负责。</w:t>
      </w:r>
    </w:p>
    <w:p w14:paraId="0E8A13BB">
      <w:pPr>
        <w:pageBreakBefore w:val="0"/>
        <w:kinsoku/>
        <w:wordWrap/>
        <w:topLinePunct w:val="0"/>
        <w:autoSpaceDE w:val="0"/>
        <w:autoSpaceDN w:val="0"/>
        <w:bidi w:val="0"/>
        <w:adjustRightInd w:val="0"/>
        <w:snapToGrid w:val="0"/>
        <w:spacing w:beforeAutospacing="0" w:afterAutospacing="0" w:line="360" w:lineRule="auto"/>
        <w:ind w:left="0" w:leftChars="0" w:firstLine="210" w:firstLineChars="100"/>
        <w:jc w:val="left"/>
        <w:rPr>
          <w:rFonts w:hint="eastAsia" w:ascii="仿宋" w:hAnsi="仿宋" w:eastAsia="仿宋" w:cs="仿宋"/>
          <w:b w:val="0"/>
          <w:bCs/>
          <w:color w:val="000000"/>
          <w:sz w:val="21"/>
          <w:szCs w:val="21"/>
          <w:highlight w:val="none"/>
          <w:lang w:val="zh-CN"/>
        </w:rPr>
      </w:pPr>
      <w:r>
        <w:rPr>
          <w:rFonts w:hint="eastAsia" w:ascii="仿宋" w:hAnsi="仿宋" w:eastAsia="仿宋" w:cs="仿宋"/>
          <w:b w:val="0"/>
          <w:bCs/>
          <w:color w:val="000000"/>
          <w:sz w:val="21"/>
          <w:szCs w:val="21"/>
          <w:highlight w:val="none"/>
          <w:lang w:val="zh-CN"/>
        </w:rPr>
        <w:fldChar w:fldCharType="begin"/>
      </w:r>
      <w:r>
        <w:rPr>
          <w:rFonts w:hint="eastAsia" w:ascii="仿宋" w:hAnsi="仿宋" w:eastAsia="仿宋" w:cs="仿宋"/>
          <w:b w:val="0"/>
          <w:bCs/>
          <w:color w:val="000000"/>
          <w:sz w:val="21"/>
          <w:szCs w:val="21"/>
          <w:highlight w:val="none"/>
          <w:lang w:val="zh-CN"/>
        </w:rPr>
        <w:instrText xml:space="preserve"> = 5 \* GB2 \* MERGEFORMAT </w:instrText>
      </w:r>
      <w:r>
        <w:rPr>
          <w:rFonts w:hint="eastAsia" w:ascii="仿宋" w:hAnsi="仿宋" w:eastAsia="仿宋" w:cs="仿宋"/>
          <w:b w:val="0"/>
          <w:bCs/>
          <w:color w:val="000000"/>
          <w:sz w:val="21"/>
          <w:szCs w:val="21"/>
          <w:highlight w:val="none"/>
          <w:lang w:val="zh-CN"/>
        </w:rPr>
        <w:fldChar w:fldCharType="separate"/>
      </w:r>
      <w:r>
        <w:rPr>
          <w:rFonts w:hint="eastAsia" w:ascii="仿宋" w:hAnsi="仿宋" w:eastAsia="仿宋" w:cs="仿宋"/>
          <w:b w:val="0"/>
          <w:bCs/>
          <w:color w:val="000000"/>
          <w:sz w:val="21"/>
          <w:szCs w:val="21"/>
          <w:highlight w:val="none"/>
          <w:lang w:val="zh-CN"/>
        </w:rPr>
        <w:t>⑸</w:t>
      </w:r>
      <w:r>
        <w:rPr>
          <w:rFonts w:hint="eastAsia" w:ascii="仿宋" w:hAnsi="仿宋" w:eastAsia="仿宋" w:cs="仿宋"/>
          <w:b w:val="0"/>
          <w:bCs/>
          <w:color w:val="000000"/>
          <w:sz w:val="21"/>
          <w:szCs w:val="21"/>
          <w:highlight w:val="none"/>
          <w:lang w:val="zh-CN"/>
        </w:rPr>
        <w:fldChar w:fldCharType="end"/>
      </w:r>
      <w:r>
        <w:rPr>
          <w:rFonts w:hint="eastAsia" w:ascii="仿宋" w:hAnsi="仿宋" w:eastAsia="仿宋" w:cs="仿宋"/>
          <w:b w:val="0"/>
          <w:bCs/>
          <w:color w:val="000000"/>
          <w:sz w:val="21"/>
          <w:szCs w:val="21"/>
          <w:highlight w:val="none"/>
          <w:lang w:val="zh-CN"/>
        </w:rPr>
        <w:t>响应文件的签章：响应文件应由供应商法定代表人或其授权代表签字（或盖章），并加盖供应商电子签章。供应商均应使用CA数字证书加盖供应商的单位电子印章、法定代表人个人电子印章，上传至衢州市阳光交易服务平台，作为响应文件正本，其余详见</w:t>
      </w:r>
      <w:r>
        <w:rPr>
          <w:rFonts w:hint="eastAsia" w:ascii="仿宋" w:hAnsi="仿宋" w:eastAsia="仿宋" w:cs="仿宋"/>
          <w:b w:val="0"/>
          <w:bCs/>
          <w:color w:val="000000"/>
          <w:sz w:val="21"/>
          <w:szCs w:val="21"/>
          <w:highlight w:val="none"/>
          <w:lang w:val="zh-CN" w:eastAsia="zh-CN"/>
        </w:rPr>
        <w:t>投标人</w:t>
      </w:r>
      <w:r>
        <w:rPr>
          <w:rFonts w:hint="eastAsia" w:ascii="仿宋" w:hAnsi="仿宋" w:eastAsia="仿宋" w:cs="仿宋"/>
          <w:b w:val="0"/>
          <w:bCs/>
          <w:color w:val="000000"/>
          <w:sz w:val="21"/>
          <w:szCs w:val="21"/>
          <w:highlight w:val="none"/>
          <w:lang w:val="zh-CN"/>
        </w:rPr>
        <w:t>须知前附表。</w:t>
      </w:r>
    </w:p>
    <w:p w14:paraId="195FB7CC">
      <w:pPr>
        <w:pageBreakBefore w:val="0"/>
        <w:numPr>
          <w:ilvl w:val="0"/>
          <w:numId w:val="4"/>
        </w:numPr>
        <w:kinsoku/>
        <w:wordWrap/>
        <w:topLinePunct w:val="0"/>
        <w:autoSpaceDE w:val="0"/>
        <w:autoSpaceDN w:val="0"/>
        <w:bidi w:val="0"/>
        <w:adjustRightInd w:val="0"/>
        <w:snapToGrid w:val="0"/>
        <w:spacing w:beforeAutospacing="0" w:afterAutospacing="0" w:line="360" w:lineRule="auto"/>
        <w:ind w:left="0" w:leftChars="0" w:firstLine="210" w:firstLineChars="100"/>
        <w:jc w:val="left"/>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投标响应</w:t>
      </w:r>
    </w:p>
    <w:p w14:paraId="274F3F50">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1.投标文件的上传和递交</w:t>
      </w:r>
    </w:p>
    <w:p w14:paraId="7FDD4491">
      <w:pPr>
        <w:pStyle w:val="65"/>
        <w:wordWrap w:val="0"/>
        <w:spacing w:line="360" w:lineRule="auto"/>
        <w:ind w:firstLine="420" w:firstLineChars="200"/>
        <w:jc w:val="left"/>
        <w:rPr>
          <w:rFonts w:hint="eastAsia" w:ascii="仿宋" w:hAnsi="仿宋" w:eastAsia="仿宋" w:cs="仿宋"/>
          <w:color w:val="000000"/>
          <w:sz w:val="21"/>
          <w:szCs w:val="21"/>
          <w:highlight w:val="none"/>
          <w:lang w:bidi="ar"/>
        </w:rPr>
      </w:pPr>
      <w:r>
        <w:rPr>
          <w:rFonts w:hint="eastAsia" w:ascii="仿宋" w:hAnsi="仿宋" w:eastAsia="仿宋" w:cs="仿宋"/>
          <w:bCs/>
          <w:color w:val="000000"/>
          <w:sz w:val="21"/>
          <w:szCs w:val="21"/>
          <w:highlight w:val="none"/>
        </w:rPr>
        <w:t>⑴投标人应在投标文件截止时间前</w:t>
      </w:r>
      <w:r>
        <w:rPr>
          <w:rFonts w:hint="eastAsia" w:ascii="仿宋" w:hAnsi="仿宋" w:eastAsia="仿宋" w:cs="仿宋"/>
          <w:color w:val="000000"/>
          <w:sz w:val="21"/>
          <w:szCs w:val="21"/>
          <w:highlight w:val="none"/>
          <w:lang w:bidi="ar"/>
        </w:rPr>
        <w:t>（以上传完成时间为准）将由制作工具制作生成的</w:t>
      </w:r>
      <w:r>
        <w:rPr>
          <w:rFonts w:hint="eastAsia" w:ascii="仿宋" w:hAnsi="仿宋" w:eastAsia="仿宋" w:cs="仿宋"/>
          <w:bCs/>
          <w:color w:val="000000"/>
          <w:sz w:val="21"/>
          <w:szCs w:val="21"/>
          <w:highlight w:val="none"/>
        </w:rPr>
        <w:t>电子加密投标文件</w:t>
      </w:r>
      <w:r>
        <w:rPr>
          <w:rFonts w:hint="eastAsia" w:ascii="仿宋" w:hAnsi="仿宋" w:eastAsia="仿宋" w:cs="仿宋"/>
          <w:color w:val="000000"/>
          <w:sz w:val="21"/>
          <w:szCs w:val="21"/>
          <w:highlight w:val="none"/>
          <w:lang w:bidi="ar"/>
        </w:rPr>
        <w:t>（.QZCGTF）</w:t>
      </w:r>
      <w:r>
        <w:rPr>
          <w:rFonts w:hint="eastAsia" w:ascii="仿宋" w:hAnsi="仿宋" w:eastAsia="仿宋" w:cs="仿宋"/>
          <w:bCs/>
          <w:color w:val="000000"/>
          <w:sz w:val="21"/>
          <w:szCs w:val="21"/>
          <w:highlight w:val="none"/>
        </w:rPr>
        <w:t>成功上传递交至</w:t>
      </w:r>
      <w:r>
        <w:rPr>
          <w:rFonts w:hint="eastAsia" w:ascii="仿宋" w:hAnsi="仿宋" w:eastAsia="仿宋" w:cs="仿宋"/>
          <w:color w:val="000000"/>
          <w:sz w:val="21"/>
          <w:szCs w:val="21"/>
          <w:highlight w:val="none"/>
          <w:lang w:bidi="ar"/>
        </w:rPr>
        <w:t>衢州市阳光交易服务平台（https://qzygjy.com/TPBidder/memberLogin?type=13），</w:t>
      </w:r>
      <w:r>
        <w:rPr>
          <w:rFonts w:hint="eastAsia" w:ascii="仿宋" w:hAnsi="仿宋" w:eastAsia="仿宋" w:cs="仿宋"/>
          <w:bCs/>
          <w:color w:val="000000"/>
          <w:sz w:val="21"/>
          <w:szCs w:val="21"/>
          <w:highlight w:val="none"/>
        </w:rPr>
        <w:t>否则投标无效。</w:t>
      </w:r>
    </w:p>
    <w:p w14:paraId="5BFE39A5">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2.投标文件的修改与撤回</w:t>
      </w:r>
    </w:p>
    <w:p w14:paraId="3C829808">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⑴投标人应当在开标响应截止时间前完成投标文件的上传、递交，并可以补充、修改或者撤回投标文件。补充或者修改投标文件的，应当先行撤回原文件，补充、修改后重新上传、递交。开标响应截止时间前未完成上传、递交的，视为撤回投标文件。开标响应截止时间后递交的投标文件，“衢州市阳光交易服务平台”将予以拒收。</w:t>
      </w:r>
    </w:p>
    <w:p w14:paraId="17E37834">
      <w:pPr>
        <w:pStyle w:val="65"/>
        <w:spacing w:line="360" w:lineRule="auto"/>
        <w:ind w:firstLine="420" w:firstLineChars="200"/>
        <w:jc w:val="left"/>
        <w:rPr>
          <w:rFonts w:hint="eastAsia"/>
          <w:sz w:val="21"/>
          <w:szCs w:val="21"/>
          <w:highlight w:val="none"/>
          <w:lang w:val="zh-CN"/>
        </w:rPr>
      </w:pPr>
      <w:r>
        <w:rPr>
          <w:rFonts w:hint="eastAsia" w:ascii="仿宋" w:hAnsi="仿宋" w:eastAsia="仿宋" w:cs="仿宋"/>
          <w:bCs/>
          <w:color w:val="000000"/>
          <w:sz w:val="21"/>
          <w:szCs w:val="21"/>
          <w:highlight w:val="none"/>
        </w:rPr>
        <w:t>⑵开标响应截止时间后，投标人不得撤回、修改《投标文件》。</w:t>
      </w:r>
    </w:p>
    <w:p w14:paraId="322BE65F">
      <w:pPr>
        <w:pageBreakBefore w:val="0"/>
        <w:kinsoku/>
        <w:wordWrap/>
        <w:topLinePunct w:val="0"/>
        <w:autoSpaceDE w:val="0"/>
        <w:autoSpaceDN w:val="0"/>
        <w:bidi w:val="0"/>
        <w:adjustRightInd w:val="0"/>
        <w:snapToGrid w:val="0"/>
        <w:spacing w:beforeAutospacing="0" w:afterAutospacing="0" w:line="360" w:lineRule="auto"/>
        <w:ind w:left="0" w:leftChars="0" w:firstLine="210" w:firstLineChars="100"/>
        <w:jc w:val="left"/>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（八）响应无效的情形</w:t>
      </w:r>
    </w:p>
    <w:p w14:paraId="5AA321E2">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1.有下列情况之一的，对投标人作无效标处理。</w:t>
      </w:r>
    </w:p>
    <w:p w14:paraId="1F727B09">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1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⑴</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不具备</w:t>
      </w:r>
      <w:r>
        <w:rPr>
          <w:rFonts w:hint="eastAsia" w:ascii="仿宋" w:hAnsi="仿宋" w:eastAsia="仿宋" w:cs="仿宋"/>
          <w:bCs/>
          <w:color w:val="000000"/>
          <w:sz w:val="21"/>
          <w:szCs w:val="21"/>
          <w:highlight w:val="none"/>
          <w:lang w:eastAsia="zh-CN"/>
        </w:rPr>
        <w:t>采购文件</w:t>
      </w:r>
      <w:r>
        <w:rPr>
          <w:rFonts w:hint="eastAsia" w:ascii="仿宋" w:hAnsi="仿宋" w:eastAsia="仿宋" w:cs="仿宋"/>
          <w:bCs/>
          <w:color w:val="000000"/>
          <w:sz w:val="21"/>
          <w:szCs w:val="21"/>
          <w:highlight w:val="none"/>
        </w:rPr>
        <w:t>规定资格要求；</w:t>
      </w:r>
    </w:p>
    <w:p w14:paraId="20DD8120">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2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⑵</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获取</w:t>
      </w:r>
      <w:r>
        <w:rPr>
          <w:rFonts w:hint="eastAsia" w:ascii="仿宋" w:hAnsi="仿宋" w:eastAsia="仿宋" w:cs="仿宋"/>
          <w:bCs/>
          <w:color w:val="000000"/>
          <w:sz w:val="21"/>
          <w:szCs w:val="21"/>
          <w:highlight w:val="none"/>
          <w:lang w:eastAsia="zh-CN"/>
        </w:rPr>
        <w:t>采购文件</w:t>
      </w:r>
      <w:r>
        <w:rPr>
          <w:rFonts w:hint="eastAsia" w:ascii="仿宋" w:hAnsi="仿宋" w:eastAsia="仿宋" w:cs="仿宋"/>
          <w:bCs/>
          <w:color w:val="000000"/>
          <w:sz w:val="21"/>
          <w:szCs w:val="21"/>
          <w:highlight w:val="none"/>
        </w:rPr>
        <w:t>的投标人与参加开标投标人发生实质性变更的且未提供有效证明的；</w:t>
      </w:r>
    </w:p>
    <w:p w14:paraId="31306E6F">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3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⑶</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在“资格审查文件”“</w:t>
      </w:r>
      <w:r>
        <w:rPr>
          <w:rFonts w:hint="eastAsia" w:ascii="仿宋" w:hAnsi="仿宋" w:eastAsia="仿宋" w:cs="仿宋"/>
          <w:bCs/>
          <w:color w:val="000000"/>
          <w:sz w:val="21"/>
          <w:szCs w:val="21"/>
          <w:highlight w:val="none"/>
          <w:lang w:eastAsia="zh-CN"/>
        </w:rPr>
        <w:t>技术商务</w:t>
      </w:r>
      <w:r>
        <w:rPr>
          <w:rFonts w:hint="eastAsia" w:ascii="仿宋" w:hAnsi="仿宋" w:eastAsia="仿宋" w:cs="仿宋"/>
          <w:bCs/>
          <w:color w:val="000000"/>
          <w:sz w:val="21"/>
          <w:szCs w:val="21"/>
          <w:highlight w:val="none"/>
        </w:rPr>
        <w:t>文件”中出现</w:t>
      </w:r>
      <w:r>
        <w:rPr>
          <w:rFonts w:hint="eastAsia" w:ascii="仿宋" w:hAnsi="仿宋" w:eastAsia="仿宋" w:cs="仿宋"/>
          <w:bCs/>
          <w:color w:val="000000"/>
          <w:sz w:val="21"/>
          <w:szCs w:val="21"/>
          <w:highlight w:val="none"/>
          <w:lang w:val="en-US" w:eastAsia="zh-CN"/>
        </w:rPr>
        <w:t>投标</w:t>
      </w:r>
      <w:r>
        <w:rPr>
          <w:rFonts w:hint="eastAsia" w:ascii="仿宋" w:hAnsi="仿宋" w:eastAsia="仿宋" w:cs="仿宋"/>
          <w:bCs/>
          <w:color w:val="000000"/>
          <w:sz w:val="21"/>
          <w:szCs w:val="21"/>
          <w:highlight w:val="none"/>
        </w:rPr>
        <w:t>报价的；</w:t>
      </w:r>
    </w:p>
    <w:p w14:paraId="477B68EE">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4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⑷</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lang w:eastAsia="zh-CN"/>
        </w:rPr>
        <w:t>采购文件</w:t>
      </w:r>
      <w:r>
        <w:rPr>
          <w:rFonts w:hint="eastAsia" w:ascii="仿宋" w:hAnsi="仿宋" w:eastAsia="仿宋" w:cs="仿宋"/>
          <w:bCs/>
          <w:color w:val="000000"/>
          <w:sz w:val="21"/>
          <w:szCs w:val="21"/>
          <w:highlight w:val="none"/>
        </w:rPr>
        <w:t>中有▲处条款投标人未作实质性响应的；</w:t>
      </w:r>
    </w:p>
    <w:p w14:paraId="1463798E">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5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⑸</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提供虚假材料谋取中标的；</w:t>
      </w:r>
    </w:p>
    <w:p w14:paraId="0B55C76E">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6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⑹</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投标报价超过</w:t>
      </w:r>
      <w:r>
        <w:rPr>
          <w:rFonts w:hint="eastAsia" w:ascii="仿宋" w:hAnsi="仿宋" w:eastAsia="仿宋" w:cs="仿宋"/>
          <w:bCs/>
          <w:color w:val="000000"/>
          <w:sz w:val="21"/>
          <w:szCs w:val="21"/>
          <w:highlight w:val="none"/>
          <w:lang w:eastAsia="zh-CN"/>
        </w:rPr>
        <w:t>招标</w:t>
      </w:r>
      <w:r>
        <w:rPr>
          <w:rFonts w:hint="eastAsia" w:ascii="仿宋" w:hAnsi="仿宋" w:eastAsia="仿宋" w:cs="仿宋"/>
          <w:bCs/>
          <w:color w:val="000000"/>
          <w:sz w:val="21"/>
          <w:szCs w:val="21"/>
          <w:highlight w:val="none"/>
        </w:rPr>
        <w:t>预算价或最高限价的；</w:t>
      </w:r>
    </w:p>
    <w:p w14:paraId="5EDD9356">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7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⑺</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资格审查文件不全的，或者不符合</w:t>
      </w:r>
      <w:r>
        <w:rPr>
          <w:rFonts w:hint="eastAsia" w:ascii="仿宋" w:hAnsi="仿宋" w:eastAsia="仿宋" w:cs="仿宋"/>
          <w:bCs/>
          <w:color w:val="000000"/>
          <w:sz w:val="21"/>
          <w:szCs w:val="21"/>
          <w:highlight w:val="none"/>
          <w:lang w:eastAsia="zh-CN"/>
        </w:rPr>
        <w:t>采购文件</w:t>
      </w:r>
      <w:r>
        <w:rPr>
          <w:rFonts w:hint="eastAsia" w:ascii="仿宋" w:hAnsi="仿宋" w:eastAsia="仿宋" w:cs="仿宋"/>
          <w:bCs/>
          <w:color w:val="000000"/>
          <w:sz w:val="21"/>
          <w:szCs w:val="21"/>
          <w:highlight w:val="none"/>
        </w:rPr>
        <w:t>标明的资格要求的；</w:t>
      </w:r>
    </w:p>
    <w:p w14:paraId="1F2A8F78">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8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⑻</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投标人在</w:t>
      </w:r>
      <w:r>
        <w:rPr>
          <w:rFonts w:hint="eastAsia" w:ascii="仿宋" w:hAnsi="仿宋" w:eastAsia="仿宋" w:cs="仿宋"/>
          <w:bCs/>
          <w:color w:val="000000"/>
          <w:sz w:val="21"/>
          <w:szCs w:val="21"/>
          <w:highlight w:val="none"/>
          <w:lang w:val="en-US" w:eastAsia="zh-CN"/>
        </w:rPr>
        <w:t>投标</w:t>
      </w:r>
      <w:r>
        <w:rPr>
          <w:rFonts w:hint="eastAsia" w:ascii="仿宋" w:hAnsi="仿宋" w:eastAsia="仿宋" w:cs="仿宋"/>
          <w:bCs/>
          <w:color w:val="000000"/>
          <w:sz w:val="21"/>
          <w:szCs w:val="21"/>
          <w:highlight w:val="none"/>
        </w:rPr>
        <w:t>报价计算或表达上有错误时，投标人不接受修正后报价的；</w:t>
      </w:r>
    </w:p>
    <w:p w14:paraId="02D6F7E4">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9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⑼</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明显不符合</w:t>
      </w:r>
      <w:r>
        <w:rPr>
          <w:rFonts w:hint="eastAsia" w:ascii="仿宋" w:hAnsi="仿宋" w:eastAsia="仿宋" w:cs="仿宋"/>
          <w:bCs/>
          <w:color w:val="000000"/>
          <w:sz w:val="21"/>
          <w:szCs w:val="21"/>
          <w:highlight w:val="none"/>
          <w:lang w:eastAsia="zh-CN"/>
        </w:rPr>
        <w:t>采购文件</w:t>
      </w:r>
      <w:r>
        <w:rPr>
          <w:rFonts w:hint="eastAsia" w:ascii="仿宋" w:hAnsi="仿宋" w:eastAsia="仿宋" w:cs="仿宋"/>
          <w:bCs/>
          <w:color w:val="000000"/>
          <w:sz w:val="21"/>
          <w:szCs w:val="21"/>
          <w:highlight w:val="none"/>
        </w:rPr>
        <w:t>中主要技术规格、技术标准的（例如关于“▲”条款及特别说明的）；</w:t>
      </w:r>
    </w:p>
    <w:p w14:paraId="32CA0F2B">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10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⑽</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投标文件含有</w:t>
      </w:r>
      <w:r>
        <w:rPr>
          <w:rFonts w:hint="eastAsia" w:ascii="仿宋" w:hAnsi="仿宋" w:eastAsia="仿宋" w:cs="仿宋"/>
          <w:bCs/>
          <w:color w:val="000000"/>
          <w:sz w:val="21"/>
          <w:szCs w:val="21"/>
          <w:highlight w:val="none"/>
          <w:lang w:eastAsia="zh-CN"/>
        </w:rPr>
        <w:t>采购人</w:t>
      </w:r>
      <w:r>
        <w:rPr>
          <w:rFonts w:hint="eastAsia" w:ascii="仿宋" w:hAnsi="仿宋" w:eastAsia="仿宋" w:cs="仿宋"/>
          <w:bCs/>
          <w:color w:val="000000"/>
          <w:sz w:val="21"/>
          <w:szCs w:val="21"/>
          <w:highlight w:val="none"/>
        </w:rPr>
        <w:t>不能接受的附</w:t>
      </w:r>
      <w:r>
        <w:rPr>
          <w:rFonts w:hint="eastAsia" w:ascii="仿宋" w:hAnsi="仿宋" w:eastAsia="仿宋" w:cs="仿宋"/>
          <w:bCs/>
          <w:color w:val="000000"/>
          <w:sz w:val="21"/>
          <w:szCs w:val="21"/>
          <w:highlight w:val="none"/>
          <w:lang w:val="en-US" w:eastAsia="zh-CN"/>
        </w:rPr>
        <w:t>加</w:t>
      </w:r>
      <w:r>
        <w:rPr>
          <w:rFonts w:hint="eastAsia" w:ascii="仿宋" w:hAnsi="仿宋" w:eastAsia="仿宋" w:cs="仿宋"/>
          <w:bCs/>
          <w:color w:val="000000"/>
          <w:sz w:val="21"/>
          <w:szCs w:val="21"/>
          <w:highlight w:val="none"/>
        </w:rPr>
        <w:t>条件的；</w:t>
      </w:r>
    </w:p>
    <w:p w14:paraId="038185BA">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11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⑾</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投标文件载明的</w:t>
      </w:r>
      <w:r>
        <w:rPr>
          <w:rFonts w:hint="eastAsia" w:ascii="仿宋" w:hAnsi="仿宋" w:eastAsia="仿宋" w:cs="仿宋"/>
          <w:bCs/>
          <w:color w:val="000000"/>
          <w:sz w:val="21"/>
          <w:szCs w:val="21"/>
          <w:highlight w:val="none"/>
          <w:lang w:eastAsia="zh-CN"/>
        </w:rPr>
        <w:t>招标</w:t>
      </w:r>
      <w:r>
        <w:rPr>
          <w:rFonts w:hint="eastAsia" w:ascii="仿宋" w:hAnsi="仿宋" w:eastAsia="仿宋" w:cs="仿宋"/>
          <w:bCs/>
          <w:color w:val="000000"/>
          <w:sz w:val="21"/>
          <w:szCs w:val="21"/>
          <w:highlight w:val="none"/>
        </w:rPr>
        <w:t>项目完成期限超过了</w:t>
      </w:r>
      <w:r>
        <w:rPr>
          <w:rFonts w:hint="eastAsia" w:ascii="仿宋" w:hAnsi="仿宋" w:eastAsia="仿宋" w:cs="仿宋"/>
          <w:bCs/>
          <w:color w:val="000000"/>
          <w:sz w:val="21"/>
          <w:szCs w:val="21"/>
          <w:highlight w:val="none"/>
          <w:lang w:eastAsia="zh-CN"/>
        </w:rPr>
        <w:t>招标</w:t>
      </w:r>
      <w:r>
        <w:rPr>
          <w:rFonts w:hint="eastAsia" w:ascii="仿宋" w:hAnsi="仿宋" w:eastAsia="仿宋" w:cs="仿宋"/>
          <w:bCs/>
          <w:color w:val="000000"/>
          <w:sz w:val="21"/>
          <w:szCs w:val="21"/>
          <w:highlight w:val="none"/>
        </w:rPr>
        <w:t>项目文件规定的期限；</w:t>
      </w:r>
    </w:p>
    <w:p w14:paraId="2EF6A7A6">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12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⑿</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投标人有围标串标行为或明显串标嫌疑的；</w:t>
      </w:r>
    </w:p>
    <w:p w14:paraId="6FF11671">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13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⒀</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不同投标人的投标文件制作机器码或创建标识码一致的（投标文件制作机器码一致是指MAC地址、CPU序列号、硬盘序列号、主板序列号全部一致或制作IP地址、上传IP地址等与此电脑相关的硬件标识号码中有一个一致）</w:t>
      </w:r>
    </w:p>
    <w:p w14:paraId="5459B319">
      <w:pPr>
        <w:pStyle w:val="65"/>
        <w:spacing w:line="360" w:lineRule="auto"/>
        <w:ind w:firstLine="420" w:firstLineChars="200"/>
        <w:jc w:val="both"/>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⒁不符合</w:t>
      </w:r>
      <w:r>
        <w:rPr>
          <w:rFonts w:hint="eastAsia" w:ascii="仿宋" w:hAnsi="仿宋" w:eastAsia="仿宋" w:cs="仿宋"/>
          <w:bCs/>
          <w:color w:val="000000"/>
          <w:sz w:val="21"/>
          <w:szCs w:val="21"/>
          <w:highlight w:val="none"/>
          <w:lang w:eastAsia="zh-CN"/>
        </w:rPr>
        <w:t>法律法规</w:t>
      </w:r>
      <w:r>
        <w:rPr>
          <w:rFonts w:hint="eastAsia" w:ascii="仿宋" w:hAnsi="仿宋" w:eastAsia="仿宋" w:cs="仿宋"/>
          <w:bCs/>
          <w:color w:val="000000"/>
          <w:sz w:val="21"/>
          <w:szCs w:val="21"/>
          <w:highlight w:val="none"/>
        </w:rPr>
        <w:t>和</w:t>
      </w:r>
      <w:r>
        <w:rPr>
          <w:rFonts w:hint="eastAsia" w:ascii="仿宋" w:hAnsi="仿宋" w:eastAsia="仿宋" w:cs="仿宋"/>
          <w:bCs/>
          <w:color w:val="000000"/>
          <w:sz w:val="21"/>
          <w:szCs w:val="21"/>
          <w:highlight w:val="none"/>
          <w:lang w:eastAsia="zh-CN"/>
        </w:rPr>
        <w:t>采购文件</w:t>
      </w:r>
      <w:r>
        <w:rPr>
          <w:rFonts w:hint="eastAsia" w:ascii="仿宋" w:hAnsi="仿宋" w:eastAsia="仿宋" w:cs="仿宋"/>
          <w:bCs/>
          <w:color w:val="000000"/>
          <w:sz w:val="21"/>
          <w:szCs w:val="21"/>
          <w:highlight w:val="none"/>
        </w:rPr>
        <w:t>规定的其他实质性要求的。</w:t>
      </w:r>
    </w:p>
    <w:p w14:paraId="731617A9">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(九)采购活动应当终止的情形</w:t>
      </w:r>
    </w:p>
    <w:p w14:paraId="1D497D61">
      <w:pPr>
        <w:pageBreakBefore w:val="0"/>
        <w:kinsoku/>
        <w:wordWrap/>
        <w:topLinePunct w:val="0"/>
        <w:bidi w:val="0"/>
        <w:snapToGrid w:val="0"/>
        <w:spacing w:beforeAutospacing="0" w:afterAutospacing="0" w:line="360" w:lineRule="auto"/>
        <w:ind w:left="0" w:leftChars="0"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因情况变化，不再符合规定的竞争性磋商采购方式适用情形的；</w:t>
      </w:r>
    </w:p>
    <w:p w14:paraId="5A109710">
      <w:pPr>
        <w:pageBreakBefore w:val="0"/>
        <w:kinsoku/>
        <w:wordWrap/>
        <w:topLinePunct w:val="0"/>
        <w:bidi w:val="0"/>
        <w:snapToGrid w:val="0"/>
        <w:spacing w:beforeAutospacing="0" w:afterAutospacing="0" w:line="360" w:lineRule="auto"/>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出现影响磋商公正的违法、违规行为的；</w:t>
      </w:r>
    </w:p>
    <w:p w14:paraId="2102DC9B">
      <w:pPr>
        <w:pStyle w:val="65"/>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在采购过程中符合要求的供应商或者报价未超过采购预算的供应商不足3家的（政府采购竞争性磋商管理暂行办法第二十一条第三款规定的情形除外）；</w:t>
      </w:r>
    </w:p>
    <w:p w14:paraId="2FAF3C8C">
      <w:pPr>
        <w:pStyle w:val="65"/>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因重大变故，采购任务取消的。</w:t>
      </w:r>
    </w:p>
    <w:p w14:paraId="1483F173">
      <w:pPr>
        <w:pStyle w:val="65"/>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采购活动终止后，理由将通知所有参加采购活动的供应商。</w:t>
      </w:r>
    </w:p>
    <w:p w14:paraId="09DAF323">
      <w:pPr>
        <w:pStyle w:val="65"/>
        <w:spacing w:line="360" w:lineRule="auto"/>
        <w:ind w:firstLine="420" w:firstLineChars="200"/>
        <w:jc w:val="left"/>
        <w:rPr>
          <w:rFonts w:hint="eastAsia" w:ascii="仿宋" w:hAnsi="仿宋" w:eastAsia="仿宋" w:cs="仿宋"/>
          <w:b/>
          <w:color w:val="000000"/>
          <w:sz w:val="21"/>
          <w:szCs w:val="21"/>
          <w:highlight w:val="none"/>
          <w:lang w:val="zh-CN"/>
        </w:rPr>
      </w:pPr>
      <w:r>
        <w:rPr>
          <w:rFonts w:hint="eastAsia" w:ascii="仿宋" w:hAnsi="仿宋" w:eastAsia="仿宋" w:cs="仿宋"/>
          <w:b/>
          <w:color w:val="000000"/>
          <w:sz w:val="21"/>
          <w:szCs w:val="21"/>
          <w:highlight w:val="none"/>
          <w:lang w:val="zh-CN"/>
        </w:rPr>
        <w:t>（十）特别说明</w:t>
      </w:r>
    </w:p>
    <w:p w14:paraId="3B81E678">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
          <w:sz w:val="21"/>
          <w:szCs w:val="21"/>
          <w:highlight w:val="none"/>
          <w:u w:val="none"/>
        </w:rPr>
        <w:t>▲1.供应商法定代表人或单位负责人为同一人或者存在直接控股、管理关系的不同供应商，不得参加同一合同项下的政府采购活动。违反该款规定的，相关供应商均按响应无效处理。</w:t>
      </w:r>
    </w:p>
    <w:p w14:paraId="79459DBC">
      <w:pPr>
        <w:pStyle w:val="65"/>
        <w:spacing w:line="360" w:lineRule="auto"/>
        <w:ind w:firstLine="420" w:firstLineChars="200"/>
        <w:jc w:val="left"/>
        <w:rPr>
          <w:rFonts w:hint="eastAsia" w:ascii="仿宋" w:hAnsi="仿宋" w:eastAsia="仿宋" w:cs="仿宋"/>
          <w:b/>
          <w:sz w:val="21"/>
          <w:szCs w:val="21"/>
          <w:highlight w:val="none"/>
          <w:u w:val="none"/>
        </w:rPr>
      </w:pPr>
      <w:r>
        <w:rPr>
          <w:rFonts w:hint="eastAsia" w:ascii="仿宋" w:hAnsi="仿宋" w:eastAsia="仿宋" w:cs="仿宋"/>
          <w:b/>
          <w:sz w:val="21"/>
          <w:szCs w:val="21"/>
          <w:highlight w:val="none"/>
          <w:u w:val="none"/>
        </w:rPr>
        <w:t>▲2.有下列情形之一的，视为供应商串通投标，其响应无效：</w:t>
      </w:r>
    </w:p>
    <w:p w14:paraId="040D708D">
      <w:pPr>
        <w:pStyle w:val="65"/>
        <w:spacing w:line="360" w:lineRule="auto"/>
        <w:ind w:firstLine="420" w:firstLineChars="200"/>
        <w:jc w:val="left"/>
        <w:rPr>
          <w:rFonts w:hint="eastAsia" w:ascii="仿宋" w:hAnsi="仿宋" w:eastAsia="仿宋" w:cs="仿宋"/>
          <w:b/>
          <w:sz w:val="21"/>
          <w:szCs w:val="21"/>
          <w:highlight w:val="none"/>
          <w:u w:val="none"/>
        </w:rPr>
      </w:pPr>
      <w:r>
        <w:rPr>
          <w:rFonts w:hint="eastAsia" w:ascii="仿宋" w:hAnsi="仿宋" w:eastAsia="仿宋" w:cs="仿宋"/>
          <w:b/>
          <w:sz w:val="21"/>
          <w:szCs w:val="21"/>
          <w:highlight w:val="none"/>
          <w:u w:val="none"/>
          <w:lang w:eastAsia="zh-CN"/>
        </w:rPr>
        <w:t>（</w:t>
      </w:r>
      <w:r>
        <w:rPr>
          <w:rFonts w:hint="eastAsia" w:ascii="仿宋" w:hAnsi="仿宋" w:eastAsia="仿宋" w:cs="仿宋"/>
          <w:b/>
          <w:sz w:val="21"/>
          <w:szCs w:val="21"/>
          <w:highlight w:val="none"/>
          <w:u w:val="none"/>
          <w:lang w:val="en-US" w:eastAsia="zh-CN"/>
        </w:rPr>
        <w:t>1</w:t>
      </w:r>
      <w:r>
        <w:rPr>
          <w:rFonts w:hint="eastAsia" w:ascii="仿宋" w:hAnsi="仿宋" w:eastAsia="仿宋" w:cs="仿宋"/>
          <w:b/>
          <w:sz w:val="21"/>
          <w:szCs w:val="21"/>
          <w:highlight w:val="none"/>
          <w:u w:val="none"/>
          <w:lang w:eastAsia="zh-CN"/>
        </w:rPr>
        <w:t>）</w:t>
      </w:r>
      <w:r>
        <w:rPr>
          <w:rFonts w:hint="eastAsia" w:ascii="仿宋" w:hAnsi="仿宋" w:eastAsia="仿宋" w:cs="仿宋"/>
          <w:b/>
          <w:sz w:val="21"/>
          <w:szCs w:val="21"/>
          <w:highlight w:val="none"/>
          <w:u w:val="none"/>
        </w:rPr>
        <w:t>不同供应商的响应文件由同一单位或者个人编制；</w:t>
      </w:r>
    </w:p>
    <w:p w14:paraId="655EC097">
      <w:pPr>
        <w:pStyle w:val="65"/>
        <w:spacing w:line="360" w:lineRule="auto"/>
        <w:ind w:firstLine="420" w:firstLineChars="200"/>
        <w:jc w:val="left"/>
        <w:rPr>
          <w:rFonts w:hint="eastAsia" w:ascii="仿宋" w:hAnsi="仿宋" w:eastAsia="仿宋" w:cs="仿宋"/>
          <w:b/>
          <w:sz w:val="21"/>
          <w:szCs w:val="21"/>
          <w:highlight w:val="none"/>
          <w:u w:val="none"/>
        </w:rPr>
      </w:pPr>
      <w:r>
        <w:rPr>
          <w:rFonts w:hint="eastAsia" w:ascii="仿宋" w:hAnsi="仿宋" w:eastAsia="仿宋" w:cs="仿宋"/>
          <w:b/>
          <w:sz w:val="21"/>
          <w:szCs w:val="21"/>
          <w:highlight w:val="none"/>
          <w:u w:val="none"/>
        </w:rPr>
        <w:t>（</w:t>
      </w:r>
      <w:r>
        <w:rPr>
          <w:rFonts w:hint="eastAsia" w:ascii="仿宋" w:hAnsi="仿宋" w:eastAsia="仿宋" w:cs="仿宋"/>
          <w:b/>
          <w:sz w:val="21"/>
          <w:szCs w:val="21"/>
          <w:highlight w:val="none"/>
          <w:u w:val="none"/>
          <w:lang w:val="en-US" w:eastAsia="zh-CN"/>
        </w:rPr>
        <w:t>2</w:t>
      </w:r>
      <w:r>
        <w:rPr>
          <w:rFonts w:hint="eastAsia" w:ascii="仿宋" w:hAnsi="仿宋" w:eastAsia="仿宋" w:cs="仿宋"/>
          <w:b/>
          <w:sz w:val="21"/>
          <w:szCs w:val="21"/>
          <w:highlight w:val="none"/>
          <w:u w:val="none"/>
        </w:rPr>
        <w:t>）不同供应商委托同一单位或者个人办理投标事宜；</w:t>
      </w:r>
    </w:p>
    <w:p w14:paraId="4BD62190">
      <w:pPr>
        <w:pStyle w:val="65"/>
        <w:spacing w:line="360" w:lineRule="auto"/>
        <w:ind w:firstLine="420" w:firstLineChars="200"/>
        <w:jc w:val="left"/>
        <w:rPr>
          <w:rFonts w:hint="eastAsia" w:ascii="仿宋" w:hAnsi="仿宋" w:eastAsia="仿宋" w:cs="仿宋"/>
          <w:b/>
          <w:sz w:val="21"/>
          <w:szCs w:val="21"/>
          <w:highlight w:val="none"/>
          <w:u w:val="none"/>
        </w:rPr>
      </w:pPr>
      <w:r>
        <w:rPr>
          <w:rFonts w:hint="eastAsia" w:ascii="仿宋" w:hAnsi="仿宋" w:eastAsia="仿宋" w:cs="仿宋"/>
          <w:b/>
          <w:sz w:val="21"/>
          <w:szCs w:val="21"/>
          <w:highlight w:val="none"/>
          <w:u w:val="none"/>
        </w:rPr>
        <w:t>（</w:t>
      </w:r>
      <w:r>
        <w:rPr>
          <w:rFonts w:hint="eastAsia" w:ascii="仿宋" w:hAnsi="仿宋" w:eastAsia="仿宋" w:cs="仿宋"/>
          <w:b/>
          <w:sz w:val="21"/>
          <w:szCs w:val="21"/>
          <w:highlight w:val="none"/>
          <w:u w:val="none"/>
          <w:lang w:val="en-US" w:eastAsia="zh-CN"/>
        </w:rPr>
        <w:t>3</w:t>
      </w:r>
      <w:r>
        <w:rPr>
          <w:rFonts w:hint="eastAsia" w:ascii="仿宋" w:hAnsi="仿宋" w:eastAsia="仿宋" w:cs="仿宋"/>
          <w:b/>
          <w:sz w:val="21"/>
          <w:szCs w:val="21"/>
          <w:highlight w:val="none"/>
          <w:u w:val="none"/>
        </w:rPr>
        <w:t>）不同供应商的响应文件载明的项目管理成员为同一人；</w:t>
      </w:r>
    </w:p>
    <w:p w14:paraId="251D3721">
      <w:pPr>
        <w:pStyle w:val="65"/>
        <w:spacing w:line="360" w:lineRule="auto"/>
        <w:ind w:firstLine="420" w:firstLineChars="200"/>
        <w:jc w:val="left"/>
        <w:rPr>
          <w:rFonts w:hint="eastAsia" w:ascii="仿宋" w:hAnsi="仿宋" w:eastAsia="仿宋" w:cs="仿宋"/>
          <w:b/>
          <w:sz w:val="21"/>
          <w:szCs w:val="21"/>
          <w:highlight w:val="none"/>
          <w:u w:val="none"/>
        </w:rPr>
      </w:pPr>
      <w:r>
        <w:rPr>
          <w:rFonts w:hint="eastAsia" w:ascii="仿宋" w:hAnsi="仿宋" w:eastAsia="仿宋" w:cs="仿宋"/>
          <w:b/>
          <w:sz w:val="21"/>
          <w:szCs w:val="21"/>
          <w:highlight w:val="none"/>
          <w:u w:val="none"/>
        </w:rPr>
        <w:t>（</w:t>
      </w:r>
      <w:r>
        <w:rPr>
          <w:rFonts w:hint="eastAsia" w:ascii="仿宋" w:hAnsi="仿宋" w:eastAsia="仿宋" w:cs="仿宋"/>
          <w:b/>
          <w:sz w:val="21"/>
          <w:szCs w:val="21"/>
          <w:highlight w:val="none"/>
          <w:u w:val="none"/>
          <w:lang w:val="en-US" w:eastAsia="zh-CN"/>
        </w:rPr>
        <w:t>4</w:t>
      </w:r>
      <w:r>
        <w:rPr>
          <w:rFonts w:hint="eastAsia" w:ascii="仿宋" w:hAnsi="仿宋" w:eastAsia="仿宋" w:cs="仿宋"/>
          <w:b/>
          <w:sz w:val="21"/>
          <w:szCs w:val="21"/>
          <w:highlight w:val="none"/>
          <w:u w:val="none"/>
        </w:rPr>
        <w:t>）不同供应商的响应文件异常一致或者响应报价呈规律性差异；</w:t>
      </w:r>
    </w:p>
    <w:p w14:paraId="54ECC026">
      <w:pPr>
        <w:pStyle w:val="65"/>
        <w:spacing w:line="360" w:lineRule="auto"/>
        <w:ind w:firstLine="420" w:firstLineChars="200"/>
        <w:jc w:val="left"/>
        <w:rPr>
          <w:rFonts w:hint="eastAsia" w:ascii="仿宋" w:hAnsi="仿宋" w:eastAsia="仿宋" w:cs="仿宋"/>
          <w:b/>
          <w:sz w:val="21"/>
          <w:szCs w:val="21"/>
          <w:highlight w:val="none"/>
          <w:u w:val="none"/>
        </w:rPr>
      </w:pPr>
      <w:r>
        <w:rPr>
          <w:rFonts w:hint="eastAsia" w:ascii="仿宋" w:hAnsi="仿宋" w:eastAsia="仿宋" w:cs="仿宋"/>
          <w:b/>
          <w:sz w:val="21"/>
          <w:szCs w:val="21"/>
          <w:highlight w:val="none"/>
          <w:u w:val="none"/>
        </w:rPr>
        <w:t>（</w:t>
      </w:r>
      <w:r>
        <w:rPr>
          <w:rFonts w:hint="eastAsia" w:ascii="仿宋" w:hAnsi="仿宋" w:eastAsia="仿宋" w:cs="仿宋"/>
          <w:b/>
          <w:sz w:val="21"/>
          <w:szCs w:val="21"/>
          <w:highlight w:val="none"/>
          <w:u w:val="none"/>
          <w:lang w:val="en-US" w:eastAsia="zh-CN"/>
        </w:rPr>
        <w:t>5</w:t>
      </w:r>
      <w:r>
        <w:rPr>
          <w:rFonts w:hint="eastAsia" w:ascii="仿宋" w:hAnsi="仿宋" w:eastAsia="仿宋" w:cs="仿宋"/>
          <w:b/>
          <w:sz w:val="21"/>
          <w:szCs w:val="21"/>
          <w:highlight w:val="none"/>
          <w:u w:val="none"/>
        </w:rPr>
        <w:t>）不同供应商的响应文件相互混装；</w:t>
      </w:r>
    </w:p>
    <w:p w14:paraId="5F7548FC">
      <w:pPr>
        <w:pStyle w:val="65"/>
        <w:spacing w:line="360" w:lineRule="auto"/>
        <w:ind w:firstLine="420" w:firstLineChars="200"/>
        <w:jc w:val="left"/>
        <w:rPr>
          <w:rFonts w:hint="eastAsia" w:ascii="仿宋" w:hAnsi="仿宋" w:eastAsia="仿宋" w:cs="仿宋"/>
          <w:b/>
          <w:sz w:val="21"/>
          <w:szCs w:val="21"/>
          <w:highlight w:val="none"/>
          <w:u w:val="none"/>
        </w:rPr>
      </w:pPr>
      <w:r>
        <w:rPr>
          <w:rFonts w:hint="eastAsia" w:ascii="仿宋" w:hAnsi="仿宋" w:eastAsia="仿宋" w:cs="仿宋"/>
          <w:b/>
          <w:sz w:val="21"/>
          <w:szCs w:val="21"/>
          <w:highlight w:val="none"/>
          <w:u w:val="none"/>
        </w:rPr>
        <w:t>（</w:t>
      </w:r>
      <w:r>
        <w:rPr>
          <w:rFonts w:hint="eastAsia" w:ascii="仿宋" w:hAnsi="仿宋" w:eastAsia="仿宋" w:cs="仿宋"/>
          <w:b/>
          <w:sz w:val="21"/>
          <w:szCs w:val="21"/>
          <w:highlight w:val="none"/>
          <w:u w:val="none"/>
          <w:lang w:val="en-US" w:eastAsia="zh-CN"/>
        </w:rPr>
        <w:t>6</w:t>
      </w:r>
      <w:r>
        <w:rPr>
          <w:rFonts w:hint="eastAsia" w:ascii="仿宋" w:hAnsi="仿宋" w:eastAsia="仿宋" w:cs="仿宋"/>
          <w:b/>
          <w:sz w:val="21"/>
          <w:szCs w:val="21"/>
          <w:highlight w:val="none"/>
          <w:u w:val="none"/>
        </w:rPr>
        <w:t>）不同供应商的响应无效保证金（如要求）从同一单位或者个人的账户转出。</w:t>
      </w:r>
    </w:p>
    <w:p w14:paraId="6BC3B4AE">
      <w:pPr>
        <w:pStyle w:val="65"/>
        <w:spacing w:line="360" w:lineRule="auto"/>
        <w:ind w:firstLine="420" w:firstLineChars="200"/>
        <w:jc w:val="left"/>
        <w:rPr>
          <w:rFonts w:hint="eastAsia" w:ascii="仿宋" w:hAnsi="仿宋" w:eastAsia="仿宋" w:cs="仿宋"/>
          <w:b/>
          <w:sz w:val="21"/>
          <w:szCs w:val="21"/>
          <w:highlight w:val="none"/>
          <w:u w:val="none"/>
        </w:rPr>
      </w:pPr>
      <w:r>
        <w:rPr>
          <w:rFonts w:hint="eastAsia" w:ascii="仿宋" w:hAnsi="仿宋" w:eastAsia="仿宋" w:cs="仿宋"/>
          <w:b/>
          <w:sz w:val="21"/>
          <w:szCs w:val="21"/>
          <w:highlight w:val="none"/>
          <w:u w:val="none"/>
        </w:rPr>
        <w:t>▲3.为本采购项目提供整体设计、规范编制或者项目管理、监理、检测等服务的供应商，不得再参加本次采购活动。</w:t>
      </w:r>
    </w:p>
    <w:p w14:paraId="2E4858AD">
      <w:pPr>
        <w:pStyle w:val="65"/>
        <w:spacing w:line="360" w:lineRule="auto"/>
        <w:ind w:firstLine="420" w:firstLineChars="200"/>
        <w:jc w:val="left"/>
        <w:rPr>
          <w:rFonts w:hint="eastAsia" w:ascii="仿宋" w:hAnsi="仿宋" w:eastAsia="仿宋" w:cs="仿宋"/>
          <w:b/>
          <w:sz w:val="21"/>
          <w:szCs w:val="21"/>
          <w:highlight w:val="none"/>
          <w:u w:val="none"/>
        </w:rPr>
      </w:pPr>
      <w:r>
        <w:rPr>
          <w:rFonts w:hint="eastAsia" w:ascii="仿宋" w:hAnsi="仿宋" w:eastAsia="仿宋" w:cs="仿宋"/>
          <w:b/>
          <w:sz w:val="21"/>
          <w:szCs w:val="21"/>
          <w:highlight w:val="none"/>
          <w:u w:val="none"/>
        </w:rPr>
        <w:t>★</w:t>
      </w:r>
      <w:r>
        <w:rPr>
          <w:rFonts w:hint="eastAsia" w:ascii="仿宋" w:hAnsi="仿宋" w:eastAsia="仿宋" w:cs="仿宋"/>
          <w:b/>
          <w:sz w:val="21"/>
          <w:szCs w:val="21"/>
          <w:highlight w:val="none"/>
          <w:u w:val="none"/>
          <w:lang w:val="en-US" w:eastAsia="zh-CN"/>
        </w:rPr>
        <w:t>4</w:t>
      </w:r>
      <w:r>
        <w:rPr>
          <w:rFonts w:hint="eastAsia" w:ascii="仿宋" w:hAnsi="仿宋" w:eastAsia="仿宋" w:cs="仿宋"/>
          <w:b/>
          <w:sz w:val="21"/>
          <w:szCs w:val="21"/>
          <w:highlight w:val="none"/>
          <w:u w:val="none"/>
        </w:rPr>
        <w:t>.供应商应仔细阅读采购文件的所有内容，按照采购文件的要求提交响应文件，并对所提供的全部资料的真实性承担法律责任。</w:t>
      </w:r>
    </w:p>
    <w:p w14:paraId="492A6BDD">
      <w:pPr>
        <w:pStyle w:val="65"/>
        <w:spacing w:line="360" w:lineRule="auto"/>
        <w:ind w:firstLine="420" w:firstLineChars="200"/>
        <w:jc w:val="left"/>
        <w:rPr>
          <w:rFonts w:hint="eastAsia" w:ascii="仿宋" w:hAnsi="仿宋" w:eastAsia="仿宋" w:cs="仿宋"/>
          <w:b/>
          <w:sz w:val="21"/>
          <w:szCs w:val="21"/>
          <w:highlight w:val="none"/>
          <w:u w:val="none"/>
        </w:rPr>
      </w:pPr>
      <w:r>
        <w:rPr>
          <w:rFonts w:hint="eastAsia" w:ascii="仿宋" w:hAnsi="仿宋" w:eastAsia="仿宋" w:cs="仿宋"/>
          <w:b/>
          <w:sz w:val="21"/>
          <w:szCs w:val="21"/>
          <w:highlight w:val="none"/>
          <w:u w:val="none"/>
          <w:lang w:val="en-US" w:eastAsia="zh-CN"/>
        </w:rPr>
        <w:t>5</w:t>
      </w:r>
      <w:r>
        <w:rPr>
          <w:rFonts w:hint="eastAsia" w:ascii="仿宋" w:hAnsi="仿宋" w:eastAsia="仿宋" w:cs="仿宋"/>
          <w:b/>
          <w:sz w:val="21"/>
          <w:szCs w:val="21"/>
          <w:highlight w:val="none"/>
          <w:u w:val="none"/>
        </w:rPr>
        <w:t>.供应商针对本项目磋商所使用的资格、信誉、荣誉、业绩与企业认证必须为供应商本单位所拥有，除非</w:t>
      </w:r>
      <w:r>
        <w:rPr>
          <w:rFonts w:hint="eastAsia" w:ascii="仿宋" w:hAnsi="仿宋" w:eastAsia="仿宋" w:cs="仿宋"/>
          <w:b/>
          <w:sz w:val="21"/>
          <w:szCs w:val="21"/>
          <w:highlight w:val="none"/>
          <w:u w:val="none"/>
          <w:lang w:eastAsia="zh-CN"/>
        </w:rPr>
        <w:t>采购</w:t>
      </w:r>
      <w:r>
        <w:rPr>
          <w:rFonts w:hint="eastAsia" w:ascii="仿宋" w:hAnsi="仿宋" w:eastAsia="仿宋" w:cs="仿宋"/>
          <w:b/>
          <w:sz w:val="21"/>
          <w:szCs w:val="21"/>
          <w:highlight w:val="none"/>
          <w:u w:val="none"/>
        </w:rPr>
        <w:t>文件有相反的规定。</w:t>
      </w:r>
    </w:p>
    <w:p w14:paraId="3248B49A">
      <w:pPr>
        <w:pStyle w:val="65"/>
        <w:spacing w:line="360" w:lineRule="auto"/>
        <w:ind w:firstLine="420" w:firstLineChars="200"/>
        <w:jc w:val="left"/>
        <w:rPr>
          <w:rFonts w:hint="eastAsia" w:eastAsia="仿宋"/>
          <w:sz w:val="21"/>
          <w:szCs w:val="21"/>
          <w:highlight w:val="none"/>
          <w:lang w:eastAsia="zh-CN"/>
        </w:rPr>
      </w:pPr>
      <w:r>
        <w:rPr>
          <w:rFonts w:hint="eastAsia" w:ascii="仿宋" w:hAnsi="仿宋" w:eastAsia="仿宋" w:cs="仿宋"/>
          <w:b/>
          <w:sz w:val="21"/>
          <w:szCs w:val="21"/>
          <w:highlight w:val="none"/>
          <w:u w:val="none"/>
        </w:rPr>
        <w:t>▲</w:t>
      </w:r>
      <w:r>
        <w:rPr>
          <w:rFonts w:hint="eastAsia" w:ascii="仿宋" w:hAnsi="仿宋" w:eastAsia="仿宋" w:cs="仿宋"/>
          <w:b/>
          <w:sz w:val="21"/>
          <w:szCs w:val="21"/>
          <w:highlight w:val="none"/>
          <w:u w:val="none"/>
          <w:lang w:val="en-US" w:eastAsia="zh-CN"/>
        </w:rPr>
        <w:t>6</w:t>
      </w:r>
      <w:r>
        <w:rPr>
          <w:rFonts w:hint="eastAsia" w:ascii="仿宋" w:hAnsi="仿宋" w:eastAsia="仿宋" w:cs="仿宋"/>
          <w:b/>
          <w:sz w:val="21"/>
          <w:szCs w:val="21"/>
          <w:highlight w:val="none"/>
          <w:u w:val="none"/>
        </w:rPr>
        <w:t>.供应商在磋商活动中提供任何虚假材料的，按无效响应处理，并报监管部门查处；成交后发现的，取消其成交资格</w:t>
      </w:r>
      <w:r>
        <w:rPr>
          <w:rFonts w:hint="eastAsia" w:ascii="仿宋" w:hAnsi="仿宋" w:eastAsia="仿宋" w:cs="仿宋"/>
          <w:b/>
          <w:sz w:val="21"/>
          <w:szCs w:val="21"/>
          <w:highlight w:val="none"/>
          <w:u w:val="none"/>
          <w:lang w:eastAsia="zh-CN"/>
        </w:rPr>
        <w:t>。</w:t>
      </w:r>
    </w:p>
    <w:p w14:paraId="04E22A8C">
      <w:pPr>
        <w:pStyle w:val="4"/>
        <w:pageBreakBefore w:val="0"/>
        <w:kinsoku/>
        <w:wordWrap/>
        <w:topLinePunct w:val="0"/>
        <w:bidi w:val="0"/>
        <w:snapToGrid w:val="0"/>
        <w:spacing w:before="0" w:beforeAutospacing="0" w:after="0" w:afterAutospacing="0" w:line="360" w:lineRule="auto"/>
        <w:ind w:left="0" w:leftChars="0"/>
        <w:jc w:val="center"/>
        <w:rPr>
          <w:rFonts w:hint="default" w:ascii="仿宋" w:hAnsi="仿宋" w:eastAsia="仿宋" w:cs="仿宋"/>
          <w:bCs w:val="0"/>
          <w:color w:val="000000"/>
          <w:sz w:val="28"/>
          <w:szCs w:val="28"/>
          <w:highlight w:val="none"/>
          <w:lang w:val="en-US" w:eastAsia="zh-CN"/>
        </w:rPr>
      </w:pPr>
      <w:bookmarkStart w:id="17" w:name="_Toc22986"/>
      <w:r>
        <w:rPr>
          <w:rFonts w:hint="eastAsia" w:ascii="仿宋" w:hAnsi="仿宋" w:eastAsia="仿宋" w:cs="仿宋"/>
          <w:bCs w:val="0"/>
          <w:color w:val="000000"/>
          <w:sz w:val="28"/>
          <w:szCs w:val="28"/>
          <w:highlight w:val="none"/>
          <w:lang w:val="zh-CN"/>
        </w:rPr>
        <w:t>四、</w:t>
      </w:r>
      <w:r>
        <w:rPr>
          <w:rFonts w:hint="eastAsia" w:ascii="仿宋" w:hAnsi="仿宋" w:eastAsia="仿宋" w:cs="仿宋"/>
          <w:bCs w:val="0"/>
          <w:color w:val="000000"/>
          <w:sz w:val="28"/>
          <w:szCs w:val="28"/>
          <w:highlight w:val="none"/>
          <w:lang w:val="en-US" w:eastAsia="zh-CN"/>
        </w:rPr>
        <w:t>开标</w:t>
      </w:r>
      <w:bookmarkEnd w:id="17"/>
      <w:r>
        <w:rPr>
          <w:rFonts w:hint="eastAsia" w:ascii="仿宋" w:hAnsi="仿宋" w:eastAsia="仿宋" w:cs="仿宋"/>
          <w:bCs w:val="0"/>
          <w:color w:val="000000"/>
          <w:sz w:val="28"/>
          <w:szCs w:val="28"/>
          <w:highlight w:val="none"/>
          <w:lang w:val="en-US" w:eastAsia="zh-CN"/>
        </w:rPr>
        <w:t>程序</w:t>
      </w:r>
    </w:p>
    <w:p w14:paraId="64BBEFAB">
      <w:pPr>
        <w:pStyle w:val="65"/>
        <w:spacing w:line="360" w:lineRule="auto"/>
        <w:ind w:firstLine="420" w:firstLineChars="200"/>
        <w:jc w:val="left"/>
        <w:rPr>
          <w:rFonts w:hint="eastAsia" w:ascii="仿宋" w:hAnsi="仿宋" w:eastAsia="仿宋" w:cs="仿宋"/>
          <w:bCs/>
          <w:color w:val="000000"/>
          <w:sz w:val="21"/>
          <w:szCs w:val="21"/>
          <w:highlight w:val="none"/>
        </w:rPr>
      </w:pPr>
      <w:bookmarkStart w:id="18" w:name="_Toc6832"/>
      <w:r>
        <w:rPr>
          <w:rFonts w:hint="eastAsia" w:ascii="仿宋" w:hAnsi="仿宋" w:eastAsia="仿宋" w:cs="仿宋"/>
          <w:bCs/>
          <w:color w:val="000000"/>
          <w:sz w:val="21"/>
          <w:szCs w:val="21"/>
          <w:highlight w:val="none"/>
        </w:rPr>
        <w:t>1.开标形式</w:t>
      </w:r>
    </w:p>
    <w:p w14:paraId="7CC683FD">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采购组织机构将按照磋商文件规定的时间通过“衢州市阳光交易服务平台”组织开标、开启磋商响应文件，所有供应商均应当准时在线参加。</w:t>
      </w:r>
    </w:p>
    <w:p w14:paraId="14D12FBB">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2.开标准备</w:t>
      </w:r>
    </w:p>
    <w:p w14:paraId="7E1DA4D3">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供应商须准备好加密磋商响应文件的介质CA锁以供开标时远程解密磋商响应文件。</w:t>
      </w:r>
    </w:p>
    <w:p w14:paraId="30737FDB">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1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⑴</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响应截止时间</w:t>
      </w:r>
    </w:p>
    <w:p w14:paraId="61F0E7EA">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采购代理机构（或</w:t>
      </w:r>
      <w:r>
        <w:rPr>
          <w:rFonts w:hint="eastAsia" w:ascii="仿宋" w:hAnsi="仿宋" w:eastAsia="仿宋" w:cs="仿宋"/>
          <w:bCs/>
          <w:color w:val="000000"/>
          <w:sz w:val="21"/>
          <w:szCs w:val="21"/>
          <w:highlight w:val="none"/>
          <w:lang w:val="en-US" w:eastAsia="zh-CN"/>
        </w:rPr>
        <w:t>采购人</w:t>
      </w:r>
      <w:r>
        <w:rPr>
          <w:rFonts w:hint="eastAsia" w:ascii="仿宋" w:hAnsi="仿宋" w:eastAsia="仿宋" w:cs="仿宋"/>
          <w:bCs/>
          <w:color w:val="000000"/>
          <w:sz w:val="21"/>
          <w:szCs w:val="21"/>
          <w:highlight w:val="none"/>
        </w:rPr>
        <w:t>）宣布开始开标，宣布开标项目名称，公布在响应截止时间前受理的磋商响应文件的供应商名称。</w:t>
      </w:r>
    </w:p>
    <w:p w14:paraId="5FAE2C6B">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fldChar w:fldCharType="begin"/>
      </w:r>
      <w:r>
        <w:rPr>
          <w:rFonts w:hint="eastAsia" w:ascii="仿宋" w:hAnsi="仿宋" w:eastAsia="仿宋" w:cs="仿宋"/>
          <w:bCs/>
          <w:color w:val="000000"/>
          <w:sz w:val="21"/>
          <w:szCs w:val="21"/>
          <w:highlight w:val="none"/>
        </w:rPr>
        <w:instrText xml:space="preserve"> = 2 \* GB2 \* MERGEFORMAT </w:instrText>
      </w:r>
      <w:r>
        <w:rPr>
          <w:rFonts w:hint="eastAsia" w:ascii="仿宋" w:hAnsi="仿宋" w:eastAsia="仿宋" w:cs="仿宋"/>
          <w:bCs/>
          <w:color w:val="000000"/>
          <w:sz w:val="21"/>
          <w:szCs w:val="21"/>
          <w:highlight w:val="none"/>
        </w:rPr>
        <w:fldChar w:fldCharType="separate"/>
      </w:r>
      <w:r>
        <w:rPr>
          <w:rFonts w:hint="eastAsia" w:ascii="仿宋" w:hAnsi="仿宋" w:eastAsia="仿宋" w:cs="仿宋"/>
          <w:bCs/>
          <w:color w:val="000000"/>
          <w:sz w:val="21"/>
          <w:szCs w:val="21"/>
          <w:highlight w:val="none"/>
        </w:rPr>
        <w:t>⑵</w:t>
      </w:r>
      <w:r>
        <w:rPr>
          <w:rFonts w:hint="eastAsia" w:ascii="仿宋" w:hAnsi="仿宋" w:eastAsia="仿宋" w:cs="仿宋"/>
          <w:bCs/>
          <w:color w:val="000000"/>
          <w:sz w:val="21"/>
          <w:szCs w:val="21"/>
          <w:highlight w:val="none"/>
        </w:rPr>
        <w:fldChar w:fldCharType="end"/>
      </w:r>
      <w:r>
        <w:rPr>
          <w:rFonts w:hint="eastAsia" w:ascii="仿宋" w:hAnsi="仿宋" w:eastAsia="仿宋" w:cs="仿宋"/>
          <w:bCs/>
          <w:color w:val="000000"/>
          <w:sz w:val="21"/>
          <w:szCs w:val="21"/>
          <w:highlight w:val="none"/>
        </w:rPr>
        <w:t>供应商解密</w:t>
      </w:r>
    </w:p>
    <w:p w14:paraId="7927F06B">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供应商解密时间：采购代理机构（或</w:t>
      </w:r>
      <w:r>
        <w:rPr>
          <w:rFonts w:hint="eastAsia" w:ascii="仿宋" w:hAnsi="仿宋" w:eastAsia="仿宋" w:cs="仿宋"/>
          <w:bCs/>
          <w:color w:val="000000"/>
          <w:sz w:val="21"/>
          <w:szCs w:val="21"/>
          <w:highlight w:val="none"/>
          <w:lang w:eastAsia="zh-CN"/>
        </w:rPr>
        <w:t>采购人</w:t>
      </w:r>
      <w:r>
        <w:rPr>
          <w:rFonts w:hint="eastAsia" w:ascii="仿宋" w:hAnsi="仿宋" w:eastAsia="仿宋" w:cs="仿宋"/>
          <w:bCs/>
          <w:color w:val="000000"/>
          <w:sz w:val="21"/>
          <w:szCs w:val="21"/>
          <w:highlight w:val="none"/>
        </w:rPr>
        <w:t>）宣布开始解密后 30 分钟以内。供应商解密方式：供应商自行登录衢州市阳光交易服务平台不见面开标大厅</w:t>
      </w:r>
    </w:p>
    <w:p w14:paraId="648DE827">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 xml:space="preserve">（https://qzygjy.com/BidOpening/bidopeninghallaction/hall/login)——投标人身份——我的项目——选择标段——待采购代理开启解密后进行解密操作供应商在规定的时间内都已完成解密，则系统自动结束解密；供应商因自身原因未在规定时间内完成解密，则默认自动放弃；解密异常情况请联系衢州市阳光交易服务平台技术支持电话：4009980000/0570-3878007 。  </w:t>
      </w:r>
    </w:p>
    <w:p w14:paraId="0C616E12">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⑶供应商使用生成投标（响应）文件的介质CA锁解密投标（响应）文件。</w:t>
      </w:r>
    </w:p>
    <w:p w14:paraId="59FDA999">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⑷投标（响应）文件解密完成后，开标系统公布供应商名称、解密时间、最终解密状态等内容。</w:t>
      </w:r>
    </w:p>
    <w:p w14:paraId="7A9EAC7E">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⑸进入评标环节，首先对解密成功的供应商进行资格审查，然后对通过资格审查的供应商进行技术文件评审，最后进行报价评分。</w:t>
      </w:r>
    </w:p>
    <w:p w14:paraId="38D2E002">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⑹评标结束后，采购代理机构宣布成交供应商。采购代理机构宣布开标会议结束。</w:t>
      </w:r>
    </w:p>
    <w:p w14:paraId="0EC22B62">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3.开标特别说明：</w:t>
      </w:r>
    </w:p>
    <w:p w14:paraId="4E37DE2B">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⑴开标解密使用供应商上传的电子投标（响应）文件。</w:t>
      </w:r>
    </w:p>
    <w:p w14:paraId="462B30E5">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⑵因供应商原因（包括供应商自主选择的介质CA锁、投标工具等），造成其电子投标（响应）文件未解密的，或投标（响应）文件解密了，但投标（响应）文件无法识别、读取的，视为撤销其投标（响应）文件。</w:t>
      </w:r>
    </w:p>
    <w:p w14:paraId="0BEF7433">
      <w:pPr>
        <w:pStyle w:val="65"/>
        <w:spacing w:line="360" w:lineRule="auto"/>
        <w:ind w:firstLine="420" w:firstLineChars="200"/>
        <w:jc w:val="left"/>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⑶供应商必须使用生成电子投标（响应）文件的介质CA锁解密电子投标（响应）文件。</w:t>
      </w:r>
    </w:p>
    <w:p w14:paraId="6502DA24">
      <w:pPr>
        <w:pStyle w:val="4"/>
        <w:pageBreakBefore w:val="0"/>
        <w:kinsoku/>
        <w:wordWrap/>
        <w:topLinePunct w:val="0"/>
        <w:bidi w:val="0"/>
        <w:snapToGrid w:val="0"/>
        <w:spacing w:before="0" w:beforeAutospacing="0" w:after="0" w:afterAutospacing="0" w:line="360" w:lineRule="auto"/>
        <w:ind w:left="0" w:leftChars="0"/>
        <w:jc w:val="center"/>
        <w:rPr>
          <w:rFonts w:hint="default" w:ascii="仿宋" w:hAnsi="仿宋" w:eastAsia="仿宋" w:cs="仿宋"/>
          <w:bCs w:val="0"/>
          <w:color w:val="000000"/>
          <w:sz w:val="28"/>
          <w:szCs w:val="28"/>
          <w:highlight w:val="none"/>
          <w:lang w:val="en-US" w:eastAsia="zh-CN"/>
        </w:rPr>
      </w:pPr>
      <w:r>
        <w:rPr>
          <w:rFonts w:hint="eastAsia" w:ascii="仿宋" w:hAnsi="仿宋" w:eastAsia="仿宋" w:cs="仿宋"/>
          <w:bCs w:val="0"/>
          <w:color w:val="000000"/>
          <w:sz w:val="28"/>
          <w:szCs w:val="28"/>
          <w:highlight w:val="none"/>
          <w:lang w:val="zh-CN"/>
        </w:rPr>
        <w:t>五、</w:t>
      </w:r>
      <w:bookmarkEnd w:id="18"/>
      <w:r>
        <w:rPr>
          <w:rFonts w:hint="eastAsia" w:ascii="仿宋" w:hAnsi="仿宋" w:eastAsia="仿宋" w:cs="仿宋"/>
          <w:bCs w:val="0"/>
          <w:color w:val="000000"/>
          <w:sz w:val="28"/>
          <w:szCs w:val="28"/>
          <w:highlight w:val="none"/>
          <w:lang w:val="zh-CN"/>
        </w:rPr>
        <w:t>磋商</w:t>
      </w:r>
      <w:r>
        <w:rPr>
          <w:rFonts w:hint="eastAsia" w:ascii="仿宋" w:hAnsi="仿宋" w:eastAsia="仿宋" w:cs="仿宋"/>
          <w:bCs w:val="0"/>
          <w:color w:val="000000"/>
          <w:sz w:val="28"/>
          <w:szCs w:val="28"/>
          <w:highlight w:val="none"/>
          <w:lang w:val="en-US" w:eastAsia="zh-CN"/>
        </w:rPr>
        <w:t>程序</w:t>
      </w:r>
    </w:p>
    <w:p w14:paraId="4677699D">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1.磋商小组审核磋商响应文件。</w:t>
      </w:r>
    </w:p>
    <w:p w14:paraId="336DE280">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1</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磋商小组按照供应商资格、商务技术、报价逐项审核磋商响应文件。</w:t>
      </w:r>
    </w:p>
    <w:p w14:paraId="3FD1C743">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2</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依据竞争性磋商文件的规定，从磋商响应文件的有效性、完整性和对竞争性磋商响应文件的响应程度进行审查，以确定供应商是否对磋商文件的实质性要求作出响应。</w:t>
      </w:r>
    </w:p>
    <w:p w14:paraId="00C17143">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2.磋商方法</w:t>
      </w:r>
    </w:p>
    <w:p w14:paraId="12366823">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1</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按磋商项目内容与各供应商可能进行2轮磋商</w:t>
      </w:r>
      <w:r>
        <w:rPr>
          <w:rFonts w:hint="eastAsia" w:ascii="仿宋" w:hAnsi="仿宋" w:eastAsia="仿宋" w:cs="仿宋"/>
          <w:bCs/>
          <w:kern w:val="0"/>
          <w:sz w:val="21"/>
          <w:szCs w:val="21"/>
          <w:highlight w:val="none"/>
          <w:lang w:val="en-US" w:eastAsia="zh-CN"/>
        </w:rPr>
        <w:t>或多轮磋商</w:t>
      </w:r>
      <w:r>
        <w:rPr>
          <w:rFonts w:hint="eastAsia" w:ascii="仿宋" w:hAnsi="仿宋" w:eastAsia="仿宋" w:cs="仿宋"/>
          <w:bCs/>
          <w:kern w:val="0"/>
          <w:sz w:val="21"/>
          <w:szCs w:val="21"/>
          <w:highlight w:val="none"/>
        </w:rPr>
        <w:t>。</w:t>
      </w:r>
    </w:p>
    <w:p w14:paraId="49CBC123">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2</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供应商必须派授权代表远程参与磋商活动，并保证其授权代表电话畅通、网络在线。在代理机构电话通知磋商结果前必须确保授权代理始终在线，磋商过程中的澄清及报价等工作将以网络形式进行。如因为供应商的通信或网络原因造成的磋商失误，责任由供应商自行承担。</w:t>
      </w:r>
    </w:p>
    <w:p w14:paraId="3ECF262D">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3</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磋商小组所有成员集中与单一供应商分别进行磋商。磋商的内容可能涉及服务要求、实施方案、售后服务、合同草案，采购人的权利和义务、履约期限和方式、资金支付要求、验收标准等。</w:t>
      </w:r>
    </w:p>
    <w:p w14:paraId="71142AFC">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供应商所作的重要答复均应以发送电子邮件形式进行补充，作为磋商响应文件的一部分，对供应商有约束力。在磋商中，磋商的任何一方不得透露与磋商有关的其他供应商的技术资料、价格和其他信息。</w:t>
      </w:r>
    </w:p>
    <w:p w14:paraId="7473DE07">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3.磋商小组汇总并讨论审核情况，确定供应商是否继续进行磋商。</w:t>
      </w:r>
    </w:p>
    <w:p w14:paraId="2E8BE577">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4.磋商小组在磋商结束后，要求所有继续参加磋商的供应商在规定时间内提交最后报价。超过规定时间提交的报价作无效处理（报价以网络形式进行）。已提交磋商响应文件的供应商，在提交最后报价之前，可以根据磋商情况退出磋商。</w:t>
      </w:r>
    </w:p>
    <w:p w14:paraId="58B970D9">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5.磋商小组对提交最后报价的供应商的商务技术进行打分。</w:t>
      </w:r>
    </w:p>
    <w:p w14:paraId="18D526A5">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6.开标原则</w:t>
      </w:r>
    </w:p>
    <w:p w14:paraId="2486A2A9">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1</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采购人按本磋商文件采购须知前附表规定的时间和地点开标，供应商未准时参加电子开标的，不得对采购相关人员、开标过程及结果提出异议。</w:t>
      </w:r>
    </w:p>
    <w:p w14:paraId="4B119B60">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2</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开标时出现的无效磋商响应文件，不予评标。</w:t>
      </w:r>
    </w:p>
    <w:p w14:paraId="3D806637">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7.磋商小组</w:t>
      </w:r>
    </w:p>
    <w:p w14:paraId="02EB8F3E">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1</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采购代理机构和采购人将根据采购货物或服务的特点依法组建磋商小组，磋商小组对磋商响应文件进行审查、询标、评议和推荐成交供应商。</w:t>
      </w:r>
    </w:p>
    <w:p w14:paraId="47F22168">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2</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在评标期间,若有需要供应商应派代表参加询标。</w:t>
      </w:r>
    </w:p>
    <w:p w14:paraId="631EEEC4">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8</w:t>
      </w:r>
      <w:bookmarkStart w:id="19" w:name="_Toc24550044"/>
      <w:bookmarkStart w:id="20" w:name="_Toc33194395"/>
      <w:r>
        <w:rPr>
          <w:rFonts w:hint="eastAsia" w:ascii="仿宋" w:hAnsi="仿宋" w:eastAsia="仿宋" w:cs="仿宋"/>
          <w:bCs/>
          <w:kern w:val="0"/>
          <w:sz w:val="21"/>
          <w:szCs w:val="21"/>
          <w:highlight w:val="none"/>
        </w:rPr>
        <w:t>.评标流程及内容</w:t>
      </w:r>
      <w:bookmarkEnd w:id="19"/>
      <w:bookmarkEnd w:id="20"/>
    </w:p>
    <w:p w14:paraId="5F254940">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本项目具体的评标事务由磋商小组负责，评标流程及内容如下：</w:t>
      </w:r>
    </w:p>
    <w:p w14:paraId="29D21CDE">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1</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评标前准备</w:t>
      </w:r>
    </w:p>
    <w:p w14:paraId="13EF4F07">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①</w:t>
      </w:r>
      <w:r>
        <w:rPr>
          <w:rFonts w:hint="eastAsia" w:ascii="仿宋" w:hAnsi="仿宋" w:eastAsia="仿宋" w:cs="仿宋"/>
          <w:bCs/>
          <w:kern w:val="0"/>
          <w:sz w:val="21"/>
          <w:szCs w:val="21"/>
          <w:highlight w:val="none"/>
        </w:rPr>
        <w:t>由评标专家推选磋商小组组长，采购人代表不得以评审专家身份参加本部门或本单位采购项目的评审。</w:t>
      </w:r>
    </w:p>
    <w:p w14:paraId="7BCD2BDA">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②</w:t>
      </w:r>
      <w:r>
        <w:rPr>
          <w:rFonts w:hint="eastAsia" w:ascii="仿宋" w:hAnsi="仿宋" w:eastAsia="仿宋" w:cs="仿宋"/>
          <w:bCs/>
          <w:kern w:val="0"/>
          <w:sz w:val="21"/>
          <w:szCs w:val="21"/>
          <w:highlight w:val="none"/>
        </w:rPr>
        <w:t>由磋商小组组长（磋商小组主任委员）召集所有评委成员阅读磋商文件及相关补充、质疑、答复文件、项目书面说明等材料，熟悉采购项目基本情况、项目技术规范和服务要求、合同主要条款、磋商响应文件无效情形、评标办法、评标标准，以及其他与评标有关的内容。</w:t>
      </w:r>
    </w:p>
    <w:p w14:paraId="5EA5C113">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9.磋商响应文件的初步审查、符合性审查</w:t>
      </w:r>
    </w:p>
    <w:p w14:paraId="3CF58A5E">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对所有通过资格审查的供应商的磋商响应文件进行初步审查，审查、评价磋商响应文件是否符合磋商文件的商务、技术、服务等实质性要求。</w:t>
      </w:r>
    </w:p>
    <w:p w14:paraId="27898D9E">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1</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磋商小组首先对所有通过资格审查的供应商的磋商响应文件进行符合性审查，审查每份磋商响应文件是否实质上响应了磋商文件的要求（实质性响应的磋商响应文件是指磋商响应文件符合磋商文件规定的实质性内容、条件和规定）。</w:t>
      </w:r>
    </w:p>
    <w:p w14:paraId="784A98D0">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10.磋商响应文件的澄清、说明或补正</w:t>
      </w:r>
    </w:p>
    <w:p w14:paraId="5AD02D98">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1</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对于磋商响应文件中含义不明确、同类问题表述不一致或者有明显文字和计算错误的内容，磋商小组将以书面形式（或通过“衢州市阳光交易服务平台”在线询标）的形式要求供应商在规定的时间内作出必要的澄清、说明或者补正，供应商澄清、说明或补正时间为30分钟。</w:t>
      </w:r>
    </w:p>
    <w:p w14:paraId="0FBDBFDB">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2</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供应商的澄清、说明或者补正应当采用书面（或通过“衢州市阳光交易服务平台”在线答复）形式提交，并加盖公章，或者由法定代表人或其授权的代表签字。供应商的澄清、说明或者补正不得超出磋商响应文件的范围或者改变磋商响应文件的实质性内容。</w:t>
      </w:r>
    </w:p>
    <w:p w14:paraId="01EC232B">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rPr>
        <w:t>11.在对各供应商的磋商响应文件进行综合评审时有下列情况之一的，经磋商小组认定后按无效标处理：</w:t>
      </w:r>
    </w:p>
    <w:p w14:paraId="31B2217B">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bookmarkStart w:id="21" w:name="_Toc23348"/>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1</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不具备磋商文件规定的资格要求；</w:t>
      </w:r>
    </w:p>
    <w:p w14:paraId="595C295C">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2</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获取磋商文件的供应商与参加开标供应商发生实质性变更的且未提供有效证明的；</w:t>
      </w:r>
    </w:p>
    <w:p w14:paraId="69849048">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3</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在“资格审查文件”“技术商务文件”中出现报价的；</w:t>
      </w:r>
    </w:p>
    <w:p w14:paraId="2AA7EAF2">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4</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磋商文件中有▲处条款供应商未做实质性响应的；</w:t>
      </w:r>
    </w:p>
    <w:p w14:paraId="76033582">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5</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提供虚假材料谋取中标（成交）的；</w:t>
      </w:r>
    </w:p>
    <w:p w14:paraId="35C76FD5">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6</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报价超过最高限价的；</w:t>
      </w:r>
    </w:p>
    <w:p w14:paraId="12D44FBE">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7</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资格证明文件不全的，或者不符合磋商文件标明的资格要求的；</w:t>
      </w:r>
    </w:p>
    <w:p w14:paraId="5469821C">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8</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供应商在报价计算或表达上有错误时，供应商不接受修正后报价的；</w:t>
      </w:r>
    </w:p>
    <w:p w14:paraId="69D4D770">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9</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明显不符合磋商文件中主要技术规格、技术标准的（例如关于“▲”条款及特别说明的）；</w:t>
      </w:r>
    </w:p>
    <w:p w14:paraId="19DEE93C">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10</w:t>
      </w:r>
      <w:r>
        <w:rPr>
          <w:rFonts w:hint="eastAsia" w:ascii="仿宋" w:hAnsi="仿宋" w:eastAsia="仿宋" w:cs="仿宋"/>
          <w:b/>
          <w:bCs w:val="0"/>
          <w:kern w:val="0"/>
          <w:sz w:val="21"/>
          <w:szCs w:val="21"/>
          <w:highlight w:val="none"/>
          <w:lang w:eastAsia="zh-CN"/>
        </w:rPr>
        <w:t>）响应</w:t>
      </w:r>
      <w:r>
        <w:rPr>
          <w:rFonts w:hint="eastAsia" w:ascii="仿宋" w:hAnsi="仿宋" w:eastAsia="仿宋" w:cs="仿宋"/>
          <w:b/>
          <w:bCs w:val="0"/>
          <w:kern w:val="0"/>
          <w:sz w:val="21"/>
          <w:szCs w:val="21"/>
          <w:highlight w:val="none"/>
        </w:rPr>
        <w:t>文件含有采购人不能接受的附件条件的；</w:t>
      </w:r>
    </w:p>
    <w:p w14:paraId="16385434">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11</w:t>
      </w:r>
      <w:r>
        <w:rPr>
          <w:rFonts w:hint="eastAsia" w:ascii="仿宋" w:hAnsi="仿宋" w:eastAsia="仿宋" w:cs="仿宋"/>
          <w:b/>
          <w:bCs w:val="0"/>
          <w:kern w:val="0"/>
          <w:sz w:val="21"/>
          <w:szCs w:val="21"/>
          <w:highlight w:val="none"/>
          <w:lang w:eastAsia="zh-CN"/>
        </w:rPr>
        <w:t>）响应</w:t>
      </w:r>
      <w:r>
        <w:rPr>
          <w:rFonts w:hint="eastAsia" w:ascii="仿宋" w:hAnsi="仿宋" w:eastAsia="仿宋" w:cs="仿宋"/>
          <w:b/>
          <w:bCs w:val="0"/>
          <w:kern w:val="0"/>
          <w:sz w:val="21"/>
          <w:szCs w:val="21"/>
          <w:highlight w:val="none"/>
        </w:rPr>
        <w:t>文件载明的采购项目完成期限超过了采购项目文件规定的期限；</w:t>
      </w:r>
    </w:p>
    <w:p w14:paraId="48FC87AB">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12</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供应商有串标行为或明显串标嫌疑的；</w:t>
      </w:r>
    </w:p>
    <w:p w14:paraId="427D286C">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13</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投标（响应）文件未按磋商文件要求加盖供应商单位公章、无法定代表人（负责人）签字、盖章或其授权代表签字、盖章的；</w:t>
      </w:r>
    </w:p>
    <w:p w14:paraId="271FF550">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14</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投标（响应）文件内容不全或关键字迹模糊无法辨认的；</w:t>
      </w:r>
    </w:p>
    <w:p w14:paraId="0E2AB504">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15</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不符合法律法规和磋商文件规定的其他实质性要求的。</w:t>
      </w:r>
    </w:p>
    <w:p w14:paraId="4E7C6C0D">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rPr>
        <w:t>12. 串通响应的情形</w:t>
      </w:r>
    </w:p>
    <w:p w14:paraId="0BEF0D77">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1</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不同供应商的投标（响应）文件由同一单位或者个人编制；</w:t>
      </w:r>
    </w:p>
    <w:p w14:paraId="28D25043">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2</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不同供应商委托同一单位或者个人办理响应事宜；</w:t>
      </w:r>
    </w:p>
    <w:p w14:paraId="11AF0748">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3</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不同供应商的投标（响应）文件载明的项目管理成员或者联系人员为同一人；</w:t>
      </w:r>
    </w:p>
    <w:p w14:paraId="330321A5">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4</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不同供应商的投标（响应）文件异常一致或者响应报价呈规律性差异；</w:t>
      </w:r>
    </w:p>
    <w:p w14:paraId="73A0936C">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5</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不同供应商的投标（响应）文件相互混装；</w:t>
      </w:r>
    </w:p>
    <w:p w14:paraId="3F4EDF10">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lang w:val="en-US" w:eastAsia="zh-CN"/>
        </w:rPr>
        <w:t>6</w:t>
      </w:r>
      <w:r>
        <w:rPr>
          <w:rFonts w:hint="eastAsia" w:ascii="仿宋" w:hAnsi="仿宋" w:eastAsia="仿宋" w:cs="仿宋"/>
          <w:b/>
          <w:bCs w:val="0"/>
          <w:kern w:val="0"/>
          <w:sz w:val="21"/>
          <w:szCs w:val="21"/>
          <w:highlight w:val="none"/>
          <w:lang w:eastAsia="zh-CN"/>
        </w:rPr>
        <w:t>）</w:t>
      </w:r>
      <w:r>
        <w:rPr>
          <w:rFonts w:hint="eastAsia" w:ascii="仿宋" w:hAnsi="仿宋" w:eastAsia="仿宋" w:cs="仿宋"/>
          <w:b/>
          <w:bCs w:val="0"/>
          <w:kern w:val="0"/>
          <w:sz w:val="21"/>
          <w:szCs w:val="21"/>
          <w:highlight w:val="none"/>
        </w:rPr>
        <w:t>不同供应商的投标（响应）文件制作机器码或创建标识码一致的（投标（响应）文件制作机器码一致是指MAC地址、CPU序列号、硬盘序列号、主板序列号全部一致或制作IP地址、上传IP地址等与此电脑相关的硬件标识号码中有一个一致）。</w:t>
      </w:r>
      <w:bookmarkEnd w:id="21"/>
    </w:p>
    <w:p w14:paraId="2356D16A">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13.投标（响应）文件的错误修正</w:t>
      </w:r>
    </w:p>
    <w:p w14:paraId="38B0C914">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1</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投标（响应）文件中磋商报价一览表内容计算上的错误，可按下面方法修改：</w:t>
      </w:r>
    </w:p>
    <w:p w14:paraId="2F7878B7">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①</w:t>
      </w:r>
      <w:r>
        <w:rPr>
          <w:rFonts w:hint="eastAsia" w:ascii="仿宋" w:hAnsi="仿宋" w:eastAsia="仿宋" w:cs="仿宋"/>
          <w:bCs/>
          <w:kern w:val="0"/>
          <w:sz w:val="21"/>
          <w:szCs w:val="21"/>
          <w:highlight w:val="none"/>
        </w:rPr>
        <w:t>投标（响应）文件的大写金额与小写金额不一致的以大写金额为准。</w:t>
      </w:r>
    </w:p>
    <w:p w14:paraId="351103C0">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②</w:t>
      </w:r>
      <w:r>
        <w:rPr>
          <w:rFonts w:hint="eastAsia" w:ascii="仿宋" w:hAnsi="仿宋" w:eastAsia="仿宋" w:cs="仿宋"/>
          <w:bCs/>
          <w:kern w:val="0"/>
          <w:sz w:val="21"/>
          <w:szCs w:val="21"/>
          <w:highlight w:val="none"/>
        </w:rPr>
        <w:t>单价金额小数点或百分比有明显错位的，以开标一览表的总价为准，并修改单价。</w:t>
      </w:r>
    </w:p>
    <w:p w14:paraId="11307254">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③</w:t>
      </w:r>
      <w:r>
        <w:rPr>
          <w:rFonts w:hint="eastAsia" w:ascii="仿宋" w:hAnsi="仿宋" w:eastAsia="仿宋" w:cs="仿宋"/>
          <w:bCs/>
          <w:kern w:val="0"/>
          <w:sz w:val="21"/>
          <w:szCs w:val="21"/>
          <w:highlight w:val="none"/>
        </w:rPr>
        <w:t>总价金额与按单价汇总金额不一致的，以单价金额计算结果为准；同时出现两种以上不一致的，按照前款规定的顺序修正，修正后的报价应经供应商书面确认，供应商不予确认的，其响应无效。</w:t>
      </w:r>
    </w:p>
    <w:p w14:paraId="2417DE9B">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④</w:t>
      </w:r>
      <w:r>
        <w:rPr>
          <w:rFonts w:hint="eastAsia" w:ascii="仿宋" w:hAnsi="仿宋" w:eastAsia="仿宋" w:cs="仿宋"/>
          <w:bCs/>
          <w:kern w:val="0"/>
          <w:sz w:val="21"/>
          <w:szCs w:val="21"/>
          <w:highlight w:val="none"/>
        </w:rPr>
        <w:t>评审时如发现供应商的报价明显低于其他通过符合性审查供应商的报价，有权要求响应供应商在30分钟内提供书面说明及相关证明材料。供应商不能合理说明原因并提供证明材料的，投标（响应）文件作无效响应处理。</w:t>
      </w:r>
    </w:p>
    <w:p w14:paraId="7484CA66">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⑤</w:t>
      </w:r>
      <w:r>
        <w:rPr>
          <w:rFonts w:hint="eastAsia" w:ascii="仿宋" w:hAnsi="仿宋" w:eastAsia="仿宋" w:cs="仿宋"/>
          <w:bCs/>
          <w:kern w:val="0"/>
          <w:sz w:val="21"/>
          <w:szCs w:val="21"/>
          <w:highlight w:val="none"/>
        </w:rPr>
        <w:t>如果供应商不接受对其价格错误进行修正，其磋商响应将被拒绝。</w:t>
      </w:r>
    </w:p>
    <w:p w14:paraId="28DE6AD5">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2</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对不同文字文本《投标（响应）文件》的解释发生异议的，以中文文本为准。</w:t>
      </w:r>
    </w:p>
    <w:p w14:paraId="441319A4">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14.评标</w:t>
      </w:r>
    </w:p>
    <w:p w14:paraId="3C7FC4B3">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1</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 xml:space="preserve">评定原则：根据符合采购需求、质量和服务等要求，综合评标确定成交供应商。 </w:t>
      </w:r>
    </w:p>
    <w:p w14:paraId="6FB5A18D">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2</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磋商文件的澄清：在评标期间, 磋商小组可要求供应商对其磋商响应文件进行澄清,但不得寻求、提供或允许对响应价格等实质性内容做任何更改。有关澄清的要求和答复均应以书面形式提交。</w:t>
      </w:r>
    </w:p>
    <w:p w14:paraId="14BA52EF">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3</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评标报告：磋商小组完成评定后，向采购人提交经各磋商小组成员签字的评定结果报告，并按评定办法推荐成交供应商。</w:t>
      </w:r>
    </w:p>
    <w:p w14:paraId="21EF52B8">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15.可中止电子交易活动的情形</w:t>
      </w:r>
    </w:p>
    <w:p w14:paraId="30452B7B">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采购过程中出现以下情形，导致电子交易平台无法正常运行，或者无法保证电子交易的公平、公正和安全时，采购组织机构可中止电子交易活动：</w:t>
      </w:r>
    </w:p>
    <w:p w14:paraId="4D8A5D62">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1</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电子交易平台发生故障而无法登录访问的；</w:t>
      </w:r>
    </w:p>
    <w:p w14:paraId="59D630AC">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2</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电子交易平台应用或数据库出现错误，不能进行正常操作的；</w:t>
      </w:r>
    </w:p>
    <w:p w14:paraId="6794F870">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3</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电子交易平台发现严重安全漏洞，有潜在泄密危险的；</w:t>
      </w:r>
    </w:p>
    <w:p w14:paraId="158318E8">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4</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病毒发作导致不能进行正常操作的；</w:t>
      </w:r>
    </w:p>
    <w:p w14:paraId="18FFD9C6">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5</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其他无法保证电子交易的公平、公正和安全的情况。</w:t>
      </w:r>
    </w:p>
    <w:p w14:paraId="6B34E13B">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出现前款规定情形，不影响采购公平、公正性的，采购组织机构可以待上述情形消除后继续组织电子交易活动；影响或可能影响采购公平、公正性的，应当重新采购。</w:t>
      </w:r>
    </w:p>
    <w:p w14:paraId="6E871126">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16.保密</w:t>
      </w:r>
    </w:p>
    <w:p w14:paraId="03F9380F">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1</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公开开标后直到宣布授予成交供应商合同为止,凡属于审查、澄清、评估和比较响应的有关资料且与授予合同有关的信息都不得向任何供应商或与上述评标过程无关的人员透露。</w:t>
      </w:r>
    </w:p>
    <w:p w14:paraId="611BBCFF">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lang w:eastAsia="zh-CN"/>
        </w:rPr>
      </w:pP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2</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rPr>
        <w:t>供应商对评标、比较或授予合同决定的过程施加影响的企图和行为,都可能导致其响应被拒绝。</w:t>
      </w:r>
    </w:p>
    <w:p w14:paraId="59741A12">
      <w:pPr>
        <w:pStyle w:val="4"/>
        <w:pageBreakBefore w:val="0"/>
        <w:kinsoku/>
        <w:wordWrap/>
        <w:topLinePunct w:val="0"/>
        <w:bidi w:val="0"/>
        <w:snapToGrid w:val="0"/>
        <w:spacing w:before="0" w:beforeAutospacing="0" w:after="0" w:afterAutospacing="0" w:line="360" w:lineRule="auto"/>
        <w:ind w:left="0" w:leftChars="0"/>
        <w:jc w:val="center"/>
        <w:rPr>
          <w:rFonts w:hint="eastAsia" w:ascii="仿宋" w:hAnsi="仿宋" w:eastAsia="仿宋" w:cs="仿宋"/>
          <w:bCs w:val="0"/>
          <w:color w:val="000000"/>
          <w:sz w:val="28"/>
          <w:szCs w:val="28"/>
          <w:highlight w:val="none"/>
          <w:lang w:val="zh-CN"/>
        </w:rPr>
      </w:pPr>
      <w:bookmarkStart w:id="22" w:name="_Toc22400"/>
      <w:r>
        <w:rPr>
          <w:rFonts w:hint="eastAsia" w:ascii="仿宋" w:hAnsi="仿宋" w:eastAsia="仿宋" w:cs="仿宋"/>
          <w:bCs w:val="0"/>
          <w:color w:val="000000"/>
          <w:sz w:val="28"/>
          <w:szCs w:val="28"/>
          <w:highlight w:val="none"/>
          <w:lang w:val="zh-CN"/>
        </w:rPr>
        <w:t>六、定标</w:t>
      </w:r>
      <w:bookmarkEnd w:id="22"/>
    </w:p>
    <w:p w14:paraId="1A523BEA">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val="en-US" w:eastAsia="zh-CN"/>
        </w:rPr>
        <w:t>1.磋商小组</w:t>
      </w:r>
      <w:r>
        <w:rPr>
          <w:rFonts w:hint="eastAsia" w:ascii="仿宋" w:hAnsi="仿宋" w:eastAsia="仿宋" w:cs="仿宋"/>
          <w:bCs/>
          <w:kern w:val="0"/>
          <w:sz w:val="21"/>
          <w:szCs w:val="21"/>
          <w:highlight w:val="none"/>
        </w:rPr>
        <w:t>按综合得分由高到低排序，推荐3名以上成交候选供应商，并编写评审报告。采购代理机构在评标结束后2个工作日内将评标报告提交采购单位依法确认，采购单位应在收到评标报告后5个工作日内对评标结果进行确认。取得采购单位书面确认意见后，</w:t>
      </w:r>
      <w:r>
        <w:rPr>
          <w:rFonts w:hint="eastAsia" w:ascii="仿宋" w:hAnsi="仿宋" w:eastAsia="仿宋" w:cs="仿宋"/>
          <w:bCs/>
          <w:kern w:val="0"/>
          <w:sz w:val="21"/>
          <w:szCs w:val="21"/>
          <w:highlight w:val="none"/>
          <w:lang w:val="en-US" w:eastAsia="zh-CN"/>
        </w:rPr>
        <w:t>采购人或采购代理机构应当自中标人确定之日起2个工作日内，在衢州市阳光交易服务平台（</w:t>
      </w:r>
      <w:r>
        <w:rPr>
          <w:rFonts w:hint="eastAsia" w:ascii="仿宋" w:hAnsi="仿宋" w:eastAsia="仿宋" w:cs="仿宋"/>
          <w:bCs/>
          <w:kern w:val="0"/>
          <w:sz w:val="21"/>
          <w:szCs w:val="21"/>
          <w:highlight w:val="none"/>
          <w:lang w:val="en-US" w:eastAsia="zh-CN"/>
        </w:rPr>
        <w:fldChar w:fldCharType="begin"/>
      </w:r>
      <w:r>
        <w:rPr>
          <w:rFonts w:hint="eastAsia" w:ascii="仿宋" w:hAnsi="仿宋" w:eastAsia="仿宋" w:cs="仿宋"/>
          <w:bCs/>
          <w:kern w:val="0"/>
          <w:sz w:val="21"/>
          <w:szCs w:val="21"/>
          <w:highlight w:val="none"/>
          <w:lang w:val="en-US" w:eastAsia="zh-CN"/>
        </w:rPr>
        <w:instrText xml:space="preserve"> HYPERLINK "https://qzygjy.com/" \t "_blank" </w:instrText>
      </w:r>
      <w:r>
        <w:rPr>
          <w:rFonts w:hint="eastAsia" w:ascii="仿宋" w:hAnsi="仿宋" w:eastAsia="仿宋" w:cs="仿宋"/>
          <w:bCs/>
          <w:kern w:val="0"/>
          <w:sz w:val="21"/>
          <w:szCs w:val="21"/>
          <w:highlight w:val="none"/>
          <w:lang w:val="en-US" w:eastAsia="zh-CN"/>
        </w:rPr>
        <w:fldChar w:fldCharType="separate"/>
      </w:r>
      <w:r>
        <w:rPr>
          <w:rFonts w:hint="eastAsia" w:ascii="仿宋" w:hAnsi="仿宋" w:eastAsia="仿宋" w:cs="仿宋"/>
          <w:bCs/>
          <w:kern w:val="0"/>
          <w:sz w:val="21"/>
          <w:szCs w:val="21"/>
          <w:highlight w:val="none"/>
          <w:lang w:val="en-US" w:eastAsia="zh-CN"/>
        </w:rPr>
        <w:t>https://qzygjy.com</w:t>
      </w:r>
      <w:r>
        <w:rPr>
          <w:rFonts w:hint="eastAsia" w:ascii="仿宋" w:hAnsi="仿宋" w:eastAsia="仿宋" w:cs="仿宋"/>
          <w:bCs/>
          <w:kern w:val="0"/>
          <w:sz w:val="21"/>
          <w:szCs w:val="21"/>
          <w:highlight w:val="none"/>
          <w:lang w:val="en-US" w:eastAsia="zh-CN"/>
        </w:rPr>
        <w:fldChar w:fldCharType="end"/>
      </w:r>
      <w:r>
        <w:rPr>
          <w:rFonts w:hint="eastAsia" w:ascii="仿宋" w:hAnsi="仿宋" w:eastAsia="仿宋" w:cs="仿宋"/>
          <w:bCs/>
          <w:kern w:val="0"/>
          <w:sz w:val="21"/>
          <w:szCs w:val="21"/>
          <w:highlight w:val="none"/>
          <w:lang w:val="en-US" w:eastAsia="zh-CN"/>
        </w:rPr>
        <w:t>/）、浙江政府采购网（</w:t>
      </w:r>
      <w:r>
        <w:rPr>
          <w:rFonts w:hint="eastAsia" w:ascii="仿宋" w:hAnsi="仿宋" w:eastAsia="仿宋" w:cs="仿宋"/>
          <w:bCs/>
          <w:kern w:val="0"/>
          <w:sz w:val="21"/>
          <w:szCs w:val="21"/>
          <w:highlight w:val="none"/>
          <w:lang w:val="en-US" w:eastAsia="zh-CN"/>
        </w:rPr>
        <w:fldChar w:fldCharType="begin"/>
      </w:r>
      <w:r>
        <w:rPr>
          <w:rFonts w:hint="eastAsia" w:ascii="仿宋" w:hAnsi="仿宋" w:eastAsia="仿宋" w:cs="仿宋"/>
          <w:bCs/>
          <w:kern w:val="0"/>
          <w:sz w:val="21"/>
          <w:szCs w:val="21"/>
          <w:highlight w:val="none"/>
          <w:lang w:val="en-US" w:eastAsia="zh-CN"/>
        </w:rPr>
        <w:instrText xml:space="preserve"> HYPERLINK "https://zfcg.czt.zj.gov.cn/" \t "_blank" </w:instrText>
      </w:r>
      <w:r>
        <w:rPr>
          <w:rFonts w:hint="eastAsia" w:ascii="仿宋" w:hAnsi="仿宋" w:eastAsia="仿宋" w:cs="仿宋"/>
          <w:bCs/>
          <w:kern w:val="0"/>
          <w:sz w:val="21"/>
          <w:szCs w:val="21"/>
          <w:highlight w:val="none"/>
          <w:lang w:val="en-US" w:eastAsia="zh-CN"/>
        </w:rPr>
        <w:fldChar w:fldCharType="separate"/>
      </w:r>
      <w:r>
        <w:rPr>
          <w:rFonts w:hint="eastAsia" w:ascii="仿宋" w:hAnsi="仿宋" w:eastAsia="仿宋" w:cs="仿宋"/>
          <w:bCs/>
          <w:kern w:val="0"/>
          <w:sz w:val="21"/>
          <w:szCs w:val="21"/>
          <w:highlight w:val="none"/>
          <w:lang w:val="en-US" w:eastAsia="zh-CN"/>
        </w:rPr>
        <w:t>https://zfcg.czt.zj.gov.cn</w:t>
      </w:r>
      <w:r>
        <w:rPr>
          <w:rFonts w:hint="eastAsia" w:ascii="仿宋" w:hAnsi="仿宋" w:eastAsia="仿宋" w:cs="仿宋"/>
          <w:bCs/>
          <w:kern w:val="0"/>
          <w:sz w:val="21"/>
          <w:szCs w:val="21"/>
          <w:highlight w:val="none"/>
          <w:lang w:val="en-US" w:eastAsia="zh-CN"/>
        </w:rPr>
        <w:fldChar w:fldCharType="end"/>
      </w:r>
      <w:r>
        <w:rPr>
          <w:rFonts w:hint="eastAsia" w:ascii="仿宋" w:hAnsi="仿宋" w:eastAsia="仿宋" w:cs="仿宋"/>
          <w:bCs/>
          <w:kern w:val="0"/>
          <w:sz w:val="21"/>
          <w:szCs w:val="21"/>
          <w:highlight w:val="none"/>
          <w:lang w:val="en-US" w:eastAsia="zh-CN"/>
        </w:rPr>
        <w:t>/）上公告中标结果</w:t>
      </w:r>
      <w:r>
        <w:rPr>
          <w:rFonts w:hint="eastAsia" w:ascii="仿宋" w:hAnsi="仿宋" w:eastAsia="仿宋" w:cs="仿宋"/>
          <w:bCs/>
          <w:kern w:val="0"/>
          <w:sz w:val="21"/>
          <w:szCs w:val="21"/>
          <w:highlight w:val="none"/>
        </w:rPr>
        <w:t>。同时以书面形式向</w:t>
      </w:r>
      <w:r>
        <w:rPr>
          <w:rFonts w:hint="eastAsia" w:ascii="仿宋" w:hAnsi="仿宋" w:eastAsia="仿宋" w:cs="仿宋"/>
          <w:bCs/>
          <w:kern w:val="0"/>
          <w:sz w:val="21"/>
          <w:szCs w:val="21"/>
          <w:highlight w:val="none"/>
          <w:lang w:eastAsia="zh-CN"/>
        </w:rPr>
        <w:t>成交供应商</w:t>
      </w:r>
      <w:r>
        <w:rPr>
          <w:rFonts w:hint="eastAsia" w:ascii="仿宋" w:hAnsi="仿宋" w:eastAsia="仿宋" w:cs="仿宋"/>
          <w:bCs/>
          <w:kern w:val="0"/>
          <w:sz w:val="21"/>
          <w:szCs w:val="21"/>
          <w:highlight w:val="none"/>
        </w:rPr>
        <w:t>发出《</w:t>
      </w:r>
      <w:r>
        <w:rPr>
          <w:rFonts w:hint="eastAsia" w:ascii="仿宋" w:hAnsi="仿宋" w:eastAsia="仿宋" w:cs="仿宋"/>
          <w:bCs/>
          <w:kern w:val="0"/>
          <w:sz w:val="21"/>
          <w:szCs w:val="21"/>
          <w:highlight w:val="none"/>
          <w:lang w:eastAsia="zh-CN"/>
        </w:rPr>
        <w:t>成交</w:t>
      </w:r>
      <w:r>
        <w:rPr>
          <w:rFonts w:hint="eastAsia" w:ascii="仿宋" w:hAnsi="仿宋" w:eastAsia="仿宋" w:cs="仿宋"/>
          <w:bCs/>
          <w:kern w:val="0"/>
          <w:sz w:val="21"/>
          <w:szCs w:val="21"/>
          <w:highlight w:val="none"/>
        </w:rPr>
        <w:t>通知书》。</w:t>
      </w:r>
    </w:p>
    <w:p w14:paraId="1141672E">
      <w:pPr>
        <w:pageBreakBefore w:val="0"/>
        <w:kinsoku/>
        <w:wordWrap/>
        <w:topLinePunct w:val="0"/>
        <w:autoSpaceDE w:val="0"/>
        <w:autoSpaceDN w:val="0"/>
        <w:bidi w:val="0"/>
        <w:adjustRightInd w:val="0"/>
        <w:snapToGrid w:val="0"/>
        <w:spacing w:beforeAutospacing="0" w:afterAutospacing="0" w:line="360" w:lineRule="auto"/>
        <w:ind w:left="0" w:leftChars="0" w:firstLine="315" w:firstLineChars="150"/>
        <w:jc w:val="left"/>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2.排名第一的</w:t>
      </w:r>
      <w:r>
        <w:rPr>
          <w:rFonts w:hint="eastAsia" w:ascii="仿宋" w:hAnsi="仿宋" w:eastAsia="仿宋" w:cs="仿宋"/>
          <w:bCs/>
          <w:kern w:val="0"/>
          <w:sz w:val="21"/>
          <w:szCs w:val="21"/>
          <w:highlight w:val="none"/>
          <w:lang w:eastAsia="zh-CN"/>
        </w:rPr>
        <w:t>成交</w:t>
      </w:r>
      <w:r>
        <w:rPr>
          <w:rFonts w:hint="eastAsia" w:ascii="仿宋" w:hAnsi="仿宋" w:eastAsia="仿宋" w:cs="仿宋"/>
          <w:bCs/>
          <w:kern w:val="0"/>
          <w:sz w:val="21"/>
          <w:szCs w:val="21"/>
          <w:highlight w:val="none"/>
        </w:rPr>
        <w:t>候选</w:t>
      </w:r>
      <w:r>
        <w:rPr>
          <w:rFonts w:hint="eastAsia" w:ascii="仿宋" w:hAnsi="仿宋" w:eastAsia="仿宋" w:cs="仿宋"/>
          <w:bCs/>
          <w:kern w:val="0"/>
          <w:sz w:val="21"/>
          <w:szCs w:val="21"/>
          <w:highlight w:val="none"/>
          <w:lang w:eastAsia="zh-CN"/>
        </w:rPr>
        <w:t>供应商</w:t>
      </w:r>
      <w:r>
        <w:rPr>
          <w:rFonts w:hint="eastAsia" w:ascii="仿宋" w:hAnsi="仿宋" w:eastAsia="仿宋" w:cs="仿宋"/>
          <w:bCs/>
          <w:kern w:val="0"/>
          <w:sz w:val="21"/>
          <w:szCs w:val="21"/>
          <w:highlight w:val="none"/>
        </w:rPr>
        <w:t>出现下列情形之一的，采购人将按照评标报告推荐的</w:t>
      </w:r>
      <w:r>
        <w:rPr>
          <w:rFonts w:hint="eastAsia" w:ascii="仿宋" w:hAnsi="仿宋" w:eastAsia="仿宋" w:cs="仿宋"/>
          <w:bCs/>
          <w:kern w:val="0"/>
          <w:sz w:val="21"/>
          <w:szCs w:val="21"/>
          <w:highlight w:val="none"/>
          <w:lang w:eastAsia="zh-CN"/>
        </w:rPr>
        <w:t>成交</w:t>
      </w:r>
      <w:r>
        <w:rPr>
          <w:rFonts w:hint="eastAsia" w:ascii="仿宋" w:hAnsi="仿宋" w:eastAsia="仿宋" w:cs="仿宋"/>
          <w:bCs/>
          <w:kern w:val="0"/>
          <w:sz w:val="21"/>
          <w:szCs w:val="21"/>
          <w:highlight w:val="none"/>
        </w:rPr>
        <w:t>候选</w:t>
      </w:r>
      <w:r>
        <w:rPr>
          <w:rFonts w:hint="eastAsia" w:ascii="仿宋" w:hAnsi="仿宋" w:eastAsia="仿宋" w:cs="仿宋"/>
          <w:bCs/>
          <w:kern w:val="0"/>
          <w:sz w:val="21"/>
          <w:szCs w:val="21"/>
          <w:highlight w:val="none"/>
          <w:lang w:eastAsia="zh-CN"/>
        </w:rPr>
        <w:t>供应商</w:t>
      </w:r>
      <w:r>
        <w:rPr>
          <w:rFonts w:hint="eastAsia" w:ascii="仿宋" w:hAnsi="仿宋" w:eastAsia="仿宋" w:cs="仿宋"/>
          <w:bCs/>
          <w:kern w:val="0"/>
          <w:sz w:val="21"/>
          <w:szCs w:val="21"/>
          <w:highlight w:val="none"/>
        </w:rPr>
        <w:t>名单排序，确定下一</w:t>
      </w:r>
      <w:r>
        <w:rPr>
          <w:rFonts w:hint="eastAsia" w:ascii="仿宋" w:hAnsi="仿宋" w:eastAsia="仿宋" w:cs="仿宋"/>
          <w:bCs/>
          <w:kern w:val="0"/>
          <w:sz w:val="21"/>
          <w:szCs w:val="21"/>
          <w:highlight w:val="none"/>
          <w:lang w:eastAsia="zh-CN"/>
        </w:rPr>
        <w:t>成交成交</w:t>
      </w:r>
      <w:r>
        <w:rPr>
          <w:rFonts w:hint="eastAsia" w:ascii="仿宋" w:hAnsi="仿宋" w:eastAsia="仿宋" w:cs="仿宋"/>
          <w:bCs/>
          <w:kern w:val="0"/>
          <w:sz w:val="21"/>
          <w:szCs w:val="21"/>
          <w:highlight w:val="none"/>
        </w:rPr>
        <w:t>候选</w:t>
      </w:r>
      <w:r>
        <w:rPr>
          <w:rFonts w:hint="eastAsia" w:ascii="仿宋" w:hAnsi="仿宋" w:eastAsia="仿宋" w:cs="仿宋"/>
          <w:bCs/>
          <w:kern w:val="0"/>
          <w:sz w:val="21"/>
          <w:szCs w:val="21"/>
          <w:highlight w:val="none"/>
          <w:lang w:eastAsia="zh-CN"/>
        </w:rPr>
        <w:t>供应商</w:t>
      </w:r>
      <w:r>
        <w:rPr>
          <w:rFonts w:hint="eastAsia" w:ascii="仿宋" w:hAnsi="仿宋" w:eastAsia="仿宋" w:cs="仿宋"/>
          <w:bCs/>
          <w:kern w:val="0"/>
          <w:sz w:val="21"/>
          <w:szCs w:val="21"/>
          <w:highlight w:val="none"/>
        </w:rPr>
        <w:t>为</w:t>
      </w:r>
      <w:r>
        <w:rPr>
          <w:rFonts w:hint="eastAsia" w:ascii="仿宋" w:hAnsi="仿宋" w:eastAsia="仿宋" w:cs="仿宋"/>
          <w:bCs/>
          <w:kern w:val="0"/>
          <w:sz w:val="21"/>
          <w:szCs w:val="21"/>
          <w:highlight w:val="none"/>
          <w:lang w:eastAsia="zh-CN"/>
        </w:rPr>
        <w:t>成交</w:t>
      </w:r>
      <w:r>
        <w:rPr>
          <w:rFonts w:hint="eastAsia" w:ascii="仿宋" w:hAnsi="仿宋" w:eastAsia="仿宋" w:cs="仿宋"/>
          <w:bCs/>
          <w:kern w:val="0"/>
          <w:sz w:val="21"/>
          <w:szCs w:val="21"/>
          <w:highlight w:val="none"/>
        </w:rPr>
        <w:t>人。如其余</w:t>
      </w:r>
      <w:r>
        <w:rPr>
          <w:rFonts w:hint="eastAsia" w:ascii="仿宋" w:hAnsi="仿宋" w:eastAsia="仿宋" w:cs="仿宋"/>
          <w:bCs/>
          <w:kern w:val="0"/>
          <w:sz w:val="21"/>
          <w:szCs w:val="21"/>
          <w:highlight w:val="none"/>
          <w:lang w:eastAsia="zh-CN"/>
        </w:rPr>
        <w:t>成交</w:t>
      </w:r>
      <w:r>
        <w:rPr>
          <w:rFonts w:hint="eastAsia" w:ascii="仿宋" w:hAnsi="仿宋" w:eastAsia="仿宋" w:cs="仿宋"/>
          <w:bCs/>
          <w:kern w:val="0"/>
          <w:sz w:val="21"/>
          <w:szCs w:val="21"/>
          <w:highlight w:val="none"/>
        </w:rPr>
        <w:t>候选</w:t>
      </w:r>
      <w:r>
        <w:rPr>
          <w:rFonts w:hint="eastAsia" w:ascii="仿宋" w:hAnsi="仿宋" w:eastAsia="仿宋" w:cs="仿宋"/>
          <w:bCs/>
          <w:kern w:val="0"/>
          <w:sz w:val="21"/>
          <w:szCs w:val="21"/>
          <w:highlight w:val="none"/>
          <w:lang w:eastAsia="zh-CN"/>
        </w:rPr>
        <w:t>供应商</w:t>
      </w:r>
      <w:r>
        <w:rPr>
          <w:rFonts w:hint="eastAsia" w:ascii="仿宋" w:hAnsi="仿宋" w:eastAsia="仿宋" w:cs="仿宋"/>
          <w:bCs/>
          <w:kern w:val="0"/>
          <w:sz w:val="21"/>
          <w:szCs w:val="21"/>
          <w:highlight w:val="none"/>
        </w:rPr>
        <w:t>与采购项目预期（价格、质量等）差距较大，对采购人明显不利的，采购人将重新组织采购。</w:t>
      </w:r>
    </w:p>
    <w:p w14:paraId="437AF7D1">
      <w:pPr>
        <w:bidi w:val="0"/>
        <w:ind w:firstLine="420" w:firstLineChars="200"/>
        <w:rPr>
          <w:rFonts w:hint="eastAsia" w:ascii="仿宋" w:hAnsi="仿宋" w:eastAsia="仿宋" w:cs="仿宋"/>
          <w:highlight w:val="none"/>
          <w:lang w:val="zh-CN"/>
        </w:rPr>
      </w:pPr>
      <w:r>
        <w:rPr>
          <w:rFonts w:hint="eastAsia" w:ascii="仿宋" w:hAnsi="仿宋" w:eastAsia="仿宋" w:cs="仿宋"/>
          <w:highlight w:val="none"/>
          <w:lang w:val="zh-CN"/>
        </w:rPr>
        <w:t>（1）</w:t>
      </w:r>
      <w:r>
        <w:rPr>
          <w:rFonts w:hint="eastAsia" w:ascii="仿宋" w:hAnsi="仿宋" w:eastAsia="仿宋" w:cs="仿宋"/>
          <w:highlight w:val="none"/>
          <w:lang w:val="zh-CN" w:eastAsia="zh-CN"/>
        </w:rPr>
        <w:t>质疑处理结果导致中标结果改变的</w:t>
      </w:r>
      <w:r>
        <w:rPr>
          <w:rFonts w:hint="eastAsia" w:ascii="仿宋" w:hAnsi="仿宋" w:eastAsia="仿宋" w:cs="仿宋"/>
          <w:highlight w:val="none"/>
          <w:lang w:val="zh-CN"/>
        </w:rPr>
        <w:t>；</w:t>
      </w:r>
    </w:p>
    <w:p w14:paraId="474335B6">
      <w:pPr>
        <w:bidi w:val="0"/>
        <w:ind w:firstLine="420" w:firstLineChars="200"/>
        <w:rPr>
          <w:rFonts w:hint="eastAsia" w:ascii="仿宋" w:hAnsi="仿宋" w:eastAsia="仿宋" w:cs="仿宋"/>
          <w:highlight w:val="none"/>
          <w:lang w:val="zh-CN"/>
        </w:rPr>
      </w:pPr>
      <w:r>
        <w:rPr>
          <w:rFonts w:hint="eastAsia" w:ascii="仿宋" w:hAnsi="仿宋" w:eastAsia="仿宋" w:cs="仿宋"/>
          <w:highlight w:val="none"/>
          <w:lang w:val="zh-CN"/>
        </w:rPr>
        <w:t>（2）投诉</w:t>
      </w:r>
      <w:r>
        <w:rPr>
          <w:rFonts w:hint="eastAsia" w:ascii="仿宋" w:hAnsi="仿宋" w:eastAsia="仿宋" w:cs="仿宋"/>
          <w:highlight w:val="none"/>
          <w:lang w:val="zh-CN" w:eastAsia="zh-CN"/>
        </w:rPr>
        <w:t>处理结果导致中标结果改变</w:t>
      </w:r>
      <w:r>
        <w:rPr>
          <w:rFonts w:hint="eastAsia" w:ascii="仿宋" w:hAnsi="仿宋" w:eastAsia="仿宋" w:cs="仿宋"/>
          <w:highlight w:val="none"/>
          <w:lang w:val="zh-CN"/>
        </w:rPr>
        <w:t>的；</w:t>
      </w:r>
    </w:p>
    <w:p w14:paraId="3CCBA5DA">
      <w:pPr>
        <w:bidi w:val="0"/>
        <w:ind w:firstLine="420" w:firstLineChars="200"/>
        <w:rPr>
          <w:rFonts w:hint="eastAsia" w:ascii="仿宋" w:hAnsi="仿宋" w:eastAsia="仿宋" w:cs="仿宋"/>
          <w:highlight w:val="none"/>
          <w:lang w:val="zh-CN"/>
        </w:rPr>
      </w:pPr>
      <w:r>
        <w:rPr>
          <w:rFonts w:hint="eastAsia" w:ascii="仿宋" w:hAnsi="仿宋" w:eastAsia="仿宋" w:cs="仿宋"/>
          <w:highlight w:val="none"/>
          <w:lang w:val="zh-CN"/>
        </w:rPr>
        <w:t>（3）成交供应商拒绝与采购人签订合同或</w:t>
      </w:r>
      <w:r>
        <w:rPr>
          <w:rFonts w:hint="eastAsia" w:ascii="仿宋" w:hAnsi="仿宋" w:eastAsia="仿宋" w:cs="仿宋"/>
          <w:highlight w:val="none"/>
          <w:lang w:val="zh-CN" w:eastAsia="zh-CN"/>
        </w:rPr>
        <w:t>因不可抗力</w:t>
      </w:r>
      <w:r>
        <w:rPr>
          <w:rFonts w:hint="eastAsia" w:ascii="仿宋" w:hAnsi="仿宋" w:eastAsia="仿宋" w:cs="仿宋"/>
          <w:highlight w:val="none"/>
          <w:lang w:val="zh-CN"/>
        </w:rPr>
        <w:t>无法按照投标文件承诺的条件与采购人签订合同的。</w:t>
      </w:r>
    </w:p>
    <w:p w14:paraId="7A978976">
      <w:pPr>
        <w:pStyle w:val="4"/>
        <w:pageBreakBefore w:val="0"/>
        <w:kinsoku/>
        <w:wordWrap/>
        <w:topLinePunct w:val="0"/>
        <w:bidi w:val="0"/>
        <w:snapToGrid w:val="0"/>
        <w:spacing w:before="0" w:beforeAutospacing="0" w:after="0" w:afterAutospacing="0" w:line="360" w:lineRule="auto"/>
        <w:ind w:left="0" w:leftChars="0"/>
        <w:jc w:val="center"/>
        <w:rPr>
          <w:rFonts w:hint="eastAsia" w:ascii="仿宋" w:hAnsi="仿宋" w:eastAsia="仿宋" w:cs="仿宋"/>
          <w:bCs w:val="0"/>
          <w:color w:val="000000"/>
          <w:sz w:val="28"/>
          <w:szCs w:val="28"/>
          <w:highlight w:val="none"/>
          <w:lang w:val="zh-CN"/>
        </w:rPr>
      </w:pPr>
      <w:bookmarkStart w:id="23" w:name="_Toc18935"/>
      <w:r>
        <w:rPr>
          <w:rFonts w:hint="eastAsia" w:ascii="仿宋" w:hAnsi="仿宋" w:eastAsia="仿宋" w:cs="仿宋"/>
          <w:bCs w:val="0"/>
          <w:color w:val="000000"/>
          <w:sz w:val="28"/>
          <w:szCs w:val="28"/>
          <w:highlight w:val="none"/>
          <w:lang w:val="zh-CN"/>
        </w:rPr>
        <w:t>七、合同授予</w:t>
      </w:r>
      <w:bookmarkEnd w:id="23"/>
    </w:p>
    <w:p w14:paraId="1BEFE623">
      <w:pPr>
        <w:pageBreakBefore w:val="0"/>
        <w:kinsoku/>
        <w:wordWrap/>
        <w:topLinePunct w:val="0"/>
        <w:bidi w:val="0"/>
        <w:snapToGrid w:val="0"/>
        <w:spacing w:beforeAutospacing="0" w:afterAutospacing="0" w:line="360" w:lineRule="auto"/>
        <w:ind w:left="0" w:leftChars="0" w:firstLine="411" w:firstLineChars="196"/>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（一）签订合同</w:t>
      </w:r>
    </w:p>
    <w:p w14:paraId="55E7FF01">
      <w:pPr>
        <w:pageBreakBefore w:val="0"/>
        <w:kinsoku/>
        <w:wordWrap/>
        <w:topLinePunct w:val="0"/>
        <w:bidi w:val="0"/>
        <w:snapToGrid w:val="0"/>
        <w:spacing w:beforeAutospacing="0" w:afterAutospacing="0" w:line="360" w:lineRule="auto"/>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1.采购人与成交供应商应当在《成交通知书》发出之日起</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日内签订采购合同。同时，采购代理机构对合同内容进行审查，如发现与采购结果和</w:t>
      </w:r>
      <w:r>
        <w:rPr>
          <w:rFonts w:hint="eastAsia" w:ascii="仿宋" w:hAnsi="仿宋" w:eastAsia="仿宋" w:cs="仿宋"/>
          <w:sz w:val="21"/>
          <w:szCs w:val="21"/>
          <w:highlight w:val="none"/>
          <w:lang w:eastAsia="zh-CN"/>
        </w:rPr>
        <w:t>磋商</w:t>
      </w:r>
      <w:r>
        <w:rPr>
          <w:rFonts w:hint="eastAsia" w:ascii="仿宋" w:hAnsi="仿宋" w:eastAsia="仿宋" w:cs="仿宋"/>
          <w:sz w:val="21"/>
          <w:szCs w:val="21"/>
          <w:highlight w:val="none"/>
        </w:rPr>
        <w:t>承诺内容不一致的，应予以纠正。</w:t>
      </w:r>
    </w:p>
    <w:p w14:paraId="722288EC">
      <w:pPr>
        <w:pageBreakBefore w:val="0"/>
        <w:kinsoku/>
        <w:wordWrap/>
        <w:topLinePunct w:val="0"/>
        <w:bidi w:val="0"/>
        <w:snapToGrid w:val="0"/>
        <w:spacing w:beforeAutospacing="0" w:afterAutospacing="0" w:line="360" w:lineRule="auto"/>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在</w:t>
      </w:r>
      <w:r>
        <w:rPr>
          <w:rFonts w:hint="eastAsia" w:ascii="仿宋" w:hAnsi="仿宋" w:eastAsia="仿宋" w:cs="仿宋"/>
          <w:sz w:val="21"/>
          <w:szCs w:val="21"/>
          <w:highlight w:val="none"/>
          <w:lang w:eastAsia="zh-CN"/>
        </w:rPr>
        <w:t>响应文件有效期</w:t>
      </w:r>
      <w:r>
        <w:rPr>
          <w:rFonts w:hint="eastAsia" w:ascii="仿宋" w:hAnsi="仿宋" w:eastAsia="仿宋" w:cs="仿宋"/>
          <w:sz w:val="21"/>
          <w:szCs w:val="21"/>
          <w:highlight w:val="none"/>
        </w:rPr>
        <w:t>内撤回</w:t>
      </w:r>
      <w:r>
        <w:rPr>
          <w:rFonts w:hint="eastAsia" w:ascii="仿宋" w:hAnsi="仿宋" w:eastAsia="仿宋" w:cs="仿宋"/>
          <w:sz w:val="21"/>
          <w:szCs w:val="21"/>
          <w:highlight w:val="none"/>
          <w:lang w:eastAsia="zh-CN"/>
        </w:rPr>
        <w:t>磋商</w:t>
      </w:r>
      <w:r>
        <w:rPr>
          <w:rFonts w:hint="eastAsia" w:ascii="仿宋" w:hAnsi="仿宋" w:eastAsia="仿宋" w:cs="仿宋"/>
          <w:sz w:val="21"/>
          <w:szCs w:val="21"/>
          <w:highlight w:val="none"/>
        </w:rPr>
        <w:t>文件或者</w:t>
      </w:r>
      <w:r>
        <w:rPr>
          <w:rFonts w:hint="eastAsia" w:ascii="仿宋" w:hAnsi="仿宋" w:eastAsia="仿宋" w:cs="仿宋"/>
          <w:sz w:val="21"/>
          <w:szCs w:val="21"/>
          <w:highlight w:val="none"/>
          <w:lang w:eastAsia="zh-CN"/>
        </w:rPr>
        <w:t>成交供应商</w:t>
      </w:r>
      <w:r>
        <w:rPr>
          <w:rFonts w:hint="eastAsia" w:ascii="仿宋" w:hAnsi="仿宋" w:eastAsia="仿宋" w:cs="仿宋"/>
          <w:sz w:val="21"/>
          <w:szCs w:val="21"/>
          <w:highlight w:val="none"/>
        </w:rPr>
        <w:t>在法定期限内无正当理由不与采购单位签订合同或无法按照</w:t>
      </w:r>
      <w:r>
        <w:rPr>
          <w:rFonts w:hint="eastAsia" w:ascii="仿宋" w:hAnsi="仿宋" w:eastAsia="仿宋" w:cs="仿宋"/>
          <w:sz w:val="21"/>
          <w:szCs w:val="21"/>
          <w:highlight w:val="none"/>
          <w:lang w:eastAsia="zh-CN"/>
        </w:rPr>
        <w:t>磋商</w:t>
      </w:r>
      <w:r>
        <w:rPr>
          <w:rFonts w:hint="eastAsia" w:ascii="仿宋" w:hAnsi="仿宋" w:eastAsia="仿宋" w:cs="仿宋"/>
          <w:sz w:val="21"/>
          <w:szCs w:val="21"/>
          <w:highlight w:val="none"/>
        </w:rPr>
        <w:t>文件承诺的条件与采购人签订合同的，应当按照本项目采购预算价2%的标准承担因此给采购单位造成的损失的赔偿责任及相应的法律责任。</w:t>
      </w:r>
    </w:p>
    <w:p w14:paraId="5CF38A43">
      <w:pPr>
        <w:pageBreakBefore w:val="0"/>
        <w:kinsoku/>
        <w:topLinePunct w:val="0"/>
        <w:bidi w:val="0"/>
        <w:snapToGrid/>
        <w:spacing w:line="300" w:lineRule="auto"/>
        <w:ind w:firstLine="411" w:firstLineChars="196"/>
        <w:rPr>
          <w:rFonts w:hint="eastAsia" w:ascii="仿宋" w:hAnsi="仿宋" w:eastAsia="仿宋" w:cs="仿宋"/>
          <w:b/>
          <w:bCs/>
          <w:szCs w:val="21"/>
          <w:highlight w:val="none"/>
          <w:lang w:eastAsia="zh-CN"/>
        </w:rPr>
      </w:pPr>
      <w:r>
        <w:rPr>
          <w:rFonts w:hint="eastAsia" w:ascii="仿宋" w:hAnsi="仿宋" w:eastAsia="仿宋" w:cs="仿宋"/>
          <w:b/>
          <w:bCs/>
          <w:szCs w:val="21"/>
          <w:highlight w:val="none"/>
        </w:rPr>
        <w:t>（</w:t>
      </w:r>
      <w:r>
        <w:rPr>
          <w:rFonts w:hint="eastAsia" w:ascii="仿宋" w:hAnsi="仿宋" w:eastAsia="仿宋" w:cs="仿宋"/>
          <w:b/>
          <w:bCs/>
          <w:szCs w:val="21"/>
          <w:highlight w:val="none"/>
          <w:lang w:val="en-US" w:eastAsia="zh-CN"/>
        </w:rPr>
        <w:t>二</w:t>
      </w:r>
      <w:r>
        <w:rPr>
          <w:rFonts w:hint="eastAsia" w:ascii="仿宋" w:hAnsi="仿宋" w:eastAsia="仿宋" w:cs="仿宋"/>
          <w:b/>
          <w:bCs/>
          <w:szCs w:val="21"/>
          <w:highlight w:val="none"/>
        </w:rPr>
        <w:t>）履约保证金</w:t>
      </w:r>
      <w:r>
        <w:rPr>
          <w:rFonts w:hint="eastAsia" w:ascii="仿宋" w:hAnsi="仿宋" w:eastAsia="仿宋" w:cs="仿宋"/>
          <w:b/>
          <w:bCs/>
          <w:szCs w:val="21"/>
          <w:highlight w:val="none"/>
          <w:lang w:eastAsia="zh-CN"/>
        </w:rPr>
        <w:t>（如有）</w:t>
      </w:r>
    </w:p>
    <w:p w14:paraId="1E538DB8">
      <w:pPr>
        <w:pageBreakBefore w:val="0"/>
        <w:kinsoku/>
        <w:topLinePunct w:val="0"/>
        <w:bidi w:val="0"/>
        <w:snapToGrid/>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成交供应商应按供应商须知前附表规定的时间、金额、担保形式和磋商文件第四章“合同文本”规定的履约担保格式向采购人提交履约担保。</w:t>
      </w:r>
    </w:p>
    <w:p w14:paraId="0493EDA4">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成交</w:t>
      </w:r>
      <w:r>
        <w:rPr>
          <w:rFonts w:hint="eastAsia" w:ascii="仿宋" w:hAnsi="仿宋" w:eastAsia="仿宋" w:cs="仿宋"/>
          <w:szCs w:val="21"/>
          <w:highlight w:val="none"/>
        </w:rPr>
        <w:t>人不能完整履行合同义务的，采购人有权根据合同约定，从履约保证金中获得所受损失的补偿。</w:t>
      </w:r>
    </w:p>
    <w:p w14:paraId="49D02259">
      <w:pPr>
        <w:pStyle w:val="3"/>
        <w:jc w:val="center"/>
        <w:rPr>
          <w:rFonts w:hint="eastAsia" w:ascii="仿宋" w:hAnsi="仿宋" w:eastAsia="仿宋" w:cs="仿宋"/>
          <w:b/>
          <w:bCs/>
          <w:color w:val="000000"/>
          <w:sz w:val="32"/>
          <w:szCs w:val="32"/>
          <w:highlight w:val="none"/>
          <w:lang w:val="zh-CN" w:eastAsia="zh-CN"/>
        </w:rPr>
      </w:pPr>
      <w:r>
        <w:rPr>
          <w:rFonts w:hint="eastAsia" w:ascii="仿宋" w:hAnsi="仿宋" w:eastAsia="仿宋" w:cs="仿宋"/>
          <w:szCs w:val="21"/>
          <w:highlight w:val="none"/>
          <w:lang w:eastAsia="zh-CN"/>
        </w:rPr>
        <w:br w:type="page"/>
      </w:r>
      <w:bookmarkStart w:id="24" w:name="_Toc16781"/>
      <w:r>
        <w:rPr>
          <w:rFonts w:hint="eastAsia" w:ascii="仿宋" w:hAnsi="仿宋" w:eastAsia="仿宋" w:cs="仿宋"/>
          <w:color w:val="000000"/>
          <w:sz w:val="32"/>
          <w:szCs w:val="32"/>
          <w:highlight w:val="none"/>
          <w:lang w:val="zh-CN" w:eastAsia="zh-CN"/>
        </w:rPr>
        <w:t xml:space="preserve">第三章  </w:t>
      </w:r>
      <w:bookmarkStart w:id="25" w:name="_Toc500445320"/>
      <w:bookmarkStart w:id="26" w:name="_Toc311205918"/>
      <w:bookmarkStart w:id="27" w:name="_Toc500445239"/>
      <w:r>
        <w:rPr>
          <w:rFonts w:hint="eastAsia" w:ascii="仿宋" w:hAnsi="仿宋" w:eastAsia="仿宋" w:cs="仿宋"/>
          <w:b/>
          <w:bCs/>
          <w:color w:val="000000"/>
          <w:sz w:val="32"/>
          <w:szCs w:val="32"/>
          <w:highlight w:val="none"/>
          <w:lang w:val="en-US" w:eastAsia="zh-CN"/>
        </w:rPr>
        <w:t>磋商</w:t>
      </w:r>
      <w:r>
        <w:rPr>
          <w:rFonts w:hint="eastAsia" w:ascii="仿宋" w:hAnsi="仿宋" w:eastAsia="仿宋" w:cs="仿宋"/>
          <w:b/>
          <w:bCs/>
          <w:color w:val="000000"/>
          <w:sz w:val="32"/>
          <w:szCs w:val="32"/>
          <w:highlight w:val="none"/>
          <w:lang w:val="zh-CN" w:eastAsia="zh-CN"/>
        </w:rPr>
        <w:t>内容及</w:t>
      </w:r>
      <w:r>
        <w:rPr>
          <w:rFonts w:hint="eastAsia" w:ascii="仿宋" w:hAnsi="仿宋" w:eastAsia="仿宋" w:cs="仿宋"/>
          <w:b/>
          <w:bCs/>
          <w:color w:val="000000"/>
          <w:sz w:val="32"/>
          <w:szCs w:val="32"/>
          <w:highlight w:val="none"/>
          <w:lang w:val="en-US" w:eastAsia="zh-CN"/>
        </w:rPr>
        <w:t>技术</w:t>
      </w:r>
      <w:r>
        <w:rPr>
          <w:rFonts w:hint="eastAsia" w:ascii="仿宋" w:hAnsi="仿宋" w:eastAsia="仿宋" w:cs="仿宋"/>
          <w:b/>
          <w:bCs/>
          <w:color w:val="000000"/>
          <w:sz w:val="32"/>
          <w:szCs w:val="32"/>
          <w:highlight w:val="none"/>
          <w:lang w:val="zh-CN" w:eastAsia="zh-CN"/>
        </w:rPr>
        <w:t>要求</w:t>
      </w:r>
      <w:bookmarkEnd w:id="24"/>
    </w:p>
    <w:p w14:paraId="554C7E10">
      <w:pPr>
        <w:keepNext/>
        <w:keepLines/>
        <w:widowControl w:val="0"/>
        <w:spacing w:before="0" w:after="0" w:line="300" w:lineRule="auto"/>
        <w:ind w:firstLine="480" w:firstLineChars="200"/>
        <w:jc w:val="both"/>
        <w:outlineLvl w:val="1"/>
        <w:rPr>
          <w:rFonts w:hint="default" w:ascii="仿宋" w:hAnsi="仿宋" w:eastAsia="仿宋" w:cs="仿宋"/>
          <w:b/>
          <w:bCs/>
          <w:kern w:val="2"/>
          <w:sz w:val="24"/>
          <w:szCs w:val="24"/>
          <w:highlight w:val="none"/>
          <w:lang w:val="en-US" w:eastAsia="zh-CN" w:bidi="ar-SA"/>
        </w:rPr>
      </w:pPr>
      <w:bookmarkStart w:id="28" w:name="_Toc25615"/>
      <w:bookmarkStart w:id="29" w:name="_Toc18391"/>
      <w:bookmarkStart w:id="30" w:name="_Toc29289"/>
      <w:bookmarkStart w:id="31" w:name="_Toc20678"/>
      <w:r>
        <w:rPr>
          <w:rFonts w:hint="eastAsia" w:ascii="仿宋" w:hAnsi="仿宋" w:eastAsia="仿宋" w:cs="仿宋"/>
          <w:b/>
          <w:bCs/>
          <w:kern w:val="2"/>
          <w:sz w:val="24"/>
          <w:szCs w:val="24"/>
          <w:highlight w:val="none"/>
          <w:lang w:val="en-US" w:eastAsia="zh-CN" w:bidi="ar-SA"/>
        </w:rPr>
        <w:t>一、项目概况</w:t>
      </w:r>
      <w:bookmarkEnd w:id="28"/>
      <w:bookmarkEnd w:id="29"/>
      <w:bookmarkEnd w:id="30"/>
      <w:bookmarkEnd w:id="31"/>
    </w:p>
    <w:p w14:paraId="0E356F70">
      <w:pPr>
        <w:keepNext/>
        <w:keepLines/>
        <w:spacing w:line="300" w:lineRule="auto"/>
        <w:ind w:firstLine="420" w:firstLineChars="200"/>
        <w:outlineLvl w:val="1"/>
        <w:rPr>
          <w:rFonts w:hint="default" w:ascii="仿宋" w:hAnsi="仿宋" w:eastAsia="仿宋" w:cs="仿宋"/>
          <w:color w:val="auto"/>
          <w:kern w:val="0"/>
          <w:szCs w:val="21"/>
          <w:highlight w:val="none"/>
          <w:lang w:val="en-US" w:eastAsia="zh-CN"/>
        </w:rPr>
      </w:pPr>
      <w:bookmarkStart w:id="32" w:name="_Toc10503"/>
      <w:bookmarkStart w:id="33" w:name="_Toc7348"/>
      <w:bookmarkStart w:id="34" w:name="_Toc7265"/>
      <w:bookmarkStart w:id="35" w:name="_Toc16962"/>
      <w:r>
        <w:rPr>
          <w:rFonts w:hint="eastAsia" w:ascii="仿宋" w:hAnsi="仿宋" w:eastAsia="仿宋" w:cs="仿宋"/>
          <w:color w:val="auto"/>
          <w:kern w:val="0"/>
          <w:szCs w:val="21"/>
          <w:highlight w:val="none"/>
          <w:lang w:val="en-US" w:eastAsia="zh-CN"/>
        </w:rPr>
        <w:t>芳村溪幸福河湖建设项目建设内容包含河湖系统治理、提升管护能力和助力流域区域发展三方面内容，主要工程内容包括：水系连通5.04km；改造堰坝20座；生态化改造堤岸34.10km；水域空间修复13.59万㎡；滩地生态修复共20.17万㎡；提升水文化载体共3处；水质水环境提升专项1项；便民利民亲水节点10处；智慧管护应用1项。水利估算建安投资约11703.29万元，</w:t>
      </w:r>
      <w:r>
        <w:rPr>
          <w:rFonts w:hint="eastAsia" w:ascii="仿宋" w:hAnsi="仿宋" w:eastAsia="仿宋" w:cs="仿宋"/>
          <w:kern w:val="0"/>
          <w:sz w:val="21"/>
          <w:szCs w:val="21"/>
          <w:highlight w:val="none"/>
          <w:lang w:val="en-US" w:eastAsia="zh-CN" w:bidi="ar"/>
        </w:rPr>
        <w:t>其中招贤片区工程建安费约1650.35万元。本次招标范围不含招贤片区的招标代理及预算（工程量清单）编制服务。</w:t>
      </w:r>
    </w:p>
    <w:p w14:paraId="7EF23FBE">
      <w:pPr>
        <w:pStyle w:val="47"/>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项目建设内容：本项目主要建设内容包含河湖系统治理、提升管护能力、助力流域区域发展三个方面，项目共建设水系连通3.25km；改善堰坝生态流量泄放设施建设共23座；生态化改造堤岸共30.76km；水域空间修复18.86万m³；滩地生态修复共16.07万m³；提升水文化载体共3处；便民利民亲水节点10处；智慧管护应用1项。工程沿线配套渠道修复、下河台阶、埠头、穿堤涵管、亲水便民设施等配套建筑，设置标识标牌、照明路灯、数字化监控监测67等管理设施。</w:t>
      </w:r>
    </w:p>
    <w:p w14:paraId="11B9BBC5">
      <w:pPr>
        <w:pStyle w:val="47"/>
        <w:numPr>
          <w:ilvl w:val="0"/>
          <w:numId w:val="5"/>
        </w:num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采购需求概述</w:t>
      </w:r>
      <w:bookmarkEnd w:id="32"/>
      <w:bookmarkEnd w:id="33"/>
      <w:bookmarkEnd w:id="34"/>
      <w:bookmarkEnd w:id="35"/>
      <w:bookmarkStart w:id="36" w:name="_Toc21182"/>
      <w:bookmarkStart w:id="37" w:name="_Toc23776"/>
      <w:bookmarkStart w:id="38" w:name="_Toc9217"/>
      <w:bookmarkStart w:id="39" w:name="_Toc27661"/>
      <w:bookmarkStart w:id="40" w:name="_Toc4286"/>
      <w:bookmarkStart w:id="41" w:name="_Toc15629"/>
      <w:bookmarkStart w:id="42" w:name="_Toc3383"/>
    </w:p>
    <w:p w14:paraId="3E645E07">
      <w:pPr>
        <w:pStyle w:val="47"/>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1.建设工程招标代理服务范围包括但不限于：</w:t>
      </w:r>
    </w:p>
    <w:p w14:paraId="16D05CC1">
      <w:pPr>
        <w:pStyle w:val="47"/>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办理招标项目（含监理服务招标）的报建、发包申请、编写招标公告、招标文件、发放招标文件及图纸、答疑、编写招标文件答疑。（2）组织开标、评标、定标，相关招标资料整理和备案，协助业主签发中标通知书，以及提供招标前期咨询、协助签订工程合同合同签订等业务。编制和提交招标投标情况的书面报告办理备案及法律、法规规定的其他工作。招标文件等所有资料的复印、装订等一切所发生的内容。</w:t>
      </w:r>
    </w:p>
    <w:p w14:paraId="47091CE3">
      <w:pPr>
        <w:pStyle w:val="47"/>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施工阶段全过程造价控制服务范围：施工阶段全过程造价咨询，主要内容包括（但不限于）：完成工程量清单及预算、招标控制价的编制等，配合财政协审单位完成预算审核；编制工程造价计价依据及对工程造价进行控制和提供有关工程造价信息资料；无价材料设备询价及品牌推荐等相关服务工作；参与造价控制有关的工程会议；参与现场工程量丈量；负责对承包人报送的每月（期）完成进度款月报进行审核，并提出当月（期）付款建议书；审核因设计变更、现场签证等发生的费用；核定分阶段完工的分部工程结算、工程竣工结算，提供完整的结算审计（初审）及各项费用汇总表，配合结算终审单位审计工作，直至完成项目整体结算审计；工程变更签证及索赔管理、材料设备的询价、提供核价建议、工程造价动态管理、工程技术经济指标分析等相关服务内容。</w:t>
      </w:r>
    </w:p>
    <w:p w14:paraId="78A07ACE">
      <w:pPr>
        <w:keepNext/>
        <w:keepLines/>
        <w:spacing w:line="300" w:lineRule="auto"/>
        <w:ind w:firstLine="420" w:firstLineChars="200"/>
        <w:outlineLvl w:val="1"/>
        <w:rPr>
          <w:rFonts w:hint="eastAsia"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lang w:val="en-US" w:eastAsia="zh-CN"/>
        </w:rPr>
        <w:t>3</w:t>
      </w:r>
      <w:bookmarkStart w:id="43" w:name="_Toc9392"/>
      <w:bookmarkStart w:id="44" w:name="_Toc14342"/>
      <w:bookmarkStart w:id="45" w:name="_Toc7310"/>
      <w:r>
        <w:rPr>
          <w:rFonts w:hint="eastAsia" w:ascii="仿宋" w:hAnsi="仿宋" w:eastAsia="仿宋" w:cs="仿宋"/>
          <w:b/>
          <w:bCs/>
          <w:color w:val="auto"/>
          <w:kern w:val="0"/>
          <w:szCs w:val="21"/>
          <w:highlight w:val="none"/>
          <w:lang w:val="en-US" w:eastAsia="zh-CN"/>
        </w:rPr>
        <w:t>.工作目标</w:t>
      </w:r>
      <w:bookmarkEnd w:id="43"/>
      <w:bookmarkEnd w:id="44"/>
      <w:bookmarkEnd w:id="45"/>
    </w:p>
    <w:p w14:paraId="6511DF14">
      <w:pPr>
        <w:keepNext/>
        <w:keepLines/>
        <w:spacing w:line="300" w:lineRule="auto"/>
        <w:ind w:firstLine="420" w:firstLineChars="200"/>
        <w:outlineLvl w:val="1"/>
        <w:rPr>
          <w:rFonts w:hint="default"/>
          <w:highlight w:val="none"/>
          <w:lang w:val="en-US" w:eastAsia="zh-CN"/>
        </w:rPr>
      </w:pPr>
      <w:r>
        <w:rPr>
          <w:rFonts w:hint="eastAsia" w:ascii="仿宋" w:hAnsi="仿宋" w:eastAsia="仿宋" w:cs="仿宋"/>
          <w:color w:val="auto"/>
          <w:kern w:val="0"/>
          <w:szCs w:val="21"/>
          <w:highlight w:val="none"/>
          <w:lang w:val="en-US" w:eastAsia="zh-CN"/>
        </w:rPr>
        <w:t>应认真履行招标代理及全过程造价咨询及咨询职责，保证工程总投资控制在预算投资限额内，并应协助委托人做好全过程工程造价的事前管理、事中管理、事后管理。</w:t>
      </w:r>
    </w:p>
    <w:p w14:paraId="4E035565">
      <w:pPr>
        <w:numPr>
          <w:ilvl w:val="0"/>
          <w:numId w:val="0"/>
        </w:numPr>
        <w:snapToGrid w:val="0"/>
        <w:spacing w:line="400" w:lineRule="exact"/>
        <w:ind w:left="-480" w:leftChars="0" w:firstLine="896" w:firstLineChars="427"/>
        <w:rPr>
          <w:rFonts w:hint="eastAsia" w:ascii="宋体" w:hAnsi="宋体" w:eastAsia="仿宋_GB2312" w:cs="宋体"/>
          <w:b/>
          <w:bCs/>
          <w:color w:val="auto"/>
          <w:kern w:val="2"/>
          <w:sz w:val="21"/>
          <w:szCs w:val="21"/>
          <w:highlight w:val="none"/>
          <w:lang w:val="zh-CN" w:eastAsia="zh-CN" w:bidi="ar-SA"/>
        </w:rPr>
      </w:pPr>
      <w:r>
        <w:rPr>
          <w:rFonts w:hint="eastAsia" w:ascii="宋体" w:hAnsi="宋体" w:eastAsia="仿宋_GB2312" w:cs="宋体"/>
          <w:b/>
          <w:bCs/>
          <w:color w:val="auto"/>
          <w:kern w:val="2"/>
          <w:sz w:val="21"/>
          <w:szCs w:val="21"/>
          <w:highlight w:val="none"/>
          <w:lang w:val="en-US" w:eastAsia="zh-CN" w:bidi="ar-SA"/>
        </w:rPr>
        <w:t>三</w:t>
      </w:r>
      <w:r>
        <w:rPr>
          <w:rFonts w:hint="eastAsia" w:ascii="宋体" w:hAnsi="宋体" w:eastAsia="仿宋_GB2312" w:cs="宋体"/>
          <w:b/>
          <w:bCs/>
          <w:color w:val="auto"/>
          <w:kern w:val="2"/>
          <w:sz w:val="21"/>
          <w:szCs w:val="21"/>
          <w:highlight w:val="none"/>
          <w:lang w:val="zh-CN" w:eastAsia="zh-CN" w:bidi="ar-SA"/>
        </w:rPr>
        <w:t>、服务内容和要求</w:t>
      </w:r>
      <w:bookmarkEnd w:id="36"/>
      <w:bookmarkEnd w:id="37"/>
      <w:bookmarkEnd w:id="38"/>
    </w:p>
    <w:p w14:paraId="270E269C">
      <w:pPr>
        <w:keepNext w:val="0"/>
        <w:keepLines w:val="0"/>
        <w:pageBreakBefore w:val="0"/>
        <w:widowControl w:val="0"/>
        <w:kinsoku/>
        <w:wordWrap/>
        <w:overflowPunct/>
        <w:topLinePunct w:val="0"/>
        <w:autoSpaceDE/>
        <w:autoSpaceDN/>
        <w:bidi w:val="0"/>
        <w:adjustRightInd/>
        <w:snapToGrid w:val="0"/>
        <w:spacing w:before="115" w:beforeLines="30" w:after="115" w:afterLines="30" w:line="360" w:lineRule="auto"/>
        <w:ind w:firstLine="420" w:firstLineChars="200"/>
        <w:jc w:val="left"/>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（一）招标代理服务内容及要求</w:t>
      </w:r>
    </w:p>
    <w:p w14:paraId="3885054C">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1.负责编制、优化、调整本项目招标规划及招标进度计划，并报采购人审定（含招标人员内部分工、联系方式、工程量清单及招标控制价编制计划等内容）；</w:t>
      </w:r>
    </w:p>
    <w:p w14:paraId="0DB2E450">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2.根据工程建设进度需要，每个单项招标启动前负责招标方案的编制，并报采购人审定；</w:t>
      </w:r>
    </w:p>
    <w:p w14:paraId="125EBFA5">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3.负责梳理和编写项目施工招标所需的招标内容（范围）、界面划分、品牌推荐、招标人（技术）要求等招标工作。</w:t>
      </w:r>
    </w:p>
    <w:p w14:paraId="322C97AA">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4.负责梳理和编写货物和服务项目招标所需的招标内容（范围）、品牌推荐和技术要求，并负责组织相关的文件论证（如需要）。</w:t>
      </w:r>
    </w:p>
    <w:p w14:paraId="4FC7BEA1">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5.起草招标公告，并报采购人审定，负责发布招标公告；</w:t>
      </w:r>
    </w:p>
    <w:p w14:paraId="0513EF8E">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6.编制各招标阶段的资格预审文件，并报采购人审定；</w:t>
      </w:r>
    </w:p>
    <w:p w14:paraId="14B1EC04">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7.发售资格预审文件，负责组织资格预审会议，协助采购人确定入围投标单位名单；</w:t>
      </w:r>
    </w:p>
    <w:p w14:paraId="38037D95">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8.编制招标文件，并报采购人审定，负责修改采购人提出的审核意见；招标成果资料应当有本机构注册造价工程师参与编制和审核；</w:t>
      </w:r>
    </w:p>
    <w:p w14:paraId="22B09F7F">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9.发售招标文件、组织现场踏勘、编制招标答疑和补疑、整理答疑纪要，补遗和答疑文件报采购人审定；</w:t>
      </w:r>
    </w:p>
    <w:p w14:paraId="274C1324">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10.负责组织开标、评标、询标、定标会议的会务安排，协助采购人抽取评标专家和定标；</w:t>
      </w:r>
    </w:p>
    <w:p w14:paraId="1889A924">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11.负责准备评标辅助表格和资料，协助采购人解释招标文件及评标办法，协助评标委员会询标、统计及评标报告的打印录入工作，负责评标报告及相关资料的整理、移交、备案公示；</w:t>
      </w:r>
    </w:p>
    <w:p w14:paraId="53FD93A9">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12.负责评标专家的接待，评审活动所需专家劳务费、交通费、住宿费等费用由采购人支付，中标人先行垫付，评审结束后凭评审专家签字的费用领取表与采购人办理结算。</w:t>
      </w:r>
    </w:p>
    <w:p w14:paraId="55D01303">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13.协助采购人定标并发放中标通知书；</w:t>
      </w:r>
    </w:p>
    <w:p w14:paraId="5E3127C3">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14.如有质疑、投诉，协助采购人处理，未能按期决标时负责办理投标有效期的延长；</w:t>
      </w:r>
    </w:p>
    <w:p w14:paraId="55CDEA73">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15.协助采购人谈判、签订合同；</w:t>
      </w:r>
    </w:p>
    <w:p w14:paraId="0AEF95CE">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16.按招标文件和招标代理合同的约定办理其他相关事宜。</w:t>
      </w:r>
    </w:p>
    <w:p w14:paraId="08A90FD9">
      <w:pPr>
        <w:keepNext w:val="0"/>
        <w:keepLines w:val="0"/>
        <w:pageBreakBefore w:val="0"/>
        <w:widowControl w:val="0"/>
        <w:kinsoku/>
        <w:wordWrap/>
        <w:overflowPunct/>
        <w:topLinePunct w:val="0"/>
        <w:autoSpaceDE/>
        <w:autoSpaceDN/>
        <w:bidi w:val="0"/>
        <w:adjustRightInd/>
        <w:snapToGrid w:val="0"/>
        <w:spacing w:before="115" w:beforeLines="30" w:after="115" w:afterLines="30" w:line="360" w:lineRule="auto"/>
        <w:ind w:firstLine="420" w:firstLineChars="200"/>
        <w:jc w:val="left"/>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（二）工程量清单及控制价编制服务内容及要求</w:t>
      </w:r>
    </w:p>
    <w:p w14:paraId="5F37AAF7">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1.收集和接收编制依据，评估编制依据对编制质量的影响，确保资料的准确性、完整性；</w:t>
      </w:r>
    </w:p>
    <w:p w14:paraId="2521AF7C">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2.熟悉勘查、设计文件及招标文件等相关资料；</w:t>
      </w:r>
    </w:p>
    <w:p w14:paraId="5FDC25E7">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3.踏勘施工现场，熟悉施工场地条件及周边环境；</w:t>
      </w:r>
    </w:p>
    <w:p w14:paraId="0A7791B5">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4.分解编制任务，拟定工作分工与进度计划，书面汇报采购人；</w:t>
      </w:r>
    </w:p>
    <w:p w14:paraId="283E7E8A">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5.负责编制施工项目工程量清单及招标控制价，并根据采购人审核意见进行调整；成果资料应当由本机构拟派造价人员编制及审核，并签字及加盖执业专用章；</w:t>
      </w:r>
    </w:p>
    <w:p w14:paraId="4557E84A">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6.根据项目建设进度需要，参加图纸会审会议，及时提出各种有关工程造价方面的建议。</w:t>
      </w:r>
    </w:p>
    <w:p w14:paraId="4E27708C">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7.工程量清单编制过程中，出现下列情形，编制单位应及时以书面形式联系相关单位，做好跟踪反馈；如需业主澄清的问题，做好与采购人的对接工作：</w:t>
      </w:r>
    </w:p>
    <w:p w14:paraId="2694AA91">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（1）不满足工程量清单编制或计价要求的设计缺陷；</w:t>
      </w:r>
    </w:p>
    <w:p w14:paraId="4A814B0C">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（2）设计图纸的错、漏或优化建议；</w:t>
      </w:r>
    </w:p>
    <w:p w14:paraId="65C269A6">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（3）需设计澄清的问题；</w:t>
      </w:r>
    </w:p>
    <w:p w14:paraId="7C89473A">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（4）编制范围及分界面对清单列项或计量结算不利；</w:t>
      </w:r>
    </w:p>
    <w:p w14:paraId="7EA425A9">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（5）非常规施工措施费用的清单列项与费用计取建议；</w:t>
      </w:r>
    </w:p>
    <w:p w14:paraId="0E4EB29A">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（6）及时向采购人汇报工程量清单及招标控制价编制进度、编制过程中发现的问题、需设计和业主回复的问题、设计回复问题整理等内容。</w:t>
      </w:r>
    </w:p>
    <w:p w14:paraId="2C8D8AA6">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8.工程量清单成果格式应符合地方工程量清单计价规则(政府投资项目)或采购人格式要求（非政府投资项目)，保证工程量清单成果组成文件完整、工程量计算准确、清单列项完整、项目特征描述准确。</w:t>
      </w:r>
    </w:p>
    <w:p w14:paraId="404063AE">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9.工程量清单及招标控制价成果应符合国家及地方造价编制依据，保证成果编制的准确性、完整性。</w:t>
      </w:r>
    </w:p>
    <w:p w14:paraId="58064C4D">
      <w:pPr>
        <w:snapToGrid w:val="0"/>
        <w:spacing w:line="360"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10.在招标项目完成、中标单位收到中标通知书之后的两个月内，完成与中标单位的工程量清单核对工作；</w:t>
      </w:r>
    </w:p>
    <w:p w14:paraId="7022F9EF">
      <w:pPr>
        <w:keepNext w:val="0"/>
        <w:keepLines w:val="0"/>
        <w:pageBreakBefore w:val="0"/>
        <w:widowControl w:val="0"/>
        <w:kinsoku/>
        <w:wordWrap/>
        <w:overflowPunct/>
        <w:topLinePunct w:val="0"/>
        <w:autoSpaceDE/>
        <w:autoSpaceDN/>
        <w:bidi w:val="0"/>
        <w:adjustRightInd/>
        <w:snapToGrid w:val="0"/>
        <w:spacing w:before="115" w:beforeLines="30" w:after="115" w:afterLines="30" w:line="360" w:lineRule="auto"/>
        <w:ind w:firstLine="420" w:firstLineChars="200"/>
        <w:jc w:val="left"/>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（三）施工阶段全过程造价控制具体工作内容及要求</w:t>
      </w:r>
    </w:p>
    <w:p w14:paraId="281FD99F">
      <w:pPr>
        <w:snapToGrid w:val="0"/>
        <w:spacing w:line="360" w:lineRule="auto"/>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1.制定造价控制及资金使用计划的实施方案：制定施工阶段全过程造价咨询的实施流程，根据总承包合同、进度计划等，编制用款计划书，明确全过程造价咨询目标；</w:t>
      </w:r>
    </w:p>
    <w:p w14:paraId="2D3B18D9">
      <w:pPr>
        <w:snapToGrid w:val="0"/>
        <w:spacing w:line="360" w:lineRule="auto"/>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2.合同价款咨询：对项目范围内的各承包人与发包人签订的合同价款及相关条款进行审核并提供咨询服务，包括但不限于合同分析、合同交底、合同变更管理等工作。</w:t>
      </w:r>
    </w:p>
    <w:p w14:paraId="427BE3D4">
      <w:pPr>
        <w:snapToGrid w:val="0"/>
        <w:spacing w:line="360" w:lineRule="auto"/>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3.施工阶段造价风险分析：根据项目具体特征，分析造价风险（包括但不限于材料价格风险、工期风险、自然灾害及气象风险、设计变更风险、施工组织风险等），并提出相应的施工阶段造价风险预防措施。</w:t>
      </w:r>
    </w:p>
    <w:p w14:paraId="7AF5D869">
      <w:pPr>
        <w:snapToGrid w:val="0"/>
        <w:spacing w:line="360" w:lineRule="auto"/>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4.审核工程预付款和进度款及其价款支付：负责对承包人报送的预付款及每月(期)完成进度款月报表进行审核，核定每月（期）完成的分部分项工程量，并提出当月(期)付款建议书；</w:t>
      </w:r>
    </w:p>
    <w:p w14:paraId="5C720010">
      <w:pPr>
        <w:snapToGrid w:val="0"/>
        <w:spacing w:line="360" w:lineRule="auto"/>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5.工程变更签证及索赔管理：协助采购人及时审核因设计变更、现场签证等发生的费用及相关询价工作。承发包方提出索赔时，协助收集整理相关数据资料，结合现场情况，编写索赔条款或反索赔应对策略，必要时参加谈判工作，凭据合同和有关法律、法规，提供咨询意见；</w:t>
      </w:r>
    </w:p>
    <w:p w14:paraId="7EEB7CFC">
      <w:pPr>
        <w:snapToGrid w:val="0"/>
        <w:spacing w:line="360" w:lineRule="auto"/>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6.材料设备的询价：协助采购人做好无价材料及暂定价材料、设备的市场询价工作，提供与全过程造价咨询相关的人工、材料、机械、设备等造价信息；协助委托人确定“甲供材料”、“甲定乙供材料”，并通过市场调查询价确定价格范围，明确甲供材料取费的规定；</w:t>
      </w:r>
    </w:p>
    <w:p w14:paraId="12613EA7">
      <w:pPr>
        <w:snapToGrid w:val="0"/>
        <w:spacing w:line="360" w:lineRule="auto"/>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7.提供核价建议：根据相关政策及价格信息，向委托人及时提供可能涉及到的各项分部分项及相关材料的核价建议，并提供相关依据。</w:t>
      </w:r>
    </w:p>
    <w:p w14:paraId="5D2229A5">
      <w:pPr>
        <w:snapToGrid w:val="0"/>
        <w:spacing w:line="360" w:lineRule="auto"/>
        <w:ind w:firstLine="420" w:firstLineChars="200"/>
        <w:jc w:val="left"/>
        <w:rPr>
          <w:rFonts w:hint="eastAsia" w:ascii="宋体" w:hAnsi="宋体" w:eastAsia="仿宋_GB2312" w:cs="宋体"/>
          <w:b w:val="0"/>
          <w:bCs w:val="0"/>
          <w:color w:val="auto"/>
          <w:kern w:val="2"/>
          <w:sz w:val="21"/>
          <w:szCs w:val="21"/>
          <w:highlight w:val="none"/>
          <w:lang w:val="zh-CN" w:eastAsia="zh-CN" w:bidi="ar-SA"/>
        </w:rPr>
      </w:pPr>
      <w:r>
        <w:rPr>
          <w:rFonts w:hint="eastAsia" w:ascii="仿宋" w:hAnsi="仿宋" w:eastAsia="仿宋" w:cs="仿宋"/>
          <w:color w:val="000000"/>
          <w:szCs w:val="21"/>
          <w:highlight w:val="none"/>
          <w:lang w:val="en-US" w:eastAsia="zh-CN"/>
        </w:rPr>
        <w:t>8.工程技术经济指标分析：根据项目情况，编制合理的工程技术经济指标分析，提出可行的优化建议，并提供完整的分析报告。</w:t>
      </w:r>
    </w:p>
    <w:p w14:paraId="2DA2CDC7">
      <w:pPr>
        <w:snapToGrid w:val="0"/>
        <w:spacing w:line="400" w:lineRule="exact"/>
        <w:ind w:firstLine="420" w:firstLineChars="200"/>
        <w:rPr>
          <w:rFonts w:hint="eastAsia" w:ascii="宋体" w:hAnsi="宋体" w:eastAsia="仿宋_GB2312" w:cs="宋体"/>
          <w:b w:val="0"/>
          <w:bCs w:val="0"/>
          <w:color w:val="auto"/>
          <w:kern w:val="2"/>
          <w:sz w:val="21"/>
          <w:szCs w:val="21"/>
          <w:highlight w:val="none"/>
          <w:lang w:val="zh-CN" w:eastAsia="zh-CN" w:bidi="ar-SA"/>
        </w:rPr>
      </w:pPr>
      <w:r>
        <w:rPr>
          <w:rFonts w:hint="eastAsia" w:ascii="宋体" w:hAnsi="宋体" w:eastAsia="仿宋_GB2312" w:cs="宋体"/>
          <w:b w:val="0"/>
          <w:bCs w:val="0"/>
          <w:color w:val="auto"/>
          <w:kern w:val="2"/>
          <w:sz w:val="21"/>
          <w:szCs w:val="21"/>
          <w:highlight w:val="none"/>
          <w:lang w:val="en-US" w:eastAsia="zh-CN" w:bidi="ar-SA"/>
        </w:rPr>
        <w:t>9.</w:t>
      </w:r>
      <w:r>
        <w:rPr>
          <w:rFonts w:hint="eastAsia" w:ascii="宋体" w:hAnsi="宋体" w:eastAsia="仿宋_GB2312" w:cs="宋体"/>
          <w:b w:val="0"/>
          <w:bCs w:val="0"/>
          <w:color w:val="auto"/>
          <w:kern w:val="2"/>
          <w:sz w:val="21"/>
          <w:szCs w:val="21"/>
          <w:highlight w:val="none"/>
          <w:lang w:val="zh-CN" w:eastAsia="zh-CN" w:bidi="ar-SA"/>
        </w:rPr>
        <w:t>做好工程竣工结算审核和财务决算的配合工作。</w:t>
      </w:r>
    </w:p>
    <w:p w14:paraId="28177B5E">
      <w:pPr>
        <w:pStyle w:val="47"/>
        <w:ind w:left="0" w:leftChars="0" w:firstLine="420" w:firstLineChars="200"/>
        <w:rPr>
          <w:rFonts w:hint="eastAsia"/>
          <w:highlight w:val="none"/>
          <w:lang w:eastAsia="zh-CN"/>
        </w:rPr>
      </w:pPr>
      <w:r>
        <w:rPr>
          <w:rFonts w:hint="eastAsia" w:ascii="宋体" w:hAnsi="宋体" w:cs="宋体"/>
          <w:b w:val="0"/>
          <w:bCs w:val="0"/>
          <w:color w:val="auto"/>
          <w:sz w:val="21"/>
          <w:szCs w:val="21"/>
          <w:highlight w:val="none"/>
          <w:lang w:val="en-US" w:eastAsia="zh-CN"/>
        </w:rPr>
        <w:t>（四）</w:t>
      </w:r>
      <w:r>
        <w:rPr>
          <w:rFonts w:hint="eastAsia" w:ascii="宋体" w:hAnsi="宋体" w:cs="宋体"/>
          <w:b w:val="0"/>
          <w:bCs w:val="0"/>
          <w:color w:val="auto"/>
          <w:sz w:val="21"/>
          <w:szCs w:val="21"/>
          <w:highlight w:val="none"/>
        </w:rPr>
        <w:t>其他：</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参与全过程造价咨询有关的工程会议，并根据现场需要参加施工图纸会审，提出审图意见，对图纸会审内容进行成本估算；</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积极配合委托人的法定审核审计（含招标人上级各部门的审计）工作，并及时提交各项所需资料；</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人员驻场要求：</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rPr>
        <w:t>名二级及以上注册造价师，</w:t>
      </w:r>
      <w:r>
        <w:rPr>
          <w:rFonts w:hint="eastAsia" w:ascii="宋体" w:hAnsi="宋体" w:cs="宋体"/>
          <w:b w:val="0"/>
          <w:bCs w:val="0"/>
          <w:color w:val="auto"/>
          <w:sz w:val="21"/>
          <w:szCs w:val="21"/>
          <w:highlight w:val="none"/>
          <w:lang w:val="en-US" w:eastAsia="zh-CN"/>
        </w:rPr>
        <w:t>必须根据业主要求到场</w:t>
      </w:r>
      <w:r>
        <w:rPr>
          <w:rFonts w:hint="eastAsia" w:ascii="宋体" w:hAnsi="宋体" w:cs="宋体"/>
          <w:b w:val="0"/>
          <w:bCs w:val="0"/>
          <w:color w:val="auto"/>
          <w:sz w:val="21"/>
          <w:szCs w:val="21"/>
          <w:highlight w:val="none"/>
        </w:rPr>
        <w:t>。项目负责人及造价咨询服务人员未经委托人同意不得随意更换变动，因客观情况确需更换的，应征得发包人同意，且更换后的人员不得低于原投标承诺人员所具有的资格和业绩条件；</w:t>
      </w:r>
      <w:r>
        <w:rPr>
          <w:rFonts w:hint="eastAsia" w:ascii="宋体" w:hAnsi="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rPr>
        <w:t>除现场驻场人数要求外，公司还须安排造价咨询的成员协助完成</w:t>
      </w:r>
      <w:r>
        <w:rPr>
          <w:rFonts w:hint="eastAsia" w:ascii="宋体" w:hAnsi="宋体" w:cs="宋体"/>
          <w:b w:val="0"/>
          <w:bCs w:val="0"/>
          <w:color w:val="auto"/>
          <w:sz w:val="21"/>
          <w:szCs w:val="21"/>
          <w:highlight w:val="none"/>
          <w:lang w:eastAsia="zh-CN"/>
        </w:rPr>
        <w:t>施工阶段全过程工程造价控制</w:t>
      </w:r>
      <w:r>
        <w:rPr>
          <w:rFonts w:hint="eastAsia" w:ascii="宋体" w:hAnsi="宋体" w:cs="宋体"/>
          <w:b w:val="0"/>
          <w:bCs w:val="0"/>
          <w:color w:val="auto"/>
          <w:sz w:val="21"/>
          <w:szCs w:val="21"/>
          <w:highlight w:val="none"/>
        </w:rPr>
        <w:t>内容的所有工作；</w:t>
      </w: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rPr>
        <w:t>相关人员需参加重要隐蔽工程验收及相关重大节点验收，并留下影像资料；⑥建设单位要求的其他与工程建设相关的咨询服务。</w:t>
      </w:r>
    </w:p>
    <w:p w14:paraId="0DC45DC4">
      <w:pPr>
        <w:keepNext/>
        <w:keepLines/>
        <w:widowControl w:val="0"/>
        <w:spacing w:before="0" w:after="0" w:line="300" w:lineRule="auto"/>
        <w:ind w:firstLine="480" w:firstLineChars="200"/>
        <w:jc w:val="both"/>
        <w:outlineLvl w:val="1"/>
        <w:rPr>
          <w:rFonts w:hint="default"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四、项目团队人员要求</w:t>
      </w:r>
    </w:p>
    <w:p w14:paraId="00F0D5CB">
      <w:pPr>
        <w:autoSpaceDE w:val="0"/>
        <w:autoSpaceDN w:val="0"/>
        <w:adjustRightInd w:val="0"/>
        <w:snapToGrid w:val="0"/>
        <w:spacing w:line="440" w:lineRule="exact"/>
        <w:ind w:firstLine="420" w:firstLineChars="200"/>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项目组配备：项目负责人1人，造价咨询人员3人，招标代理人员3人，均需为本单位在编人员。</w:t>
      </w:r>
    </w:p>
    <w:p w14:paraId="4DABCB51">
      <w:pPr>
        <w:autoSpaceDE w:val="0"/>
        <w:autoSpaceDN w:val="0"/>
        <w:adjustRightInd w:val="0"/>
        <w:snapToGrid w:val="0"/>
        <w:spacing w:line="440" w:lineRule="exact"/>
        <w:ind w:firstLine="420" w:firstLineChars="200"/>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注：投标时须提供相应的证书扫描件及截止投标时间近三个月（2025年03月-2025年05月）投标人为其缴纳社保的有效证明材料（盖有社保部门公章）。</w:t>
      </w:r>
    </w:p>
    <w:p w14:paraId="5072E256">
      <w:pPr>
        <w:keepNext/>
        <w:keepLines/>
        <w:numPr>
          <w:ilvl w:val="0"/>
          <w:numId w:val="0"/>
        </w:numPr>
        <w:spacing w:line="300" w:lineRule="auto"/>
        <w:ind w:firstLine="480" w:firstLineChars="200"/>
        <w:outlineLvl w:val="1"/>
        <w:rPr>
          <w:rFonts w:hint="eastAsia" w:ascii="仿宋" w:hAnsi="仿宋" w:eastAsia="仿宋" w:cs="仿宋"/>
          <w:b/>
          <w:bCs/>
          <w:color w:val="auto"/>
          <w:sz w:val="24"/>
          <w:szCs w:val="24"/>
          <w:highlight w:val="none"/>
          <w:lang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lang w:eastAsia="zh-CN"/>
        </w:rPr>
        <w:t>、商</w:t>
      </w:r>
      <w:r>
        <w:rPr>
          <w:rFonts w:hint="eastAsia" w:ascii="仿宋" w:hAnsi="仿宋" w:eastAsia="仿宋" w:cs="仿宋"/>
          <w:b/>
          <w:bCs/>
          <w:color w:val="auto"/>
          <w:sz w:val="24"/>
          <w:szCs w:val="24"/>
          <w:highlight w:val="none"/>
          <w:lang w:eastAsia="zh-CN"/>
        </w:rPr>
        <w:t>务条款</w:t>
      </w:r>
    </w:p>
    <w:p w14:paraId="645E5D09">
      <w:pPr>
        <w:keepNext/>
        <w:keepLines/>
        <w:numPr>
          <w:ilvl w:val="0"/>
          <w:numId w:val="0"/>
        </w:numPr>
        <w:spacing w:line="300" w:lineRule="auto"/>
        <w:ind w:firstLine="420" w:firstLineChars="200"/>
        <w:outlineLvl w:val="1"/>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1.服务</w:t>
      </w:r>
      <w:bookmarkEnd w:id="39"/>
      <w:bookmarkEnd w:id="40"/>
      <w:bookmarkEnd w:id="41"/>
      <w:r>
        <w:rPr>
          <w:rFonts w:hint="eastAsia" w:ascii="仿宋" w:hAnsi="仿宋" w:eastAsia="仿宋" w:cs="仿宋"/>
          <w:b/>
          <w:bCs/>
          <w:color w:val="auto"/>
          <w:sz w:val="21"/>
          <w:szCs w:val="21"/>
          <w:highlight w:val="none"/>
          <w:lang w:val="en-US" w:eastAsia="zh-CN"/>
        </w:rPr>
        <w:t>期限</w:t>
      </w:r>
    </w:p>
    <w:bookmarkEnd w:id="42"/>
    <w:p w14:paraId="7E068C59">
      <w:pPr>
        <w:numPr>
          <w:ilvl w:val="255"/>
          <w:numId w:val="0"/>
        </w:numPr>
        <w:spacing w:line="540" w:lineRule="exact"/>
        <w:ind w:firstLine="420" w:firstLineChars="200"/>
        <w:rPr>
          <w:rFonts w:hint="eastAsia" w:ascii="仿宋" w:hAnsi="仿宋" w:eastAsia="仿宋" w:cs="仿宋"/>
          <w:color w:val="auto"/>
          <w:sz w:val="21"/>
          <w:szCs w:val="21"/>
          <w:highlight w:val="none"/>
          <w:lang w:val="en-US" w:eastAsia="zh-CN"/>
        </w:rPr>
      </w:pPr>
      <w:bookmarkStart w:id="46" w:name="_Toc11618"/>
      <w:r>
        <w:rPr>
          <w:rFonts w:hint="eastAsia" w:ascii="仿宋" w:hAnsi="仿宋" w:eastAsia="仿宋" w:cs="仿宋"/>
          <w:color w:val="auto"/>
          <w:sz w:val="21"/>
          <w:szCs w:val="21"/>
          <w:highlight w:val="none"/>
          <w:lang w:val="en-US" w:eastAsia="zh-CN"/>
        </w:rPr>
        <w:t>自项目实施开始至项目结束过程中发生的相应咨询和代理服务结束。</w:t>
      </w:r>
    </w:p>
    <w:bookmarkEnd w:id="46"/>
    <w:p w14:paraId="146F2B55">
      <w:pPr>
        <w:autoSpaceDE w:val="0"/>
        <w:autoSpaceDN w:val="0"/>
        <w:adjustRightInd w:val="0"/>
        <w:snapToGrid w:val="0"/>
        <w:spacing w:line="440" w:lineRule="exact"/>
        <w:ind w:firstLine="420" w:firstLineChars="20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b/>
          <w:color w:val="auto"/>
          <w:sz w:val="21"/>
          <w:szCs w:val="21"/>
          <w:highlight w:val="none"/>
          <w:lang w:val="en-US" w:eastAsia="zh-CN"/>
        </w:rPr>
        <w:t>质量要求：</w:t>
      </w:r>
      <w:r>
        <w:rPr>
          <w:rFonts w:hint="eastAsia" w:ascii="仿宋" w:hAnsi="仿宋" w:eastAsia="仿宋" w:cs="仿宋"/>
          <w:color w:val="auto"/>
          <w:sz w:val="21"/>
          <w:szCs w:val="21"/>
          <w:highlight w:val="none"/>
          <w:lang w:val="en-US" w:eastAsia="zh-CN"/>
        </w:rPr>
        <w:t>符合</w:t>
      </w:r>
      <w:r>
        <w:rPr>
          <w:rFonts w:hint="eastAsia" w:ascii="仿宋" w:hAnsi="仿宋" w:eastAsia="仿宋" w:cs="仿宋"/>
          <w:b w:val="0"/>
          <w:bCs w:val="0"/>
          <w:color w:val="auto"/>
          <w:kern w:val="2"/>
          <w:sz w:val="21"/>
          <w:szCs w:val="21"/>
          <w:highlight w:val="none"/>
          <w:lang w:val="en-US" w:eastAsia="zh-CN" w:bidi="ar-SA"/>
        </w:rPr>
        <w:t>国家现行的相关规范标准。</w:t>
      </w:r>
    </w:p>
    <w:p w14:paraId="55669190">
      <w:pPr>
        <w:autoSpaceDE w:val="0"/>
        <w:autoSpaceDN w:val="0"/>
        <w:adjustRightInd w:val="0"/>
        <w:snapToGrid w:val="0"/>
        <w:spacing w:line="440" w:lineRule="exact"/>
        <w:ind w:firstLine="420" w:firstLineChars="200"/>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3.结算方式：</w:t>
      </w:r>
    </w:p>
    <w:p w14:paraId="2B709577">
      <w:pPr>
        <w:autoSpaceDE w:val="0"/>
        <w:autoSpaceDN w:val="0"/>
        <w:adjustRightInd w:val="0"/>
        <w:snapToGrid w:val="0"/>
        <w:spacing w:line="440" w:lineRule="exact"/>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本项目服务费参考《浙江省物价局关于进一步完善工程造价咨询服务收费的通知》（浙价服〔2009〕84号）</w:t>
      </w:r>
      <w:r>
        <w:rPr>
          <w:rFonts w:hint="eastAsia" w:ascii="仿宋" w:hAnsi="仿宋" w:eastAsia="仿宋" w:cs="仿宋"/>
          <w:color w:val="auto"/>
          <w:kern w:val="2"/>
          <w:sz w:val="21"/>
          <w:szCs w:val="21"/>
          <w:highlight w:val="none"/>
          <w:lang w:val="en-US" w:eastAsia="zh-CN" w:bidi="ar-SA"/>
        </w:rPr>
        <w:t>文件</w:t>
      </w:r>
      <w:r>
        <w:rPr>
          <w:rFonts w:hint="eastAsia" w:ascii="仿宋" w:hAnsi="仿宋" w:eastAsia="仿宋" w:cs="仿宋"/>
          <w:highlight w:val="none"/>
          <w:lang w:val="en-US" w:eastAsia="zh-CN"/>
        </w:rPr>
        <w:t>和《招标代理服务收费管理暂行办法》(计价格[2002]1980号)相应收费标准计取，其中：</w:t>
      </w:r>
    </w:p>
    <w:p w14:paraId="2A949C4D">
      <w:pPr>
        <w:autoSpaceDE w:val="0"/>
        <w:autoSpaceDN w:val="0"/>
        <w:adjustRightInd w:val="0"/>
        <w:snapToGrid w:val="0"/>
        <w:spacing w:line="440" w:lineRule="exact"/>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①造价咨询服务费：以审定的施工图招标控制价为基数，按“浙江省物价局关于进一步完善工程造价咨询服务收费的通知（浙价服〔2009〕84号）”附件1中（序号5）的收费标准×中标折扣率。</w:t>
      </w:r>
    </w:p>
    <w:p w14:paraId="2CB01F3D">
      <w:pPr>
        <w:autoSpaceDE w:val="0"/>
        <w:autoSpaceDN w:val="0"/>
        <w:adjustRightInd w:val="0"/>
        <w:snapToGrid w:val="0"/>
        <w:spacing w:line="440" w:lineRule="exact"/>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②招标代理咨询</w:t>
      </w:r>
      <w:r>
        <w:rPr>
          <w:rFonts w:hint="eastAsia" w:ascii="仿宋" w:hAnsi="仿宋" w:eastAsia="仿宋" w:cs="仿宋"/>
          <w:color w:val="auto"/>
          <w:kern w:val="2"/>
          <w:sz w:val="21"/>
          <w:szCs w:val="21"/>
          <w:highlight w:val="none"/>
          <w:lang w:val="en-US" w:eastAsia="zh-CN" w:bidi="ar-SA"/>
        </w:rPr>
        <w:t>服务费</w:t>
      </w:r>
      <w:r>
        <w:rPr>
          <w:rFonts w:hint="eastAsia" w:ascii="仿宋" w:hAnsi="仿宋" w:eastAsia="仿宋" w:cs="仿宋"/>
          <w:highlight w:val="none"/>
          <w:lang w:val="en-US" w:eastAsia="zh-CN"/>
        </w:rPr>
        <w:t>：以招标项目中标价为基数，按《招标代理服务收费管理暂行办法》(计价格[2002]1980号)相应收费标准×中标折扣率；</w:t>
      </w:r>
    </w:p>
    <w:p w14:paraId="6F1DD86D">
      <w:pPr>
        <w:autoSpaceDE w:val="0"/>
        <w:autoSpaceDN w:val="0"/>
        <w:adjustRightInd w:val="0"/>
        <w:snapToGrid w:val="0"/>
        <w:spacing w:line="440" w:lineRule="exact"/>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③施工阶段</w:t>
      </w:r>
      <w:r>
        <w:rPr>
          <w:rFonts w:hint="eastAsia" w:ascii="仿宋" w:hAnsi="仿宋" w:eastAsia="仿宋" w:cs="仿宋"/>
          <w:color w:val="auto"/>
          <w:kern w:val="2"/>
          <w:sz w:val="21"/>
          <w:szCs w:val="21"/>
          <w:highlight w:val="none"/>
          <w:lang w:val="en-US" w:eastAsia="zh-CN" w:bidi="ar-SA"/>
        </w:rPr>
        <w:t>全过程</w:t>
      </w:r>
      <w:r>
        <w:rPr>
          <w:rFonts w:hint="eastAsia" w:ascii="仿宋" w:hAnsi="仿宋" w:eastAsia="仿宋" w:cs="仿宋"/>
          <w:highlight w:val="none"/>
          <w:lang w:val="en-US" w:eastAsia="zh-CN"/>
        </w:rPr>
        <w:t>工程造价控制服务费：以建安工程施工合同造价为基数，按“浙江省物价局关于进一步完善工程造价咨询服务收费的通知（浙价服〔2009〕84号）”附件1中（序号10）的收费标准×中标</w:t>
      </w:r>
      <w:r>
        <w:rPr>
          <w:rFonts w:hint="eastAsia" w:ascii="仿宋" w:hAnsi="仿宋" w:eastAsia="仿宋" w:cs="仿宋"/>
          <w:color w:val="auto"/>
          <w:kern w:val="2"/>
          <w:sz w:val="21"/>
          <w:szCs w:val="21"/>
          <w:highlight w:val="none"/>
          <w:lang w:val="en-US" w:eastAsia="zh-CN" w:bidi="ar-SA"/>
        </w:rPr>
        <w:t>折扣率</w:t>
      </w:r>
      <w:r>
        <w:rPr>
          <w:rFonts w:hint="eastAsia" w:ascii="仿宋" w:hAnsi="仿宋" w:eastAsia="仿宋" w:cs="仿宋"/>
          <w:highlight w:val="none"/>
          <w:lang w:val="en-US" w:eastAsia="zh-CN"/>
        </w:rPr>
        <w:t>，其中需扣除相应的工程量清单及预算、招标控制价的编制费。</w:t>
      </w:r>
    </w:p>
    <w:p w14:paraId="13B97022">
      <w:pPr>
        <w:autoSpaceDE w:val="0"/>
        <w:autoSpaceDN w:val="0"/>
        <w:adjustRightInd w:val="0"/>
        <w:snapToGrid w:val="0"/>
        <w:spacing w:line="440" w:lineRule="exact"/>
        <w:ind w:firstLine="420" w:firstLineChars="20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4.付款方式：</w:t>
      </w:r>
    </w:p>
    <w:p w14:paraId="139A1A68">
      <w:pPr>
        <w:autoSpaceDE w:val="0"/>
        <w:autoSpaceDN w:val="0"/>
        <w:adjustRightInd w:val="0"/>
        <w:snapToGrid w:val="0"/>
        <w:spacing w:line="440" w:lineRule="exact"/>
        <w:ind w:firstLine="420" w:firstLineChars="20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zh-CN" w:eastAsia="zh-CN" w:bidi="ar-SA"/>
        </w:rPr>
        <w:t>（</w:t>
      </w: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lang w:val="zh-CN" w:eastAsia="zh-CN" w:bidi="ar-SA"/>
        </w:rPr>
        <w:t>）招标代理费：</w:t>
      </w:r>
      <w:r>
        <w:rPr>
          <w:rFonts w:hint="eastAsia" w:ascii="仿宋" w:hAnsi="仿宋" w:eastAsia="仿宋" w:cs="仿宋"/>
          <w:color w:val="auto"/>
          <w:kern w:val="2"/>
          <w:sz w:val="21"/>
          <w:szCs w:val="21"/>
          <w:highlight w:val="none"/>
          <w:lang w:val="en-US" w:eastAsia="zh-CN" w:bidi="ar-SA"/>
        </w:rPr>
        <w:t>完成招标后支付该标段100%的招标代理费；</w:t>
      </w:r>
    </w:p>
    <w:p w14:paraId="4140BEC4">
      <w:pPr>
        <w:autoSpaceDE w:val="0"/>
        <w:autoSpaceDN w:val="0"/>
        <w:adjustRightInd w:val="0"/>
        <w:snapToGrid w:val="0"/>
        <w:spacing w:line="440" w:lineRule="exact"/>
        <w:ind w:firstLine="420" w:firstLineChars="20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zh-CN" w:eastAsia="zh-CN" w:bidi="ar-SA"/>
        </w:rPr>
        <w:t>（</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）工程量清单及控制价编制费：</w:t>
      </w:r>
      <w:r>
        <w:rPr>
          <w:rFonts w:hint="eastAsia" w:ascii="仿宋" w:hAnsi="仿宋" w:eastAsia="仿宋" w:cs="仿宋"/>
          <w:color w:val="auto"/>
          <w:kern w:val="2"/>
          <w:sz w:val="21"/>
          <w:szCs w:val="21"/>
          <w:highlight w:val="none"/>
          <w:lang w:val="en-US" w:eastAsia="zh-CN" w:bidi="ar-SA"/>
        </w:rPr>
        <w:t>工程量清单及控制价完成编制后支付该标段70%的</w:t>
      </w:r>
      <w:r>
        <w:rPr>
          <w:rFonts w:hint="eastAsia" w:ascii="仿宋" w:hAnsi="仿宋" w:eastAsia="仿宋" w:cs="仿宋"/>
          <w:color w:val="auto"/>
          <w:kern w:val="2"/>
          <w:sz w:val="21"/>
          <w:szCs w:val="21"/>
          <w:highlight w:val="none"/>
          <w:lang w:val="zh-CN" w:eastAsia="zh-CN" w:bidi="ar-SA"/>
        </w:rPr>
        <w:t>工程量清单及控制价编制费</w:t>
      </w:r>
      <w:r>
        <w:rPr>
          <w:rFonts w:hint="eastAsia" w:ascii="仿宋" w:hAnsi="仿宋" w:eastAsia="仿宋" w:cs="仿宋"/>
          <w:color w:val="auto"/>
          <w:kern w:val="2"/>
          <w:sz w:val="21"/>
          <w:szCs w:val="21"/>
          <w:highlight w:val="none"/>
          <w:lang w:val="en-US" w:eastAsia="zh-CN" w:bidi="ar-SA"/>
        </w:rPr>
        <w:t>，项目完（竣）工后支付该标段30%的</w:t>
      </w:r>
      <w:r>
        <w:rPr>
          <w:rFonts w:hint="eastAsia" w:ascii="仿宋" w:hAnsi="仿宋" w:eastAsia="仿宋" w:cs="仿宋"/>
          <w:color w:val="auto"/>
          <w:kern w:val="2"/>
          <w:sz w:val="21"/>
          <w:szCs w:val="21"/>
          <w:highlight w:val="none"/>
          <w:lang w:val="zh-CN" w:eastAsia="zh-CN" w:bidi="ar-SA"/>
        </w:rPr>
        <w:t>工程量清单及控制价编制费；</w:t>
      </w:r>
    </w:p>
    <w:p w14:paraId="3D65F528">
      <w:pPr>
        <w:autoSpaceDE w:val="0"/>
        <w:autoSpaceDN w:val="0"/>
        <w:adjustRightInd w:val="0"/>
        <w:snapToGrid w:val="0"/>
        <w:spacing w:line="440" w:lineRule="exact"/>
        <w:ind w:firstLine="420" w:firstLineChars="20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zh-CN" w:eastAsia="zh-CN" w:bidi="ar-SA"/>
        </w:rPr>
        <w:t>（</w:t>
      </w:r>
      <w:r>
        <w:rPr>
          <w:rFonts w:hint="eastAsia" w:ascii="仿宋" w:hAnsi="仿宋" w:eastAsia="仿宋" w:cs="仿宋"/>
          <w:color w:val="auto"/>
          <w:kern w:val="2"/>
          <w:sz w:val="21"/>
          <w:szCs w:val="21"/>
          <w:highlight w:val="none"/>
          <w:lang w:val="en-US" w:eastAsia="zh-CN" w:bidi="ar-SA"/>
        </w:rPr>
        <w:t>3</w:t>
      </w:r>
      <w:r>
        <w:rPr>
          <w:rFonts w:hint="eastAsia" w:ascii="仿宋" w:hAnsi="仿宋" w:eastAsia="仿宋" w:cs="仿宋"/>
          <w:color w:val="auto"/>
          <w:kern w:val="2"/>
          <w:sz w:val="21"/>
          <w:szCs w:val="21"/>
          <w:highlight w:val="none"/>
          <w:lang w:val="zh-CN" w:eastAsia="zh-CN" w:bidi="ar-SA"/>
        </w:rPr>
        <w:t>）施工阶段全过程工程造价控制费：</w:t>
      </w:r>
      <w:r>
        <w:rPr>
          <w:rFonts w:hint="eastAsia" w:ascii="仿宋" w:hAnsi="仿宋" w:eastAsia="仿宋" w:cs="仿宋"/>
          <w:color w:val="auto"/>
          <w:kern w:val="2"/>
          <w:sz w:val="21"/>
          <w:szCs w:val="21"/>
          <w:highlight w:val="none"/>
          <w:lang w:val="en-US" w:eastAsia="zh-CN" w:bidi="ar-SA"/>
        </w:rPr>
        <w:t>2025年年底支付人民币3万元整，项目完竣工后支付剩余款项。</w:t>
      </w:r>
    </w:p>
    <w:p w14:paraId="223DF33A">
      <w:pPr>
        <w:autoSpaceDE w:val="0"/>
        <w:autoSpaceDN w:val="0"/>
        <w:adjustRightInd w:val="0"/>
        <w:snapToGrid w:val="0"/>
        <w:spacing w:line="440" w:lineRule="exact"/>
        <w:ind w:firstLine="420" w:firstLineChars="200"/>
        <w:rPr>
          <w:rFonts w:hint="eastAsia" w:ascii="仿宋" w:hAnsi="仿宋" w:eastAsia="仿宋" w:cs="仿宋"/>
          <w:color w:val="auto"/>
          <w:kern w:val="2"/>
          <w:sz w:val="21"/>
          <w:szCs w:val="21"/>
          <w:highlight w:val="none"/>
          <w:lang w:val="zh-CN" w:eastAsia="zh-CN" w:bidi="ar-SA"/>
        </w:rPr>
      </w:pPr>
    </w:p>
    <w:p w14:paraId="4C9021AD">
      <w:pPr>
        <w:autoSpaceDE w:val="0"/>
        <w:autoSpaceDN w:val="0"/>
        <w:adjustRightInd w:val="0"/>
        <w:snapToGrid w:val="0"/>
        <w:spacing w:line="440" w:lineRule="exact"/>
        <w:ind w:firstLine="600" w:firstLineChars="200"/>
        <w:rPr>
          <w:rStyle w:val="123"/>
          <w:rFonts w:hint="eastAsia" w:ascii="仿宋" w:hAnsi="仿宋" w:eastAsia="仿宋" w:cs="仿宋"/>
          <w:sz w:val="30"/>
          <w:szCs w:val="30"/>
          <w:highlight w:val="none"/>
          <w:lang w:val="zh-CN" w:eastAsia="zh-CN"/>
        </w:rPr>
      </w:pPr>
      <w:r>
        <w:rPr>
          <w:rStyle w:val="123"/>
          <w:rFonts w:hint="eastAsia" w:ascii="仿宋" w:hAnsi="仿宋" w:eastAsia="仿宋" w:cs="仿宋"/>
          <w:sz w:val="30"/>
          <w:szCs w:val="30"/>
          <w:highlight w:val="none"/>
          <w:lang w:val="zh-CN" w:eastAsia="zh-CN"/>
        </w:rPr>
        <w:br w:type="page"/>
      </w:r>
    </w:p>
    <w:p w14:paraId="3F395E85">
      <w:pPr>
        <w:pStyle w:val="4"/>
        <w:rPr>
          <w:rFonts w:hint="eastAsia" w:ascii="仿宋" w:hAnsi="仿宋" w:eastAsia="仿宋" w:cs="仿宋"/>
          <w:highlight w:val="none"/>
          <w:lang w:val="zh-CN" w:eastAsia="zh-CN"/>
        </w:rPr>
      </w:pPr>
    </w:p>
    <w:p w14:paraId="1EFB858C">
      <w:pPr>
        <w:jc w:val="center"/>
        <w:rPr>
          <w:rFonts w:hint="eastAsia" w:ascii="仿宋" w:hAnsi="仿宋" w:eastAsia="仿宋" w:cs="仿宋"/>
          <w:b/>
          <w:color w:val="auto"/>
          <w:sz w:val="32"/>
          <w:szCs w:val="32"/>
          <w:highlight w:val="none"/>
        </w:rPr>
      </w:pPr>
      <w:bookmarkStart w:id="47" w:name="_Toc25243"/>
      <w:r>
        <w:rPr>
          <w:rStyle w:val="123"/>
          <w:rFonts w:hint="eastAsia" w:ascii="仿宋" w:hAnsi="仿宋" w:eastAsia="仿宋" w:cs="仿宋"/>
          <w:sz w:val="30"/>
          <w:szCs w:val="30"/>
          <w:highlight w:val="none"/>
          <w:lang w:val="zh-CN" w:eastAsia="zh-CN"/>
        </w:rPr>
        <w:t xml:space="preserve">第四章  </w:t>
      </w:r>
      <w:bookmarkEnd w:id="25"/>
      <w:bookmarkEnd w:id="26"/>
      <w:bookmarkEnd w:id="27"/>
      <w:r>
        <w:rPr>
          <w:rStyle w:val="123"/>
          <w:rFonts w:hint="eastAsia" w:ascii="仿宋" w:hAnsi="仿宋" w:eastAsia="仿宋" w:cs="仿宋"/>
          <w:sz w:val="30"/>
          <w:szCs w:val="30"/>
          <w:highlight w:val="none"/>
          <w:lang w:val="zh-CN" w:eastAsia="zh-CN"/>
        </w:rPr>
        <w:t>合同文本</w:t>
      </w:r>
      <w:bookmarkEnd w:id="47"/>
    </w:p>
    <w:p w14:paraId="4C959F83">
      <w:pPr>
        <w:adjustRightInd w:val="0"/>
        <w:snapToGrid w:val="0"/>
        <w:spacing w:after="6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（本合同为样稿，最终稿由甲乙双方协商后确定，但不允许偏离招投标文件）</w:t>
      </w:r>
    </w:p>
    <w:p w14:paraId="63A2B11C">
      <w:pPr>
        <w:adjustRightInd w:val="0"/>
        <w:snapToGrid w:val="0"/>
        <w:spacing w:line="360" w:lineRule="auto"/>
        <w:jc w:val="center"/>
        <w:rPr>
          <w:rFonts w:hint="eastAsia" w:ascii="宋体" w:hAnsi="宋体" w:eastAsia="宋体" w:cs="宋体"/>
          <w:b/>
          <w:bCs/>
          <w:color w:val="auto"/>
          <w:kern w:val="0"/>
          <w:sz w:val="21"/>
          <w:szCs w:val="21"/>
          <w:highlight w:val="none"/>
        </w:rPr>
      </w:pPr>
      <w:bookmarkStart w:id="48" w:name="_Toc20447"/>
      <w:bookmarkStart w:id="49" w:name="_Toc78628061"/>
      <w:bookmarkStart w:id="50" w:name="_Toc27376"/>
      <w:bookmarkStart w:id="51" w:name="_Toc23517"/>
      <w:r>
        <w:rPr>
          <w:rFonts w:hint="eastAsia" w:ascii="宋体" w:hAnsi="宋体" w:eastAsia="宋体" w:cs="宋体"/>
          <w:b/>
          <w:bCs/>
          <w:color w:val="auto"/>
          <w:kern w:val="0"/>
          <w:sz w:val="21"/>
          <w:szCs w:val="21"/>
          <w:highlight w:val="none"/>
        </w:rPr>
        <w:t>第一部分  合同</w:t>
      </w:r>
      <w:bookmarkEnd w:id="48"/>
      <w:bookmarkEnd w:id="49"/>
      <w:bookmarkEnd w:id="50"/>
      <w:bookmarkEnd w:id="51"/>
      <w:r>
        <w:rPr>
          <w:rFonts w:hint="eastAsia" w:ascii="宋体" w:hAnsi="宋体" w:eastAsia="宋体" w:cs="宋体"/>
          <w:b/>
          <w:bCs/>
          <w:color w:val="auto"/>
          <w:kern w:val="0"/>
          <w:sz w:val="21"/>
          <w:szCs w:val="21"/>
          <w:highlight w:val="none"/>
        </w:rPr>
        <w:t>协议书</w:t>
      </w:r>
    </w:p>
    <w:p w14:paraId="2C4637EC">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参考：</w:t>
      </w:r>
      <w:r>
        <w:rPr>
          <w:rFonts w:hint="eastAsia" w:ascii="仿宋" w:hAnsi="仿宋" w:eastAsia="仿宋" w:cs="仿宋"/>
          <w:color w:val="auto"/>
          <w:sz w:val="21"/>
          <w:szCs w:val="21"/>
          <w:highlight w:val="none"/>
          <w:u w:val="single"/>
        </w:rPr>
        <w:t>建设工程造价咨询合同（示范文本） （GF-2015-0212）</w:t>
      </w:r>
    </w:p>
    <w:p w14:paraId="689C8D82">
      <w:pPr>
        <w:pStyle w:val="20"/>
        <w:tabs>
          <w:tab w:val="left" w:pos="6599"/>
        </w:tabs>
        <w:spacing w:line="316" w:lineRule="auto"/>
        <w:ind w:right="506"/>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委托人（全称）：</w:t>
      </w:r>
      <w:r>
        <w:rPr>
          <w:rFonts w:hint="eastAsia" w:ascii="仿宋" w:hAnsi="仿宋" w:eastAsia="仿宋" w:cs="仿宋"/>
          <w:color w:val="auto"/>
          <w:sz w:val="21"/>
          <w:szCs w:val="21"/>
          <w:highlight w:val="none"/>
          <w:u w:val="single" w:color="000000"/>
        </w:rPr>
        <w:t xml:space="preserve"> </w:t>
      </w:r>
      <w:r>
        <w:rPr>
          <w:rFonts w:hint="eastAsia" w:ascii="仿宋" w:hAnsi="仿宋" w:eastAsia="仿宋" w:cs="仿宋"/>
          <w:color w:val="auto"/>
          <w:sz w:val="21"/>
          <w:szCs w:val="21"/>
          <w:highlight w:val="none"/>
          <w:u w:val="single" w:color="000000"/>
          <w:lang w:val="en-US" w:eastAsia="zh-CN"/>
        </w:rPr>
        <w:t xml:space="preserve">                               </w:t>
      </w:r>
    </w:p>
    <w:p w14:paraId="638C9802">
      <w:pPr>
        <w:pStyle w:val="20"/>
        <w:tabs>
          <w:tab w:val="left" w:pos="4200"/>
        </w:tabs>
        <w:spacing w:line="316" w:lineRule="auto"/>
        <w:ind w:right="50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咨询人（全称）：</w:t>
      </w:r>
      <w:r>
        <w:rPr>
          <w:rFonts w:hint="eastAsia" w:ascii="仿宋" w:hAnsi="仿宋" w:eastAsia="仿宋" w:cs="仿宋"/>
          <w:color w:val="auto"/>
          <w:sz w:val="21"/>
          <w:szCs w:val="21"/>
          <w:highlight w:val="none"/>
          <w:u w:val="single" w:color="000000"/>
        </w:rPr>
        <w:t xml:space="preserve"> </w:t>
      </w:r>
      <w:r>
        <w:rPr>
          <w:rFonts w:hint="eastAsia" w:ascii="仿宋" w:hAnsi="仿宋" w:eastAsia="仿宋" w:cs="仿宋"/>
          <w:color w:val="auto"/>
          <w:sz w:val="21"/>
          <w:szCs w:val="21"/>
          <w:highlight w:val="none"/>
          <w:u w:val="single" w:color="000000"/>
        </w:rPr>
        <w:tab/>
      </w:r>
      <w:r>
        <w:rPr>
          <w:rFonts w:hint="eastAsia" w:ascii="仿宋" w:hAnsi="仿宋" w:eastAsia="仿宋" w:cs="仿宋"/>
          <w:color w:val="auto"/>
          <w:sz w:val="21"/>
          <w:szCs w:val="21"/>
          <w:highlight w:val="none"/>
          <w:u w:val="single" w:color="000000"/>
          <w:lang w:val="en-US" w:eastAsia="zh-CN"/>
        </w:rPr>
        <w:t xml:space="preserve">      </w:t>
      </w:r>
      <w:r>
        <w:rPr>
          <w:rFonts w:hint="eastAsia" w:ascii="仿宋" w:hAnsi="仿宋" w:eastAsia="仿宋" w:cs="仿宋"/>
          <w:color w:val="auto"/>
          <w:sz w:val="21"/>
          <w:szCs w:val="21"/>
          <w:highlight w:val="none"/>
        </w:rPr>
        <w:t xml:space="preserve"> </w:t>
      </w:r>
    </w:p>
    <w:p w14:paraId="766AD589">
      <w:pPr>
        <w:pStyle w:val="20"/>
        <w:tabs>
          <w:tab w:val="left" w:pos="6599"/>
        </w:tabs>
        <w:spacing w:line="316" w:lineRule="auto"/>
        <w:ind w:right="50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根据《中华人民共和国民法典》及其他有关法律、法规，遵循平等、自愿、公平和诚实信用的原则，双方就下述建设工程委托造价咨询与其他服务事项协商一致，订立本合同。</w:t>
      </w:r>
    </w:p>
    <w:p w14:paraId="2EF49387">
      <w:pPr>
        <w:pStyle w:val="20"/>
        <w:tabs>
          <w:tab w:val="left" w:pos="7259"/>
        </w:tabs>
        <w:spacing w:before="38" w:line="315" w:lineRule="auto"/>
        <w:ind w:right="1046"/>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一、工程概况</w:t>
      </w:r>
    </w:p>
    <w:p w14:paraId="25600CBD">
      <w:pPr>
        <w:pStyle w:val="20"/>
        <w:tabs>
          <w:tab w:val="left" w:pos="7259"/>
        </w:tabs>
        <w:spacing w:after="0" w:line="360" w:lineRule="auto"/>
        <w:ind w:right="104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1.工程名称</w:t>
      </w:r>
      <w:r>
        <w:rPr>
          <w:rFonts w:hint="eastAsia" w:ascii="仿宋" w:hAnsi="仿宋" w:eastAsia="仿宋" w:cs="仿宋"/>
          <w:color w:val="auto"/>
          <w:spacing w:val="-1"/>
          <w:sz w:val="21"/>
          <w:szCs w:val="21"/>
          <w:highlight w:val="none"/>
        </w:rPr>
        <w:t>：</w:t>
      </w:r>
      <w:r>
        <w:rPr>
          <w:rFonts w:hint="eastAsia" w:ascii="仿宋" w:hAnsi="仿宋" w:eastAsia="仿宋" w:cs="仿宋"/>
          <w:color w:val="auto"/>
          <w:spacing w:val="-1"/>
          <w:sz w:val="21"/>
          <w:szCs w:val="21"/>
          <w:highlight w:val="none"/>
          <w:u w:val="single"/>
        </w:rPr>
        <w:t xml:space="preserve">           </w:t>
      </w:r>
      <w:r>
        <w:rPr>
          <w:rFonts w:hint="eastAsia" w:ascii="仿宋" w:hAnsi="仿宋" w:eastAsia="仿宋" w:cs="仿宋"/>
          <w:color w:val="auto"/>
          <w:spacing w:val="-1"/>
          <w:sz w:val="21"/>
          <w:szCs w:val="21"/>
          <w:highlight w:val="none"/>
          <w:u w:val="single"/>
          <w:lang w:val="en-US" w:eastAsia="zh-CN"/>
        </w:rPr>
        <w:t xml:space="preserve">   </w:t>
      </w:r>
      <w:r>
        <w:rPr>
          <w:rFonts w:hint="eastAsia" w:ascii="仿宋" w:hAnsi="仿宋" w:eastAsia="仿宋" w:cs="仿宋"/>
          <w:color w:val="auto"/>
          <w:spacing w:val="-1"/>
          <w:sz w:val="21"/>
          <w:szCs w:val="21"/>
          <w:highlight w:val="none"/>
          <w:u w:val="single"/>
        </w:rPr>
        <w:t xml:space="preserve">       </w:t>
      </w:r>
      <w:r>
        <w:rPr>
          <w:rFonts w:hint="eastAsia" w:ascii="仿宋" w:hAnsi="仿宋" w:eastAsia="仿宋" w:cs="仿宋"/>
          <w:color w:val="auto"/>
          <w:sz w:val="21"/>
          <w:szCs w:val="21"/>
          <w:highlight w:val="none"/>
        </w:rPr>
        <w:t>。</w:t>
      </w:r>
    </w:p>
    <w:p w14:paraId="2D167BC7">
      <w:pPr>
        <w:pStyle w:val="20"/>
        <w:tabs>
          <w:tab w:val="left" w:pos="840"/>
          <w:tab w:val="left" w:pos="7259"/>
        </w:tabs>
        <w:spacing w:after="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2.工程地点：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BBAEB32">
      <w:pPr>
        <w:tabs>
          <w:tab w:val="left" w:pos="840"/>
          <w:tab w:val="left" w:pos="7259"/>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3.工程规模：</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color w:val="auto"/>
          <w:sz w:val="21"/>
          <w:szCs w:val="21"/>
          <w:highlight w:val="none"/>
        </w:rPr>
        <w:t>。</w:t>
      </w:r>
    </w:p>
    <w:p w14:paraId="4C1161BF">
      <w:pPr>
        <w:tabs>
          <w:tab w:val="left" w:pos="840"/>
          <w:tab w:val="left" w:pos="7259"/>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4.投资金额：</w:t>
      </w:r>
      <w:r>
        <w:rPr>
          <w:rFonts w:hint="eastAsia" w:ascii="仿宋" w:hAnsi="仿宋" w:eastAsia="仿宋" w:cs="仿宋"/>
          <w:snapToGrid w:val="0"/>
          <w:color w:val="auto"/>
          <w:kern w:val="0"/>
          <w:sz w:val="21"/>
          <w:szCs w:val="21"/>
          <w:highlight w:val="none"/>
          <w:u w:val="single"/>
        </w:rPr>
        <w:t>总造价约</w:t>
      </w:r>
      <w:r>
        <w:rPr>
          <w:rFonts w:hint="eastAsia" w:ascii="仿宋" w:hAnsi="仿宋" w:eastAsia="仿宋" w:cs="仿宋"/>
          <w:snapToGrid w:val="0"/>
          <w:color w:val="auto"/>
          <w:kern w:val="0"/>
          <w:sz w:val="21"/>
          <w:szCs w:val="21"/>
          <w:highlight w:val="none"/>
          <w:u w:val="single"/>
          <w:lang w:val="en-US" w:eastAsia="zh-CN"/>
        </w:rPr>
        <w:t xml:space="preserve">      万</w:t>
      </w:r>
      <w:r>
        <w:rPr>
          <w:rFonts w:hint="eastAsia" w:ascii="仿宋" w:hAnsi="仿宋" w:eastAsia="仿宋" w:cs="仿宋"/>
          <w:snapToGrid w:val="0"/>
          <w:color w:val="auto"/>
          <w:kern w:val="0"/>
          <w:sz w:val="21"/>
          <w:szCs w:val="21"/>
          <w:highlight w:val="none"/>
          <w:u w:val="single"/>
        </w:rPr>
        <w:t>元</w:t>
      </w:r>
      <w:r>
        <w:rPr>
          <w:rFonts w:hint="eastAsia" w:ascii="仿宋" w:hAnsi="仿宋" w:eastAsia="仿宋" w:cs="仿宋"/>
          <w:color w:val="auto"/>
          <w:sz w:val="21"/>
          <w:szCs w:val="21"/>
          <w:highlight w:val="none"/>
        </w:rPr>
        <w:t>。</w:t>
      </w:r>
    </w:p>
    <w:p w14:paraId="6258B4A0">
      <w:pPr>
        <w:tabs>
          <w:tab w:val="left" w:pos="840"/>
          <w:tab w:val="left" w:pos="7259"/>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5.资金来源：</w:t>
      </w:r>
      <w:r>
        <w:rPr>
          <w:rFonts w:hint="eastAsia" w:ascii="仿宋" w:hAnsi="仿宋" w:eastAsia="仿宋" w:cs="仿宋"/>
          <w:color w:val="auto"/>
          <w:sz w:val="21"/>
          <w:szCs w:val="21"/>
          <w:highlight w:val="none"/>
          <w:u w:val="single" w:color="000000"/>
        </w:rPr>
        <w:t>财政资金</w:t>
      </w:r>
      <w:r>
        <w:rPr>
          <w:rFonts w:hint="eastAsia" w:ascii="仿宋" w:hAnsi="仿宋" w:eastAsia="仿宋" w:cs="仿宋"/>
          <w:color w:val="auto"/>
          <w:sz w:val="21"/>
          <w:szCs w:val="21"/>
          <w:highlight w:val="none"/>
        </w:rPr>
        <w:t>。</w:t>
      </w:r>
    </w:p>
    <w:p w14:paraId="7F866D57">
      <w:pPr>
        <w:pStyle w:val="20"/>
        <w:tabs>
          <w:tab w:val="left" w:pos="840"/>
          <w:tab w:val="left" w:pos="7259"/>
        </w:tabs>
        <w:spacing w:after="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6.服务周期：</w:t>
      </w:r>
      <w:r>
        <w:rPr>
          <w:rFonts w:hint="eastAsia" w:ascii="仿宋" w:hAnsi="仿宋" w:eastAsia="仿宋" w:cs="仿宋"/>
          <w:color w:val="auto"/>
          <w:sz w:val="21"/>
          <w:szCs w:val="21"/>
          <w:highlight w:val="none"/>
          <w:u w:val="single"/>
        </w:rPr>
        <w:t>从签订委托合同之日起至整体工程竣工财务决算完成止</w:t>
      </w:r>
      <w:r>
        <w:rPr>
          <w:rFonts w:hint="eastAsia" w:ascii="仿宋" w:hAnsi="仿宋" w:eastAsia="仿宋" w:cs="仿宋"/>
          <w:color w:val="auto"/>
          <w:sz w:val="21"/>
          <w:szCs w:val="21"/>
          <w:highlight w:val="none"/>
        </w:rPr>
        <w:t>。</w:t>
      </w:r>
    </w:p>
    <w:p w14:paraId="0EFD5AD0">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w w:val="99"/>
          <w:sz w:val="21"/>
          <w:szCs w:val="21"/>
          <w:highlight w:val="none"/>
        </w:rPr>
      </w:pPr>
      <w:r>
        <w:rPr>
          <w:rFonts w:hint="eastAsia" w:ascii="仿宋" w:hAnsi="仿宋" w:eastAsia="仿宋" w:cs="仿宋"/>
          <w:color w:val="auto"/>
          <w:sz w:val="21"/>
          <w:szCs w:val="21"/>
          <w:highlight w:val="none"/>
        </w:rPr>
        <w:t>7.其他：</w:t>
      </w:r>
      <w:r>
        <w:rPr>
          <w:rFonts w:hint="eastAsia" w:ascii="仿宋" w:hAnsi="仿宋" w:eastAsia="仿宋" w:cs="仿宋"/>
          <w:color w:val="auto"/>
          <w:sz w:val="21"/>
          <w:szCs w:val="21"/>
          <w:highlight w:val="none"/>
          <w:u w:val="single" w:color="000000"/>
        </w:rPr>
        <w:tab/>
      </w:r>
      <w:r>
        <w:rPr>
          <w:rFonts w:hint="eastAsia" w:ascii="仿宋" w:hAnsi="仿宋" w:eastAsia="仿宋" w:cs="仿宋"/>
          <w:color w:val="auto"/>
          <w:sz w:val="21"/>
          <w:szCs w:val="21"/>
          <w:highlight w:val="none"/>
        </w:rPr>
        <w:t>。</w:t>
      </w:r>
      <w:r>
        <w:rPr>
          <w:rFonts w:hint="eastAsia" w:ascii="仿宋" w:hAnsi="仿宋" w:eastAsia="仿宋" w:cs="仿宋"/>
          <w:color w:val="auto"/>
          <w:w w:val="99"/>
          <w:sz w:val="21"/>
          <w:szCs w:val="21"/>
          <w:highlight w:val="none"/>
        </w:rPr>
        <w:t xml:space="preserve"> </w:t>
      </w:r>
    </w:p>
    <w:p w14:paraId="3C1989AD">
      <w:pPr>
        <w:pStyle w:val="20"/>
        <w:tabs>
          <w:tab w:val="left" w:pos="840"/>
          <w:tab w:val="left" w:pos="7259"/>
          <w:tab w:val="left" w:pos="7919"/>
        </w:tabs>
        <w:spacing w:line="316" w:lineRule="auto"/>
        <w:ind w:right="386"/>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w:t>
      </w:r>
      <w:r>
        <w:rPr>
          <w:rFonts w:hint="eastAsia" w:ascii="仿宋" w:hAnsi="仿宋" w:eastAsia="仿宋" w:cs="仿宋"/>
          <w:b/>
          <w:bCs/>
          <w:color w:val="auto"/>
          <w:spacing w:val="2"/>
          <w:sz w:val="21"/>
          <w:szCs w:val="21"/>
          <w:highlight w:val="none"/>
        </w:rPr>
        <w:t>服</w:t>
      </w:r>
      <w:r>
        <w:rPr>
          <w:rFonts w:hint="eastAsia" w:ascii="仿宋" w:hAnsi="仿宋" w:eastAsia="仿宋" w:cs="仿宋"/>
          <w:b/>
          <w:bCs/>
          <w:color w:val="auto"/>
          <w:sz w:val="21"/>
          <w:szCs w:val="21"/>
          <w:highlight w:val="none"/>
        </w:rPr>
        <w:t>务</w:t>
      </w:r>
      <w:r>
        <w:rPr>
          <w:rFonts w:hint="eastAsia" w:ascii="仿宋" w:hAnsi="仿宋" w:eastAsia="仿宋" w:cs="仿宋"/>
          <w:b/>
          <w:bCs/>
          <w:color w:val="auto"/>
          <w:spacing w:val="2"/>
          <w:sz w:val="21"/>
          <w:szCs w:val="21"/>
          <w:highlight w:val="none"/>
        </w:rPr>
        <w:t>范</w:t>
      </w:r>
      <w:r>
        <w:rPr>
          <w:rFonts w:hint="eastAsia" w:ascii="仿宋" w:hAnsi="仿宋" w:eastAsia="仿宋" w:cs="仿宋"/>
          <w:b/>
          <w:bCs/>
          <w:color w:val="auto"/>
          <w:sz w:val="21"/>
          <w:szCs w:val="21"/>
          <w:highlight w:val="none"/>
        </w:rPr>
        <w:t>围及</w:t>
      </w:r>
      <w:r>
        <w:rPr>
          <w:rFonts w:hint="eastAsia" w:ascii="仿宋" w:hAnsi="仿宋" w:eastAsia="仿宋" w:cs="仿宋"/>
          <w:b/>
          <w:bCs/>
          <w:color w:val="auto"/>
          <w:spacing w:val="2"/>
          <w:sz w:val="21"/>
          <w:szCs w:val="21"/>
          <w:highlight w:val="none"/>
        </w:rPr>
        <w:t>工</w:t>
      </w:r>
      <w:r>
        <w:rPr>
          <w:rFonts w:hint="eastAsia" w:ascii="仿宋" w:hAnsi="仿宋" w:eastAsia="仿宋" w:cs="仿宋"/>
          <w:b/>
          <w:bCs/>
          <w:color w:val="auto"/>
          <w:sz w:val="21"/>
          <w:szCs w:val="21"/>
          <w:highlight w:val="none"/>
        </w:rPr>
        <w:t>作</w:t>
      </w:r>
      <w:r>
        <w:rPr>
          <w:rFonts w:hint="eastAsia" w:ascii="仿宋" w:hAnsi="仿宋" w:eastAsia="仿宋" w:cs="仿宋"/>
          <w:b/>
          <w:bCs/>
          <w:color w:val="auto"/>
          <w:spacing w:val="2"/>
          <w:sz w:val="21"/>
          <w:szCs w:val="21"/>
          <w:highlight w:val="none"/>
        </w:rPr>
        <w:t>内</w:t>
      </w:r>
      <w:r>
        <w:rPr>
          <w:rFonts w:hint="eastAsia" w:ascii="仿宋" w:hAnsi="仿宋" w:eastAsia="仿宋" w:cs="仿宋"/>
          <w:b/>
          <w:bCs/>
          <w:color w:val="auto"/>
          <w:sz w:val="21"/>
          <w:szCs w:val="21"/>
          <w:highlight w:val="none"/>
        </w:rPr>
        <w:t>容</w:t>
      </w:r>
    </w:p>
    <w:p w14:paraId="1F71614D">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双方约定的服务范围及工作内容：</w:t>
      </w:r>
      <w:r>
        <w:rPr>
          <w:rFonts w:hint="eastAsia" w:ascii="仿宋" w:hAnsi="仿宋" w:eastAsia="仿宋" w:cs="仿宋"/>
          <w:color w:val="auto"/>
          <w:sz w:val="21"/>
          <w:szCs w:val="21"/>
          <w:highlight w:val="none"/>
          <w:u w:val="single"/>
        </w:rPr>
        <w:t>包含</w:t>
      </w:r>
      <w:r>
        <w:rPr>
          <w:rFonts w:hint="eastAsia" w:ascii="仿宋" w:hAnsi="仿宋" w:eastAsia="仿宋" w:cs="仿宋"/>
          <w:color w:val="auto"/>
          <w:sz w:val="21"/>
          <w:szCs w:val="21"/>
          <w:highlight w:val="none"/>
          <w:u w:val="single"/>
          <w:lang w:val="en-US" w:eastAsia="zh-CN"/>
        </w:rPr>
        <w:t>招标代理、预算及清单服务费及</w:t>
      </w:r>
      <w:r>
        <w:rPr>
          <w:rFonts w:hint="eastAsia" w:ascii="仿宋" w:hAnsi="仿宋" w:eastAsia="仿宋" w:cs="仿宋"/>
          <w:color w:val="auto"/>
          <w:sz w:val="21"/>
          <w:szCs w:val="21"/>
          <w:highlight w:val="none"/>
          <w:u w:val="single"/>
        </w:rPr>
        <w:t>施工阶段</w:t>
      </w:r>
      <w:r>
        <w:rPr>
          <w:rFonts w:hint="eastAsia" w:ascii="仿宋" w:hAnsi="仿宋" w:eastAsia="仿宋" w:cs="仿宋"/>
          <w:color w:val="auto"/>
          <w:sz w:val="21"/>
          <w:szCs w:val="21"/>
          <w:highlight w:val="none"/>
          <w:u w:val="single"/>
          <w:lang w:eastAsia="zh-CN"/>
        </w:rPr>
        <w:t>施工阶段全过程工程造价控制</w:t>
      </w:r>
      <w:r>
        <w:rPr>
          <w:rFonts w:hint="eastAsia" w:ascii="仿宋" w:hAnsi="仿宋" w:eastAsia="仿宋" w:cs="仿宋"/>
          <w:color w:val="auto"/>
          <w:sz w:val="21"/>
          <w:szCs w:val="21"/>
          <w:highlight w:val="none"/>
          <w:u w:val="single"/>
        </w:rPr>
        <w:t>，具体服务范围及要求内容详见合同专用条款</w:t>
      </w:r>
      <w:r>
        <w:rPr>
          <w:rFonts w:hint="eastAsia" w:ascii="仿宋" w:hAnsi="仿宋" w:eastAsia="仿宋" w:cs="仿宋"/>
          <w:color w:val="auto"/>
          <w:sz w:val="21"/>
          <w:szCs w:val="21"/>
          <w:highlight w:val="none"/>
        </w:rPr>
        <w:t>。</w:t>
      </w:r>
    </w:p>
    <w:p w14:paraId="0DD8F7AB">
      <w:pPr>
        <w:pStyle w:val="20"/>
        <w:numPr>
          <w:ilvl w:val="0"/>
          <w:numId w:val="6"/>
        </w:numPr>
        <w:tabs>
          <w:tab w:val="left" w:pos="5399"/>
          <w:tab w:val="left" w:pos="6359"/>
          <w:tab w:val="left" w:pos="7319"/>
        </w:tabs>
        <w:spacing w:before="37" w:line="315" w:lineRule="auto"/>
        <w:ind w:right="266"/>
        <w:rPr>
          <w:rFonts w:hint="eastAsia" w:ascii="仿宋" w:hAnsi="仿宋" w:eastAsia="仿宋" w:cs="仿宋"/>
          <w:b/>
          <w:bCs/>
          <w:color w:val="auto"/>
          <w:sz w:val="21"/>
          <w:szCs w:val="21"/>
          <w:highlight w:val="none"/>
        </w:rPr>
      </w:pPr>
      <w:r>
        <w:rPr>
          <w:rFonts w:hint="eastAsia" w:ascii="仿宋" w:hAnsi="仿宋" w:eastAsia="仿宋" w:cs="仿宋"/>
          <w:b/>
          <w:bCs/>
          <w:color w:val="auto"/>
          <w:spacing w:val="2"/>
          <w:sz w:val="21"/>
          <w:szCs w:val="21"/>
          <w:highlight w:val="none"/>
        </w:rPr>
        <w:t>服</w:t>
      </w:r>
      <w:r>
        <w:rPr>
          <w:rFonts w:hint="eastAsia" w:ascii="仿宋" w:hAnsi="仿宋" w:eastAsia="仿宋" w:cs="仿宋"/>
          <w:b/>
          <w:bCs/>
          <w:color w:val="auto"/>
          <w:sz w:val="21"/>
          <w:szCs w:val="21"/>
          <w:highlight w:val="none"/>
        </w:rPr>
        <w:t>务</w:t>
      </w:r>
      <w:r>
        <w:rPr>
          <w:rFonts w:hint="eastAsia" w:ascii="仿宋" w:hAnsi="仿宋" w:eastAsia="仿宋" w:cs="仿宋"/>
          <w:b/>
          <w:bCs/>
          <w:color w:val="auto"/>
          <w:spacing w:val="2"/>
          <w:sz w:val="21"/>
          <w:szCs w:val="21"/>
          <w:highlight w:val="none"/>
        </w:rPr>
        <w:t>期</w:t>
      </w:r>
      <w:r>
        <w:rPr>
          <w:rFonts w:hint="eastAsia" w:ascii="仿宋" w:hAnsi="仿宋" w:eastAsia="仿宋" w:cs="仿宋"/>
          <w:b/>
          <w:bCs/>
          <w:color w:val="auto"/>
          <w:sz w:val="21"/>
          <w:szCs w:val="21"/>
          <w:highlight w:val="none"/>
        </w:rPr>
        <w:t>限</w:t>
      </w:r>
    </w:p>
    <w:p w14:paraId="5A2777ED">
      <w:pPr>
        <w:pStyle w:val="20"/>
        <w:tabs>
          <w:tab w:val="left" w:pos="2940"/>
          <w:tab w:val="left" w:pos="6359"/>
          <w:tab w:val="left" w:pos="7319"/>
        </w:tabs>
        <w:spacing w:before="37" w:line="315" w:lineRule="auto"/>
        <w:ind w:right="26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本合同约定的建设工程造价咨询服务自</w:t>
      </w:r>
      <w:r>
        <w:rPr>
          <w:rFonts w:hint="eastAsia" w:ascii="仿宋" w:hAnsi="仿宋" w:eastAsia="仿宋" w:cs="仿宋"/>
          <w:color w:val="auto"/>
          <w:sz w:val="21"/>
          <w:szCs w:val="21"/>
          <w:highlight w:val="none"/>
          <w:u w:val="single" w:color="000000"/>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color="000000"/>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color="000000"/>
        </w:rPr>
        <w:t xml:space="preserve">  </w:t>
      </w:r>
      <w:r>
        <w:rPr>
          <w:rFonts w:hint="eastAsia" w:ascii="仿宋" w:hAnsi="仿宋" w:eastAsia="仿宋" w:cs="仿宋"/>
          <w:color w:val="auto"/>
          <w:sz w:val="21"/>
          <w:szCs w:val="21"/>
          <w:highlight w:val="none"/>
        </w:rPr>
        <w:t>日开始实施，至</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color="000000"/>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color="000000"/>
        </w:rPr>
        <w:t xml:space="preserve">  </w:t>
      </w:r>
      <w:r>
        <w:rPr>
          <w:rFonts w:hint="eastAsia" w:ascii="仿宋" w:hAnsi="仿宋" w:eastAsia="仿宋" w:cs="仿宋"/>
          <w:color w:val="auto"/>
          <w:sz w:val="21"/>
          <w:szCs w:val="21"/>
          <w:highlight w:val="none"/>
        </w:rPr>
        <w:t>日终结。</w:t>
      </w:r>
    </w:p>
    <w:p w14:paraId="1EC16FE4">
      <w:pPr>
        <w:pStyle w:val="20"/>
        <w:numPr>
          <w:ilvl w:val="0"/>
          <w:numId w:val="6"/>
        </w:numPr>
        <w:tabs>
          <w:tab w:val="left" w:pos="2940"/>
          <w:tab w:val="left" w:pos="6359"/>
          <w:tab w:val="left" w:pos="7319"/>
        </w:tabs>
        <w:spacing w:before="37" w:line="315" w:lineRule="auto"/>
        <w:ind w:right="266"/>
        <w:rPr>
          <w:rFonts w:hint="eastAsia" w:ascii="仿宋" w:hAnsi="仿宋" w:eastAsia="仿宋" w:cs="仿宋"/>
          <w:b/>
          <w:bCs/>
          <w:color w:val="auto"/>
          <w:sz w:val="21"/>
          <w:szCs w:val="21"/>
          <w:highlight w:val="none"/>
        </w:rPr>
      </w:pPr>
      <w:r>
        <w:rPr>
          <w:rFonts w:hint="eastAsia" w:ascii="仿宋" w:hAnsi="仿宋" w:eastAsia="仿宋" w:cs="仿宋"/>
          <w:b/>
          <w:bCs/>
          <w:color w:val="auto"/>
          <w:spacing w:val="2"/>
          <w:sz w:val="21"/>
          <w:szCs w:val="21"/>
          <w:highlight w:val="none"/>
        </w:rPr>
        <w:t>质</w:t>
      </w:r>
      <w:r>
        <w:rPr>
          <w:rFonts w:hint="eastAsia" w:ascii="仿宋" w:hAnsi="仿宋" w:eastAsia="仿宋" w:cs="仿宋"/>
          <w:b/>
          <w:bCs/>
          <w:color w:val="auto"/>
          <w:sz w:val="21"/>
          <w:szCs w:val="21"/>
          <w:highlight w:val="none"/>
        </w:rPr>
        <w:t>量</w:t>
      </w:r>
      <w:r>
        <w:rPr>
          <w:rFonts w:hint="eastAsia" w:ascii="仿宋" w:hAnsi="仿宋" w:eastAsia="仿宋" w:cs="仿宋"/>
          <w:b/>
          <w:bCs/>
          <w:color w:val="auto"/>
          <w:spacing w:val="2"/>
          <w:sz w:val="21"/>
          <w:szCs w:val="21"/>
          <w:highlight w:val="none"/>
        </w:rPr>
        <w:t>标</w:t>
      </w:r>
      <w:r>
        <w:rPr>
          <w:rFonts w:hint="eastAsia" w:ascii="仿宋" w:hAnsi="仿宋" w:eastAsia="仿宋" w:cs="仿宋"/>
          <w:b/>
          <w:bCs/>
          <w:color w:val="auto"/>
          <w:sz w:val="21"/>
          <w:szCs w:val="21"/>
          <w:highlight w:val="none"/>
        </w:rPr>
        <w:t>准</w:t>
      </w:r>
    </w:p>
    <w:p w14:paraId="5D52601B">
      <w:pPr>
        <w:pStyle w:val="20"/>
        <w:tabs>
          <w:tab w:val="left" w:pos="2940"/>
          <w:tab w:val="left" w:pos="6359"/>
          <w:tab w:val="left" w:pos="7319"/>
        </w:tabs>
        <w:spacing w:before="37" w:line="315" w:lineRule="auto"/>
        <w:ind w:right="26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工程造价咨询成果文件应符合：</w:t>
      </w:r>
      <w:r>
        <w:rPr>
          <w:rFonts w:hint="eastAsia" w:ascii="仿宋" w:hAnsi="仿宋" w:eastAsia="仿宋" w:cs="仿宋"/>
          <w:color w:val="auto"/>
          <w:sz w:val="21"/>
          <w:szCs w:val="21"/>
          <w:highlight w:val="none"/>
          <w:u w:val="single" w:color="000000"/>
        </w:rPr>
        <w:t xml:space="preserve"> 符合国家现行的相关规范标准</w:t>
      </w:r>
      <w:r>
        <w:rPr>
          <w:rFonts w:hint="eastAsia" w:ascii="仿宋" w:hAnsi="仿宋" w:eastAsia="仿宋" w:cs="仿宋"/>
          <w:color w:val="auto"/>
          <w:sz w:val="21"/>
          <w:szCs w:val="21"/>
          <w:highlight w:val="none"/>
        </w:rPr>
        <w:t xml:space="preserve">。 </w:t>
      </w:r>
    </w:p>
    <w:p w14:paraId="61C0E64D">
      <w:pPr>
        <w:pStyle w:val="20"/>
        <w:tabs>
          <w:tab w:val="left" w:pos="2940"/>
          <w:tab w:val="left" w:pos="6359"/>
          <w:tab w:val="left" w:pos="7319"/>
        </w:tabs>
        <w:spacing w:before="37" w:line="315" w:lineRule="auto"/>
        <w:ind w:right="266"/>
        <w:rPr>
          <w:rFonts w:hint="eastAsia" w:ascii="仿宋" w:hAnsi="仿宋" w:eastAsia="仿宋" w:cs="仿宋"/>
          <w:b/>
          <w:bCs/>
          <w:color w:val="auto"/>
          <w:sz w:val="21"/>
          <w:szCs w:val="21"/>
          <w:highlight w:val="none"/>
        </w:rPr>
      </w:pPr>
      <w:r>
        <w:rPr>
          <w:rFonts w:hint="eastAsia" w:ascii="仿宋" w:hAnsi="仿宋" w:eastAsia="仿宋" w:cs="仿宋"/>
          <w:b/>
          <w:bCs/>
          <w:color w:val="auto"/>
          <w:spacing w:val="2"/>
          <w:sz w:val="21"/>
          <w:szCs w:val="21"/>
          <w:highlight w:val="none"/>
        </w:rPr>
        <w:t>五、酬</w:t>
      </w:r>
      <w:r>
        <w:rPr>
          <w:rFonts w:hint="eastAsia" w:ascii="仿宋" w:hAnsi="仿宋" w:eastAsia="仿宋" w:cs="仿宋"/>
          <w:b/>
          <w:bCs/>
          <w:color w:val="auto"/>
          <w:sz w:val="21"/>
          <w:szCs w:val="21"/>
          <w:highlight w:val="none"/>
        </w:rPr>
        <w:t>金</w:t>
      </w:r>
      <w:r>
        <w:rPr>
          <w:rFonts w:hint="eastAsia" w:ascii="仿宋" w:hAnsi="仿宋" w:eastAsia="仿宋" w:cs="仿宋"/>
          <w:b/>
          <w:bCs/>
          <w:color w:val="auto"/>
          <w:spacing w:val="2"/>
          <w:sz w:val="21"/>
          <w:szCs w:val="21"/>
          <w:highlight w:val="none"/>
        </w:rPr>
        <w:t>或</w:t>
      </w:r>
      <w:r>
        <w:rPr>
          <w:rFonts w:hint="eastAsia" w:ascii="仿宋" w:hAnsi="仿宋" w:eastAsia="仿宋" w:cs="仿宋"/>
          <w:b/>
          <w:bCs/>
          <w:color w:val="auto"/>
          <w:sz w:val="21"/>
          <w:szCs w:val="21"/>
          <w:highlight w:val="none"/>
        </w:rPr>
        <w:t>计取</w:t>
      </w:r>
      <w:r>
        <w:rPr>
          <w:rFonts w:hint="eastAsia" w:ascii="仿宋" w:hAnsi="仿宋" w:eastAsia="仿宋" w:cs="仿宋"/>
          <w:b/>
          <w:bCs/>
          <w:color w:val="auto"/>
          <w:spacing w:val="2"/>
          <w:sz w:val="21"/>
          <w:szCs w:val="21"/>
          <w:highlight w:val="none"/>
        </w:rPr>
        <w:t>方</w:t>
      </w:r>
      <w:r>
        <w:rPr>
          <w:rFonts w:hint="eastAsia" w:ascii="仿宋" w:hAnsi="仿宋" w:eastAsia="仿宋" w:cs="仿宋"/>
          <w:b/>
          <w:bCs/>
          <w:color w:val="auto"/>
          <w:sz w:val="21"/>
          <w:szCs w:val="21"/>
          <w:highlight w:val="none"/>
        </w:rPr>
        <w:t>式</w:t>
      </w:r>
    </w:p>
    <w:p w14:paraId="35C7236D">
      <w:pPr>
        <w:pStyle w:val="20"/>
        <w:widowControl/>
        <w:tabs>
          <w:tab w:val="left" w:pos="2940"/>
          <w:tab w:val="left" w:pos="6359"/>
          <w:tab w:val="left" w:pos="7319"/>
        </w:tabs>
        <w:spacing w:before="37" w:line="315" w:lineRule="auto"/>
        <w:ind w:right="266"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暂定</w:t>
      </w:r>
      <w:r>
        <w:rPr>
          <w:rFonts w:hint="eastAsia" w:ascii="仿宋" w:hAnsi="仿宋" w:eastAsia="仿宋" w:cs="仿宋"/>
          <w:color w:val="auto"/>
          <w:sz w:val="21"/>
          <w:szCs w:val="21"/>
          <w:highlight w:val="none"/>
        </w:rPr>
        <w:t>1.酬金：</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A7DA1CC">
      <w:pPr>
        <w:pStyle w:val="20"/>
        <w:widowControl/>
        <w:tabs>
          <w:tab w:val="left" w:pos="2940"/>
          <w:tab w:val="left" w:pos="6359"/>
          <w:tab w:val="left" w:pos="7319"/>
        </w:tabs>
        <w:spacing w:before="37" w:line="315" w:lineRule="auto"/>
        <w:ind w:right="266"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2.计取方式：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最终根据实际发生工程量结算并不超过合同价</w:t>
      </w:r>
      <w:r>
        <w:rPr>
          <w:rFonts w:hint="eastAsia" w:ascii="仿宋" w:hAnsi="仿宋" w:eastAsia="仿宋" w:cs="仿宋"/>
          <w:color w:val="auto"/>
          <w:sz w:val="21"/>
          <w:szCs w:val="21"/>
          <w:highlight w:val="none"/>
        </w:rPr>
        <w:t>。</w:t>
      </w:r>
    </w:p>
    <w:p w14:paraId="6ABE3126">
      <w:pPr>
        <w:pStyle w:val="20"/>
        <w:spacing w:line="337" w:lineRule="exact"/>
        <w:rPr>
          <w:rFonts w:hint="eastAsia" w:ascii="仿宋" w:hAnsi="仿宋" w:eastAsia="仿宋" w:cs="仿宋"/>
          <w:b/>
          <w:bCs/>
          <w:color w:val="auto"/>
          <w:sz w:val="21"/>
          <w:szCs w:val="21"/>
          <w:highlight w:val="none"/>
        </w:rPr>
      </w:pPr>
      <w:bookmarkStart w:id="52" w:name="_bookmark2"/>
      <w:bookmarkEnd w:id="52"/>
      <w:bookmarkStart w:id="53" w:name="_bookmark3"/>
      <w:bookmarkEnd w:id="53"/>
      <w:r>
        <w:rPr>
          <w:rFonts w:hint="eastAsia" w:ascii="仿宋" w:hAnsi="仿宋" w:eastAsia="仿宋" w:cs="仿宋"/>
          <w:b/>
          <w:bCs/>
          <w:color w:val="auto"/>
          <w:sz w:val="21"/>
          <w:szCs w:val="21"/>
          <w:highlight w:val="none"/>
        </w:rPr>
        <w:t>六</w:t>
      </w:r>
      <w:r>
        <w:rPr>
          <w:rFonts w:hint="eastAsia" w:ascii="仿宋" w:hAnsi="仿宋" w:eastAsia="仿宋" w:cs="仿宋"/>
          <w:b/>
          <w:bCs/>
          <w:color w:val="auto"/>
          <w:spacing w:val="2"/>
          <w:sz w:val="21"/>
          <w:szCs w:val="21"/>
          <w:highlight w:val="none"/>
        </w:rPr>
        <w:t>、</w:t>
      </w:r>
      <w:r>
        <w:rPr>
          <w:rFonts w:hint="eastAsia" w:ascii="仿宋" w:hAnsi="仿宋" w:eastAsia="仿宋" w:cs="仿宋"/>
          <w:b/>
          <w:bCs/>
          <w:color w:val="auto"/>
          <w:sz w:val="21"/>
          <w:szCs w:val="21"/>
          <w:highlight w:val="none"/>
        </w:rPr>
        <w:t>合</w:t>
      </w:r>
      <w:r>
        <w:rPr>
          <w:rFonts w:hint="eastAsia" w:ascii="仿宋" w:hAnsi="仿宋" w:eastAsia="仿宋" w:cs="仿宋"/>
          <w:b/>
          <w:bCs/>
          <w:color w:val="auto"/>
          <w:spacing w:val="2"/>
          <w:sz w:val="21"/>
          <w:szCs w:val="21"/>
          <w:highlight w:val="none"/>
        </w:rPr>
        <w:t>同</w:t>
      </w:r>
      <w:r>
        <w:rPr>
          <w:rFonts w:hint="eastAsia" w:ascii="仿宋" w:hAnsi="仿宋" w:eastAsia="仿宋" w:cs="仿宋"/>
          <w:b/>
          <w:bCs/>
          <w:color w:val="auto"/>
          <w:sz w:val="21"/>
          <w:szCs w:val="21"/>
          <w:highlight w:val="none"/>
        </w:rPr>
        <w:t>文件</w:t>
      </w:r>
      <w:r>
        <w:rPr>
          <w:rFonts w:hint="eastAsia" w:ascii="仿宋" w:hAnsi="仿宋" w:eastAsia="仿宋" w:cs="仿宋"/>
          <w:b/>
          <w:bCs/>
          <w:color w:val="auto"/>
          <w:spacing w:val="2"/>
          <w:sz w:val="21"/>
          <w:szCs w:val="21"/>
          <w:highlight w:val="none"/>
        </w:rPr>
        <w:t>的</w:t>
      </w:r>
      <w:r>
        <w:rPr>
          <w:rFonts w:hint="eastAsia" w:ascii="仿宋" w:hAnsi="仿宋" w:eastAsia="仿宋" w:cs="仿宋"/>
          <w:b/>
          <w:bCs/>
          <w:color w:val="auto"/>
          <w:sz w:val="21"/>
          <w:szCs w:val="21"/>
          <w:highlight w:val="none"/>
        </w:rPr>
        <w:t>构成</w:t>
      </w:r>
    </w:p>
    <w:p w14:paraId="1CB76593">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本协议书与下列文件一起构成合同文件:</w:t>
      </w:r>
    </w:p>
    <w:p w14:paraId="29DE3233">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1.成交通知书或委托书（如果有）；</w:t>
      </w:r>
    </w:p>
    <w:p w14:paraId="65FC324F">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2.投标函及投标函附录或造价咨询服务建议书（如果有）；</w:t>
      </w:r>
    </w:p>
    <w:p w14:paraId="256D6B83">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3.专用条件及附录；</w:t>
      </w:r>
    </w:p>
    <w:p w14:paraId="642A3419">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4.通用条件；</w:t>
      </w:r>
    </w:p>
    <w:p w14:paraId="54D7282B">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5.招标文件及投标文件</w:t>
      </w:r>
    </w:p>
    <w:p w14:paraId="7D33B198">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6.其他合同文件。</w:t>
      </w:r>
    </w:p>
    <w:p w14:paraId="2E372A81">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上述各项合同文件包括合同当事人就该项合同文件所作出的补充和修改，属于同一类内容的文件，应以最新签署的为准。 在合同订立及履行过程中形成的与合同有关的文件（包括补充协议）均构成合同文件的组成部分。</w:t>
      </w:r>
    </w:p>
    <w:p w14:paraId="25223634">
      <w:pPr>
        <w:pStyle w:val="20"/>
        <w:spacing w:line="337"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七、词语定义</w:t>
      </w:r>
    </w:p>
    <w:p w14:paraId="39712565">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协议书中相关词语的含义与通用条件中的定义与解释相同。</w:t>
      </w:r>
    </w:p>
    <w:p w14:paraId="10F44817">
      <w:pPr>
        <w:pStyle w:val="20"/>
        <w:numPr>
          <w:ilvl w:val="0"/>
          <w:numId w:val="7"/>
        </w:numPr>
        <w:tabs>
          <w:tab w:val="left" w:pos="3119"/>
          <w:tab w:val="left" w:pos="4439"/>
          <w:tab w:val="left" w:pos="5759"/>
        </w:tabs>
        <w:spacing w:before="36" w:line="316" w:lineRule="auto"/>
        <w:ind w:right="1706"/>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w:t>
      </w:r>
      <w:r>
        <w:rPr>
          <w:rFonts w:hint="eastAsia" w:ascii="仿宋" w:hAnsi="仿宋" w:eastAsia="仿宋" w:cs="仿宋"/>
          <w:b/>
          <w:bCs/>
          <w:color w:val="auto"/>
          <w:spacing w:val="2"/>
          <w:sz w:val="21"/>
          <w:szCs w:val="21"/>
          <w:highlight w:val="none"/>
        </w:rPr>
        <w:t>同</w:t>
      </w:r>
      <w:r>
        <w:rPr>
          <w:rFonts w:hint="eastAsia" w:ascii="仿宋" w:hAnsi="仿宋" w:eastAsia="仿宋" w:cs="仿宋"/>
          <w:b/>
          <w:bCs/>
          <w:color w:val="auto"/>
          <w:sz w:val="21"/>
          <w:szCs w:val="21"/>
          <w:highlight w:val="none"/>
        </w:rPr>
        <w:t>订立</w:t>
      </w:r>
    </w:p>
    <w:p w14:paraId="589A3126">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1.订立时间：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6DFBD95C">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2.订立地点：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891678A">
      <w:pPr>
        <w:pStyle w:val="20"/>
        <w:numPr>
          <w:ilvl w:val="0"/>
          <w:numId w:val="7"/>
        </w:numPr>
        <w:tabs>
          <w:tab w:val="left" w:pos="3119"/>
          <w:tab w:val="left" w:pos="4439"/>
          <w:tab w:val="left" w:pos="5759"/>
        </w:tabs>
        <w:spacing w:before="36" w:line="316" w:lineRule="auto"/>
        <w:ind w:right="1706"/>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合同生效</w:t>
      </w:r>
    </w:p>
    <w:p w14:paraId="66DF3B02">
      <w:pPr>
        <w:pStyle w:val="20"/>
        <w:tabs>
          <w:tab w:val="left" w:pos="840"/>
          <w:tab w:val="left" w:pos="7259"/>
          <w:tab w:val="left" w:pos="7919"/>
        </w:tabs>
        <w:spacing w:after="0" w:line="360" w:lineRule="auto"/>
        <w:ind w:right="386"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本合同自</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生效。</w:t>
      </w:r>
    </w:p>
    <w:p w14:paraId="18561FB0">
      <w:pPr>
        <w:pStyle w:val="20"/>
        <w:numPr>
          <w:ilvl w:val="0"/>
          <w:numId w:val="7"/>
        </w:numPr>
        <w:tabs>
          <w:tab w:val="left" w:pos="3119"/>
          <w:tab w:val="left" w:pos="4439"/>
          <w:tab w:val="left" w:pos="5759"/>
        </w:tabs>
        <w:spacing w:before="36" w:line="316" w:lineRule="auto"/>
        <w:ind w:right="1706"/>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合同份数</w:t>
      </w:r>
    </w:p>
    <w:p w14:paraId="1017CF80">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本合</w:t>
      </w:r>
      <w:r>
        <w:rPr>
          <w:rFonts w:hint="eastAsia" w:ascii="仿宋" w:hAnsi="仿宋" w:eastAsia="仿宋" w:cs="仿宋"/>
          <w:color w:val="auto"/>
          <w:spacing w:val="7"/>
          <w:sz w:val="21"/>
          <w:szCs w:val="21"/>
          <w:highlight w:val="none"/>
        </w:rPr>
        <w:t>同</w:t>
      </w:r>
      <w:r>
        <w:rPr>
          <w:rFonts w:hint="eastAsia" w:ascii="仿宋" w:hAnsi="仿宋" w:eastAsia="仿宋" w:cs="仿宋"/>
          <w:color w:val="auto"/>
          <w:spacing w:val="4"/>
          <w:sz w:val="21"/>
          <w:szCs w:val="21"/>
          <w:highlight w:val="none"/>
        </w:rPr>
        <w:t>一式</w:t>
      </w:r>
      <w:r>
        <w:rPr>
          <w:rFonts w:hint="eastAsia" w:ascii="仿宋" w:hAnsi="仿宋" w:eastAsia="仿宋" w:cs="仿宋"/>
          <w:color w:val="auto"/>
          <w:spacing w:val="4"/>
          <w:sz w:val="21"/>
          <w:szCs w:val="21"/>
          <w:highlight w:val="none"/>
          <w:u w:val="single" w:color="000000"/>
        </w:rPr>
        <w:t>捌</w:t>
      </w:r>
      <w:r>
        <w:rPr>
          <w:rFonts w:hint="eastAsia" w:ascii="仿宋" w:hAnsi="仿宋" w:eastAsia="仿宋" w:cs="仿宋"/>
          <w:color w:val="auto"/>
          <w:spacing w:val="4"/>
          <w:sz w:val="21"/>
          <w:szCs w:val="21"/>
          <w:highlight w:val="none"/>
        </w:rPr>
        <w:t>份，双方各执</w:t>
      </w:r>
      <w:r>
        <w:rPr>
          <w:rFonts w:hint="eastAsia" w:ascii="仿宋" w:hAnsi="仿宋" w:eastAsia="仿宋" w:cs="仿宋"/>
          <w:color w:val="auto"/>
          <w:spacing w:val="4"/>
          <w:sz w:val="21"/>
          <w:szCs w:val="21"/>
          <w:highlight w:val="none"/>
          <w:u w:val="single"/>
        </w:rPr>
        <w:t>肆</w:t>
      </w:r>
      <w:r>
        <w:rPr>
          <w:rFonts w:hint="eastAsia" w:ascii="仿宋" w:hAnsi="仿宋" w:eastAsia="仿宋" w:cs="仿宋"/>
          <w:color w:val="auto"/>
          <w:spacing w:val="4"/>
          <w:sz w:val="21"/>
          <w:szCs w:val="21"/>
          <w:highlight w:val="none"/>
        </w:rPr>
        <w:t>份，代理机构执</w:t>
      </w:r>
      <w:r>
        <w:rPr>
          <w:rFonts w:hint="eastAsia" w:ascii="仿宋" w:hAnsi="仿宋" w:eastAsia="仿宋" w:cs="仿宋"/>
          <w:color w:val="auto"/>
          <w:spacing w:val="4"/>
          <w:sz w:val="21"/>
          <w:szCs w:val="21"/>
          <w:highlight w:val="none"/>
          <w:u w:val="single"/>
        </w:rPr>
        <w:t>贰</w:t>
      </w:r>
      <w:r>
        <w:rPr>
          <w:rFonts w:hint="eastAsia" w:ascii="仿宋" w:hAnsi="仿宋" w:eastAsia="仿宋" w:cs="仿宋"/>
          <w:color w:val="auto"/>
          <w:spacing w:val="4"/>
          <w:sz w:val="21"/>
          <w:szCs w:val="21"/>
          <w:highlight w:val="none"/>
        </w:rPr>
        <w:t>份，</w:t>
      </w:r>
      <w:r>
        <w:rPr>
          <w:rFonts w:hint="eastAsia" w:ascii="仿宋" w:hAnsi="仿宋" w:eastAsia="仿宋" w:cs="仿宋"/>
          <w:color w:val="auto"/>
          <w:spacing w:val="7"/>
          <w:sz w:val="21"/>
          <w:szCs w:val="21"/>
          <w:highlight w:val="none"/>
        </w:rPr>
        <w:t>具</w:t>
      </w:r>
      <w:r>
        <w:rPr>
          <w:rFonts w:hint="eastAsia" w:ascii="仿宋" w:hAnsi="仿宋" w:eastAsia="仿宋" w:cs="仿宋"/>
          <w:color w:val="auto"/>
          <w:spacing w:val="4"/>
          <w:sz w:val="21"/>
          <w:szCs w:val="21"/>
          <w:highlight w:val="none"/>
        </w:rPr>
        <w:t>有同等法律</w:t>
      </w:r>
      <w:r>
        <w:rPr>
          <w:rFonts w:hint="eastAsia" w:ascii="仿宋" w:hAnsi="仿宋" w:eastAsia="仿宋" w:cs="仿宋"/>
          <w:color w:val="auto"/>
          <w:spacing w:val="7"/>
          <w:sz w:val="21"/>
          <w:szCs w:val="21"/>
          <w:highlight w:val="none"/>
        </w:rPr>
        <w:t>效</w:t>
      </w:r>
      <w:r>
        <w:rPr>
          <w:rFonts w:hint="eastAsia" w:ascii="仿宋" w:hAnsi="仿宋" w:eastAsia="仿宋" w:cs="仿宋"/>
          <w:color w:val="auto"/>
          <w:spacing w:val="4"/>
          <w:sz w:val="21"/>
          <w:szCs w:val="21"/>
          <w:highlight w:val="none"/>
        </w:rPr>
        <w:t>力</w:t>
      </w:r>
      <w:r>
        <w:rPr>
          <w:rFonts w:hint="eastAsia" w:ascii="仿宋" w:hAnsi="仿宋" w:eastAsia="仿宋" w:cs="仿宋"/>
          <w:color w:val="auto"/>
          <w:sz w:val="21"/>
          <w:szCs w:val="21"/>
          <w:highlight w:val="none"/>
        </w:rPr>
        <w:t>。</w:t>
      </w:r>
    </w:p>
    <w:p w14:paraId="0BDB94B6">
      <w:pPr>
        <w:snapToGrid w:val="0"/>
        <w:spacing w:line="360" w:lineRule="auto"/>
        <w:ind w:firstLine="420"/>
        <w:rPr>
          <w:rFonts w:hint="eastAsia" w:ascii="仿宋" w:hAnsi="仿宋" w:eastAsia="仿宋" w:cs="仿宋"/>
          <w:color w:val="auto"/>
          <w:sz w:val="21"/>
          <w:szCs w:val="21"/>
          <w:highlight w:val="none"/>
        </w:rPr>
      </w:pPr>
    </w:p>
    <w:p w14:paraId="494E48D0">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　托　人：（盖章）　　　　　　　　　　　咨　询　人：（盖章）</w:t>
      </w:r>
    </w:p>
    <w:p w14:paraId="786804FD">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法定代表人：（签字）　　　　　　　　　　　法定代表人：（签字）</w:t>
      </w:r>
    </w:p>
    <w:p w14:paraId="3063D9E7">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委托代理人：（签字）　　　　　　　　　　　委托代理人：（签字）</w:t>
      </w:r>
    </w:p>
    <w:p w14:paraId="30BCA073">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住　　所：　　　　　　　　　　　　　　　　住　　所：</w:t>
      </w:r>
    </w:p>
    <w:p w14:paraId="0C90BE0D">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　　月　　日　　　　　　　　　　　　　　年　　月　　日</w:t>
      </w:r>
    </w:p>
    <w:p w14:paraId="6F3C1F86">
      <w:pPr>
        <w:snapToGrid w:val="0"/>
        <w:spacing w:line="360" w:lineRule="auto"/>
        <w:rPr>
          <w:rFonts w:hint="eastAsia" w:ascii="仿宋" w:hAnsi="仿宋" w:eastAsia="仿宋" w:cs="仿宋"/>
          <w:color w:val="auto"/>
          <w:sz w:val="21"/>
          <w:szCs w:val="21"/>
          <w:highlight w:val="none"/>
        </w:rPr>
      </w:pPr>
    </w:p>
    <w:p w14:paraId="02756973">
      <w:pPr>
        <w:adjustRightInd w:val="0"/>
        <w:snapToGrid w:val="0"/>
        <w:spacing w:line="360" w:lineRule="auto"/>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br w:type="page"/>
      </w:r>
      <w:r>
        <w:rPr>
          <w:rFonts w:hint="eastAsia" w:ascii="仿宋" w:hAnsi="仿宋" w:eastAsia="仿宋" w:cs="仿宋"/>
          <w:b/>
          <w:bCs/>
          <w:color w:val="auto"/>
          <w:kern w:val="0"/>
          <w:sz w:val="21"/>
          <w:szCs w:val="21"/>
          <w:highlight w:val="none"/>
        </w:rPr>
        <w:t>第二部分  标准条件</w:t>
      </w:r>
    </w:p>
    <w:p w14:paraId="6789115F">
      <w:pPr>
        <w:snapToGrid w:val="0"/>
        <w:spacing w:before="100" w:after="1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词语定义、适用范围和法规</w:t>
      </w:r>
    </w:p>
    <w:p w14:paraId="70D4F787">
      <w:pPr>
        <w:snapToGrid w:val="0"/>
        <w:spacing w:line="420" w:lineRule="exact"/>
        <w:ind w:left="42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词语定义、适用语言和法律、法规</w:t>
      </w:r>
    </w:p>
    <w:p w14:paraId="599F1B4B">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w:t>
      </w:r>
      <w:r>
        <w:rPr>
          <w:rFonts w:hint="eastAsia" w:ascii="仿宋" w:hAnsi="仿宋" w:eastAsia="仿宋" w:cs="仿宋"/>
          <w:color w:val="auto"/>
          <w:sz w:val="21"/>
          <w:szCs w:val="21"/>
          <w:highlight w:val="none"/>
        </w:rPr>
        <w:t>第一条　下列名词和用语，除上下文另有规定外具有如下含义。</w:t>
      </w:r>
    </w:p>
    <w:p w14:paraId="52FD784A">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1、“委托人”是指委托建设工程造价咨询业务和聘用工程造价咨询单位的一方，以及其合法继承人。</w:t>
      </w:r>
    </w:p>
    <w:p w14:paraId="2BD3A4B8">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2、“咨询人”是指承担建设工程造价咨询业务和工程造价咨询责任的一方，以及其合法继承人。</w:t>
      </w:r>
    </w:p>
    <w:p w14:paraId="46B856BF">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3、“第三人”是指除委托人、咨询人以外与本咨询业务有关的当事人。</w:t>
      </w:r>
    </w:p>
    <w:p w14:paraId="5A7B6CF2">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4、“日”是指任何一天零时至第二天零时的时间段。</w:t>
      </w:r>
    </w:p>
    <w:p w14:paraId="1EA786AD">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第二条　建设工程造价咨询合同适用的是中国的法律、法规，以及专用条件中议定的部门规章、工程造价有关计价办法和规定或项目所在地的地方法规、地方规章。</w:t>
      </w:r>
    </w:p>
    <w:p w14:paraId="553B6F15">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第三条　建设工程造价咨询合同的书写、解释和说明，以汉语为主导语言。当不同语言文本发生不同解释时，以汉语合同文本为准。</w:t>
      </w:r>
    </w:p>
    <w:p w14:paraId="67CB1D7F">
      <w:pPr>
        <w:snapToGrid w:val="0"/>
        <w:spacing w:line="420" w:lineRule="exact"/>
        <w:ind w:left="42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咨询人的义务</w:t>
      </w:r>
    </w:p>
    <w:p w14:paraId="177F6A78">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第四条　向委托人提供与工程造价咨询业务有关的资料，包括工程造价咨询的资质证书及承担本合同业务的专业人员名单、咨询工作计划等，并按合同专用条件中约定的范围实施咨询业务。</w:t>
      </w:r>
    </w:p>
    <w:p w14:paraId="0E4829FD">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第五条　咨询人在履行本合同期间，向委托人提供的服务包括正常服务、附加服务和额外服务。</w:t>
      </w:r>
    </w:p>
    <w:p w14:paraId="7B66040B">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1、“正常服务”是指双方在专用条件中约定的工程造价咨询工作；</w:t>
      </w:r>
    </w:p>
    <w:p w14:paraId="22088456">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2、“附加服务”是指在“正常服务”以外，经双方书面协议确定的附加服务；</w:t>
      </w:r>
    </w:p>
    <w:p w14:paraId="7F884988">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3、“额外服务”是指不属于“正常服务”和“附加服务”，但根据合同标准条件第十三条、第二十条和二十二条的规定，咨询人应增加的额外工作量。</w:t>
      </w:r>
    </w:p>
    <w:p w14:paraId="72B01514">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第六条　在履行合同期间或合同规定期限内，不得泄露与本合同规定业务活动有关的保密资料。</w:t>
      </w:r>
    </w:p>
    <w:p w14:paraId="46FAAAE6">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委托人的义务</w:t>
      </w:r>
    </w:p>
    <w:p w14:paraId="4BB8356F">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第七条　委托人应负责与本建设工程造价咨询业务有关的第三人的协调，为咨询人工作提供外部条件。</w:t>
      </w:r>
    </w:p>
    <w:p w14:paraId="589A9712">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第八条　委托人应当在约定的时间内，免费向咨询人提供与本项目咨询业务有关的资料。</w:t>
      </w:r>
    </w:p>
    <w:p w14:paraId="108B22EF">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第九条　委托人应当在约定的时间内就咨询人书面提交并要求做出答复的事宜做出书面答复。咨询人要求第三人提供有关资料时，委托人应负责转达及资料转送。</w:t>
      </w:r>
    </w:p>
    <w:p w14:paraId="05BBDEB9">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第十条　委托人应当授权胜任本咨询业务的代表，负责与咨询人联系。</w:t>
      </w:r>
    </w:p>
    <w:p w14:paraId="0A50BCD3">
      <w:pPr>
        <w:snapToGrid w:val="0"/>
        <w:spacing w:line="420" w:lineRule="exact"/>
        <w:ind w:left="42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咨询人的权利</w:t>
      </w:r>
    </w:p>
    <w:p w14:paraId="10E38E26">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第十一条　委托人在委托的建设工程造价咨询业务范围内，授予咨询人以下权利：</w:t>
      </w:r>
    </w:p>
    <w:p w14:paraId="60AFDED9">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1、咨询人在咨询过程中，如委托人提供的资料不明确时可向委托人提出书面报告。</w:t>
      </w:r>
    </w:p>
    <w:p w14:paraId="378460C2">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2、咨询人在咨询过程中，有权对第三人提出与本咨询业务有关的问题进行核对或查问。</w:t>
      </w:r>
    </w:p>
    <w:p w14:paraId="1A4260CE">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3、咨询人在咨询过程中，有到工程现场勘察的权利。</w:t>
      </w:r>
    </w:p>
    <w:p w14:paraId="097F2B80">
      <w:pPr>
        <w:snapToGrid w:val="0"/>
        <w:spacing w:line="420" w:lineRule="exact"/>
        <w:ind w:left="42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委托人的权利</w:t>
      </w:r>
    </w:p>
    <w:p w14:paraId="3E7B9D86">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第十二条　委托人有下列权利：</w:t>
      </w:r>
    </w:p>
    <w:p w14:paraId="5A522733">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1、委托人有权向咨询人询问工作进展情况及相关的内容。</w:t>
      </w:r>
    </w:p>
    <w:p w14:paraId="5A3BC59F">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2、委托人有权阐述对具体问题的意见和建议。</w:t>
      </w:r>
    </w:p>
    <w:p w14:paraId="086CC8CD">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3、当委托人认定咨询专业人员不按咨询合同履行其职责，或与第三人串通给委托人造成经济损失的，委托人有权要求更换咨询专业人员，直至终止合同并要求咨询人承担相应的赔偿责任。</w:t>
      </w:r>
    </w:p>
    <w:p w14:paraId="14B61FBB">
      <w:pPr>
        <w:snapToGrid w:val="0"/>
        <w:spacing w:line="420" w:lineRule="exact"/>
        <w:ind w:left="42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咨询人的责任</w:t>
      </w:r>
    </w:p>
    <w:p w14:paraId="3D843FA5">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第十三条　咨询人的责任期即建设工程造价咨询合同有效期。如因非咨询人的责任造成进度的推迟或延误而超过约定的日期，双方应进一步约定相应延长合同有效期。</w:t>
      </w:r>
    </w:p>
    <w:p w14:paraId="62C98D05">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第十四条　咨询人责任期内，应当履行建设工程造价咨询合同中约定的义务，因咨询人的单方过失造成的经济损失，应当向委托人进行赔偿。</w:t>
      </w:r>
    </w:p>
    <w:p w14:paraId="250F5D0D">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第十五条　咨询人对委托人或第三人所提出的问题不能及时核对或答复，导致合同不能全部或部分履行，咨询人应承担责任。</w:t>
      </w:r>
    </w:p>
    <w:p w14:paraId="5B9B6C87">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第十六条　咨询人向委托人提出赔偿要求不能成立时，则应补偿由于该赔偿或其他要求所导致委托人的各种费用的支出。</w:t>
      </w:r>
    </w:p>
    <w:p w14:paraId="79BF3BAC">
      <w:pPr>
        <w:snapToGrid w:val="0"/>
        <w:spacing w:line="420" w:lineRule="exact"/>
        <w:ind w:left="42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委托人的责任</w:t>
      </w:r>
    </w:p>
    <w:p w14:paraId="3754D898">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第十七条　委托人应当履行建设工程造价咨询合同约定的义务，如有违反则应当承担违约责任，赔偿给咨询人造成的损失。</w:t>
      </w:r>
    </w:p>
    <w:p w14:paraId="3885C833">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第十八条　委托人如果向咨询人提出赔偿或其他要求不能成立时，则应补偿由于该赔偿或其他要求所导致咨询人的各种费用的支出。</w:t>
      </w:r>
    </w:p>
    <w:p w14:paraId="048A7603">
      <w:pPr>
        <w:snapToGrid w:val="0"/>
        <w:spacing w:line="420" w:lineRule="exact"/>
        <w:ind w:left="42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合同生效，变更与终止</w:t>
      </w:r>
    </w:p>
    <w:p w14:paraId="2943ACDE">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第十九条　本合同自双方签字盖章之日起生效。</w:t>
      </w:r>
    </w:p>
    <w:p w14:paraId="2C48578D">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7B455C77">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第二十一条　当事人一方要求变更或解除合同时，则应当在14日前通知对方；因变更或解除合同使一方遭受损失的，应由责任方负责赔偿。</w:t>
      </w:r>
    </w:p>
    <w:p w14:paraId="32B8390B">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第二十二条　咨询人由于非自身原因暂停或终止执行建设工程造价咨询业务，由此而增加的恢复执行建设工程造价咨询业务的工作，应视为额外服务，有权得到额外的时间和酬金。</w:t>
      </w:r>
    </w:p>
    <w:p w14:paraId="3BB98974">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第二十三条　变更或解除合同的通知或协议应当采取书面形式，新的协议未达成之前，原合同仍然有效。</w:t>
      </w:r>
    </w:p>
    <w:p w14:paraId="557E83AA">
      <w:pPr>
        <w:snapToGrid w:val="0"/>
        <w:spacing w:line="420" w:lineRule="exact"/>
        <w:ind w:left="42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咨询业务的酬金</w:t>
      </w:r>
    </w:p>
    <w:p w14:paraId="3FF4AF37">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第二十四条　正常的建设工程造价咨询业务，附加工作和额外工作的酬金，按照建设工程造价咨询合同专用条件约定的方法计取，并按约定的时间和数额支付。</w:t>
      </w:r>
    </w:p>
    <w:p w14:paraId="779E0101">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第二十五条　如果委托人在规定的支付期限内未支付建设工程造价咨询酬金，自规定支付之日起，应当向咨询人补偿应支付的酬金利息。</w:t>
      </w:r>
    </w:p>
    <w:p w14:paraId="0AE7F0C1">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第二十六条　如果委托人对咨询人提交的支付通知书中酬金或部分酬金项目提出异议，应当在收到支付通知书两日内向咨询人发出异议的通知，但委托人不得拖延其无异议酬金项目的支付。</w:t>
      </w:r>
    </w:p>
    <w:p w14:paraId="69657E05">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第二十七条　支付建设工程造价咨询酬金所采取的货币币种、汇率由合同专用条件约定。</w:t>
      </w:r>
    </w:p>
    <w:p w14:paraId="47D77AEF">
      <w:pPr>
        <w:snapToGrid w:val="0"/>
        <w:spacing w:line="420" w:lineRule="exact"/>
        <w:ind w:left="42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其　　他</w:t>
      </w:r>
    </w:p>
    <w:p w14:paraId="1BFF5963">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第二十八条　因建设工程造价咨询业务的需要，咨询人在合同约定外的外出考察，经委托人同意，其所需费用由委托人负责。</w:t>
      </w:r>
    </w:p>
    <w:p w14:paraId="0BCDF58F">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第二十九条　咨询人如需外聘专家协助，在委托的建设工程造价咨询业务范围内其费用由咨询人承担；在委托的建设工程造价咨询业务范围以外经委托人认可其费用由委托人承担。</w:t>
      </w:r>
    </w:p>
    <w:p w14:paraId="5C84BE89">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第三十条　未经对方的书面同意，各方均不得转让合同约定的权利和义务。</w:t>
      </w:r>
    </w:p>
    <w:p w14:paraId="0C2905AB">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第三十一条　除委托人书面同意外，咨询人及咨询专业人员不应接受建设工程造价咨询合同约定以外的与工程造价咨询项目有关的任何报酬。</w:t>
      </w:r>
    </w:p>
    <w:p w14:paraId="49CFCF44">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咨询人不得参与可能与合同规定的与委托人利益相冲突的任何活动。</w:t>
      </w:r>
    </w:p>
    <w:p w14:paraId="267A874B">
      <w:pPr>
        <w:snapToGrid w:val="0"/>
        <w:spacing w:line="420" w:lineRule="exact"/>
        <w:ind w:left="42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合同争议的解决</w:t>
      </w:r>
    </w:p>
    <w:p w14:paraId="36762606">
      <w:pPr>
        <w:snapToGrid w:val="0"/>
        <w:spacing w:line="420" w:lineRule="exact"/>
        <w:ind w:left="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14:paraId="57077102">
      <w:pPr>
        <w:pStyle w:val="5"/>
        <w:numPr>
          <w:ilvl w:val="2"/>
          <w:numId w:val="0"/>
        </w:num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br w:type="page"/>
      </w:r>
      <w:bookmarkStart w:id="54" w:name="_Toc22522"/>
      <w:bookmarkStart w:id="55" w:name="_Toc19875"/>
      <w:bookmarkStart w:id="56" w:name="_Toc23547"/>
      <w:bookmarkStart w:id="57" w:name="_Toc19419"/>
      <w:r>
        <w:rPr>
          <w:rFonts w:hint="eastAsia" w:ascii="仿宋" w:hAnsi="仿宋" w:eastAsia="仿宋" w:cs="仿宋"/>
          <w:color w:val="auto"/>
          <w:kern w:val="0"/>
          <w:sz w:val="21"/>
          <w:szCs w:val="21"/>
          <w:highlight w:val="none"/>
        </w:rPr>
        <w:t>第三部分  专用条件</w:t>
      </w:r>
      <w:bookmarkEnd w:id="54"/>
      <w:bookmarkEnd w:id="55"/>
      <w:bookmarkEnd w:id="56"/>
    </w:p>
    <w:bookmarkEnd w:id="57"/>
    <w:p w14:paraId="18A2A8BF">
      <w:pPr>
        <w:snapToGrid w:val="0"/>
        <w:spacing w:line="42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第二条  本合同适用的法律、法规及工程造价计价办法和规定：</w:t>
      </w:r>
      <w:r>
        <w:rPr>
          <w:rFonts w:hint="eastAsia" w:ascii="仿宋" w:hAnsi="仿宋" w:eastAsia="仿宋" w:cs="仿宋"/>
          <w:color w:val="auto"/>
          <w:sz w:val="21"/>
          <w:szCs w:val="21"/>
          <w:highlight w:val="none"/>
          <w:u w:val="single"/>
        </w:rPr>
        <w:t xml:space="preserve">   现行    </w:t>
      </w:r>
      <w:r>
        <w:rPr>
          <w:rFonts w:hint="eastAsia" w:ascii="仿宋" w:hAnsi="仿宋" w:eastAsia="仿宋" w:cs="仿宋"/>
          <w:color w:val="auto"/>
          <w:sz w:val="21"/>
          <w:szCs w:val="21"/>
          <w:highlight w:val="none"/>
        </w:rPr>
        <w:t>。</w:t>
      </w:r>
    </w:p>
    <w:p w14:paraId="60D29F04">
      <w:pPr>
        <w:snapToGrid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第四条  建设工程造价咨询业务范围：具体详见第五章服务范围。</w:t>
      </w:r>
    </w:p>
    <w:p w14:paraId="7EC6F746">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第九条  委托人应在</w:t>
      </w:r>
      <w:r>
        <w:rPr>
          <w:rFonts w:hint="eastAsia" w:ascii="仿宋" w:hAnsi="仿宋" w:eastAsia="仿宋" w:cs="仿宋"/>
          <w:color w:val="auto"/>
          <w:sz w:val="21"/>
          <w:szCs w:val="21"/>
          <w:highlight w:val="none"/>
          <w:u w:val="single"/>
        </w:rPr>
        <w:t xml:space="preserve"> 7 </w:t>
      </w:r>
      <w:r>
        <w:rPr>
          <w:rFonts w:hint="eastAsia" w:ascii="仿宋" w:hAnsi="仿宋" w:eastAsia="仿宋" w:cs="仿宋"/>
          <w:color w:val="auto"/>
          <w:sz w:val="21"/>
          <w:szCs w:val="21"/>
          <w:highlight w:val="none"/>
        </w:rPr>
        <w:t>日内对咨询人书面提交并要求做出答复的事宜做出书面答复。</w:t>
      </w:r>
    </w:p>
    <w:p w14:paraId="0F8AF243">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第二十四条  委托人同意按以下的计算方法、支付时间与金额，支付咨询人的正常服务酬金：</w:t>
      </w:r>
    </w:p>
    <w:p w14:paraId="72796AB0">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承包合同。</w:t>
      </w:r>
    </w:p>
    <w:p w14:paraId="21DF4E71">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2、支付方式：</w:t>
      </w:r>
    </w:p>
    <w:p w14:paraId="6002FE11">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暂定合同价：暂定合同价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w:t>
      </w:r>
    </w:p>
    <w:p w14:paraId="182309C2">
      <w:pPr>
        <w:tabs>
          <w:tab w:val="left" w:pos="540"/>
        </w:tabs>
        <w:spacing w:line="400" w:lineRule="exact"/>
        <w:ind w:firstLine="420"/>
        <w:textAlignment w:val="baseline"/>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结算方式：</w:t>
      </w:r>
    </w:p>
    <w:p w14:paraId="447A85CC">
      <w:pPr>
        <w:autoSpaceDE w:val="0"/>
        <w:autoSpaceDN w:val="0"/>
        <w:adjustRightInd w:val="0"/>
        <w:snapToGrid w:val="0"/>
        <w:spacing w:line="44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本项目服务费参考《浙江省物价局关于进一步完善工程造价咨询服务收费的通知》（浙价服〔2009〕84号）</w:t>
      </w:r>
      <w:r>
        <w:rPr>
          <w:rFonts w:hint="eastAsia" w:ascii="仿宋" w:hAnsi="仿宋" w:eastAsia="仿宋" w:cs="仿宋"/>
          <w:color w:val="auto"/>
          <w:kern w:val="2"/>
          <w:sz w:val="21"/>
          <w:szCs w:val="21"/>
          <w:highlight w:val="none"/>
          <w:lang w:val="en-US" w:eastAsia="zh-CN" w:bidi="ar-SA"/>
        </w:rPr>
        <w:t>文件</w:t>
      </w:r>
      <w:r>
        <w:rPr>
          <w:rFonts w:hint="eastAsia" w:ascii="仿宋" w:hAnsi="仿宋" w:eastAsia="仿宋" w:cs="仿宋"/>
          <w:sz w:val="21"/>
          <w:szCs w:val="21"/>
          <w:highlight w:val="none"/>
          <w:lang w:val="en-US" w:eastAsia="zh-CN"/>
        </w:rPr>
        <w:t>和《招标代理服务收费管理暂行办法》(计价格[2002]1980号)相应收费标准计取，其中：</w:t>
      </w:r>
    </w:p>
    <w:p w14:paraId="09A72142">
      <w:pPr>
        <w:autoSpaceDE w:val="0"/>
        <w:autoSpaceDN w:val="0"/>
        <w:adjustRightInd w:val="0"/>
        <w:snapToGrid w:val="0"/>
        <w:spacing w:line="44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①造价咨询服务费：以审定的施工图招标控制价为基数，按“浙江省物价局关于进一步完善工程造价咨询服务收费的通知（浙价服〔2009〕84号）”附件1中（序号5）的收费标准×中标折扣率。</w:t>
      </w:r>
    </w:p>
    <w:p w14:paraId="380C92B3">
      <w:pPr>
        <w:autoSpaceDE w:val="0"/>
        <w:autoSpaceDN w:val="0"/>
        <w:adjustRightInd w:val="0"/>
        <w:snapToGrid w:val="0"/>
        <w:spacing w:line="44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②招标代理咨询</w:t>
      </w:r>
      <w:r>
        <w:rPr>
          <w:rFonts w:hint="eastAsia" w:ascii="仿宋" w:hAnsi="仿宋" w:eastAsia="仿宋" w:cs="仿宋"/>
          <w:color w:val="auto"/>
          <w:kern w:val="2"/>
          <w:sz w:val="21"/>
          <w:szCs w:val="21"/>
          <w:highlight w:val="none"/>
          <w:lang w:val="en-US" w:eastAsia="zh-CN" w:bidi="ar-SA"/>
        </w:rPr>
        <w:t>服务费</w:t>
      </w:r>
      <w:r>
        <w:rPr>
          <w:rFonts w:hint="eastAsia" w:ascii="仿宋" w:hAnsi="仿宋" w:eastAsia="仿宋" w:cs="仿宋"/>
          <w:sz w:val="21"/>
          <w:szCs w:val="21"/>
          <w:highlight w:val="none"/>
          <w:lang w:val="en-US" w:eastAsia="zh-CN"/>
        </w:rPr>
        <w:t>：以招标项目中标价为基数，按《招标代理服务收费管理暂行办法》(计价格[2002]1980号)相应收费标准×中标折扣率；</w:t>
      </w:r>
    </w:p>
    <w:p w14:paraId="3ADC1749">
      <w:pPr>
        <w:autoSpaceDE w:val="0"/>
        <w:autoSpaceDN w:val="0"/>
        <w:adjustRightInd w:val="0"/>
        <w:snapToGrid w:val="0"/>
        <w:spacing w:line="44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③施工阶段</w:t>
      </w:r>
      <w:r>
        <w:rPr>
          <w:rFonts w:hint="eastAsia" w:ascii="仿宋" w:hAnsi="仿宋" w:eastAsia="仿宋" w:cs="仿宋"/>
          <w:color w:val="auto"/>
          <w:kern w:val="2"/>
          <w:sz w:val="21"/>
          <w:szCs w:val="21"/>
          <w:highlight w:val="none"/>
          <w:lang w:val="en-US" w:eastAsia="zh-CN" w:bidi="ar-SA"/>
        </w:rPr>
        <w:t>全过程</w:t>
      </w:r>
      <w:r>
        <w:rPr>
          <w:rFonts w:hint="eastAsia" w:ascii="仿宋" w:hAnsi="仿宋" w:eastAsia="仿宋" w:cs="仿宋"/>
          <w:sz w:val="21"/>
          <w:szCs w:val="21"/>
          <w:highlight w:val="none"/>
          <w:lang w:val="en-US" w:eastAsia="zh-CN"/>
        </w:rPr>
        <w:t>工程造价控制服务费：以建安工程施工合同造价为基数，按“浙江省物价局关于进一步完善工程造价咨询服务收费的通知（浙价服〔2009〕84号）”附件1中（序号10）的收费标准×中标</w:t>
      </w:r>
      <w:r>
        <w:rPr>
          <w:rFonts w:hint="eastAsia" w:ascii="仿宋" w:hAnsi="仿宋" w:eastAsia="仿宋" w:cs="仿宋"/>
          <w:color w:val="auto"/>
          <w:kern w:val="2"/>
          <w:sz w:val="21"/>
          <w:szCs w:val="21"/>
          <w:highlight w:val="none"/>
          <w:lang w:val="en-US" w:eastAsia="zh-CN" w:bidi="ar-SA"/>
        </w:rPr>
        <w:t>折扣率</w:t>
      </w:r>
      <w:r>
        <w:rPr>
          <w:rFonts w:hint="eastAsia" w:ascii="仿宋" w:hAnsi="仿宋" w:eastAsia="仿宋" w:cs="仿宋"/>
          <w:sz w:val="21"/>
          <w:szCs w:val="21"/>
          <w:highlight w:val="none"/>
          <w:lang w:val="en-US" w:eastAsia="zh-CN"/>
        </w:rPr>
        <w:t>，其中需扣除相应的工程量清单及预算、招标控制价的编制费。</w:t>
      </w:r>
    </w:p>
    <w:p w14:paraId="65E09A6F">
      <w:pPr>
        <w:pStyle w:val="47"/>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①+②+③项最终结算价不得超过合同价。最终根据实际发生工程量结算并不超过合同价。</w:t>
      </w:r>
    </w:p>
    <w:p w14:paraId="287E2494">
      <w:pPr>
        <w:tabs>
          <w:tab w:val="left" w:pos="540"/>
        </w:tabs>
        <w:spacing w:line="400" w:lineRule="exact"/>
        <w:ind w:firstLine="420" w:firstLineChars="200"/>
        <w:textAlignment w:val="baseline"/>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付款方式：</w:t>
      </w:r>
    </w:p>
    <w:p w14:paraId="1496B211">
      <w:pPr>
        <w:autoSpaceDE w:val="0"/>
        <w:autoSpaceDN w:val="0"/>
        <w:adjustRightInd w:val="0"/>
        <w:snapToGrid w:val="0"/>
        <w:spacing w:line="440" w:lineRule="exact"/>
        <w:ind w:firstLine="420" w:firstLineChars="20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zh-CN" w:eastAsia="zh-CN" w:bidi="ar-SA"/>
        </w:rPr>
        <w:t>（</w:t>
      </w: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lang w:val="zh-CN" w:eastAsia="zh-CN" w:bidi="ar-SA"/>
        </w:rPr>
        <w:t>）招标代理费：</w:t>
      </w:r>
      <w:r>
        <w:rPr>
          <w:rFonts w:hint="eastAsia" w:ascii="仿宋" w:hAnsi="仿宋" w:eastAsia="仿宋" w:cs="仿宋"/>
          <w:color w:val="auto"/>
          <w:kern w:val="2"/>
          <w:sz w:val="21"/>
          <w:szCs w:val="21"/>
          <w:highlight w:val="none"/>
          <w:lang w:val="en-US" w:eastAsia="zh-CN" w:bidi="ar-SA"/>
        </w:rPr>
        <w:t>完成招标后支付该标段100%的招标代理费；</w:t>
      </w:r>
    </w:p>
    <w:p w14:paraId="2BAF4B8F">
      <w:pPr>
        <w:autoSpaceDE w:val="0"/>
        <w:autoSpaceDN w:val="0"/>
        <w:adjustRightInd w:val="0"/>
        <w:snapToGrid w:val="0"/>
        <w:spacing w:line="440" w:lineRule="exact"/>
        <w:ind w:firstLine="420" w:firstLineChars="20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zh-CN" w:eastAsia="zh-CN" w:bidi="ar-SA"/>
        </w:rPr>
        <w:t>（</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）工程量清单及控制价编制费：</w:t>
      </w:r>
      <w:r>
        <w:rPr>
          <w:rFonts w:hint="eastAsia" w:ascii="仿宋" w:hAnsi="仿宋" w:eastAsia="仿宋" w:cs="仿宋"/>
          <w:color w:val="auto"/>
          <w:kern w:val="2"/>
          <w:sz w:val="21"/>
          <w:szCs w:val="21"/>
          <w:highlight w:val="none"/>
          <w:lang w:val="en-US" w:eastAsia="zh-CN" w:bidi="ar-SA"/>
        </w:rPr>
        <w:t>工程量清单及控制价完成编制后支付该标段70%的</w:t>
      </w:r>
      <w:r>
        <w:rPr>
          <w:rFonts w:hint="eastAsia" w:ascii="仿宋" w:hAnsi="仿宋" w:eastAsia="仿宋" w:cs="仿宋"/>
          <w:color w:val="auto"/>
          <w:kern w:val="2"/>
          <w:sz w:val="21"/>
          <w:szCs w:val="21"/>
          <w:highlight w:val="none"/>
          <w:lang w:val="zh-CN" w:eastAsia="zh-CN" w:bidi="ar-SA"/>
        </w:rPr>
        <w:t>工程量清单及控制价编制费</w:t>
      </w:r>
      <w:r>
        <w:rPr>
          <w:rFonts w:hint="eastAsia" w:ascii="仿宋" w:hAnsi="仿宋" w:eastAsia="仿宋" w:cs="仿宋"/>
          <w:color w:val="auto"/>
          <w:kern w:val="2"/>
          <w:sz w:val="21"/>
          <w:szCs w:val="21"/>
          <w:highlight w:val="none"/>
          <w:lang w:val="en-US" w:eastAsia="zh-CN" w:bidi="ar-SA"/>
        </w:rPr>
        <w:t>，项目完（竣）工后支付该标段30%的</w:t>
      </w:r>
      <w:r>
        <w:rPr>
          <w:rFonts w:hint="eastAsia" w:ascii="仿宋" w:hAnsi="仿宋" w:eastAsia="仿宋" w:cs="仿宋"/>
          <w:color w:val="auto"/>
          <w:kern w:val="2"/>
          <w:sz w:val="21"/>
          <w:szCs w:val="21"/>
          <w:highlight w:val="none"/>
          <w:lang w:val="zh-CN" w:eastAsia="zh-CN" w:bidi="ar-SA"/>
        </w:rPr>
        <w:t>工程量清单及控制价编制费；</w:t>
      </w:r>
    </w:p>
    <w:p w14:paraId="6032F944">
      <w:pPr>
        <w:autoSpaceDE w:val="0"/>
        <w:autoSpaceDN w:val="0"/>
        <w:adjustRightInd w:val="0"/>
        <w:snapToGrid w:val="0"/>
        <w:spacing w:line="440" w:lineRule="exact"/>
        <w:ind w:firstLine="420" w:firstLineChars="20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zh-CN" w:eastAsia="zh-CN" w:bidi="ar-SA"/>
        </w:rPr>
        <w:t>（</w:t>
      </w:r>
      <w:r>
        <w:rPr>
          <w:rFonts w:hint="eastAsia" w:ascii="仿宋" w:hAnsi="仿宋" w:eastAsia="仿宋" w:cs="仿宋"/>
          <w:color w:val="auto"/>
          <w:kern w:val="2"/>
          <w:sz w:val="21"/>
          <w:szCs w:val="21"/>
          <w:highlight w:val="none"/>
          <w:lang w:val="en-US" w:eastAsia="zh-CN" w:bidi="ar-SA"/>
        </w:rPr>
        <w:t>3</w:t>
      </w:r>
      <w:r>
        <w:rPr>
          <w:rFonts w:hint="eastAsia" w:ascii="仿宋" w:hAnsi="仿宋" w:eastAsia="仿宋" w:cs="仿宋"/>
          <w:color w:val="auto"/>
          <w:kern w:val="2"/>
          <w:sz w:val="21"/>
          <w:szCs w:val="21"/>
          <w:highlight w:val="none"/>
          <w:lang w:val="zh-CN" w:eastAsia="zh-CN" w:bidi="ar-SA"/>
        </w:rPr>
        <w:t>）施工阶段全过程工程造价控制费：</w:t>
      </w:r>
      <w:r>
        <w:rPr>
          <w:rFonts w:hint="eastAsia" w:ascii="仿宋" w:hAnsi="仿宋" w:eastAsia="仿宋" w:cs="仿宋"/>
          <w:color w:val="auto"/>
          <w:kern w:val="2"/>
          <w:sz w:val="21"/>
          <w:szCs w:val="21"/>
          <w:highlight w:val="none"/>
          <w:lang w:val="en-US" w:eastAsia="zh-CN" w:bidi="ar-SA"/>
        </w:rPr>
        <w:t>2025年年底支付人民币3万元整，项目完竣工后支付剩余款项。</w:t>
      </w:r>
    </w:p>
    <w:p w14:paraId="5AAED707">
      <w:pPr>
        <w:snapToGrid w:val="0"/>
        <w:spacing w:line="420" w:lineRule="exact"/>
        <w:ind w:firstLine="473"/>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委托人同意按以下计算方法、支付时间与金额，支付额外服务酬金：</w:t>
      </w:r>
      <w:r>
        <w:rPr>
          <w:rFonts w:hint="eastAsia" w:ascii="仿宋" w:hAnsi="仿宋" w:eastAsia="仿宋" w:cs="仿宋"/>
          <w:color w:val="auto"/>
          <w:sz w:val="21"/>
          <w:szCs w:val="21"/>
          <w:highlight w:val="none"/>
          <w:u w:val="single"/>
        </w:rPr>
        <w:t xml:space="preserve"> 如有本咨询合同范围外的造价咨询服务需咨询人提供服务的，双方另行协商。</w:t>
      </w:r>
    </w:p>
    <w:p w14:paraId="00F31847">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第二十七条  双方同意用</w:t>
      </w:r>
      <w:r>
        <w:rPr>
          <w:rFonts w:hint="eastAsia" w:ascii="仿宋" w:hAnsi="仿宋" w:eastAsia="仿宋" w:cs="仿宋"/>
          <w:color w:val="auto"/>
          <w:sz w:val="21"/>
          <w:szCs w:val="21"/>
          <w:highlight w:val="none"/>
          <w:u w:val="single"/>
        </w:rPr>
        <w:t xml:space="preserve"> 人民币 </w:t>
      </w:r>
      <w:r>
        <w:rPr>
          <w:rFonts w:hint="eastAsia" w:ascii="仿宋" w:hAnsi="仿宋" w:eastAsia="仿宋" w:cs="仿宋"/>
          <w:color w:val="auto"/>
          <w:sz w:val="21"/>
          <w:szCs w:val="21"/>
          <w:highlight w:val="none"/>
        </w:rPr>
        <w:t>支付酬金，按</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汇率计付。</w:t>
      </w:r>
    </w:p>
    <w:p w14:paraId="56F9BF2D">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第三十二条  建设工程造价咨询合同在履行过程中发生争议，委托人与咨询人应及时协商解决；如未能达成一致，可提交有关主管部门调解；协商或调解不成的，按下列第</w:t>
      </w:r>
      <w:r>
        <w:rPr>
          <w:rFonts w:hint="eastAsia" w:ascii="仿宋" w:hAnsi="仿宋" w:eastAsia="仿宋" w:cs="仿宋"/>
          <w:color w:val="auto"/>
          <w:sz w:val="21"/>
          <w:szCs w:val="21"/>
          <w:highlight w:val="none"/>
          <w:u w:val="single"/>
        </w:rPr>
        <w:t xml:space="preserve">    (一)    </w:t>
      </w:r>
      <w:r>
        <w:rPr>
          <w:rFonts w:hint="eastAsia" w:ascii="仿宋" w:hAnsi="仿宋" w:eastAsia="仿宋" w:cs="仿宋"/>
          <w:color w:val="auto"/>
          <w:sz w:val="21"/>
          <w:szCs w:val="21"/>
          <w:highlight w:val="none"/>
        </w:rPr>
        <w:t>种方式解决：</w:t>
      </w:r>
    </w:p>
    <w:p w14:paraId="5FB5C03C">
      <w:pPr>
        <w:snapToGrid w:val="0"/>
        <w:spacing w:line="360" w:lineRule="auto"/>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（一）提交</w:t>
      </w:r>
      <w:r>
        <w:rPr>
          <w:rFonts w:hint="eastAsia" w:ascii="仿宋" w:hAnsi="仿宋" w:eastAsia="仿宋" w:cs="仿宋"/>
          <w:color w:val="auto"/>
          <w:sz w:val="21"/>
          <w:szCs w:val="21"/>
          <w:highlight w:val="none"/>
          <w:u w:val="single"/>
        </w:rPr>
        <w:t xml:space="preserve">  衢州 </w:t>
      </w:r>
      <w:r>
        <w:rPr>
          <w:rFonts w:hint="eastAsia" w:ascii="仿宋" w:hAnsi="仿宋" w:eastAsia="仿宋" w:cs="仿宋"/>
          <w:color w:val="auto"/>
          <w:sz w:val="21"/>
          <w:szCs w:val="21"/>
          <w:highlight w:val="none"/>
        </w:rPr>
        <w:t>仲裁委员会仲裁；</w:t>
      </w:r>
    </w:p>
    <w:p w14:paraId="678303B2">
      <w:pPr>
        <w:snapToGrid w:val="0"/>
        <w:spacing w:line="360" w:lineRule="auto"/>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（二）依法向项目所在地人民法院起诉。</w:t>
      </w:r>
    </w:p>
    <w:p w14:paraId="1863CD5C">
      <w:pPr>
        <w:snapToGrid w:val="0"/>
        <w:spacing w:line="360" w:lineRule="auto"/>
        <w:ind w:firstLine="473"/>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补充条款：</w:t>
      </w:r>
    </w:p>
    <w:p w14:paraId="523255CE">
      <w:pPr>
        <w:widowControl/>
        <w:numPr>
          <w:ilvl w:val="0"/>
          <w:numId w:val="8"/>
        </w:numPr>
        <w:snapToGrid w:val="0"/>
        <w:spacing w:line="360" w:lineRule="auto"/>
        <w:ind w:left="805"/>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委托人给咨询人提供办公场所，工作场地。</w:t>
      </w:r>
    </w:p>
    <w:p w14:paraId="0F27ACA2">
      <w:pPr>
        <w:widowControl/>
        <w:numPr>
          <w:ilvl w:val="0"/>
          <w:numId w:val="8"/>
        </w:numPr>
        <w:snapToGrid w:val="0"/>
        <w:spacing w:line="360" w:lineRule="auto"/>
        <w:ind w:left="805"/>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委托人协助联系咨询人的工作人员食宿等生活问题，但相关费用由咨询人自行承担。</w:t>
      </w:r>
    </w:p>
    <w:p w14:paraId="0945D5E9">
      <w:pPr>
        <w:numPr>
          <w:ilvl w:val="0"/>
          <w:numId w:val="9"/>
        </w:numPr>
        <w:snapToGrid w:val="0"/>
        <w:spacing w:line="360" w:lineRule="auto"/>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制定造价控制及资金使用计划的实施方案：制定</w:t>
      </w:r>
      <w:r>
        <w:rPr>
          <w:rFonts w:hint="eastAsia" w:ascii="仿宋" w:hAnsi="仿宋" w:eastAsia="仿宋" w:cs="仿宋"/>
          <w:snapToGrid w:val="0"/>
          <w:color w:val="auto"/>
          <w:kern w:val="0"/>
          <w:sz w:val="21"/>
          <w:szCs w:val="21"/>
          <w:highlight w:val="none"/>
        </w:rPr>
        <w:t>施工阶段全过程造价咨询</w:t>
      </w:r>
      <w:r>
        <w:rPr>
          <w:rFonts w:hint="eastAsia" w:ascii="仿宋" w:hAnsi="仿宋" w:eastAsia="仿宋" w:cs="仿宋"/>
          <w:color w:val="auto"/>
          <w:sz w:val="21"/>
          <w:szCs w:val="21"/>
          <w:highlight w:val="none"/>
        </w:rPr>
        <w:t>的实施流程，根据总承包合同、进度计划等，编制用款计划书，明确全过程造价咨询目标；</w:t>
      </w:r>
    </w:p>
    <w:p w14:paraId="51142807">
      <w:pPr>
        <w:snapToGrid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snapToGrid w:val="0"/>
          <w:color w:val="auto"/>
          <w:kern w:val="0"/>
          <w:sz w:val="21"/>
          <w:szCs w:val="21"/>
          <w:highlight w:val="none"/>
        </w:rPr>
        <w:t>（2）核定分阶段完工的分部工程结算；会同业主办理工程竣工结算，提供完整的结算报告及各项费用汇总表。</w:t>
      </w:r>
    </w:p>
    <w:p w14:paraId="30728229">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（3）合同价款咨询：对项目范围内的各承包人与发包人签订的合同价款及相关条款进行审核并提供咨询服务，包括但不限于合同分析、合同交底、合同变更管理等工作。</w:t>
      </w:r>
    </w:p>
    <w:p w14:paraId="556ABE6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（4）施工阶段造价风险分析：根据项目具体特征，分析造价风险（包括但不限于材料价格风险、工期风险、自然灾害及气象风险、设计变更风险、施工组织风险等），并提出相应的施工阶段造价风险预防措施。</w:t>
      </w:r>
    </w:p>
    <w:p w14:paraId="353C8D36">
      <w:pPr>
        <w:snapToGrid w:val="0"/>
        <w:spacing w:line="400" w:lineRule="exact"/>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（5）审核工程预付款和进度款及其价款支付：负责对承包人报送的预付款及每月(期)完成进度款月报表进行审核，核定每月（期）完成的分部分项工程量，并提出当月(期)付款建议书；</w:t>
      </w:r>
    </w:p>
    <w:p w14:paraId="71D036C6">
      <w:pPr>
        <w:snapToGrid w:val="0"/>
        <w:spacing w:line="400" w:lineRule="exact"/>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6）工程变更签证及索赔管理：协助委托人及时审核因设计变更、现场签证等发生的费用及相关询价工作。承发包方提出索赔时，协助收集整理相关数据资料，结合现场情况，编写索赔条款或反索赔应对策略，必要时参加谈判工作，凭据合同和有关法律、法规，提供咨询意见；</w:t>
      </w:r>
    </w:p>
    <w:p w14:paraId="3AB9CB8E">
      <w:pPr>
        <w:snapToGrid w:val="0"/>
        <w:spacing w:line="400" w:lineRule="exact"/>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7）材料设备的询价：协助委托人做好无价材料及暂定价材料、设备的市场询价工作，提供与全过程造价咨询相关的人工、材料、机械、设备等造价信息；协助委托人确定“甲供材料”、“甲定乙供材料”，并通过市场调查询价确定价格范围，明确甲供材料取费的规定；</w:t>
      </w:r>
    </w:p>
    <w:p w14:paraId="0CCDE41E">
      <w:pPr>
        <w:snapToGrid w:val="0"/>
        <w:spacing w:line="400" w:lineRule="exact"/>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（8）提供核价建议：根据相关政策及价格信息，向委托人及时提供可能涉及到的各项分部分项及相关材料的核价建议，并提供相关依据。</w:t>
      </w:r>
    </w:p>
    <w:p w14:paraId="5AC70F3C">
      <w:pPr>
        <w:snapToGrid w:val="0"/>
        <w:spacing w:line="400" w:lineRule="exact"/>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（9）工程造价动态管理：根据项目实施情况，即时调整相应全过程造价咨询目标，并向委托人提供全过程造价咨询动态分析报告；</w:t>
      </w:r>
    </w:p>
    <w:p w14:paraId="5ABEDC55">
      <w:pPr>
        <w:snapToGrid w:val="0"/>
        <w:spacing w:line="400" w:lineRule="exact"/>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（10）工程技术经济指标分析：根据项目情况，编制合理的工程技术经济指标分析，提出可行的优化建议，并提供完整的分析报告。</w:t>
      </w:r>
    </w:p>
    <w:p w14:paraId="24D9FC28">
      <w:pPr>
        <w:snapToGrid w:val="0"/>
        <w:spacing w:line="400" w:lineRule="exact"/>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（11）做好工程竣工结算审核和财务决算的配合工作。</w:t>
      </w:r>
    </w:p>
    <w:p w14:paraId="50624C4E">
      <w:pPr>
        <w:snapToGrid w:val="0"/>
        <w:spacing w:line="400" w:lineRule="exact"/>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12）其他：①参与全过程造价咨询有关的工程会议，并根据现场需要参加施工图纸会审，提出审图意见，对图纸会审内容进行成本估算；②积极配合委托人的法定审核审计（含招标人上级各部门的审计）工作，并及时提交各项所需资料；③</w:t>
      </w:r>
      <w:r>
        <w:rPr>
          <w:rFonts w:hint="eastAsia" w:ascii="仿宋" w:hAnsi="仿宋" w:eastAsia="仿宋" w:cs="仿宋"/>
          <w:color w:val="auto"/>
          <w:sz w:val="21"/>
          <w:szCs w:val="21"/>
          <w:highlight w:val="none"/>
        </w:rPr>
        <w:t>人员驻场要求：</w:t>
      </w:r>
      <w:r>
        <w:rPr>
          <w:rFonts w:hint="eastAsia" w:ascii="仿宋" w:hAnsi="仿宋" w:eastAsia="仿宋" w:cs="仿宋"/>
          <w:b/>
          <w:bCs/>
          <w:color w:val="auto"/>
          <w:sz w:val="21"/>
          <w:szCs w:val="21"/>
          <w:highlight w:val="none"/>
          <w:lang w:eastAsia="zh-CN"/>
        </w:rPr>
        <w:t>一名</w:t>
      </w:r>
      <w:r>
        <w:rPr>
          <w:rFonts w:hint="eastAsia" w:ascii="仿宋" w:hAnsi="仿宋" w:eastAsia="仿宋" w:cs="仿宋"/>
          <w:b/>
          <w:bCs/>
          <w:color w:val="auto"/>
          <w:sz w:val="21"/>
          <w:szCs w:val="21"/>
          <w:highlight w:val="none"/>
        </w:rPr>
        <w:t>二级及以上注册造价师，必须每天驻点在施工现场办公，</w:t>
      </w:r>
      <w:r>
        <w:rPr>
          <w:rFonts w:hint="eastAsia" w:ascii="仿宋" w:hAnsi="仿宋" w:eastAsia="仿宋" w:cs="仿宋"/>
          <w:snapToGrid w:val="0"/>
          <w:color w:val="auto"/>
          <w:kern w:val="0"/>
          <w:sz w:val="21"/>
          <w:szCs w:val="21"/>
          <w:highlight w:val="none"/>
        </w:rPr>
        <w:t>项目负责人及造价咨询服务人员未经委托人同意不得随意更换变动，因客观情况确需更换的，应征得发包人同意，且更换后的人员不得低于原投标承诺人员所具有的资格和业绩条件；④除现场驻场人数要求外，公司还须安排造价咨询的专家库成员协助完成</w:t>
      </w:r>
      <w:r>
        <w:rPr>
          <w:rFonts w:hint="eastAsia" w:ascii="仿宋" w:hAnsi="仿宋" w:eastAsia="仿宋" w:cs="仿宋"/>
          <w:snapToGrid w:val="0"/>
          <w:color w:val="auto"/>
          <w:kern w:val="0"/>
          <w:sz w:val="21"/>
          <w:szCs w:val="21"/>
          <w:highlight w:val="none"/>
          <w:lang w:eastAsia="zh-CN"/>
        </w:rPr>
        <w:t>施工阶段全过程工程造价控制</w:t>
      </w:r>
      <w:r>
        <w:rPr>
          <w:rFonts w:hint="eastAsia" w:ascii="仿宋" w:hAnsi="仿宋" w:eastAsia="仿宋" w:cs="仿宋"/>
          <w:snapToGrid w:val="0"/>
          <w:color w:val="auto"/>
          <w:kern w:val="0"/>
          <w:sz w:val="21"/>
          <w:szCs w:val="21"/>
          <w:highlight w:val="none"/>
        </w:rPr>
        <w:t>内容的所有工作；⑤相关人员需参加重要隐蔽工程验收及相关重大节点验收，并留下影像资料；⑥建设单位要求的其他与工程建设相关的咨询服务。</w:t>
      </w:r>
    </w:p>
    <w:p w14:paraId="460565A3">
      <w:pPr>
        <w:snapToGrid w:val="0"/>
        <w:spacing w:line="360" w:lineRule="auto"/>
        <w:ind w:firstLine="422"/>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4、对咨询人提供的服务要求：</w:t>
      </w:r>
    </w:p>
    <w:p w14:paraId="20A55ED2">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合同实施期间，中标人的项目组人员必须与投标时一致，未经招标人允许不得更换项目组人员；项目现场配备的驻场全过程造价咨询人员必须满足招标文件要求，其余人员必须随叫随到实时施工阶段全过程造价咨询。</w:t>
      </w:r>
    </w:p>
    <w:p w14:paraId="70FFD57A">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审计过程中出具的各类成果必须在规定的时间内保质保量的按时完成。相关成果文件必须由本机构注册造价工程师或相关专业造价员编制，本机构注册造价师审核，相关专业人员，应签字并加盖执业专用章；</w:t>
      </w:r>
    </w:p>
    <w:p w14:paraId="7F500F0C">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（3）参加图纸会审会议；</w:t>
      </w:r>
    </w:p>
    <w:p w14:paraId="2410802E">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（4）参与工程全过程造价咨询有关的工作会议；整理和收集相关与全过程造价咨询相关会议纪要；做好全过程造价咨询日记；</w:t>
      </w:r>
    </w:p>
    <w:p w14:paraId="049E5C80">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（5）对总承包单位上报的每月完成工作量月报进行审核，对工程量需到施工现场进行确认、计量、复核；并提供当月付款建议书，经委托方认可后作为支付当月进度款的依据；</w:t>
      </w:r>
    </w:p>
    <w:p w14:paraId="14B127B4">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（6）承发包方提出索赔时，依据合同和有关法律、法规，给委托人提供咨询意见；协助委托人及时审核设计变更、现场签证等发生的费用，相应调整全过程造价咨询目标；</w:t>
      </w:r>
    </w:p>
    <w:p w14:paraId="71B83168">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（7）及时核定分阶段完工的分部工程结算；提供整套结算报告及各项费用汇总表交给委托人；</w:t>
      </w:r>
    </w:p>
    <w:p w14:paraId="1C859DAB">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（8）建立完善的全过程造价咨询台帐，规范工程进度款台帐、工程变更联系单台帐、造价例会台帐、与造价有关会议台帐、与造价有关的隐蔽工程的施工资料、图片及文字记录等等；</w:t>
      </w:r>
    </w:p>
    <w:p w14:paraId="1919BA03">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（9）分阶段给委托人提供全过程造价咨询报告及年度控制报告；</w:t>
      </w:r>
    </w:p>
    <w:p w14:paraId="1F10D54B">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（10）做好的资料收集保管移交。签证单、合同、摄像、照片、文字记录、会议纪录等建设工程全过程记录资料要收集好，保管好，全过程造价咨询结束后，向建设部门移交完整的全套档案；</w:t>
      </w:r>
    </w:p>
    <w:p w14:paraId="65CC4675">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（11）为合理保证审计结果，咨询人应随着施工进度关注下列事项（包括但不限于）：</w:t>
      </w:r>
    </w:p>
    <w:p w14:paraId="35AA548D">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a、设计变更、现场变更引起的合同价款变更；</w:t>
      </w:r>
    </w:p>
    <w:p w14:paraId="606F5026">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b、索赔与反索赔；</w:t>
      </w:r>
    </w:p>
    <w:p w14:paraId="0AAD782F">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c、隐蔽工程、工程量现场签证；</w:t>
      </w:r>
    </w:p>
    <w:p w14:paraId="2D79C9F2">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d、委托人零星委托工程项目；</w:t>
      </w:r>
    </w:p>
    <w:p w14:paraId="4879169C">
      <w:pPr>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e；按年度提供项目公司管理审计报告或管理建议书。</w:t>
      </w:r>
    </w:p>
    <w:p w14:paraId="4DEF8D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（12）完成工程量清单及预算、招标控制价的编制等，配合财政协审单位完成预算审核；</w:t>
      </w:r>
    </w:p>
    <w:p w14:paraId="174E360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（13）参与现场工程量丈量；负责对承包人报送的每月（期）完成进度款月报进行审核，并提出当月（期）付款建议书；审核因设计变更、现场签证等发生的费用；</w:t>
      </w:r>
    </w:p>
    <w:p w14:paraId="267D86F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（14）核定分阶段完工的分部工程结算、工程竣工结算，提供完整的结算审计（初审）及各项费用汇总表，配合结算终审单位审计工作，直至完成项目整体结算审计；</w:t>
      </w:r>
    </w:p>
    <w:p w14:paraId="74474A0E">
      <w:pPr>
        <w:tabs>
          <w:tab w:val="center" w:pos="5056"/>
        </w:tabs>
        <w:snapToGrid w:val="0"/>
        <w:spacing w:line="420" w:lineRule="exact"/>
        <w:ind w:firstLine="474"/>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5、履约保证金</w:t>
      </w:r>
    </w:p>
    <w:p w14:paraId="0A32882F">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咨询人应在合同签订前向委托人提交人民币合</w:t>
      </w:r>
      <w:r>
        <w:rPr>
          <w:rFonts w:hint="eastAsia" w:ascii="仿宋" w:hAnsi="仿宋" w:eastAsia="仿宋" w:cs="仿宋"/>
          <w:color w:val="auto"/>
          <w:sz w:val="21"/>
          <w:szCs w:val="21"/>
          <w:highlight w:val="none"/>
          <w:u w:val="single"/>
        </w:rPr>
        <w:t>同金额1%</w:t>
      </w:r>
      <w:r>
        <w:rPr>
          <w:rFonts w:hint="eastAsia" w:ascii="仿宋" w:hAnsi="仿宋" w:eastAsia="仿宋" w:cs="仿宋"/>
          <w:color w:val="auto"/>
          <w:sz w:val="21"/>
          <w:szCs w:val="21"/>
          <w:highlight w:val="none"/>
        </w:rPr>
        <w:t>作为本项目的履约保证金，履约保证金用于保证咨询人按协议履行其全部义务，咨询人有下列违约行为之一的，委托人将扣除咨询人部分或全部履约保证金。</w:t>
      </w:r>
    </w:p>
    <w:p w14:paraId="4156AB72">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（1）收受施工、材料设备供应等单位的财物与请吃、旅游等形式的不当利益；</w:t>
      </w:r>
    </w:p>
    <w:p w14:paraId="219F1CE4">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（2）未遵守保密条款；</w:t>
      </w:r>
    </w:p>
    <w:p w14:paraId="532F20C0">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（3）擅自转让合同约定的权利和义务；</w:t>
      </w:r>
    </w:p>
    <w:p w14:paraId="78B398C9">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（4）参与可能与委托人利益相冲突的任何活动；</w:t>
      </w:r>
    </w:p>
    <w:p w14:paraId="1A639716">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（5）应委托人要求更换的不称职审计人员的人数超过（2）人次；</w:t>
      </w:r>
    </w:p>
    <w:p w14:paraId="5458F442">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（6）未按投标承诺执行并完成审计业务。</w:t>
      </w:r>
    </w:p>
    <w:p w14:paraId="5D19EB91">
      <w:pPr>
        <w:snapToGrid w:val="0"/>
        <w:spacing w:line="420" w:lineRule="exact"/>
        <w:ind w:firstLine="47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咨询人无违约行为的，在本合同服务期限终止之日起三十个工作日内委托方将无息退还咨询人全部履约保证金。履约保证金应以银行转账形式交纳至委托人指定账户。</w:t>
      </w:r>
    </w:p>
    <w:p w14:paraId="3CE16A40">
      <w:pPr>
        <w:snapToGrid w:val="0"/>
        <w:spacing w:line="420" w:lineRule="exact"/>
        <w:ind w:firstLine="474"/>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6、违约责任</w:t>
      </w:r>
    </w:p>
    <w:p w14:paraId="58D6F181">
      <w:pPr>
        <w:snapToGrid w:val="0"/>
        <w:spacing w:line="420" w:lineRule="exact"/>
        <w:ind w:firstLine="474"/>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A委托人的违约责任</w:t>
      </w:r>
    </w:p>
    <w:p w14:paraId="4884DF2E">
      <w:pPr>
        <w:snapToGrid w:val="0"/>
        <w:spacing w:line="420" w:lineRule="exact"/>
        <w:ind w:firstLine="42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（1）委托人不能按时给咨询人提供工作场地及相关审计资料的，造成延误的，相应咨询期顺延。</w:t>
      </w:r>
    </w:p>
    <w:p w14:paraId="430066FE">
      <w:pPr>
        <w:snapToGrid w:val="0"/>
        <w:spacing w:line="420" w:lineRule="exact"/>
        <w:ind w:firstLine="42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（2）委托人不能按合同约定支付咨询人的咨询费用，按银行同期活期存款利率收取违约金。</w:t>
      </w:r>
    </w:p>
    <w:p w14:paraId="1FC21D74">
      <w:pPr>
        <w:snapToGrid w:val="0"/>
        <w:spacing w:line="420" w:lineRule="exact"/>
        <w:ind w:firstLine="474"/>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B咨询人的违约责任</w:t>
      </w:r>
    </w:p>
    <w:p w14:paraId="311F0472">
      <w:pPr>
        <w:snapToGrid w:val="0"/>
        <w:spacing w:line="42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（1）咨询人如擅自毁约，委托人将另行选择其他咨询机构，并追究其经济责任等处罚措施。</w:t>
      </w:r>
    </w:p>
    <w:p w14:paraId="6F8B1088">
      <w:pPr>
        <w:snapToGrid w:val="0"/>
        <w:spacing w:line="42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（2）审价人员滥用职权、徇私舞弊、玩忽职守，尚不构成犯罪但造成损失的，委托将依法追究咨询人的经济责任；如构成犯罪的，委托方将依法移送司法部门处理。</w:t>
      </w:r>
    </w:p>
    <w:p w14:paraId="76368491">
      <w:pPr>
        <w:snapToGrid w:val="0"/>
        <w:spacing w:line="42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（3）因咨询人全过程造价咨询不力导致项目超概算或给委托人造成损失的，咨询人应承担相应责任并赔偿相应损失。</w:t>
      </w:r>
    </w:p>
    <w:p w14:paraId="2950CAA4">
      <w:pPr>
        <w:snapToGrid w:val="0"/>
        <w:spacing w:line="420" w:lineRule="exact"/>
        <w:ind w:firstLine="474"/>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7、其他要求</w:t>
      </w:r>
    </w:p>
    <w:p w14:paraId="23BCC650">
      <w:pPr>
        <w:numPr>
          <w:ilvl w:val="0"/>
          <w:numId w:val="0"/>
        </w:numPr>
        <w:spacing w:line="400" w:lineRule="exact"/>
        <w:ind w:left="0" w:leftChars="0"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kern w:val="2"/>
          <w:sz w:val="21"/>
          <w:szCs w:val="21"/>
          <w:highlight w:val="none"/>
          <w:lang w:val="en-US" w:eastAsia="zh-CN" w:bidi="ar-SA"/>
        </w:rPr>
        <w:t>(1)</w:t>
      </w:r>
      <w:r>
        <w:rPr>
          <w:rFonts w:hint="eastAsia" w:ascii="仿宋" w:hAnsi="仿宋" w:eastAsia="仿宋" w:cs="仿宋"/>
          <w:bCs/>
          <w:color w:val="auto"/>
          <w:sz w:val="21"/>
          <w:szCs w:val="21"/>
          <w:highlight w:val="none"/>
        </w:rPr>
        <w:t>工程进度款或签证审核结果误差超过2%，甲方有权对跟踪服务单位进行相应的处罚，按误差金额的30%扣除相应的咨询服务费。</w:t>
      </w:r>
    </w:p>
    <w:p w14:paraId="2301199F">
      <w:pPr>
        <w:numPr>
          <w:ilvl w:val="0"/>
          <w:numId w:val="0"/>
        </w:numPr>
        <w:spacing w:line="400" w:lineRule="exact"/>
        <w:ind w:left="0" w:leftChars="0"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kern w:val="2"/>
          <w:sz w:val="21"/>
          <w:szCs w:val="21"/>
          <w:highlight w:val="none"/>
          <w:lang w:val="en-US" w:eastAsia="zh-CN" w:bidi="ar-SA"/>
        </w:rPr>
        <w:t>(2)</w:t>
      </w:r>
      <w:r>
        <w:rPr>
          <w:rFonts w:hint="eastAsia" w:ascii="仿宋" w:hAnsi="仿宋" w:eastAsia="仿宋" w:cs="仿宋"/>
          <w:bCs/>
          <w:color w:val="auto"/>
          <w:sz w:val="21"/>
          <w:szCs w:val="21"/>
          <w:highlight w:val="none"/>
        </w:rPr>
        <w:t>非乙方原因导致合同终止，甲方需支付乙方合同终止前已从本合同工作时间内应获的合理服务费。由于甲方或第三者的原因使乙方工作受到阻碍或延误以至增加了工作量或持续时间，则乙方应当将此情况与可能产生的影响及时书面通知甲方。</w:t>
      </w:r>
    </w:p>
    <w:p w14:paraId="4EEC72D5">
      <w:pPr>
        <w:numPr>
          <w:ilvl w:val="0"/>
          <w:numId w:val="0"/>
        </w:numPr>
        <w:spacing w:line="400" w:lineRule="exact"/>
        <w:ind w:left="0" w:leftChars="0"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kern w:val="2"/>
          <w:sz w:val="21"/>
          <w:szCs w:val="21"/>
          <w:highlight w:val="none"/>
          <w:lang w:val="en-US" w:eastAsia="zh-CN" w:bidi="ar-SA"/>
        </w:rPr>
        <w:t>(3)</w:t>
      </w:r>
      <w:r>
        <w:rPr>
          <w:rFonts w:hint="eastAsia" w:ascii="仿宋" w:hAnsi="仿宋" w:eastAsia="仿宋" w:cs="仿宋"/>
          <w:bCs/>
          <w:color w:val="auto"/>
          <w:sz w:val="21"/>
          <w:szCs w:val="21"/>
          <w:highlight w:val="none"/>
        </w:rPr>
        <w:t>发生不可预见及不可抗力之因素如战争、地震、洪水、政治变局和甲方投资资金暂停等致使合同不能履行或不能全部履行时，甲方与乙方双方协商解决，不受合同违约和责任赔偿条款制约，甲方需付乙方于合同终止之前从事合同之责任应获的合理服务费。</w:t>
      </w:r>
    </w:p>
    <w:p w14:paraId="20CDFB53">
      <w:pPr>
        <w:numPr>
          <w:ilvl w:val="0"/>
          <w:numId w:val="0"/>
        </w:numPr>
        <w:spacing w:line="400" w:lineRule="exact"/>
        <w:ind w:left="0" w:leftChars="0"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kern w:val="2"/>
          <w:sz w:val="21"/>
          <w:szCs w:val="21"/>
          <w:highlight w:val="none"/>
          <w:lang w:val="en-US" w:eastAsia="zh-CN" w:bidi="ar-SA"/>
        </w:rPr>
        <w:t>(4)</w:t>
      </w:r>
      <w:r>
        <w:rPr>
          <w:rFonts w:hint="eastAsia" w:ascii="仿宋" w:hAnsi="仿宋" w:eastAsia="仿宋" w:cs="仿宋"/>
          <w:bCs/>
          <w:color w:val="auto"/>
          <w:sz w:val="21"/>
          <w:szCs w:val="21"/>
          <w:highlight w:val="none"/>
        </w:rPr>
        <w:t>非甲方原因，乙方违反本合同条款时，甲方有权终止合同并提前十天书面通知，并支付乙方正确履行义务而完成部分的服务酬金。因乙方未能履行合同所承担的全过程跟踪审计工作责任，甲方有权在乙方服务费用中扣除相应的金额。</w:t>
      </w:r>
    </w:p>
    <w:p w14:paraId="6EB8B6BE">
      <w:pPr>
        <w:numPr>
          <w:ilvl w:val="0"/>
          <w:numId w:val="0"/>
        </w:numPr>
        <w:spacing w:line="400" w:lineRule="exact"/>
        <w:ind w:left="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bCs/>
          <w:color w:val="auto"/>
          <w:sz w:val="21"/>
          <w:szCs w:val="21"/>
          <w:highlight w:val="none"/>
        </w:rPr>
        <w:t>赔偿金额：合同履行期内，双方应当履行建设工程造价咨询合同约定的义务，因乙方的单方过失造成经济损失，应当向甲方进行赔偿。</w:t>
      </w:r>
    </w:p>
    <w:p w14:paraId="05CBEE5B">
      <w:pPr>
        <w:numPr>
          <w:ilvl w:val="0"/>
          <w:numId w:val="0"/>
        </w:numPr>
        <w:spacing w:line="400" w:lineRule="exact"/>
        <w:ind w:left="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(6)</w:t>
      </w:r>
      <w:r>
        <w:rPr>
          <w:rFonts w:hint="eastAsia" w:ascii="仿宋" w:hAnsi="仿宋" w:eastAsia="仿宋" w:cs="仿宋"/>
          <w:bCs/>
          <w:color w:val="auto"/>
          <w:sz w:val="21"/>
          <w:szCs w:val="21"/>
          <w:highlight w:val="none"/>
        </w:rPr>
        <w:t>拟委派的项目负责人及项目工作组人员一经确认，未经甲方同意不得随意更换，未经业主同意更换项目</w:t>
      </w:r>
      <w:r>
        <w:rPr>
          <w:rFonts w:hint="eastAsia" w:ascii="仿宋" w:hAnsi="仿宋" w:eastAsia="仿宋" w:cs="仿宋"/>
          <w:color w:val="auto"/>
          <w:sz w:val="21"/>
          <w:szCs w:val="21"/>
          <w:highlight w:val="none"/>
        </w:rPr>
        <w:t>负责人的每人次5000元的违约金，更换工程项目工作组人员以每人次 2000元的违约金，更换的人员资格不得低于投标时所承诺人员资格；现场驻场人员未按合同要求驻场，将按照每人1000元/天进行处罚。</w:t>
      </w:r>
    </w:p>
    <w:p w14:paraId="2C62DB3F">
      <w:pPr>
        <w:numPr>
          <w:ilvl w:val="0"/>
          <w:numId w:val="0"/>
        </w:numPr>
        <w:spacing w:line="400" w:lineRule="exact"/>
        <w:ind w:left="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(7)</w:t>
      </w:r>
      <w:r>
        <w:rPr>
          <w:rFonts w:hint="eastAsia" w:ascii="仿宋" w:hAnsi="仿宋" w:eastAsia="仿宋" w:cs="仿宋"/>
          <w:color w:val="auto"/>
          <w:sz w:val="21"/>
          <w:szCs w:val="21"/>
          <w:highlight w:val="none"/>
        </w:rPr>
        <w:t>项目实施阶段甲方如因工作需要，要求乙方派员到项目现场参与审计工作，甲方提前 24 小时告知乙方，乙方应按约定的时间到场开展工作，若未能按要求到场，甲方将以500元/人次收取违约金。</w:t>
      </w:r>
    </w:p>
    <w:p w14:paraId="5A1A0349">
      <w:pPr>
        <w:numPr>
          <w:ilvl w:val="0"/>
          <w:numId w:val="0"/>
        </w:numPr>
        <w:spacing w:line="400" w:lineRule="exact"/>
        <w:ind w:left="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(8)</w:t>
      </w:r>
      <w:r>
        <w:rPr>
          <w:rFonts w:hint="eastAsia" w:ascii="仿宋" w:hAnsi="仿宋" w:eastAsia="仿宋" w:cs="仿宋"/>
          <w:color w:val="auto"/>
          <w:sz w:val="21"/>
          <w:szCs w:val="21"/>
          <w:highlight w:val="none"/>
        </w:rPr>
        <w:t>在甲方提供完整资料的前提下，乙方应按照合同约定的工作内容和甲方要求的工作时间完成本合同规定的各项工作，若未能及时完成应视为乙方违约，甲方有权处以500元/项/天的违约金。</w:t>
      </w:r>
    </w:p>
    <w:p w14:paraId="7939D2C0">
      <w:pPr>
        <w:rPr>
          <w:rFonts w:hint="eastAsia" w:ascii="仿宋" w:hAnsi="仿宋" w:eastAsia="仿宋" w:cs="仿宋"/>
          <w:highlight w:val="none"/>
        </w:rPr>
      </w:pPr>
      <w:r>
        <w:rPr>
          <w:rFonts w:hint="eastAsia" w:ascii="仿宋" w:hAnsi="仿宋" w:eastAsia="仿宋" w:cs="仿宋"/>
          <w:szCs w:val="21"/>
          <w:highlight w:val="none"/>
        </w:rPr>
        <w:br w:type="page"/>
      </w:r>
    </w:p>
    <w:p w14:paraId="628E6CF5">
      <w:pPr>
        <w:pStyle w:val="3"/>
        <w:bidi w:val="0"/>
        <w:jc w:val="center"/>
        <w:rPr>
          <w:rFonts w:hint="eastAsia" w:ascii="仿宋" w:hAnsi="仿宋" w:eastAsia="仿宋" w:cs="仿宋"/>
          <w:highlight w:val="none"/>
          <w:lang w:val="zh-CN" w:eastAsia="zh-CN"/>
        </w:rPr>
      </w:pPr>
      <w:bookmarkStart w:id="58" w:name="_Toc9888"/>
      <w:r>
        <w:rPr>
          <w:rFonts w:hint="eastAsia" w:ascii="仿宋" w:hAnsi="仿宋" w:eastAsia="仿宋" w:cs="仿宋"/>
          <w:highlight w:val="none"/>
          <w:lang w:val="zh-CN" w:eastAsia="zh-CN"/>
        </w:rPr>
        <w:t>第五章  评审方法及评审标准</w:t>
      </w:r>
      <w:bookmarkEnd w:id="58"/>
    </w:p>
    <w:p w14:paraId="470D7334">
      <w:pPr>
        <w:pageBreakBefore w:val="0"/>
        <w:kinsoku/>
        <w:topLinePunct w:val="0"/>
        <w:bidi w:val="0"/>
        <w:spacing w:line="24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一、评审原则</w:t>
      </w:r>
    </w:p>
    <w:p w14:paraId="061EFED0">
      <w:pPr>
        <w:pageBreakBefore w:val="0"/>
        <w:kinsoku/>
        <w:topLinePunct w:val="0"/>
        <w:bidi w:val="0"/>
        <w:spacing w:line="24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审工作遵循公平、公正、科学、择优原则和诚实、信誉、效率的原则。本着科学、严谨的态度，认真进行评审，择优选用。确保项目实施质量、交货按期，节约投资，最大限度的保护当事人权益。严格按照磋商文件的商务、技术要求，对响应文件进行综合评定，提出优选方案，编写评审报告。对落标单位，磋商小组不做任何落标解释。供应商不得以任何方式干扰磋商工作的进行，一经发现其响应文件将被拒绝。</w:t>
      </w:r>
    </w:p>
    <w:p w14:paraId="00F7535A">
      <w:pPr>
        <w:pageBreakBefore w:val="0"/>
        <w:kinsoku/>
        <w:topLinePunct w:val="0"/>
        <w:bidi w:val="0"/>
        <w:spacing w:line="24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二、评审组织</w:t>
      </w:r>
    </w:p>
    <w:p w14:paraId="7A3FB1A0">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评审小组共3名</w:t>
      </w:r>
      <w:r>
        <w:rPr>
          <w:rFonts w:hint="eastAsia" w:ascii="仿宋" w:hAnsi="仿宋" w:eastAsia="仿宋" w:cs="仿宋"/>
          <w:szCs w:val="21"/>
          <w:highlight w:val="none"/>
          <w:lang w:eastAsia="zh-CN"/>
        </w:rPr>
        <w:t>成员，</w:t>
      </w:r>
      <w:r>
        <w:rPr>
          <w:rFonts w:hint="eastAsia" w:ascii="仿宋" w:hAnsi="仿宋" w:eastAsia="仿宋" w:cs="仿宋"/>
          <w:szCs w:val="21"/>
          <w:highlight w:val="none"/>
        </w:rPr>
        <w:t>由采购人代表1名及技术、经济等方面的专家2名组成。</w:t>
      </w:r>
      <w:r>
        <w:rPr>
          <w:rFonts w:hint="eastAsia" w:ascii="仿宋" w:hAnsi="仿宋" w:eastAsia="仿宋" w:cs="仿宋"/>
          <w:szCs w:val="21"/>
          <w:highlight w:val="none"/>
          <w:lang w:eastAsia="zh-CN"/>
        </w:rPr>
        <w:t>评审小组</w:t>
      </w:r>
      <w:r>
        <w:rPr>
          <w:rFonts w:hint="eastAsia" w:ascii="仿宋" w:hAnsi="仿宋" w:eastAsia="仿宋" w:cs="仿宋"/>
          <w:szCs w:val="21"/>
          <w:highlight w:val="none"/>
        </w:rPr>
        <w:t>负责对响应文件进行审查、质疑、评估和比较。询标（如有）时</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法定代表人或其授权代理人必须在场，负责解答有关事宜。如不在场，则事后不得对磋商过程及结果提出异议。</w:t>
      </w:r>
    </w:p>
    <w:p w14:paraId="0579BB4F">
      <w:pPr>
        <w:pageBreakBefore w:val="0"/>
        <w:kinsoku/>
        <w:topLinePunct w:val="0"/>
        <w:bidi w:val="0"/>
        <w:spacing w:line="24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三、评审程序</w:t>
      </w:r>
    </w:p>
    <w:p w14:paraId="18E2E46C">
      <w:pPr>
        <w:pageBreakBefore w:val="0"/>
        <w:kinsoku/>
        <w:topLinePunct w:val="0"/>
        <w:bidi w:val="0"/>
        <w:spacing w:line="24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磋商小组首先根据供应商的</w:t>
      </w:r>
      <w:r>
        <w:rPr>
          <w:rFonts w:hint="eastAsia" w:ascii="仿宋" w:hAnsi="仿宋" w:eastAsia="仿宋" w:cs="仿宋"/>
          <w:szCs w:val="21"/>
          <w:highlight w:val="none"/>
          <w:lang w:eastAsia="zh-CN"/>
        </w:rPr>
        <w:t>资格文件</w:t>
      </w:r>
      <w:r>
        <w:rPr>
          <w:rFonts w:hint="eastAsia" w:ascii="仿宋" w:hAnsi="仿宋" w:eastAsia="仿宋" w:cs="仿宋"/>
          <w:szCs w:val="21"/>
          <w:highlight w:val="none"/>
        </w:rPr>
        <w:t>对其进行资格审查，以确定其是否满足磋商文件规定的资格条件要求。再对资格审查通过的供应商的响应文件进行符合性（有效性、完整性）审查，并依次与符合性审查通过的供应商进行磋商。磋商后在供应商提交最后报价过程中，按磋商文件中规定的评审方法和标准，对响应供应商的</w:t>
      </w:r>
      <w:r>
        <w:rPr>
          <w:rFonts w:hint="eastAsia" w:ascii="仿宋" w:hAnsi="仿宋" w:eastAsia="仿宋" w:cs="仿宋"/>
          <w:szCs w:val="21"/>
          <w:highlight w:val="none"/>
          <w:lang w:eastAsia="zh-CN"/>
        </w:rPr>
        <w:t>商务技术文件</w:t>
      </w:r>
      <w:r>
        <w:rPr>
          <w:rFonts w:hint="eastAsia" w:ascii="仿宋" w:hAnsi="仿宋" w:eastAsia="仿宋" w:cs="仿宋"/>
          <w:szCs w:val="21"/>
          <w:highlight w:val="none"/>
        </w:rPr>
        <w:t>进行综合比较与评价。拆封、评审最后报价文件，之后公布资信技术及最后报价得分。根据综合评审结果，推荐成交供应商并提交评审报告。</w:t>
      </w:r>
    </w:p>
    <w:p w14:paraId="3B5EDEDC">
      <w:pPr>
        <w:pageBreakBefore w:val="0"/>
        <w:kinsoku/>
        <w:topLinePunct w:val="0"/>
        <w:bidi w:val="0"/>
        <w:spacing w:line="24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四、评审方法</w:t>
      </w:r>
    </w:p>
    <w:p w14:paraId="5E436612">
      <w:pPr>
        <w:pageBreakBefore w:val="0"/>
        <w:kinsoku/>
        <w:topLinePunct w:val="0"/>
        <w:bidi w:val="0"/>
        <w:spacing w:line="24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1.本次磋商的评审方法采用百分制综合评分法，总分为 100 分，其中价格分</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分、资信技术分</w:t>
      </w:r>
      <w:r>
        <w:rPr>
          <w:rFonts w:hint="eastAsia" w:ascii="仿宋" w:hAnsi="仿宋" w:eastAsia="仿宋" w:cs="仿宋"/>
          <w:szCs w:val="21"/>
          <w:highlight w:val="none"/>
          <w:lang w:val="en-US" w:eastAsia="zh-CN"/>
        </w:rPr>
        <w:t>80</w:t>
      </w:r>
      <w:r>
        <w:rPr>
          <w:rFonts w:hint="eastAsia" w:ascii="仿宋" w:hAnsi="仿宋" w:eastAsia="仿宋" w:cs="仿宋"/>
          <w:szCs w:val="21"/>
          <w:highlight w:val="none"/>
        </w:rPr>
        <w:t>分。即以完全响应磋商文件设定的全部责任条款为前提，由磋商小组按磋商文件中规定的各项因素进行综合评审。经过磋商确定磋商需求和供应商提交最后报价后，由磋商小组采用综合评分法对提交最后报价的供应商的</w:t>
      </w:r>
      <w:r>
        <w:rPr>
          <w:rFonts w:hint="eastAsia" w:ascii="仿宋" w:hAnsi="仿宋" w:eastAsia="仿宋" w:cs="仿宋"/>
          <w:szCs w:val="21"/>
          <w:highlight w:val="none"/>
          <w:lang w:eastAsia="zh-CN"/>
        </w:rPr>
        <w:t>商务技术文件</w:t>
      </w:r>
      <w:r>
        <w:rPr>
          <w:rFonts w:hint="eastAsia" w:ascii="仿宋" w:hAnsi="仿宋" w:eastAsia="仿宋" w:cs="仿宋"/>
          <w:szCs w:val="21"/>
          <w:highlight w:val="none"/>
        </w:rPr>
        <w:t>和最后报价进行综合评分。根据本项目磋商文件要求，按照本方法规定的内容和分值设置，评审后得分最高的供应商推荐为</w:t>
      </w:r>
      <w:r>
        <w:rPr>
          <w:rFonts w:hint="eastAsia" w:ascii="仿宋" w:hAnsi="仿宋" w:eastAsia="仿宋" w:cs="仿宋"/>
          <w:szCs w:val="21"/>
          <w:highlight w:val="none"/>
          <w:lang w:eastAsia="zh-CN"/>
        </w:rPr>
        <w:t>第一</w:t>
      </w:r>
      <w:r>
        <w:rPr>
          <w:rFonts w:hint="eastAsia" w:ascii="仿宋" w:hAnsi="仿宋" w:eastAsia="仿宋" w:cs="仿宋"/>
          <w:szCs w:val="21"/>
          <w:highlight w:val="none"/>
        </w:rPr>
        <w:t>成交供应商（计算结果保留两位小数，四舍五入）。</w:t>
      </w:r>
    </w:p>
    <w:p w14:paraId="5D18F203">
      <w:pPr>
        <w:pageBreakBefore w:val="0"/>
        <w:kinsoku/>
        <w:topLinePunct w:val="0"/>
        <w:bidi w:val="0"/>
        <w:spacing w:line="240" w:lineRule="auto"/>
        <w:ind w:firstLine="420" w:firstLineChars="200"/>
        <w:rPr>
          <w:rFonts w:hint="eastAsia" w:ascii="仿宋" w:hAnsi="仿宋" w:eastAsia="仿宋" w:cs="仿宋"/>
          <w:b/>
          <w:color w:val="FF0000"/>
          <w:szCs w:val="21"/>
          <w:highlight w:val="none"/>
        </w:rPr>
      </w:pPr>
      <w:r>
        <w:rPr>
          <w:rFonts w:hint="eastAsia" w:ascii="仿宋" w:hAnsi="仿宋" w:eastAsia="仿宋" w:cs="仿宋"/>
          <w:szCs w:val="21"/>
          <w:highlight w:val="none"/>
        </w:rPr>
        <w:t>2.资信技术分的评定由各评委成员按评分细则进行评审打分，每人一张评分表，并记名。响应文件各项评分内容由磋商小组成员各自独立评分；评分时保留小数点后 1 位小数，计算评分值时保留小数点后 2 位小数，由磋商小组当场统一计算。如某张评分表的一个因素项目超过规定的分值范围，则该张评分表无效。磋商小组成员对供应商各项评分合计数的算术平均值为各供应商资信技术得分，分值计算公式为：磋商小组各成员评分合计数／磋商小组组成人数（结果四舍五入后保留两位小数）。</w:t>
      </w:r>
    </w:p>
    <w:p w14:paraId="1DEB6FF2">
      <w:pPr>
        <w:autoSpaceDE w:val="0"/>
        <w:autoSpaceDN w:val="0"/>
        <w:adjustRightInd w:val="0"/>
        <w:spacing w:before="190" w:beforeLines="50" w:after="190" w:afterLines="50" w:line="400" w:lineRule="exact"/>
        <w:rPr>
          <w:rFonts w:hint="eastAsia" w:ascii="仿宋" w:hAnsi="仿宋" w:eastAsia="仿宋" w:cs="仿宋"/>
          <w:color w:val="auto"/>
          <w:szCs w:val="21"/>
          <w:highlight w:val="none"/>
          <w:u w:val="single"/>
        </w:rPr>
      </w:pPr>
      <w:r>
        <w:rPr>
          <w:rFonts w:hint="eastAsia" w:ascii="仿宋" w:hAnsi="仿宋" w:eastAsia="仿宋" w:cs="仿宋"/>
          <w:b/>
          <w:color w:val="auto"/>
          <w:szCs w:val="21"/>
          <w:highlight w:val="none"/>
        </w:rPr>
        <w:t>（一）资信技术分评审标准（满分</w:t>
      </w:r>
      <w:r>
        <w:rPr>
          <w:rFonts w:hint="eastAsia" w:ascii="仿宋" w:hAnsi="仿宋" w:eastAsia="仿宋" w:cs="仿宋"/>
          <w:b/>
          <w:color w:val="auto"/>
          <w:szCs w:val="21"/>
          <w:highlight w:val="none"/>
          <w:lang w:val="en-US" w:eastAsia="zh-CN"/>
        </w:rPr>
        <w:t>80</w:t>
      </w:r>
      <w:r>
        <w:rPr>
          <w:rFonts w:hint="eastAsia" w:ascii="仿宋" w:hAnsi="仿宋" w:eastAsia="仿宋" w:cs="仿宋"/>
          <w:b/>
          <w:color w:val="auto"/>
          <w:szCs w:val="21"/>
          <w:highlight w:val="none"/>
        </w:rPr>
        <w:t>分</w:t>
      </w:r>
      <w:r>
        <w:rPr>
          <w:rFonts w:hint="eastAsia" w:ascii="仿宋" w:hAnsi="仿宋" w:eastAsia="仿宋" w:cs="仿宋"/>
          <w:b/>
          <w:color w:val="auto"/>
          <w:szCs w:val="21"/>
          <w:highlight w:val="none"/>
          <w:lang w:eastAsia="zh-CN"/>
        </w:rPr>
        <w:t>）</w:t>
      </w:r>
    </w:p>
    <w:tbl>
      <w:tblPr>
        <w:tblStyle w:val="48"/>
        <w:tblW w:w="9789" w:type="dxa"/>
        <w:tblInd w:w="26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008"/>
        <w:gridCol w:w="6316"/>
        <w:gridCol w:w="867"/>
      </w:tblGrid>
      <w:tr w14:paraId="356AC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98" w:type="dxa"/>
            <w:noWrap w:val="0"/>
            <w:vAlign w:val="center"/>
          </w:tcPr>
          <w:p w14:paraId="452E2749">
            <w:pPr>
              <w:autoSpaceDE w:val="0"/>
              <w:autoSpaceDN w:val="0"/>
              <w:adjustRightInd w:val="0"/>
              <w:jc w:val="center"/>
              <w:textAlignment w:val="baseline"/>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序号</w:t>
            </w:r>
          </w:p>
        </w:tc>
        <w:tc>
          <w:tcPr>
            <w:tcW w:w="2008" w:type="dxa"/>
            <w:noWrap w:val="0"/>
            <w:vAlign w:val="center"/>
          </w:tcPr>
          <w:p w14:paraId="5EB6FA01">
            <w:pPr>
              <w:autoSpaceDE w:val="0"/>
              <w:autoSpaceDN w:val="0"/>
              <w:adjustRightInd w:val="0"/>
              <w:jc w:val="center"/>
              <w:textAlignment w:val="baseline"/>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评审因素</w:t>
            </w:r>
          </w:p>
        </w:tc>
        <w:tc>
          <w:tcPr>
            <w:tcW w:w="6316" w:type="dxa"/>
            <w:noWrap w:val="0"/>
            <w:vAlign w:val="center"/>
          </w:tcPr>
          <w:p w14:paraId="4151B4B8">
            <w:pPr>
              <w:widowControl/>
              <w:autoSpaceDE w:val="0"/>
              <w:autoSpaceDN w:val="0"/>
              <w:adjustRightInd w:val="0"/>
              <w:snapToGrid w:val="0"/>
              <w:spacing w:line="360" w:lineRule="auto"/>
              <w:jc w:val="center"/>
              <w:textAlignment w:val="baseline"/>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评审标准</w:t>
            </w:r>
          </w:p>
        </w:tc>
        <w:tc>
          <w:tcPr>
            <w:tcW w:w="867" w:type="dxa"/>
            <w:noWrap w:val="0"/>
            <w:vAlign w:val="center"/>
          </w:tcPr>
          <w:p w14:paraId="4E6ABB37">
            <w:pPr>
              <w:widowControl/>
              <w:autoSpaceDE w:val="0"/>
              <w:autoSpaceDN w:val="0"/>
              <w:adjustRightInd w:val="0"/>
              <w:snapToGrid w:val="0"/>
              <w:jc w:val="center"/>
              <w:textAlignment w:val="baseline"/>
              <w:rPr>
                <w:rFonts w:hint="default" w:ascii="仿宋" w:hAnsi="仿宋" w:eastAsia="仿宋" w:cs="仿宋"/>
                <w:color w:val="auto"/>
                <w:spacing w:val="6"/>
                <w:kern w:val="0"/>
                <w:sz w:val="21"/>
                <w:szCs w:val="21"/>
                <w:highlight w:val="none"/>
                <w:u w:val="none"/>
                <w:lang w:val="en-US" w:eastAsia="zh-CN"/>
              </w:rPr>
            </w:pPr>
            <w:r>
              <w:rPr>
                <w:rFonts w:hint="eastAsia" w:ascii="仿宋" w:hAnsi="仿宋" w:eastAsia="仿宋" w:cs="仿宋"/>
                <w:color w:val="auto"/>
                <w:spacing w:val="6"/>
                <w:kern w:val="0"/>
                <w:sz w:val="21"/>
                <w:szCs w:val="21"/>
                <w:highlight w:val="none"/>
                <w:u w:val="none"/>
                <w:lang w:val="en-US" w:eastAsia="zh-CN"/>
              </w:rPr>
              <w:t>分值</w:t>
            </w:r>
          </w:p>
        </w:tc>
      </w:tr>
      <w:tr w14:paraId="54739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vMerge w:val="restart"/>
            <w:noWrap w:val="0"/>
            <w:vAlign w:val="center"/>
          </w:tcPr>
          <w:p w14:paraId="3F9C3F07">
            <w:pPr>
              <w:autoSpaceDE w:val="0"/>
              <w:autoSpaceDN w:val="0"/>
              <w:adjustRightInd w:val="0"/>
              <w:jc w:val="center"/>
              <w:textAlignment w:val="baseline"/>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1</w:t>
            </w:r>
          </w:p>
        </w:tc>
        <w:tc>
          <w:tcPr>
            <w:tcW w:w="2008" w:type="dxa"/>
            <w:vMerge w:val="restart"/>
            <w:noWrap w:val="0"/>
            <w:vAlign w:val="center"/>
          </w:tcPr>
          <w:p w14:paraId="1E65D818">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投标人综合实力</w:t>
            </w:r>
          </w:p>
        </w:tc>
        <w:tc>
          <w:tcPr>
            <w:tcW w:w="6316" w:type="dxa"/>
            <w:noWrap w:val="0"/>
            <w:vAlign w:val="center"/>
          </w:tcPr>
          <w:p w14:paraId="6B769F4B">
            <w:pPr>
              <w:widowControl/>
              <w:autoSpaceDE w:val="0"/>
              <w:autoSpaceDN w:val="0"/>
              <w:adjustRightInd w:val="0"/>
              <w:snapToGrid w:val="0"/>
              <w:spacing w:line="360" w:lineRule="auto"/>
              <w:jc w:val="left"/>
              <w:textAlignment w:val="baseline"/>
              <w:rPr>
                <w:rFonts w:hint="eastAsia" w:ascii="仿宋" w:hAnsi="仿宋" w:eastAsia="仿宋" w:cs="仿宋"/>
                <w:color w:val="auto"/>
                <w:sz w:val="21"/>
                <w:szCs w:val="21"/>
                <w:highlight w:val="none"/>
                <w:u w:val="none"/>
                <w:lang w:val="en-US" w:eastAsia="zh-CN" w:bidi="ar-SA"/>
              </w:rPr>
            </w:pPr>
            <w:r>
              <w:rPr>
                <w:rFonts w:hint="eastAsia" w:ascii="仿宋" w:hAnsi="仿宋" w:eastAsia="仿宋" w:cs="仿宋"/>
                <w:color w:val="auto"/>
                <w:sz w:val="21"/>
                <w:szCs w:val="21"/>
                <w:highlight w:val="none"/>
                <w:u w:val="none"/>
                <w:lang w:val="en-US" w:eastAsia="zh-CN" w:bidi="ar-SA"/>
              </w:rPr>
              <w:t>拟派的项目负责人具有水利类或造价类高级及以上工程师职称的得2分，中级工程师职称的得1分。</w:t>
            </w:r>
          </w:p>
          <w:p w14:paraId="749645C9">
            <w:pPr>
              <w:widowControl/>
              <w:autoSpaceDE w:val="0"/>
              <w:autoSpaceDN w:val="0"/>
              <w:adjustRightInd w:val="0"/>
              <w:snapToGrid w:val="0"/>
              <w:spacing w:line="360" w:lineRule="auto"/>
              <w:jc w:val="left"/>
              <w:textAlignment w:val="baseline"/>
              <w:rPr>
                <w:rFonts w:hint="default"/>
                <w:highlight w:val="none"/>
                <w:lang w:val="en-US" w:eastAsia="zh-CN"/>
              </w:rPr>
            </w:pPr>
            <w:r>
              <w:rPr>
                <w:rFonts w:hint="eastAsia" w:ascii="仿宋" w:hAnsi="仿宋" w:eastAsia="仿宋" w:cs="仿宋"/>
                <w:b/>
                <w:bCs/>
                <w:color w:val="auto"/>
                <w:sz w:val="21"/>
                <w:szCs w:val="21"/>
                <w:highlight w:val="none"/>
                <w:u w:val="none"/>
                <w:lang w:val="en-US" w:eastAsia="zh-CN" w:bidi="ar-SA"/>
              </w:rPr>
              <w:t>注：（1）提供相关职称证书原件扫描件及截止投标时间任意连续三个月（2025年03月-2025年06月）投标人为其缴纳社保的有效证明材料（盖有社保部门公章）编入商务技术文件，否则不得分。</w:t>
            </w:r>
          </w:p>
        </w:tc>
        <w:tc>
          <w:tcPr>
            <w:tcW w:w="867" w:type="dxa"/>
            <w:noWrap w:val="0"/>
            <w:vAlign w:val="center"/>
          </w:tcPr>
          <w:p w14:paraId="5D5AED80">
            <w:pPr>
              <w:widowControl/>
              <w:autoSpaceDE w:val="0"/>
              <w:autoSpaceDN w:val="0"/>
              <w:adjustRightInd w:val="0"/>
              <w:snapToGrid w:val="0"/>
              <w:jc w:val="center"/>
              <w:textAlignment w:val="baseline"/>
              <w:rPr>
                <w:rFonts w:hint="default" w:ascii="仿宋" w:hAnsi="仿宋" w:eastAsia="仿宋" w:cs="仿宋"/>
                <w:color w:val="auto"/>
                <w:spacing w:val="6"/>
                <w:kern w:val="0"/>
                <w:sz w:val="21"/>
                <w:szCs w:val="21"/>
                <w:highlight w:val="none"/>
                <w:u w:val="none"/>
                <w:lang w:val="en-US" w:eastAsia="zh-CN"/>
              </w:rPr>
            </w:pPr>
            <w:r>
              <w:rPr>
                <w:rFonts w:hint="eastAsia" w:ascii="仿宋" w:hAnsi="仿宋" w:eastAsia="仿宋" w:cs="仿宋"/>
                <w:color w:val="auto"/>
                <w:spacing w:val="6"/>
                <w:kern w:val="0"/>
                <w:sz w:val="21"/>
                <w:szCs w:val="21"/>
                <w:highlight w:val="none"/>
                <w:u w:val="none"/>
                <w:lang w:val="en-US" w:eastAsia="zh-CN"/>
              </w:rPr>
              <w:t>2</w:t>
            </w:r>
          </w:p>
        </w:tc>
      </w:tr>
      <w:tr w14:paraId="0FBD6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vMerge w:val="continue"/>
            <w:noWrap w:val="0"/>
            <w:vAlign w:val="center"/>
          </w:tcPr>
          <w:p w14:paraId="6ED8441C">
            <w:pPr>
              <w:autoSpaceDE w:val="0"/>
              <w:autoSpaceDN w:val="0"/>
              <w:adjustRightInd w:val="0"/>
              <w:jc w:val="center"/>
              <w:textAlignment w:val="baseline"/>
              <w:rPr>
                <w:rFonts w:hint="default" w:ascii="仿宋" w:hAnsi="仿宋" w:eastAsia="仿宋" w:cs="仿宋"/>
                <w:color w:val="auto"/>
                <w:kern w:val="0"/>
                <w:sz w:val="21"/>
                <w:szCs w:val="21"/>
                <w:highlight w:val="none"/>
                <w:u w:val="none"/>
                <w:lang w:val="en-US" w:eastAsia="zh-CN"/>
              </w:rPr>
            </w:pPr>
          </w:p>
        </w:tc>
        <w:tc>
          <w:tcPr>
            <w:tcW w:w="2008" w:type="dxa"/>
            <w:vMerge w:val="continue"/>
            <w:noWrap w:val="0"/>
            <w:vAlign w:val="center"/>
          </w:tcPr>
          <w:p w14:paraId="1836D432">
            <w:pPr>
              <w:jc w:val="center"/>
              <w:rPr>
                <w:rFonts w:hint="eastAsia" w:ascii="仿宋" w:hAnsi="仿宋" w:eastAsia="仿宋" w:cs="仿宋"/>
                <w:color w:val="auto"/>
                <w:szCs w:val="21"/>
                <w:highlight w:val="none"/>
                <w:lang w:eastAsia="zh-CN"/>
              </w:rPr>
            </w:pPr>
          </w:p>
        </w:tc>
        <w:tc>
          <w:tcPr>
            <w:tcW w:w="6316" w:type="dxa"/>
            <w:noWrap w:val="0"/>
            <w:vAlign w:val="center"/>
          </w:tcPr>
          <w:p w14:paraId="38BBB530">
            <w:pPr>
              <w:pStyle w:val="174"/>
              <w:bidi w:val="0"/>
              <w:jc w:val="left"/>
              <w:rPr>
                <w:rFonts w:hint="default"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1.拟派的造价咨询人员（不含项目负责人）具有水利专业国家注册二级及以上造价师的，每提供1人得1分，最高分3分。</w:t>
            </w:r>
          </w:p>
          <w:p w14:paraId="1055F542">
            <w:pPr>
              <w:pStyle w:val="174"/>
              <w:bidi w:val="0"/>
              <w:jc w:val="left"/>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2.拟派的招标代理人员中具有工程类工程师及以上职称的得1分，本项最高得3分。</w:t>
            </w:r>
          </w:p>
          <w:p w14:paraId="2A6E3690">
            <w:pPr>
              <w:widowControl/>
              <w:autoSpaceDE w:val="0"/>
              <w:autoSpaceDN w:val="0"/>
              <w:adjustRightInd w:val="0"/>
              <w:snapToGrid w:val="0"/>
              <w:spacing w:line="360" w:lineRule="auto"/>
              <w:jc w:val="left"/>
              <w:textAlignment w:val="baseline"/>
              <w:rPr>
                <w:rFonts w:hint="eastAsia" w:ascii="仿宋" w:hAnsi="仿宋" w:eastAsia="仿宋" w:cs="仿宋"/>
                <w:b/>
                <w:bCs/>
                <w:color w:val="auto"/>
                <w:sz w:val="21"/>
                <w:szCs w:val="21"/>
                <w:highlight w:val="none"/>
                <w:u w:val="none"/>
                <w:lang w:val="en-US" w:eastAsia="zh-CN" w:bidi="ar-SA"/>
              </w:rPr>
            </w:pPr>
            <w:r>
              <w:rPr>
                <w:rFonts w:hint="eastAsia" w:ascii="仿宋" w:hAnsi="仿宋" w:eastAsia="仿宋" w:cs="仿宋"/>
                <w:b/>
                <w:bCs/>
                <w:color w:val="auto"/>
                <w:sz w:val="21"/>
                <w:szCs w:val="21"/>
                <w:highlight w:val="none"/>
                <w:u w:val="none"/>
                <w:lang w:val="en-US" w:eastAsia="zh-CN" w:bidi="ar-SA"/>
              </w:rPr>
              <w:t>注：（1）提供相关职称证书原件扫描件及截止投标时间任意连续三个月（2025年03月-2025年06月）投标人为其缴纳社保的有效证明材料（盖有社保部门公章）编入商务技术文件，否则不得分。</w:t>
            </w:r>
          </w:p>
          <w:p w14:paraId="3892BF1D">
            <w:pPr>
              <w:pStyle w:val="46"/>
              <w:rPr>
                <w:rFonts w:hint="default"/>
                <w:highlight w:val="none"/>
                <w:lang w:val="en-US" w:eastAsia="zh-CN"/>
              </w:rPr>
            </w:pPr>
            <w:r>
              <w:rPr>
                <w:rFonts w:hint="eastAsia" w:ascii="仿宋" w:hAnsi="仿宋" w:eastAsia="仿宋" w:cs="仿宋"/>
                <w:b/>
                <w:bCs/>
                <w:color w:val="auto"/>
                <w:sz w:val="21"/>
                <w:szCs w:val="21"/>
                <w:highlight w:val="none"/>
                <w:u w:val="none"/>
                <w:lang w:val="en-US" w:eastAsia="zh-CN" w:bidi="ar-SA"/>
              </w:rPr>
              <w:t>（2）其中：造价工程师须提供执业资格证书及注册证书原件扫描件，造价工程师注册起始时间以注册证书上的初始注册时间为准。</w:t>
            </w:r>
          </w:p>
        </w:tc>
        <w:tc>
          <w:tcPr>
            <w:tcW w:w="867" w:type="dxa"/>
            <w:noWrap w:val="0"/>
            <w:vAlign w:val="center"/>
          </w:tcPr>
          <w:p w14:paraId="15DB7D5E">
            <w:pPr>
              <w:widowControl/>
              <w:autoSpaceDE w:val="0"/>
              <w:autoSpaceDN w:val="0"/>
              <w:adjustRightInd w:val="0"/>
              <w:snapToGrid w:val="0"/>
              <w:jc w:val="center"/>
              <w:textAlignment w:val="baseline"/>
              <w:rPr>
                <w:rFonts w:hint="default" w:ascii="仿宋" w:hAnsi="仿宋" w:eastAsia="仿宋" w:cs="仿宋"/>
                <w:color w:val="auto"/>
                <w:spacing w:val="6"/>
                <w:kern w:val="0"/>
                <w:sz w:val="21"/>
                <w:szCs w:val="21"/>
                <w:highlight w:val="none"/>
                <w:u w:val="none"/>
                <w:lang w:val="en-US" w:eastAsia="zh-CN"/>
              </w:rPr>
            </w:pPr>
            <w:r>
              <w:rPr>
                <w:rFonts w:hint="eastAsia" w:ascii="仿宋" w:hAnsi="仿宋" w:eastAsia="仿宋" w:cs="仿宋"/>
                <w:color w:val="auto"/>
                <w:spacing w:val="6"/>
                <w:kern w:val="0"/>
                <w:sz w:val="21"/>
                <w:szCs w:val="21"/>
                <w:highlight w:val="none"/>
                <w:u w:val="none"/>
                <w:lang w:val="en-US" w:eastAsia="zh-CN"/>
              </w:rPr>
              <w:t>6</w:t>
            </w:r>
          </w:p>
        </w:tc>
      </w:tr>
      <w:tr w14:paraId="5F6C1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noWrap w:val="0"/>
            <w:vAlign w:val="center"/>
          </w:tcPr>
          <w:p w14:paraId="53AFDC9C">
            <w:pPr>
              <w:autoSpaceDE w:val="0"/>
              <w:autoSpaceDN w:val="0"/>
              <w:adjustRightInd w:val="0"/>
              <w:jc w:val="center"/>
              <w:textAlignment w:val="baseline"/>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2</w:t>
            </w:r>
          </w:p>
        </w:tc>
        <w:tc>
          <w:tcPr>
            <w:tcW w:w="2008" w:type="dxa"/>
            <w:noWrap w:val="0"/>
            <w:vAlign w:val="center"/>
          </w:tcPr>
          <w:p w14:paraId="31E4B7A4">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类似业绩</w:t>
            </w:r>
          </w:p>
        </w:tc>
        <w:tc>
          <w:tcPr>
            <w:tcW w:w="6316" w:type="dxa"/>
            <w:noWrap w:val="0"/>
            <w:vAlign w:val="center"/>
          </w:tcPr>
          <w:p w14:paraId="3A4E076C">
            <w:pPr>
              <w:widowControl/>
              <w:numPr>
                <w:ilvl w:val="0"/>
                <w:numId w:val="0"/>
              </w:numPr>
              <w:jc w:val="left"/>
              <w:rPr>
                <w:rFonts w:hint="eastAsia" w:ascii="仿宋" w:hAnsi="仿宋" w:eastAsia="仿宋" w:cs="仿宋"/>
                <w:strike w:val="0"/>
                <w:dstrike w:val="0"/>
                <w:color w:val="auto"/>
                <w:kern w:val="0"/>
                <w:sz w:val="21"/>
                <w:szCs w:val="21"/>
                <w:highlight w:val="none"/>
                <w:u w:val="none"/>
                <w:lang w:val="en-US" w:eastAsia="zh-CN"/>
              </w:rPr>
            </w:pPr>
            <w:r>
              <w:rPr>
                <w:rFonts w:hint="eastAsia" w:ascii="仿宋" w:hAnsi="仿宋" w:eastAsia="仿宋" w:cs="仿宋"/>
                <w:strike w:val="0"/>
                <w:dstrike w:val="0"/>
                <w:color w:val="auto"/>
                <w:kern w:val="0"/>
                <w:sz w:val="21"/>
                <w:szCs w:val="21"/>
                <w:highlight w:val="none"/>
                <w:u w:val="none"/>
                <w:lang w:val="en-US" w:eastAsia="zh-CN"/>
              </w:rPr>
              <w:t>投标人自2022年01月01日（以合同签订时间为准）以来完成过类似项目业绩的，每个得1分，最高得2分。</w:t>
            </w:r>
          </w:p>
          <w:p w14:paraId="0E307913">
            <w:pPr>
              <w:pStyle w:val="46"/>
              <w:ind w:left="0" w:leftChars="0" w:firstLine="0" w:firstLineChars="0"/>
              <w:rPr>
                <w:rFonts w:hint="default"/>
                <w:highlight w:val="none"/>
                <w:lang w:val="en-US" w:eastAsia="zh-CN"/>
              </w:rPr>
            </w:pPr>
            <w:r>
              <w:rPr>
                <w:rFonts w:hint="eastAsia" w:ascii="仿宋" w:hAnsi="仿宋" w:eastAsia="仿宋" w:cs="仿宋"/>
                <w:b/>
                <w:bCs/>
                <w:strike w:val="0"/>
                <w:dstrike w:val="0"/>
                <w:color w:val="auto"/>
                <w:kern w:val="0"/>
                <w:sz w:val="21"/>
                <w:szCs w:val="21"/>
                <w:highlight w:val="none"/>
                <w:u w:val="none"/>
                <w:lang w:val="en-US" w:eastAsia="zh-CN"/>
              </w:rPr>
              <w:t>注：须提供相关项目合同、中标通知书及初步设计批复文件扫描件，否则不得分。不同项目可累计加分，同一项目不同标段只按一个项目计算。不同项目的区分以单个项目初步设计批复文件为准。</w:t>
            </w:r>
          </w:p>
        </w:tc>
        <w:tc>
          <w:tcPr>
            <w:tcW w:w="867" w:type="dxa"/>
            <w:noWrap w:val="0"/>
            <w:vAlign w:val="center"/>
          </w:tcPr>
          <w:p w14:paraId="74E8A223">
            <w:pPr>
              <w:widowControl/>
              <w:autoSpaceDE w:val="0"/>
              <w:autoSpaceDN w:val="0"/>
              <w:adjustRightInd w:val="0"/>
              <w:snapToGrid w:val="0"/>
              <w:jc w:val="center"/>
              <w:textAlignment w:val="baseline"/>
              <w:rPr>
                <w:rFonts w:hint="default" w:ascii="仿宋" w:hAnsi="仿宋" w:eastAsia="仿宋" w:cs="仿宋"/>
                <w:color w:val="auto"/>
                <w:spacing w:val="6"/>
                <w:kern w:val="0"/>
                <w:sz w:val="21"/>
                <w:szCs w:val="21"/>
                <w:highlight w:val="none"/>
                <w:u w:val="none"/>
                <w:lang w:val="en-US" w:eastAsia="zh-CN"/>
              </w:rPr>
            </w:pPr>
            <w:r>
              <w:rPr>
                <w:rFonts w:hint="eastAsia" w:ascii="仿宋" w:hAnsi="仿宋" w:eastAsia="仿宋" w:cs="仿宋"/>
                <w:color w:val="auto"/>
                <w:spacing w:val="6"/>
                <w:kern w:val="0"/>
                <w:sz w:val="21"/>
                <w:szCs w:val="21"/>
                <w:highlight w:val="none"/>
                <w:u w:val="none"/>
                <w:lang w:val="en-US" w:eastAsia="zh-CN"/>
              </w:rPr>
              <w:t>2</w:t>
            </w:r>
          </w:p>
        </w:tc>
      </w:tr>
      <w:tr w14:paraId="08CED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noWrap w:val="0"/>
            <w:vAlign w:val="center"/>
          </w:tcPr>
          <w:p w14:paraId="550E6BFD">
            <w:pPr>
              <w:autoSpaceDE w:val="0"/>
              <w:autoSpaceDN w:val="0"/>
              <w:adjustRightInd w:val="0"/>
              <w:jc w:val="center"/>
              <w:textAlignment w:val="baseline"/>
              <w:rPr>
                <w:rFonts w:hint="default"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3</w:t>
            </w:r>
          </w:p>
        </w:tc>
        <w:tc>
          <w:tcPr>
            <w:tcW w:w="2008" w:type="dxa"/>
            <w:noWrap w:val="0"/>
            <w:vAlign w:val="center"/>
          </w:tcPr>
          <w:p w14:paraId="227B9F3C">
            <w:pPr>
              <w:jc w:val="center"/>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体系认证</w:t>
            </w:r>
          </w:p>
        </w:tc>
        <w:tc>
          <w:tcPr>
            <w:tcW w:w="6316" w:type="dxa"/>
            <w:noWrap w:val="0"/>
            <w:vAlign w:val="center"/>
          </w:tcPr>
          <w:p w14:paraId="35B2715B">
            <w:pPr>
              <w:widowControl/>
              <w:numPr>
                <w:ilvl w:val="0"/>
                <w:numId w:val="0"/>
              </w:numPr>
              <w:jc w:val="left"/>
              <w:rPr>
                <w:rFonts w:hint="default" w:ascii="仿宋" w:hAnsi="仿宋" w:eastAsia="仿宋" w:cs="仿宋"/>
                <w:strike w:val="0"/>
                <w:dstrike w:val="0"/>
                <w:color w:val="auto"/>
                <w:kern w:val="0"/>
                <w:sz w:val="21"/>
                <w:szCs w:val="21"/>
                <w:highlight w:val="none"/>
                <w:u w:val="none"/>
                <w:lang w:val="en-US" w:eastAsia="zh-CN"/>
              </w:rPr>
            </w:pPr>
            <w:r>
              <w:rPr>
                <w:rFonts w:hint="default" w:ascii="仿宋" w:hAnsi="仿宋" w:eastAsia="仿宋" w:cs="仿宋"/>
                <w:strike w:val="0"/>
                <w:dstrike w:val="0"/>
                <w:color w:val="auto"/>
                <w:kern w:val="0"/>
                <w:sz w:val="21"/>
                <w:szCs w:val="21"/>
                <w:highlight w:val="none"/>
                <w:u w:val="none"/>
                <w:lang w:val="en-US" w:eastAsia="zh-CN"/>
              </w:rPr>
              <w:t>投标人具有有效期内的质量管理体系认证证书、环境管理体系认证证书、职业健康安全管理体系认证证书的，每提供1个证书得1分，最高分得3分。</w:t>
            </w:r>
          </w:p>
          <w:p w14:paraId="7AFABFC4">
            <w:pPr>
              <w:widowControl/>
              <w:numPr>
                <w:ilvl w:val="0"/>
                <w:numId w:val="0"/>
              </w:numPr>
              <w:jc w:val="left"/>
              <w:rPr>
                <w:rFonts w:hint="default" w:ascii="仿宋" w:hAnsi="仿宋" w:eastAsia="仿宋" w:cs="仿宋"/>
                <w:strike w:val="0"/>
                <w:dstrike w:val="0"/>
                <w:color w:val="auto"/>
                <w:kern w:val="0"/>
                <w:sz w:val="21"/>
                <w:szCs w:val="21"/>
                <w:highlight w:val="none"/>
                <w:u w:val="none"/>
                <w:lang w:val="en-US" w:eastAsia="zh-CN"/>
              </w:rPr>
            </w:pPr>
            <w:r>
              <w:rPr>
                <w:rFonts w:hint="default" w:ascii="仿宋" w:hAnsi="仿宋" w:eastAsia="仿宋" w:cs="仿宋"/>
                <w:b/>
                <w:bCs/>
                <w:strike w:val="0"/>
                <w:dstrike w:val="0"/>
                <w:color w:val="auto"/>
                <w:kern w:val="0"/>
                <w:sz w:val="21"/>
                <w:szCs w:val="21"/>
                <w:highlight w:val="none"/>
                <w:u w:val="none"/>
                <w:lang w:val="en-US" w:eastAsia="zh-CN"/>
              </w:rPr>
              <w:t>注：提供相应证书扫描件</w:t>
            </w:r>
            <w:r>
              <w:rPr>
                <w:rFonts w:hint="eastAsia" w:ascii="仿宋" w:hAnsi="仿宋" w:eastAsia="仿宋" w:cs="仿宋"/>
                <w:b/>
                <w:bCs/>
                <w:strike w:val="0"/>
                <w:dstrike w:val="0"/>
                <w:color w:val="auto"/>
                <w:kern w:val="0"/>
                <w:sz w:val="21"/>
                <w:szCs w:val="21"/>
                <w:highlight w:val="none"/>
                <w:u w:val="none"/>
                <w:lang w:val="en-US" w:eastAsia="zh-CN"/>
              </w:rPr>
              <w:t>编入商务技术文件中，</w:t>
            </w:r>
            <w:r>
              <w:rPr>
                <w:rFonts w:hint="default" w:ascii="仿宋" w:hAnsi="仿宋" w:eastAsia="仿宋" w:cs="仿宋"/>
                <w:b/>
                <w:bCs/>
                <w:strike w:val="0"/>
                <w:dstrike w:val="0"/>
                <w:color w:val="auto"/>
                <w:kern w:val="0"/>
                <w:sz w:val="21"/>
                <w:szCs w:val="21"/>
                <w:highlight w:val="none"/>
                <w:u w:val="none"/>
                <w:lang w:val="en-US" w:eastAsia="zh-CN"/>
              </w:rPr>
              <w:t>证书需在全国认证认可信息公共服务平台（http://cx.cnca.cn/CertECloud/index/index/page）可查询，并提供全国认证认可信息公共服务平台网页查询截图，否则不得分。</w:t>
            </w:r>
          </w:p>
        </w:tc>
        <w:tc>
          <w:tcPr>
            <w:tcW w:w="867" w:type="dxa"/>
            <w:noWrap w:val="0"/>
            <w:vAlign w:val="center"/>
          </w:tcPr>
          <w:p w14:paraId="21D9C286">
            <w:pPr>
              <w:widowControl/>
              <w:autoSpaceDE w:val="0"/>
              <w:autoSpaceDN w:val="0"/>
              <w:adjustRightInd w:val="0"/>
              <w:snapToGrid w:val="0"/>
              <w:jc w:val="center"/>
              <w:textAlignment w:val="baseline"/>
              <w:rPr>
                <w:rFonts w:hint="default" w:ascii="仿宋" w:hAnsi="仿宋" w:eastAsia="仿宋" w:cs="仿宋"/>
                <w:color w:val="auto"/>
                <w:spacing w:val="6"/>
                <w:kern w:val="0"/>
                <w:sz w:val="21"/>
                <w:szCs w:val="21"/>
                <w:highlight w:val="none"/>
                <w:u w:val="none"/>
                <w:lang w:val="en-US" w:eastAsia="zh-CN"/>
              </w:rPr>
            </w:pPr>
            <w:r>
              <w:rPr>
                <w:rFonts w:hint="eastAsia" w:ascii="仿宋" w:hAnsi="仿宋" w:eastAsia="仿宋" w:cs="仿宋"/>
                <w:color w:val="auto"/>
                <w:spacing w:val="6"/>
                <w:kern w:val="0"/>
                <w:sz w:val="21"/>
                <w:szCs w:val="21"/>
                <w:highlight w:val="none"/>
                <w:u w:val="none"/>
                <w:lang w:val="en-US" w:eastAsia="zh-CN"/>
              </w:rPr>
              <w:t>3</w:t>
            </w:r>
          </w:p>
        </w:tc>
      </w:tr>
      <w:tr w14:paraId="231C6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noWrap w:val="0"/>
            <w:vAlign w:val="center"/>
          </w:tcPr>
          <w:p w14:paraId="7170EF16">
            <w:pPr>
              <w:autoSpaceDE w:val="0"/>
              <w:autoSpaceDN w:val="0"/>
              <w:adjustRightInd w:val="0"/>
              <w:jc w:val="center"/>
              <w:textAlignment w:val="baseline"/>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4</w:t>
            </w:r>
          </w:p>
        </w:tc>
        <w:tc>
          <w:tcPr>
            <w:tcW w:w="2008" w:type="dxa"/>
            <w:noWrap w:val="0"/>
            <w:vAlign w:val="center"/>
          </w:tcPr>
          <w:p w14:paraId="03CB4F83">
            <w:pPr>
              <w:pStyle w:val="174"/>
              <w:bidi w:val="0"/>
              <w:ind w:firstLine="0" w:firstLineChars="0"/>
              <w:rPr>
                <w:rFonts w:hint="eastAsia" w:ascii="仿宋" w:hAnsi="仿宋" w:eastAsia="仿宋" w:cs="仿宋"/>
                <w:color w:val="auto"/>
                <w:szCs w:val="21"/>
                <w:highlight w:val="none"/>
                <w:lang w:eastAsia="zh-CN"/>
              </w:rPr>
            </w:pPr>
            <w:r>
              <w:rPr>
                <w:rFonts w:hint="eastAsia" w:ascii="仿宋" w:hAnsi="仿宋" w:eastAsia="仿宋" w:cs="仿宋"/>
                <w:highlight w:val="none"/>
                <w:lang w:val="en-US" w:eastAsia="zh-CN"/>
              </w:rPr>
              <w:t>对本项目的理解</w:t>
            </w:r>
          </w:p>
        </w:tc>
        <w:tc>
          <w:tcPr>
            <w:tcW w:w="6316" w:type="dxa"/>
            <w:noWrap w:val="0"/>
            <w:vAlign w:val="center"/>
          </w:tcPr>
          <w:p w14:paraId="4B9BDE75">
            <w:pPr>
              <w:pStyle w:val="174"/>
              <w:bidi w:val="0"/>
              <w:ind w:firstLine="0" w:firstLineChars="0"/>
              <w:jc w:val="left"/>
              <w:rPr>
                <w:rFonts w:hint="eastAsia" w:ascii="仿宋" w:hAnsi="仿宋" w:eastAsia="仿宋" w:cs="仿宋"/>
                <w:strike w:val="0"/>
                <w:dstrike w:val="0"/>
                <w:color w:val="auto"/>
                <w:kern w:val="0"/>
                <w:sz w:val="21"/>
                <w:szCs w:val="21"/>
                <w:highlight w:val="none"/>
                <w:u w:val="none"/>
                <w:lang w:val="en-US" w:eastAsia="zh-CN"/>
              </w:rPr>
            </w:pPr>
            <w:r>
              <w:rPr>
                <w:rFonts w:hint="eastAsia" w:ascii="仿宋" w:hAnsi="仿宋" w:eastAsia="仿宋" w:cs="仿宋"/>
                <w:highlight w:val="none"/>
                <w:lang w:val="en-US" w:eastAsia="zh-CN"/>
              </w:rPr>
              <w:t>根据投标人对本项目背景的了解情况进行综合打分（0-3分）。</w:t>
            </w:r>
          </w:p>
        </w:tc>
        <w:tc>
          <w:tcPr>
            <w:tcW w:w="867" w:type="dxa"/>
            <w:noWrap w:val="0"/>
            <w:vAlign w:val="center"/>
          </w:tcPr>
          <w:p w14:paraId="1DB86D2B">
            <w:pPr>
              <w:pStyle w:val="174"/>
              <w:bidi w:val="0"/>
              <w:ind w:firstLine="0" w:firstLineChars="0"/>
              <w:rPr>
                <w:rFonts w:hint="eastAsia" w:ascii="仿宋" w:hAnsi="仿宋" w:eastAsia="仿宋" w:cs="仿宋"/>
                <w:color w:val="auto"/>
                <w:spacing w:val="6"/>
                <w:kern w:val="0"/>
                <w:sz w:val="21"/>
                <w:szCs w:val="21"/>
                <w:highlight w:val="none"/>
                <w:u w:val="none"/>
                <w:lang w:val="en-US" w:eastAsia="zh-CN"/>
              </w:rPr>
            </w:pPr>
            <w:r>
              <w:rPr>
                <w:rFonts w:hint="eastAsia" w:ascii="仿宋" w:hAnsi="仿宋" w:eastAsia="仿宋" w:cs="仿宋"/>
                <w:highlight w:val="none"/>
                <w:lang w:val="en-US" w:eastAsia="zh-CN"/>
              </w:rPr>
              <w:t>3</w:t>
            </w:r>
          </w:p>
        </w:tc>
      </w:tr>
      <w:tr w14:paraId="57E3E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noWrap w:val="0"/>
            <w:vAlign w:val="center"/>
          </w:tcPr>
          <w:p w14:paraId="119C0C23">
            <w:pPr>
              <w:autoSpaceDE w:val="0"/>
              <w:autoSpaceDN w:val="0"/>
              <w:adjustRightInd w:val="0"/>
              <w:jc w:val="center"/>
              <w:textAlignment w:val="baseline"/>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5</w:t>
            </w:r>
          </w:p>
        </w:tc>
        <w:tc>
          <w:tcPr>
            <w:tcW w:w="2008" w:type="dxa"/>
            <w:noWrap w:val="0"/>
            <w:vAlign w:val="center"/>
          </w:tcPr>
          <w:p w14:paraId="083C6AB4">
            <w:pPr>
              <w:pStyle w:val="174"/>
              <w:bidi w:val="0"/>
              <w:ind w:firstLine="0" w:firstLineChars="0"/>
              <w:rPr>
                <w:rFonts w:hint="eastAsia" w:ascii="仿宋" w:hAnsi="仿宋" w:eastAsia="仿宋" w:cs="仿宋"/>
                <w:color w:val="auto"/>
                <w:szCs w:val="21"/>
                <w:highlight w:val="none"/>
                <w:lang w:eastAsia="zh-CN"/>
              </w:rPr>
            </w:pPr>
            <w:r>
              <w:rPr>
                <w:rFonts w:hint="eastAsia" w:ascii="仿宋" w:hAnsi="仿宋" w:eastAsia="仿宋" w:cs="仿宋"/>
                <w:highlight w:val="none"/>
              </w:rPr>
              <w:t>服务质量</w:t>
            </w:r>
          </w:p>
        </w:tc>
        <w:tc>
          <w:tcPr>
            <w:tcW w:w="6316" w:type="dxa"/>
            <w:noWrap w:val="0"/>
            <w:vAlign w:val="center"/>
          </w:tcPr>
          <w:p w14:paraId="66303C8F">
            <w:pPr>
              <w:pStyle w:val="174"/>
              <w:bidi w:val="0"/>
              <w:ind w:firstLine="0" w:firstLineChars="0"/>
              <w:jc w:val="left"/>
              <w:rPr>
                <w:rFonts w:hint="eastAsia" w:ascii="仿宋" w:hAnsi="仿宋" w:eastAsia="仿宋" w:cs="仿宋"/>
                <w:strike w:val="0"/>
                <w:dstrike w:val="0"/>
                <w:color w:val="auto"/>
                <w:kern w:val="0"/>
                <w:sz w:val="21"/>
                <w:szCs w:val="21"/>
                <w:highlight w:val="none"/>
                <w:u w:val="none"/>
                <w:lang w:val="en-US" w:eastAsia="zh-CN"/>
              </w:rPr>
            </w:pPr>
            <w:r>
              <w:rPr>
                <w:rFonts w:hint="eastAsia" w:ascii="仿宋" w:hAnsi="仿宋" w:eastAsia="仿宋" w:cs="仿宋"/>
                <w:highlight w:val="none"/>
              </w:rPr>
              <w:t>是否满足采购人要求，质量保证措施是否合理，是否制定完善的三级</w:t>
            </w:r>
            <w:r>
              <w:rPr>
                <w:rFonts w:hint="eastAsia" w:ascii="仿宋" w:hAnsi="仿宋" w:eastAsia="仿宋" w:cs="仿宋"/>
                <w:highlight w:val="none"/>
                <w:lang w:val="en-US" w:eastAsia="zh-CN"/>
              </w:rPr>
              <w:t>咨询</w:t>
            </w:r>
            <w:r>
              <w:rPr>
                <w:rFonts w:hint="eastAsia" w:ascii="仿宋" w:hAnsi="仿宋" w:eastAsia="仿宋" w:cs="仿宋"/>
                <w:highlight w:val="none"/>
              </w:rPr>
              <w:t>质量控制制度</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、重大问题会商制度</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、咨询质量奖惩制度等质量控制制度</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。三级</w:t>
            </w:r>
            <w:r>
              <w:rPr>
                <w:rFonts w:hint="eastAsia" w:ascii="仿宋" w:hAnsi="仿宋" w:eastAsia="仿宋" w:cs="仿宋"/>
                <w:highlight w:val="none"/>
                <w:lang w:val="en-US" w:eastAsia="zh-CN"/>
              </w:rPr>
              <w:t>咨询</w:t>
            </w:r>
            <w:r>
              <w:rPr>
                <w:rFonts w:hint="eastAsia" w:ascii="仿宋" w:hAnsi="仿宋" w:eastAsia="仿宋" w:cs="仿宋"/>
                <w:highlight w:val="none"/>
              </w:rPr>
              <w:t>质量控制制度应明确每级</w:t>
            </w:r>
            <w:r>
              <w:rPr>
                <w:rFonts w:hint="eastAsia" w:ascii="仿宋" w:hAnsi="仿宋" w:eastAsia="仿宋" w:cs="仿宋"/>
                <w:highlight w:val="none"/>
                <w:lang w:val="en-US" w:eastAsia="zh-CN"/>
              </w:rPr>
              <w:t>咨询</w:t>
            </w:r>
            <w:r>
              <w:rPr>
                <w:rFonts w:hint="eastAsia" w:ascii="仿宋" w:hAnsi="仿宋" w:eastAsia="仿宋" w:cs="仿宋"/>
                <w:highlight w:val="none"/>
              </w:rPr>
              <w:t>人员、</w:t>
            </w:r>
            <w:r>
              <w:rPr>
                <w:rFonts w:hint="eastAsia" w:ascii="仿宋" w:hAnsi="仿宋" w:eastAsia="仿宋" w:cs="仿宋"/>
                <w:highlight w:val="none"/>
                <w:lang w:val="en-US" w:eastAsia="zh-CN"/>
              </w:rPr>
              <w:t>咨询</w:t>
            </w:r>
            <w:r>
              <w:rPr>
                <w:rFonts w:hint="eastAsia" w:ascii="仿宋" w:hAnsi="仿宋" w:eastAsia="仿宋" w:cs="仿宋"/>
                <w:highlight w:val="none"/>
              </w:rPr>
              <w:t>要点、</w:t>
            </w:r>
            <w:r>
              <w:rPr>
                <w:rFonts w:hint="eastAsia" w:ascii="仿宋" w:hAnsi="仿宋" w:eastAsia="仿宋" w:cs="仿宋"/>
                <w:highlight w:val="none"/>
                <w:lang w:val="en-US" w:eastAsia="zh-CN"/>
              </w:rPr>
              <w:t>咨询</w:t>
            </w:r>
            <w:r>
              <w:rPr>
                <w:rFonts w:hint="eastAsia" w:ascii="仿宋" w:hAnsi="仿宋" w:eastAsia="仿宋" w:cs="仿宋"/>
                <w:highlight w:val="none"/>
              </w:rPr>
              <w:t>记录、成果相关要求等内容</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0-3分</w:t>
            </w:r>
            <w:r>
              <w:rPr>
                <w:rFonts w:hint="eastAsia" w:ascii="仿宋" w:hAnsi="仿宋" w:eastAsia="仿宋" w:cs="仿宋"/>
                <w:highlight w:val="none"/>
                <w:lang w:eastAsia="zh-CN"/>
              </w:rPr>
              <w:t>）</w:t>
            </w:r>
            <w:r>
              <w:rPr>
                <w:rFonts w:hint="eastAsia" w:ascii="仿宋" w:hAnsi="仿宋" w:eastAsia="仿宋" w:cs="仿宋"/>
                <w:highlight w:val="none"/>
              </w:rPr>
              <w:t>。</w:t>
            </w:r>
          </w:p>
        </w:tc>
        <w:tc>
          <w:tcPr>
            <w:tcW w:w="867" w:type="dxa"/>
            <w:noWrap w:val="0"/>
            <w:vAlign w:val="center"/>
          </w:tcPr>
          <w:p w14:paraId="1CB8DB73">
            <w:pPr>
              <w:pStyle w:val="174"/>
              <w:bidi w:val="0"/>
              <w:ind w:firstLine="0" w:firstLineChars="0"/>
              <w:rPr>
                <w:rFonts w:hint="eastAsia" w:ascii="仿宋" w:hAnsi="仿宋" w:eastAsia="仿宋" w:cs="仿宋"/>
                <w:color w:val="auto"/>
                <w:spacing w:val="6"/>
                <w:kern w:val="0"/>
                <w:sz w:val="21"/>
                <w:szCs w:val="21"/>
                <w:highlight w:val="none"/>
                <w:u w:val="none"/>
                <w:lang w:val="en-US" w:eastAsia="zh-CN"/>
              </w:rPr>
            </w:pPr>
            <w:r>
              <w:rPr>
                <w:rFonts w:hint="eastAsia" w:ascii="仿宋" w:hAnsi="仿宋" w:eastAsia="仿宋" w:cs="仿宋"/>
                <w:highlight w:val="none"/>
                <w:lang w:val="en-US" w:eastAsia="zh-CN"/>
              </w:rPr>
              <w:t>9</w:t>
            </w:r>
          </w:p>
        </w:tc>
      </w:tr>
      <w:tr w14:paraId="61837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vMerge w:val="restart"/>
            <w:noWrap w:val="0"/>
            <w:vAlign w:val="center"/>
          </w:tcPr>
          <w:p w14:paraId="0ECE7D25">
            <w:pPr>
              <w:autoSpaceDE w:val="0"/>
              <w:autoSpaceDN w:val="0"/>
              <w:adjustRightInd w:val="0"/>
              <w:jc w:val="center"/>
              <w:textAlignment w:val="baseline"/>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6</w:t>
            </w:r>
          </w:p>
        </w:tc>
        <w:tc>
          <w:tcPr>
            <w:tcW w:w="2008" w:type="dxa"/>
            <w:vMerge w:val="restart"/>
            <w:noWrap w:val="0"/>
            <w:vAlign w:val="center"/>
          </w:tcPr>
          <w:p w14:paraId="202D9D53">
            <w:pPr>
              <w:jc w:val="center"/>
              <w:rPr>
                <w:rFonts w:hint="eastAsia" w:ascii="仿宋" w:hAnsi="仿宋" w:eastAsia="仿宋" w:cs="仿宋"/>
                <w:color w:val="auto"/>
                <w:szCs w:val="21"/>
                <w:highlight w:val="none"/>
                <w:lang w:eastAsia="zh-CN"/>
              </w:rPr>
            </w:pPr>
            <w:r>
              <w:rPr>
                <w:rFonts w:hint="eastAsia" w:ascii="仿宋" w:hAnsi="仿宋" w:eastAsia="仿宋" w:cs="仿宋"/>
                <w:highlight w:val="none"/>
                <w:lang w:val="en-US" w:eastAsia="zh-CN"/>
              </w:rPr>
              <w:t>造价咨询工作实施方案</w:t>
            </w:r>
          </w:p>
        </w:tc>
        <w:tc>
          <w:tcPr>
            <w:tcW w:w="6316" w:type="dxa"/>
            <w:noWrap w:val="0"/>
            <w:vAlign w:val="center"/>
          </w:tcPr>
          <w:p w14:paraId="39F7ACB3">
            <w:pPr>
              <w:pStyle w:val="174"/>
              <w:bidi w:val="0"/>
              <w:ind w:firstLine="0" w:firstLineChars="0"/>
              <w:jc w:val="left"/>
              <w:rPr>
                <w:rFonts w:hint="eastAsia" w:ascii="仿宋" w:hAnsi="仿宋" w:eastAsia="仿宋" w:cs="仿宋"/>
                <w:strike w:val="0"/>
                <w:dstrike w:val="0"/>
                <w:color w:val="auto"/>
                <w:kern w:val="0"/>
                <w:sz w:val="21"/>
                <w:szCs w:val="21"/>
                <w:highlight w:val="none"/>
                <w:u w:val="none"/>
                <w:lang w:val="en-US" w:eastAsia="zh-CN"/>
              </w:rPr>
            </w:pPr>
            <w:r>
              <w:rPr>
                <w:rFonts w:hint="eastAsia" w:ascii="仿宋" w:hAnsi="仿宋" w:eastAsia="仿宋" w:cs="仿宋"/>
                <w:highlight w:val="none"/>
                <w:lang w:eastAsia="zh-CN"/>
              </w:rPr>
              <w:t>根据投标人</w:t>
            </w:r>
            <w:r>
              <w:rPr>
                <w:rFonts w:hint="eastAsia" w:ascii="仿宋" w:hAnsi="仿宋" w:eastAsia="仿宋" w:cs="仿宋"/>
                <w:highlight w:val="none"/>
              </w:rPr>
              <w:t>是否针对</w:t>
            </w:r>
            <w:r>
              <w:rPr>
                <w:rFonts w:hint="eastAsia" w:ascii="仿宋" w:hAnsi="仿宋" w:eastAsia="仿宋" w:cs="仿宋"/>
                <w:highlight w:val="none"/>
                <w:lang w:val="en-US" w:eastAsia="zh-CN"/>
              </w:rPr>
              <w:t>政府</w:t>
            </w:r>
            <w:r>
              <w:rPr>
                <w:rFonts w:hint="eastAsia" w:ascii="仿宋" w:hAnsi="仿宋" w:eastAsia="仿宋" w:cs="仿宋"/>
                <w:highlight w:val="none"/>
              </w:rPr>
              <w:t>投资项目</w:t>
            </w:r>
            <w:r>
              <w:rPr>
                <w:rFonts w:hint="eastAsia" w:ascii="仿宋" w:hAnsi="仿宋" w:eastAsia="仿宋" w:cs="仿宋"/>
                <w:highlight w:val="none"/>
                <w:lang w:val="en-US" w:eastAsia="zh-CN"/>
              </w:rPr>
              <w:t>造价咨询</w:t>
            </w:r>
            <w:r>
              <w:rPr>
                <w:rFonts w:hint="eastAsia" w:ascii="仿宋" w:hAnsi="仿宋" w:eastAsia="仿宋" w:cs="仿宋"/>
                <w:highlight w:val="none"/>
              </w:rPr>
              <w:t>，详细说明服务工作流程及现场勘察</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、项目对账</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、指标分析</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问题披露</w:t>
            </w:r>
            <w:r>
              <w:rPr>
                <w:rFonts w:hint="eastAsia" w:ascii="仿宋" w:hAnsi="仿宋" w:eastAsia="仿宋" w:cs="仿宋"/>
                <w:highlight w:val="none"/>
                <w:lang w:eastAsia="zh-CN"/>
              </w:rPr>
              <w:t>等工作环节的内容分析及措施（</w:t>
            </w:r>
            <w:r>
              <w:rPr>
                <w:rFonts w:hint="eastAsia" w:ascii="仿宋" w:hAnsi="仿宋" w:eastAsia="仿宋" w:cs="仿宋"/>
                <w:highlight w:val="none"/>
                <w:lang w:val="en-US" w:eastAsia="zh-CN"/>
              </w:rPr>
              <w:t>0-3分</w:t>
            </w:r>
            <w:r>
              <w:rPr>
                <w:rFonts w:hint="eastAsia" w:ascii="仿宋" w:hAnsi="仿宋" w:eastAsia="仿宋" w:cs="仿宋"/>
                <w:highlight w:val="none"/>
                <w:lang w:eastAsia="zh-CN"/>
              </w:rPr>
              <w:t>），进行综合评分；</w:t>
            </w:r>
          </w:p>
        </w:tc>
        <w:tc>
          <w:tcPr>
            <w:tcW w:w="867" w:type="dxa"/>
            <w:noWrap w:val="0"/>
            <w:vAlign w:val="center"/>
          </w:tcPr>
          <w:p w14:paraId="374FC57F">
            <w:pPr>
              <w:pStyle w:val="174"/>
              <w:bidi w:val="0"/>
              <w:ind w:firstLine="0" w:firstLineChars="0"/>
              <w:rPr>
                <w:rFonts w:hint="eastAsia" w:ascii="仿宋" w:hAnsi="仿宋" w:eastAsia="仿宋" w:cs="仿宋"/>
                <w:color w:val="auto"/>
                <w:spacing w:val="6"/>
                <w:kern w:val="0"/>
                <w:sz w:val="21"/>
                <w:szCs w:val="21"/>
                <w:highlight w:val="none"/>
                <w:u w:val="none"/>
                <w:lang w:val="en-US" w:eastAsia="zh-CN"/>
              </w:rPr>
            </w:pPr>
            <w:r>
              <w:rPr>
                <w:rFonts w:hint="eastAsia" w:ascii="仿宋" w:hAnsi="仿宋" w:eastAsia="仿宋" w:cs="仿宋"/>
                <w:highlight w:val="none"/>
                <w:lang w:val="en-US" w:eastAsia="zh-CN"/>
              </w:rPr>
              <w:t>9</w:t>
            </w:r>
          </w:p>
        </w:tc>
      </w:tr>
      <w:tr w14:paraId="6B7E4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vMerge w:val="continue"/>
            <w:noWrap w:val="0"/>
            <w:vAlign w:val="center"/>
          </w:tcPr>
          <w:p w14:paraId="7C814F93">
            <w:pPr>
              <w:autoSpaceDE w:val="0"/>
              <w:autoSpaceDN w:val="0"/>
              <w:adjustRightInd w:val="0"/>
              <w:jc w:val="center"/>
              <w:textAlignment w:val="baseline"/>
              <w:rPr>
                <w:rFonts w:hint="eastAsia" w:ascii="仿宋" w:hAnsi="仿宋" w:eastAsia="仿宋" w:cs="仿宋"/>
                <w:color w:val="auto"/>
                <w:kern w:val="0"/>
                <w:sz w:val="21"/>
                <w:szCs w:val="21"/>
                <w:highlight w:val="none"/>
                <w:u w:val="none"/>
                <w:lang w:val="en-US" w:eastAsia="zh-CN"/>
              </w:rPr>
            </w:pPr>
          </w:p>
        </w:tc>
        <w:tc>
          <w:tcPr>
            <w:tcW w:w="2008" w:type="dxa"/>
            <w:vMerge w:val="continue"/>
            <w:noWrap w:val="0"/>
            <w:vAlign w:val="center"/>
          </w:tcPr>
          <w:p w14:paraId="0FF6F193">
            <w:pPr>
              <w:jc w:val="center"/>
              <w:rPr>
                <w:rFonts w:hint="eastAsia" w:ascii="仿宋" w:hAnsi="仿宋" w:eastAsia="仿宋" w:cs="仿宋"/>
                <w:color w:val="auto"/>
                <w:szCs w:val="21"/>
                <w:highlight w:val="none"/>
                <w:lang w:eastAsia="zh-CN"/>
              </w:rPr>
            </w:pPr>
          </w:p>
        </w:tc>
        <w:tc>
          <w:tcPr>
            <w:tcW w:w="6316" w:type="dxa"/>
            <w:noWrap w:val="0"/>
            <w:vAlign w:val="center"/>
          </w:tcPr>
          <w:p w14:paraId="25AF1A76">
            <w:pPr>
              <w:pStyle w:val="174"/>
              <w:bidi w:val="0"/>
              <w:ind w:firstLine="0" w:firstLineChars="0"/>
              <w:jc w:val="left"/>
              <w:rPr>
                <w:rFonts w:hint="eastAsia" w:ascii="仿宋" w:hAnsi="仿宋" w:eastAsia="仿宋" w:cs="仿宋"/>
                <w:strike w:val="0"/>
                <w:dstrike w:val="0"/>
                <w:color w:val="auto"/>
                <w:kern w:val="0"/>
                <w:sz w:val="21"/>
                <w:szCs w:val="21"/>
                <w:highlight w:val="none"/>
                <w:u w:val="none"/>
                <w:lang w:val="en-US" w:eastAsia="zh-CN"/>
              </w:rPr>
            </w:pPr>
            <w:r>
              <w:rPr>
                <w:rFonts w:hint="eastAsia" w:ascii="仿宋" w:hAnsi="仿宋" w:eastAsia="仿宋" w:cs="仿宋"/>
                <w:highlight w:val="none"/>
                <w:lang w:eastAsia="zh-CN"/>
              </w:rPr>
              <w:t>根据投标人</w:t>
            </w:r>
            <w:r>
              <w:rPr>
                <w:rFonts w:hint="eastAsia" w:ascii="仿宋" w:hAnsi="仿宋" w:eastAsia="仿宋" w:cs="仿宋"/>
                <w:highlight w:val="none"/>
              </w:rPr>
              <w:t>是否针对</w:t>
            </w:r>
            <w:r>
              <w:rPr>
                <w:rFonts w:hint="eastAsia" w:ascii="仿宋" w:hAnsi="仿宋" w:eastAsia="仿宋" w:cs="仿宋"/>
                <w:highlight w:val="none"/>
                <w:lang w:val="en-US" w:eastAsia="zh-CN"/>
              </w:rPr>
              <w:t>造价咨询</w:t>
            </w:r>
            <w:r>
              <w:rPr>
                <w:rFonts w:hint="eastAsia" w:ascii="仿宋" w:hAnsi="仿宋" w:eastAsia="仿宋" w:cs="仿宋"/>
                <w:highlight w:val="none"/>
              </w:rPr>
              <w:t>过程中发现的</w:t>
            </w:r>
            <w:r>
              <w:rPr>
                <w:rFonts w:hint="eastAsia" w:ascii="仿宋" w:hAnsi="仿宋" w:eastAsia="仿宋" w:cs="仿宋"/>
                <w:highlight w:val="none"/>
                <w:lang w:eastAsia="zh-CN"/>
              </w:rPr>
              <w:t>设计</w:t>
            </w:r>
            <w:r>
              <w:rPr>
                <w:rFonts w:hint="eastAsia" w:ascii="仿宋" w:hAnsi="仿宋" w:eastAsia="仿宋" w:cs="仿宋"/>
                <w:highlight w:val="none"/>
              </w:rPr>
              <w:t>图纸、特殊施工方案</w:t>
            </w:r>
            <w:r>
              <w:rPr>
                <w:rFonts w:hint="eastAsia" w:ascii="仿宋" w:hAnsi="仿宋" w:eastAsia="仿宋" w:cs="仿宋"/>
                <w:highlight w:val="none"/>
                <w:lang w:eastAsia="zh-CN"/>
              </w:rPr>
              <w:t>的问题（</w:t>
            </w:r>
            <w:r>
              <w:rPr>
                <w:rFonts w:hint="eastAsia" w:ascii="仿宋" w:hAnsi="仿宋" w:eastAsia="仿宋" w:cs="仿宋"/>
                <w:highlight w:val="none"/>
                <w:lang w:val="en-US" w:eastAsia="zh-CN"/>
              </w:rPr>
              <w:t>0-3分</w:t>
            </w:r>
            <w:r>
              <w:rPr>
                <w:rFonts w:hint="eastAsia" w:ascii="仿宋" w:hAnsi="仿宋" w:eastAsia="仿宋" w:cs="仿宋"/>
                <w:highlight w:val="none"/>
                <w:lang w:eastAsia="zh-CN"/>
              </w:rPr>
              <w:t>）、</w:t>
            </w:r>
            <w:r>
              <w:rPr>
                <w:rFonts w:hint="eastAsia" w:ascii="仿宋" w:hAnsi="仿宋" w:eastAsia="仿宋" w:cs="仿宋"/>
                <w:highlight w:val="none"/>
              </w:rPr>
              <w:t>建议解决方案</w:t>
            </w:r>
            <w:r>
              <w:rPr>
                <w:rFonts w:hint="eastAsia" w:ascii="仿宋" w:hAnsi="仿宋" w:eastAsia="仿宋" w:cs="仿宋"/>
                <w:highlight w:val="none"/>
                <w:lang w:eastAsia="zh-CN"/>
              </w:rPr>
              <w:t>及措施（</w:t>
            </w:r>
            <w:r>
              <w:rPr>
                <w:rFonts w:hint="eastAsia" w:ascii="仿宋" w:hAnsi="仿宋" w:eastAsia="仿宋" w:cs="仿宋"/>
                <w:highlight w:val="none"/>
                <w:lang w:val="en-US" w:eastAsia="zh-CN"/>
              </w:rPr>
              <w:t>0-3分</w:t>
            </w:r>
            <w:r>
              <w:rPr>
                <w:rFonts w:hint="eastAsia" w:ascii="仿宋" w:hAnsi="仿宋" w:eastAsia="仿宋" w:cs="仿宋"/>
                <w:highlight w:val="none"/>
                <w:lang w:eastAsia="zh-CN"/>
              </w:rPr>
              <w:t>）</w:t>
            </w:r>
            <w:r>
              <w:rPr>
                <w:rFonts w:hint="eastAsia" w:ascii="仿宋" w:hAnsi="仿宋" w:eastAsia="仿宋" w:cs="仿宋"/>
                <w:highlight w:val="none"/>
              </w:rPr>
              <w:t>；</w:t>
            </w:r>
          </w:p>
        </w:tc>
        <w:tc>
          <w:tcPr>
            <w:tcW w:w="867" w:type="dxa"/>
            <w:noWrap w:val="0"/>
            <w:vAlign w:val="center"/>
          </w:tcPr>
          <w:p w14:paraId="619C3821">
            <w:pPr>
              <w:pStyle w:val="174"/>
              <w:bidi w:val="0"/>
              <w:ind w:firstLine="0" w:firstLineChars="0"/>
              <w:rPr>
                <w:rFonts w:hint="eastAsia" w:ascii="仿宋" w:hAnsi="仿宋" w:eastAsia="仿宋" w:cs="仿宋"/>
                <w:color w:val="auto"/>
                <w:spacing w:val="6"/>
                <w:kern w:val="0"/>
                <w:sz w:val="21"/>
                <w:szCs w:val="21"/>
                <w:highlight w:val="none"/>
                <w:u w:val="none"/>
                <w:lang w:val="en-US" w:eastAsia="zh-CN"/>
              </w:rPr>
            </w:pPr>
            <w:r>
              <w:rPr>
                <w:rFonts w:hint="eastAsia" w:ascii="仿宋" w:hAnsi="仿宋" w:eastAsia="仿宋" w:cs="仿宋"/>
                <w:highlight w:val="none"/>
                <w:lang w:val="en-US" w:eastAsia="zh-CN"/>
              </w:rPr>
              <w:t>6</w:t>
            </w:r>
          </w:p>
        </w:tc>
      </w:tr>
      <w:tr w14:paraId="396C3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vMerge w:val="continue"/>
            <w:noWrap w:val="0"/>
            <w:vAlign w:val="center"/>
          </w:tcPr>
          <w:p w14:paraId="13D28376">
            <w:pPr>
              <w:autoSpaceDE w:val="0"/>
              <w:autoSpaceDN w:val="0"/>
              <w:adjustRightInd w:val="0"/>
              <w:jc w:val="center"/>
              <w:textAlignment w:val="baseline"/>
              <w:rPr>
                <w:rFonts w:hint="eastAsia" w:ascii="仿宋" w:hAnsi="仿宋" w:eastAsia="仿宋" w:cs="仿宋"/>
                <w:color w:val="auto"/>
                <w:kern w:val="0"/>
                <w:sz w:val="21"/>
                <w:szCs w:val="21"/>
                <w:highlight w:val="none"/>
                <w:u w:val="none"/>
                <w:lang w:val="en-US" w:eastAsia="zh-CN"/>
              </w:rPr>
            </w:pPr>
          </w:p>
        </w:tc>
        <w:tc>
          <w:tcPr>
            <w:tcW w:w="2008" w:type="dxa"/>
            <w:vMerge w:val="continue"/>
            <w:noWrap w:val="0"/>
            <w:vAlign w:val="center"/>
          </w:tcPr>
          <w:p w14:paraId="0EF7CCF4">
            <w:pPr>
              <w:jc w:val="center"/>
              <w:rPr>
                <w:rFonts w:hint="eastAsia" w:ascii="仿宋" w:hAnsi="仿宋" w:eastAsia="仿宋" w:cs="仿宋"/>
                <w:color w:val="auto"/>
                <w:szCs w:val="21"/>
                <w:highlight w:val="none"/>
                <w:lang w:eastAsia="zh-CN"/>
              </w:rPr>
            </w:pPr>
          </w:p>
        </w:tc>
        <w:tc>
          <w:tcPr>
            <w:tcW w:w="6316" w:type="dxa"/>
            <w:noWrap w:val="0"/>
            <w:vAlign w:val="center"/>
          </w:tcPr>
          <w:p w14:paraId="63F4178F">
            <w:pPr>
              <w:pStyle w:val="174"/>
              <w:bidi w:val="0"/>
              <w:ind w:firstLine="0" w:firstLineChars="0"/>
              <w:jc w:val="left"/>
              <w:rPr>
                <w:rFonts w:hint="eastAsia" w:ascii="仿宋" w:hAnsi="仿宋" w:eastAsia="仿宋" w:cs="仿宋"/>
                <w:strike w:val="0"/>
                <w:dstrike w:val="0"/>
                <w:color w:val="auto"/>
                <w:kern w:val="0"/>
                <w:sz w:val="21"/>
                <w:szCs w:val="21"/>
                <w:highlight w:val="none"/>
                <w:u w:val="none"/>
                <w:lang w:val="en-US" w:eastAsia="zh-CN"/>
              </w:rPr>
            </w:pPr>
            <w:r>
              <w:rPr>
                <w:rFonts w:hint="eastAsia" w:ascii="仿宋" w:hAnsi="仿宋" w:eastAsia="仿宋" w:cs="仿宋"/>
                <w:highlight w:val="none"/>
                <w:lang w:eastAsia="zh-CN"/>
              </w:rPr>
              <w:t>根据投标人</w:t>
            </w:r>
            <w:r>
              <w:rPr>
                <w:rFonts w:hint="eastAsia" w:ascii="仿宋" w:hAnsi="仿宋" w:eastAsia="仿宋" w:cs="仿宋"/>
                <w:highlight w:val="none"/>
              </w:rPr>
              <w:t>是否针对</w:t>
            </w:r>
            <w:r>
              <w:rPr>
                <w:rFonts w:hint="eastAsia" w:ascii="仿宋" w:hAnsi="仿宋" w:eastAsia="仿宋" w:cs="仿宋"/>
                <w:highlight w:val="none"/>
                <w:lang w:val="en-US" w:eastAsia="zh-CN"/>
              </w:rPr>
              <w:t>造价咨询</w:t>
            </w:r>
            <w:r>
              <w:rPr>
                <w:rFonts w:hint="eastAsia" w:ascii="仿宋" w:hAnsi="仿宋" w:eastAsia="仿宋" w:cs="仿宋"/>
                <w:highlight w:val="none"/>
              </w:rPr>
              <w:t>过程中发现的</w:t>
            </w:r>
            <w:r>
              <w:rPr>
                <w:rFonts w:hint="eastAsia" w:ascii="仿宋" w:hAnsi="仿宋" w:eastAsia="仿宋" w:cs="仿宋"/>
                <w:highlight w:val="none"/>
                <w:lang w:eastAsia="zh-CN"/>
              </w:rPr>
              <w:t>设计</w:t>
            </w:r>
            <w:r>
              <w:rPr>
                <w:rFonts w:hint="eastAsia" w:ascii="仿宋" w:hAnsi="仿宋" w:eastAsia="仿宋" w:cs="仿宋"/>
                <w:highlight w:val="none"/>
              </w:rPr>
              <w:t>图纸、特殊施工方案是否提供本项目实施过程中突发事件处理机制与预案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0-3分</w:t>
            </w:r>
            <w:r>
              <w:rPr>
                <w:rFonts w:hint="eastAsia" w:ascii="仿宋" w:hAnsi="仿宋" w:eastAsia="仿宋" w:cs="仿宋"/>
                <w:highlight w:val="none"/>
                <w:lang w:eastAsia="zh-CN"/>
              </w:rPr>
              <w:t>）</w:t>
            </w:r>
            <w:r>
              <w:rPr>
                <w:rFonts w:hint="eastAsia" w:ascii="仿宋" w:hAnsi="仿宋" w:eastAsia="仿宋" w:cs="仿宋"/>
                <w:highlight w:val="none"/>
              </w:rPr>
              <w:t>。</w:t>
            </w:r>
          </w:p>
        </w:tc>
        <w:tc>
          <w:tcPr>
            <w:tcW w:w="867" w:type="dxa"/>
            <w:noWrap w:val="0"/>
            <w:vAlign w:val="center"/>
          </w:tcPr>
          <w:p w14:paraId="7E6EE3EF">
            <w:pPr>
              <w:pStyle w:val="174"/>
              <w:bidi w:val="0"/>
              <w:ind w:firstLine="0" w:firstLineChars="0"/>
              <w:rPr>
                <w:rFonts w:hint="eastAsia" w:ascii="仿宋" w:hAnsi="仿宋" w:eastAsia="仿宋" w:cs="仿宋"/>
                <w:color w:val="auto"/>
                <w:spacing w:val="6"/>
                <w:kern w:val="0"/>
                <w:sz w:val="21"/>
                <w:szCs w:val="21"/>
                <w:highlight w:val="none"/>
                <w:u w:val="none"/>
                <w:lang w:val="en-US" w:eastAsia="zh-CN"/>
              </w:rPr>
            </w:pPr>
            <w:r>
              <w:rPr>
                <w:rFonts w:hint="eastAsia" w:ascii="仿宋" w:hAnsi="仿宋" w:eastAsia="仿宋" w:cs="仿宋"/>
                <w:highlight w:val="none"/>
                <w:lang w:val="en-US" w:eastAsia="zh-CN"/>
              </w:rPr>
              <w:t>3</w:t>
            </w:r>
          </w:p>
        </w:tc>
      </w:tr>
      <w:tr w14:paraId="7768E3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vMerge w:val="continue"/>
            <w:noWrap w:val="0"/>
            <w:vAlign w:val="center"/>
          </w:tcPr>
          <w:p w14:paraId="696DD6D8">
            <w:pPr>
              <w:autoSpaceDE w:val="0"/>
              <w:autoSpaceDN w:val="0"/>
              <w:adjustRightInd w:val="0"/>
              <w:jc w:val="center"/>
              <w:textAlignment w:val="baseline"/>
              <w:rPr>
                <w:rFonts w:hint="eastAsia" w:ascii="仿宋" w:hAnsi="仿宋" w:eastAsia="仿宋" w:cs="仿宋"/>
                <w:color w:val="auto"/>
                <w:kern w:val="0"/>
                <w:sz w:val="21"/>
                <w:szCs w:val="21"/>
                <w:highlight w:val="none"/>
                <w:u w:val="none"/>
                <w:lang w:val="en-US" w:eastAsia="zh-CN"/>
              </w:rPr>
            </w:pPr>
          </w:p>
        </w:tc>
        <w:tc>
          <w:tcPr>
            <w:tcW w:w="2008" w:type="dxa"/>
            <w:vMerge w:val="continue"/>
            <w:noWrap w:val="0"/>
            <w:vAlign w:val="center"/>
          </w:tcPr>
          <w:p w14:paraId="60C3EA98">
            <w:pPr>
              <w:jc w:val="center"/>
              <w:rPr>
                <w:rFonts w:hint="eastAsia" w:ascii="仿宋" w:hAnsi="仿宋" w:eastAsia="仿宋" w:cs="仿宋"/>
                <w:color w:val="auto"/>
                <w:szCs w:val="21"/>
                <w:highlight w:val="none"/>
                <w:lang w:eastAsia="zh-CN"/>
              </w:rPr>
            </w:pPr>
          </w:p>
        </w:tc>
        <w:tc>
          <w:tcPr>
            <w:tcW w:w="6316" w:type="dxa"/>
            <w:noWrap w:val="0"/>
            <w:vAlign w:val="center"/>
          </w:tcPr>
          <w:p w14:paraId="697C41D0">
            <w:pPr>
              <w:pStyle w:val="174"/>
              <w:bidi w:val="0"/>
              <w:ind w:firstLine="0" w:firstLineChars="0"/>
              <w:jc w:val="left"/>
              <w:rPr>
                <w:rFonts w:hint="eastAsia" w:ascii="仿宋" w:hAnsi="仿宋" w:eastAsia="仿宋" w:cs="仿宋"/>
                <w:strike w:val="0"/>
                <w:dstrike w:val="0"/>
                <w:color w:val="auto"/>
                <w:kern w:val="0"/>
                <w:sz w:val="21"/>
                <w:szCs w:val="21"/>
                <w:highlight w:val="none"/>
                <w:u w:val="none"/>
                <w:lang w:val="en-US" w:eastAsia="zh-CN"/>
              </w:rPr>
            </w:pPr>
            <w:r>
              <w:rPr>
                <w:rFonts w:hint="eastAsia" w:ascii="仿宋" w:hAnsi="仿宋" w:eastAsia="仿宋" w:cs="仿宋"/>
                <w:highlight w:val="none"/>
                <w:lang w:eastAsia="zh-CN"/>
              </w:rPr>
              <w:t>根据投标人</w:t>
            </w:r>
            <w:r>
              <w:rPr>
                <w:rFonts w:hint="eastAsia" w:ascii="仿宋" w:hAnsi="仿宋" w:eastAsia="仿宋" w:cs="仿宋"/>
                <w:highlight w:val="none"/>
                <w:lang w:val="en-US" w:eastAsia="zh-CN"/>
              </w:rPr>
              <w:t>配合建设单位进行变更审核方案进行综合打分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0-3分</w:t>
            </w:r>
            <w:r>
              <w:rPr>
                <w:rFonts w:hint="eastAsia" w:ascii="仿宋" w:hAnsi="仿宋" w:eastAsia="仿宋" w:cs="仿宋"/>
                <w:highlight w:val="none"/>
                <w:lang w:eastAsia="zh-CN"/>
              </w:rPr>
              <w:t>）。</w:t>
            </w:r>
          </w:p>
        </w:tc>
        <w:tc>
          <w:tcPr>
            <w:tcW w:w="867" w:type="dxa"/>
            <w:noWrap w:val="0"/>
            <w:vAlign w:val="center"/>
          </w:tcPr>
          <w:p w14:paraId="33B46575">
            <w:pPr>
              <w:pStyle w:val="174"/>
              <w:bidi w:val="0"/>
              <w:ind w:firstLine="0" w:firstLineChars="0"/>
              <w:rPr>
                <w:rFonts w:hint="eastAsia" w:ascii="仿宋" w:hAnsi="仿宋" w:eastAsia="仿宋" w:cs="仿宋"/>
                <w:color w:val="auto"/>
                <w:spacing w:val="6"/>
                <w:kern w:val="0"/>
                <w:sz w:val="21"/>
                <w:szCs w:val="21"/>
                <w:highlight w:val="none"/>
                <w:u w:val="none"/>
                <w:lang w:val="en-US" w:eastAsia="zh-CN"/>
              </w:rPr>
            </w:pPr>
            <w:r>
              <w:rPr>
                <w:rFonts w:hint="eastAsia" w:ascii="仿宋" w:hAnsi="仿宋" w:eastAsia="仿宋" w:cs="仿宋"/>
                <w:highlight w:val="none"/>
                <w:lang w:val="en-US" w:eastAsia="zh-CN"/>
              </w:rPr>
              <w:t>3</w:t>
            </w:r>
          </w:p>
        </w:tc>
      </w:tr>
      <w:tr w14:paraId="678C8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noWrap w:val="0"/>
            <w:vAlign w:val="center"/>
          </w:tcPr>
          <w:p w14:paraId="4581A6CB">
            <w:pPr>
              <w:autoSpaceDE w:val="0"/>
              <w:autoSpaceDN w:val="0"/>
              <w:adjustRightInd w:val="0"/>
              <w:jc w:val="center"/>
              <w:textAlignment w:val="baseline"/>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7</w:t>
            </w:r>
          </w:p>
        </w:tc>
        <w:tc>
          <w:tcPr>
            <w:tcW w:w="2008" w:type="dxa"/>
            <w:noWrap w:val="0"/>
            <w:vAlign w:val="center"/>
          </w:tcPr>
          <w:p w14:paraId="1342BE3E">
            <w:pPr>
              <w:pStyle w:val="174"/>
              <w:bidi w:val="0"/>
              <w:ind w:firstLine="0" w:firstLineChars="0"/>
              <w:rPr>
                <w:rFonts w:hint="eastAsia" w:ascii="仿宋" w:hAnsi="仿宋" w:eastAsia="仿宋" w:cs="仿宋"/>
                <w:color w:val="auto"/>
                <w:szCs w:val="21"/>
                <w:highlight w:val="none"/>
                <w:lang w:eastAsia="zh-CN"/>
              </w:rPr>
            </w:pPr>
            <w:r>
              <w:rPr>
                <w:rFonts w:hint="eastAsia" w:ascii="仿宋" w:hAnsi="仿宋" w:eastAsia="仿宋" w:cs="仿宋"/>
                <w:highlight w:val="none"/>
                <w:lang w:eastAsia="zh-CN"/>
              </w:rPr>
              <w:t>进度控制</w:t>
            </w:r>
          </w:p>
        </w:tc>
        <w:tc>
          <w:tcPr>
            <w:tcW w:w="6316" w:type="dxa"/>
            <w:noWrap w:val="0"/>
            <w:vAlign w:val="center"/>
          </w:tcPr>
          <w:p w14:paraId="4103B9F5">
            <w:pPr>
              <w:pStyle w:val="174"/>
              <w:bidi w:val="0"/>
              <w:ind w:firstLine="0" w:firstLineChars="0"/>
              <w:jc w:val="left"/>
              <w:rPr>
                <w:rFonts w:hint="eastAsia" w:ascii="仿宋" w:hAnsi="仿宋" w:eastAsia="仿宋" w:cs="仿宋"/>
                <w:strike w:val="0"/>
                <w:dstrike w:val="0"/>
                <w:color w:val="auto"/>
                <w:kern w:val="0"/>
                <w:sz w:val="21"/>
                <w:szCs w:val="21"/>
                <w:highlight w:val="none"/>
                <w:u w:val="none"/>
                <w:lang w:val="en-US" w:eastAsia="zh-CN"/>
              </w:rPr>
            </w:pPr>
            <w:r>
              <w:rPr>
                <w:rFonts w:hint="eastAsia" w:ascii="仿宋" w:hAnsi="仿宋" w:eastAsia="仿宋" w:cs="仿宋"/>
                <w:highlight w:val="none"/>
                <w:lang w:eastAsia="zh-CN"/>
              </w:rPr>
              <w:t>根据投标人</w:t>
            </w:r>
            <w:r>
              <w:rPr>
                <w:rFonts w:hint="eastAsia" w:ascii="仿宋" w:hAnsi="仿宋" w:eastAsia="仿宋" w:cs="仿宋"/>
                <w:highlight w:val="none"/>
              </w:rPr>
              <w:t>是否承诺按照采购人提出的时限完成工作，能否保证采购人要求的响应时间，</w:t>
            </w:r>
            <w:r>
              <w:rPr>
                <w:rFonts w:hint="eastAsia" w:ascii="仿宋" w:hAnsi="仿宋" w:eastAsia="仿宋" w:cs="仿宋"/>
                <w:highlight w:val="none"/>
                <w:lang w:val="en-US" w:eastAsia="zh-CN"/>
              </w:rPr>
              <w:t>编制招标控制价</w:t>
            </w:r>
            <w:r>
              <w:rPr>
                <w:rFonts w:hint="eastAsia" w:ascii="仿宋" w:hAnsi="仿宋" w:eastAsia="仿宋" w:cs="仿宋"/>
                <w:highlight w:val="none"/>
              </w:rPr>
              <w:t>进度控制方案是否科学合理并明确时间节点</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、关键线路</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、逻辑关系</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、控制措施等方面的内容</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w:t>
            </w:r>
          </w:p>
        </w:tc>
        <w:tc>
          <w:tcPr>
            <w:tcW w:w="867" w:type="dxa"/>
            <w:noWrap w:val="0"/>
            <w:vAlign w:val="center"/>
          </w:tcPr>
          <w:p w14:paraId="33C0CEA7">
            <w:pPr>
              <w:pStyle w:val="174"/>
              <w:bidi w:val="0"/>
              <w:ind w:firstLine="0" w:firstLineChars="0"/>
              <w:rPr>
                <w:rFonts w:hint="eastAsia" w:ascii="仿宋" w:hAnsi="仿宋" w:eastAsia="仿宋" w:cs="仿宋"/>
                <w:color w:val="auto"/>
                <w:spacing w:val="6"/>
                <w:kern w:val="0"/>
                <w:sz w:val="21"/>
                <w:szCs w:val="21"/>
                <w:highlight w:val="none"/>
                <w:u w:val="none"/>
                <w:lang w:val="en-US" w:eastAsia="zh-CN"/>
              </w:rPr>
            </w:pPr>
            <w:r>
              <w:rPr>
                <w:rFonts w:hint="eastAsia" w:ascii="仿宋" w:hAnsi="仿宋" w:eastAsia="仿宋" w:cs="仿宋"/>
                <w:highlight w:val="none"/>
                <w:lang w:val="en-US" w:eastAsia="zh-CN"/>
              </w:rPr>
              <w:t>8</w:t>
            </w:r>
          </w:p>
        </w:tc>
      </w:tr>
      <w:tr w14:paraId="68DB8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noWrap w:val="0"/>
            <w:vAlign w:val="center"/>
          </w:tcPr>
          <w:p w14:paraId="7045C488">
            <w:pPr>
              <w:autoSpaceDE w:val="0"/>
              <w:autoSpaceDN w:val="0"/>
              <w:adjustRightInd w:val="0"/>
              <w:jc w:val="center"/>
              <w:textAlignment w:val="baseline"/>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8</w:t>
            </w:r>
          </w:p>
        </w:tc>
        <w:tc>
          <w:tcPr>
            <w:tcW w:w="2008" w:type="dxa"/>
            <w:noWrap w:val="0"/>
            <w:vAlign w:val="center"/>
          </w:tcPr>
          <w:p w14:paraId="602C2521">
            <w:pPr>
              <w:pStyle w:val="174"/>
              <w:bidi w:val="0"/>
              <w:ind w:firstLine="0" w:firstLineChars="0"/>
              <w:rPr>
                <w:rFonts w:hint="eastAsia" w:ascii="仿宋" w:hAnsi="仿宋" w:eastAsia="仿宋" w:cs="仿宋"/>
                <w:color w:val="auto"/>
                <w:szCs w:val="21"/>
                <w:highlight w:val="none"/>
                <w:lang w:eastAsia="zh-CN"/>
              </w:rPr>
            </w:pPr>
            <w:r>
              <w:rPr>
                <w:rFonts w:hint="eastAsia" w:ascii="仿宋" w:hAnsi="仿宋" w:eastAsia="仿宋" w:cs="仿宋"/>
                <w:highlight w:val="none"/>
              </w:rPr>
              <w:t>廉政措施</w:t>
            </w:r>
          </w:p>
        </w:tc>
        <w:tc>
          <w:tcPr>
            <w:tcW w:w="6316" w:type="dxa"/>
            <w:noWrap w:val="0"/>
            <w:vAlign w:val="center"/>
          </w:tcPr>
          <w:p w14:paraId="18484482">
            <w:pPr>
              <w:pStyle w:val="174"/>
              <w:bidi w:val="0"/>
              <w:ind w:firstLine="0" w:firstLineChars="0"/>
              <w:jc w:val="left"/>
              <w:rPr>
                <w:rFonts w:hint="eastAsia" w:ascii="仿宋" w:hAnsi="仿宋" w:eastAsia="仿宋" w:cs="仿宋"/>
                <w:strike w:val="0"/>
                <w:dstrike w:val="0"/>
                <w:color w:val="auto"/>
                <w:kern w:val="0"/>
                <w:sz w:val="21"/>
                <w:szCs w:val="21"/>
                <w:highlight w:val="none"/>
                <w:u w:val="none"/>
                <w:lang w:val="en-US" w:eastAsia="zh-CN"/>
              </w:rPr>
            </w:pPr>
            <w:r>
              <w:rPr>
                <w:rFonts w:hint="eastAsia" w:ascii="仿宋" w:hAnsi="仿宋" w:eastAsia="仿宋" w:cs="仿宋"/>
                <w:highlight w:val="none"/>
                <w:lang w:eastAsia="zh-CN"/>
              </w:rPr>
              <w:t>根据投标人</w:t>
            </w:r>
            <w:r>
              <w:rPr>
                <w:rFonts w:hint="eastAsia" w:ascii="仿宋" w:hAnsi="仿宋" w:eastAsia="仿宋" w:cs="仿宋"/>
                <w:highlight w:val="none"/>
              </w:rPr>
              <w:t>是否拟定</w:t>
            </w:r>
            <w:r>
              <w:rPr>
                <w:rFonts w:hint="eastAsia" w:ascii="仿宋" w:hAnsi="仿宋" w:eastAsia="仿宋" w:cs="仿宋"/>
                <w:highlight w:val="none"/>
                <w:lang w:val="en-US" w:eastAsia="zh-CN"/>
              </w:rPr>
              <w:t>造价咨询</w:t>
            </w:r>
            <w:r>
              <w:rPr>
                <w:rFonts w:hint="eastAsia" w:ascii="仿宋" w:hAnsi="仿宋" w:eastAsia="仿宋" w:cs="仿宋"/>
                <w:highlight w:val="none"/>
              </w:rPr>
              <w:t>人员廉洁/廉政方面必要的控制措施，确保行业廉政风险</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0-3分</w:t>
            </w:r>
            <w:r>
              <w:rPr>
                <w:rFonts w:hint="eastAsia" w:ascii="仿宋" w:hAnsi="仿宋" w:eastAsia="仿宋" w:cs="仿宋"/>
                <w:highlight w:val="none"/>
                <w:lang w:eastAsia="zh-CN"/>
              </w:rPr>
              <w:t>）。</w:t>
            </w:r>
          </w:p>
        </w:tc>
        <w:tc>
          <w:tcPr>
            <w:tcW w:w="867" w:type="dxa"/>
            <w:noWrap w:val="0"/>
            <w:vAlign w:val="center"/>
          </w:tcPr>
          <w:p w14:paraId="1C0EA110">
            <w:pPr>
              <w:pStyle w:val="174"/>
              <w:bidi w:val="0"/>
              <w:ind w:firstLine="0" w:firstLineChars="0"/>
              <w:rPr>
                <w:rFonts w:hint="eastAsia" w:ascii="仿宋" w:hAnsi="仿宋" w:eastAsia="仿宋" w:cs="仿宋"/>
                <w:color w:val="auto"/>
                <w:spacing w:val="6"/>
                <w:kern w:val="0"/>
                <w:sz w:val="21"/>
                <w:szCs w:val="21"/>
                <w:highlight w:val="none"/>
                <w:u w:val="none"/>
                <w:lang w:val="en-US" w:eastAsia="zh-CN"/>
              </w:rPr>
            </w:pPr>
            <w:r>
              <w:rPr>
                <w:rFonts w:hint="eastAsia" w:ascii="仿宋" w:hAnsi="仿宋" w:eastAsia="仿宋" w:cs="仿宋"/>
                <w:highlight w:val="none"/>
                <w:lang w:val="en-US" w:eastAsia="zh-CN"/>
              </w:rPr>
              <w:t>3</w:t>
            </w:r>
          </w:p>
        </w:tc>
      </w:tr>
      <w:tr w14:paraId="13FDB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noWrap w:val="0"/>
            <w:vAlign w:val="center"/>
          </w:tcPr>
          <w:p w14:paraId="2F1ED1C7">
            <w:pPr>
              <w:autoSpaceDE w:val="0"/>
              <w:autoSpaceDN w:val="0"/>
              <w:adjustRightInd w:val="0"/>
              <w:jc w:val="center"/>
              <w:textAlignment w:val="baseline"/>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9</w:t>
            </w:r>
          </w:p>
        </w:tc>
        <w:tc>
          <w:tcPr>
            <w:tcW w:w="2008" w:type="dxa"/>
            <w:shd w:val="clear" w:color="auto" w:fill="auto"/>
            <w:noWrap w:val="0"/>
            <w:vAlign w:val="center"/>
          </w:tcPr>
          <w:p w14:paraId="1F9165F7">
            <w:pPr>
              <w:pStyle w:val="174"/>
              <w:bidi w:val="0"/>
              <w:ind w:firstLine="0" w:firstLineChars="0"/>
              <w:rPr>
                <w:rFonts w:hint="eastAsia" w:ascii="仿宋" w:hAnsi="仿宋" w:eastAsia="仿宋" w:cs="仿宋"/>
                <w:kern w:val="0"/>
                <w:sz w:val="21"/>
                <w:szCs w:val="21"/>
                <w:highlight w:val="none"/>
                <w:lang w:val="en-US" w:eastAsia="zh-CN" w:bidi="ar-SA"/>
              </w:rPr>
            </w:pPr>
            <w:r>
              <w:rPr>
                <w:rFonts w:hint="eastAsia" w:ascii="仿宋" w:hAnsi="仿宋" w:eastAsia="仿宋" w:cs="仿宋"/>
                <w:highlight w:val="none"/>
              </w:rPr>
              <w:t>招标代理方案</w:t>
            </w:r>
          </w:p>
        </w:tc>
        <w:tc>
          <w:tcPr>
            <w:tcW w:w="6316" w:type="dxa"/>
            <w:shd w:val="clear" w:color="auto" w:fill="auto"/>
            <w:noWrap w:val="0"/>
            <w:vAlign w:val="center"/>
          </w:tcPr>
          <w:p w14:paraId="03EF4DCD">
            <w:pPr>
              <w:pStyle w:val="174"/>
              <w:bidi w:val="0"/>
              <w:jc w:val="left"/>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w:t>
            </w:r>
            <w:r>
              <w:rPr>
                <w:rFonts w:hint="eastAsia" w:ascii="仿宋" w:hAnsi="仿宋" w:eastAsia="仿宋" w:cs="仿宋"/>
                <w:highlight w:val="none"/>
              </w:rPr>
              <w:t>招标代理</w:t>
            </w:r>
            <w:r>
              <w:rPr>
                <w:rFonts w:hint="eastAsia" w:ascii="仿宋" w:hAnsi="仿宋" w:eastAsia="仿宋" w:cs="仿宋"/>
                <w:highlight w:val="none"/>
                <w:lang w:eastAsia="zh-CN"/>
              </w:rPr>
              <w:t>总体</w:t>
            </w:r>
            <w:r>
              <w:rPr>
                <w:rFonts w:hint="eastAsia" w:ascii="仿宋" w:hAnsi="仿宋" w:eastAsia="仿宋" w:cs="仿宋"/>
                <w:highlight w:val="none"/>
              </w:rPr>
              <w:t>方案是否完整、切实可行、有理有据</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w:t>
            </w:r>
            <w:r>
              <w:rPr>
                <w:rFonts w:hint="eastAsia" w:ascii="仿宋" w:hAnsi="仿宋" w:eastAsia="仿宋" w:cs="仿宋"/>
                <w:highlight w:val="none"/>
              </w:rPr>
              <w:t>分</w:t>
            </w:r>
            <w:r>
              <w:rPr>
                <w:rFonts w:hint="eastAsia" w:ascii="仿宋" w:hAnsi="仿宋" w:eastAsia="仿宋" w:cs="仿宋"/>
                <w:highlight w:val="none"/>
                <w:lang w:eastAsia="zh-CN"/>
              </w:rPr>
              <w:t>）</w:t>
            </w:r>
            <w:r>
              <w:rPr>
                <w:rFonts w:hint="eastAsia" w:ascii="仿宋" w:hAnsi="仿宋" w:eastAsia="仿宋" w:cs="仿宋"/>
                <w:highlight w:val="none"/>
              </w:rPr>
              <w:t>。</w:t>
            </w:r>
          </w:p>
          <w:p w14:paraId="7FF9434B">
            <w:pPr>
              <w:pStyle w:val="174"/>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2</w:t>
            </w:r>
            <w:r>
              <w:rPr>
                <w:rFonts w:hint="eastAsia" w:ascii="仿宋" w:hAnsi="仿宋" w:eastAsia="仿宋" w:cs="仿宋"/>
                <w:highlight w:val="none"/>
                <w:lang w:eastAsia="zh-CN"/>
              </w:rPr>
              <w:t>）</w:t>
            </w:r>
            <w:r>
              <w:rPr>
                <w:rFonts w:hint="eastAsia" w:ascii="仿宋" w:hAnsi="仿宋" w:eastAsia="仿宋" w:cs="仿宋"/>
                <w:highlight w:val="none"/>
              </w:rPr>
              <w:t>招标代理工作程序及时间安排是否科学合理、满足工程需要。</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w:t>
            </w:r>
            <w:r>
              <w:rPr>
                <w:rFonts w:hint="eastAsia" w:ascii="仿宋" w:hAnsi="仿宋" w:eastAsia="仿宋" w:cs="仿宋"/>
                <w:highlight w:val="none"/>
              </w:rPr>
              <w:t>分</w:t>
            </w:r>
            <w:r>
              <w:rPr>
                <w:rFonts w:hint="eastAsia" w:ascii="仿宋" w:hAnsi="仿宋" w:eastAsia="仿宋" w:cs="仿宋"/>
                <w:highlight w:val="none"/>
                <w:lang w:eastAsia="zh-CN"/>
              </w:rPr>
              <w:t>）</w:t>
            </w:r>
          </w:p>
          <w:p w14:paraId="2FF67FB2">
            <w:pPr>
              <w:pStyle w:val="174"/>
              <w:bidi w:val="0"/>
              <w:jc w:val="left"/>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w:t>
            </w:r>
            <w:r>
              <w:rPr>
                <w:rFonts w:hint="eastAsia" w:ascii="仿宋" w:hAnsi="仿宋" w:eastAsia="仿宋" w:cs="仿宋"/>
                <w:highlight w:val="none"/>
              </w:rPr>
              <w:t>对本项目招标方案策划、标段划分等建议是否科学、合理。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w:t>
            </w:r>
            <w:r>
              <w:rPr>
                <w:rFonts w:hint="eastAsia" w:ascii="仿宋" w:hAnsi="仿宋" w:eastAsia="仿宋" w:cs="仿宋"/>
                <w:highlight w:val="none"/>
              </w:rPr>
              <w:t>分</w:t>
            </w:r>
            <w:r>
              <w:rPr>
                <w:rFonts w:hint="eastAsia" w:ascii="仿宋" w:hAnsi="仿宋" w:eastAsia="仿宋" w:cs="仿宋"/>
                <w:highlight w:val="none"/>
                <w:lang w:eastAsia="zh-CN"/>
              </w:rPr>
              <w:t>）</w:t>
            </w:r>
          </w:p>
          <w:p w14:paraId="618CDA4C">
            <w:pPr>
              <w:pStyle w:val="174"/>
              <w:bidi w:val="0"/>
              <w:jc w:val="left"/>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4</w:t>
            </w:r>
            <w:r>
              <w:rPr>
                <w:rFonts w:hint="eastAsia" w:ascii="仿宋" w:hAnsi="仿宋" w:eastAsia="仿宋" w:cs="仿宋"/>
                <w:highlight w:val="none"/>
                <w:lang w:eastAsia="zh-CN"/>
              </w:rPr>
              <w:t>）</w:t>
            </w:r>
            <w:r>
              <w:rPr>
                <w:rFonts w:hint="eastAsia" w:ascii="仿宋" w:hAnsi="仿宋" w:eastAsia="仿宋" w:cs="仿宋"/>
                <w:highlight w:val="none"/>
              </w:rPr>
              <w:t>招标过程中防止投标人串标、抬价、恶性竞标的应对措施是否科学，可操作性</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w:t>
            </w:r>
            <w:r>
              <w:rPr>
                <w:rFonts w:hint="eastAsia" w:ascii="仿宋" w:hAnsi="仿宋" w:eastAsia="仿宋" w:cs="仿宋"/>
                <w:highlight w:val="none"/>
              </w:rPr>
              <w:t>分</w:t>
            </w:r>
            <w:r>
              <w:rPr>
                <w:rFonts w:hint="eastAsia" w:ascii="仿宋" w:hAnsi="仿宋" w:eastAsia="仿宋" w:cs="仿宋"/>
                <w:highlight w:val="none"/>
                <w:lang w:eastAsia="zh-CN"/>
              </w:rPr>
              <w:t>）</w:t>
            </w:r>
          </w:p>
          <w:p w14:paraId="1F204697">
            <w:pPr>
              <w:pStyle w:val="174"/>
              <w:bidi w:val="0"/>
              <w:ind w:firstLine="0" w:firstLineChars="0"/>
              <w:jc w:val="left"/>
              <w:rPr>
                <w:rFonts w:hint="eastAsia" w:ascii="仿宋" w:hAnsi="仿宋" w:eastAsia="仿宋" w:cs="仿宋"/>
                <w:kern w:val="0"/>
                <w:sz w:val="21"/>
                <w:szCs w:val="21"/>
                <w:highlight w:val="none"/>
                <w:lang w:val="en-US" w:eastAsia="zh-CN" w:bidi="ar-SA"/>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5</w:t>
            </w:r>
            <w:r>
              <w:rPr>
                <w:rFonts w:hint="eastAsia" w:ascii="仿宋" w:hAnsi="仿宋" w:eastAsia="仿宋" w:cs="仿宋"/>
                <w:highlight w:val="none"/>
                <w:lang w:eastAsia="zh-CN"/>
              </w:rPr>
              <w:t>）</w:t>
            </w:r>
            <w:r>
              <w:rPr>
                <w:rFonts w:hint="eastAsia" w:ascii="仿宋" w:hAnsi="仿宋" w:eastAsia="仿宋" w:cs="仿宋"/>
                <w:highlight w:val="none"/>
              </w:rPr>
              <w:t>招标代理人员工作守则及廉政措施是否科学、合理。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w:t>
            </w:r>
            <w:r>
              <w:rPr>
                <w:rFonts w:hint="eastAsia" w:ascii="仿宋" w:hAnsi="仿宋" w:eastAsia="仿宋" w:cs="仿宋"/>
                <w:highlight w:val="none"/>
              </w:rPr>
              <w:t>分</w:t>
            </w:r>
            <w:r>
              <w:rPr>
                <w:rFonts w:hint="eastAsia" w:ascii="仿宋" w:hAnsi="仿宋" w:eastAsia="仿宋" w:cs="仿宋"/>
                <w:highlight w:val="none"/>
                <w:lang w:eastAsia="zh-CN"/>
              </w:rPr>
              <w:t>）</w:t>
            </w:r>
          </w:p>
        </w:tc>
        <w:tc>
          <w:tcPr>
            <w:tcW w:w="867" w:type="dxa"/>
            <w:shd w:val="clear" w:color="auto" w:fill="auto"/>
            <w:noWrap w:val="0"/>
            <w:vAlign w:val="center"/>
          </w:tcPr>
          <w:p w14:paraId="20C39A76">
            <w:pPr>
              <w:pStyle w:val="174"/>
              <w:bidi w:val="0"/>
              <w:ind w:firstLine="0" w:firstLineChars="0"/>
              <w:rPr>
                <w:rFonts w:hint="eastAsia" w:ascii="仿宋" w:hAnsi="仿宋" w:eastAsia="仿宋" w:cs="仿宋"/>
                <w:kern w:val="0"/>
                <w:sz w:val="21"/>
                <w:szCs w:val="21"/>
                <w:highlight w:val="none"/>
                <w:lang w:val="en-US" w:eastAsia="zh-CN" w:bidi="ar-SA"/>
              </w:rPr>
            </w:pPr>
            <w:r>
              <w:rPr>
                <w:rFonts w:hint="eastAsia" w:ascii="仿宋" w:hAnsi="仿宋" w:eastAsia="仿宋" w:cs="仿宋"/>
                <w:highlight w:val="none"/>
                <w:lang w:val="en-US" w:eastAsia="zh-CN"/>
              </w:rPr>
              <w:t>15</w:t>
            </w:r>
          </w:p>
        </w:tc>
      </w:tr>
      <w:tr w14:paraId="1BA38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noWrap w:val="0"/>
            <w:vAlign w:val="center"/>
          </w:tcPr>
          <w:p w14:paraId="39C6BA1B">
            <w:pPr>
              <w:autoSpaceDE w:val="0"/>
              <w:autoSpaceDN w:val="0"/>
              <w:adjustRightInd w:val="0"/>
              <w:jc w:val="center"/>
              <w:textAlignment w:val="baseline"/>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10</w:t>
            </w:r>
          </w:p>
        </w:tc>
        <w:tc>
          <w:tcPr>
            <w:tcW w:w="2008" w:type="dxa"/>
            <w:shd w:val="clear" w:color="auto" w:fill="auto"/>
            <w:noWrap w:val="0"/>
            <w:vAlign w:val="center"/>
          </w:tcPr>
          <w:p w14:paraId="7AE87A4F">
            <w:pPr>
              <w:pStyle w:val="174"/>
              <w:bidi w:val="0"/>
              <w:ind w:firstLine="0" w:firstLineChars="0"/>
              <w:rPr>
                <w:rFonts w:hint="eastAsia" w:ascii="仿宋" w:hAnsi="仿宋" w:eastAsia="仿宋" w:cs="仿宋"/>
                <w:kern w:val="0"/>
                <w:sz w:val="21"/>
                <w:szCs w:val="21"/>
                <w:highlight w:val="none"/>
                <w:lang w:val="en-US" w:eastAsia="zh-CN" w:bidi="ar-SA"/>
              </w:rPr>
            </w:pPr>
            <w:r>
              <w:rPr>
                <w:rFonts w:hint="eastAsia" w:ascii="仿宋" w:hAnsi="仿宋" w:eastAsia="仿宋" w:cs="仿宋"/>
                <w:highlight w:val="none"/>
                <w:lang w:eastAsia="zh-CN"/>
              </w:rPr>
              <w:t>本地化</w:t>
            </w:r>
            <w:r>
              <w:rPr>
                <w:rFonts w:hint="eastAsia" w:ascii="仿宋" w:hAnsi="仿宋" w:eastAsia="仿宋" w:cs="仿宋"/>
                <w:highlight w:val="none"/>
              </w:rPr>
              <w:t>服务</w:t>
            </w:r>
          </w:p>
        </w:tc>
        <w:tc>
          <w:tcPr>
            <w:tcW w:w="6316" w:type="dxa"/>
            <w:shd w:val="clear" w:color="auto" w:fill="auto"/>
            <w:noWrap w:val="0"/>
            <w:vAlign w:val="center"/>
          </w:tcPr>
          <w:p w14:paraId="578D2737">
            <w:pPr>
              <w:pStyle w:val="174"/>
              <w:bidi w:val="0"/>
              <w:ind w:firstLine="0" w:firstLineChars="0"/>
              <w:jc w:val="left"/>
              <w:rPr>
                <w:rFonts w:hint="eastAsia" w:ascii="仿宋" w:hAnsi="仿宋" w:eastAsia="仿宋" w:cs="仿宋"/>
                <w:kern w:val="0"/>
                <w:sz w:val="21"/>
                <w:szCs w:val="21"/>
                <w:highlight w:val="none"/>
                <w:lang w:val="en-US" w:eastAsia="zh-CN" w:bidi="ar-SA"/>
              </w:rPr>
            </w:pPr>
            <w:r>
              <w:rPr>
                <w:rFonts w:hint="eastAsia" w:ascii="仿宋" w:hAnsi="仿宋" w:eastAsia="仿宋" w:cs="仿宋"/>
                <w:highlight w:val="none"/>
                <w:lang w:val="en-US" w:eastAsia="zh-CN"/>
              </w:rPr>
              <w:t>根据投标人提供售后服务方案内容包括但不限于：投标人的本地化服务呼叫电话和响应时间（0-1分）、现场服务支持能力（0-1分）、应急处理方案（0-1分）、场地测量（0-1分）、质量保证期限及范围（0-1分）进行综合评审。</w:t>
            </w:r>
          </w:p>
        </w:tc>
        <w:tc>
          <w:tcPr>
            <w:tcW w:w="867" w:type="dxa"/>
            <w:shd w:val="clear" w:color="auto" w:fill="auto"/>
            <w:noWrap w:val="0"/>
            <w:vAlign w:val="center"/>
          </w:tcPr>
          <w:p w14:paraId="45F82DDA">
            <w:pPr>
              <w:pStyle w:val="174"/>
              <w:bidi w:val="0"/>
              <w:ind w:firstLine="0" w:firstLineChars="0"/>
              <w:rPr>
                <w:rFonts w:hint="eastAsia" w:ascii="仿宋" w:hAnsi="仿宋" w:eastAsia="仿宋" w:cs="仿宋"/>
                <w:kern w:val="0"/>
                <w:sz w:val="21"/>
                <w:szCs w:val="21"/>
                <w:highlight w:val="none"/>
                <w:lang w:val="en-US" w:eastAsia="zh-CN" w:bidi="ar-SA"/>
              </w:rPr>
            </w:pPr>
            <w:r>
              <w:rPr>
                <w:rFonts w:hint="eastAsia" w:ascii="仿宋" w:hAnsi="仿宋" w:eastAsia="仿宋" w:cs="仿宋"/>
                <w:highlight w:val="none"/>
                <w:lang w:val="en-US" w:eastAsia="zh-CN"/>
              </w:rPr>
              <w:t>5</w:t>
            </w:r>
          </w:p>
        </w:tc>
      </w:tr>
      <w:tr w14:paraId="17FED8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98" w:type="dxa"/>
            <w:noWrap w:val="0"/>
            <w:vAlign w:val="center"/>
          </w:tcPr>
          <w:p w14:paraId="54178013">
            <w:pPr>
              <w:autoSpaceDE w:val="0"/>
              <w:autoSpaceDN w:val="0"/>
              <w:adjustRightInd w:val="0"/>
              <w:jc w:val="center"/>
              <w:textAlignment w:val="baseline"/>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11</w:t>
            </w:r>
          </w:p>
        </w:tc>
        <w:tc>
          <w:tcPr>
            <w:tcW w:w="2008" w:type="dxa"/>
            <w:shd w:val="clear" w:color="auto" w:fill="auto"/>
            <w:noWrap w:val="0"/>
            <w:vAlign w:val="center"/>
          </w:tcPr>
          <w:p w14:paraId="1B4960F1">
            <w:pPr>
              <w:pStyle w:val="174"/>
              <w:bidi w:val="0"/>
              <w:ind w:firstLine="0" w:firstLineChars="0"/>
              <w:rPr>
                <w:rFonts w:hint="eastAsia" w:ascii="仿宋" w:hAnsi="仿宋" w:eastAsia="仿宋" w:cs="仿宋"/>
                <w:kern w:val="0"/>
                <w:sz w:val="21"/>
                <w:szCs w:val="21"/>
                <w:highlight w:val="none"/>
                <w:lang w:val="en-US" w:eastAsia="zh-CN" w:bidi="ar-SA"/>
              </w:rPr>
            </w:pPr>
            <w:r>
              <w:rPr>
                <w:rFonts w:hint="eastAsia" w:ascii="仿宋" w:hAnsi="仿宋" w:eastAsia="仿宋" w:cs="仿宋"/>
                <w:highlight w:val="none"/>
                <w:lang w:val="en-US" w:eastAsia="zh-CN"/>
              </w:rPr>
              <w:t>增值服务</w:t>
            </w:r>
          </w:p>
        </w:tc>
        <w:tc>
          <w:tcPr>
            <w:tcW w:w="6316" w:type="dxa"/>
            <w:shd w:val="clear" w:color="auto" w:fill="auto"/>
            <w:noWrap w:val="0"/>
            <w:vAlign w:val="center"/>
          </w:tcPr>
          <w:p w14:paraId="60D4833D">
            <w:pPr>
              <w:pStyle w:val="174"/>
              <w:bidi w:val="0"/>
              <w:ind w:firstLine="0" w:firstLineChars="0"/>
              <w:jc w:val="left"/>
              <w:rPr>
                <w:rFonts w:hint="eastAsia" w:ascii="仿宋" w:hAnsi="仿宋" w:eastAsia="仿宋" w:cs="仿宋"/>
                <w:kern w:val="0"/>
                <w:sz w:val="21"/>
                <w:szCs w:val="21"/>
                <w:highlight w:val="none"/>
                <w:lang w:val="en-US" w:eastAsia="zh-CN" w:bidi="ar-SA"/>
              </w:rPr>
            </w:pPr>
            <w:r>
              <w:rPr>
                <w:rFonts w:hint="eastAsia" w:ascii="仿宋" w:hAnsi="仿宋" w:eastAsia="仿宋" w:cs="仿宋"/>
                <w:highlight w:val="none"/>
                <w:lang w:val="en-US" w:eastAsia="zh-CN"/>
              </w:rPr>
              <w:t>投标人针对本项目提供的增值服务的效用、特色和可行性等进行打分0-3分。</w:t>
            </w:r>
          </w:p>
        </w:tc>
        <w:tc>
          <w:tcPr>
            <w:tcW w:w="867" w:type="dxa"/>
            <w:shd w:val="clear" w:color="auto" w:fill="auto"/>
            <w:noWrap w:val="0"/>
            <w:vAlign w:val="center"/>
          </w:tcPr>
          <w:p w14:paraId="1B8AD697">
            <w:pPr>
              <w:pStyle w:val="174"/>
              <w:bidi w:val="0"/>
              <w:ind w:firstLine="0" w:firstLineChars="0"/>
              <w:rPr>
                <w:rFonts w:hint="eastAsia" w:ascii="仿宋" w:hAnsi="仿宋" w:eastAsia="仿宋" w:cs="仿宋"/>
                <w:kern w:val="0"/>
                <w:sz w:val="21"/>
                <w:szCs w:val="21"/>
                <w:highlight w:val="none"/>
                <w:lang w:val="en-US" w:eastAsia="zh-CN" w:bidi="ar-SA"/>
              </w:rPr>
            </w:pPr>
            <w:r>
              <w:rPr>
                <w:rFonts w:hint="eastAsia" w:ascii="仿宋" w:hAnsi="仿宋" w:eastAsia="仿宋" w:cs="仿宋"/>
                <w:highlight w:val="none"/>
                <w:lang w:val="en-US" w:eastAsia="zh-CN"/>
              </w:rPr>
              <w:t>3</w:t>
            </w:r>
          </w:p>
        </w:tc>
      </w:tr>
    </w:tbl>
    <w:p w14:paraId="77A67C2C">
      <w:pPr>
        <w:autoSpaceDE w:val="0"/>
        <w:autoSpaceDN w:val="0"/>
        <w:adjustRightInd w:val="0"/>
        <w:spacing w:line="400" w:lineRule="exact"/>
        <w:ind w:firstLine="420" w:firstLineChars="200"/>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（二）</w:t>
      </w:r>
      <w:bookmarkStart w:id="59" w:name="报价评分标准"/>
      <w:r>
        <w:rPr>
          <w:rFonts w:hint="eastAsia" w:ascii="仿宋" w:hAnsi="仿宋" w:eastAsia="仿宋" w:cs="仿宋"/>
          <w:b/>
          <w:bCs/>
          <w:color w:val="auto"/>
          <w:szCs w:val="21"/>
          <w:highlight w:val="none"/>
          <w:lang w:val="zh-CN"/>
        </w:rPr>
        <w:t>报价分评审标准</w:t>
      </w:r>
      <w:bookmarkEnd w:id="59"/>
      <w:r>
        <w:rPr>
          <w:rFonts w:hint="eastAsia" w:ascii="仿宋" w:hAnsi="仿宋" w:eastAsia="仿宋" w:cs="仿宋"/>
          <w:b/>
          <w:bCs/>
          <w:color w:val="auto"/>
          <w:szCs w:val="21"/>
          <w:highlight w:val="none"/>
          <w:lang w:val="zh-CN"/>
        </w:rPr>
        <w:t>（满分</w:t>
      </w:r>
      <w:r>
        <w:rPr>
          <w:rFonts w:hint="eastAsia" w:ascii="仿宋" w:hAnsi="仿宋" w:eastAsia="仿宋" w:cs="仿宋"/>
          <w:b/>
          <w:bCs/>
          <w:color w:val="auto"/>
          <w:szCs w:val="21"/>
          <w:highlight w:val="none"/>
          <w:lang w:val="en-US" w:eastAsia="zh-CN"/>
        </w:rPr>
        <w:t>20</w:t>
      </w:r>
      <w:r>
        <w:rPr>
          <w:rFonts w:hint="eastAsia" w:ascii="仿宋" w:hAnsi="仿宋" w:eastAsia="仿宋" w:cs="仿宋"/>
          <w:b/>
          <w:bCs/>
          <w:color w:val="auto"/>
          <w:szCs w:val="21"/>
          <w:highlight w:val="none"/>
        </w:rPr>
        <w:t>分</w:t>
      </w:r>
      <w:r>
        <w:rPr>
          <w:rFonts w:hint="eastAsia" w:ascii="仿宋" w:hAnsi="仿宋" w:eastAsia="仿宋" w:cs="仿宋"/>
          <w:b/>
          <w:bCs/>
          <w:color w:val="auto"/>
          <w:szCs w:val="21"/>
          <w:highlight w:val="none"/>
          <w:lang w:val="zh-CN"/>
        </w:rPr>
        <w:t>）</w:t>
      </w:r>
    </w:p>
    <w:p w14:paraId="7FF7D33D">
      <w:pPr>
        <w:pageBreakBefore w:val="0"/>
        <w:kinsoku/>
        <w:topLinePunct w:val="0"/>
        <w:bidi w:val="0"/>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1.价格分满分分值：20分（</w:t>
      </w:r>
      <w:r>
        <w:rPr>
          <w:rFonts w:hint="eastAsia" w:ascii="仿宋" w:hAnsi="仿宋" w:eastAsia="仿宋" w:cs="仿宋"/>
          <w:b/>
          <w:bCs/>
          <w:color w:val="auto"/>
          <w:szCs w:val="21"/>
          <w:highlight w:val="none"/>
          <w:lang w:eastAsia="zh-CN"/>
        </w:rPr>
        <w:t>招标代理费</w:t>
      </w:r>
      <w:r>
        <w:rPr>
          <w:rFonts w:hint="eastAsia" w:ascii="仿宋" w:hAnsi="仿宋" w:eastAsia="仿宋" w:cs="仿宋"/>
          <w:b/>
          <w:bCs/>
          <w:color w:val="auto"/>
          <w:szCs w:val="21"/>
          <w:highlight w:val="none"/>
          <w:lang w:val="en-US" w:eastAsia="zh-CN"/>
        </w:rPr>
        <w:t>10</w:t>
      </w:r>
      <w:r>
        <w:rPr>
          <w:rFonts w:hint="eastAsia" w:ascii="仿宋" w:hAnsi="仿宋" w:eastAsia="仿宋" w:cs="仿宋"/>
          <w:b/>
          <w:bCs/>
          <w:color w:val="auto"/>
          <w:szCs w:val="21"/>
          <w:highlight w:val="none"/>
        </w:rPr>
        <w:t>分，</w:t>
      </w:r>
      <w:r>
        <w:rPr>
          <w:rFonts w:hint="eastAsia" w:ascii="仿宋" w:hAnsi="仿宋" w:eastAsia="仿宋" w:cs="仿宋"/>
          <w:b/>
          <w:bCs/>
          <w:color w:val="auto"/>
          <w:szCs w:val="21"/>
          <w:highlight w:val="none"/>
          <w:lang w:val="en-US" w:eastAsia="zh-CN"/>
        </w:rPr>
        <w:t>施工阶段全过程造价控制费10</w:t>
      </w:r>
      <w:r>
        <w:rPr>
          <w:rFonts w:hint="eastAsia" w:ascii="仿宋" w:hAnsi="仿宋" w:eastAsia="仿宋" w:cs="仿宋"/>
          <w:b/>
          <w:bCs/>
          <w:color w:val="auto"/>
          <w:szCs w:val="21"/>
          <w:highlight w:val="none"/>
        </w:rPr>
        <w:t>分。）</w:t>
      </w:r>
    </w:p>
    <w:p w14:paraId="09FA58F6">
      <w:pPr>
        <w:pageBreakBefore w:val="0"/>
        <w:kinsoku/>
        <w:topLinePunct w:val="0"/>
        <w:bidi w:val="0"/>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所有合格投标人中最低投标报价为评标基准价，各投标人的价格得分=【评标基准价÷各投标人的</w:t>
      </w:r>
      <w:r>
        <w:rPr>
          <w:rFonts w:hint="eastAsia" w:ascii="仿宋" w:hAnsi="仿宋" w:eastAsia="仿宋" w:cs="仿宋"/>
          <w:b/>
          <w:bCs/>
          <w:color w:val="auto"/>
          <w:szCs w:val="21"/>
          <w:highlight w:val="none"/>
          <w:lang w:eastAsia="zh-CN"/>
        </w:rPr>
        <w:t>招标代理费</w:t>
      </w:r>
      <w:r>
        <w:rPr>
          <w:rFonts w:hint="eastAsia" w:ascii="仿宋" w:hAnsi="仿宋" w:eastAsia="仿宋" w:cs="仿宋"/>
          <w:b/>
          <w:bCs/>
          <w:color w:val="auto"/>
          <w:szCs w:val="21"/>
          <w:highlight w:val="none"/>
        </w:rPr>
        <w:t>投标报价×</w:t>
      </w:r>
      <w:r>
        <w:rPr>
          <w:rFonts w:hint="eastAsia" w:ascii="仿宋" w:hAnsi="仿宋" w:eastAsia="仿宋" w:cs="仿宋"/>
          <w:b/>
          <w:bCs/>
          <w:color w:val="auto"/>
          <w:szCs w:val="21"/>
          <w:highlight w:val="none"/>
          <w:lang w:eastAsia="zh-CN"/>
        </w:rPr>
        <w:t>招标代理费</w:t>
      </w:r>
      <w:r>
        <w:rPr>
          <w:rFonts w:hint="eastAsia" w:ascii="仿宋" w:hAnsi="仿宋" w:eastAsia="仿宋" w:cs="仿宋"/>
          <w:b/>
          <w:bCs/>
          <w:color w:val="auto"/>
          <w:szCs w:val="21"/>
          <w:highlight w:val="none"/>
        </w:rPr>
        <w:t>价格满分分值】</w:t>
      </w: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【评标基准价÷各投标人的</w:t>
      </w:r>
      <w:r>
        <w:rPr>
          <w:rFonts w:hint="eastAsia" w:ascii="仿宋" w:hAnsi="仿宋" w:eastAsia="仿宋" w:cs="仿宋"/>
          <w:b/>
          <w:bCs/>
          <w:color w:val="auto"/>
          <w:szCs w:val="21"/>
          <w:highlight w:val="none"/>
          <w:lang w:val="en-US" w:eastAsia="zh-CN"/>
        </w:rPr>
        <w:t>施工阶段全过程造价控制费</w:t>
      </w:r>
      <w:r>
        <w:rPr>
          <w:rFonts w:hint="eastAsia" w:ascii="仿宋" w:hAnsi="仿宋" w:eastAsia="仿宋" w:cs="仿宋"/>
          <w:b/>
          <w:bCs/>
          <w:color w:val="auto"/>
          <w:szCs w:val="21"/>
          <w:highlight w:val="none"/>
        </w:rPr>
        <w:t>投标报价×</w:t>
      </w:r>
      <w:r>
        <w:rPr>
          <w:rFonts w:hint="eastAsia" w:ascii="仿宋" w:hAnsi="仿宋" w:eastAsia="仿宋" w:cs="仿宋"/>
          <w:b/>
          <w:bCs/>
          <w:color w:val="auto"/>
          <w:szCs w:val="21"/>
          <w:highlight w:val="none"/>
          <w:lang w:val="en-US" w:eastAsia="zh-CN"/>
        </w:rPr>
        <w:t>施工阶段全过程造价控制费</w:t>
      </w:r>
      <w:r>
        <w:rPr>
          <w:rFonts w:hint="eastAsia" w:ascii="仿宋" w:hAnsi="仿宋" w:eastAsia="仿宋" w:cs="仿宋"/>
          <w:b/>
          <w:bCs/>
          <w:color w:val="auto"/>
          <w:szCs w:val="21"/>
          <w:highlight w:val="none"/>
        </w:rPr>
        <w:t>价格满分分值】</w:t>
      </w:r>
    </w:p>
    <w:p w14:paraId="50977FEB">
      <w:pPr>
        <w:pageBreakBefore w:val="0"/>
        <w:kinsoku/>
        <w:topLinePunct w:val="0"/>
        <w:bidi w:val="0"/>
        <w:spacing w:line="360" w:lineRule="auto"/>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2.评审小组认为供应商的报价明显低于其他通过符合性审查供应商的报价，有可能影响产品（服务或工程）质量或者不能诚信履约的，应当要求其在合理的时间内提供书面说明，必要时提交相关证明材料；供应商不能证明其报价合理性的，评审小组应当将其作为无效响应处理。</w:t>
      </w:r>
    </w:p>
    <w:p w14:paraId="0F6B30DF">
      <w:pPr>
        <w:pageBreakBefore w:val="0"/>
        <w:kinsoku/>
        <w:topLinePunct w:val="0"/>
        <w:bidi w:val="0"/>
        <w:spacing w:line="360" w:lineRule="auto"/>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w:t>
      </w:r>
      <w:r>
        <w:rPr>
          <w:rFonts w:hint="eastAsia" w:ascii="仿宋" w:hAnsi="仿宋" w:eastAsia="仿宋" w:cs="仿宋"/>
          <w:b/>
          <w:bCs/>
          <w:szCs w:val="21"/>
          <w:highlight w:val="none"/>
          <w:lang w:eastAsia="zh-CN"/>
        </w:rPr>
        <w:t>三</w:t>
      </w:r>
      <w:r>
        <w:rPr>
          <w:rFonts w:hint="eastAsia" w:ascii="仿宋" w:hAnsi="仿宋" w:eastAsia="仿宋" w:cs="仿宋"/>
          <w:b/>
          <w:bCs/>
          <w:szCs w:val="21"/>
          <w:highlight w:val="none"/>
        </w:rPr>
        <w:t>）定标（成交）办法</w:t>
      </w:r>
    </w:p>
    <w:p w14:paraId="6B29F33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1、本次招标由磋商小组推荐成交候选人，采购单位根据磋商小组的推荐结果进行最终确认。</w:t>
      </w:r>
    </w:p>
    <w:p w14:paraId="4BFCBD58">
      <w:pPr>
        <w:tabs>
          <w:tab w:val="left" w:pos="540"/>
        </w:tabs>
        <w:spacing w:line="336"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2、磋商小组依据法律、法规及招标文件有关规定在有效标中按投标人的最终得分【即技术</w:t>
      </w:r>
      <w:r>
        <w:rPr>
          <w:rFonts w:hint="eastAsia" w:ascii="仿宋" w:hAnsi="仿宋" w:eastAsia="仿宋" w:cs="仿宋"/>
          <w:color w:val="auto"/>
          <w:szCs w:val="21"/>
          <w:highlight w:val="none"/>
          <w:lang w:eastAsia="zh-CN"/>
        </w:rPr>
        <w:t>资信</w:t>
      </w:r>
      <w:r>
        <w:rPr>
          <w:rFonts w:hint="eastAsia" w:ascii="仿宋" w:hAnsi="仿宋" w:eastAsia="仿宋" w:cs="仿宋"/>
          <w:color w:val="auto"/>
          <w:szCs w:val="21"/>
          <w:highlight w:val="none"/>
        </w:rPr>
        <w:t>分与报价分之和】由高到低进行排序，综合得分最高的投标人作为本项目的成交候选人（得分相同的，按投标报价由低到高顺序排列；得分且投标报价相同的，由招标人现场抽签产生成交候选人）。</w:t>
      </w:r>
    </w:p>
    <w:p w14:paraId="384E9991">
      <w:pPr>
        <w:tabs>
          <w:tab w:val="left" w:pos="540"/>
        </w:tabs>
        <w:spacing w:line="336"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排名第一的成交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成交候选供应商名单排序依次确定其他成交候选供应商为中标人，也可以重新组织招标。</w:t>
      </w:r>
    </w:p>
    <w:p w14:paraId="5622DC0A">
      <w:pPr>
        <w:tabs>
          <w:tab w:val="left" w:pos="540"/>
        </w:tabs>
        <w:spacing w:line="336" w:lineRule="auto"/>
        <w:ind w:firstLine="420" w:firstLineChars="200"/>
        <w:rPr>
          <w:rFonts w:hint="eastAsia" w:ascii="仿宋" w:hAnsi="仿宋" w:eastAsia="仿宋" w:cs="仿宋"/>
          <w:b/>
          <w:bCs/>
          <w:color w:val="auto"/>
          <w:szCs w:val="21"/>
          <w:highlight w:val="none"/>
          <w:lang w:val="zh-CN"/>
        </w:rPr>
      </w:pPr>
      <w:bookmarkStart w:id="60" w:name="注意事项"/>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四</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zh-CN"/>
        </w:rPr>
        <w:t>注意事项</w:t>
      </w:r>
      <w:bookmarkEnd w:id="60"/>
    </w:p>
    <w:p w14:paraId="268AAE66">
      <w:pPr>
        <w:tabs>
          <w:tab w:val="left" w:pos="540"/>
        </w:tabs>
        <w:spacing w:line="336"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时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3F071286">
      <w:pPr>
        <w:tabs>
          <w:tab w:val="left" w:pos="540"/>
        </w:tabs>
        <w:spacing w:line="336" w:lineRule="auto"/>
        <w:ind w:firstLine="420" w:firstLineChars="200"/>
        <w:rPr>
          <w:rFonts w:hint="eastAsia" w:ascii="仿宋" w:hAnsi="仿宋" w:eastAsia="仿宋" w:cs="仿宋"/>
          <w:b/>
          <w:bCs/>
          <w:color w:val="auto"/>
          <w:szCs w:val="21"/>
          <w:highlight w:val="none"/>
        </w:rPr>
      </w:pPr>
      <w:bookmarkStart w:id="61" w:name="_Toc221356905"/>
      <w:bookmarkStart w:id="62" w:name="_Toc221356968"/>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五</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投标人义务</w:t>
      </w:r>
      <w:bookmarkEnd w:id="61"/>
      <w:bookmarkEnd w:id="62"/>
    </w:p>
    <w:p w14:paraId="720D36D1">
      <w:pPr>
        <w:tabs>
          <w:tab w:val="left" w:pos="540"/>
        </w:tabs>
        <w:spacing w:line="336"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投标人应随时接受磋商小组的询标，解答包括有关的商务、技术问题等。评标结束，所有评标资料存招标人备查。</w:t>
      </w:r>
    </w:p>
    <w:p w14:paraId="639798B4">
      <w:pPr>
        <w:pStyle w:val="2"/>
        <w:pageBreakBefore w:val="0"/>
        <w:kinsoku/>
        <w:topLinePunct w:val="0"/>
        <w:bidi w:val="0"/>
        <w:spacing w:line="360" w:lineRule="auto"/>
        <w:jc w:val="both"/>
        <w:outlineLvl w:val="0"/>
        <w:rPr>
          <w:rFonts w:hint="eastAsia" w:ascii="仿宋" w:hAnsi="仿宋" w:eastAsia="仿宋" w:cs="仿宋"/>
          <w:bCs/>
          <w:color w:val="000000"/>
          <w:sz w:val="30"/>
          <w:highlight w:val="none"/>
          <w:lang w:val="zh-CN"/>
        </w:rPr>
      </w:pPr>
      <w:r>
        <w:rPr>
          <w:rFonts w:hint="eastAsia" w:ascii="仿宋" w:hAnsi="仿宋" w:eastAsia="仿宋" w:cs="仿宋"/>
          <w:highlight w:val="none"/>
          <w:lang w:val="zh-CN" w:eastAsia="zh-CN"/>
        </w:rPr>
        <w:br w:type="page"/>
      </w:r>
      <w:bookmarkStart w:id="63" w:name="_Toc24614"/>
      <w:r>
        <w:rPr>
          <w:rFonts w:hint="eastAsia" w:ascii="仿宋" w:hAnsi="仿宋" w:eastAsia="仿宋" w:cs="仿宋"/>
          <w:color w:val="000000"/>
          <w:sz w:val="30"/>
          <w:szCs w:val="32"/>
          <w:highlight w:val="none"/>
          <w:lang w:val="zh-CN" w:eastAsia="zh-CN"/>
        </w:rPr>
        <w:t>第六章  响应文件相关格式</w:t>
      </w:r>
      <w:bookmarkEnd w:id="63"/>
    </w:p>
    <w:p w14:paraId="151CC0A2">
      <w:pPr>
        <w:pageBreakBefore w:val="0"/>
        <w:kinsoku/>
        <w:topLinePunct w:val="0"/>
        <w:bidi w:val="0"/>
        <w:spacing w:line="360" w:lineRule="auto"/>
        <w:rPr>
          <w:rFonts w:hint="eastAsia" w:ascii="仿宋" w:hAnsi="仿宋" w:eastAsia="仿宋" w:cs="仿宋"/>
          <w:highlight w:val="none"/>
          <w:lang w:val="zh-CN"/>
        </w:rPr>
      </w:pPr>
    </w:p>
    <w:p w14:paraId="0AC3BA11">
      <w:pPr>
        <w:snapToGrid w:val="0"/>
        <w:spacing w:after="50"/>
        <w:textAlignment w:val="baseline"/>
        <w:rPr>
          <w:rStyle w:val="149"/>
          <w:rFonts w:hint="eastAsia" w:ascii="仿宋" w:hAnsi="仿宋" w:eastAsia="仿宋" w:cs="仿宋"/>
          <w:b/>
          <w:bCs/>
          <w:sz w:val="32"/>
          <w:szCs w:val="32"/>
          <w:highlight w:val="none"/>
        </w:rPr>
      </w:pPr>
      <w:r>
        <w:rPr>
          <w:rStyle w:val="149"/>
          <w:rFonts w:hint="eastAsia" w:ascii="仿宋" w:hAnsi="仿宋" w:eastAsia="仿宋" w:cs="仿宋"/>
          <w:b/>
          <w:bCs/>
          <w:sz w:val="32"/>
          <w:szCs w:val="32"/>
          <w:highlight w:val="none"/>
        </w:rPr>
        <w:t>响应文件封面样式</w:t>
      </w:r>
    </w:p>
    <w:p w14:paraId="49D37CF9">
      <w:pPr>
        <w:pageBreakBefore w:val="0"/>
        <w:kinsoku/>
        <w:topLinePunct w:val="0"/>
        <w:bidi w:val="0"/>
        <w:snapToGrid w:val="0"/>
        <w:spacing w:line="360" w:lineRule="auto"/>
        <w:rPr>
          <w:rFonts w:hint="eastAsia" w:ascii="仿宋" w:hAnsi="仿宋" w:eastAsia="仿宋" w:cs="仿宋"/>
          <w:sz w:val="24"/>
          <w:szCs w:val="20"/>
          <w:highlight w:val="none"/>
        </w:rPr>
      </w:pPr>
    </w:p>
    <w:p w14:paraId="1007DA73">
      <w:pPr>
        <w:pageBreakBefore w:val="0"/>
        <w:kinsoku/>
        <w:topLinePunct w:val="0"/>
        <w:bidi w:val="0"/>
        <w:snapToGrid w:val="0"/>
        <w:spacing w:line="360" w:lineRule="auto"/>
        <w:jc w:val="center"/>
        <w:rPr>
          <w:rFonts w:hint="eastAsia" w:ascii="仿宋" w:hAnsi="仿宋" w:eastAsia="仿宋" w:cs="仿宋"/>
          <w:b/>
          <w:sz w:val="36"/>
          <w:szCs w:val="36"/>
          <w:highlight w:val="none"/>
        </w:rPr>
      </w:pPr>
    </w:p>
    <w:p w14:paraId="522B2033">
      <w:pPr>
        <w:pageBreakBefore w:val="0"/>
        <w:kinsoku/>
        <w:topLinePunct w:val="0"/>
        <w:bidi w:val="0"/>
        <w:snapToGrid w:val="0"/>
        <w:spacing w:line="360" w:lineRule="auto"/>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响 应 文 件</w:t>
      </w:r>
    </w:p>
    <w:p w14:paraId="400375C7">
      <w:pPr>
        <w:pageBreakBefore w:val="0"/>
        <w:kinsoku/>
        <w:topLinePunct w:val="0"/>
        <w:bidi w:val="0"/>
        <w:snapToGrid w:val="0"/>
        <w:spacing w:line="360" w:lineRule="auto"/>
        <w:jc w:val="center"/>
        <w:rPr>
          <w:rFonts w:hint="eastAsia" w:ascii="仿宋" w:hAnsi="仿宋" w:eastAsia="仿宋" w:cs="仿宋"/>
          <w:sz w:val="44"/>
          <w:szCs w:val="44"/>
          <w:highlight w:val="none"/>
        </w:rPr>
      </w:pPr>
    </w:p>
    <w:p w14:paraId="1ED8AEFC">
      <w:pPr>
        <w:pageBreakBefore w:val="0"/>
        <w:kinsoku/>
        <w:topLinePunct w:val="0"/>
        <w:bidi w:val="0"/>
        <w:snapToGrid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sz w:val="32"/>
          <w:szCs w:val="32"/>
          <w:highlight w:val="none"/>
          <w:lang w:eastAsia="zh-CN"/>
        </w:rPr>
        <w:t>资格文件</w:t>
      </w:r>
      <w:r>
        <w:rPr>
          <w:rFonts w:hint="eastAsia" w:ascii="仿宋" w:hAnsi="仿宋" w:eastAsia="仿宋" w:cs="仿宋"/>
          <w:b/>
          <w:sz w:val="32"/>
          <w:szCs w:val="32"/>
          <w:highlight w:val="none"/>
        </w:rPr>
        <w:t>/或</w:t>
      </w:r>
      <w:r>
        <w:rPr>
          <w:rFonts w:hint="eastAsia" w:ascii="仿宋" w:hAnsi="仿宋" w:eastAsia="仿宋" w:cs="仿宋"/>
          <w:b/>
          <w:sz w:val="32"/>
          <w:szCs w:val="32"/>
          <w:highlight w:val="none"/>
          <w:lang w:eastAsia="zh-CN"/>
        </w:rPr>
        <w:t>商务技术文件</w:t>
      </w:r>
      <w:r>
        <w:rPr>
          <w:rFonts w:hint="eastAsia" w:ascii="仿宋" w:hAnsi="仿宋" w:eastAsia="仿宋" w:cs="仿宋"/>
          <w:b/>
          <w:sz w:val="32"/>
          <w:szCs w:val="32"/>
          <w:highlight w:val="none"/>
        </w:rPr>
        <w:t>/或报价文件</w:t>
      </w:r>
    </w:p>
    <w:p w14:paraId="69F21783">
      <w:pPr>
        <w:pageBreakBefore w:val="0"/>
        <w:kinsoku/>
        <w:topLinePunct w:val="0"/>
        <w:bidi w:val="0"/>
        <w:snapToGrid w:val="0"/>
        <w:spacing w:line="360" w:lineRule="auto"/>
        <w:jc w:val="center"/>
        <w:rPr>
          <w:rFonts w:hint="eastAsia" w:ascii="仿宋" w:hAnsi="仿宋" w:eastAsia="仿宋" w:cs="仿宋"/>
          <w:b/>
          <w:sz w:val="28"/>
          <w:szCs w:val="28"/>
          <w:highlight w:val="none"/>
        </w:rPr>
      </w:pPr>
    </w:p>
    <w:p w14:paraId="699210AC">
      <w:pPr>
        <w:pageBreakBefore w:val="0"/>
        <w:kinsoku/>
        <w:topLinePunct w:val="0"/>
        <w:bidi w:val="0"/>
        <w:snapToGrid w:val="0"/>
        <w:spacing w:line="360" w:lineRule="auto"/>
        <w:jc w:val="center"/>
        <w:rPr>
          <w:rFonts w:hint="eastAsia" w:ascii="仿宋" w:hAnsi="仿宋" w:eastAsia="仿宋" w:cs="仿宋"/>
          <w:sz w:val="28"/>
          <w:szCs w:val="28"/>
          <w:highlight w:val="none"/>
        </w:rPr>
      </w:pPr>
    </w:p>
    <w:p w14:paraId="0AEEBD09">
      <w:pPr>
        <w:pageBreakBefore w:val="0"/>
        <w:kinsoku/>
        <w:topLinePunct w:val="0"/>
        <w:bidi w:val="0"/>
        <w:adjustRightInd w:val="0"/>
        <w:snapToGrid w:val="0"/>
        <w:spacing w:line="360" w:lineRule="auto"/>
        <w:ind w:left="1050" w:leftChars="500"/>
        <w:rPr>
          <w:rFonts w:hint="eastAsia" w:ascii="仿宋" w:hAnsi="仿宋" w:eastAsia="仿宋" w:cs="仿宋"/>
          <w:sz w:val="28"/>
          <w:szCs w:val="28"/>
          <w:highlight w:val="none"/>
        </w:rPr>
      </w:pPr>
    </w:p>
    <w:p w14:paraId="2A71C476">
      <w:pPr>
        <w:pageBreakBefore w:val="0"/>
        <w:kinsoku/>
        <w:topLinePunct w:val="0"/>
        <w:bidi w:val="0"/>
        <w:adjustRightInd w:val="0"/>
        <w:snapToGrid w:val="0"/>
        <w:spacing w:line="360" w:lineRule="auto"/>
        <w:ind w:left="1050" w:leftChars="5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rPr>
        <w:t xml:space="preserve">                   </w:t>
      </w:r>
    </w:p>
    <w:p w14:paraId="33FEBD63">
      <w:pPr>
        <w:pageBreakBefore w:val="0"/>
        <w:kinsoku/>
        <w:topLinePunct w:val="0"/>
        <w:bidi w:val="0"/>
        <w:adjustRightInd w:val="0"/>
        <w:snapToGrid w:val="0"/>
        <w:spacing w:line="360" w:lineRule="auto"/>
        <w:ind w:left="1050" w:leftChars="500"/>
        <w:rPr>
          <w:rFonts w:hint="eastAsia" w:ascii="仿宋" w:hAnsi="仿宋" w:eastAsia="仿宋" w:cs="仿宋"/>
          <w:sz w:val="28"/>
          <w:szCs w:val="28"/>
          <w:highlight w:val="none"/>
        </w:rPr>
      </w:pPr>
      <w:bookmarkStart w:id="64" w:name="_Toc357410803"/>
    </w:p>
    <w:p w14:paraId="19E93B04">
      <w:pPr>
        <w:pageBreakBefore w:val="0"/>
        <w:kinsoku/>
        <w:topLinePunct w:val="0"/>
        <w:bidi w:val="0"/>
        <w:adjustRightInd w:val="0"/>
        <w:snapToGrid w:val="0"/>
        <w:spacing w:line="360" w:lineRule="auto"/>
        <w:ind w:left="1050" w:leftChars="5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项目编号：</w:t>
      </w:r>
      <w:bookmarkEnd w:id="64"/>
      <w:r>
        <w:rPr>
          <w:rFonts w:hint="eastAsia" w:ascii="仿宋" w:hAnsi="仿宋" w:eastAsia="仿宋" w:cs="仿宋"/>
          <w:sz w:val="28"/>
          <w:szCs w:val="28"/>
          <w:highlight w:val="none"/>
          <w:u w:val="single"/>
        </w:rPr>
        <w:t xml:space="preserve">                    </w:t>
      </w:r>
    </w:p>
    <w:p w14:paraId="06E86832">
      <w:pPr>
        <w:pageBreakBefore w:val="0"/>
        <w:kinsoku/>
        <w:topLinePunct w:val="0"/>
        <w:bidi w:val="0"/>
        <w:adjustRightInd w:val="0"/>
        <w:snapToGrid w:val="0"/>
        <w:spacing w:line="360" w:lineRule="auto"/>
        <w:ind w:left="1050" w:leftChars="500"/>
        <w:rPr>
          <w:rFonts w:hint="eastAsia" w:ascii="仿宋" w:hAnsi="仿宋" w:eastAsia="仿宋" w:cs="仿宋"/>
          <w:sz w:val="28"/>
          <w:szCs w:val="28"/>
          <w:highlight w:val="none"/>
        </w:rPr>
      </w:pPr>
      <w:bookmarkStart w:id="65" w:name="_Toc357410804"/>
    </w:p>
    <w:p w14:paraId="78DB6DB7">
      <w:pPr>
        <w:pageBreakBefore w:val="0"/>
        <w:kinsoku/>
        <w:topLinePunct w:val="0"/>
        <w:bidi w:val="0"/>
        <w:adjustRightInd w:val="0"/>
        <w:snapToGrid w:val="0"/>
        <w:spacing w:line="360" w:lineRule="auto"/>
        <w:ind w:left="1050" w:leftChars="5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（盖单位公章）</w:t>
      </w:r>
      <w:bookmarkEnd w:id="65"/>
    </w:p>
    <w:p w14:paraId="06C7A434">
      <w:pPr>
        <w:pageBreakBefore w:val="0"/>
        <w:kinsoku/>
        <w:topLinePunct w:val="0"/>
        <w:bidi w:val="0"/>
        <w:adjustRightInd w:val="0"/>
        <w:snapToGrid w:val="0"/>
        <w:spacing w:line="360" w:lineRule="auto"/>
        <w:ind w:left="1050" w:leftChars="500"/>
        <w:rPr>
          <w:rFonts w:hint="eastAsia" w:ascii="仿宋" w:hAnsi="仿宋" w:eastAsia="仿宋" w:cs="仿宋"/>
          <w:sz w:val="28"/>
          <w:szCs w:val="28"/>
          <w:highlight w:val="none"/>
        </w:rPr>
      </w:pPr>
    </w:p>
    <w:p w14:paraId="017E8CAD">
      <w:pPr>
        <w:pageBreakBefore w:val="0"/>
        <w:kinsoku/>
        <w:topLinePunct w:val="0"/>
        <w:bidi w:val="0"/>
        <w:adjustRightInd w:val="0"/>
        <w:snapToGrid w:val="0"/>
        <w:spacing w:line="360" w:lineRule="auto"/>
        <w:ind w:left="1050" w:leftChars="500"/>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eastAsia="zh-CN"/>
        </w:rPr>
        <w:t>法定代表人（单位负责人）</w:t>
      </w:r>
      <w:r>
        <w:rPr>
          <w:rFonts w:hint="eastAsia" w:ascii="仿宋" w:hAnsi="仿宋" w:eastAsia="仿宋" w:cs="仿宋"/>
          <w:sz w:val="28"/>
          <w:szCs w:val="28"/>
          <w:highlight w:val="none"/>
        </w:rPr>
        <w:t>或其授权人签字或盖章：</w:t>
      </w:r>
      <w:r>
        <w:rPr>
          <w:rFonts w:hint="eastAsia" w:ascii="仿宋" w:hAnsi="仿宋" w:eastAsia="仿宋" w:cs="仿宋"/>
          <w:sz w:val="28"/>
          <w:szCs w:val="28"/>
          <w:highlight w:val="none"/>
          <w:u w:val="single"/>
        </w:rPr>
        <w:t xml:space="preserve">             </w:t>
      </w:r>
    </w:p>
    <w:p w14:paraId="542C4369">
      <w:pPr>
        <w:pageBreakBefore w:val="0"/>
        <w:kinsoku/>
        <w:topLinePunct w:val="0"/>
        <w:bidi w:val="0"/>
        <w:adjustRightInd w:val="0"/>
        <w:snapToGrid w:val="0"/>
        <w:spacing w:line="360" w:lineRule="auto"/>
        <w:ind w:left="1050" w:leftChars="500"/>
        <w:rPr>
          <w:rFonts w:hint="eastAsia" w:ascii="仿宋" w:hAnsi="仿宋" w:eastAsia="仿宋" w:cs="仿宋"/>
          <w:sz w:val="28"/>
          <w:szCs w:val="28"/>
          <w:highlight w:val="none"/>
        </w:rPr>
      </w:pPr>
    </w:p>
    <w:p w14:paraId="1A6E5C6B">
      <w:pPr>
        <w:pageBreakBefore w:val="0"/>
        <w:kinsoku/>
        <w:topLinePunct w:val="0"/>
        <w:bidi w:val="0"/>
        <w:snapToGrid w:val="0"/>
        <w:spacing w:line="360" w:lineRule="auto"/>
        <w:ind w:firstLine="980" w:firstLineChars="350"/>
        <w:rPr>
          <w:rFonts w:hint="eastAsia" w:ascii="仿宋" w:hAnsi="仿宋" w:eastAsia="仿宋" w:cs="仿宋"/>
          <w:sz w:val="28"/>
          <w:szCs w:val="28"/>
          <w:highlight w:val="none"/>
        </w:rPr>
      </w:pPr>
      <w:r>
        <w:rPr>
          <w:rFonts w:hint="eastAsia" w:ascii="仿宋" w:hAnsi="仿宋" w:eastAsia="仿宋" w:cs="仿宋"/>
          <w:sz w:val="28"/>
          <w:szCs w:val="28"/>
          <w:highlight w:val="none"/>
        </w:rPr>
        <w:t>供应商地址：</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184282B9">
      <w:pPr>
        <w:pageBreakBefore w:val="0"/>
        <w:kinsoku/>
        <w:topLinePunct w:val="0"/>
        <w:bidi w:val="0"/>
        <w:snapToGrid w:val="0"/>
        <w:spacing w:line="360" w:lineRule="auto"/>
        <w:rPr>
          <w:rFonts w:hint="eastAsia" w:ascii="仿宋" w:hAnsi="仿宋" w:eastAsia="仿宋" w:cs="仿宋"/>
          <w:sz w:val="28"/>
          <w:szCs w:val="28"/>
          <w:highlight w:val="none"/>
        </w:rPr>
      </w:pPr>
    </w:p>
    <w:p w14:paraId="2039427E">
      <w:pPr>
        <w:pageBreakBefore w:val="0"/>
        <w:kinsoku/>
        <w:topLinePunct w:val="0"/>
        <w:bidi w:val="0"/>
        <w:snapToGrid w:val="0"/>
        <w:spacing w:line="360" w:lineRule="auto"/>
        <w:ind w:firstLine="980" w:firstLineChars="350"/>
        <w:rPr>
          <w:rFonts w:hint="eastAsia" w:ascii="仿宋" w:hAnsi="仿宋" w:eastAsia="仿宋" w:cs="仿宋"/>
          <w:b/>
          <w:sz w:val="28"/>
          <w:szCs w:val="28"/>
          <w:highlight w:val="none"/>
        </w:rPr>
      </w:pPr>
      <w:bookmarkStart w:id="66" w:name="_Toc357410805"/>
      <w:r>
        <w:rPr>
          <w:rFonts w:hint="eastAsia" w:ascii="仿宋" w:hAnsi="仿宋" w:eastAsia="仿宋" w:cs="仿宋"/>
          <w:sz w:val="28"/>
          <w:szCs w:val="28"/>
          <w:highlight w:val="none"/>
        </w:rPr>
        <w:t>日期：     年    月   日</w:t>
      </w:r>
      <w:bookmarkEnd w:id="66"/>
      <w:r>
        <w:rPr>
          <w:rFonts w:hint="eastAsia" w:ascii="仿宋" w:hAnsi="仿宋" w:eastAsia="仿宋" w:cs="仿宋"/>
          <w:sz w:val="28"/>
          <w:szCs w:val="28"/>
          <w:highlight w:val="none"/>
        </w:rPr>
        <w:t xml:space="preserve"> </w:t>
      </w:r>
      <w:r>
        <w:rPr>
          <w:rFonts w:hint="eastAsia" w:ascii="仿宋" w:hAnsi="仿宋" w:eastAsia="仿宋" w:cs="仿宋"/>
          <w:b/>
          <w:sz w:val="28"/>
          <w:szCs w:val="28"/>
          <w:highlight w:val="none"/>
        </w:rPr>
        <w:t xml:space="preserve">       </w:t>
      </w:r>
    </w:p>
    <w:p w14:paraId="23AF8419">
      <w:pPr>
        <w:pageBreakBefore w:val="0"/>
        <w:kinsoku/>
        <w:topLinePunct w:val="0"/>
        <w:bidi w:val="0"/>
        <w:snapToGrid w:val="0"/>
        <w:spacing w:line="360" w:lineRule="auto"/>
        <w:rPr>
          <w:rFonts w:hint="eastAsia" w:ascii="仿宋" w:hAnsi="仿宋" w:eastAsia="仿宋" w:cs="仿宋"/>
          <w:sz w:val="28"/>
          <w:szCs w:val="28"/>
          <w:highlight w:val="none"/>
        </w:rPr>
      </w:pPr>
    </w:p>
    <w:p w14:paraId="78D2CD7C">
      <w:pPr>
        <w:pageBreakBefore w:val="0"/>
        <w:kinsoku/>
        <w:topLinePunct w:val="0"/>
        <w:bidi w:val="0"/>
        <w:snapToGrid w:val="0"/>
        <w:spacing w:line="360" w:lineRule="auto"/>
        <w:ind w:firstLine="980" w:firstLineChars="350"/>
        <w:rPr>
          <w:rFonts w:hint="eastAsia" w:ascii="仿宋" w:hAnsi="仿宋" w:eastAsia="仿宋" w:cs="仿宋"/>
          <w:b/>
          <w:sz w:val="28"/>
          <w:szCs w:val="28"/>
          <w:highlight w:val="none"/>
        </w:rPr>
      </w:pPr>
      <w:r>
        <w:rPr>
          <w:rFonts w:hint="eastAsia" w:ascii="仿宋" w:hAnsi="仿宋" w:eastAsia="仿宋" w:cs="仿宋"/>
          <w:sz w:val="28"/>
          <w:szCs w:val="28"/>
          <w:highlight w:val="none"/>
        </w:rPr>
        <w:br w:type="page"/>
      </w:r>
    </w:p>
    <w:p w14:paraId="19FC57F1">
      <w:pPr>
        <w:pageBreakBefore w:val="0"/>
        <w:kinsoku/>
        <w:topLinePunct w:val="0"/>
        <w:bidi w:val="0"/>
        <w:spacing w:line="360" w:lineRule="auto"/>
        <w:jc w:val="left"/>
        <w:rPr>
          <w:rFonts w:hint="eastAsia" w:ascii="仿宋" w:hAnsi="仿宋" w:eastAsia="仿宋" w:cs="仿宋"/>
          <w:b/>
          <w:sz w:val="24"/>
          <w:highlight w:val="none"/>
          <w:lang w:val="en-US" w:eastAsia="zh-CN"/>
        </w:rPr>
      </w:pPr>
      <w:bookmarkStart w:id="67" w:name="附件1"/>
      <w:r>
        <w:rPr>
          <w:rFonts w:hint="eastAsia" w:ascii="仿宋" w:hAnsi="仿宋" w:eastAsia="仿宋" w:cs="仿宋"/>
          <w:b/>
          <w:sz w:val="24"/>
          <w:highlight w:val="none"/>
        </w:rPr>
        <w:t>附件1</w:t>
      </w:r>
      <w:r>
        <w:rPr>
          <w:rFonts w:hint="eastAsia" w:ascii="仿宋" w:hAnsi="仿宋" w:eastAsia="仿宋" w:cs="仿宋"/>
          <w:b/>
          <w:sz w:val="24"/>
          <w:highlight w:val="none"/>
          <w:lang w:val="en-US" w:eastAsia="zh-CN"/>
        </w:rPr>
        <w:t>-1</w:t>
      </w:r>
      <w:bookmarkEnd w:id="67"/>
    </w:p>
    <w:p w14:paraId="68668438">
      <w:pPr>
        <w:pageBreakBefore w:val="0"/>
        <w:kinsoku/>
        <w:topLinePunct w:val="0"/>
        <w:bidi w:val="0"/>
        <w:spacing w:line="360" w:lineRule="auto"/>
        <w:jc w:val="center"/>
        <w:rPr>
          <w:rFonts w:hint="eastAsia" w:ascii="仿宋" w:hAnsi="仿宋" w:eastAsia="仿宋" w:cs="仿宋"/>
          <w:b/>
          <w:bCs/>
          <w:color w:val="000000"/>
          <w:kern w:val="0"/>
          <w:sz w:val="30"/>
          <w:szCs w:val="30"/>
          <w:highlight w:val="none"/>
        </w:rPr>
      </w:pPr>
    </w:p>
    <w:p w14:paraId="190C91F7">
      <w:pPr>
        <w:pageBreakBefore w:val="0"/>
        <w:kinsoku/>
        <w:topLinePunct w:val="0"/>
        <w:bidi w:val="0"/>
        <w:spacing w:line="360" w:lineRule="auto"/>
        <w:jc w:val="center"/>
        <w:rPr>
          <w:rFonts w:hint="eastAsia" w:ascii="仿宋" w:hAnsi="仿宋" w:eastAsia="仿宋" w:cs="仿宋"/>
          <w:b/>
          <w:bCs/>
          <w:color w:val="000000"/>
          <w:kern w:val="0"/>
          <w:sz w:val="30"/>
          <w:szCs w:val="30"/>
          <w:highlight w:val="none"/>
        </w:rPr>
      </w:pPr>
      <w:bookmarkStart w:id="68" w:name="法定代表人身份证明"/>
      <w:r>
        <w:rPr>
          <w:rFonts w:hint="eastAsia" w:ascii="仿宋" w:hAnsi="仿宋" w:eastAsia="仿宋" w:cs="仿宋"/>
          <w:b/>
          <w:bCs/>
          <w:color w:val="000000"/>
          <w:kern w:val="0"/>
          <w:sz w:val="30"/>
          <w:szCs w:val="30"/>
          <w:highlight w:val="none"/>
          <w:lang w:eastAsia="zh-CN"/>
        </w:rPr>
        <w:t>法定代表人（单位负责人）</w:t>
      </w:r>
      <w:r>
        <w:rPr>
          <w:rFonts w:hint="eastAsia" w:ascii="仿宋" w:hAnsi="仿宋" w:eastAsia="仿宋" w:cs="仿宋"/>
          <w:b/>
          <w:bCs/>
          <w:color w:val="000000"/>
          <w:kern w:val="0"/>
          <w:sz w:val="30"/>
          <w:szCs w:val="30"/>
          <w:highlight w:val="none"/>
        </w:rPr>
        <w:t>身份证明</w:t>
      </w:r>
      <w:bookmarkEnd w:id="68"/>
    </w:p>
    <w:p w14:paraId="596EC6FF">
      <w:pPr>
        <w:pageBreakBefore w:val="0"/>
        <w:widowControl/>
        <w:kinsoku/>
        <w:topLinePunct w:val="0"/>
        <w:bidi w:val="0"/>
        <w:spacing w:line="360" w:lineRule="auto"/>
        <w:jc w:val="center"/>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 xml:space="preserve"> </w:t>
      </w:r>
    </w:p>
    <w:p w14:paraId="1BB77B00">
      <w:pPr>
        <w:pageBreakBefore w:val="0"/>
        <w:widowControl/>
        <w:kinsoku/>
        <w:topLinePunct w:val="0"/>
        <w:bidi w:val="0"/>
        <w:spacing w:line="360" w:lineRule="auto"/>
        <w:ind w:firstLine="48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p>
    <w:p w14:paraId="67CB0085">
      <w:pPr>
        <w:pageBreakBefore w:val="0"/>
        <w:widowControl/>
        <w:kinsoku/>
        <w:topLinePunct w:val="0"/>
        <w:bidi w:val="0"/>
        <w:spacing w:line="360" w:lineRule="auto"/>
        <w:ind w:firstLine="108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单位名称：</w:t>
      </w:r>
      <w:r>
        <w:rPr>
          <w:rFonts w:hint="eastAsia" w:ascii="仿宋" w:hAnsi="仿宋" w:eastAsia="仿宋" w:cs="仿宋"/>
          <w:color w:val="000000"/>
          <w:kern w:val="0"/>
          <w:szCs w:val="21"/>
          <w:highlight w:val="none"/>
          <w:u w:val="single"/>
        </w:rPr>
        <w:t xml:space="preserve">                                               </w:t>
      </w:r>
    </w:p>
    <w:p w14:paraId="6094B5EE">
      <w:pPr>
        <w:pageBreakBefore w:val="0"/>
        <w:widowControl/>
        <w:kinsoku/>
        <w:topLinePunct w:val="0"/>
        <w:bidi w:val="0"/>
        <w:spacing w:line="360" w:lineRule="auto"/>
        <w:ind w:firstLine="1080"/>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单位性质：</w:t>
      </w:r>
      <w:r>
        <w:rPr>
          <w:rFonts w:hint="eastAsia" w:ascii="仿宋" w:hAnsi="仿宋" w:eastAsia="仿宋" w:cs="仿宋"/>
          <w:color w:val="000000"/>
          <w:kern w:val="0"/>
          <w:szCs w:val="21"/>
          <w:highlight w:val="none"/>
          <w:u w:val="single"/>
        </w:rPr>
        <w:t xml:space="preserve">                                               </w:t>
      </w:r>
    </w:p>
    <w:p w14:paraId="247D456E">
      <w:pPr>
        <w:pageBreakBefore w:val="0"/>
        <w:widowControl/>
        <w:kinsoku/>
        <w:topLinePunct w:val="0"/>
        <w:bidi w:val="0"/>
        <w:spacing w:line="360" w:lineRule="auto"/>
        <w:ind w:firstLine="1080"/>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地    址：</w:t>
      </w:r>
      <w:r>
        <w:rPr>
          <w:rFonts w:hint="eastAsia" w:ascii="仿宋" w:hAnsi="仿宋" w:eastAsia="仿宋" w:cs="仿宋"/>
          <w:color w:val="000000"/>
          <w:kern w:val="0"/>
          <w:szCs w:val="21"/>
          <w:highlight w:val="none"/>
          <w:u w:val="single"/>
        </w:rPr>
        <w:t xml:space="preserve">                                               </w:t>
      </w:r>
    </w:p>
    <w:p w14:paraId="6AF0107E">
      <w:pPr>
        <w:pageBreakBefore w:val="0"/>
        <w:widowControl/>
        <w:kinsoku/>
        <w:topLinePunct w:val="0"/>
        <w:bidi w:val="0"/>
        <w:spacing w:line="360" w:lineRule="auto"/>
        <w:ind w:firstLine="108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成立时间：</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年</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月</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日</w:t>
      </w:r>
    </w:p>
    <w:p w14:paraId="103E2AB1">
      <w:pPr>
        <w:pageBreakBefore w:val="0"/>
        <w:widowControl/>
        <w:kinsoku/>
        <w:topLinePunct w:val="0"/>
        <w:bidi w:val="0"/>
        <w:spacing w:line="360" w:lineRule="auto"/>
        <w:ind w:firstLine="1080"/>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经营期限：</w:t>
      </w:r>
      <w:r>
        <w:rPr>
          <w:rFonts w:hint="eastAsia" w:ascii="仿宋" w:hAnsi="仿宋" w:eastAsia="仿宋" w:cs="仿宋"/>
          <w:color w:val="000000"/>
          <w:kern w:val="0"/>
          <w:szCs w:val="21"/>
          <w:highlight w:val="none"/>
          <w:u w:val="single"/>
        </w:rPr>
        <w:t xml:space="preserve">                                               </w:t>
      </w:r>
    </w:p>
    <w:p w14:paraId="48DB0A32">
      <w:pPr>
        <w:pageBreakBefore w:val="0"/>
        <w:widowControl/>
        <w:kinsoku/>
        <w:topLinePunct w:val="0"/>
        <w:bidi w:val="0"/>
        <w:spacing w:line="360" w:lineRule="auto"/>
        <w:ind w:firstLine="1080"/>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姓    名：</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性    别：</w:t>
      </w:r>
      <w:r>
        <w:rPr>
          <w:rFonts w:hint="eastAsia" w:ascii="仿宋" w:hAnsi="仿宋" w:eastAsia="仿宋" w:cs="仿宋"/>
          <w:color w:val="000000"/>
          <w:kern w:val="0"/>
          <w:szCs w:val="21"/>
          <w:highlight w:val="none"/>
          <w:u w:val="single"/>
        </w:rPr>
        <w:t xml:space="preserve">            </w:t>
      </w:r>
    </w:p>
    <w:p w14:paraId="75616DF8">
      <w:pPr>
        <w:pageBreakBefore w:val="0"/>
        <w:widowControl/>
        <w:kinsoku/>
        <w:topLinePunct w:val="0"/>
        <w:bidi w:val="0"/>
        <w:spacing w:line="360" w:lineRule="auto"/>
        <w:ind w:firstLine="1080"/>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年    龄：</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职    务：</w:t>
      </w:r>
      <w:r>
        <w:rPr>
          <w:rFonts w:hint="eastAsia" w:ascii="仿宋" w:hAnsi="仿宋" w:eastAsia="仿宋" w:cs="仿宋"/>
          <w:color w:val="000000"/>
          <w:kern w:val="0"/>
          <w:szCs w:val="21"/>
          <w:highlight w:val="none"/>
          <w:u w:val="single"/>
        </w:rPr>
        <w:t xml:space="preserve">            </w:t>
      </w:r>
    </w:p>
    <w:p w14:paraId="1C0B3E4C">
      <w:pPr>
        <w:pageBreakBefore w:val="0"/>
        <w:widowControl/>
        <w:kinsoku/>
        <w:topLinePunct w:val="0"/>
        <w:bidi w:val="0"/>
        <w:spacing w:line="360" w:lineRule="auto"/>
        <w:ind w:firstLine="108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系</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（供应商名称）的</w:t>
      </w:r>
      <w:r>
        <w:rPr>
          <w:rFonts w:hint="eastAsia" w:ascii="仿宋" w:hAnsi="仿宋" w:eastAsia="仿宋" w:cs="仿宋"/>
          <w:color w:val="000000"/>
          <w:kern w:val="0"/>
          <w:szCs w:val="21"/>
          <w:highlight w:val="none"/>
          <w:lang w:eastAsia="zh-CN"/>
        </w:rPr>
        <w:t>法定代表人（单位负责人）</w:t>
      </w:r>
      <w:r>
        <w:rPr>
          <w:rFonts w:hint="eastAsia" w:ascii="仿宋" w:hAnsi="仿宋" w:eastAsia="仿宋" w:cs="仿宋"/>
          <w:color w:val="000000"/>
          <w:kern w:val="0"/>
          <w:szCs w:val="21"/>
          <w:highlight w:val="none"/>
        </w:rPr>
        <w:t>。</w:t>
      </w:r>
    </w:p>
    <w:p w14:paraId="239EE37D">
      <w:pPr>
        <w:pageBreakBefore w:val="0"/>
        <w:widowControl/>
        <w:kinsoku/>
        <w:topLinePunct w:val="0"/>
        <w:bidi w:val="0"/>
        <w:spacing w:line="360" w:lineRule="auto"/>
        <w:ind w:firstLine="108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特此证明。</w:t>
      </w:r>
    </w:p>
    <w:p w14:paraId="695AF5E0">
      <w:pPr>
        <w:pageBreakBefore w:val="0"/>
        <w:widowControl/>
        <w:kinsoku/>
        <w:topLinePunct w:val="0"/>
        <w:bidi w:val="0"/>
        <w:spacing w:line="360" w:lineRule="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 xml:space="preserve"> </w:t>
      </w:r>
    </w:p>
    <w:p w14:paraId="7C853D7C">
      <w:pPr>
        <w:pageBreakBefore w:val="0"/>
        <w:widowControl/>
        <w:kinsoku/>
        <w:topLinePunct w:val="0"/>
        <w:bidi w:val="0"/>
        <w:spacing w:line="360" w:lineRule="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 xml:space="preserve"> </w:t>
      </w:r>
    </w:p>
    <w:p w14:paraId="0A49168B">
      <w:pPr>
        <w:pageBreakBefore w:val="0"/>
        <w:widowControl/>
        <w:kinsoku/>
        <w:topLinePunct w:val="0"/>
        <w:bidi w:val="0"/>
        <w:spacing w:line="360" w:lineRule="auto"/>
        <w:ind w:right="-64" w:firstLine="36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供应商名称：</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（盖章）</w:t>
      </w:r>
    </w:p>
    <w:p w14:paraId="04F05FB3">
      <w:pPr>
        <w:pageBreakBefore w:val="0"/>
        <w:widowControl/>
        <w:kinsoku/>
        <w:topLinePunct w:val="0"/>
        <w:bidi w:val="0"/>
        <w:spacing w:line="360" w:lineRule="auto"/>
        <w:ind w:right="420"/>
        <w:rPr>
          <w:rFonts w:hint="eastAsia" w:ascii="仿宋" w:hAnsi="仿宋" w:eastAsia="仿宋" w:cs="仿宋"/>
          <w:color w:val="000000"/>
          <w:kern w:val="0"/>
          <w:szCs w:val="21"/>
          <w:highlight w:val="none"/>
          <w:u w:val="single"/>
        </w:rPr>
      </w:pPr>
    </w:p>
    <w:p w14:paraId="5A8A9DFA">
      <w:pPr>
        <w:pageBreakBefore w:val="0"/>
        <w:widowControl/>
        <w:kinsoku/>
        <w:topLinePunct w:val="0"/>
        <w:bidi w:val="0"/>
        <w:spacing w:line="360" w:lineRule="auto"/>
        <w:ind w:right="-64" w:firstLine="5355" w:firstLineChars="255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日期：</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年</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月</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 xml:space="preserve">日 </w:t>
      </w:r>
    </w:p>
    <w:p w14:paraId="0A7513D4">
      <w:pPr>
        <w:pStyle w:val="26"/>
        <w:pageBreakBefore w:val="0"/>
        <w:kinsoku/>
        <w:topLinePunct w:val="0"/>
        <w:bidi w:val="0"/>
        <w:spacing w:line="360" w:lineRule="auto"/>
        <w:jc w:val="center"/>
        <w:rPr>
          <w:rFonts w:hint="eastAsia" w:ascii="仿宋" w:hAnsi="仿宋" w:eastAsia="仿宋" w:cs="仿宋"/>
          <w:b/>
          <w:kern w:val="2"/>
          <w:sz w:val="22"/>
          <w:szCs w:val="22"/>
          <w:highlight w:val="none"/>
        </w:rPr>
      </w:pPr>
    </w:p>
    <w:p w14:paraId="352CEB27">
      <w:pPr>
        <w:pageBreakBefore w:val="0"/>
        <w:kinsoku/>
        <w:topLinePunct w:val="0"/>
        <w:bidi w:val="0"/>
        <w:spacing w:line="360" w:lineRule="auto"/>
        <w:jc w:val="left"/>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eastAsia="zh-CN"/>
        </w:rPr>
        <w:t>附：</w:t>
      </w:r>
      <w:r>
        <w:rPr>
          <w:rFonts w:hint="eastAsia" w:ascii="仿宋" w:hAnsi="仿宋" w:eastAsia="仿宋" w:cs="仿宋"/>
          <w:b/>
          <w:sz w:val="22"/>
          <w:szCs w:val="22"/>
          <w:highlight w:val="none"/>
          <w:lang w:eastAsia="zh-CN"/>
        </w:rPr>
        <w:t>法定代表人（单位负责人）</w:t>
      </w:r>
      <w:r>
        <w:rPr>
          <w:rFonts w:hint="eastAsia" w:ascii="仿宋" w:hAnsi="仿宋" w:eastAsia="仿宋" w:cs="仿宋"/>
          <w:b/>
          <w:sz w:val="22"/>
          <w:szCs w:val="22"/>
          <w:highlight w:val="none"/>
        </w:rPr>
        <w:t>身份证复印件</w:t>
      </w:r>
    </w:p>
    <w:p w14:paraId="282E55F4">
      <w:pPr>
        <w:pageBreakBefore w:val="0"/>
        <w:kinsoku/>
        <w:topLinePunct w:val="0"/>
        <w:bidi w:val="0"/>
        <w:spacing w:line="360" w:lineRule="auto"/>
        <w:jc w:val="left"/>
        <w:rPr>
          <w:rFonts w:hint="eastAsia" w:ascii="仿宋" w:hAnsi="仿宋" w:eastAsia="仿宋" w:cs="仿宋"/>
          <w:b/>
          <w:sz w:val="24"/>
          <w:highlight w:val="none"/>
          <w:lang w:val="en-US" w:eastAsia="zh-CN"/>
        </w:rPr>
      </w:pPr>
      <w:r>
        <w:rPr>
          <w:rFonts w:hint="eastAsia" w:ascii="仿宋" w:hAnsi="仿宋" w:eastAsia="仿宋" w:cs="仿宋"/>
          <w:b/>
          <w:bCs/>
          <w:szCs w:val="21"/>
          <w:highlight w:val="none"/>
        </w:rPr>
        <w:br w:type="page"/>
      </w:r>
      <w:bookmarkStart w:id="69" w:name="法定代表人授权委托书"/>
      <w:r>
        <w:rPr>
          <w:rFonts w:hint="eastAsia" w:ascii="仿宋" w:hAnsi="仿宋" w:eastAsia="仿宋" w:cs="仿宋"/>
          <w:b/>
          <w:sz w:val="24"/>
          <w:highlight w:val="none"/>
        </w:rPr>
        <w:t>附件1-</w:t>
      </w:r>
      <w:r>
        <w:rPr>
          <w:rFonts w:hint="eastAsia" w:ascii="仿宋" w:hAnsi="仿宋" w:eastAsia="仿宋" w:cs="仿宋"/>
          <w:b/>
          <w:sz w:val="24"/>
          <w:highlight w:val="none"/>
          <w:lang w:val="en-US" w:eastAsia="zh-CN"/>
        </w:rPr>
        <w:t>2</w:t>
      </w:r>
      <w:bookmarkEnd w:id="69"/>
    </w:p>
    <w:p w14:paraId="4B62AE18">
      <w:pPr>
        <w:pageBreakBefore w:val="0"/>
        <w:kinsoku/>
        <w:topLinePunct w:val="0"/>
        <w:bidi w:val="0"/>
        <w:spacing w:line="360" w:lineRule="auto"/>
        <w:jc w:val="center"/>
        <w:rPr>
          <w:rFonts w:hint="eastAsia" w:ascii="仿宋" w:hAnsi="仿宋" w:eastAsia="仿宋" w:cs="仿宋"/>
          <w:b/>
          <w:bCs/>
          <w:sz w:val="28"/>
          <w:szCs w:val="28"/>
          <w:highlight w:val="none"/>
        </w:rPr>
      </w:pPr>
    </w:p>
    <w:p w14:paraId="0C8382FA">
      <w:pPr>
        <w:pageBreakBefore w:val="0"/>
        <w:kinsoku/>
        <w:topLinePunct w:val="0"/>
        <w:bidi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法定代表人（单位负责人）</w:t>
      </w:r>
      <w:r>
        <w:rPr>
          <w:rFonts w:hint="eastAsia" w:ascii="仿宋" w:hAnsi="仿宋" w:eastAsia="仿宋" w:cs="仿宋"/>
          <w:b/>
          <w:bCs/>
          <w:sz w:val="28"/>
          <w:szCs w:val="28"/>
          <w:highlight w:val="none"/>
        </w:rPr>
        <w:t>授权委托书</w:t>
      </w:r>
    </w:p>
    <w:p w14:paraId="04F00613">
      <w:pPr>
        <w:pageBreakBefore w:val="0"/>
        <w:kinsoku/>
        <w:topLinePunct w:val="0"/>
        <w:bidi w:val="0"/>
        <w:spacing w:line="360" w:lineRule="auto"/>
        <w:rPr>
          <w:rFonts w:hint="eastAsia" w:ascii="仿宋" w:hAnsi="仿宋" w:eastAsia="仿宋" w:cs="仿宋"/>
          <w:sz w:val="24"/>
          <w:highlight w:val="none"/>
        </w:rPr>
      </w:pPr>
    </w:p>
    <w:p w14:paraId="5999ED53">
      <w:pPr>
        <w:pageBreakBefore w:val="0"/>
        <w:kinsoku/>
        <w:topLinePunct w:val="0"/>
        <w:bidi w:val="0"/>
        <w:spacing w:line="360" w:lineRule="auto"/>
        <w:ind w:firstLine="105" w:firstLineChars="50"/>
        <w:rPr>
          <w:rFonts w:hint="eastAsia" w:ascii="仿宋" w:hAnsi="仿宋" w:eastAsia="仿宋" w:cs="仿宋"/>
          <w:szCs w:val="21"/>
          <w:highlight w:val="none"/>
        </w:rPr>
      </w:pPr>
      <w:r>
        <w:rPr>
          <w:rFonts w:hint="eastAsia" w:ascii="仿宋" w:hAnsi="仿宋" w:eastAsia="仿宋" w:cs="仿宋"/>
          <w:szCs w:val="21"/>
          <w:highlight w:val="none"/>
          <w:u w:val="single"/>
        </w:rPr>
        <w:t xml:space="preserve">（采购代理机构名称） </w:t>
      </w:r>
      <w:r>
        <w:rPr>
          <w:rFonts w:hint="eastAsia" w:ascii="仿宋" w:hAnsi="仿宋" w:eastAsia="仿宋" w:cs="仿宋"/>
          <w:szCs w:val="21"/>
          <w:highlight w:val="none"/>
        </w:rPr>
        <w:t>：</w:t>
      </w:r>
    </w:p>
    <w:p w14:paraId="1CE00F97">
      <w:pPr>
        <w:pageBreakBefore w:val="0"/>
        <w:kinsoku/>
        <w:topLinePunct w:val="0"/>
        <w:bidi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我</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（姓名）系</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（供应商名称）的</w:t>
      </w:r>
      <w:r>
        <w:rPr>
          <w:rFonts w:hint="eastAsia" w:ascii="仿宋" w:hAnsi="仿宋" w:eastAsia="仿宋" w:cs="仿宋"/>
          <w:szCs w:val="21"/>
          <w:highlight w:val="none"/>
          <w:lang w:eastAsia="zh-CN"/>
        </w:rPr>
        <w:t>法定代表人（单位负责人）</w:t>
      </w:r>
      <w:r>
        <w:rPr>
          <w:rFonts w:hint="eastAsia" w:ascii="仿宋" w:hAnsi="仿宋" w:eastAsia="仿宋" w:cs="仿宋"/>
          <w:szCs w:val="21"/>
          <w:highlight w:val="none"/>
        </w:rPr>
        <w:t>，现授权委托本单位在职职工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（姓名）以我方的名义参加贵处组织的</w:t>
      </w:r>
      <w:r>
        <w:rPr>
          <w:rFonts w:hint="eastAsia" w:ascii="仿宋" w:hAnsi="仿宋" w:eastAsia="仿宋" w:cs="仿宋"/>
          <w:szCs w:val="21"/>
          <w:highlight w:val="none"/>
          <w:u w:val="single"/>
        </w:rPr>
        <w:t>（项目名称），（项目编号）</w:t>
      </w:r>
      <w:r>
        <w:rPr>
          <w:rFonts w:hint="eastAsia" w:ascii="仿宋" w:hAnsi="仿宋" w:eastAsia="仿宋" w:cs="仿宋"/>
          <w:szCs w:val="21"/>
          <w:highlight w:val="none"/>
        </w:rPr>
        <w:t>的竞争性磋商采购活动，并代表我方全权办理针对上述项目的响应文件签署、参加磋商会议、签约（如我方成交）等具体事务和签署相关文件。</w:t>
      </w:r>
    </w:p>
    <w:p w14:paraId="2FA683C6">
      <w:pPr>
        <w:pageBreakBefore w:val="0"/>
        <w:kinsoku/>
        <w:topLinePunct w:val="0"/>
        <w:bidi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我方对被授权人签名的事项负全部责任。</w:t>
      </w:r>
    </w:p>
    <w:p w14:paraId="69B1F967">
      <w:pPr>
        <w:pageBreakBefore w:val="0"/>
        <w:kinsoku/>
        <w:topLinePunct w:val="0"/>
        <w:bidi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在撤销授权的书面通知以前，本授权书一直有效。被授权人在授权书有效期内签署的所有文件不因授权的撤销而失效。被授权人无转委托权，特此委托。</w:t>
      </w:r>
    </w:p>
    <w:p w14:paraId="56189B93">
      <w:pPr>
        <w:pageBreakBefore w:val="0"/>
        <w:kinsoku/>
        <w:topLinePunct w:val="0"/>
        <w:bidi w:val="0"/>
        <w:spacing w:line="360" w:lineRule="auto"/>
        <w:ind w:firstLine="420" w:firstLineChars="200"/>
        <w:rPr>
          <w:rFonts w:hint="eastAsia" w:ascii="仿宋" w:hAnsi="仿宋" w:eastAsia="仿宋" w:cs="仿宋"/>
          <w:szCs w:val="21"/>
          <w:highlight w:val="none"/>
        </w:rPr>
      </w:pPr>
    </w:p>
    <w:p w14:paraId="449D1842">
      <w:pPr>
        <w:pageBreakBefore w:val="0"/>
        <w:kinsoku/>
        <w:topLinePunct w:val="0"/>
        <w:bidi w:val="0"/>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被授权人签字：</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职务：</w:t>
      </w:r>
      <w:r>
        <w:rPr>
          <w:rFonts w:hint="eastAsia" w:ascii="仿宋" w:hAnsi="仿宋" w:eastAsia="仿宋" w:cs="仿宋"/>
          <w:szCs w:val="21"/>
          <w:highlight w:val="none"/>
          <w:u w:val="single"/>
        </w:rPr>
        <w:t xml:space="preserve">            </w:t>
      </w:r>
    </w:p>
    <w:p w14:paraId="584C7AA2">
      <w:pPr>
        <w:pageBreakBefore w:val="0"/>
        <w:kinsoku/>
        <w:topLinePunct w:val="0"/>
        <w:bidi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被授权人身份证号码：</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173B886F">
      <w:pPr>
        <w:pageBreakBefore w:val="0"/>
        <w:kinsoku/>
        <w:topLinePunct w:val="0"/>
        <w:bidi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联系电话：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手机：</w:t>
      </w:r>
      <w:r>
        <w:rPr>
          <w:rFonts w:hint="eastAsia" w:ascii="仿宋" w:hAnsi="仿宋" w:eastAsia="仿宋" w:cs="仿宋"/>
          <w:szCs w:val="21"/>
          <w:highlight w:val="none"/>
          <w:u w:val="single"/>
        </w:rPr>
        <w:t xml:space="preserve">                   </w:t>
      </w:r>
    </w:p>
    <w:p w14:paraId="41FEEB4B">
      <w:pPr>
        <w:pageBreakBefore w:val="0"/>
        <w:kinsoku/>
        <w:topLinePunct w:val="0"/>
        <w:bidi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供应商名称：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（盖章）</w:t>
      </w:r>
    </w:p>
    <w:p w14:paraId="605F7AAF">
      <w:pPr>
        <w:pageBreakBefore w:val="0"/>
        <w:kinsoku/>
        <w:topLinePunct w:val="0"/>
        <w:bidi w:val="0"/>
        <w:spacing w:line="360" w:lineRule="auto"/>
        <w:rPr>
          <w:rFonts w:hint="eastAsia" w:ascii="仿宋" w:hAnsi="仿宋" w:eastAsia="仿宋" w:cs="仿宋"/>
          <w:szCs w:val="21"/>
          <w:highlight w:val="none"/>
        </w:rPr>
      </w:pPr>
      <w:r>
        <w:rPr>
          <w:rFonts w:hint="eastAsia" w:ascii="仿宋" w:hAnsi="仿宋" w:eastAsia="仿宋" w:cs="仿宋"/>
          <w:szCs w:val="21"/>
          <w:highlight w:val="none"/>
          <w:lang w:eastAsia="zh-CN"/>
        </w:rPr>
        <w:t>法定代表人（单位负责人）</w:t>
      </w:r>
      <w:r>
        <w:rPr>
          <w:rFonts w:hint="eastAsia" w:ascii="仿宋" w:hAnsi="仿宋" w:eastAsia="仿宋" w:cs="仿宋"/>
          <w:szCs w:val="21"/>
          <w:highlight w:val="none"/>
        </w:rPr>
        <w:t>签字：</w:t>
      </w:r>
      <w:r>
        <w:rPr>
          <w:rFonts w:hint="eastAsia" w:ascii="仿宋" w:hAnsi="仿宋" w:eastAsia="仿宋" w:cs="仿宋"/>
          <w:szCs w:val="21"/>
          <w:highlight w:val="none"/>
          <w:u w:val="single"/>
        </w:rPr>
        <w:t xml:space="preserve">             </w:t>
      </w:r>
    </w:p>
    <w:p w14:paraId="6E0E3BDD">
      <w:pPr>
        <w:pageBreakBefore w:val="0"/>
        <w:kinsoku/>
        <w:topLinePunct w:val="0"/>
        <w:bidi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日期：    年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月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日</w:t>
      </w:r>
    </w:p>
    <w:p w14:paraId="14CE7812">
      <w:pPr>
        <w:pageBreakBefore w:val="0"/>
        <w:kinsoku/>
        <w:topLinePunct w:val="0"/>
        <w:bidi w:val="0"/>
        <w:spacing w:line="360" w:lineRule="auto"/>
        <w:jc w:val="left"/>
        <w:rPr>
          <w:rFonts w:hint="eastAsia" w:ascii="仿宋" w:hAnsi="仿宋" w:eastAsia="仿宋" w:cs="仿宋"/>
          <w:b/>
          <w:szCs w:val="21"/>
          <w:highlight w:val="none"/>
          <w:lang w:eastAsia="zh-CN"/>
        </w:rPr>
      </w:pPr>
    </w:p>
    <w:p w14:paraId="237B251A">
      <w:pPr>
        <w:pageBreakBefore w:val="0"/>
        <w:kinsoku/>
        <w:topLinePunct w:val="0"/>
        <w:bidi w:val="0"/>
        <w:spacing w:line="360" w:lineRule="auto"/>
        <w:jc w:val="left"/>
        <w:rPr>
          <w:rFonts w:hint="eastAsia" w:ascii="仿宋" w:hAnsi="仿宋" w:eastAsia="仿宋" w:cs="仿宋"/>
          <w:b/>
          <w:sz w:val="22"/>
          <w:szCs w:val="22"/>
          <w:highlight w:val="none"/>
        </w:rPr>
      </w:pPr>
      <w:r>
        <w:rPr>
          <w:rFonts w:hint="eastAsia" w:ascii="仿宋" w:hAnsi="仿宋" w:eastAsia="仿宋" w:cs="仿宋"/>
          <w:b/>
          <w:szCs w:val="21"/>
          <w:highlight w:val="none"/>
          <w:lang w:eastAsia="zh-CN"/>
        </w:rPr>
        <w:t>附：</w:t>
      </w:r>
      <w:r>
        <w:rPr>
          <w:rFonts w:hint="eastAsia" w:ascii="仿宋" w:hAnsi="仿宋" w:eastAsia="仿宋" w:cs="仿宋"/>
          <w:b/>
          <w:sz w:val="22"/>
          <w:szCs w:val="22"/>
          <w:highlight w:val="none"/>
          <w:lang w:eastAsia="zh-CN"/>
        </w:rPr>
        <w:t>法定代表人（单位负责人）</w:t>
      </w:r>
      <w:r>
        <w:rPr>
          <w:rFonts w:hint="eastAsia" w:ascii="仿宋" w:hAnsi="仿宋" w:eastAsia="仿宋" w:cs="仿宋"/>
          <w:b/>
          <w:sz w:val="22"/>
          <w:szCs w:val="22"/>
          <w:highlight w:val="none"/>
        </w:rPr>
        <w:t>及授权代理人身份证复印件</w:t>
      </w:r>
    </w:p>
    <w:p w14:paraId="070A8085">
      <w:pPr>
        <w:pageBreakBefore w:val="0"/>
        <w:kinsoku/>
        <w:topLinePunct w:val="0"/>
        <w:bidi w:val="0"/>
        <w:spacing w:line="360" w:lineRule="auto"/>
        <w:jc w:val="both"/>
        <w:rPr>
          <w:rFonts w:hint="eastAsia" w:ascii="仿宋" w:hAnsi="仿宋" w:eastAsia="仿宋" w:cs="仿宋"/>
          <w:b/>
          <w:szCs w:val="21"/>
          <w:highlight w:val="none"/>
          <w:lang w:eastAsia="zh-CN"/>
        </w:rPr>
      </w:pPr>
    </w:p>
    <w:p w14:paraId="322D9331">
      <w:pPr>
        <w:pageBreakBefore w:val="0"/>
        <w:kinsoku/>
        <w:topLinePunct w:val="0"/>
        <w:bidi w:val="0"/>
        <w:spacing w:line="360" w:lineRule="auto"/>
        <w:jc w:val="left"/>
        <w:rPr>
          <w:rFonts w:hint="eastAsia" w:ascii="仿宋" w:hAnsi="仿宋" w:eastAsia="仿宋" w:cs="仿宋"/>
          <w:b/>
          <w:sz w:val="24"/>
          <w:highlight w:val="none"/>
          <w:lang w:val="en-US" w:eastAsia="zh-CN"/>
        </w:rPr>
      </w:pPr>
      <w:r>
        <w:rPr>
          <w:rFonts w:hint="eastAsia" w:ascii="仿宋" w:hAnsi="仿宋" w:eastAsia="仿宋" w:cs="仿宋"/>
          <w:b/>
          <w:szCs w:val="21"/>
          <w:highlight w:val="none"/>
        </w:rPr>
        <w:br w:type="page"/>
      </w:r>
      <w:bookmarkStart w:id="70" w:name="参加政府采购活动前3年内在经营活动中没有重大违法记录的承诺函"/>
      <w:r>
        <w:rPr>
          <w:rFonts w:hint="eastAsia" w:ascii="仿宋" w:hAnsi="仿宋" w:eastAsia="仿宋" w:cs="仿宋"/>
          <w:b/>
          <w:sz w:val="24"/>
          <w:highlight w:val="none"/>
        </w:rPr>
        <w:t>附件</w:t>
      </w:r>
      <w:bookmarkEnd w:id="70"/>
      <w:r>
        <w:rPr>
          <w:rFonts w:hint="eastAsia" w:ascii="仿宋" w:hAnsi="仿宋" w:eastAsia="仿宋" w:cs="仿宋"/>
          <w:b/>
          <w:sz w:val="24"/>
          <w:highlight w:val="none"/>
          <w:lang w:val="en-US" w:eastAsia="zh-CN"/>
        </w:rPr>
        <w:t>2</w:t>
      </w:r>
    </w:p>
    <w:p w14:paraId="746BCBDC">
      <w:pPr>
        <w:spacing w:line="360" w:lineRule="auto"/>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符合参与政府采购活动资格条件的承诺函</w:t>
      </w:r>
    </w:p>
    <w:p w14:paraId="36503780">
      <w:pPr>
        <w:pStyle w:val="20"/>
        <w:rPr>
          <w:rFonts w:hint="eastAsia" w:ascii="仿宋" w:hAnsi="仿宋" w:eastAsia="仿宋" w:cs="仿宋"/>
          <w:highlight w:val="none"/>
        </w:rPr>
      </w:pPr>
    </w:p>
    <w:p w14:paraId="0727C190">
      <w:pPr>
        <w:adjustRightInd w:val="0"/>
        <w:snapToGrid w:val="0"/>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lang w:eastAsia="zh-CN"/>
        </w:rPr>
        <w:t>常山县水利发展投资有限责任公司</w:t>
      </w:r>
      <w:r>
        <w:rPr>
          <w:rFonts w:hint="eastAsia" w:ascii="仿宋" w:hAnsi="仿宋" w:eastAsia="仿宋" w:cs="仿宋"/>
          <w:szCs w:val="21"/>
          <w:highlight w:val="none"/>
          <w:u w:val="single"/>
        </w:rPr>
        <w:t>：</w:t>
      </w:r>
    </w:p>
    <w:p w14:paraId="67862DF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浙江哲晟工程项目管理有限公司：</w:t>
      </w:r>
    </w:p>
    <w:p w14:paraId="1DE0CB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rPr>
      </w:pPr>
    </w:p>
    <w:p w14:paraId="4A7B55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rPr>
        <w:t>根据贵方</w:t>
      </w:r>
      <w:r>
        <w:rPr>
          <w:rFonts w:hint="eastAsia" w:ascii="仿宋" w:hAnsi="仿宋" w:eastAsia="仿宋" w:cs="仿宋"/>
          <w:szCs w:val="21"/>
          <w:highlight w:val="none"/>
          <w:u w:val="single"/>
        </w:rPr>
        <w:t>（项目名称</w:t>
      </w:r>
      <w:r>
        <w:rPr>
          <w:rFonts w:hint="eastAsia" w:ascii="仿宋" w:hAnsi="仿宋" w:eastAsia="仿宋" w:cs="仿宋"/>
          <w:szCs w:val="21"/>
          <w:highlight w:val="none"/>
          <w:u w:val="single"/>
          <w:lang w:eastAsia="zh-CN"/>
        </w:rPr>
        <w:t>：</w:t>
      </w:r>
      <w:r>
        <w:rPr>
          <w:rFonts w:hint="eastAsia" w:ascii="仿宋" w:hAnsi="仿宋" w:eastAsia="仿宋" w:cs="仿宋"/>
          <w:szCs w:val="21"/>
          <w:highlight w:val="none"/>
          <w:u w:val="single"/>
        </w:rPr>
        <w:t>）（项目编号</w:t>
      </w:r>
      <w:r>
        <w:rPr>
          <w:rFonts w:hint="eastAsia" w:ascii="仿宋" w:hAnsi="仿宋" w:eastAsia="仿宋" w:cs="仿宋"/>
          <w:szCs w:val="21"/>
          <w:highlight w:val="none"/>
          <w:u w:val="single"/>
          <w:lang w:eastAsia="zh-CN"/>
        </w:rPr>
        <w:t>：</w:t>
      </w:r>
      <w:r>
        <w:rPr>
          <w:rFonts w:hint="eastAsia" w:ascii="仿宋" w:hAnsi="仿宋" w:eastAsia="仿宋" w:cs="仿宋"/>
          <w:szCs w:val="21"/>
          <w:highlight w:val="none"/>
          <w:u w:val="single"/>
        </w:rPr>
        <w:t>）</w:t>
      </w:r>
      <w:r>
        <w:rPr>
          <w:rFonts w:hint="eastAsia" w:ascii="仿宋" w:hAnsi="仿宋" w:eastAsia="仿宋" w:cs="仿宋"/>
          <w:szCs w:val="21"/>
          <w:highlight w:val="none"/>
        </w:rPr>
        <w:t>采购文件要求，我公司在完全理解采购文件技术要求、商务条款及其他内容的基础上，决定响应该项目的采购活动。并承诺，我公司</w:t>
      </w:r>
      <w:r>
        <w:rPr>
          <w:rFonts w:hint="eastAsia" w:ascii="仿宋" w:hAnsi="仿宋" w:eastAsia="仿宋" w:cs="仿宋"/>
          <w:szCs w:val="21"/>
          <w:highlight w:val="none"/>
          <w:lang w:eastAsia="zh-CN"/>
        </w:rPr>
        <w:t>符合参与政府采购活动资格条件：</w:t>
      </w:r>
    </w:p>
    <w:p w14:paraId="36853D66">
      <w:pPr>
        <w:snapToGrid w:val="0"/>
        <w:spacing w:line="360" w:lineRule="auto"/>
        <w:ind w:firstLine="315" w:firstLineChars="15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（一）具备《中华人民共和国政府采购法》第二十二条第一款规定的条件：</w:t>
      </w:r>
    </w:p>
    <w:p w14:paraId="29F4BDB3">
      <w:pPr>
        <w:snapToGrid w:val="0"/>
        <w:spacing w:line="36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1.具有独立承担民事责任的能力；</w:t>
      </w:r>
    </w:p>
    <w:p w14:paraId="467D4C75">
      <w:pPr>
        <w:snapToGrid w:val="0"/>
        <w:spacing w:line="36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2.具有良好的商业信誉和健全的财务会计制度； </w:t>
      </w:r>
    </w:p>
    <w:p w14:paraId="0773CAA1">
      <w:pPr>
        <w:snapToGrid w:val="0"/>
        <w:spacing w:line="36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3.具有履行合同所必需的设备和专业技术能力；</w:t>
      </w:r>
    </w:p>
    <w:p w14:paraId="04613757">
      <w:pPr>
        <w:snapToGrid w:val="0"/>
        <w:spacing w:line="36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4.有依法缴纳税收和社会保障资金的良好记录；</w:t>
      </w:r>
    </w:p>
    <w:p w14:paraId="5F31AA87">
      <w:pPr>
        <w:snapToGrid w:val="0"/>
        <w:spacing w:line="36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5.参加采购活动前三年内，在经营活动中没有重大违法记录；</w:t>
      </w:r>
    </w:p>
    <w:p w14:paraId="166E22E9">
      <w:pPr>
        <w:snapToGrid w:val="0"/>
        <w:spacing w:line="36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6.具有法律、行政法规规定的其他条件。</w:t>
      </w:r>
    </w:p>
    <w:p w14:paraId="2440A857">
      <w:pPr>
        <w:snapToGrid w:val="0"/>
        <w:spacing w:line="36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（二）未被信用中国（www.creditchina.gov.cn)、中国政府采购网（www.ccgp.gov.cn）列入失信被执行人、重大税收违法案件当事人名单、政府采购严重违法失信行为记录名单。</w:t>
      </w:r>
    </w:p>
    <w:p w14:paraId="3A0B0FAA">
      <w:pPr>
        <w:pStyle w:val="47"/>
        <w:rPr>
          <w:rFonts w:hint="eastAsia" w:ascii="仿宋" w:hAnsi="仿宋" w:eastAsia="仿宋" w:cs="仿宋"/>
          <w:szCs w:val="21"/>
          <w:highlight w:val="none"/>
        </w:rPr>
      </w:pPr>
    </w:p>
    <w:p w14:paraId="197AEAE5">
      <w:pPr>
        <w:pStyle w:val="29"/>
        <w:rPr>
          <w:rFonts w:hint="eastAsia" w:ascii="仿宋" w:hAnsi="仿宋" w:eastAsia="仿宋" w:cs="仿宋"/>
          <w:szCs w:val="21"/>
          <w:highlight w:val="none"/>
        </w:rPr>
      </w:pPr>
    </w:p>
    <w:p w14:paraId="4BA63870">
      <w:pPr>
        <w:pStyle w:val="29"/>
        <w:rPr>
          <w:rFonts w:hint="eastAsia" w:ascii="仿宋" w:hAnsi="仿宋" w:eastAsia="仿宋" w:cs="仿宋"/>
          <w:szCs w:val="21"/>
          <w:highlight w:val="none"/>
        </w:rPr>
      </w:pPr>
    </w:p>
    <w:p w14:paraId="34D3A179">
      <w:pPr>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 xml:space="preserve">名称（盖章）： </w:t>
      </w:r>
      <w:r>
        <w:rPr>
          <w:rFonts w:hint="eastAsia" w:ascii="仿宋" w:hAnsi="仿宋" w:eastAsia="仿宋" w:cs="仿宋"/>
          <w:szCs w:val="21"/>
          <w:highlight w:val="none"/>
          <w:u w:val="single"/>
        </w:rPr>
        <w:t xml:space="preserve">            </w:t>
      </w:r>
    </w:p>
    <w:p w14:paraId="2447C76C">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6716D227">
      <w:pP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br w:type="page"/>
      </w:r>
    </w:p>
    <w:p w14:paraId="04C95360">
      <w:pPr>
        <w:pageBreakBefore w:val="0"/>
        <w:kinsoku/>
        <w:topLinePunct w:val="0"/>
        <w:bidi w:val="0"/>
        <w:snapToGrid w:val="0"/>
        <w:spacing w:line="360" w:lineRule="auto"/>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附件</w:t>
      </w:r>
      <w:r>
        <w:rPr>
          <w:rFonts w:hint="eastAsia" w:ascii="仿宋" w:hAnsi="仿宋" w:eastAsia="仿宋" w:cs="仿宋"/>
          <w:b/>
          <w:bCs/>
          <w:sz w:val="28"/>
          <w:szCs w:val="28"/>
          <w:highlight w:val="none"/>
          <w:lang w:val="en-US" w:eastAsia="zh-CN"/>
        </w:rPr>
        <w:t>3</w:t>
      </w:r>
    </w:p>
    <w:p w14:paraId="4FEA34A7">
      <w:pPr>
        <w:pageBreakBefore w:val="0"/>
        <w:kinsoku/>
        <w:topLinePunct w:val="0"/>
        <w:bidi w:val="0"/>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评分因素索引表</w:t>
      </w:r>
    </w:p>
    <w:tbl>
      <w:tblPr>
        <w:tblStyle w:val="48"/>
        <w:tblW w:w="9110" w:type="dxa"/>
        <w:jc w:val="center"/>
        <w:tblLayout w:type="fixed"/>
        <w:tblCellMar>
          <w:top w:w="15" w:type="dxa"/>
          <w:left w:w="15" w:type="dxa"/>
          <w:bottom w:w="15" w:type="dxa"/>
          <w:right w:w="15" w:type="dxa"/>
        </w:tblCellMar>
      </w:tblPr>
      <w:tblGrid>
        <w:gridCol w:w="1276"/>
        <w:gridCol w:w="3610"/>
        <w:gridCol w:w="900"/>
        <w:gridCol w:w="913"/>
        <w:gridCol w:w="1225"/>
        <w:gridCol w:w="1186"/>
      </w:tblGrid>
      <w:tr w14:paraId="3A1FCCEA">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E969575">
            <w:pPr>
              <w:pageBreakBefore w:val="0"/>
              <w:widowControl/>
              <w:kinsoku/>
              <w:topLinePunct w:val="0"/>
              <w:bidi w:val="0"/>
              <w:spacing w:line="360" w:lineRule="auto"/>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评审项目</w:t>
            </w:r>
          </w:p>
        </w:tc>
        <w:tc>
          <w:tcPr>
            <w:tcW w:w="3610" w:type="dxa"/>
            <w:tcBorders>
              <w:top w:val="single" w:color="auto" w:sz="4" w:space="0"/>
              <w:left w:val="single" w:color="auto" w:sz="4" w:space="0"/>
              <w:bottom w:val="single" w:color="auto" w:sz="4" w:space="0"/>
              <w:right w:val="single" w:color="auto" w:sz="4" w:space="0"/>
            </w:tcBorders>
            <w:vAlign w:val="center"/>
          </w:tcPr>
          <w:p w14:paraId="5353F48B">
            <w:pPr>
              <w:pageBreakBefore w:val="0"/>
              <w:widowControl/>
              <w:kinsoku/>
              <w:topLinePunct w:val="0"/>
              <w:bidi w:val="0"/>
              <w:spacing w:line="360" w:lineRule="auto"/>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14:paraId="3754B776">
            <w:pPr>
              <w:pageBreakBefore w:val="0"/>
              <w:widowControl/>
              <w:kinsoku/>
              <w:topLinePunct w:val="0"/>
              <w:bidi w:val="0"/>
              <w:spacing w:line="360" w:lineRule="auto"/>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分值</w:t>
            </w:r>
          </w:p>
        </w:tc>
        <w:tc>
          <w:tcPr>
            <w:tcW w:w="913" w:type="dxa"/>
            <w:tcBorders>
              <w:top w:val="single" w:color="auto" w:sz="4" w:space="0"/>
              <w:left w:val="single" w:color="auto" w:sz="4" w:space="0"/>
              <w:bottom w:val="single" w:color="auto" w:sz="4" w:space="0"/>
              <w:right w:val="single" w:color="auto" w:sz="4" w:space="0"/>
            </w:tcBorders>
            <w:vAlign w:val="center"/>
          </w:tcPr>
          <w:p w14:paraId="0C5F04ED">
            <w:pPr>
              <w:pageBreakBefore w:val="0"/>
              <w:widowControl/>
              <w:kinsoku/>
              <w:topLinePunct w:val="0"/>
              <w:bidi w:val="0"/>
              <w:spacing w:line="360" w:lineRule="auto"/>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自评</w:t>
            </w:r>
          </w:p>
          <w:p w14:paraId="27A5B135">
            <w:pPr>
              <w:pageBreakBefore w:val="0"/>
              <w:widowControl/>
              <w:kinsoku/>
              <w:topLinePunct w:val="0"/>
              <w:bidi w:val="0"/>
              <w:spacing w:line="360" w:lineRule="auto"/>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分</w:t>
            </w:r>
          </w:p>
        </w:tc>
        <w:tc>
          <w:tcPr>
            <w:tcW w:w="1225" w:type="dxa"/>
            <w:tcBorders>
              <w:top w:val="single" w:color="auto" w:sz="4" w:space="0"/>
              <w:left w:val="single" w:color="auto" w:sz="4" w:space="0"/>
              <w:bottom w:val="single" w:color="auto" w:sz="4" w:space="0"/>
              <w:right w:val="single" w:color="auto" w:sz="4" w:space="0"/>
            </w:tcBorders>
            <w:vAlign w:val="center"/>
          </w:tcPr>
          <w:p w14:paraId="41F18546">
            <w:pPr>
              <w:pageBreakBefore w:val="0"/>
              <w:widowControl/>
              <w:kinsoku/>
              <w:topLinePunct w:val="0"/>
              <w:bidi w:val="0"/>
              <w:spacing w:line="360" w:lineRule="auto"/>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得分</w:t>
            </w:r>
          </w:p>
          <w:p w14:paraId="68F9DAD7">
            <w:pPr>
              <w:pageBreakBefore w:val="0"/>
              <w:widowControl/>
              <w:kinsoku/>
              <w:topLinePunct w:val="0"/>
              <w:bidi w:val="0"/>
              <w:spacing w:line="360" w:lineRule="auto"/>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依据</w:t>
            </w:r>
          </w:p>
        </w:tc>
        <w:tc>
          <w:tcPr>
            <w:tcW w:w="1186" w:type="dxa"/>
            <w:tcBorders>
              <w:top w:val="single" w:color="auto" w:sz="4" w:space="0"/>
              <w:left w:val="single" w:color="auto" w:sz="4" w:space="0"/>
              <w:bottom w:val="single" w:color="auto" w:sz="4" w:space="0"/>
              <w:right w:val="single" w:color="auto" w:sz="4" w:space="0"/>
            </w:tcBorders>
            <w:vAlign w:val="center"/>
          </w:tcPr>
          <w:p w14:paraId="0EBCB19A">
            <w:pPr>
              <w:pageBreakBefore w:val="0"/>
              <w:widowControl/>
              <w:kinsoku/>
              <w:topLinePunct w:val="0"/>
              <w:bidi w:val="0"/>
              <w:spacing w:line="360" w:lineRule="auto"/>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对应</w:t>
            </w:r>
          </w:p>
          <w:p w14:paraId="57E5EDBF">
            <w:pPr>
              <w:pageBreakBefore w:val="0"/>
              <w:widowControl/>
              <w:kinsoku/>
              <w:topLinePunct w:val="0"/>
              <w:bidi w:val="0"/>
              <w:spacing w:line="360" w:lineRule="auto"/>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页码</w:t>
            </w:r>
          </w:p>
        </w:tc>
      </w:tr>
      <w:tr w14:paraId="6C6A964E">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2D9DC85">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08F1A98C">
            <w:pPr>
              <w:pageBreakBefore w:val="0"/>
              <w:widowControl/>
              <w:kinsoku/>
              <w:topLinePunct w:val="0"/>
              <w:bidi w:val="0"/>
              <w:spacing w:line="360" w:lineRule="auto"/>
              <w:jc w:val="left"/>
              <w:textAlignment w:val="center"/>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F361442">
            <w:pPr>
              <w:pageBreakBefore w:val="0"/>
              <w:widowControl/>
              <w:kinsoku/>
              <w:topLinePunct w:val="0"/>
              <w:bidi w:val="0"/>
              <w:spacing w:line="360" w:lineRule="auto"/>
              <w:jc w:val="center"/>
              <w:rPr>
                <w:rFonts w:hint="eastAsia" w:ascii="仿宋" w:hAnsi="仿宋" w:eastAsia="仿宋" w:cs="仿宋"/>
                <w:szCs w:val="21"/>
                <w:highlight w:val="none"/>
                <w:lang w:bidi="ar"/>
              </w:rPr>
            </w:pPr>
          </w:p>
        </w:tc>
        <w:tc>
          <w:tcPr>
            <w:tcW w:w="913" w:type="dxa"/>
            <w:tcBorders>
              <w:top w:val="single" w:color="auto" w:sz="4" w:space="0"/>
              <w:left w:val="single" w:color="auto" w:sz="4" w:space="0"/>
              <w:bottom w:val="single" w:color="auto" w:sz="4" w:space="0"/>
              <w:right w:val="single" w:color="auto" w:sz="4" w:space="0"/>
            </w:tcBorders>
            <w:vAlign w:val="center"/>
          </w:tcPr>
          <w:p w14:paraId="597866C1">
            <w:pPr>
              <w:pageBreakBefore w:val="0"/>
              <w:widowControl/>
              <w:kinsoku/>
              <w:topLinePunct w:val="0"/>
              <w:bidi w:val="0"/>
              <w:spacing w:line="360" w:lineRule="auto"/>
              <w:jc w:val="center"/>
              <w:rPr>
                <w:rFonts w:hint="eastAsia" w:ascii="仿宋" w:hAnsi="仿宋" w:eastAsia="仿宋" w:cs="仿宋"/>
                <w:szCs w:val="21"/>
                <w:highlight w:val="none"/>
                <w:lang w:bidi="ar"/>
              </w:rPr>
            </w:pPr>
          </w:p>
        </w:tc>
        <w:tc>
          <w:tcPr>
            <w:tcW w:w="1225" w:type="dxa"/>
            <w:tcBorders>
              <w:top w:val="single" w:color="auto" w:sz="4" w:space="0"/>
              <w:left w:val="single" w:color="auto" w:sz="4" w:space="0"/>
              <w:bottom w:val="single" w:color="auto" w:sz="4" w:space="0"/>
              <w:right w:val="single" w:color="auto" w:sz="4" w:space="0"/>
            </w:tcBorders>
            <w:vAlign w:val="center"/>
          </w:tcPr>
          <w:p w14:paraId="7304D5C1">
            <w:pPr>
              <w:pageBreakBefore w:val="0"/>
              <w:widowControl/>
              <w:kinsoku/>
              <w:topLinePunct w:val="0"/>
              <w:bidi w:val="0"/>
              <w:spacing w:line="360" w:lineRule="auto"/>
              <w:jc w:val="center"/>
              <w:rPr>
                <w:rFonts w:hint="eastAsia" w:ascii="仿宋" w:hAnsi="仿宋" w:eastAsia="仿宋" w:cs="仿宋"/>
                <w:szCs w:val="21"/>
                <w:highlight w:val="none"/>
                <w:lang w:bidi="ar"/>
              </w:rPr>
            </w:pPr>
          </w:p>
        </w:tc>
        <w:tc>
          <w:tcPr>
            <w:tcW w:w="1186" w:type="dxa"/>
            <w:tcBorders>
              <w:top w:val="single" w:color="auto" w:sz="4" w:space="0"/>
              <w:left w:val="single" w:color="auto" w:sz="4" w:space="0"/>
              <w:bottom w:val="single" w:color="auto" w:sz="4" w:space="0"/>
              <w:right w:val="single" w:color="auto" w:sz="4" w:space="0"/>
            </w:tcBorders>
            <w:vAlign w:val="center"/>
          </w:tcPr>
          <w:p w14:paraId="33C5F2BE">
            <w:pPr>
              <w:pageBreakBefore w:val="0"/>
              <w:widowControl/>
              <w:kinsoku/>
              <w:topLinePunct w:val="0"/>
              <w:bidi w:val="0"/>
              <w:spacing w:line="360" w:lineRule="auto"/>
              <w:jc w:val="center"/>
              <w:rPr>
                <w:rFonts w:hint="eastAsia" w:ascii="仿宋" w:hAnsi="仿宋" w:eastAsia="仿宋" w:cs="仿宋"/>
                <w:szCs w:val="21"/>
                <w:highlight w:val="none"/>
                <w:lang w:bidi="ar"/>
              </w:rPr>
            </w:pPr>
          </w:p>
        </w:tc>
      </w:tr>
      <w:tr w14:paraId="730D5DC9">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4D3E562">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3C3FEB79">
            <w:pPr>
              <w:pageBreakBefore w:val="0"/>
              <w:widowControl/>
              <w:kinsoku/>
              <w:topLinePunct w:val="0"/>
              <w:bidi w:val="0"/>
              <w:spacing w:line="360" w:lineRule="auto"/>
              <w:jc w:val="left"/>
              <w:textAlignment w:val="center"/>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8F297C6">
            <w:pPr>
              <w:pageBreakBefore w:val="0"/>
              <w:widowControl/>
              <w:kinsoku/>
              <w:topLinePunct w:val="0"/>
              <w:bidi w:val="0"/>
              <w:spacing w:line="360" w:lineRule="auto"/>
              <w:jc w:val="center"/>
              <w:textAlignment w:val="center"/>
              <w:rPr>
                <w:rFonts w:hint="eastAsia" w:ascii="仿宋" w:hAnsi="仿宋" w:eastAsia="仿宋" w:cs="仿宋"/>
                <w:szCs w:val="21"/>
                <w:highlight w:val="none"/>
                <w:lang w:bidi="ar"/>
              </w:rPr>
            </w:pPr>
          </w:p>
        </w:tc>
        <w:tc>
          <w:tcPr>
            <w:tcW w:w="913" w:type="dxa"/>
            <w:tcBorders>
              <w:top w:val="single" w:color="auto" w:sz="4" w:space="0"/>
              <w:left w:val="single" w:color="auto" w:sz="4" w:space="0"/>
              <w:bottom w:val="single" w:color="auto" w:sz="4" w:space="0"/>
              <w:right w:val="single" w:color="auto" w:sz="4" w:space="0"/>
            </w:tcBorders>
            <w:vAlign w:val="center"/>
          </w:tcPr>
          <w:p w14:paraId="5D2960E5">
            <w:pPr>
              <w:pageBreakBefore w:val="0"/>
              <w:widowControl/>
              <w:kinsoku/>
              <w:topLinePunct w:val="0"/>
              <w:bidi w:val="0"/>
              <w:spacing w:line="360" w:lineRule="auto"/>
              <w:jc w:val="center"/>
              <w:textAlignment w:val="center"/>
              <w:rPr>
                <w:rFonts w:hint="eastAsia" w:ascii="仿宋" w:hAnsi="仿宋" w:eastAsia="仿宋" w:cs="仿宋"/>
                <w:szCs w:val="21"/>
                <w:highlight w:val="none"/>
                <w:lang w:bidi="ar"/>
              </w:rPr>
            </w:pPr>
          </w:p>
        </w:tc>
        <w:tc>
          <w:tcPr>
            <w:tcW w:w="1225" w:type="dxa"/>
            <w:tcBorders>
              <w:top w:val="single" w:color="auto" w:sz="4" w:space="0"/>
              <w:left w:val="single" w:color="auto" w:sz="4" w:space="0"/>
              <w:bottom w:val="single" w:color="auto" w:sz="4" w:space="0"/>
              <w:right w:val="single" w:color="auto" w:sz="4" w:space="0"/>
            </w:tcBorders>
            <w:vAlign w:val="center"/>
          </w:tcPr>
          <w:p w14:paraId="4FD487C1">
            <w:pPr>
              <w:pageBreakBefore w:val="0"/>
              <w:widowControl/>
              <w:kinsoku/>
              <w:topLinePunct w:val="0"/>
              <w:bidi w:val="0"/>
              <w:spacing w:line="360" w:lineRule="auto"/>
              <w:jc w:val="center"/>
              <w:textAlignment w:val="center"/>
              <w:rPr>
                <w:rFonts w:hint="eastAsia" w:ascii="仿宋" w:hAnsi="仿宋" w:eastAsia="仿宋" w:cs="仿宋"/>
                <w:szCs w:val="21"/>
                <w:highlight w:val="none"/>
                <w:lang w:bidi="ar"/>
              </w:rPr>
            </w:pPr>
          </w:p>
        </w:tc>
        <w:tc>
          <w:tcPr>
            <w:tcW w:w="1186" w:type="dxa"/>
            <w:tcBorders>
              <w:top w:val="single" w:color="auto" w:sz="4" w:space="0"/>
              <w:left w:val="single" w:color="auto" w:sz="4" w:space="0"/>
              <w:bottom w:val="single" w:color="auto" w:sz="4" w:space="0"/>
              <w:right w:val="single" w:color="auto" w:sz="4" w:space="0"/>
            </w:tcBorders>
            <w:vAlign w:val="center"/>
          </w:tcPr>
          <w:p w14:paraId="0C722294">
            <w:pPr>
              <w:pageBreakBefore w:val="0"/>
              <w:widowControl/>
              <w:kinsoku/>
              <w:topLinePunct w:val="0"/>
              <w:bidi w:val="0"/>
              <w:spacing w:line="360" w:lineRule="auto"/>
              <w:jc w:val="center"/>
              <w:textAlignment w:val="center"/>
              <w:rPr>
                <w:rFonts w:hint="eastAsia" w:ascii="仿宋" w:hAnsi="仿宋" w:eastAsia="仿宋" w:cs="仿宋"/>
                <w:szCs w:val="21"/>
                <w:highlight w:val="none"/>
                <w:lang w:bidi="ar"/>
              </w:rPr>
            </w:pPr>
          </w:p>
        </w:tc>
      </w:tr>
      <w:tr w14:paraId="6D1EB013">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52AD231">
            <w:pPr>
              <w:pageBreakBefore w:val="0"/>
              <w:widowControl/>
              <w:kinsoku/>
              <w:topLinePunct w:val="0"/>
              <w:bidi w:val="0"/>
              <w:spacing w:line="360" w:lineRule="auto"/>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286C4B47">
            <w:pPr>
              <w:pageBreakBefore w:val="0"/>
              <w:widowControl/>
              <w:kinsoku/>
              <w:topLinePunct w:val="0"/>
              <w:bidi w:val="0"/>
              <w:spacing w:line="360" w:lineRule="auto"/>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B9CE086">
            <w:pPr>
              <w:pageBreakBefore w:val="0"/>
              <w:widowControl/>
              <w:kinsoku/>
              <w:topLinePunct w:val="0"/>
              <w:bidi w:val="0"/>
              <w:spacing w:line="360" w:lineRule="auto"/>
              <w:jc w:val="center"/>
              <w:textAlignment w:val="center"/>
              <w:rPr>
                <w:rFonts w:hint="eastAsia" w:ascii="仿宋" w:hAnsi="仿宋" w:eastAsia="仿宋" w:cs="仿宋"/>
                <w:szCs w:val="21"/>
                <w:highlight w:val="none"/>
                <w:lang w:bidi="ar"/>
              </w:rPr>
            </w:pPr>
          </w:p>
        </w:tc>
        <w:tc>
          <w:tcPr>
            <w:tcW w:w="913" w:type="dxa"/>
            <w:tcBorders>
              <w:top w:val="single" w:color="auto" w:sz="4" w:space="0"/>
              <w:left w:val="single" w:color="auto" w:sz="4" w:space="0"/>
              <w:bottom w:val="single" w:color="auto" w:sz="4" w:space="0"/>
              <w:right w:val="single" w:color="auto" w:sz="4" w:space="0"/>
            </w:tcBorders>
            <w:vAlign w:val="center"/>
          </w:tcPr>
          <w:p w14:paraId="24977535">
            <w:pPr>
              <w:pageBreakBefore w:val="0"/>
              <w:widowControl/>
              <w:kinsoku/>
              <w:topLinePunct w:val="0"/>
              <w:bidi w:val="0"/>
              <w:spacing w:line="360" w:lineRule="auto"/>
              <w:jc w:val="center"/>
              <w:textAlignment w:val="center"/>
              <w:rPr>
                <w:rFonts w:hint="eastAsia" w:ascii="仿宋" w:hAnsi="仿宋" w:eastAsia="仿宋" w:cs="仿宋"/>
                <w:szCs w:val="21"/>
                <w:highlight w:val="none"/>
                <w:lang w:bidi="ar"/>
              </w:rPr>
            </w:pPr>
          </w:p>
        </w:tc>
        <w:tc>
          <w:tcPr>
            <w:tcW w:w="1225" w:type="dxa"/>
            <w:tcBorders>
              <w:top w:val="single" w:color="auto" w:sz="4" w:space="0"/>
              <w:left w:val="single" w:color="auto" w:sz="4" w:space="0"/>
              <w:bottom w:val="single" w:color="auto" w:sz="4" w:space="0"/>
              <w:right w:val="single" w:color="auto" w:sz="4" w:space="0"/>
            </w:tcBorders>
            <w:vAlign w:val="center"/>
          </w:tcPr>
          <w:p w14:paraId="586E234F">
            <w:pPr>
              <w:pageBreakBefore w:val="0"/>
              <w:widowControl/>
              <w:kinsoku/>
              <w:topLinePunct w:val="0"/>
              <w:bidi w:val="0"/>
              <w:spacing w:line="360" w:lineRule="auto"/>
              <w:jc w:val="center"/>
              <w:textAlignment w:val="center"/>
              <w:rPr>
                <w:rFonts w:hint="eastAsia" w:ascii="仿宋" w:hAnsi="仿宋" w:eastAsia="仿宋" w:cs="仿宋"/>
                <w:szCs w:val="21"/>
                <w:highlight w:val="none"/>
                <w:lang w:bidi="ar"/>
              </w:rPr>
            </w:pPr>
          </w:p>
        </w:tc>
        <w:tc>
          <w:tcPr>
            <w:tcW w:w="1186" w:type="dxa"/>
            <w:tcBorders>
              <w:top w:val="single" w:color="auto" w:sz="4" w:space="0"/>
              <w:left w:val="single" w:color="auto" w:sz="4" w:space="0"/>
              <w:bottom w:val="single" w:color="auto" w:sz="4" w:space="0"/>
              <w:right w:val="single" w:color="auto" w:sz="4" w:space="0"/>
            </w:tcBorders>
            <w:vAlign w:val="center"/>
          </w:tcPr>
          <w:p w14:paraId="068ABD8A">
            <w:pPr>
              <w:pageBreakBefore w:val="0"/>
              <w:widowControl/>
              <w:kinsoku/>
              <w:topLinePunct w:val="0"/>
              <w:bidi w:val="0"/>
              <w:spacing w:line="360" w:lineRule="auto"/>
              <w:jc w:val="center"/>
              <w:textAlignment w:val="center"/>
              <w:rPr>
                <w:rFonts w:hint="eastAsia" w:ascii="仿宋" w:hAnsi="仿宋" w:eastAsia="仿宋" w:cs="仿宋"/>
                <w:szCs w:val="21"/>
                <w:highlight w:val="none"/>
                <w:lang w:bidi="ar"/>
              </w:rPr>
            </w:pPr>
          </w:p>
        </w:tc>
      </w:tr>
      <w:tr w14:paraId="552661A4">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7792CF3">
            <w:pPr>
              <w:pageBreakBefore w:val="0"/>
              <w:widowControl/>
              <w:kinsoku/>
              <w:topLinePunct w:val="0"/>
              <w:bidi w:val="0"/>
              <w:spacing w:line="360" w:lineRule="auto"/>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760FEB39">
            <w:pPr>
              <w:pageBreakBefore w:val="0"/>
              <w:widowControl/>
              <w:kinsoku/>
              <w:topLinePunct w:val="0"/>
              <w:bidi w:val="0"/>
              <w:spacing w:line="360" w:lineRule="auto"/>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09786E04">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4F8AF0E6">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6A1157FF">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6B6A1C76">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r>
      <w:tr w14:paraId="25231E3B">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4BE0151">
            <w:pPr>
              <w:pageBreakBefore w:val="0"/>
              <w:widowControl/>
              <w:kinsoku/>
              <w:topLinePunct w:val="0"/>
              <w:bidi w:val="0"/>
              <w:spacing w:line="360" w:lineRule="auto"/>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77502B5D">
            <w:pPr>
              <w:pageBreakBefore w:val="0"/>
              <w:widowControl/>
              <w:kinsoku/>
              <w:topLinePunct w:val="0"/>
              <w:bidi w:val="0"/>
              <w:spacing w:line="360" w:lineRule="auto"/>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4B1B844">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1CCA90CC">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795EEFC8">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F76454F">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r>
      <w:tr w14:paraId="1327E031">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72C1CB4">
            <w:pPr>
              <w:pageBreakBefore w:val="0"/>
              <w:widowControl/>
              <w:kinsoku/>
              <w:topLinePunct w:val="0"/>
              <w:bidi w:val="0"/>
              <w:spacing w:line="360" w:lineRule="auto"/>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6C4AABE8">
            <w:pPr>
              <w:pageBreakBefore w:val="0"/>
              <w:widowControl/>
              <w:kinsoku/>
              <w:topLinePunct w:val="0"/>
              <w:bidi w:val="0"/>
              <w:spacing w:line="360" w:lineRule="auto"/>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37B5E5E">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651739F3">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3DED237F">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7FC08D9">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r>
      <w:tr w14:paraId="652CB351">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8AF59F3">
            <w:pPr>
              <w:pageBreakBefore w:val="0"/>
              <w:widowControl/>
              <w:kinsoku/>
              <w:topLinePunct w:val="0"/>
              <w:bidi w:val="0"/>
              <w:spacing w:line="360" w:lineRule="auto"/>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44E62EBE">
            <w:pPr>
              <w:pageBreakBefore w:val="0"/>
              <w:widowControl/>
              <w:kinsoku/>
              <w:topLinePunct w:val="0"/>
              <w:bidi w:val="0"/>
              <w:spacing w:line="360" w:lineRule="auto"/>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8AE0F1F">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5D8BD925">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0AD6825C">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53B5D923">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r>
      <w:tr w14:paraId="6E88E22F">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4B3012C">
            <w:pPr>
              <w:pageBreakBefore w:val="0"/>
              <w:widowControl/>
              <w:kinsoku/>
              <w:topLinePunct w:val="0"/>
              <w:bidi w:val="0"/>
              <w:spacing w:line="360" w:lineRule="auto"/>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70771B46">
            <w:pPr>
              <w:pageBreakBefore w:val="0"/>
              <w:widowControl/>
              <w:kinsoku/>
              <w:topLinePunct w:val="0"/>
              <w:bidi w:val="0"/>
              <w:spacing w:line="360" w:lineRule="auto"/>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7D2E0B83">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1CE239F5">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110D3D6F">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CDAE596">
            <w:pPr>
              <w:pageBreakBefore w:val="0"/>
              <w:widowControl/>
              <w:kinsoku/>
              <w:topLinePunct w:val="0"/>
              <w:bidi w:val="0"/>
              <w:spacing w:line="360" w:lineRule="auto"/>
              <w:jc w:val="center"/>
              <w:textAlignment w:val="center"/>
              <w:rPr>
                <w:rFonts w:hint="eastAsia" w:ascii="仿宋" w:hAnsi="仿宋" w:eastAsia="仿宋" w:cs="仿宋"/>
                <w:szCs w:val="21"/>
                <w:highlight w:val="none"/>
              </w:rPr>
            </w:pPr>
          </w:p>
        </w:tc>
      </w:tr>
    </w:tbl>
    <w:p w14:paraId="7B191B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 xml:space="preserve">注：评审项目、评分标准、分值对应“第五章  </w:t>
      </w:r>
      <w:r>
        <w:rPr>
          <w:rFonts w:hint="eastAsia" w:ascii="仿宋" w:hAnsi="仿宋" w:eastAsia="仿宋" w:cs="仿宋"/>
          <w:b/>
          <w:bCs/>
          <w:szCs w:val="21"/>
          <w:highlight w:val="none"/>
          <w:lang w:eastAsia="zh-CN"/>
        </w:rPr>
        <w:t>评审方法</w:t>
      </w:r>
      <w:r>
        <w:rPr>
          <w:rFonts w:hint="eastAsia" w:ascii="仿宋" w:hAnsi="仿宋" w:eastAsia="仿宋" w:cs="仿宋"/>
          <w:b/>
          <w:bCs/>
          <w:szCs w:val="21"/>
          <w:highlight w:val="none"/>
        </w:rPr>
        <w:t>及</w:t>
      </w:r>
      <w:r>
        <w:rPr>
          <w:rFonts w:hint="eastAsia" w:ascii="仿宋" w:hAnsi="仿宋" w:eastAsia="仿宋" w:cs="仿宋"/>
          <w:b/>
          <w:bCs/>
          <w:szCs w:val="21"/>
          <w:highlight w:val="none"/>
          <w:lang w:eastAsia="zh-CN"/>
        </w:rPr>
        <w:t>评审</w:t>
      </w:r>
      <w:r>
        <w:rPr>
          <w:rFonts w:hint="eastAsia" w:ascii="仿宋" w:hAnsi="仿宋" w:eastAsia="仿宋" w:cs="仿宋"/>
          <w:b/>
          <w:bCs/>
          <w:szCs w:val="21"/>
          <w:highlight w:val="none"/>
        </w:rPr>
        <w:t>标准”</w:t>
      </w:r>
      <w:r>
        <w:rPr>
          <w:rFonts w:hint="eastAsia" w:ascii="仿宋" w:hAnsi="仿宋" w:eastAsia="仿宋" w:cs="仿宋"/>
          <w:b/>
          <w:bCs/>
          <w:szCs w:val="21"/>
          <w:highlight w:val="none"/>
          <w:lang w:eastAsia="zh-CN"/>
        </w:rPr>
        <w:t>中的</w:t>
      </w:r>
      <w:r>
        <w:rPr>
          <w:rFonts w:hint="eastAsia" w:ascii="仿宋" w:hAnsi="仿宋" w:eastAsia="仿宋" w:cs="仿宋"/>
          <w:b/>
          <w:bCs/>
          <w:szCs w:val="21"/>
          <w:highlight w:val="none"/>
        </w:rPr>
        <w:t>资信技术分评审</w:t>
      </w:r>
      <w:r>
        <w:rPr>
          <w:rFonts w:hint="eastAsia" w:ascii="仿宋" w:hAnsi="仿宋" w:eastAsia="仿宋" w:cs="仿宋"/>
          <w:b/>
          <w:bCs/>
          <w:szCs w:val="21"/>
          <w:highlight w:val="none"/>
          <w:lang w:eastAsia="zh-CN"/>
        </w:rPr>
        <w:t>内容</w:t>
      </w:r>
      <w:r>
        <w:rPr>
          <w:rFonts w:hint="eastAsia" w:ascii="仿宋" w:hAnsi="仿宋" w:eastAsia="仿宋" w:cs="仿宋"/>
          <w:b/>
          <w:bCs/>
          <w:szCs w:val="21"/>
          <w:highlight w:val="none"/>
        </w:rPr>
        <w:t>。</w:t>
      </w:r>
    </w:p>
    <w:p w14:paraId="53074DDD">
      <w:pPr>
        <w:pageBreakBefore w:val="0"/>
        <w:kinsoku/>
        <w:topLinePunct w:val="0"/>
        <w:bidi w:val="0"/>
        <w:spacing w:line="360" w:lineRule="auto"/>
        <w:ind w:firstLine="4860"/>
        <w:rPr>
          <w:rFonts w:hint="eastAsia" w:ascii="仿宋" w:hAnsi="仿宋" w:eastAsia="仿宋" w:cs="仿宋"/>
          <w:b/>
          <w:bCs/>
          <w:szCs w:val="21"/>
          <w:highlight w:val="none"/>
        </w:rPr>
      </w:pPr>
    </w:p>
    <w:p w14:paraId="658707F8">
      <w:pPr>
        <w:pageBreakBefore w:val="0"/>
        <w:kinsoku/>
        <w:topLinePunct w:val="0"/>
        <w:bidi w:val="0"/>
        <w:spacing w:line="360" w:lineRule="auto"/>
        <w:ind w:firstLine="4860"/>
        <w:rPr>
          <w:rFonts w:hint="eastAsia" w:ascii="仿宋" w:hAnsi="仿宋" w:eastAsia="仿宋" w:cs="仿宋"/>
          <w:b/>
          <w:bCs/>
          <w:szCs w:val="21"/>
          <w:highlight w:val="none"/>
        </w:rPr>
      </w:pPr>
    </w:p>
    <w:p w14:paraId="1101EEB2">
      <w:pPr>
        <w:pageBreakBefore w:val="0"/>
        <w:kinsoku/>
        <w:topLinePunct w:val="0"/>
        <w:bidi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eastAsia="zh-CN"/>
        </w:rPr>
        <w:t>供应商名称</w:t>
      </w:r>
      <w:r>
        <w:rPr>
          <w:rFonts w:hint="eastAsia" w:ascii="仿宋" w:hAnsi="仿宋" w:eastAsia="仿宋" w:cs="仿宋"/>
          <w:szCs w:val="21"/>
          <w:highlight w:val="none"/>
        </w:rPr>
        <w:t xml:space="preserve">（盖章）： </w:t>
      </w:r>
      <w:r>
        <w:rPr>
          <w:rFonts w:hint="eastAsia" w:ascii="仿宋" w:hAnsi="仿宋" w:eastAsia="仿宋" w:cs="仿宋"/>
          <w:szCs w:val="21"/>
          <w:highlight w:val="none"/>
          <w:u w:val="single"/>
        </w:rPr>
        <w:t xml:space="preserve">            </w:t>
      </w:r>
    </w:p>
    <w:p w14:paraId="5687F8B1">
      <w:pPr>
        <w:pageBreakBefore w:val="0"/>
        <w:kinsoku/>
        <w:topLinePunct w:val="0"/>
        <w:bidi w:val="0"/>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日期：    年   月   日</w:t>
      </w:r>
    </w:p>
    <w:p w14:paraId="5429D01C">
      <w:pPr>
        <w:pageBreakBefore w:val="0"/>
        <w:kinsoku/>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22696655">
      <w:pPr>
        <w:pageBreakBefore w:val="0"/>
        <w:kinsoku/>
        <w:topLinePunct w:val="0"/>
        <w:bidi w:val="0"/>
        <w:spacing w:line="360" w:lineRule="auto"/>
        <w:jc w:val="left"/>
        <w:rPr>
          <w:rFonts w:hint="eastAsia" w:ascii="仿宋" w:hAnsi="仿宋" w:eastAsia="仿宋" w:cs="仿宋"/>
          <w:b/>
          <w:sz w:val="24"/>
          <w:highlight w:val="none"/>
          <w:lang w:eastAsia="zh-CN"/>
        </w:rPr>
      </w:pPr>
      <w:bookmarkStart w:id="71" w:name="附件4"/>
      <w:r>
        <w:rPr>
          <w:rFonts w:hint="eastAsia" w:ascii="仿宋" w:hAnsi="仿宋" w:eastAsia="仿宋" w:cs="仿宋"/>
          <w:b/>
          <w:sz w:val="24"/>
          <w:highlight w:val="none"/>
        </w:rPr>
        <w:t>附件</w:t>
      </w:r>
      <w:r>
        <w:rPr>
          <w:rFonts w:hint="eastAsia" w:ascii="仿宋" w:hAnsi="仿宋" w:eastAsia="仿宋" w:cs="仿宋"/>
          <w:b/>
          <w:sz w:val="24"/>
          <w:highlight w:val="none"/>
          <w:lang w:val="en-US" w:eastAsia="zh-CN"/>
        </w:rPr>
        <w:t>4</w:t>
      </w:r>
    </w:p>
    <w:bookmarkEnd w:id="71"/>
    <w:p w14:paraId="11598A3E">
      <w:pPr>
        <w:pageBreakBefore w:val="0"/>
        <w:kinsoku/>
        <w:topLinePunct w:val="0"/>
        <w:bidi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供应商声明书</w:t>
      </w:r>
    </w:p>
    <w:p w14:paraId="0E0F0460">
      <w:pPr>
        <w:pStyle w:val="26"/>
        <w:pageBreakBefore w:val="0"/>
        <w:kinsoku/>
        <w:topLinePunct w:val="0"/>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lang w:eastAsia="zh-CN"/>
        </w:rPr>
        <w:t>常山县水利发展投资有限责任公司</w:t>
      </w:r>
      <w:r>
        <w:rPr>
          <w:rFonts w:hint="eastAsia" w:ascii="仿宋" w:hAnsi="仿宋" w:eastAsia="仿宋" w:cs="仿宋"/>
          <w:szCs w:val="21"/>
          <w:highlight w:val="none"/>
        </w:rPr>
        <w:t>：</w:t>
      </w:r>
    </w:p>
    <w:p w14:paraId="4100D033">
      <w:pPr>
        <w:pStyle w:val="26"/>
        <w:pageBreakBefore w:val="0"/>
        <w:kinsoku/>
        <w:topLinePunct w:val="0"/>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lang w:eastAsia="zh-CN"/>
        </w:rPr>
        <w:t>浙江哲晟工程项目管理有限公司</w:t>
      </w:r>
      <w:r>
        <w:rPr>
          <w:rFonts w:hint="eastAsia" w:ascii="仿宋" w:hAnsi="仿宋" w:eastAsia="仿宋" w:cs="仿宋"/>
          <w:szCs w:val="21"/>
          <w:highlight w:val="none"/>
        </w:rPr>
        <w:t>：</w:t>
      </w:r>
    </w:p>
    <w:p w14:paraId="6E20DFD6">
      <w:pPr>
        <w:pStyle w:val="26"/>
        <w:snapToGrid w:val="0"/>
        <w:spacing w:line="400" w:lineRule="atLeast"/>
        <w:ind w:firstLine="411" w:firstLineChars="196"/>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（供应商全称）参加贵方组织的</w:t>
      </w:r>
      <w:r>
        <w:rPr>
          <w:rFonts w:hint="eastAsia" w:ascii="仿宋" w:hAnsi="仿宋" w:eastAsia="仿宋" w:cs="仿宋"/>
          <w:szCs w:val="21"/>
          <w:highlight w:val="none"/>
          <w:u w:val="single"/>
        </w:rPr>
        <w:t>（项目名称）（项目编号：</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w:t>
      </w:r>
      <w:r>
        <w:rPr>
          <w:rFonts w:hint="eastAsia" w:ascii="仿宋" w:hAnsi="仿宋" w:eastAsia="仿宋" w:cs="仿宋"/>
          <w:szCs w:val="21"/>
          <w:highlight w:val="none"/>
        </w:rPr>
        <w:t>竞争性磋商的采购活动，为此我方声明如下：</w:t>
      </w:r>
    </w:p>
    <w:p w14:paraId="14976D9A">
      <w:pPr>
        <w:adjustRightInd w:val="0"/>
        <w:snapToGrid w:val="0"/>
        <w:spacing w:line="400" w:lineRule="atLeas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1.我方具备磋商文件规定的参加本项目采购活动供应商应当具备的一般条件及特定条件。</w:t>
      </w:r>
    </w:p>
    <w:p w14:paraId="7BAB4489">
      <w:pPr>
        <w:adjustRightInd w:val="0"/>
        <w:snapToGrid w:val="0"/>
        <w:spacing w:line="400" w:lineRule="atLeas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我方已详细审核全部磋商文件，包括磋商文件补充（如果有）、参考资料及有关附件，确认无误。已经了解我方对于磋商文件、采购过程、采购结果有依法进行询问、质疑、投诉的权利，以及询问、质疑、投诉的相关渠道和要求。</w:t>
      </w:r>
    </w:p>
    <w:p w14:paraId="69831840">
      <w:pPr>
        <w:adjustRightInd w:val="0"/>
        <w:snapToGrid w:val="0"/>
        <w:spacing w:line="400" w:lineRule="atLeas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4.我方在递交响应文件之前已经完全理解并接受磋商文件的各项规定和要求，对磋商文件的合法性、合理性不再有异议。</w:t>
      </w:r>
    </w:p>
    <w:p w14:paraId="2B8CA983">
      <w:pPr>
        <w:adjustRightInd w:val="0"/>
        <w:snapToGrid w:val="0"/>
        <w:spacing w:line="400" w:lineRule="atLeas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5.我方承诺在提交本响应文件之日起遵守响应文件中的承诺，响应文件的有效期为自响应截止日起</w:t>
      </w:r>
      <w:r>
        <w:rPr>
          <w:rFonts w:hint="eastAsia" w:ascii="仿宋" w:hAnsi="仿宋" w:eastAsia="仿宋" w:cs="仿宋"/>
          <w:szCs w:val="21"/>
          <w:highlight w:val="none"/>
          <w:u w:val="single"/>
        </w:rPr>
        <w:t>90日历天</w:t>
      </w:r>
      <w:r>
        <w:rPr>
          <w:rFonts w:hint="eastAsia" w:ascii="仿宋" w:hAnsi="仿宋" w:eastAsia="仿宋" w:cs="仿宋"/>
          <w:szCs w:val="21"/>
          <w:highlight w:val="none"/>
        </w:rPr>
        <w:t>。如我方中标（成交），则响应文件至本项目合同履行完毕止均有效。</w:t>
      </w:r>
    </w:p>
    <w:p w14:paraId="3E7A015F">
      <w:pPr>
        <w:adjustRightInd w:val="0"/>
        <w:snapToGrid w:val="0"/>
        <w:spacing w:line="400" w:lineRule="atLeas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6.我方自愿参加本项目采购活动，并保证响应文件中所列举的相关资料是真实的、合法的。若贵方需要，我方愿意提供任何与该项目磋商有关的数据、情况和技术资料。</w:t>
      </w:r>
    </w:p>
    <w:p w14:paraId="0B004997">
      <w:pPr>
        <w:adjustRightInd w:val="0"/>
        <w:snapToGrid w:val="0"/>
        <w:spacing w:line="400" w:lineRule="atLeas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7.如我单位中标（成交），保证忠实执行双方所签订的合同，并承担合同规定的责任和义务。</w:t>
      </w:r>
    </w:p>
    <w:p w14:paraId="00C2ABDE">
      <w:pPr>
        <w:adjustRightInd w:val="0"/>
        <w:snapToGrid w:val="0"/>
        <w:spacing w:line="400" w:lineRule="atLeas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8.我方在磋商活动中不存在以下行为：</w:t>
      </w:r>
    </w:p>
    <w:p w14:paraId="3A276AEC">
      <w:pPr>
        <w:widowControl/>
        <w:snapToGrid w:val="0"/>
        <w:spacing w:line="400" w:lineRule="atLeas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（1）提供虚假材料谋取中标、成交；</w:t>
      </w:r>
      <w:r>
        <w:rPr>
          <w:rFonts w:hint="eastAsia" w:ascii="仿宋" w:hAnsi="仿宋" w:eastAsia="仿宋" w:cs="仿宋"/>
          <w:kern w:val="0"/>
          <w:szCs w:val="21"/>
          <w:highlight w:val="none"/>
          <w:lang w:val="en-US" w:eastAsia="zh-CN"/>
        </w:rPr>
        <w:t xml:space="preserve"> </w:t>
      </w:r>
    </w:p>
    <w:p w14:paraId="739E029C">
      <w:pPr>
        <w:widowControl/>
        <w:snapToGrid w:val="0"/>
        <w:spacing w:line="400" w:lineRule="atLeas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（2）采取不正当手段诋毁、排挤其他供应商；</w:t>
      </w:r>
    </w:p>
    <w:p w14:paraId="65CA2873">
      <w:pPr>
        <w:widowControl/>
        <w:snapToGrid w:val="0"/>
        <w:spacing w:line="400" w:lineRule="atLeas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（3）与采购人、其他供应商或者采购代理机构恶意串通；</w:t>
      </w:r>
    </w:p>
    <w:p w14:paraId="430CAB5B">
      <w:pPr>
        <w:widowControl/>
        <w:snapToGrid w:val="0"/>
        <w:spacing w:line="400" w:lineRule="atLeas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（4）向采购人、采购代理机构行贿或者提供其他不正当利益；</w:t>
      </w:r>
    </w:p>
    <w:p w14:paraId="06BC1E33">
      <w:pPr>
        <w:adjustRightInd w:val="0"/>
        <w:snapToGrid w:val="0"/>
        <w:spacing w:line="400" w:lineRule="atLeast"/>
        <w:ind w:firstLine="420" w:firstLineChars="200"/>
        <w:rPr>
          <w:rFonts w:hint="eastAsia" w:ascii="仿宋" w:hAnsi="仿宋" w:eastAsia="仿宋" w:cs="仿宋"/>
          <w:szCs w:val="21"/>
          <w:highlight w:val="none"/>
        </w:rPr>
      </w:pPr>
      <w:r>
        <w:rPr>
          <w:rFonts w:hint="eastAsia" w:ascii="仿宋" w:hAnsi="仿宋" w:eastAsia="仿宋" w:cs="仿宋"/>
          <w:kern w:val="0"/>
          <w:szCs w:val="21"/>
          <w:highlight w:val="none"/>
        </w:rPr>
        <w:t>（5）拒绝有关部门监督检查或者提供虚假情况。</w:t>
      </w:r>
    </w:p>
    <w:p w14:paraId="1A67865E">
      <w:pPr>
        <w:pageBreakBefore w:val="0"/>
        <w:kinsoku/>
        <w:topLinePunct w:val="0"/>
        <w:bidi w:val="0"/>
        <w:adjustRightInd w:val="0"/>
        <w:snapToGrid w:val="0"/>
        <w:spacing w:line="360" w:lineRule="auto"/>
        <w:ind w:firstLine="420" w:firstLineChars="200"/>
        <w:rPr>
          <w:rFonts w:hint="eastAsia" w:ascii="仿宋" w:hAnsi="仿宋" w:eastAsia="仿宋" w:cs="仿宋"/>
          <w:szCs w:val="21"/>
          <w:highlight w:val="none"/>
        </w:rPr>
      </w:pPr>
    </w:p>
    <w:p w14:paraId="4DFC135A">
      <w:pPr>
        <w:pStyle w:val="26"/>
        <w:pageBreakBefore w:val="0"/>
        <w:kinsoku/>
        <w:topLinePunct w:val="0"/>
        <w:bidi w:val="0"/>
        <w:snapToGrid w:val="0"/>
        <w:spacing w:line="360" w:lineRule="auto"/>
        <w:ind w:firstLine="480"/>
        <w:rPr>
          <w:rFonts w:hint="eastAsia" w:ascii="仿宋" w:hAnsi="仿宋" w:eastAsia="仿宋" w:cs="仿宋"/>
          <w:szCs w:val="21"/>
          <w:highlight w:val="none"/>
          <w:u w:val="single"/>
        </w:rPr>
      </w:pPr>
      <w:r>
        <w:rPr>
          <w:rFonts w:hint="eastAsia" w:ascii="仿宋" w:hAnsi="仿宋" w:eastAsia="仿宋" w:cs="仿宋"/>
          <w:szCs w:val="21"/>
          <w:highlight w:val="none"/>
        </w:rPr>
        <w:t>供应商名</w:t>
      </w:r>
      <w:r>
        <w:rPr>
          <w:rFonts w:hint="eastAsia" w:ascii="仿宋" w:hAnsi="仿宋" w:eastAsia="仿宋" w:cs="仿宋"/>
          <w:szCs w:val="21"/>
          <w:highlight w:val="none"/>
          <w:lang w:eastAsia="zh-CN"/>
        </w:rPr>
        <w:t>称</w:t>
      </w:r>
      <w:r>
        <w:rPr>
          <w:rFonts w:hint="eastAsia" w:ascii="仿宋" w:hAnsi="仿宋" w:eastAsia="仿宋" w:cs="仿宋"/>
          <w:szCs w:val="21"/>
          <w:highlight w:val="none"/>
        </w:rPr>
        <w:t>（盖章）：</w:t>
      </w:r>
      <w:r>
        <w:rPr>
          <w:rFonts w:hint="eastAsia" w:ascii="仿宋" w:hAnsi="仿宋" w:eastAsia="仿宋" w:cs="仿宋"/>
          <w:szCs w:val="21"/>
          <w:highlight w:val="none"/>
          <w:u w:val="single"/>
        </w:rPr>
        <w:t xml:space="preserve">             </w:t>
      </w:r>
    </w:p>
    <w:p w14:paraId="6C62D8B9">
      <w:pPr>
        <w:pStyle w:val="26"/>
        <w:pageBreakBefore w:val="0"/>
        <w:kinsoku/>
        <w:topLinePunct w:val="0"/>
        <w:bidi w:val="0"/>
        <w:snapToGrid w:val="0"/>
        <w:spacing w:line="360" w:lineRule="auto"/>
        <w:ind w:firstLine="480"/>
        <w:rPr>
          <w:rFonts w:hint="eastAsia" w:ascii="仿宋" w:hAnsi="仿宋" w:eastAsia="仿宋" w:cs="仿宋"/>
          <w:szCs w:val="21"/>
          <w:highlight w:val="none"/>
          <w:u w:val="single"/>
        </w:rPr>
      </w:pPr>
      <w:r>
        <w:rPr>
          <w:rFonts w:hint="eastAsia" w:ascii="仿宋" w:hAnsi="仿宋" w:eastAsia="仿宋" w:cs="仿宋"/>
          <w:szCs w:val="21"/>
          <w:highlight w:val="none"/>
          <w:lang w:eastAsia="zh-CN"/>
        </w:rPr>
        <w:t>法定代表人（单位负责人）</w:t>
      </w:r>
      <w:r>
        <w:rPr>
          <w:rFonts w:hint="eastAsia" w:ascii="仿宋" w:hAnsi="仿宋" w:eastAsia="仿宋" w:cs="仿宋"/>
          <w:szCs w:val="21"/>
          <w:highlight w:val="none"/>
        </w:rPr>
        <w:t>或授权代理人签字：</w:t>
      </w:r>
      <w:r>
        <w:rPr>
          <w:rFonts w:hint="eastAsia" w:ascii="仿宋" w:hAnsi="仿宋" w:eastAsia="仿宋" w:cs="仿宋"/>
          <w:szCs w:val="21"/>
          <w:highlight w:val="none"/>
          <w:u w:val="single"/>
        </w:rPr>
        <w:t xml:space="preserve">           </w:t>
      </w:r>
    </w:p>
    <w:p w14:paraId="6EAD30F0">
      <w:pPr>
        <w:pStyle w:val="26"/>
        <w:pageBreakBefore w:val="0"/>
        <w:kinsoku/>
        <w:topLinePunct w:val="0"/>
        <w:bidi w:val="0"/>
        <w:snapToGrid w:val="0"/>
        <w:spacing w:line="360" w:lineRule="auto"/>
        <w:ind w:firstLine="480"/>
        <w:rPr>
          <w:rFonts w:hint="eastAsia" w:ascii="仿宋" w:hAnsi="仿宋" w:eastAsia="仿宋" w:cs="仿宋"/>
          <w:szCs w:val="21"/>
          <w:highlight w:val="none"/>
          <w:u w:val="single"/>
        </w:rPr>
      </w:pPr>
      <w:r>
        <w:rPr>
          <w:rFonts w:hint="eastAsia" w:ascii="仿宋" w:hAnsi="仿宋" w:eastAsia="仿宋" w:cs="仿宋"/>
          <w:szCs w:val="21"/>
          <w:highlight w:val="none"/>
        </w:rPr>
        <w:t>日期：   年  月  日</w:t>
      </w:r>
    </w:p>
    <w:p w14:paraId="18846228">
      <w:pPr>
        <w:pStyle w:val="26"/>
        <w:pageBreakBefore w:val="0"/>
        <w:kinsoku/>
        <w:topLinePunct w:val="0"/>
        <w:bidi w:val="0"/>
        <w:snapToGrid w:val="0"/>
        <w:spacing w:line="360" w:lineRule="auto"/>
        <w:ind w:firstLine="480"/>
        <w:rPr>
          <w:rFonts w:hint="eastAsia" w:ascii="仿宋" w:hAnsi="仿宋" w:eastAsia="仿宋" w:cs="仿宋"/>
          <w:szCs w:val="21"/>
          <w:highlight w:val="none"/>
          <w:u w:val="single"/>
        </w:rPr>
      </w:pPr>
      <w:r>
        <w:rPr>
          <w:rFonts w:hint="eastAsia" w:ascii="仿宋" w:hAnsi="仿宋" w:eastAsia="仿宋" w:cs="仿宋"/>
          <w:szCs w:val="21"/>
          <w:highlight w:val="none"/>
        </w:rPr>
        <w:t>单位地址：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邮编：</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传真：</w:t>
      </w:r>
      <w:r>
        <w:rPr>
          <w:rFonts w:hint="eastAsia" w:ascii="仿宋" w:hAnsi="仿宋" w:eastAsia="仿宋" w:cs="仿宋"/>
          <w:szCs w:val="21"/>
          <w:highlight w:val="none"/>
          <w:u w:val="single"/>
        </w:rPr>
        <w:t xml:space="preserve">              </w:t>
      </w:r>
    </w:p>
    <w:p w14:paraId="7083BD30">
      <w:pPr>
        <w:pStyle w:val="26"/>
        <w:pageBreakBefore w:val="0"/>
        <w:kinsoku/>
        <w:topLinePunct w:val="0"/>
        <w:bidi w:val="0"/>
        <w:snapToGrid w:val="0"/>
        <w:spacing w:line="360" w:lineRule="auto"/>
        <w:ind w:firstLine="480"/>
        <w:rPr>
          <w:rFonts w:hint="eastAsia" w:ascii="仿宋" w:hAnsi="仿宋" w:eastAsia="仿宋" w:cs="仿宋"/>
          <w:szCs w:val="21"/>
          <w:highlight w:val="none"/>
        </w:rPr>
      </w:pPr>
      <w:r>
        <w:rPr>
          <w:rFonts w:hint="eastAsia" w:ascii="仿宋" w:hAnsi="仿宋" w:eastAsia="仿宋" w:cs="仿宋"/>
          <w:szCs w:val="21"/>
          <w:highlight w:val="none"/>
        </w:rPr>
        <w:t>开户行信息：</w:t>
      </w:r>
    </w:p>
    <w:p w14:paraId="0A627681">
      <w:pPr>
        <w:pStyle w:val="26"/>
        <w:pageBreakBefore w:val="0"/>
        <w:kinsoku/>
        <w:topLinePunct w:val="0"/>
        <w:bidi w:val="0"/>
        <w:snapToGrid w:val="0"/>
        <w:spacing w:line="360" w:lineRule="auto"/>
        <w:ind w:firstLine="480"/>
        <w:rPr>
          <w:rFonts w:hint="eastAsia" w:ascii="仿宋" w:hAnsi="仿宋" w:eastAsia="仿宋" w:cs="仿宋"/>
          <w:szCs w:val="21"/>
          <w:highlight w:val="none"/>
        </w:rPr>
      </w:pPr>
      <w:r>
        <w:rPr>
          <w:rFonts w:hint="eastAsia" w:ascii="仿宋" w:hAnsi="仿宋" w:eastAsia="仿宋" w:cs="仿宋"/>
          <w:szCs w:val="21"/>
          <w:highlight w:val="none"/>
        </w:rPr>
        <w:t>户名：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rPr>
        <w:t>开户银行：</w:t>
      </w:r>
      <w:r>
        <w:rPr>
          <w:rFonts w:hint="eastAsia" w:ascii="仿宋" w:hAnsi="仿宋" w:eastAsia="仿宋" w:cs="仿宋"/>
          <w:szCs w:val="21"/>
          <w:highlight w:val="none"/>
          <w:u w:val="single"/>
        </w:rPr>
        <w:t xml:space="preserve">         </w:t>
      </w:r>
    </w:p>
    <w:p w14:paraId="1E8CBD25">
      <w:pPr>
        <w:pStyle w:val="26"/>
        <w:pageBreakBefore w:val="0"/>
        <w:kinsoku/>
        <w:topLinePunct w:val="0"/>
        <w:bidi w:val="0"/>
        <w:snapToGrid w:val="0"/>
        <w:spacing w:line="360" w:lineRule="auto"/>
        <w:ind w:firstLine="480"/>
        <w:rPr>
          <w:rFonts w:hint="eastAsia" w:ascii="仿宋" w:hAnsi="仿宋" w:eastAsia="仿宋" w:cs="仿宋"/>
          <w:b/>
          <w:sz w:val="24"/>
          <w:highlight w:val="none"/>
          <w:lang w:val="en-US" w:eastAsia="zh-CN"/>
        </w:rPr>
      </w:pPr>
      <w:r>
        <w:rPr>
          <w:rFonts w:hint="eastAsia" w:ascii="仿宋" w:hAnsi="仿宋" w:eastAsia="仿宋" w:cs="仿宋"/>
          <w:szCs w:val="21"/>
          <w:highlight w:val="none"/>
        </w:rPr>
        <w:t>账号：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r>
        <w:rPr>
          <w:rFonts w:hint="eastAsia" w:ascii="仿宋" w:hAnsi="仿宋" w:eastAsia="仿宋" w:cs="仿宋"/>
          <w:kern w:val="0"/>
          <w:szCs w:val="21"/>
          <w:highlight w:val="none"/>
        </w:rPr>
        <w:br w:type="page"/>
      </w:r>
      <w:bookmarkStart w:id="72" w:name="附件5"/>
      <w:r>
        <w:rPr>
          <w:rFonts w:hint="eastAsia" w:ascii="仿宋" w:hAnsi="仿宋" w:eastAsia="仿宋" w:cs="仿宋"/>
          <w:b/>
          <w:sz w:val="24"/>
          <w:highlight w:val="none"/>
        </w:rPr>
        <w:t>附件</w:t>
      </w:r>
      <w:bookmarkEnd w:id="72"/>
      <w:r>
        <w:rPr>
          <w:rFonts w:hint="eastAsia" w:ascii="仿宋" w:hAnsi="仿宋" w:eastAsia="仿宋" w:cs="仿宋"/>
          <w:b/>
          <w:sz w:val="24"/>
          <w:highlight w:val="none"/>
          <w:lang w:val="en-US" w:eastAsia="zh-CN"/>
        </w:rPr>
        <w:t>5</w:t>
      </w:r>
    </w:p>
    <w:p w14:paraId="747F0FD9">
      <w:pPr>
        <w:pageBreakBefore w:val="0"/>
        <w:kinsoku/>
        <w:topLinePunct w:val="0"/>
        <w:bidi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供应商基本情况表</w:t>
      </w:r>
    </w:p>
    <w:p w14:paraId="21FCD143">
      <w:pPr>
        <w:pageBreakBefore w:val="0"/>
        <w:kinsoku/>
        <w:topLinePunct w:val="0"/>
        <w:bidi w:val="0"/>
        <w:spacing w:line="360" w:lineRule="auto"/>
        <w:jc w:val="center"/>
        <w:rPr>
          <w:rFonts w:hint="eastAsia" w:ascii="仿宋" w:hAnsi="仿宋" w:eastAsia="仿宋" w:cs="仿宋"/>
          <w:b/>
          <w:sz w:val="28"/>
          <w:szCs w:val="28"/>
          <w:highlight w:val="none"/>
        </w:rPr>
      </w:pPr>
    </w:p>
    <w:tbl>
      <w:tblPr>
        <w:tblStyle w:val="48"/>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767"/>
        <w:gridCol w:w="308"/>
        <w:gridCol w:w="1571"/>
      </w:tblGrid>
      <w:tr w14:paraId="1835D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4ADCDFCE">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单位名称</w:t>
            </w:r>
          </w:p>
        </w:tc>
        <w:tc>
          <w:tcPr>
            <w:tcW w:w="7934" w:type="dxa"/>
            <w:gridSpan w:val="6"/>
            <w:tcBorders>
              <w:top w:val="single" w:color="auto" w:sz="4" w:space="0"/>
              <w:left w:val="single" w:color="auto" w:sz="4" w:space="0"/>
              <w:bottom w:val="single" w:color="auto" w:sz="4" w:space="0"/>
              <w:right w:val="single" w:color="auto" w:sz="4" w:space="0"/>
            </w:tcBorders>
            <w:vAlign w:val="center"/>
          </w:tcPr>
          <w:p w14:paraId="4AC0860B">
            <w:pPr>
              <w:pageBreakBefore w:val="0"/>
              <w:kinsoku/>
              <w:topLinePunct w:val="0"/>
              <w:bidi w:val="0"/>
              <w:snapToGrid w:val="0"/>
              <w:spacing w:line="360" w:lineRule="auto"/>
              <w:rPr>
                <w:rFonts w:hint="eastAsia" w:ascii="仿宋" w:hAnsi="仿宋" w:eastAsia="仿宋" w:cs="仿宋"/>
                <w:szCs w:val="21"/>
                <w:highlight w:val="none"/>
              </w:rPr>
            </w:pPr>
          </w:p>
        </w:tc>
      </w:tr>
      <w:tr w14:paraId="3289C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9880A58">
            <w:pPr>
              <w:pageBreakBefore w:val="0"/>
              <w:kinsoku/>
              <w:topLinePunct w:val="0"/>
              <w:bidi w:val="0"/>
              <w:snapToGrid w:val="0"/>
              <w:spacing w:line="360" w:lineRule="auto"/>
              <w:rPr>
                <w:rFonts w:hint="eastAsia" w:ascii="仿宋" w:hAnsi="仿宋" w:eastAsia="仿宋" w:cs="仿宋"/>
                <w:bCs/>
                <w:szCs w:val="21"/>
                <w:highlight w:val="none"/>
                <w:lang w:eastAsia="zh-CN"/>
              </w:rPr>
            </w:pPr>
            <w:r>
              <w:rPr>
                <w:rFonts w:hint="eastAsia" w:ascii="仿宋" w:hAnsi="仿宋" w:eastAsia="仿宋" w:cs="仿宋"/>
                <w:bCs/>
                <w:szCs w:val="21"/>
                <w:highlight w:val="none"/>
                <w:lang w:eastAsia="zh-CN"/>
              </w:rPr>
              <w:t>法定代表人（单位负责人）</w:t>
            </w:r>
          </w:p>
        </w:tc>
        <w:tc>
          <w:tcPr>
            <w:tcW w:w="1434" w:type="dxa"/>
            <w:tcBorders>
              <w:top w:val="single" w:color="auto" w:sz="4" w:space="0"/>
              <w:left w:val="single" w:color="auto" w:sz="4" w:space="0"/>
              <w:bottom w:val="single" w:color="auto" w:sz="4" w:space="0"/>
              <w:right w:val="single" w:color="auto" w:sz="4" w:space="0"/>
            </w:tcBorders>
            <w:vAlign w:val="center"/>
          </w:tcPr>
          <w:p w14:paraId="033A62A4">
            <w:pPr>
              <w:pageBreakBefore w:val="0"/>
              <w:kinsoku/>
              <w:topLinePunct w:val="0"/>
              <w:bidi w:val="0"/>
              <w:snapToGrid w:val="0"/>
              <w:spacing w:line="360" w:lineRule="auto"/>
              <w:rPr>
                <w:rFonts w:hint="eastAsia" w:ascii="仿宋" w:hAnsi="仿宋" w:eastAsia="仿宋" w:cs="仿宋"/>
                <w:bCs/>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2559A3EA">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营业执照</w:t>
            </w:r>
          </w:p>
        </w:tc>
        <w:tc>
          <w:tcPr>
            <w:tcW w:w="5077" w:type="dxa"/>
            <w:gridSpan w:val="4"/>
            <w:tcBorders>
              <w:top w:val="single" w:color="auto" w:sz="4" w:space="0"/>
              <w:left w:val="single" w:color="auto" w:sz="4" w:space="0"/>
              <w:bottom w:val="single" w:color="auto" w:sz="4" w:space="0"/>
              <w:right w:val="single" w:color="auto" w:sz="4" w:space="0"/>
            </w:tcBorders>
            <w:vAlign w:val="center"/>
          </w:tcPr>
          <w:p w14:paraId="01AA2A34">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编号;</w:t>
            </w:r>
          </w:p>
          <w:p w14:paraId="408A0ECA">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szCs w:val="21"/>
                <w:highlight w:val="none"/>
              </w:rPr>
              <w:t>经营范围：</w:t>
            </w:r>
          </w:p>
          <w:p w14:paraId="076DD047">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发证机关：</w:t>
            </w:r>
          </w:p>
          <w:p w14:paraId="3B22C1E1">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成立时间：</w:t>
            </w:r>
          </w:p>
        </w:tc>
      </w:tr>
      <w:tr w14:paraId="5B704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8D69B6B">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现有职工人数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68A8C98D">
            <w:pPr>
              <w:pageBreakBefore w:val="0"/>
              <w:kinsoku/>
              <w:topLinePunct w:val="0"/>
              <w:bidi w:val="0"/>
              <w:snapToGrid w:val="0"/>
              <w:spacing w:line="360" w:lineRule="auto"/>
              <w:rPr>
                <w:rFonts w:hint="eastAsia" w:ascii="仿宋" w:hAnsi="仿宋" w:eastAsia="仿宋" w:cs="仿宋"/>
                <w:bCs/>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1CAA7DB6">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7CDF1C36">
            <w:pPr>
              <w:pageBreakBefore w:val="0"/>
              <w:kinsoku/>
              <w:topLinePunct w:val="0"/>
              <w:bidi w:val="0"/>
              <w:snapToGrid w:val="0"/>
              <w:spacing w:line="360" w:lineRule="auto"/>
              <w:rPr>
                <w:rFonts w:hint="eastAsia" w:ascii="仿宋" w:hAnsi="仿宋" w:eastAsia="仿宋" w:cs="仿宋"/>
                <w:bCs/>
                <w:szCs w:val="21"/>
                <w:highlight w:val="none"/>
              </w:rPr>
            </w:pPr>
          </w:p>
        </w:tc>
        <w:tc>
          <w:tcPr>
            <w:tcW w:w="1767" w:type="dxa"/>
            <w:tcBorders>
              <w:top w:val="single" w:color="auto" w:sz="4" w:space="0"/>
              <w:left w:val="single" w:color="auto" w:sz="4" w:space="0"/>
              <w:bottom w:val="single" w:color="auto" w:sz="4" w:space="0"/>
              <w:right w:val="single" w:color="auto" w:sz="4" w:space="0"/>
            </w:tcBorders>
            <w:vAlign w:val="center"/>
          </w:tcPr>
          <w:p w14:paraId="7EE169AE">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74AD2485">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 xml:space="preserve">      万元</w:t>
            </w:r>
          </w:p>
        </w:tc>
      </w:tr>
      <w:tr w14:paraId="29898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C422F1C">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地   址</w:t>
            </w:r>
          </w:p>
        </w:tc>
        <w:tc>
          <w:tcPr>
            <w:tcW w:w="7934" w:type="dxa"/>
            <w:gridSpan w:val="6"/>
            <w:tcBorders>
              <w:top w:val="single" w:color="auto" w:sz="4" w:space="0"/>
              <w:left w:val="single" w:color="auto" w:sz="4" w:space="0"/>
              <w:bottom w:val="single" w:color="auto" w:sz="4" w:space="0"/>
              <w:right w:val="single" w:color="auto" w:sz="4" w:space="0"/>
            </w:tcBorders>
            <w:vAlign w:val="center"/>
          </w:tcPr>
          <w:p w14:paraId="02303CB8">
            <w:pPr>
              <w:pageBreakBefore w:val="0"/>
              <w:kinsoku/>
              <w:topLinePunct w:val="0"/>
              <w:bidi w:val="0"/>
              <w:snapToGrid w:val="0"/>
              <w:spacing w:line="360" w:lineRule="auto"/>
              <w:rPr>
                <w:rFonts w:hint="eastAsia" w:ascii="仿宋" w:hAnsi="仿宋" w:eastAsia="仿宋" w:cs="仿宋"/>
                <w:bCs/>
                <w:szCs w:val="21"/>
                <w:highlight w:val="none"/>
              </w:rPr>
            </w:pPr>
          </w:p>
        </w:tc>
      </w:tr>
      <w:tr w14:paraId="4B29B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560AD3DF">
            <w:pPr>
              <w:pageBreakBefore w:val="0"/>
              <w:kinsoku/>
              <w:topLinePunct w:val="0"/>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所获资质</w:t>
            </w:r>
          </w:p>
          <w:p w14:paraId="04F857F7">
            <w:pPr>
              <w:pageBreakBefore w:val="0"/>
              <w:kinsoku/>
              <w:topLinePunct w:val="0"/>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504638B6">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09622E1">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64171778">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61C06007">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有效期</w:t>
            </w:r>
          </w:p>
        </w:tc>
      </w:tr>
      <w:tr w14:paraId="0B919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5D4BF45">
            <w:pPr>
              <w:pageBreakBefore w:val="0"/>
              <w:kinsoku/>
              <w:topLinePunct w:val="0"/>
              <w:bidi w:val="0"/>
              <w:snapToGrid w:val="0"/>
              <w:spacing w:line="360" w:lineRule="auto"/>
              <w:rPr>
                <w:rFonts w:hint="eastAsia" w:ascii="仿宋" w:hAnsi="仿宋" w:eastAsia="仿宋" w:cs="仿宋"/>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F5A9D73">
            <w:pPr>
              <w:pageBreakBefore w:val="0"/>
              <w:kinsoku/>
              <w:topLinePunct w:val="0"/>
              <w:bidi w:val="0"/>
              <w:snapToGrid w:val="0"/>
              <w:spacing w:line="360" w:lineRule="auto"/>
              <w:rPr>
                <w:rFonts w:hint="eastAsia" w:ascii="仿宋" w:hAnsi="仿宋" w:eastAsia="仿宋" w:cs="仿宋"/>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DB001D3">
            <w:pPr>
              <w:pageBreakBefore w:val="0"/>
              <w:kinsoku/>
              <w:topLinePunct w:val="0"/>
              <w:bidi w:val="0"/>
              <w:snapToGrid w:val="0"/>
              <w:spacing w:line="360" w:lineRule="auto"/>
              <w:rPr>
                <w:rFonts w:hint="eastAsia" w:ascii="仿宋" w:hAnsi="仿宋" w:eastAsia="仿宋" w:cs="仿宋"/>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0C69DE5">
            <w:pPr>
              <w:pageBreakBefore w:val="0"/>
              <w:kinsoku/>
              <w:topLinePunct w:val="0"/>
              <w:bidi w:val="0"/>
              <w:snapToGrid w:val="0"/>
              <w:spacing w:line="360" w:lineRule="auto"/>
              <w:rPr>
                <w:rFonts w:hint="eastAsia" w:ascii="仿宋" w:hAnsi="仿宋" w:eastAsia="仿宋" w:cs="仿宋"/>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73F4D0AE">
            <w:pPr>
              <w:pageBreakBefore w:val="0"/>
              <w:kinsoku/>
              <w:topLinePunct w:val="0"/>
              <w:bidi w:val="0"/>
              <w:snapToGrid w:val="0"/>
              <w:spacing w:line="360" w:lineRule="auto"/>
              <w:rPr>
                <w:rFonts w:hint="eastAsia" w:ascii="仿宋" w:hAnsi="仿宋" w:eastAsia="仿宋" w:cs="仿宋"/>
                <w:szCs w:val="21"/>
                <w:highlight w:val="none"/>
                <w:u w:val="single"/>
              </w:rPr>
            </w:pPr>
          </w:p>
        </w:tc>
      </w:tr>
      <w:tr w14:paraId="5703B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01114BB9">
            <w:pPr>
              <w:pageBreakBefore w:val="0"/>
              <w:kinsoku/>
              <w:topLinePunct w:val="0"/>
              <w:bidi w:val="0"/>
              <w:snapToGrid w:val="0"/>
              <w:spacing w:line="360" w:lineRule="auto"/>
              <w:rPr>
                <w:rFonts w:hint="eastAsia" w:ascii="仿宋" w:hAnsi="仿宋" w:eastAsia="仿宋" w:cs="仿宋"/>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10CD5DAE">
            <w:pPr>
              <w:pageBreakBefore w:val="0"/>
              <w:kinsoku/>
              <w:topLinePunct w:val="0"/>
              <w:bidi w:val="0"/>
              <w:snapToGrid w:val="0"/>
              <w:spacing w:line="360" w:lineRule="auto"/>
              <w:rPr>
                <w:rFonts w:hint="eastAsia" w:ascii="仿宋" w:hAnsi="仿宋" w:eastAsia="仿宋" w:cs="仿宋"/>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CD36F34">
            <w:pPr>
              <w:pageBreakBefore w:val="0"/>
              <w:kinsoku/>
              <w:topLinePunct w:val="0"/>
              <w:bidi w:val="0"/>
              <w:snapToGrid w:val="0"/>
              <w:spacing w:line="360" w:lineRule="auto"/>
              <w:rPr>
                <w:rFonts w:hint="eastAsia" w:ascii="仿宋" w:hAnsi="仿宋" w:eastAsia="仿宋" w:cs="仿宋"/>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6D576A34">
            <w:pPr>
              <w:pageBreakBefore w:val="0"/>
              <w:kinsoku/>
              <w:topLinePunct w:val="0"/>
              <w:bidi w:val="0"/>
              <w:snapToGrid w:val="0"/>
              <w:spacing w:line="360" w:lineRule="auto"/>
              <w:rPr>
                <w:rFonts w:hint="eastAsia" w:ascii="仿宋" w:hAnsi="仿宋" w:eastAsia="仿宋" w:cs="仿宋"/>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390294F1">
            <w:pPr>
              <w:pageBreakBefore w:val="0"/>
              <w:kinsoku/>
              <w:topLinePunct w:val="0"/>
              <w:bidi w:val="0"/>
              <w:snapToGrid w:val="0"/>
              <w:spacing w:line="360" w:lineRule="auto"/>
              <w:rPr>
                <w:rFonts w:hint="eastAsia" w:ascii="仿宋" w:hAnsi="仿宋" w:eastAsia="仿宋" w:cs="仿宋"/>
                <w:szCs w:val="21"/>
                <w:highlight w:val="none"/>
                <w:u w:val="single"/>
              </w:rPr>
            </w:pPr>
          </w:p>
        </w:tc>
      </w:tr>
      <w:tr w14:paraId="357D6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29E50597">
            <w:pPr>
              <w:pageBreakBefore w:val="0"/>
              <w:kinsoku/>
              <w:topLinePunct w:val="0"/>
              <w:bidi w:val="0"/>
              <w:snapToGrid w:val="0"/>
              <w:spacing w:line="360" w:lineRule="auto"/>
              <w:rPr>
                <w:rFonts w:hint="eastAsia" w:ascii="仿宋" w:hAnsi="仿宋" w:eastAsia="仿宋" w:cs="仿宋"/>
                <w:szCs w:val="21"/>
                <w:highlight w:val="none"/>
              </w:rPr>
            </w:pPr>
            <w:r>
              <w:rPr>
                <w:rFonts w:hint="eastAsia" w:ascii="仿宋" w:hAnsi="仿宋" w:eastAsia="仿宋" w:cs="仿宋"/>
                <w:bCs/>
                <w:szCs w:val="21"/>
                <w:highlight w:val="none"/>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01D30EA3">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7B0278E">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5E45CB32">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07AE3620">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有效期</w:t>
            </w:r>
          </w:p>
        </w:tc>
      </w:tr>
      <w:tr w14:paraId="7B776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6FAA3EA4">
            <w:pPr>
              <w:pageBreakBefore w:val="0"/>
              <w:kinsoku/>
              <w:topLinePunct w:val="0"/>
              <w:bidi w:val="0"/>
              <w:snapToGrid w:val="0"/>
              <w:spacing w:line="360" w:lineRule="auto"/>
              <w:rPr>
                <w:rFonts w:hint="eastAsia" w:ascii="仿宋" w:hAnsi="仿宋" w:eastAsia="仿宋" w:cs="仿宋"/>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6606D885">
            <w:pPr>
              <w:pageBreakBefore w:val="0"/>
              <w:kinsoku/>
              <w:topLinePunct w:val="0"/>
              <w:bidi w:val="0"/>
              <w:snapToGrid w:val="0"/>
              <w:spacing w:line="360" w:lineRule="auto"/>
              <w:rPr>
                <w:rFonts w:hint="eastAsia" w:ascii="仿宋" w:hAnsi="仿宋" w:eastAsia="仿宋" w:cs="仿宋"/>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8A9769F">
            <w:pPr>
              <w:pageBreakBefore w:val="0"/>
              <w:kinsoku/>
              <w:topLinePunct w:val="0"/>
              <w:bidi w:val="0"/>
              <w:snapToGrid w:val="0"/>
              <w:spacing w:line="360" w:lineRule="auto"/>
              <w:rPr>
                <w:rFonts w:hint="eastAsia" w:ascii="仿宋" w:hAnsi="仿宋" w:eastAsia="仿宋" w:cs="仿宋"/>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690EF6EA">
            <w:pPr>
              <w:pageBreakBefore w:val="0"/>
              <w:kinsoku/>
              <w:topLinePunct w:val="0"/>
              <w:bidi w:val="0"/>
              <w:snapToGrid w:val="0"/>
              <w:spacing w:line="360" w:lineRule="auto"/>
              <w:rPr>
                <w:rFonts w:hint="eastAsia" w:ascii="仿宋" w:hAnsi="仿宋" w:eastAsia="仿宋" w:cs="仿宋"/>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050AA136">
            <w:pPr>
              <w:pageBreakBefore w:val="0"/>
              <w:kinsoku/>
              <w:topLinePunct w:val="0"/>
              <w:bidi w:val="0"/>
              <w:snapToGrid w:val="0"/>
              <w:spacing w:line="360" w:lineRule="auto"/>
              <w:rPr>
                <w:rFonts w:hint="eastAsia" w:ascii="仿宋" w:hAnsi="仿宋" w:eastAsia="仿宋" w:cs="仿宋"/>
                <w:szCs w:val="21"/>
                <w:highlight w:val="none"/>
                <w:u w:val="single"/>
              </w:rPr>
            </w:pPr>
          </w:p>
        </w:tc>
      </w:tr>
      <w:tr w14:paraId="3F47B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3551F4AB">
            <w:pPr>
              <w:pageBreakBefore w:val="0"/>
              <w:kinsoku/>
              <w:topLinePunct w:val="0"/>
              <w:bidi w:val="0"/>
              <w:snapToGrid w:val="0"/>
              <w:spacing w:line="360" w:lineRule="auto"/>
              <w:rPr>
                <w:rFonts w:hint="eastAsia" w:ascii="仿宋" w:hAnsi="仿宋" w:eastAsia="仿宋" w:cs="仿宋"/>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6F122B73">
            <w:pPr>
              <w:pageBreakBefore w:val="0"/>
              <w:kinsoku/>
              <w:topLinePunct w:val="0"/>
              <w:bidi w:val="0"/>
              <w:snapToGrid w:val="0"/>
              <w:spacing w:line="360" w:lineRule="auto"/>
              <w:rPr>
                <w:rFonts w:hint="eastAsia" w:ascii="仿宋" w:hAnsi="仿宋" w:eastAsia="仿宋" w:cs="仿宋"/>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9F6AB5D">
            <w:pPr>
              <w:pageBreakBefore w:val="0"/>
              <w:kinsoku/>
              <w:topLinePunct w:val="0"/>
              <w:bidi w:val="0"/>
              <w:snapToGrid w:val="0"/>
              <w:spacing w:line="360" w:lineRule="auto"/>
              <w:rPr>
                <w:rFonts w:hint="eastAsia" w:ascii="仿宋" w:hAnsi="仿宋" w:eastAsia="仿宋" w:cs="仿宋"/>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4FB0311">
            <w:pPr>
              <w:pageBreakBefore w:val="0"/>
              <w:kinsoku/>
              <w:topLinePunct w:val="0"/>
              <w:bidi w:val="0"/>
              <w:snapToGrid w:val="0"/>
              <w:spacing w:line="360" w:lineRule="auto"/>
              <w:rPr>
                <w:rFonts w:hint="eastAsia" w:ascii="仿宋" w:hAnsi="仿宋" w:eastAsia="仿宋" w:cs="仿宋"/>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50DF84EE">
            <w:pPr>
              <w:pageBreakBefore w:val="0"/>
              <w:kinsoku/>
              <w:topLinePunct w:val="0"/>
              <w:bidi w:val="0"/>
              <w:snapToGrid w:val="0"/>
              <w:spacing w:line="360" w:lineRule="auto"/>
              <w:rPr>
                <w:rFonts w:hint="eastAsia" w:ascii="仿宋" w:hAnsi="仿宋" w:eastAsia="仿宋" w:cs="仿宋"/>
                <w:szCs w:val="21"/>
                <w:highlight w:val="none"/>
                <w:u w:val="single"/>
              </w:rPr>
            </w:pPr>
          </w:p>
        </w:tc>
      </w:tr>
      <w:tr w14:paraId="2A102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162E47F">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主要人员联系方式</w:t>
            </w:r>
          </w:p>
        </w:tc>
        <w:tc>
          <w:tcPr>
            <w:tcW w:w="7934" w:type="dxa"/>
            <w:gridSpan w:val="6"/>
            <w:tcBorders>
              <w:top w:val="single" w:color="auto" w:sz="4" w:space="0"/>
              <w:left w:val="single" w:color="auto" w:sz="4" w:space="0"/>
              <w:bottom w:val="single" w:color="auto" w:sz="4" w:space="0"/>
              <w:right w:val="single" w:color="auto" w:sz="4" w:space="0"/>
            </w:tcBorders>
            <w:vAlign w:val="center"/>
          </w:tcPr>
          <w:p w14:paraId="46454E28">
            <w:pPr>
              <w:pageBreakBefore w:val="0"/>
              <w:kinsoku/>
              <w:topLinePunct w:val="0"/>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lang w:eastAsia="zh-CN"/>
              </w:rPr>
              <w:t>法定代表人（单位负责人）</w:t>
            </w:r>
            <w:r>
              <w:rPr>
                <w:rFonts w:hint="eastAsia" w:ascii="仿宋" w:hAnsi="仿宋" w:eastAsia="仿宋" w:cs="仿宋"/>
                <w:szCs w:val="21"/>
                <w:highlight w:val="none"/>
              </w:rPr>
              <w:t>：</w:t>
            </w:r>
          </w:p>
          <w:p w14:paraId="36E93801">
            <w:pPr>
              <w:pageBreakBefore w:val="0"/>
              <w:kinsoku/>
              <w:topLinePunct w:val="0"/>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本项目负责人：</w:t>
            </w:r>
          </w:p>
          <w:p w14:paraId="0CD562C0">
            <w:pPr>
              <w:pageBreakBefore w:val="0"/>
              <w:kinsoku/>
              <w:topLinePunct w:val="0"/>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本项目授权代理人：</w:t>
            </w:r>
          </w:p>
        </w:tc>
      </w:tr>
      <w:tr w14:paraId="73D86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232DB33">
            <w:pPr>
              <w:pageBreakBefore w:val="0"/>
              <w:kinsoku/>
              <w:topLinePunct w:val="0"/>
              <w:bidi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其他</w:t>
            </w:r>
          </w:p>
        </w:tc>
        <w:tc>
          <w:tcPr>
            <w:tcW w:w="7934" w:type="dxa"/>
            <w:gridSpan w:val="6"/>
            <w:tcBorders>
              <w:top w:val="single" w:color="auto" w:sz="4" w:space="0"/>
              <w:left w:val="single" w:color="auto" w:sz="4" w:space="0"/>
              <w:bottom w:val="single" w:color="auto" w:sz="4" w:space="0"/>
              <w:right w:val="single" w:color="auto" w:sz="4" w:space="0"/>
            </w:tcBorders>
            <w:vAlign w:val="center"/>
          </w:tcPr>
          <w:p w14:paraId="6694F333">
            <w:pPr>
              <w:pageBreakBefore w:val="0"/>
              <w:kinsoku/>
              <w:topLinePunct w:val="0"/>
              <w:bidi w:val="0"/>
              <w:snapToGrid w:val="0"/>
              <w:spacing w:line="360" w:lineRule="auto"/>
              <w:rPr>
                <w:rFonts w:hint="eastAsia" w:ascii="仿宋" w:hAnsi="仿宋" w:eastAsia="仿宋" w:cs="仿宋"/>
                <w:bCs/>
                <w:szCs w:val="21"/>
                <w:highlight w:val="none"/>
              </w:rPr>
            </w:pPr>
          </w:p>
        </w:tc>
      </w:tr>
    </w:tbl>
    <w:p w14:paraId="5251AA81">
      <w:pPr>
        <w:pageBreakBefore w:val="0"/>
        <w:kinsoku/>
        <w:topLinePunct w:val="0"/>
        <w:bidi w:val="0"/>
        <w:spacing w:line="360" w:lineRule="auto"/>
        <w:jc w:val="left"/>
        <w:rPr>
          <w:rFonts w:hint="eastAsia" w:ascii="仿宋" w:hAnsi="仿宋" w:eastAsia="仿宋" w:cs="仿宋"/>
          <w:szCs w:val="21"/>
          <w:highlight w:val="none"/>
        </w:rPr>
      </w:pPr>
    </w:p>
    <w:p w14:paraId="0A89D0AF">
      <w:pPr>
        <w:pageBreakBefore w:val="0"/>
        <w:kinsoku/>
        <w:topLinePunct w:val="0"/>
        <w:bidi w:val="0"/>
        <w:spacing w:line="360" w:lineRule="auto"/>
        <w:jc w:val="left"/>
        <w:rPr>
          <w:rFonts w:hint="eastAsia" w:ascii="仿宋" w:hAnsi="仿宋" w:eastAsia="仿宋" w:cs="仿宋"/>
          <w:szCs w:val="21"/>
          <w:highlight w:val="none"/>
        </w:rPr>
      </w:pPr>
    </w:p>
    <w:p w14:paraId="7DBF6163">
      <w:pPr>
        <w:pageBreakBefore w:val="0"/>
        <w:kinsoku/>
        <w:topLinePunct w:val="0"/>
        <w:bidi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 xml:space="preserve">供应商名称（盖章）： </w:t>
      </w:r>
      <w:r>
        <w:rPr>
          <w:rFonts w:hint="eastAsia" w:ascii="仿宋" w:hAnsi="仿宋" w:eastAsia="仿宋" w:cs="仿宋"/>
          <w:szCs w:val="21"/>
          <w:highlight w:val="none"/>
          <w:u w:val="single"/>
        </w:rPr>
        <w:t xml:space="preserve">            </w:t>
      </w:r>
    </w:p>
    <w:p w14:paraId="26CE4A10">
      <w:pPr>
        <w:pageBreakBefore w:val="0"/>
        <w:kinsoku/>
        <w:topLinePunct w:val="0"/>
        <w:bidi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eastAsia="zh-CN"/>
        </w:rPr>
        <w:t>法定代表人（单位负责人）</w:t>
      </w:r>
      <w:r>
        <w:rPr>
          <w:rFonts w:hint="eastAsia" w:ascii="仿宋" w:hAnsi="仿宋" w:eastAsia="仿宋" w:cs="仿宋"/>
          <w:szCs w:val="21"/>
          <w:highlight w:val="none"/>
        </w:rPr>
        <w:t>或授权代理人签字：</w:t>
      </w:r>
      <w:r>
        <w:rPr>
          <w:rFonts w:hint="eastAsia" w:ascii="仿宋" w:hAnsi="仿宋" w:eastAsia="仿宋" w:cs="仿宋"/>
          <w:szCs w:val="21"/>
          <w:highlight w:val="none"/>
          <w:u w:val="single"/>
        </w:rPr>
        <w:t xml:space="preserve">           </w:t>
      </w:r>
    </w:p>
    <w:p w14:paraId="58B6BD6A">
      <w:pPr>
        <w:pageBreakBefore w:val="0"/>
        <w:kinsoku/>
        <w:topLinePunct w:val="0"/>
        <w:bidi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310F10C5">
      <w:pPr>
        <w:rPr>
          <w:rFonts w:hint="eastAsia" w:ascii="仿宋" w:hAnsi="仿宋" w:eastAsia="仿宋" w:cs="仿宋"/>
          <w:b/>
          <w:szCs w:val="21"/>
          <w:highlight w:val="none"/>
        </w:rPr>
      </w:pPr>
      <w:r>
        <w:rPr>
          <w:rFonts w:hint="eastAsia" w:ascii="仿宋" w:hAnsi="仿宋" w:eastAsia="仿宋" w:cs="仿宋"/>
          <w:b/>
          <w:sz w:val="24"/>
          <w:highlight w:val="none"/>
        </w:rPr>
        <w:br w:type="page"/>
      </w:r>
      <w:r>
        <w:rPr>
          <w:rFonts w:hint="eastAsia" w:ascii="仿宋" w:hAnsi="仿宋" w:eastAsia="仿宋" w:cs="仿宋"/>
          <w:b/>
          <w:szCs w:val="21"/>
          <w:highlight w:val="none"/>
        </w:rPr>
        <w:t>附件</w:t>
      </w:r>
      <w:r>
        <w:rPr>
          <w:rFonts w:hint="eastAsia" w:ascii="仿宋" w:hAnsi="仿宋" w:eastAsia="仿宋" w:cs="仿宋"/>
          <w:b/>
          <w:szCs w:val="21"/>
          <w:highlight w:val="none"/>
          <w:lang w:val="en-US" w:eastAsia="zh-CN"/>
        </w:rPr>
        <w:t>6</w:t>
      </w:r>
      <w:bookmarkStart w:id="73" w:name="_Toc509828031"/>
      <w:bookmarkStart w:id="74" w:name="_Toc508004258"/>
    </w:p>
    <w:bookmarkEnd w:id="73"/>
    <w:bookmarkEnd w:id="74"/>
    <w:p w14:paraId="78A52376">
      <w:pPr>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人员配备表</w:t>
      </w:r>
    </w:p>
    <w:p w14:paraId="16ED94E3">
      <w:pPr>
        <w:spacing w:line="600" w:lineRule="exact"/>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 xml:space="preserve"> 浙江省芳村溪幸福河湖建设项目招标代理及施工阶段全过程工程造价控制</w:t>
      </w:r>
      <w:r>
        <w:rPr>
          <w:rFonts w:hint="eastAsia" w:ascii="仿宋" w:hAnsi="仿宋" w:eastAsia="仿宋" w:cs="仿宋"/>
          <w:color w:val="auto"/>
          <w:highlight w:val="none"/>
        </w:rPr>
        <w:t xml:space="preserve">   </w:t>
      </w:r>
    </w:p>
    <w:p w14:paraId="2320F660">
      <w:pPr>
        <w:spacing w:line="600" w:lineRule="exact"/>
        <w:rPr>
          <w:rFonts w:hint="eastAsia" w:ascii="仿宋" w:hAnsi="仿宋" w:eastAsia="仿宋" w:cs="仿宋"/>
          <w:b/>
          <w:color w:val="auto"/>
          <w:sz w:val="28"/>
          <w:szCs w:val="28"/>
          <w:highlight w:val="none"/>
        </w:rPr>
      </w:pPr>
      <w:r>
        <w:rPr>
          <w:rFonts w:hint="eastAsia" w:ascii="仿宋" w:hAnsi="仿宋" w:eastAsia="仿宋" w:cs="仿宋"/>
          <w:color w:val="auto"/>
          <w:highlight w:val="none"/>
        </w:rPr>
        <w:t>项目编号：</w:t>
      </w:r>
      <w:r>
        <w:rPr>
          <w:rFonts w:hint="eastAsia" w:ascii="仿宋" w:hAnsi="仿宋" w:eastAsia="仿宋" w:cs="仿宋"/>
          <w:color w:val="auto"/>
          <w:szCs w:val="21"/>
          <w:highlight w:val="none"/>
          <w:u w:val="single"/>
          <w:lang w:eastAsia="zh-CN"/>
        </w:rPr>
        <w:t>ZSCG2025107-CS107</w:t>
      </w:r>
      <w:r>
        <w:rPr>
          <w:rFonts w:hint="eastAsia" w:ascii="仿宋" w:hAnsi="仿宋" w:eastAsia="仿宋" w:cs="仿宋"/>
          <w:color w:val="auto"/>
          <w:highlight w:val="none"/>
          <w:u w:val="single"/>
        </w:rPr>
        <w:t xml:space="preserve"> </w:t>
      </w:r>
    </w:p>
    <w:tbl>
      <w:tblPr>
        <w:tblStyle w:val="48"/>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040"/>
        <w:gridCol w:w="1270"/>
        <w:gridCol w:w="1005"/>
        <w:gridCol w:w="1518"/>
        <w:gridCol w:w="1323"/>
      </w:tblGrid>
      <w:tr w14:paraId="1E3B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82" w:type="dxa"/>
            <w:vAlign w:val="center"/>
          </w:tcPr>
          <w:p w14:paraId="6B381082">
            <w:pPr>
              <w:spacing w:line="5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姓名</w:t>
            </w:r>
          </w:p>
        </w:tc>
        <w:tc>
          <w:tcPr>
            <w:tcW w:w="2040" w:type="dxa"/>
            <w:vAlign w:val="center"/>
          </w:tcPr>
          <w:p w14:paraId="77E9DA85">
            <w:pPr>
              <w:spacing w:line="5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w:t>
            </w:r>
          </w:p>
          <w:p w14:paraId="72972987">
            <w:pPr>
              <w:spacing w:line="5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拟任岗位</w:t>
            </w:r>
          </w:p>
        </w:tc>
        <w:tc>
          <w:tcPr>
            <w:tcW w:w="1270" w:type="dxa"/>
            <w:vAlign w:val="center"/>
          </w:tcPr>
          <w:p w14:paraId="31C65686">
            <w:pPr>
              <w:spacing w:line="5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年龄</w:t>
            </w:r>
          </w:p>
        </w:tc>
        <w:tc>
          <w:tcPr>
            <w:tcW w:w="1005" w:type="dxa"/>
            <w:vAlign w:val="center"/>
          </w:tcPr>
          <w:p w14:paraId="618C81AF">
            <w:pPr>
              <w:spacing w:line="5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性别</w:t>
            </w:r>
          </w:p>
        </w:tc>
        <w:tc>
          <w:tcPr>
            <w:tcW w:w="1518" w:type="dxa"/>
            <w:vAlign w:val="center"/>
          </w:tcPr>
          <w:p w14:paraId="019481B1">
            <w:pPr>
              <w:spacing w:line="5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从事专业</w:t>
            </w:r>
          </w:p>
        </w:tc>
        <w:tc>
          <w:tcPr>
            <w:tcW w:w="1323" w:type="dxa"/>
            <w:vAlign w:val="center"/>
          </w:tcPr>
          <w:p w14:paraId="7F476244">
            <w:pPr>
              <w:spacing w:line="5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专业</w:t>
            </w:r>
          </w:p>
          <w:p w14:paraId="59B9CA07">
            <w:pPr>
              <w:spacing w:line="5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年限</w:t>
            </w:r>
          </w:p>
        </w:tc>
      </w:tr>
      <w:tr w14:paraId="5997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82" w:type="dxa"/>
          </w:tcPr>
          <w:p w14:paraId="573D4092">
            <w:pPr>
              <w:spacing w:line="500" w:lineRule="exact"/>
              <w:jc w:val="center"/>
              <w:textAlignment w:val="baseline"/>
              <w:rPr>
                <w:rFonts w:hint="eastAsia" w:ascii="仿宋" w:hAnsi="仿宋" w:eastAsia="仿宋" w:cs="仿宋"/>
                <w:bCs/>
                <w:color w:val="auto"/>
                <w:sz w:val="24"/>
                <w:highlight w:val="none"/>
              </w:rPr>
            </w:pPr>
          </w:p>
        </w:tc>
        <w:tc>
          <w:tcPr>
            <w:tcW w:w="2040" w:type="dxa"/>
          </w:tcPr>
          <w:p w14:paraId="3426F657">
            <w:pPr>
              <w:spacing w:line="500" w:lineRule="exact"/>
              <w:jc w:val="center"/>
              <w:textAlignment w:val="baseline"/>
              <w:rPr>
                <w:rFonts w:hint="eastAsia" w:ascii="仿宋" w:hAnsi="仿宋" w:eastAsia="仿宋" w:cs="仿宋"/>
                <w:bCs/>
                <w:color w:val="auto"/>
                <w:sz w:val="24"/>
                <w:highlight w:val="none"/>
              </w:rPr>
            </w:pPr>
          </w:p>
        </w:tc>
        <w:tc>
          <w:tcPr>
            <w:tcW w:w="1270" w:type="dxa"/>
          </w:tcPr>
          <w:p w14:paraId="50375C55">
            <w:pPr>
              <w:spacing w:line="500" w:lineRule="exact"/>
              <w:jc w:val="center"/>
              <w:textAlignment w:val="baseline"/>
              <w:rPr>
                <w:rFonts w:hint="eastAsia" w:ascii="仿宋" w:hAnsi="仿宋" w:eastAsia="仿宋" w:cs="仿宋"/>
                <w:bCs/>
                <w:color w:val="auto"/>
                <w:sz w:val="24"/>
                <w:highlight w:val="none"/>
              </w:rPr>
            </w:pPr>
          </w:p>
        </w:tc>
        <w:tc>
          <w:tcPr>
            <w:tcW w:w="1005" w:type="dxa"/>
          </w:tcPr>
          <w:p w14:paraId="71DC2C49">
            <w:pPr>
              <w:spacing w:line="500" w:lineRule="exact"/>
              <w:jc w:val="center"/>
              <w:textAlignment w:val="baseline"/>
              <w:rPr>
                <w:rFonts w:hint="eastAsia" w:ascii="仿宋" w:hAnsi="仿宋" w:eastAsia="仿宋" w:cs="仿宋"/>
                <w:bCs/>
                <w:color w:val="auto"/>
                <w:sz w:val="24"/>
                <w:highlight w:val="none"/>
              </w:rPr>
            </w:pPr>
          </w:p>
        </w:tc>
        <w:tc>
          <w:tcPr>
            <w:tcW w:w="1518" w:type="dxa"/>
          </w:tcPr>
          <w:p w14:paraId="1BBC9028">
            <w:pPr>
              <w:spacing w:line="500" w:lineRule="exact"/>
              <w:jc w:val="center"/>
              <w:textAlignment w:val="baseline"/>
              <w:rPr>
                <w:rFonts w:hint="eastAsia" w:ascii="仿宋" w:hAnsi="仿宋" w:eastAsia="仿宋" w:cs="仿宋"/>
                <w:bCs/>
                <w:color w:val="auto"/>
                <w:sz w:val="24"/>
                <w:highlight w:val="none"/>
              </w:rPr>
            </w:pPr>
          </w:p>
        </w:tc>
        <w:tc>
          <w:tcPr>
            <w:tcW w:w="1323" w:type="dxa"/>
          </w:tcPr>
          <w:p w14:paraId="405490A2">
            <w:pPr>
              <w:spacing w:line="500" w:lineRule="exact"/>
              <w:jc w:val="center"/>
              <w:textAlignment w:val="baseline"/>
              <w:rPr>
                <w:rFonts w:hint="eastAsia" w:ascii="仿宋" w:hAnsi="仿宋" w:eastAsia="仿宋" w:cs="仿宋"/>
                <w:bCs/>
                <w:color w:val="auto"/>
                <w:sz w:val="24"/>
                <w:highlight w:val="none"/>
              </w:rPr>
            </w:pPr>
          </w:p>
        </w:tc>
      </w:tr>
      <w:tr w14:paraId="7DE0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jc w:val="center"/>
        </w:trPr>
        <w:tc>
          <w:tcPr>
            <w:tcW w:w="1482" w:type="dxa"/>
          </w:tcPr>
          <w:p w14:paraId="1BC412BC">
            <w:pPr>
              <w:spacing w:line="500" w:lineRule="exact"/>
              <w:jc w:val="center"/>
              <w:textAlignment w:val="baseline"/>
              <w:rPr>
                <w:rFonts w:hint="eastAsia" w:ascii="仿宋" w:hAnsi="仿宋" w:eastAsia="仿宋" w:cs="仿宋"/>
                <w:bCs/>
                <w:color w:val="auto"/>
                <w:sz w:val="24"/>
                <w:highlight w:val="none"/>
              </w:rPr>
            </w:pPr>
          </w:p>
        </w:tc>
        <w:tc>
          <w:tcPr>
            <w:tcW w:w="2040" w:type="dxa"/>
          </w:tcPr>
          <w:p w14:paraId="56323E6E">
            <w:pPr>
              <w:spacing w:line="500" w:lineRule="exact"/>
              <w:jc w:val="center"/>
              <w:textAlignment w:val="baseline"/>
              <w:rPr>
                <w:rFonts w:hint="eastAsia" w:ascii="仿宋" w:hAnsi="仿宋" w:eastAsia="仿宋" w:cs="仿宋"/>
                <w:bCs/>
                <w:color w:val="auto"/>
                <w:sz w:val="24"/>
                <w:highlight w:val="none"/>
              </w:rPr>
            </w:pPr>
          </w:p>
        </w:tc>
        <w:tc>
          <w:tcPr>
            <w:tcW w:w="1270" w:type="dxa"/>
          </w:tcPr>
          <w:p w14:paraId="7DD295F3">
            <w:pPr>
              <w:spacing w:line="500" w:lineRule="exact"/>
              <w:jc w:val="center"/>
              <w:textAlignment w:val="baseline"/>
              <w:rPr>
                <w:rFonts w:hint="eastAsia" w:ascii="仿宋" w:hAnsi="仿宋" w:eastAsia="仿宋" w:cs="仿宋"/>
                <w:bCs/>
                <w:color w:val="auto"/>
                <w:sz w:val="24"/>
                <w:highlight w:val="none"/>
              </w:rPr>
            </w:pPr>
          </w:p>
        </w:tc>
        <w:tc>
          <w:tcPr>
            <w:tcW w:w="1005" w:type="dxa"/>
          </w:tcPr>
          <w:p w14:paraId="20F5D76E">
            <w:pPr>
              <w:spacing w:line="500" w:lineRule="exact"/>
              <w:jc w:val="center"/>
              <w:textAlignment w:val="baseline"/>
              <w:rPr>
                <w:rFonts w:hint="eastAsia" w:ascii="仿宋" w:hAnsi="仿宋" w:eastAsia="仿宋" w:cs="仿宋"/>
                <w:bCs/>
                <w:color w:val="auto"/>
                <w:sz w:val="24"/>
                <w:highlight w:val="none"/>
              </w:rPr>
            </w:pPr>
          </w:p>
        </w:tc>
        <w:tc>
          <w:tcPr>
            <w:tcW w:w="1518" w:type="dxa"/>
          </w:tcPr>
          <w:p w14:paraId="7447FDF0">
            <w:pPr>
              <w:spacing w:line="500" w:lineRule="exact"/>
              <w:jc w:val="center"/>
              <w:textAlignment w:val="baseline"/>
              <w:rPr>
                <w:rFonts w:hint="eastAsia" w:ascii="仿宋" w:hAnsi="仿宋" w:eastAsia="仿宋" w:cs="仿宋"/>
                <w:bCs/>
                <w:color w:val="auto"/>
                <w:sz w:val="24"/>
                <w:highlight w:val="none"/>
              </w:rPr>
            </w:pPr>
          </w:p>
        </w:tc>
        <w:tc>
          <w:tcPr>
            <w:tcW w:w="1323" w:type="dxa"/>
          </w:tcPr>
          <w:p w14:paraId="68FCEE24">
            <w:pPr>
              <w:spacing w:line="500" w:lineRule="exact"/>
              <w:jc w:val="center"/>
              <w:textAlignment w:val="baseline"/>
              <w:rPr>
                <w:rFonts w:hint="eastAsia" w:ascii="仿宋" w:hAnsi="仿宋" w:eastAsia="仿宋" w:cs="仿宋"/>
                <w:bCs/>
                <w:color w:val="auto"/>
                <w:sz w:val="24"/>
                <w:highlight w:val="none"/>
              </w:rPr>
            </w:pPr>
          </w:p>
        </w:tc>
      </w:tr>
      <w:tr w14:paraId="7AD4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82" w:type="dxa"/>
          </w:tcPr>
          <w:p w14:paraId="0A9AABAE">
            <w:pPr>
              <w:spacing w:line="500" w:lineRule="exact"/>
              <w:jc w:val="center"/>
              <w:textAlignment w:val="baseline"/>
              <w:rPr>
                <w:rFonts w:hint="eastAsia" w:ascii="仿宋" w:hAnsi="仿宋" w:eastAsia="仿宋" w:cs="仿宋"/>
                <w:bCs/>
                <w:color w:val="auto"/>
                <w:sz w:val="24"/>
                <w:highlight w:val="none"/>
              </w:rPr>
            </w:pPr>
          </w:p>
        </w:tc>
        <w:tc>
          <w:tcPr>
            <w:tcW w:w="2040" w:type="dxa"/>
          </w:tcPr>
          <w:p w14:paraId="4CEFE42C">
            <w:pPr>
              <w:spacing w:line="500" w:lineRule="exact"/>
              <w:jc w:val="center"/>
              <w:textAlignment w:val="baseline"/>
              <w:rPr>
                <w:rFonts w:hint="eastAsia" w:ascii="仿宋" w:hAnsi="仿宋" w:eastAsia="仿宋" w:cs="仿宋"/>
                <w:bCs/>
                <w:color w:val="auto"/>
                <w:sz w:val="24"/>
                <w:highlight w:val="none"/>
              </w:rPr>
            </w:pPr>
          </w:p>
        </w:tc>
        <w:tc>
          <w:tcPr>
            <w:tcW w:w="1270" w:type="dxa"/>
          </w:tcPr>
          <w:p w14:paraId="6690B52C">
            <w:pPr>
              <w:spacing w:line="500" w:lineRule="exact"/>
              <w:jc w:val="center"/>
              <w:textAlignment w:val="baseline"/>
              <w:rPr>
                <w:rFonts w:hint="eastAsia" w:ascii="仿宋" w:hAnsi="仿宋" w:eastAsia="仿宋" w:cs="仿宋"/>
                <w:bCs/>
                <w:color w:val="auto"/>
                <w:sz w:val="24"/>
                <w:highlight w:val="none"/>
              </w:rPr>
            </w:pPr>
          </w:p>
        </w:tc>
        <w:tc>
          <w:tcPr>
            <w:tcW w:w="1005" w:type="dxa"/>
          </w:tcPr>
          <w:p w14:paraId="624EC7A8">
            <w:pPr>
              <w:spacing w:line="500" w:lineRule="exact"/>
              <w:jc w:val="center"/>
              <w:textAlignment w:val="baseline"/>
              <w:rPr>
                <w:rFonts w:hint="eastAsia" w:ascii="仿宋" w:hAnsi="仿宋" w:eastAsia="仿宋" w:cs="仿宋"/>
                <w:bCs/>
                <w:color w:val="auto"/>
                <w:sz w:val="24"/>
                <w:highlight w:val="none"/>
              </w:rPr>
            </w:pPr>
          </w:p>
        </w:tc>
        <w:tc>
          <w:tcPr>
            <w:tcW w:w="1518" w:type="dxa"/>
          </w:tcPr>
          <w:p w14:paraId="10120CAF">
            <w:pPr>
              <w:spacing w:line="500" w:lineRule="exact"/>
              <w:jc w:val="center"/>
              <w:textAlignment w:val="baseline"/>
              <w:rPr>
                <w:rFonts w:hint="eastAsia" w:ascii="仿宋" w:hAnsi="仿宋" w:eastAsia="仿宋" w:cs="仿宋"/>
                <w:bCs/>
                <w:color w:val="auto"/>
                <w:sz w:val="24"/>
                <w:highlight w:val="none"/>
              </w:rPr>
            </w:pPr>
          </w:p>
        </w:tc>
        <w:tc>
          <w:tcPr>
            <w:tcW w:w="1323" w:type="dxa"/>
          </w:tcPr>
          <w:p w14:paraId="1E7AB78A">
            <w:pPr>
              <w:spacing w:line="500" w:lineRule="exact"/>
              <w:jc w:val="center"/>
              <w:textAlignment w:val="baseline"/>
              <w:rPr>
                <w:rFonts w:hint="eastAsia" w:ascii="仿宋" w:hAnsi="仿宋" w:eastAsia="仿宋" w:cs="仿宋"/>
                <w:bCs/>
                <w:color w:val="auto"/>
                <w:sz w:val="24"/>
                <w:highlight w:val="none"/>
              </w:rPr>
            </w:pPr>
          </w:p>
        </w:tc>
      </w:tr>
      <w:tr w14:paraId="517E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82" w:type="dxa"/>
          </w:tcPr>
          <w:p w14:paraId="5BD657C9">
            <w:pPr>
              <w:spacing w:line="400" w:lineRule="exact"/>
              <w:jc w:val="center"/>
              <w:textAlignment w:val="baseline"/>
              <w:rPr>
                <w:rFonts w:hint="eastAsia" w:ascii="仿宋" w:hAnsi="仿宋" w:eastAsia="仿宋" w:cs="仿宋"/>
                <w:bCs/>
                <w:color w:val="auto"/>
                <w:sz w:val="24"/>
                <w:highlight w:val="none"/>
              </w:rPr>
            </w:pPr>
          </w:p>
        </w:tc>
        <w:tc>
          <w:tcPr>
            <w:tcW w:w="2040" w:type="dxa"/>
          </w:tcPr>
          <w:p w14:paraId="043B93B4">
            <w:pPr>
              <w:spacing w:line="400" w:lineRule="exact"/>
              <w:jc w:val="center"/>
              <w:textAlignment w:val="baseline"/>
              <w:rPr>
                <w:rFonts w:hint="eastAsia" w:ascii="仿宋" w:hAnsi="仿宋" w:eastAsia="仿宋" w:cs="仿宋"/>
                <w:bCs/>
                <w:color w:val="auto"/>
                <w:sz w:val="24"/>
                <w:highlight w:val="none"/>
              </w:rPr>
            </w:pPr>
          </w:p>
        </w:tc>
        <w:tc>
          <w:tcPr>
            <w:tcW w:w="1270" w:type="dxa"/>
          </w:tcPr>
          <w:p w14:paraId="3DF1AF99">
            <w:pPr>
              <w:spacing w:line="400" w:lineRule="exact"/>
              <w:jc w:val="center"/>
              <w:textAlignment w:val="baseline"/>
              <w:rPr>
                <w:rFonts w:hint="eastAsia" w:ascii="仿宋" w:hAnsi="仿宋" w:eastAsia="仿宋" w:cs="仿宋"/>
                <w:bCs/>
                <w:color w:val="auto"/>
                <w:sz w:val="24"/>
                <w:highlight w:val="none"/>
              </w:rPr>
            </w:pPr>
          </w:p>
        </w:tc>
        <w:tc>
          <w:tcPr>
            <w:tcW w:w="1005" w:type="dxa"/>
          </w:tcPr>
          <w:p w14:paraId="2DCE0C94">
            <w:pPr>
              <w:spacing w:line="400" w:lineRule="exact"/>
              <w:jc w:val="center"/>
              <w:textAlignment w:val="baseline"/>
              <w:rPr>
                <w:rFonts w:hint="eastAsia" w:ascii="仿宋" w:hAnsi="仿宋" w:eastAsia="仿宋" w:cs="仿宋"/>
                <w:bCs/>
                <w:color w:val="auto"/>
                <w:sz w:val="24"/>
                <w:highlight w:val="none"/>
              </w:rPr>
            </w:pPr>
          </w:p>
        </w:tc>
        <w:tc>
          <w:tcPr>
            <w:tcW w:w="1518" w:type="dxa"/>
          </w:tcPr>
          <w:p w14:paraId="570FA7E2">
            <w:pPr>
              <w:spacing w:line="400" w:lineRule="exact"/>
              <w:jc w:val="center"/>
              <w:textAlignment w:val="baseline"/>
              <w:rPr>
                <w:rFonts w:hint="eastAsia" w:ascii="仿宋" w:hAnsi="仿宋" w:eastAsia="仿宋" w:cs="仿宋"/>
                <w:bCs/>
                <w:color w:val="auto"/>
                <w:sz w:val="24"/>
                <w:highlight w:val="none"/>
              </w:rPr>
            </w:pPr>
          </w:p>
        </w:tc>
        <w:tc>
          <w:tcPr>
            <w:tcW w:w="1323" w:type="dxa"/>
          </w:tcPr>
          <w:p w14:paraId="38C332DB">
            <w:pPr>
              <w:spacing w:line="400" w:lineRule="exact"/>
              <w:jc w:val="center"/>
              <w:textAlignment w:val="baseline"/>
              <w:rPr>
                <w:rFonts w:hint="eastAsia" w:ascii="仿宋" w:hAnsi="仿宋" w:eastAsia="仿宋" w:cs="仿宋"/>
                <w:bCs/>
                <w:color w:val="auto"/>
                <w:sz w:val="24"/>
                <w:highlight w:val="none"/>
              </w:rPr>
            </w:pPr>
          </w:p>
        </w:tc>
      </w:tr>
      <w:tr w14:paraId="6CC3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82" w:type="dxa"/>
          </w:tcPr>
          <w:p w14:paraId="194D4E36">
            <w:pPr>
              <w:spacing w:line="400" w:lineRule="exact"/>
              <w:jc w:val="center"/>
              <w:textAlignment w:val="baseline"/>
              <w:rPr>
                <w:rFonts w:hint="eastAsia" w:ascii="仿宋" w:hAnsi="仿宋" w:eastAsia="仿宋" w:cs="仿宋"/>
                <w:bCs/>
                <w:color w:val="auto"/>
                <w:sz w:val="24"/>
                <w:highlight w:val="none"/>
              </w:rPr>
            </w:pPr>
          </w:p>
        </w:tc>
        <w:tc>
          <w:tcPr>
            <w:tcW w:w="2040" w:type="dxa"/>
          </w:tcPr>
          <w:p w14:paraId="086E6F91">
            <w:pPr>
              <w:spacing w:line="400" w:lineRule="exact"/>
              <w:jc w:val="center"/>
              <w:textAlignment w:val="baseline"/>
              <w:rPr>
                <w:rFonts w:hint="eastAsia" w:ascii="仿宋" w:hAnsi="仿宋" w:eastAsia="仿宋" w:cs="仿宋"/>
                <w:bCs/>
                <w:color w:val="auto"/>
                <w:sz w:val="24"/>
                <w:highlight w:val="none"/>
              </w:rPr>
            </w:pPr>
          </w:p>
        </w:tc>
        <w:tc>
          <w:tcPr>
            <w:tcW w:w="1270" w:type="dxa"/>
          </w:tcPr>
          <w:p w14:paraId="1C6FCB5B">
            <w:pPr>
              <w:spacing w:line="400" w:lineRule="exact"/>
              <w:jc w:val="center"/>
              <w:textAlignment w:val="baseline"/>
              <w:rPr>
                <w:rFonts w:hint="eastAsia" w:ascii="仿宋" w:hAnsi="仿宋" w:eastAsia="仿宋" w:cs="仿宋"/>
                <w:bCs/>
                <w:color w:val="auto"/>
                <w:sz w:val="24"/>
                <w:highlight w:val="none"/>
              </w:rPr>
            </w:pPr>
          </w:p>
        </w:tc>
        <w:tc>
          <w:tcPr>
            <w:tcW w:w="1005" w:type="dxa"/>
          </w:tcPr>
          <w:p w14:paraId="48EBC3CA">
            <w:pPr>
              <w:spacing w:line="400" w:lineRule="exact"/>
              <w:jc w:val="center"/>
              <w:textAlignment w:val="baseline"/>
              <w:rPr>
                <w:rFonts w:hint="eastAsia" w:ascii="仿宋" w:hAnsi="仿宋" w:eastAsia="仿宋" w:cs="仿宋"/>
                <w:bCs/>
                <w:color w:val="auto"/>
                <w:sz w:val="24"/>
                <w:highlight w:val="none"/>
              </w:rPr>
            </w:pPr>
          </w:p>
        </w:tc>
        <w:tc>
          <w:tcPr>
            <w:tcW w:w="1518" w:type="dxa"/>
          </w:tcPr>
          <w:p w14:paraId="758E4391">
            <w:pPr>
              <w:spacing w:line="400" w:lineRule="exact"/>
              <w:jc w:val="center"/>
              <w:textAlignment w:val="baseline"/>
              <w:rPr>
                <w:rFonts w:hint="eastAsia" w:ascii="仿宋" w:hAnsi="仿宋" w:eastAsia="仿宋" w:cs="仿宋"/>
                <w:bCs/>
                <w:color w:val="auto"/>
                <w:sz w:val="24"/>
                <w:highlight w:val="none"/>
              </w:rPr>
            </w:pPr>
          </w:p>
        </w:tc>
        <w:tc>
          <w:tcPr>
            <w:tcW w:w="1323" w:type="dxa"/>
          </w:tcPr>
          <w:p w14:paraId="511E9374">
            <w:pPr>
              <w:spacing w:line="400" w:lineRule="exact"/>
              <w:jc w:val="center"/>
              <w:textAlignment w:val="baseline"/>
              <w:rPr>
                <w:rFonts w:hint="eastAsia" w:ascii="仿宋" w:hAnsi="仿宋" w:eastAsia="仿宋" w:cs="仿宋"/>
                <w:bCs/>
                <w:color w:val="auto"/>
                <w:sz w:val="24"/>
                <w:highlight w:val="none"/>
              </w:rPr>
            </w:pPr>
          </w:p>
        </w:tc>
      </w:tr>
      <w:tr w14:paraId="36DC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82" w:type="dxa"/>
          </w:tcPr>
          <w:p w14:paraId="4F680FBE">
            <w:pPr>
              <w:spacing w:line="400" w:lineRule="exact"/>
              <w:jc w:val="center"/>
              <w:textAlignment w:val="baseline"/>
              <w:rPr>
                <w:rFonts w:hint="eastAsia" w:ascii="仿宋" w:hAnsi="仿宋" w:eastAsia="仿宋" w:cs="仿宋"/>
                <w:bCs/>
                <w:color w:val="auto"/>
                <w:sz w:val="24"/>
                <w:highlight w:val="none"/>
              </w:rPr>
            </w:pPr>
          </w:p>
        </w:tc>
        <w:tc>
          <w:tcPr>
            <w:tcW w:w="2040" w:type="dxa"/>
          </w:tcPr>
          <w:p w14:paraId="676EC9C3">
            <w:pPr>
              <w:spacing w:line="400" w:lineRule="exact"/>
              <w:jc w:val="center"/>
              <w:textAlignment w:val="baseline"/>
              <w:rPr>
                <w:rFonts w:hint="eastAsia" w:ascii="仿宋" w:hAnsi="仿宋" w:eastAsia="仿宋" w:cs="仿宋"/>
                <w:bCs/>
                <w:color w:val="auto"/>
                <w:sz w:val="24"/>
                <w:highlight w:val="none"/>
              </w:rPr>
            </w:pPr>
          </w:p>
        </w:tc>
        <w:tc>
          <w:tcPr>
            <w:tcW w:w="1270" w:type="dxa"/>
          </w:tcPr>
          <w:p w14:paraId="5689B84F">
            <w:pPr>
              <w:spacing w:line="400" w:lineRule="exact"/>
              <w:jc w:val="center"/>
              <w:textAlignment w:val="baseline"/>
              <w:rPr>
                <w:rFonts w:hint="eastAsia" w:ascii="仿宋" w:hAnsi="仿宋" w:eastAsia="仿宋" w:cs="仿宋"/>
                <w:bCs/>
                <w:color w:val="auto"/>
                <w:sz w:val="24"/>
                <w:highlight w:val="none"/>
              </w:rPr>
            </w:pPr>
          </w:p>
        </w:tc>
        <w:tc>
          <w:tcPr>
            <w:tcW w:w="1005" w:type="dxa"/>
          </w:tcPr>
          <w:p w14:paraId="391098BB">
            <w:pPr>
              <w:spacing w:line="400" w:lineRule="exact"/>
              <w:jc w:val="center"/>
              <w:textAlignment w:val="baseline"/>
              <w:rPr>
                <w:rFonts w:hint="eastAsia" w:ascii="仿宋" w:hAnsi="仿宋" w:eastAsia="仿宋" w:cs="仿宋"/>
                <w:bCs/>
                <w:color w:val="auto"/>
                <w:sz w:val="24"/>
                <w:highlight w:val="none"/>
              </w:rPr>
            </w:pPr>
          </w:p>
        </w:tc>
        <w:tc>
          <w:tcPr>
            <w:tcW w:w="1518" w:type="dxa"/>
          </w:tcPr>
          <w:p w14:paraId="7F19F684">
            <w:pPr>
              <w:spacing w:line="400" w:lineRule="exact"/>
              <w:jc w:val="center"/>
              <w:textAlignment w:val="baseline"/>
              <w:rPr>
                <w:rFonts w:hint="eastAsia" w:ascii="仿宋" w:hAnsi="仿宋" w:eastAsia="仿宋" w:cs="仿宋"/>
                <w:bCs/>
                <w:color w:val="auto"/>
                <w:sz w:val="24"/>
                <w:highlight w:val="none"/>
              </w:rPr>
            </w:pPr>
          </w:p>
        </w:tc>
        <w:tc>
          <w:tcPr>
            <w:tcW w:w="1323" w:type="dxa"/>
          </w:tcPr>
          <w:p w14:paraId="4791ED35">
            <w:pPr>
              <w:spacing w:line="400" w:lineRule="exact"/>
              <w:jc w:val="center"/>
              <w:textAlignment w:val="baseline"/>
              <w:rPr>
                <w:rFonts w:hint="eastAsia" w:ascii="仿宋" w:hAnsi="仿宋" w:eastAsia="仿宋" w:cs="仿宋"/>
                <w:bCs/>
                <w:color w:val="auto"/>
                <w:sz w:val="24"/>
                <w:highlight w:val="none"/>
              </w:rPr>
            </w:pPr>
          </w:p>
        </w:tc>
      </w:tr>
      <w:tr w14:paraId="4804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82" w:type="dxa"/>
          </w:tcPr>
          <w:p w14:paraId="4B67E8B8">
            <w:pPr>
              <w:spacing w:line="500" w:lineRule="exact"/>
              <w:jc w:val="center"/>
              <w:textAlignment w:val="baseline"/>
              <w:rPr>
                <w:rFonts w:hint="eastAsia" w:ascii="仿宋" w:hAnsi="仿宋" w:eastAsia="仿宋" w:cs="仿宋"/>
                <w:bCs/>
                <w:color w:val="auto"/>
                <w:sz w:val="24"/>
                <w:highlight w:val="none"/>
              </w:rPr>
            </w:pPr>
          </w:p>
        </w:tc>
        <w:tc>
          <w:tcPr>
            <w:tcW w:w="2040" w:type="dxa"/>
          </w:tcPr>
          <w:p w14:paraId="038A4659">
            <w:pPr>
              <w:spacing w:line="500" w:lineRule="exact"/>
              <w:jc w:val="center"/>
              <w:textAlignment w:val="baseline"/>
              <w:rPr>
                <w:rFonts w:hint="eastAsia" w:ascii="仿宋" w:hAnsi="仿宋" w:eastAsia="仿宋" w:cs="仿宋"/>
                <w:bCs/>
                <w:color w:val="auto"/>
                <w:sz w:val="24"/>
                <w:highlight w:val="none"/>
              </w:rPr>
            </w:pPr>
          </w:p>
        </w:tc>
        <w:tc>
          <w:tcPr>
            <w:tcW w:w="1270" w:type="dxa"/>
          </w:tcPr>
          <w:p w14:paraId="164BA066">
            <w:pPr>
              <w:spacing w:line="500" w:lineRule="exact"/>
              <w:jc w:val="center"/>
              <w:textAlignment w:val="baseline"/>
              <w:rPr>
                <w:rFonts w:hint="eastAsia" w:ascii="仿宋" w:hAnsi="仿宋" w:eastAsia="仿宋" w:cs="仿宋"/>
                <w:bCs/>
                <w:color w:val="auto"/>
                <w:sz w:val="24"/>
                <w:highlight w:val="none"/>
              </w:rPr>
            </w:pPr>
          </w:p>
        </w:tc>
        <w:tc>
          <w:tcPr>
            <w:tcW w:w="1005" w:type="dxa"/>
          </w:tcPr>
          <w:p w14:paraId="1B901260">
            <w:pPr>
              <w:spacing w:line="500" w:lineRule="exact"/>
              <w:jc w:val="center"/>
              <w:textAlignment w:val="baseline"/>
              <w:rPr>
                <w:rFonts w:hint="eastAsia" w:ascii="仿宋" w:hAnsi="仿宋" w:eastAsia="仿宋" w:cs="仿宋"/>
                <w:bCs/>
                <w:color w:val="auto"/>
                <w:sz w:val="24"/>
                <w:highlight w:val="none"/>
              </w:rPr>
            </w:pPr>
          </w:p>
        </w:tc>
        <w:tc>
          <w:tcPr>
            <w:tcW w:w="1518" w:type="dxa"/>
          </w:tcPr>
          <w:p w14:paraId="7D9C4D50">
            <w:pPr>
              <w:spacing w:line="500" w:lineRule="exact"/>
              <w:jc w:val="center"/>
              <w:textAlignment w:val="baseline"/>
              <w:rPr>
                <w:rFonts w:hint="eastAsia" w:ascii="仿宋" w:hAnsi="仿宋" w:eastAsia="仿宋" w:cs="仿宋"/>
                <w:bCs/>
                <w:color w:val="auto"/>
                <w:sz w:val="24"/>
                <w:highlight w:val="none"/>
              </w:rPr>
            </w:pPr>
          </w:p>
        </w:tc>
        <w:tc>
          <w:tcPr>
            <w:tcW w:w="1323" w:type="dxa"/>
          </w:tcPr>
          <w:p w14:paraId="7F87BA19">
            <w:pPr>
              <w:spacing w:line="500" w:lineRule="exact"/>
              <w:jc w:val="center"/>
              <w:textAlignment w:val="baseline"/>
              <w:rPr>
                <w:rFonts w:hint="eastAsia" w:ascii="仿宋" w:hAnsi="仿宋" w:eastAsia="仿宋" w:cs="仿宋"/>
                <w:bCs/>
                <w:color w:val="auto"/>
                <w:sz w:val="24"/>
                <w:highlight w:val="none"/>
              </w:rPr>
            </w:pPr>
          </w:p>
        </w:tc>
      </w:tr>
      <w:tr w14:paraId="41AC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82" w:type="dxa"/>
          </w:tcPr>
          <w:p w14:paraId="69163FC5">
            <w:pPr>
              <w:spacing w:line="500" w:lineRule="exact"/>
              <w:jc w:val="center"/>
              <w:textAlignment w:val="baseline"/>
              <w:rPr>
                <w:rFonts w:hint="eastAsia" w:ascii="仿宋" w:hAnsi="仿宋" w:eastAsia="仿宋" w:cs="仿宋"/>
                <w:bCs/>
                <w:color w:val="auto"/>
                <w:sz w:val="24"/>
                <w:highlight w:val="none"/>
              </w:rPr>
            </w:pPr>
          </w:p>
        </w:tc>
        <w:tc>
          <w:tcPr>
            <w:tcW w:w="2040" w:type="dxa"/>
          </w:tcPr>
          <w:p w14:paraId="4E99F432">
            <w:pPr>
              <w:spacing w:line="500" w:lineRule="exact"/>
              <w:jc w:val="center"/>
              <w:textAlignment w:val="baseline"/>
              <w:rPr>
                <w:rFonts w:hint="eastAsia" w:ascii="仿宋" w:hAnsi="仿宋" w:eastAsia="仿宋" w:cs="仿宋"/>
                <w:bCs/>
                <w:color w:val="auto"/>
                <w:sz w:val="24"/>
                <w:highlight w:val="none"/>
              </w:rPr>
            </w:pPr>
          </w:p>
        </w:tc>
        <w:tc>
          <w:tcPr>
            <w:tcW w:w="1270" w:type="dxa"/>
          </w:tcPr>
          <w:p w14:paraId="6EB4DBB0">
            <w:pPr>
              <w:spacing w:line="500" w:lineRule="exact"/>
              <w:jc w:val="center"/>
              <w:textAlignment w:val="baseline"/>
              <w:rPr>
                <w:rFonts w:hint="eastAsia" w:ascii="仿宋" w:hAnsi="仿宋" w:eastAsia="仿宋" w:cs="仿宋"/>
                <w:bCs/>
                <w:color w:val="auto"/>
                <w:sz w:val="24"/>
                <w:highlight w:val="none"/>
              </w:rPr>
            </w:pPr>
          </w:p>
        </w:tc>
        <w:tc>
          <w:tcPr>
            <w:tcW w:w="1005" w:type="dxa"/>
          </w:tcPr>
          <w:p w14:paraId="499B766D">
            <w:pPr>
              <w:spacing w:line="500" w:lineRule="exact"/>
              <w:jc w:val="center"/>
              <w:textAlignment w:val="baseline"/>
              <w:rPr>
                <w:rFonts w:hint="eastAsia" w:ascii="仿宋" w:hAnsi="仿宋" w:eastAsia="仿宋" w:cs="仿宋"/>
                <w:bCs/>
                <w:color w:val="auto"/>
                <w:sz w:val="24"/>
                <w:highlight w:val="none"/>
              </w:rPr>
            </w:pPr>
          </w:p>
        </w:tc>
        <w:tc>
          <w:tcPr>
            <w:tcW w:w="1518" w:type="dxa"/>
          </w:tcPr>
          <w:p w14:paraId="01FBC249">
            <w:pPr>
              <w:spacing w:line="500" w:lineRule="exact"/>
              <w:jc w:val="center"/>
              <w:textAlignment w:val="baseline"/>
              <w:rPr>
                <w:rFonts w:hint="eastAsia" w:ascii="仿宋" w:hAnsi="仿宋" w:eastAsia="仿宋" w:cs="仿宋"/>
                <w:bCs/>
                <w:color w:val="auto"/>
                <w:sz w:val="24"/>
                <w:highlight w:val="none"/>
              </w:rPr>
            </w:pPr>
          </w:p>
        </w:tc>
        <w:tc>
          <w:tcPr>
            <w:tcW w:w="1323" w:type="dxa"/>
          </w:tcPr>
          <w:p w14:paraId="6C90FEE5">
            <w:pPr>
              <w:spacing w:line="500" w:lineRule="exact"/>
              <w:jc w:val="center"/>
              <w:textAlignment w:val="baseline"/>
              <w:rPr>
                <w:rFonts w:hint="eastAsia" w:ascii="仿宋" w:hAnsi="仿宋" w:eastAsia="仿宋" w:cs="仿宋"/>
                <w:bCs/>
                <w:color w:val="auto"/>
                <w:sz w:val="24"/>
                <w:highlight w:val="none"/>
              </w:rPr>
            </w:pPr>
          </w:p>
        </w:tc>
      </w:tr>
      <w:tr w14:paraId="649C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82" w:type="dxa"/>
          </w:tcPr>
          <w:p w14:paraId="7196EA3F">
            <w:pPr>
              <w:spacing w:line="400" w:lineRule="exact"/>
              <w:jc w:val="center"/>
              <w:textAlignment w:val="baseline"/>
              <w:rPr>
                <w:rFonts w:hint="eastAsia" w:ascii="仿宋" w:hAnsi="仿宋" w:eastAsia="仿宋" w:cs="仿宋"/>
                <w:bCs/>
                <w:color w:val="auto"/>
                <w:sz w:val="24"/>
                <w:highlight w:val="none"/>
              </w:rPr>
            </w:pPr>
          </w:p>
        </w:tc>
        <w:tc>
          <w:tcPr>
            <w:tcW w:w="2040" w:type="dxa"/>
          </w:tcPr>
          <w:p w14:paraId="5B211846">
            <w:pPr>
              <w:spacing w:line="400" w:lineRule="exact"/>
              <w:jc w:val="center"/>
              <w:textAlignment w:val="baseline"/>
              <w:rPr>
                <w:rFonts w:hint="eastAsia" w:ascii="仿宋" w:hAnsi="仿宋" w:eastAsia="仿宋" w:cs="仿宋"/>
                <w:bCs/>
                <w:color w:val="auto"/>
                <w:sz w:val="24"/>
                <w:highlight w:val="none"/>
              </w:rPr>
            </w:pPr>
          </w:p>
        </w:tc>
        <w:tc>
          <w:tcPr>
            <w:tcW w:w="1270" w:type="dxa"/>
          </w:tcPr>
          <w:p w14:paraId="05F54513">
            <w:pPr>
              <w:spacing w:line="400" w:lineRule="exact"/>
              <w:jc w:val="center"/>
              <w:textAlignment w:val="baseline"/>
              <w:rPr>
                <w:rFonts w:hint="eastAsia" w:ascii="仿宋" w:hAnsi="仿宋" w:eastAsia="仿宋" w:cs="仿宋"/>
                <w:bCs/>
                <w:color w:val="auto"/>
                <w:sz w:val="24"/>
                <w:highlight w:val="none"/>
              </w:rPr>
            </w:pPr>
          </w:p>
        </w:tc>
        <w:tc>
          <w:tcPr>
            <w:tcW w:w="1005" w:type="dxa"/>
          </w:tcPr>
          <w:p w14:paraId="0F56F53A">
            <w:pPr>
              <w:spacing w:line="400" w:lineRule="exact"/>
              <w:jc w:val="center"/>
              <w:textAlignment w:val="baseline"/>
              <w:rPr>
                <w:rFonts w:hint="eastAsia" w:ascii="仿宋" w:hAnsi="仿宋" w:eastAsia="仿宋" w:cs="仿宋"/>
                <w:bCs/>
                <w:color w:val="auto"/>
                <w:sz w:val="24"/>
                <w:highlight w:val="none"/>
              </w:rPr>
            </w:pPr>
          </w:p>
        </w:tc>
        <w:tc>
          <w:tcPr>
            <w:tcW w:w="1518" w:type="dxa"/>
          </w:tcPr>
          <w:p w14:paraId="2FAF4ADD">
            <w:pPr>
              <w:spacing w:line="400" w:lineRule="exact"/>
              <w:jc w:val="center"/>
              <w:textAlignment w:val="baseline"/>
              <w:rPr>
                <w:rFonts w:hint="eastAsia" w:ascii="仿宋" w:hAnsi="仿宋" w:eastAsia="仿宋" w:cs="仿宋"/>
                <w:bCs/>
                <w:color w:val="auto"/>
                <w:sz w:val="24"/>
                <w:highlight w:val="none"/>
              </w:rPr>
            </w:pPr>
          </w:p>
        </w:tc>
        <w:tc>
          <w:tcPr>
            <w:tcW w:w="1323" w:type="dxa"/>
          </w:tcPr>
          <w:p w14:paraId="1876B14C">
            <w:pPr>
              <w:spacing w:line="400" w:lineRule="exact"/>
              <w:jc w:val="center"/>
              <w:textAlignment w:val="baseline"/>
              <w:rPr>
                <w:rFonts w:hint="eastAsia" w:ascii="仿宋" w:hAnsi="仿宋" w:eastAsia="仿宋" w:cs="仿宋"/>
                <w:bCs/>
                <w:color w:val="auto"/>
                <w:sz w:val="24"/>
                <w:highlight w:val="none"/>
              </w:rPr>
            </w:pPr>
          </w:p>
        </w:tc>
      </w:tr>
      <w:tr w14:paraId="016B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1482" w:type="dxa"/>
          </w:tcPr>
          <w:p w14:paraId="43F4C11D">
            <w:pPr>
              <w:spacing w:line="400" w:lineRule="exact"/>
              <w:jc w:val="center"/>
              <w:textAlignment w:val="baseline"/>
              <w:rPr>
                <w:rFonts w:hint="eastAsia" w:ascii="仿宋" w:hAnsi="仿宋" w:eastAsia="仿宋" w:cs="仿宋"/>
                <w:bCs/>
                <w:color w:val="auto"/>
                <w:sz w:val="24"/>
                <w:highlight w:val="none"/>
              </w:rPr>
            </w:pPr>
          </w:p>
        </w:tc>
        <w:tc>
          <w:tcPr>
            <w:tcW w:w="2040" w:type="dxa"/>
          </w:tcPr>
          <w:p w14:paraId="4E9CBA09">
            <w:pPr>
              <w:spacing w:line="400" w:lineRule="exact"/>
              <w:jc w:val="center"/>
              <w:textAlignment w:val="baseline"/>
              <w:rPr>
                <w:rFonts w:hint="eastAsia" w:ascii="仿宋" w:hAnsi="仿宋" w:eastAsia="仿宋" w:cs="仿宋"/>
                <w:bCs/>
                <w:color w:val="auto"/>
                <w:sz w:val="24"/>
                <w:highlight w:val="none"/>
              </w:rPr>
            </w:pPr>
          </w:p>
        </w:tc>
        <w:tc>
          <w:tcPr>
            <w:tcW w:w="1270" w:type="dxa"/>
          </w:tcPr>
          <w:p w14:paraId="5AD4A0E4">
            <w:pPr>
              <w:spacing w:line="400" w:lineRule="exact"/>
              <w:jc w:val="center"/>
              <w:textAlignment w:val="baseline"/>
              <w:rPr>
                <w:rFonts w:hint="eastAsia" w:ascii="仿宋" w:hAnsi="仿宋" w:eastAsia="仿宋" w:cs="仿宋"/>
                <w:bCs/>
                <w:color w:val="auto"/>
                <w:sz w:val="24"/>
                <w:highlight w:val="none"/>
              </w:rPr>
            </w:pPr>
          </w:p>
        </w:tc>
        <w:tc>
          <w:tcPr>
            <w:tcW w:w="1005" w:type="dxa"/>
          </w:tcPr>
          <w:p w14:paraId="7A7B034A">
            <w:pPr>
              <w:spacing w:line="400" w:lineRule="exact"/>
              <w:jc w:val="center"/>
              <w:textAlignment w:val="baseline"/>
              <w:rPr>
                <w:rFonts w:hint="eastAsia" w:ascii="仿宋" w:hAnsi="仿宋" w:eastAsia="仿宋" w:cs="仿宋"/>
                <w:bCs/>
                <w:color w:val="auto"/>
                <w:sz w:val="24"/>
                <w:highlight w:val="none"/>
              </w:rPr>
            </w:pPr>
          </w:p>
        </w:tc>
        <w:tc>
          <w:tcPr>
            <w:tcW w:w="1518" w:type="dxa"/>
          </w:tcPr>
          <w:p w14:paraId="4B7F580C">
            <w:pPr>
              <w:spacing w:line="400" w:lineRule="exact"/>
              <w:jc w:val="center"/>
              <w:textAlignment w:val="baseline"/>
              <w:rPr>
                <w:rFonts w:hint="eastAsia" w:ascii="仿宋" w:hAnsi="仿宋" w:eastAsia="仿宋" w:cs="仿宋"/>
                <w:bCs/>
                <w:color w:val="auto"/>
                <w:sz w:val="24"/>
                <w:highlight w:val="none"/>
              </w:rPr>
            </w:pPr>
          </w:p>
        </w:tc>
        <w:tc>
          <w:tcPr>
            <w:tcW w:w="1323" w:type="dxa"/>
          </w:tcPr>
          <w:p w14:paraId="21B055EC">
            <w:pPr>
              <w:spacing w:line="400" w:lineRule="exact"/>
              <w:jc w:val="center"/>
              <w:textAlignment w:val="baseline"/>
              <w:rPr>
                <w:rFonts w:hint="eastAsia" w:ascii="仿宋" w:hAnsi="仿宋" w:eastAsia="仿宋" w:cs="仿宋"/>
                <w:bCs/>
                <w:color w:val="auto"/>
                <w:sz w:val="24"/>
                <w:highlight w:val="none"/>
              </w:rPr>
            </w:pPr>
          </w:p>
        </w:tc>
      </w:tr>
      <w:tr w14:paraId="2B03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1482" w:type="dxa"/>
          </w:tcPr>
          <w:p w14:paraId="1199CA24">
            <w:pPr>
              <w:spacing w:line="400" w:lineRule="exact"/>
              <w:jc w:val="center"/>
              <w:textAlignment w:val="baseline"/>
              <w:rPr>
                <w:rFonts w:hint="eastAsia" w:ascii="仿宋" w:hAnsi="仿宋" w:eastAsia="仿宋" w:cs="仿宋"/>
                <w:bCs/>
                <w:color w:val="auto"/>
                <w:sz w:val="24"/>
                <w:highlight w:val="none"/>
              </w:rPr>
            </w:pPr>
          </w:p>
        </w:tc>
        <w:tc>
          <w:tcPr>
            <w:tcW w:w="2040" w:type="dxa"/>
          </w:tcPr>
          <w:p w14:paraId="26DE5E15">
            <w:pPr>
              <w:spacing w:line="400" w:lineRule="exact"/>
              <w:jc w:val="center"/>
              <w:textAlignment w:val="baseline"/>
              <w:rPr>
                <w:rFonts w:hint="eastAsia" w:ascii="仿宋" w:hAnsi="仿宋" w:eastAsia="仿宋" w:cs="仿宋"/>
                <w:bCs/>
                <w:color w:val="auto"/>
                <w:sz w:val="24"/>
                <w:highlight w:val="none"/>
              </w:rPr>
            </w:pPr>
          </w:p>
        </w:tc>
        <w:tc>
          <w:tcPr>
            <w:tcW w:w="1270" w:type="dxa"/>
          </w:tcPr>
          <w:p w14:paraId="36BFB9B6">
            <w:pPr>
              <w:spacing w:line="400" w:lineRule="exact"/>
              <w:jc w:val="center"/>
              <w:textAlignment w:val="baseline"/>
              <w:rPr>
                <w:rFonts w:hint="eastAsia" w:ascii="仿宋" w:hAnsi="仿宋" w:eastAsia="仿宋" w:cs="仿宋"/>
                <w:bCs/>
                <w:color w:val="auto"/>
                <w:sz w:val="24"/>
                <w:highlight w:val="none"/>
              </w:rPr>
            </w:pPr>
          </w:p>
        </w:tc>
        <w:tc>
          <w:tcPr>
            <w:tcW w:w="1005" w:type="dxa"/>
          </w:tcPr>
          <w:p w14:paraId="3225C115">
            <w:pPr>
              <w:spacing w:line="400" w:lineRule="exact"/>
              <w:jc w:val="center"/>
              <w:textAlignment w:val="baseline"/>
              <w:rPr>
                <w:rFonts w:hint="eastAsia" w:ascii="仿宋" w:hAnsi="仿宋" w:eastAsia="仿宋" w:cs="仿宋"/>
                <w:bCs/>
                <w:color w:val="auto"/>
                <w:sz w:val="24"/>
                <w:highlight w:val="none"/>
              </w:rPr>
            </w:pPr>
          </w:p>
        </w:tc>
        <w:tc>
          <w:tcPr>
            <w:tcW w:w="1518" w:type="dxa"/>
          </w:tcPr>
          <w:p w14:paraId="21684E7D">
            <w:pPr>
              <w:spacing w:line="400" w:lineRule="exact"/>
              <w:jc w:val="center"/>
              <w:textAlignment w:val="baseline"/>
              <w:rPr>
                <w:rFonts w:hint="eastAsia" w:ascii="仿宋" w:hAnsi="仿宋" w:eastAsia="仿宋" w:cs="仿宋"/>
                <w:bCs/>
                <w:color w:val="auto"/>
                <w:sz w:val="24"/>
                <w:highlight w:val="none"/>
              </w:rPr>
            </w:pPr>
          </w:p>
        </w:tc>
        <w:tc>
          <w:tcPr>
            <w:tcW w:w="1323" w:type="dxa"/>
          </w:tcPr>
          <w:p w14:paraId="007A2B20">
            <w:pPr>
              <w:spacing w:line="400" w:lineRule="exact"/>
              <w:jc w:val="center"/>
              <w:textAlignment w:val="baseline"/>
              <w:rPr>
                <w:rFonts w:hint="eastAsia" w:ascii="仿宋" w:hAnsi="仿宋" w:eastAsia="仿宋" w:cs="仿宋"/>
                <w:bCs/>
                <w:color w:val="auto"/>
                <w:sz w:val="24"/>
                <w:highlight w:val="none"/>
              </w:rPr>
            </w:pPr>
          </w:p>
        </w:tc>
      </w:tr>
      <w:tr w14:paraId="0852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82" w:type="dxa"/>
          </w:tcPr>
          <w:p w14:paraId="52F555C5">
            <w:pPr>
              <w:spacing w:line="400" w:lineRule="exact"/>
              <w:jc w:val="center"/>
              <w:textAlignment w:val="baseline"/>
              <w:rPr>
                <w:rFonts w:hint="eastAsia" w:ascii="仿宋" w:hAnsi="仿宋" w:eastAsia="仿宋" w:cs="仿宋"/>
                <w:bCs/>
                <w:color w:val="auto"/>
                <w:sz w:val="24"/>
                <w:highlight w:val="none"/>
              </w:rPr>
            </w:pPr>
          </w:p>
        </w:tc>
        <w:tc>
          <w:tcPr>
            <w:tcW w:w="2040" w:type="dxa"/>
          </w:tcPr>
          <w:p w14:paraId="2CADED0D">
            <w:pPr>
              <w:spacing w:line="400" w:lineRule="exact"/>
              <w:jc w:val="center"/>
              <w:textAlignment w:val="baseline"/>
              <w:rPr>
                <w:rFonts w:hint="eastAsia" w:ascii="仿宋" w:hAnsi="仿宋" w:eastAsia="仿宋" w:cs="仿宋"/>
                <w:bCs/>
                <w:color w:val="auto"/>
                <w:sz w:val="24"/>
                <w:highlight w:val="none"/>
              </w:rPr>
            </w:pPr>
          </w:p>
        </w:tc>
        <w:tc>
          <w:tcPr>
            <w:tcW w:w="1270" w:type="dxa"/>
          </w:tcPr>
          <w:p w14:paraId="1327B47C">
            <w:pPr>
              <w:spacing w:line="400" w:lineRule="exact"/>
              <w:jc w:val="center"/>
              <w:textAlignment w:val="baseline"/>
              <w:rPr>
                <w:rFonts w:hint="eastAsia" w:ascii="仿宋" w:hAnsi="仿宋" w:eastAsia="仿宋" w:cs="仿宋"/>
                <w:bCs/>
                <w:color w:val="auto"/>
                <w:sz w:val="24"/>
                <w:highlight w:val="none"/>
              </w:rPr>
            </w:pPr>
          </w:p>
        </w:tc>
        <w:tc>
          <w:tcPr>
            <w:tcW w:w="1005" w:type="dxa"/>
          </w:tcPr>
          <w:p w14:paraId="4A5DB657">
            <w:pPr>
              <w:spacing w:line="400" w:lineRule="exact"/>
              <w:jc w:val="center"/>
              <w:textAlignment w:val="baseline"/>
              <w:rPr>
                <w:rFonts w:hint="eastAsia" w:ascii="仿宋" w:hAnsi="仿宋" w:eastAsia="仿宋" w:cs="仿宋"/>
                <w:bCs/>
                <w:color w:val="auto"/>
                <w:sz w:val="24"/>
                <w:highlight w:val="none"/>
              </w:rPr>
            </w:pPr>
          </w:p>
        </w:tc>
        <w:tc>
          <w:tcPr>
            <w:tcW w:w="1518" w:type="dxa"/>
          </w:tcPr>
          <w:p w14:paraId="75182591">
            <w:pPr>
              <w:spacing w:line="400" w:lineRule="exact"/>
              <w:jc w:val="center"/>
              <w:textAlignment w:val="baseline"/>
              <w:rPr>
                <w:rFonts w:hint="eastAsia" w:ascii="仿宋" w:hAnsi="仿宋" w:eastAsia="仿宋" w:cs="仿宋"/>
                <w:bCs/>
                <w:color w:val="auto"/>
                <w:sz w:val="24"/>
                <w:highlight w:val="none"/>
              </w:rPr>
            </w:pPr>
          </w:p>
        </w:tc>
        <w:tc>
          <w:tcPr>
            <w:tcW w:w="1323" w:type="dxa"/>
          </w:tcPr>
          <w:p w14:paraId="5AD0DD63">
            <w:pPr>
              <w:spacing w:line="400" w:lineRule="exact"/>
              <w:jc w:val="center"/>
              <w:textAlignment w:val="baseline"/>
              <w:rPr>
                <w:rFonts w:hint="eastAsia" w:ascii="仿宋" w:hAnsi="仿宋" w:eastAsia="仿宋" w:cs="仿宋"/>
                <w:bCs/>
                <w:color w:val="auto"/>
                <w:sz w:val="24"/>
                <w:highlight w:val="none"/>
              </w:rPr>
            </w:pPr>
          </w:p>
        </w:tc>
      </w:tr>
      <w:tr w14:paraId="275B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2" w:type="dxa"/>
          </w:tcPr>
          <w:p w14:paraId="0433868B">
            <w:pPr>
              <w:spacing w:line="4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2040" w:type="dxa"/>
          </w:tcPr>
          <w:p w14:paraId="0640607F">
            <w:pPr>
              <w:spacing w:line="400" w:lineRule="exact"/>
              <w:jc w:val="center"/>
              <w:textAlignment w:val="baseline"/>
              <w:rPr>
                <w:rFonts w:hint="eastAsia" w:ascii="仿宋" w:hAnsi="仿宋" w:eastAsia="仿宋" w:cs="仿宋"/>
                <w:bCs/>
                <w:color w:val="auto"/>
                <w:sz w:val="24"/>
                <w:highlight w:val="none"/>
              </w:rPr>
            </w:pPr>
          </w:p>
        </w:tc>
        <w:tc>
          <w:tcPr>
            <w:tcW w:w="1270" w:type="dxa"/>
          </w:tcPr>
          <w:p w14:paraId="1CBDF79F">
            <w:pPr>
              <w:spacing w:line="400" w:lineRule="exact"/>
              <w:jc w:val="center"/>
              <w:textAlignment w:val="baseline"/>
              <w:rPr>
                <w:rFonts w:hint="eastAsia" w:ascii="仿宋" w:hAnsi="仿宋" w:eastAsia="仿宋" w:cs="仿宋"/>
                <w:bCs/>
                <w:color w:val="auto"/>
                <w:sz w:val="24"/>
                <w:highlight w:val="none"/>
              </w:rPr>
            </w:pPr>
          </w:p>
        </w:tc>
        <w:tc>
          <w:tcPr>
            <w:tcW w:w="1005" w:type="dxa"/>
          </w:tcPr>
          <w:p w14:paraId="0D7B587A">
            <w:pPr>
              <w:spacing w:line="400" w:lineRule="exact"/>
              <w:jc w:val="center"/>
              <w:textAlignment w:val="baseline"/>
              <w:rPr>
                <w:rFonts w:hint="eastAsia" w:ascii="仿宋" w:hAnsi="仿宋" w:eastAsia="仿宋" w:cs="仿宋"/>
                <w:bCs/>
                <w:color w:val="auto"/>
                <w:sz w:val="24"/>
                <w:highlight w:val="none"/>
              </w:rPr>
            </w:pPr>
          </w:p>
        </w:tc>
        <w:tc>
          <w:tcPr>
            <w:tcW w:w="1518" w:type="dxa"/>
          </w:tcPr>
          <w:p w14:paraId="195DBE4D">
            <w:pPr>
              <w:spacing w:line="400" w:lineRule="exact"/>
              <w:jc w:val="center"/>
              <w:textAlignment w:val="baseline"/>
              <w:rPr>
                <w:rFonts w:hint="eastAsia" w:ascii="仿宋" w:hAnsi="仿宋" w:eastAsia="仿宋" w:cs="仿宋"/>
                <w:bCs/>
                <w:color w:val="auto"/>
                <w:sz w:val="24"/>
                <w:highlight w:val="none"/>
              </w:rPr>
            </w:pPr>
          </w:p>
        </w:tc>
        <w:tc>
          <w:tcPr>
            <w:tcW w:w="1323" w:type="dxa"/>
          </w:tcPr>
          <w:p w14:paraId="48236D76">
            <w:pPr>
              <w:spacing w:line="400" w:lineRule="exact"/>
              <w:jc w:val="center"/>
              <w:textAlignment w:val="baseline"/>
              <w:rPr>
                <w:rFonts w:hint="eastAsia" w:ascii="仿宋" w:hAnsi="仿宋" w:eastAsia="仿宋" w:cs="仿宋"/>
                <w:bCs/>
                <w:color w:val="auto"/>
                <w:sz w:val="24"/>
                <w:highlight w:val="none"/>
              </w:rPr>
            </w:pPr>
          </w:p>
        </w:tc>
      </w:tr>
    </w:tbl>
    <w:p w14:paraId="71ED9089">
      <w:pPr>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填写说明：</w:t>
      </w:r>
    </w:p>
    <w:p w14:paraId="3C5EE4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highlight w:val="none"/>
          <w:lang w:val="en-US" w:eastAsia="zh-CN"/>
        </w:rPr>
      </w:pPr>
      <w:r>
        <w:rPr>
          <w:rFonts w:hint="eastAsia" w:ascii="仿宋" w:hAnsi="仿宋" w:eastAsia="仿宋" w:cs="仿宋"/>
          <w:b/>
          <w:color w:val="auto"/>
          <w:szCs w:val="21"/>
          <w:highlight w:val="none"/>
        </w:rPr>
        <w:t>1.本表需提供</w:t>
      </w:r>
      <w:r>
        <w:rPr>
          <w:rFonts w:hint="eastAsia" w:ascii="仿宋" w:hAnsi="仿宋" w:eastAsia="仿宋" w:cs="仿宋"/>
          <w:b/>
          <w:color w:val="auto"/>
          <w:szCs w:val="21"/>
          <w:highlight w:val="none"/>
          <w:lang w:eastAsia="zh-CN"/>
        </w:rPr>
        <w:t>相关</w:t>
      </w:r>
      <w:r>
        <w:rPr>
          <w:rFonts w:hint="eastAsia" w:ascii="仿宋" w:hAnsi="仿宋" w:eastAsia="仿宋" w:cs="仿宋"/>
          <w:b/>
          <w:color w:val="auto"/>
          <w:szCs w:val="21"/>
          <w:highlight w:val="none"/>
        </w:rPr>
        <w:t>证</w:t>
      </w:r>
      <w:r>
        <w:rPr>
          <w:rFonts w:hint="eastAsia" w:ascii="仿宋" w:hAnsi="仿宋" w:eastAsia="仿宋" w:cs="仿宋"/>
          <w:b/>
          <w:color w:val="auto"/>
          <w:szCs w:val="21"/>
          <w:highlight w:val="none"/>
          <w:lang w:eastAsia="zh-CN"/>
        </w:rPr>
        <w:t>书</w:t>
      </w:r>
      <w:r>
        <w:rPr>
          <w:rFonts w:hint="eastAsia" w:ascii="仿宋" w:hAnsi="仿宋" w:eastAsia="仿宋" w:cs="仿宋"/>
          <w:b/>
          <w:color w:val="auto"/>
          <w:szCs w:val="21"/>
          <w:highlight w:val="none"/>
        </w:rPr>
        <w:t>原件扫描件、</w:t>
      </w:r>
      <w:r>
        <w:rPr>
          <w:rFonts w:hint="eastAsia" w:ascii="仿宋" w:hAnsi="仿宋" w:eastAsia="仿宋" w:cs="仿宋"/>
          <w:b/>
          <w:bCs/>
          <w:color w:val="auto"/>
          <w:kern w:val="2"/>
          <w:sz w:val="21"/>
          <w:szCs w:val="21"/>
          <w:highlight w:val="none"/>
          <w:lang w:val="en-US" w:eastAsia="zh-CN"/>
        </w:rPr>
        <w:t>投标截止时间前三个月（2025年03月-2025年05月）</w:t>
      </w:r>
      <w:r>
        <w:rPr>
          <w:rFonts w:hint="eastAsia" w:ascii="仿宋" w:hAnsi="仿宋" w:eastAsia="仿宋" w:cs="仿宋"/>
          <w:b/>
          <w:bCs/>
          <w:color w:val="000000"/>
          <w:sz w:val="21"/>
          <w:szCs w:val="21"/>
          <w:highlight w:val="none"/>
          <w:lang w:bidi="ar"/>
        </w:rPr>
        <w:t>的社保缴费证明</w:t>
      </w:r>
      <w:r>
        <w:rPr>
          <w:rFonts w:hint="eastAsia" w:ascii="仿宋" w:hAnsi="仿宋" w:eastAsia="仿宋" w:cs="仿宋"/>
          <w:b/>
          <w:color w:val="auto"/>
          <w:szCs w:val="21"/>
          <w:highlight w:val="none"/>
        </w:rPr>
        <w:t>材料</w:t>
      </w:r>
      <w:r>
        <w:rPr>
          <w:rFonts w:hint="eastAsia" w:ascii="仿宋" w:hAnsi="仿宋" w:eastAsia="仿宋" w:cs="仿宋"/>
          <w:b/>
          <w:color w:val="auto"/>
          <w:szCs w:val="21"/>
          <w:highlight w:val="none"/>
          <w:lang w:eastAsia="zh-CN"/>
        </w:rPr>
        <w:t>原件</w:t>
      </w:r>
      <w:r>
        <w:rPr>
          <w:rFonts w:hint="eastAsia" w:ascii="仿宋" w:hAnsi="仿宋" w:eastAsia="仿宋" w:cs="仿宋"/>
          <w:b/>
          <w:color w:val="auto"/>
          <w:szCs w:val="21"/>
          <w:highlight w:val="none"/>
        </w:rPr>
        <w:t>扫描件</w:t>
      </w:r>
      <w:r>
        <w:rPr>
          <w:rFonts w:hint="eastAsia" w:ascii="仿宋" w:hAnsi="仿宋" w:eastAsia="仿宋" w:cs="仿宋"/>
          <w:b/>
          <w:color w:val="auto"/>
          <w:szCs w:val="21"/>
          <w:highlight w:val="none"/>
          <w:lang w:val="en-US" w:eastAsia="zh-CN"/>
        </w:rPr>
        <w:t>加盖公章</w:t>
      </w:r>
      <w:r>
        <w:rPr>
          <w:rFonts w:hint="eastAsia" w:ascii="仿宋" w:hAnsi="仿宋" w:eastAsia="仿宋" w:cs="仿宋"/>
          <w:b/>
          <w:color w:val="auto"/>
          <w:szCs w:val="21"/>
          <w:highlight w:val="none"/>
        </w:rPr>
        <w:t>，以及资信技术评分标准要求提供的其他相关资料（如有）</w:t>
      </w:r>
      <w:r>
        <w:rPr>
          <w:rFonts w:hint="eastAsia" w:ascii="仿宋" w:hAnsi="仿宋" w:eastAsia="仿宋" w:cs="仿宋"/>
          <w:b/>
          <w:color w:val="auto"/>
          <w:highlight w:val="none"/>
        </w:rPr>
        <w:t>。</w:t>
      </w:r>
    </w:p>
    <w:p w14:paraId="1C0E38CC">
      <w:pPr>
        <w:spacing w:line="400" w:lineRule="exact"/>
        <w:rPr>
          <w:rFonts w:hint="eastAsia" w:ascii="仿宋" w:hAnsi="仿宋" w:eastAsia="仿宋" w:cs="仿宋"/>
          <w:szCs w:val="21"/>
          <w:highlight w:val="none"/>
        </w:rPr>
      </w:pPr>
    </w:p>
    <w:p w14:paraId="78C421E9">
      <w:pPr>
        <w:rPr>
          <w:rFonts w:hint="eastAsia" w:ascii="仿宋" w:hAnsi="仿宋" w:eastAsia="仿宋" w:cs="仿宋"/>
          <w:b/>
          <w:szCs w:val="21"/>
          <w:highlight w:val="none"/>
        </w:rPr>
      </w:pPr>
    </w:p>
    <w:p w14:paraId="09D7D59E">
      <w:pPr>
        <w:rPr>
          <w:rFonts w:hint="eastAsia" w:ascii="仿宋" w:hAnsi="仿宋" w:eastAsia="仿宋" w:cs="仿宋"/>
          <w:highlight w:val="none"/>
        </w:rPr>
      </w:pPr>
    </w:p>
    <w:p w14:paraId="613E4F3B">
      <w:pPr>
        <w:pStyle w:val="26"/>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供应商名称（盖章） ：</w:t>
      </w:r>
      <w:r>
        <w:rPr>
          <w:rFonts w:hint="eastAsia" w:ascii="仿宋" w:hAnsi="仿宋" w:eastAsia="仿宋" w:cs="仿宋"/>
          <w:szCs w:val="21"/>
          <w:highlight w:val="none"/>
          <w:u w:val="single"/>
        </w:rPr>
        <w:t xml:space="preserve">                               </w:t>
      </w:r>
    </w:p>
    <w:p w14:paraId="6C9C52DD">
      <w:pPr>
        <w:pStyle w:val="26"/>
        <w:ind w:firstLine="420" w:firstLineChars="200"/>
        <w:rPr>
          <w:rFonts w:hint="eastAsia" w:ascii="仿宋" w:hAnsi="仿宋" w:eastAsia="仿宋" w:cs="仿宋"/>
          <w:szCs w:val="21"/>
          <w:highlight w:val="none"/>
        </w:rPr>
      </w:pPr>
    </w:p>
    <w:p w14:paraId="63A5FAB8">
      <w:pPr>
        <w:adjustRightInd w:val="0"/>
        <w:snapToGrid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002FEB00">
      <w:pPr>
        <w:pageBreakBefore w:val="0"/>
        <w:kinsoku/>
        <w:topLinePunct w:val="0"/>
        <w:bidi w:val="0"/>
        <w:spacing w:line="360" w:lineRule="auto"/>
        <w:rPr>
          <w:rFonts w:hint="eastAsia" w:ascii="仿宋" w:hAnsi="仿宋" w:eastAsia="仿宋" w:cs="仿宋"/>
          <w:b/>
          <w:bCs/>
          <w:sz w:val="28"/>
          <w:szCs w:val="28"/>
          <w:highlight w:val="none"/>
        </w:rPr>
      </w:pPr>
    </w:p>
    <w:p w14:paraId="579DDF36">
      <w:pPr>
        <w:widowControl/>
        <w:spacing w:line="420" w:lineRule="atLeast"/>
        <w:jc w:val="left"/>
        <w:textAlignment w:val="baseline"/>
        <w:rPr>
          <w:rFonts w:hint="eastAsia" w:ascii="仿宋" w:hAnsi="仿宋" w:eastAsia="仿宋" w:cs="仿宋"/>
          <w:b/>
          <w:szCs w:val="21"/>
          <w:highlight w:val="none"/>
          <w:lang w:val="en-US" w:eastAsia="zh-CN"/>
        </w:rPr>
      </w:pPr>
      <w:bookmarkStart w:id="75" w:name="附件7"/>
      <w:r>
        <w:rPr>
          <w:rFonts w:hint="eastAsia" w:ascii="仿宋" w:hAnsi="仿宋" w:eastAsia="仿宋" w:cs="仿宋"/>
          <w:b/>
          <w:szCs w:val="21"/>
          <w:highlight w:val="none"/>
        </w:rPr>
        <w:t>附件</w:t>
      </w:r>
      <w:r>
        <w:rPr>
          <w:rFonts w:hint="eastAsia" w:ascii="仿宋" w:hAnsi="仿宋" w:eastAsia="仿宋" w:cs="仿宋"/>
          <w:b/>
          <w:szCs w:val="21"/>
          <w:highlight w:val="none"/>
          <w:lang w:val="en-US" w:eastAsia="zh-CN"/>
        </w:rPr>
        <w:t>7</w:t>
      </w:r>
    </w:p>
    <w:p w14:paraId="3C521171">
      <w:pPr>
        <w:widowControl/>
        <w:spacing w:line="420" w:lineRule="atLeast"/>
        <w:jc w:val="center"/>
        <w:textAlignment w:val="baseline"/>
        <w:rPr>
          <w:rFonts w:hint="eastAsia" w:ascii="宋体" w:hAnsi="宋体" w:eastAsia="宋体" w:cs="宋体"/>
          <w:color w:val="auto"/>
          <w:highlight w:val="none"/>
        </w:rPr>
      </w:pPr>
      <w:r>
        <w:rPr>
          <w:rFonts w:hint="eastAsia" w:ascii="宋体" w:hAnsi="宋体" w:eastAsia="宋体" w:cs="宋体"/>
          <w:b/>
          <w:bCs/>
          <w:color w:val="auto"/>
          <w:kern w:val="0"/>
          <w:sz w:val="30"/>
          <w:szCs w:val="30"/>
          <w:highlight w:val="none"/>
        </w:rPr>
        <w:t>采购内容偏离表</w:t>
      </w:r>
    </w:p>
    <w:p w14:paraId="52986543">
      <w:pPr>
        <w:pStyle w:val="169"/>
        <w:rPr>
          <w:rFonts w:hint="eastAsia" w:ascii="宋体" w:hAnsi="宋体" w:eastAsia="宋体" w:cs="宋体"/>
          <w:color w:val="auto"/>
          <w:highlight w:val="none"/>
        </w:rPr>
      </w:pPr>
    </w:p>
    <w:p w14:paraId="183F9777">
      <w:pPr>
        <w:pStyle w:val="47"/>
        <w:ind w:left="0" w:leftChars="0" w:firstLine="0" w:firstLineChars="0"/>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项目名称：</w:t>
      </w:r>
      <w:r>
        <w:rPr>
          <w:rFonts w:hint="eastAsia" w:ascii="仿宋" w:hAnsi="仿宋" w:eastAsia="仿宋" w:cs="仿宋"/>
          <w:b w:val="0"/>
          <w:bCs/>
          <w:color w:val="auto"/>
          <w:kern w:val="2"/>
          <w:sz w:val="21"/>
          <w:szCs w:val="21"/>
          <w:highlight w:val="none"/>
          <w:u w:val="single"/>
          <w:lang w:val="en-US" w:eastAsia="zh-CN" w:bidi="ar-SA"/>
        </w:rPr>
        <w:t xml:space="preserve">浙江省芳村溪幸福河湖建设项目招标代理及施工阶段全过程工程造价控制 </w:t>
      </w:r>
      <w:r>
        <w:rPr>
          <w:rFonts w:hint="eastAsia" w:ascii="仿宋" w:hAnsi="仿宋" w:eastAsia="仿宋" w:cs="仿宋"/>
          <w:b w:val="0"/>
          <w:bCs/>
          <w:color w:val="auto"/>
          <w:kern w:val="2"/>
          <w:sz w:val="21"/>
          <w:szCs w:val="21"/>
          <w:highlight w:val="none"/>
          <w:lang w:val="en-US" w:eastAsia="zh-CN" w:bidi="ar-SA"/>
        </w:rPr>
        <w:t xml:space="preserve">  </w:t>
      </w:r>
    </w:p>
    <w:p w14:paraId="60CDE68D">
      <w:pPr>
        <w:pStyle w:val="47"/>
        <w:ind w:left="0" w:leftChars="0" w:firstLine="0" w:firstLineChars="0"/>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项目编号：</w:t>
      </w:r>
      <w:r>
        <w:rPr>
          <w:rFonts w:hint="eastAsia" w:ascii="仿宋" w:hAnsi="仿宋" w:eastAsia="仿宋" w:cs="仿宋"/>
          <w:b w:val="0"/>
          <w:bCs/>
          <w:color w:val="auto"/>
          <w:sz w:val="21"/>
          <w:szCs w:val="21"/>
          <w:highlight w:val="none"/>
          <w:u w:val="single"/>
          <w:lang w:eastAsia="zh-CN"/>
        </w:rPr>
        <w:t>ZSCG2025107-CS107</w:t>
      </w:r>
      <w:r>
        <w:rPr>
          <w:rFonts w:hint="eastAsia" w:ascii="仿宋" w:hAnsi="仿宋" w:eastAsia="仿宋" w:cs="仿宋"/>
          <w:b w:val="0"/>
          <w:bCs/>
          <w:color w:val="auto"/>
          <w:sz w:val="21"/>
          <w:szCs w:val="21"/>
          <w:highlight w:val="none"/>
          <w:u w:val="single"/>
        </w:rPr>
        <w:t xml:space="preserve"> </w:t>
      </w:r>
    </w:p>
    <w:tbl>
      <w:tblPr>
        <w:tblStyle w:val="48"/>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148"/>
        <w:gridCol w:w="2040"/>
        <w:gridCol w:w="1710"/>
        <w:gridCol w:w="2775"/>
      </w:tblGrid>
      <w:tr w14:paraId="1F4B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vAlign w:val="center"/>
          </w:tcPr>
          <w:p w14:paraId="15308154">
            <w:pPr>
              <w:spacing w:before="156" w:line="360" w:lineRule="auto"/>
              <w:jc w:val="center"/>
              <w:rPr>
                <w:rFonts w:hint="eastAsia" w:ascii="仿宋" w:hAnsi="仿宋" w:eastAsia="仿宋" w:cs="仿宋"/>
                <w:b/>
                <w:color w:val="auto"/>
                <w:sz w:val="21"/>
                <w:szCs w:val="21"/>
                <w:highlight w:val="none"/>
              </w:rPr>
            </w:pPr>
            <w:r>
              <w:rPr>
                <w:rFonts w:hint="eastAsia" w:ascii="宋体" w:hAnsi="宋体" w:cs="宋体"/>
                <w:b/>
                <w:color w:val="auto"/>
                <w:szCs w:val="21"/>
                <w:highlight w:val="none"/>
              </w:rPr>
              <w:t>序号</w:t>
            </w:r>
          </w:p>
        </w:tc>
        <w:tc>
          <w:tcPr>
            <w:tcW w:w="2148" w:type="dxa"/>
            <w:vAlign w:val="center"/>
          </w:tcPr>
          <w:p w14:paraId="480170C6">
            <w:pPr>
              <w:spacing w:before="156" w:line="360" w:lineRule="auto"/>
              <w:jc w:val="center"/>
              <w:rPr>
                <w:rFonts w:hint="eastAsia" w:ascii="仿宋" w:hAnsi="仿宋" w:eastAsia="仿宋" w:cs="仿宋"/>
                <w:b/>
                <w:color w:val="auto"/>
                <w:sz w:val="21"/>
                <w:szCs w:val="21"/>
                <w:highlight w:val="none"/>
              </w:rPr>
            </w:pPr>
            <w:r>
              <w:rPr>
                <w:rFonts w:hint="eastAsia" w:ascii="宋体" w:hAnsi="宋体" w:cs="宋体"/>
                <w:b/>
                <w:color w:val="auto"/>
                <w:szCs w:val="21"/>
                <w:highlight w:val="none"/>
              </w:rPr>
              <w:t>招标要求</w:t>
            </w:r>
          </w:p>
        </w:tc>
        <w:tc>
          <w:tcPr>
            <w:tcW w:w="2040" w:type="dxa"/>
            <w:vAlign w:val="center"/>
          </w:tcPr>
          <w:p w14:paraId="319539E2">
            <w:pPr>
              <w:spacing w:before="156" w:line="360" w:lineRule="auto"/>
              <w:jc w:val="center"/>
              <w:rPr>
                <w:rFonts w:hint="eastAsia" w:ascii="仿宋" w:hAnsi="仿宋" w:eastAsia="仿宋" w:cs="仿宋"/>
                <w:b/>
                <w:color w:val="auto"/>
                <w:sz w:val="21"/>
                <w:szCs w:val="21"/>
                <w:highlight w:val="none"/>
              </w:rPr>
            </w:pPr>
            <w:r>
              <w:rPr>
                <w:rFonts w:hint="eastAsia" w:ascii="宋体" w:hAnsi="宋体" w:cs="宋体"/>
                <w:b/>
                <w:color w:val="auto"/>
                <w:szCs w:val="21"/>
                <w:highlight w:val="none"/>
              </w:rPr>
              <w:t>投标响应</w:t>
            </w:r>
          </w:p>
        </w:tc>
        <w:tc>
          <w:tcPr>
            <w:tcW w:w="1710" w:type="dxa"/>
            <w:vAlign w:val="center"/>
          </w:tcPr>
          <w:p w14:paraId="38B507C3">
            <w:pPr>
              <w:spacing w:before="156" w:line="360" w:lineRule="auto"/>
              <w:jc w:val="center"/>
              <w:rPr>
                <w:rFonts w:hint="eastAsia" w:ascii="仿宋" w:hAnsi="仿宋" w:eastAsia="仿宋" w:cs="仿宋"/>
                <w:b/>
                <w:color w:val="auto"/>
                <w:sz w:val="21"/>
                <w:szCs w:val="21"/>
                <w:highlight w:val="none"/>
              </w:rPr>
            </w:pPr>
            <w:r>
              <w:rPr>
                <w:rFonts w:hint="eastAsia" w:ascii="宋体" w:hAnsi="宋体" w:cs="宋体"/>
                <w:b/>
                <w:color w:val="auto"/>
                <w:szCs w:val="21"/>
                <w:highlight w:val="none"/>
              </w:rPr>
              <w:t>是否偏离</w:t>
            </w:r>
          </w:p>
        </w:tc>
        <w:tc>
          <w:tcPr>
            <w:tcW w:w="2775" w:type="dxa"/>
            <w:vAlign w:val="center"/>
          </w:tcPr>
          <w:p w14:paraId="5B440E32">
            <w:pPr>
              <w:spacing w:before="156" w:line="360" w:lineRule="auto"/>
              <w:jc w:val="center"/>
              <w:rPr>
                <w:rFonts w:hint="eastAsia" w:ascii="仿宋" w:hAnsi="仿宋" w:eastAsia="仿宋" w:cs="仿宋"/>
                <w:b/>
                <w:color w:val="auto"/>
                <w:sz w:val="21"/>
                <w:szCs w:val="21"/>
                <w:highlight w:val="none"/>
              </w:rPr>
            </w:pPr>
            <w:r>
              <w:rPr>
                <w:rFonts w:hint="eastAsia" w:ascii="宋体" w:hAnsi="宋体" w:cs="宋体"/>
                <w:b/>
                <w:color w:val="auto"/>
                <w:szCs w:val="21"/>
                <w:highlight w:val="none"/>
              </w:rPr>
              <w:t>说明</w:t>
            </w:r>
          </w:p>
        </w:tc>
      </w:tr>
      <w:tr w14:paraId="2654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4C3C9B40">
            <w:pPr>
              <w:spacing w:before="156" w:line="360" w:lineRule="auto"/>
              <w:jc w:val="center"/>
              <w:rPr>
                <w:rFonts w:hint="eastAsia" w:ascii="仿宋" w:hAnsi="仿宋" w:eastAsia="仿宋" w:cs="仿宋"/>
                <w:color w:val="auto"/>
                <w:sz w:val="21"/>
                <w:szCs w:val="21"/>
                <w:highlight w:val="none"/>
              </w:rPr>
            </w:pPr>
          </w:p>
        </w:tc>
        <w:tc>
          <w:tcPr>
            <w:tcW w:w="2148" w:type="dxa"/>
            <w:vAlign w:val="top"/>
          </w:tcPr>
          <w:p w14:paraId="7EBCC6FB">
            <w:pPr>
              <w:spacing w:before="156" w:line="360" w:lineRule="auto"/>
              <w:ind w:firstLine="420" w:firstLineChars="200"/>
              <w:rPr>
                <w:rFonts w:hint="eastAsia" w:ascii="仿宋" w:hAnsi="仿宋" w:eastAsia="仿宋" w:cs="仿宋"/>
                <w:color w:val="auto"/>
                <w:sz w:val="21"/>
                <w:szCs w:val="21"/>
                <w:highlight w:val="none"/>
              </w:rPr>
            </w:pPr>
          </w:p>
        </w:tc>
        <w:tc>
          <w:tcPr>
            <w:tcW w:w="2040" w:type="dxa"/>
            <w:vAlign w:val="top"/>
          </w:tcPr>
          <w:p w14:paraId="7A728BE9">
            <w:pPr>
              <w:spacing w:before="156" w:line="360" w:lineRule="auto"/>
              <w:ind w:firstLine="420" w:firstLineChars="200"/>
              <w:rPr>
                <w:rFonts w:hint="eastAsia" w:ascii="仿宋" w:hAnsi="仿宋" w:eastAsia="仿宋" w:cs="仿宋"/>
                <w:color w:val="auto"/>
                <w:sz w:val="21"/>
                <w:szCs w:val="21"/>
                <w:highlight w:val="none"/>
              </w:rPr>
            </w:pPr>
          </w:p>
        </w:tc>
        <w:tc>
          <w:tcPr>
            <w:tcW w:w="1710" w:type="dxa"/>
            <w:vAlign w:val="top"/>
          </w:tcPr>
          <w:p w14:paraId="09D907D1">
            <w:pPr>
              <w:spacing w:before="156" w:line="360" w:lineRule="auto"/>
              <w:ind w:firstLine="420" w:firstLineChars="200"/>
              <w:rPr>
                <w:rFonts w:hint="eastAsia" w:ascii="仿宋" w:hAnsi="仿宋" w:eastAsia="仿宋" w:cs="仿宋"/>
                <w:color w:val="auto"/>
                <w:sz w:val="21"/>
                <w:szCs w:val="21"/>
                <w:highlight w:val="none"/>
              </w:rPr>
            </w:pPr>
          </w:p>
        </w:tc>
        <w:tc>
          <w:tcPr>
            <w:tcW w:w="2775" w:type="dxa"/>
            <w:vAlign w:val="top"/>
          </w:tcPr>
          <w:p w14:paraId="7C65D948">
            <w:pPr>
              <w:spacing w:before="156" w:line="360" w:lineRule="auto"/>
              <w:ind w:firstLine="420" w:firstLineChars="200"/>
              <w:rPr>
                <w:rFonts w:hint="eastAsia" w:ascii="仿宋" w:hAnsi="仿宋" w:eastAsia="仿宋" w:cs="仿宋"/>
                <w:color w:val="auto"/>
                <w:sz w:val="21"/>
                <w:szCs w:val="21"/>
                <w:highlight w:val="none"/>
              </w:rPr>
            </w:pPr>
          </w:p>
        </w:tc>
      </w:tr>
      <w:tr w14:paraId="5B8B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6FEDFC14">
            <w:pPr>
              <w:spacing w:before="156" w:line="360" w:lineRule="auto"/>
              <w:jc w:val="center"/>
              <w:rPr>
                <w:rFonts w:hint="eastAsia" w:ascii="仿宋" w:hAnsi="仿宋" w:eastAsia="仿宋" w:cs="仿宋"/>
                <w:color w:val="auto"/>
                <w:sz w:val="21"/>
                <w:szCs w:val="21"/>
                <w:highlight w:val="none"/>
              </w:rPr>
            </w:pPr>
          </w:p>
        </w:tc>
        <w:tc>
          <w:tcPr>
            <w:tcW w:w="2148" w:type="dxa"/>
            <w:vAlign w:val="top"/>
          </w:tcPr>
          <w:p w14:paraId="6A6A092B">
            <w:pPr>
              <w:spacing w:before="156" w:line="360" w:lineRule="auto"/>
              <w:ind w:firstLine="420" w:firstLineChars="200"/>
              <w:rPr>
                <w:rFonts w:hint="eastAsia" w:ascii="仿宋" w:hAnsi="仿宋" w:eastAsia="仿宋" w:cs="仿宋"/>
                <w:color w:val="auto"/>
                <w:sz w:val="21"/>
                <w:szCs w:val="21"/>
                <w:highlight w:val="none"/>
              </w:rPr>
            </w:pPr>
          </w:p>
        </w:tc>
        <w:tc>
          <w:tcPr>
            <w:tcW w:w="2040" w:type="dxa"/>
            <w:vAlign w:val="top"/>
          </w:tcPr>
          <w:p w14:paraId="6C39627D">
            <w:pPr>
              <w:spacing w:before="156" w:line="360" w:lineRule="auto"/>
              <w:ind w:firstLine="420" w:firstLineChars="200"/>
              <w:rPr>
                <w:rFonts w:hint="eastAsia" w:ascii="仿宋" w:hAnsi="仿宋" w:eastAsia="仿宋" w:cs="仿宋"/>
                <w:color w:val="auto"/>
                <w:sz w:val="21"/>
                <w:szCs w:val="21"/>
                <w:highlight w:val="none"/>
              </w:rPr>
            </w:pPr>
          </w:p>
        </w:tc>
        <w:tc>
          <w:tcPr>
            <w:tcW w:w="1710" w:type="dxa"/>
            <w:vAlign w:val="top"/>
          </w:tcPr>
          <w:p w14:paraId="54FEDAAF">
            <w:pPr>
              <w:spacing w:before="156" w:line="360" w:lineRule="auto"/>
              <w:ind w:firstLine="420" w:firstLineChars="200"/>
              <w:rPr>
                <w:rFonts w:hint="eastAsia" w:ascii="仿宋" w:hAnsi="仿宋" w:eastAsia="仿宋" w:cs="仿宋"/>
                <w:color w:val="auto"/>
                <w:sz w:val="21"/>
                <w:szCs w:val="21"/>
                <w:highlight w:val="none"/>
              </w:rPr>
            </w:pPr>
          </w:p>
        </w:tc>
        <w:tc>
          <w:tcPr>
            <w:tcW w:w="2775" w:type="dxa"/>
            <w:vAlign w:val="top"/>
          </w:tcPr>
          <w:p w14:paraId="2D4C42E3">
            <w:pPr>
              <w:spacing w:before="156" w:line="360" w:lineRule="auto"/>
              <w:ind w:firstLine="420" w:firstLineChars="200"/>
              <w:rPr>
                <w:rFonts w:hint="eastAsia" w:ascii="仿宋" w:hAnsi="仿宋" w:eastAsia="仿宋" w:cs="仿宋"/>
                <w:color w:val="auto"/>
                <w:sz w:val="21"/>
                <w:szCs w:val="21"/>
                <w:highlight w:val="none"/>
              </w:rPr>
            </w:pPr>
          </w:p>
        </w:tc>
      </w:tr>
      <w:tr w14:paraId="3CF6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48999F00">
            <w:pPr>
              <w:spacing w:before="156" w:line="360" w:lineRule="auto"/>
              <w:jc w:val="center"/>
              <w:rPr>
                <w:rFonts w:hint="eastAsia" w:ascii="仿宋" w:hAnsi="仿宋" w:eastAsia="仿宋" w:cs="仿宋"/>
                <w:color w:val="auto"/>
                <w:sz w:val="21"/>
                <w:szCs w:val="21"/>
                <w:highlight w:val="none"/>
              </w:rPr>
            </w:pPr>
          </w:p>
        </w:tc>
        <w:tc>
          <w:tcPr>
            <w:tcW w:w="2148" w:type="dxa"/>
            <w:vAlign w:val="top"/>
          </w:tcPr>
          <w:p w14:paraId="35FCA07D">
            <w:pPr>
              <w:spacing w:before="156" w:line="360" w:lineRule="auto"/>
              <w:ind w:firstLine="420" w:firstLineChars="200"/>
              <w:rPr>
                <w:rFonts w:hint="eastAsia" w:ascii="仿宋" w:hAnsi="仿宋" w:eastAsia="仿宋" w:cs="仿宋"/>
                <w:color w:val="auto"/>
                <w:sz w:val="21"/>
                <w:szCs w:val="21"/>
                <w:highlight w:val="none"/>
              </w:rPr>
            </w:pPr>
          </w:p>
        </w:tc>
        <w:tc>
          <w:tcPr>
            <w:tcW w:w="2040" w:type="dxa"/>
            <w:vAlign w:val="top"/>
          </w:tcPr>
          <w:p w14:paraId="34E48A7F">
            <w:pPr>
              <w:spacing w:before="156" w:line="360" w:lineRule="auto"/>
              <w:ind w:firstLine="420" w:firstLineChars="200"/>
              <w:rPr>
                <w:rFonts w:hint="eastAsia" w:ascii="仿宋" w:hAnsi="仿宋" w:eastAsia="仿宋" w:cs="仿宋"/>
                <w:color w:val="auto"/>
                <w:sz w:val="21"/>
                <w:szCs w:val="21"/>
                <w:highlight w:val="none"/>
              </w:rPr>
            </w:pPr>
          </w:p>
        </w:tc>
        <w:tc>
          <w:tcPr>
            <w:tcW w:w="1710" w:type="dxa"/>
            <w:vAlign w:val="top"/>
          </w:tcPr>
          <w:p w14:paraId="3B43254F">
            <w:pPr>
              <w:spacing w:before="156" w:line="360" w:lineRule="auto"/>
              <w:ind w:firstLine="420" w:firstLineChars="200"/>
              <w:rPr>
                <w:rFonts w:hint="eastAsia" w:ascii="仿宋" w:hAnsi="仿宋" w:eastAsia="仿宋" w:cs="仿宋"/>
                <w:color w:val="auto"/>
                <w:sz w:val="21"/>
                <w:szCs w:val="21"/>
                <w:highlight w:val="none"/>
              </w:rPr>
            </w:pPr>
          </w:p>
        </w:tc>
        <w:tc>
          <w:tcPr>
            <w:tcW w:w="2775" w:type="dxa"/>
            <w:vAlign w:val="top"/>
          </w:tcPr>
          <w:p w14:paraId="00E8A8AF">
            <w:pPr>
              <w:spacing w:before="156" w:line="360" w:lineRule="auto"/>
              <w:ind w:firstLine="420" w:firstLineChars="200"/>
              <w:rPr>
                <w:rFonts w:hint="eastAsia" w:ascii="仿宋" w:hAnsi="仿宋" w:eastAsia="仿宋" w:cs="仿宋"/>
                <w:color w:val="auto"/>
                <w:sz w:val="21"/>
                <w:szCs w:val="21"/>
                <w:highlight w:val="none"/>
              </w:rPr>
            </w:pPr>
          </w:p>
        </w:tc>
      </w:tr>
      <w:tr w14:paraId="6EA5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712AB66E">
            <w:pPr>
              <w:spacing w:before="156" w:line="360" w:lineRule="auto"/>
              <w:jc w:val="center"/>
              <w:rPr>
                <w:rFonts w:hint="eastAsia" w:ascii="仿宋" w:hAnsi="仿宋" w:eastAsia="仿宋" w:cs="仿宋"/>
                <w:color w:val="auto"/>
                <w:sz w:val="21"/>
                <w:szCs w:val="21"/>
                <w:highlight w:val="none"/>
              </w:rPr>
            </w:pPr>
          </w:p>
        </w:tc>
        <w:tc>
          <w:tcPr>
            <w:tcW w:w="2148" w:type="dxa"/>
            <w:vAlign w:val="top"/>
          </w:tcPr>
          <w:p w14:paraId="1D02C4C7">
            <w:pPr>
              <w:spacing w:before="156" w:line="360" w:lineRule="auto"/>
              <w:ind w:firstLine="420" w:firstLineChars="200"/>
              <w:rPr>
                <w:rFonts w:hint="eastAsia" w:ascii="仿宋" w:hAnsi="仿宋" w:eastAsia="仿宋" w:cs="仿宋"/>
                <w:color w:val="auto"/>
                <w:sz w:val="21"/>
                <w:szCs w:val="21"/>
                <w:highlight w:val="none"/>
              </w:rPr>
            </w:pPr>
          </w:p>
        </w:tc>
        <w:tc>
          <w:tcPr>
            <w:tcW w:w="2040" w:type="dxa"/>
            <w:vAlign w:val="top"/>
          </w:tcPr>
          <w:p w14:paraId="64AF742E">
            <w:pPr>
              <w:spacing w:before="156" w:line="360" w:lineRule="auto"/>
              <w:ind w:firstLine="420" w:firstLineChars="200"/>
              <w:rPr>
                <w:rFonts w:hint="eastAsia" w:ascii="仿宋" w:hAnsi="仿宋" w:eastAsia="仿宋" w:cs="仿宋"/>
                <w:color w:val="auto"/>
                <w:sz w:val="21"/>
                <w:szCs w:val="21"/>
                <w:highlight w:val="none"/>
              </w:rPr>
            </w:pPr>
          </w:p>
        </w:tc>
        <w:tc>
          <w:tcPr>
            <w:tcW w:w="1710" w:type="dxa"/>
            <w:vAlign w:val="top"/>
          </w:tcPr>
          <w:p w14:paraId="08DD8DB4">
            <w:pPr>
              <w:spacing w:before="156" w:line="360" w:lineRule="auto"/>
              <w:ind w:firstLine="420" w:firstLineChars="200"/>
              <w:rPr>
                <w:rFonts w:hint="eastAsia" w:ascii="仿宋" w:hAnsi="仿宋" w:eastAsia="仿宋" w:cs="仿宋"/>
                <w:color w:val="auto"/>
                <w:sz w:val="21"/>
                <w:szCs w:val="21"/>
                <w:highlight w:val="none"/>
              </w:rPr>
            </w:pPr>
          </w:p>
        </w:tc>
        <w:tc>
          <w:tcPr>
            <w:tcW w:w="2775" w:type="dxa"/>
            <w:vAlign w:val="top"/>
          </w:tcPr>
          <w:p w14:paraId="623ABE18">
            <w:pPr>
              <w:spacing w:before="156" w:line="360" w:lineRule="auto"/>
              <w:ind w:firstLine="420" w:firstLineChars="200"/>
              <w:rPr>
                <w:rFonts w:hint="eastAsia" w:ascii="仿宋" w:hAnsi="仿宋" w:eastAsia="仿宋" w:cs="仿宋"/>
                <w:color w:val="auto"/>
                <w:sz w:val="21"/>
                <w:szCs w:val="21"/>
                <w:highlight w:val="none"/>
              </w:rPr>
            </w:pPr>
          </w:p>
        </w:tc>
      </w:tr>
      <w:tr w14:paraId="3C59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77790FED">
            <w:pPr>
              <w:spacing w:before="156" w:line="360" w:lineRule="auto"/>
              <w:jc w:val="center"/>
              <w:rPr>
                <w:rFonts w:hint="eastAsia" w:ascii="仿宋" w:hAnsi="仿宋" w:eastAsia="仿宋" w:cs="仿宋"/>
                <w:color w:val="auto"/>
                <w:sz w:val="21"/>
                <w:szCs w:val="21"/>
                <w:highlight w:val="none"/>
              </w:rPr>
            </w:pPr>
          </w:p>
        </w:tc>
        <w:tc>
          <w:tcPr>
            <w:tcW w:w="2148" w:type="dxa"/>
            <w:vAlign w:val="top"/>
          </w:tcPr>
          <w:p w14:paraId="0A8D22CF">
            <w:pPr>
              <w:spacing w:before="156" w:line="360" w:lineRule="auto"/>
              <w:ind w:firstLine="420" w:firstLineChars="200"/>
              <w:rPr>
                <w:rFonts w:hint="eastAsia" w:ascii="仿宋" w:hAnsi="仿宋" w:eastAsia="仿宋" w:cs="仿宋"/>
                <w:color w:val="auto"/>
                <w:sz w:val="21"/>
                <w:szCs w:val="21"/>
                <w:highlight w:val="none"/>
              </w:rPr>
            </w:pPr>
          </w:p>
        </w:tc>
        <w:tc>
          <w:tcPr>
            <w:tcW w:w="2040" w:type="dxa"/>
            <w:vAlign w:val="top"/>
          </w:tcPr>
          <w:p w14:paraId="45ACB43B">
            <w:pPr>
              <w:spacing w:before="156" w:line="360" w:lineRule="auto"/>
              <w:ind w:firstLine="420" w:firstLineChars="200"/>
              <w:rPr>
                <w:rFonts w:hint="eastAsia" w:ascii="仿宋" w:hAnsi="仿宋" w:eastAsia="仿宋" w:cs="仿宋"/>
                <w:color w:val="auto"/>
                <w:sz w:val="21"/>
                <w:szCs w:val="21"/>
                <w:highlight w:val="none"/>
              </w:rPr>
            </w:pPr>
          </w:p>
        </w:tc>
        <w:tc>
          <w:tcPr>
            <w:tcW w:w="1710" w:type="dxa"/>
            <w:vAlign w:val="top"/>
          </w:tcPr>
          <w:p w14:paraId="7F61D7CE">
            <w:pPr>
              <w:spacing w:before="156" w:line="360" w:lineRule="auto"/>
              <w:ind w:firstLine="420" w:firstLineChars="200"/>
              <w:rPr>
                <w:rFonts w:hint="eastAsia" w:ascii="仿宋" w:hAnsi="仿宋" w:eastAsia="仿宋" w:cs="仿宋"/>
                <w:color w:val="auto"/>
                <w:sz w:val="21"/>
                <w:szCs w:val="21"/>
                <w:highlight w:val="none"/>
              </w:rPr>
            </w:pPr>
          </w:p>
        </w:tc>
        <w:tc>
          <w:tcPr>
            <w:tcW w:w="2775" w:type="dxa"/>
            <w:vAlign w:val="top"/>
          </w:tcPr>
          <w:p w14:paraId="2D5BDDB9">
            <w:pPr>
              <w:spacing w:before="156" w:line="360" w:lineRule="auto"/>
              <w:ind w:firstLine="420" w:firstLineChars="200"/>
              <w:rPr>
                <w:rFonts w:hint="eastAsia" w:ascii="仿宋" w:hAnsi="仿宋" w:eastAsia="仿宋" w:cs="仿宋"/>
                <w:color w:val="auto"/>
                <w:sz w:val="21"/>
                <w:szCs w:val="21"/>
                <w:highlight w:val="none"/>
              </w:rPr>
            </w:pPr>
          </w:p>
        </w:tc>
      </w:tr>
    </w:tbl>
    <w:p w14:paraId="53F1DFDC">
      <w:pPr>
        <w:spacing w:before="156" w:line="360" w:lineRule="auto"/>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填表说明：</w:t>
      </w:r>
    </w:p>
    <w:p w14:paraId="7C0F5170">
      <w:pPr>
        <w:numPr>
          <w:ilvl w:val="0"/>
          <w:numId w:val="0"/>
        </w:numPr>
        <w:spacing w:before="156" w:line="36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1、投标人承诺：对采购文件有任何偏离（包括正偏离及负偏离）均已汇总并填写在此表中，除偏离表列出的偏离外，承诺响应招标文件的全部要求。</w:t>
      </w:r>
    </w:p>
    <w:p w14:paraId="2521587E">
      <w:pPr>
        <w:numPr>
          <w:ilvl w:val="0"/>
          <w:numId w:val="0"/>
        </w:numPr>
        <w:spacing w:before="156" w:line="36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2、此表可在不改变格式的情况下自行制作。</w:t>
      </w:r>
    </w:p>
    <w:p w14:paraId="5CDF2694">
      <w:pPr>
        <w:numPr>
          <w:ilvl w:val="0"/>
          <w:numId w:val="0"/>
        </w:numPr>
        <w:spacing w:before="156" w:line="360" w:lineRule="auto"/>
        <w:rPr>
          <w:rFonts w:hint="eastAsia" w:ascii="仿宋" w:hAnsi="仿宋" w:eastAsia="仿宋" w:cs="仿宋"/>
          <w:b/>
          <w:color w:val="auto"/>
          <w:sz w:val="21"/>
          <w:szCs w:val="21"/>
          <w:highlight w:val="none"/>
        </w:rPr>
      </w:pPr>
      <w:r>
        <w:rPr>
          <w:rFonts w:hint="eastAsia" w:ascii="仿宋" w:hAnsi="仿宋" w:eastAsia="仿宋" w:cs="仿宋"/>
          <w:sz w:val="21"/>
          <w:szCs w:val="21"/>
          <w:highlight w:val="none"/>
        </w:rPr>
        <w:t>3、本偏离表的正负偏离情况应与技术参数评分项一致。</w:t>
      </w:r>
      <w:r>
        <w:rPr>
          <w:rFonts w:hint="eastAsia" w:ascii="仿宋" w:hAnsi="仿宋" w:eastAsia="仿宋" w:cs="仿宋"/>
          <w:b/>
          <w:bCs/>
          <w:color w:val="auto"/>
          <w:sz w:val="21"/>
          <w:szCs w:val="21"/>
          <w:highlight w:val="none"/>
        </w:rPr>
        <w:t xml:space="preserve">   </w:t>
      </w:r>
    </w:p>
    <w:p w14:paraId="15C8FFC9">
      <w:pPr>
        <w:pStyle w:val="47"/>
        <w:ind w:firstLine="42"/>
        <w:textAlignment w:val="baseline"/>
        <w:rPr>
          <w:rFonts w:hint="eastAsia" w:ascii="仿宋" w:hAnsi="仿宋" w:eastAsia="仿宋" w:cs="仿宋"/>
          <w:color w:val="auto"/>
          <w:sz w:val="21"/>
          <w:szCs w:val="21"/>
          <w:highlight w:val="none"/>
        </w:rPr>
      </w:pPr>
    </w:p>
    <w:p w14:paraId="04A30A93">
      <w:pPr>
        <w:spacing w:line="440" w:lineRule="exact"/>
        <w:jc w:val="left"/>
        <w:textAlignment w:val="baseline"/>
        <w:rPr>
          <w:rFonts w:hint="eastAsia" w:ascii="仿宋" w:hAnsi="仿宋" w:eastAsia="仿宋" w:cs="仿宋"/>
          <w:b/>
          <w:bCs/>
          <w:color w:val="auto"/>
          <w:sz w:val="21"/>
          <w:szCs w:val="21"/>
          <w:highlight w:val="none"/>
        </w:rPr>
      </w:pPr>
    </w:p>
    <w:p w14:paraId="19505A94">
      <w:pPr>
        <w:spacing w:line="440" w:lineRule="exact"/>
        <w:ind w:firstLine="4860"/>
        <w:jc w:val="left"/>
        <w:textAlignment w:val="baseline"/>
        <w:rPr>
          <w:rFonts w:hint="eastAsia" w:ascii="仿宋" w:hAnsi="仿宋" w:eastAsia="仿宋" w:cs="仿宋"/>
          <w:b/>
          <w:bCs/>
          <w:color w:val="auto"/>
          <w:sz w:val="21"/>
          <w:szCs w:val="21"/>
          <w:highlight w:val="none"/>
          <w:u w:val="single" w:color="000000"/>
        </w:rPr>
      </w:pPr>
      <w:r>
        <w:rPr>
          <w:rFonts w:hint="eastAsia" w:ascii="仿宋" w:hAnsi="仿宋" w:eastAsia="仿宋" w:cs="仿宋"/>
          <w:b/>
          <w:bCs/>
          <w:color w:val="auto"/>
          <w:sz w:val="21"/>
          <w:szCs w:val="21"/>
          <w:highlight w:val="none"/>
        </w:rPr>
        <w:t>供应商名称（盖章）：</w:t>
      </w:r>
    </w:p>
    <w:p w14:paraId="664F8950">
      <w:pPr>
        <w:spacing w:line="360" w:lineRule="auto"/>
        <w:ind w:left="359" w:leftChars="171"/>
        <w:jc w:val="center"/>
        <w:rPr>
          <w:rFonts w:hint="eastAsia" w:ascii="仿宋" w:hAnsi="仿宋" w:eastAsia="仿宋" w:cs="仿宋"/>
          <w:b/>
          <w:bCs/>
          <w:color w:val="auto"/>
          <w:szCs w:val="21"/>
          <w:highlight w:val="none"/>
          <w:u w:val="single"/>
          <w:lang w:val="en-US" w:eastAsia="zh-CN"/>
        </w:rPr>
      </w:pP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法定代表人或授权代表（签字）：</w:t>
      </w:r>
    </w:p>
    <w:p w14:paraId="3791B879">
      <w:pPr>
        <w:spacing w:line="360" w:lineRule="auto"/>
        <w:ind w:left="359" w:leftChars="171"/>
        <w:jc w:val="center"/>
        <w:rPr>
          <w:rFonts w:hint="eastAsia" w:ascii="仿宋" w:hAnsi="仿宋" w:eastAsia="仿宋" w:cs="仿宋"/>
          <w:b/>
          <w:sz w:val="24"/>
          <w:highlight w:val="none"/>
        </w:rPr>
      </w:pP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日 期：    年     月     日</w:t>
      </w:r>
    </w:p>
    <w:p w14:paraId="677074EE">
      <w:pPr>
        <w:pStyle w:val="47"/>
        <w:rPr>
          <w:rFonts w:hint="eastAsia" w:ascii="仿宋" w:hAnsi="仿宋" w:eastAsia="仿宋" w:cs="仿宋"/>
          <w:highlight w:val="none"/>
        </w:rPr>
      </w:pPr>
    </w:p>
    <w:bookmarkEnd w:id="75"/>
    <w:p w14:paraId="21B23215">
      <w:pPr>
        <w:pageBreakBefore w:val="0"/>
        <w:kinsoku/>
        <w:topLinePunct w:val="0"/>
        <w:bidi w:val="0"/>
        <w:adjustRightInd w:val="0"/>
        <w:snapToGrid w:val="0"/>
        <w:spacing w:line="360" w:lineRule="auto"/>
        <w:rPr>
          <w:rFonts w:hint="eastAsia" w:ascii="仿宋" w:hAnsi="仿宋" w:eastAsia="仿宋" w:cs="仿宋"/>
          <w:b/>
          <w:sz w:val="24"/>
          <w:highlight w:val="none"/>
          <w:lang w:val="en-US" w:eastAsia="zh-CN"/>
        </w:rPr>
      </w:pPr>
      <w:bookmarkStart w:id="76" w:name="附件10"/>
      <w:r>
        <w:rPr>
          <w:rFonts w:hint="eastAsia" w:ascii="仿宋" w:hAnsi="仿宋" w:eastAsia="仿宋" w:cs="仿宋"/>
          <w:b/>
          <w:sz w:val="24"/>
          <w:highlight w:val="none"/>
        </w:rPr>
        <w:t>附件</w:t>
      </w:r>
      <w:bookmarkEnd w:id="76"/>
      <w:r>
        <w:rPr>
          <w:rFonts w:hint="eastAsia" w:ascii="仿宋" w:hAnsi="仿宋" w:eastAsia="仿宋" w:cs="仿宋"/>
          <w:b/>
          <w:sz w:val="24"/>
          <w:highlight w:val="none"/>
          <w:lang w:val="en-US" w:eastAsia="zh-CN"/>
        </w:rPr>
        <w:t>8</w:t>
      </w:r>
    </w:p>
    <w:p w14:paraId="341F9EC1">
      <w:pPr>
        <w:pageBreakBefore w:val="0"/>
        <w:kinsoku/>
        <w:topLinePunct w:val="0"/>
        <w:bidi w:val="0"/>
        <w:spacing w:line="360" w:lineRule="auto"/>
        <w:jc w:val="center"/>
        <w:rPr>
          <w:rFonts w:hint="eastAsia" w:ascii="仿宋" w:hAnsi="仿宋" w:eastAsia="仿宋" w:cs="仿宋"/>
          <w:b/>
          <w:sz w:val="28"/>
          <w:szCs w:val="28"/>
          <w:highlight w:val="none"/>
          <w:lang w:eastAsia="zh-CN"/>
        </w:rPr>
      </w:pPr>
      <w:r>
        <w:rPr>
          <w:rFonts w:hint="eastAsia" w:ascii="仿宋" w:hAnsi="仿宋" w:eastAsia="仿宋" w:cs="仿宋"/>
          <w:b/>
          <w:bCs/>
          <w:sz w:val="28"/>
          <w:szCs w:val="28"/>
          <w:highlight w:val="none"/>
        </w:rPr>
        <w:t>开标一览表</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初次报价</w:t>
      </w:r>
      <w:r>
        <w:rPr>
          <w:rFonts w:hint="eastAsia" w:ascii="仿宋" w:hAnsi="仿宋" w:eastAsia="仿宋" w:cs="仿宋"/>
          <w:b/>
          <w:bCs/>
          <w:sz w:val="28"/>
          <w:szCs w:val="28"/>
          <w:highlight w:val="none"/>
          <w:lang w:eastAsia="zh-CN"/>
        </w:rPr>
        <w:t>）</w:t>
      </w:r>
    </w:p>
    <w:p w14:paraId="7BCEF3BC">
      <w:pPr>
        <w:pageBreakBefore w:val="0"/>
        <w:kinsoku/>
        <w:topLinePunct w:val="0"/>
        <w:bidi w:val="0"/>
        <w:snapToGrid w:val="0"/>
        <w:spacing w:line="360" w:lineRule="auto"/>
        <w:rPr>
          <w:rFonts w:hint="eastAsia" w:ascii="仿宋" w:hAnsi="仿宋" w:eastAsia="仿宋" w:cs="仿宋"/>
          <w:highlight w:val="none"/>
          <w:u w:val="single"/>
        </w:rPr>
      </w:pPr>
      <w:r>
        <w:rPr>
          <w:rFonts w:hint="eastAsia" w:ascii="仿宋" w:hAnsi="仿宋" w:eastAsia="仿宋" w:cs="仿宋"/>
          <w:highlight w:val="none"/>
        </w:rPr>
        <w:t>项目名称：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项目编号：</w:t>
      </w:r>
      <w:r>
        <w:rPr>
          <w:rFonts w:hint="eastAsia" w:ascii="仿宋" w:hAnsi="仿宋" w:eastAsia="仿宋" w:cs="仿宋"/>
          <w:highlight w:val="none"/>
          <w:u w:val="single"/>
        </w:rPr>
        <w:t xml:space="preserve">                 </w:t>
      </w:r>
    </w:p>
    <w:p w14:paraId="11C1BD38">
      <w:pPr>
        <w:pStyle w:val="47"/>
        <w:rPr>
          <w:rFonts w:hint="eastAsia"/>
          <w:highlight w:val="none"/>
        </w:rPr>
      </w:pPr>
    </w:p>
    <w:tbl>
      <w:tblPr>
        <w:tblStyle w:val="48"/>
        <w:tblW w:w="86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990"/>
        <w:gridCol w:w="4982"/>
      </w:tblGrid>
      <w:tr w14:paraId="07C9A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top w:val="single" w:color="auto" w:sz="4" w:space="0"/>
              <w:bottom w:val="single" w:color="auto" w:sz="4" w:space="0"/>
              <w:right w:val="single" w:color="auto" w:sz="4" w:space="0"/>
            </w:tcBorders>
            <w:noWrap w:val="0"/>
            <w:vAlign w:val="center"/>
          </w:tcPr>
          <w:p w14:paraId="50856BBF">
            <w:pPr>
              <w:pStyle w:val="26"/>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990" w:type="dxa"/>
            <w:tcBorders>
              <w:top w:val="single" w:color="auto" w:sz="4" w:space="0"/>
              <w:left w:val="single" w:color="auto" w:sz="4" w:space="0"/>
              <w:bottom w:val="single" w:color="auto" w:sz="4" w:space="0"/>
              <w:right w:val="single" w:color="auto" w:sz="4" w:space="0"/>
            </w:tcBorders>
            <w:noWrap w:val="0"/>
            <w:vAlign w:val="center"/>
          </w:tcPr>
          <w:p w14:paraId="44D45B2E">
            <w:pPr>
              <w:pStyle w:val="26"/>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4982" w:type="dxa"/>
            <w:tcBorders>
              <w:top w:val="single" w:color="auto" w:sz="4" w:space="0"/>
              <w:left w:val="single" w:color="auto" w:sz="4" w:space="0"/>
              <w:bottom w:val="single" w:color="auto" w:sz="4" w:space="0"/>
              <w:right w:val="single" w:color="auto" w:sz="8" w:space="0"/>
            </w:tcBorders>
            <w:noWrap w:val="0"/>
            <w:vAlign w:val="center"/>
          </w:tcPr>
          <w:p w14:paraId="40781B58">
            <w:pPr>
              <w:pStyle w:val="26"/>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w:t>
            </w:r>
          </w:p>
        </w:tc>
      </w:tr>
      <w:tr w14:paraId="44A7C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top w:val="single" w:color="auto" w:sz="4" w:space="0"/>
              <w:right w:val="single" w:color="auto" w:sz="4" w:space="0"/>
            </w:tcBorders>
            <w:noWrap w:val="0"/>
            <w:vAlign w:val="center"/>
          </w:tcPr>
          <w:p w14:paraId="318A1113">
            <w:pPr>
              <w:pStyle w:val="26"/>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p>
        </w:tc>
        <w:tc>
          <w:tcPr>
            <w:tcW w:w="2990" w:type="dxa"/>
            <w:tcBorders>
              <w:top w:val="single" w:color="auto" w:sz="4" w:space="0"/>
              <w:left w:val="single" w:color="auto" w:sz="4" w:space="0"/>
              <w:bottom w:val="single" w:color="auto" w:sz="4" w:space="0"/>
              <w:right w:val="single" w:color="auto" w:sz="4" w:space="0"/>
            </w:tcBorders>
            <w:noWrap w:val="0"/>
            <w:vAlign w:val="center"/>
          </w:tcPr>
          <w:p w14:paraId="44F82A32">
            <w:pPr>
              <w:pStyle w:val="26"/>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响应总价</w:t>
            </w:r>
          </w:p>
        </w:tc>
        <w:tc>
          <w:tcPr>
            <w:tcW w:w="4982" w:type="dxa"/>
            <w:tcBorders>
              <w:top w:val="single" w:color="auto" w:sz="4" w:space="0"/>
              <w:left w:val="single" w:color="auto" w:sz="4" w:space="0"/>
              <w:bottom w:val="single" w:color="auto" w:sz="4" w:space="0"/>
              <w:right w:val="single" w:color="auto" w:sz="8" w:space="0"/>
            </w:tcBorders>
            <w:noWrap w:val="0"/>
            <w:vAlign w:val="center"/>
          </w:tcPr>
          <w:p w14:paraId="6770D028">
            <w:pPr>
              <w:pStyle w:val="26"/>
              <w:spacing w:line="36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大写：</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元整</w:t>
            </w:r>
            <w:r>
              <w:rPr>
                <w:rFonts w:hint="eastAsia" w:ascii="仿宋" w:hAnsi="仿宋" w:eastAsia="仿宋" w:cs="仿宋"/>
                <w:szCs w:val="21"/>
                <w:highlight w:val="none"/>
                <w:lang w:val="en-US"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w:t>
            </w:r>
            <w:r>
              <w:rPr>
                <w:rFonts w:hint="eastAsia" w:ascii="仿宋" w:hAnsi="仿宋" w:eastAsia="仿宋" w:cs="仿宋"/>
                <w:color w:val="auto"/>
                <w:sz w:val="21"/>
                <w:szCs w:val="21"/>
                <w:highlight w:val="none"/>
                <w:lang w:val="en-US" w:eastAsia="zh-CN"/>
              </w:rPr>
              <w:t xml:space="preserve"> </w:t>
            </w:r>
          </w:p>
        </w:tc>
      </w:tr>
      <w:tr w14:paraId="5134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top w:val="single" w:color="auto" w:sz="4" w:space="0"/>
              <w:right w:val="single" w:color="auto" w:sz="4" w:space="0"/>
            </w:tcBorders>
            <w:noWrap w:val="0"/>
            <w:vAlign w:val="center"/>
          </w:tcPr>
          <w:p w14:paraId="36A2A4B3">
            <w:pPr>
              <w:pStyle w:val="26"/>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二</w:t>
            </w:r>
          </w:p>
        </w:tc>
        <w:tc>
          <w:tcPr>
            <w:tcW w:w="2990" w:type="dxa"/>
            <w:tcBorders>
              <w:top w:val="single" w:color="auto" w:sz="4" w:space="0"/>
              <w:left w:val="single" w:color="auto" w:sz="4" w:space="0"/>
              <w:bottom w:val="single" w:color="auto" w:sz="4" w:space="0"/>
              <w:right w:val="single" w:color="auto" w:sz="4" w:space="0"/>
            </w:tcBorders>
            <w:noWrap w:val="0"/>
            <w:vAlign w:val="center"/>
          </w:tcPr>
          <w:p w14:paraId="609DB488">
            <w:pPr>
              <w:pStyle w:val="26"/>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服务期限</w:t>
            </w:r>
          </w:p>
        </w:tc>
        <w:tc>
          <w:tcPr>
            <w:tcW w:w="4982" w:type="dxa"/>
            <w:tcBorders>
              <w:top w:val="single" w:color="auto" w:sz="4" w:space="0"/>
              <w:left w:val="single" w:color="auto" w:sz="4" w:space="0"/>
              <w:bottom w:val="single" w:color="auto" w:sz="4" w:space="0"/>
              <w:right w:val="single" w:color="auto" w:sz="8" w:space="0"/>
            </w:tcBorders>
            <w:noWrap w:val="0"/>
            <w:vAlign w:val="center"/>
          </w:tcPr>
          <w:p w14:paraId="56699703">
            <w:pPr>
              <w:pStyle w:val="26"/>
              <w:spacing w:line="360" w:lineRule="auto"/>
              <w:jc w:val="left"/>
              <w:rPr>
                <w:rFonts w:hint="eastAsia" w:ascii="仿宋" w:hAnsi="仿宋" w:eastAsia="仿宋" w:cs="仿宋"/>
                <w:color w:val="auto"/>
                <w:sz w:val="21"/>
                <w:szCs w:val="21"/>
                <w:highlight w:val="none"/>
                <w:lang w:eastAsia="zh-CN"/>
              </w:rPr>
            </w:pPr>
          </w:p>
        </w:tc>
      </w:tr>
      <w:tr w14:paraId="41402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bottom w:val="single" w:color="auto" w:sz="4" w:space="0"/>
              <w:right w:val="single" w:color="auto" w:sz="4" w:space="0"/>
            </w:tcBorders>
            <w:noWrap w:val="0"/>
            <w:vAlign w:val="center"/>
          </w:tcPr>
          <w:p w14:paraId="1D50D28D">
            <w:pPr>
              <w:pStyle w:val="26"/>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三</w:t>
            </w:r>
          </w:p>
        </w:tc>
        <w:tc>
          <w:tcPr>
            <w:tcW w:w="2990" w:type="dxa"/>
            <w:tcBorders>
              <w:top w:val="single" w:color="auto" w:sz="4" w:space="0"/>
              <w:left w:val="single" w:color="auto" w:sz="4" w:space="0"/>
              <w:bottom w:val="single" w:color="auto" w:sz="4" w:space="0"/>
              <w:right w:val="single" w:color="auto" w:sz="4" w:space="0"/>
            </w:tcBorders>
            <w:noWrap w:val="0"/>
            <w:vAlign w:val="center"/>
          </w:tcPr>
          <w:p w14:paraId="66B87CBF">
            <w:pPr>
              <w:pStyle w:val="26"/>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项目负责人</w:t>
            </w:r>
            <w:r>
              <w:rPr>
                <w:rFonts w:hint="eastAsia" w:ascii="仿宋" w:hAnsi="仿宋" w:eastAsia="仿宋" w:cs="仿宋"/>
                <w:color w:val="auto"/>
                <w:sz w:val="21"/>
                <w:szCs w:val="21"/>
                <w:highlight w:val="none"/>
                <w:lang w:val="en-US" w:eastAsia="zh-CN"/>
              </w:rPr>
              <w:t>姓名及身份证号码</w:t>
            </w:r>
          </w:p>
        </w:tc>
        <w:tc>
          <w:tcPr>
            <w:tcW w:w="4982" w:type="dxa"/>
            <w:tcBorders>
              <w:top w:val="single" w:color="auto" w:sz="4" w:space="0"/>
              <w:left w:val="single" w:color="auto" w:sz="4" w:space="0"/>
              <w:bottom w:val="single" w:color="auto" w:sz="4" w:space="0"/>
              <w:right w:val="single" w:color="auto" w:sz="8" w:space="0"/>
            </w:tcBorders>
            <w:noWrap w:val="0"/>
            <w:vAlign w:val="center"/>
          </w:tcPr>
          <w:p w14:paraId="2DDC510D">
            <w:pPr>
              <w:pStyle w:val="26"/>
              <w:spacing w:line="360" w:lineRule="auto"/>
              <w:jc w:val="left"/>
              <w:rPr>
                <w:rFonts w:hint="eastAsia" w:ascii="仿宋" w:hAnsi="仿宋" w:eastAsia="仿宋" w:cs="仿宋"/>
                <w:color w:val="auto"/>
                <w:sz w:val="21"/>
                <w:szCs w:val="21"/>
                <w:highlight w:val="none"/>
                <w:lang w:eastAsia="zh-CN"/>
              </w:rPr>
            </w:pPr>
          </w:p>
        </w:tc>
      </w:tr>
      <w:tr w14:paraId="0B0E0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699" w:type="dxa"/>
            <w:gridSpan w:val="2"/>
            <w:tcBorders>
              <w:top w:val="single" w:color="auto" w:sz="4" w:space="0"/>
              <w:bottom w:val="single" w:color="auto" w:sz="4" w:space="0"/>
              <w:right w:val="single" w:color="auto" w:sz="4" w:space="0"/>
            </w:tcBorders>
            <w:noWrap w:val="0"/>
            <w:vAlign w:val="center"/>
          </w:tcPr>
          <w:p w14:paraId="6C478FED">
            <w:pPr>
              <w:pStyle w:val="26"/>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4982" w:type="dxa"/>
            <w:tcBorders>
              <w:top w:val="single" w:color="auto" w:sz="4" w:space="0"/>
              <w:left w:val="single" w:color="auto" w:sz="4" w:space="0"/>
              <w:bottom w:val="single" w:color="auto" w:sz="4" w:space="0"/>
              <w:right w:val="single" w:color="auto" w:sz="8" w:space="0"/>
            </w:tcBorders>
            <w:noWrap w:val="0"/>
            <w:vAlign w:val="center"/>
          </w:tcPr>
          <w:p w14:paraId="014399F6">
            <w:pPr>
              <w:pStyle w:val="2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述报价是本项目采购文件确定的采购需求范围内全部工作内容的价格表现。完成本项目采购范围内全部工作内容所需价款、企业应缴纳的税费及合理利润、合同包含的风险等所有采购文件提及或采购文件未提及的全部开支均已计入投标报价。</w:t>
            </w:r>
          </w:p>
        </w:tc>
      </w:tr>
    </w:tbl>
    <w:p w14:paraId="7D9CB368">
      <w:pPr>
        <w:pStyle w:val="20"/>
        <w:pageBreakBefore w:val="0"/>
        <w:kinsoku/>
        <w:topLinePunct w:val="0"/>
        <w:bidi w:val="0"/>
        <w:spacing w:after="0" w:line="360" w:lineRule="auto"/>
        <w:rPr>
          <w:rFonts w:hint="eastAsia" w:ascii="仿宋" w:hAnsi="仿宋" w:eastAsia="仿宋" w:cs="仿宋"/>
          <w:highlight w:val="none"/>
        </w:rPr>
      </w:pPr>
    </w:p>
    <w:p w14:paraId="0216F289">
      <w:pPr>
        <w:pStyle w:val="26"/>
        <w:pageBreakBefore w:val="0"/>
        <w:kinsoku/>
        <w:topLinePunct w:val="0"/>
        <w:bidi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供应商名称（盖章） ：</w:t>
      </w:r>
      <w:r>
        <w:rPr>
          <w:rFonts w:hint="eastAsia" w:ascii="仿宋" w:hAnsi="仿宋" w:eastAsia="仿宋" w:cs="仿宋"/>
          <w:szCs w:val="21"/>
          <w:highlight w:val="none"/>
          <w:u w:val="single"/>
        </w:rPr>
        <w:t xml:space="preserve">                               </w:t>
      </w:r>
    </w:p>
    <w:p w14:paraId="7260EB17">
      <w:pPr>
        <w:pStyle w:val="26"/>
        <w:pageBreakBefore w:val="0"/>
        <w:kinsoku/>
        <w:topLinePunct w:val="0"/>
        <w:bidi w:val="0"/>
        <w:spacing w:line="360" w:lineRule="auto"/>
        <w:ind w:firstLine="420" w:firstLineChars="200"/>
        <w:rPr>
          <w:rFonts w:hint="eastAsia" w:ascii="仿宋" w:hAnsi="仿宋" w:eastAsia="仿宋" w:cs="仿宋"/>
          <w:szCs w:val="21"/>
          <w:highlight w:val="none"/>
        </w:rPr>
      </w:pPr>
    </w:p>
    <w:p w14:paraId="2320FFB6">
      <w:pPr>
        <w:pageBreakBefore w:val="0"/>
        <w:kinsoku/>
        <w:topLinePunct w:val="0"/>
        <w:bidi w:val="0"/>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78051E62">
      <w:pPr>
        <w:pageBreakBefore w:val="0"/>
        <w:kinsoku/>
        <w:topLinePunct w:val="0"/>
        <w:bidi w:val="0"/>
        <w:adjustRightInd w:val="0"/>
        <w:snapToGrid w:val="0"/>
        <w:spacing w:line="360" w:lineRule="auto"/>
        <w:rPr>
          <w:rFonts w:hint="eastAsia" w:ascii="仿宋" w:hAnsi="仿宋" w:eastAsia="仿宋" w:cs="仿宋"/>
          <w:szCs w:val="21"/>
          <w:highlight w:val="none"/>
        </w:rPr>
      </w:pPr>
    </w:p>
    <w:p w14:paraId="292F3A5D">
      <w:pPr>
        <w:pageBreakBefore w:val="0"/>
        <w:kinsoku/>
        <w:topLinePunct w:val="0"/>
        <w:bidi w:val="0"/>
        <w:adjustRightInd w:val="0"/>
        <w:snapToGrid w:val="0"/>
        <w:spacing w:line="360" w:lineRule="auto"/>
        <w:rPr>
          <w:rFonts w:hint="eastAsia" w:ascii="仿宋" w:hAnsi="仿宋" w:eastAsia="仿宋" w:cs="仿宋"/>
          <w:szCs w:val="21"/>
          <w:highlight w:val="none"/>
        </w:rPr>
      </w:pPr>
    </w:p>
    <w:p w14:paraId="5421A553">
      <w:pPr>
        <w:pageBreakBefore w:val="0"/>
        <w:kinsoku/>
        <w:topLinePunct w:val="0"/>
        <w:bidi w:val="0"/>
        <w:adjustRightInd w:val="0"/>
        <w:snapToGrid w:val="0"/>
        <w:spacing w:line="360" w:lineRule="auto"/>
        <w:rPr>
          <w:rFonts w:hint="eastAsia" w:ascii="仿宋" w:hAnsi="仿宋" w:eastAsia="仿宋" w:cs="仿宋"/>
          <w:szCs w:val="21"/>
          <w:highlight w:val="none"/>
        </w:rPr>
      </w:pPr>
    </w:p>
    <w:p w14:paraId="6C1008FF">
      <w:pPr>
        <w:pageBreakBefore w:val="0"/>
        <w:kinsoku/>
        <w:topLinePunct w:val="0"/>
        <w:bidi w:val="0"/>
        <w:adjustRightInd w:val="0"/>
        <w:snapToGrid w:val="0"/>
        <w:spacing w:line="360" w:lineRule="auto"/>
        <w:rPr>
          <w:rFonts w:hint="eastAsia" w:ascii="仿宋" w:hAnsi="仿宋" w:eastAsia="仿宋" w:cs="仿宋"/>
          <w:szCs w:val="21"/>
          <w:highlight w:val="none"/>
        </w:rPr>
      </w:pPr>
    </w:p>
    <w:p w14:paraId="3F911317">
      <w:pPr>
        <w:pageBreakBefore w:val="0"/>
        <w:kinsoku/>
        <w:topLinePunct w:val="0"/>
        <w:bidi w:val="0"/>
        <w:adjustRightInd w:val="0"/>
        <w:snapToGrid w:val="0"/>
        <w:spacing w:line="360" w:lineRule="auto"/>
        <w:rPr>
          <w:rFonts w:hint="eastAsia" w:ascii="仿宋" w:hAnsi="仿宋" w:eastAsia="仿宋" w:cs="仿宋"/>
          <w:szCs w:val="21"/>
          <w:highlight w:val="none"/>
        </w:rPr>
      </w:pPr>
    </w:p>
    <w:p w14:paraId="666310B4">
      <w:pPr>
        <w:pageBreakBefore w:val="0"/>
        <w:kinsoku/>
        <w:topLinePunct w:val="0"/>
        <w:bidi w:val="0"/>
        <w:adjustRightInd w:val="0"/>
        <w:snapToGrid w:val="0"/>
        <w:spacing w:line="360" w:lineRule="auto"/>
        <w:rPr>
          <w:rFonts w:hint="eastAsia" w:ascii="仿宋" w:hAnsi="仿宋" w:eastAsia="仿宋" w:cs="仿宋"/>
          <w:szCs w:val="21"/>
          <w:highlight w:val="none"/>
        </w:rPr>
      </w:pPr>
    </w:p>
    <w:p w14:paraId="6D9D4366">
      <w:pPr>
        <w:pageBreakBefore w:val="0"/>
        <w:kinsoku/>
        <w:topLinePunct w:val="0"/>
        <w:bidi w:val="0"/>
        <w:adjustRightInd w:val="0"/>
        <w:snapToGrid w:val="0"/>
        <w:spacing w:line="360" w:lineRule="auto"/>
        <w:rPr>
          <w:rFonts w:hint="eastAsia" w:ascii="仿宋" w:hAnsi="仿宋" w:eastAsia="仿宋" w:cs="仿宋"/>
          <w:szCs w:val="21"/>
          <w:highlight w:val="none"/>
        </w:rPr>
      </w:pPr>
    </w:p>
    <w:p w14:paraId="68D4CFB4">
      <w:pPr>
        <w:rPr>
          <w:rFonts w:hint="eastAsia" w:ascii="仿宋" w:hAnsi="仿宋" w:eastAsia="仿宋" w:cs="仿宋"/>
          <w:szCs w:val="21"/>
          <w:highlight w:val="none"/>
        </w:rPr>
      </w:pPr>
      <w:r>
        <w:rPr>
          <w:rFonts w:hint="eastAsia" w:ascii="仿宋" w:hAnsi="仿宋" w:eastAsia="仿宋" w:cs="仿宋"/>
          <w:szCs w:val="21"/>
          <w:highlight w:val="none"/>
        </w:rPr>
        <w:br w:type="page"/>
      </w:r>
    </w:p>
    <w:p w14:paraId="45428C09">
      <w:pPr>
        <w:pStyle w:val="2"/>
        <w:rPr>
          <w:rFonts w:hint="eastAsia"/>
          <w:highlight w:val="none"/>
        </w:rPr>
      </w:pPr>
    </w:p>
    <w:p w14:paraId="48893713">
      <w:pPr>
        <w:pageBreakBefore w:val="0"/>
        <w:kinsoku/>
        <w:topLinePunct w:val="0"/>
        <w:bidi w:val="0"/>
        <w:adjustRightInd w:val="0"/>
        <w:snapToGrid w:val="0"/>
        <w:spacing w:line="360" w:lineRule="auto"/>
        <w:rPr>
          <w:rFonts w:hint="eastAsia" w:ascii="仿宋" w:hAnsi="仿宋" w:eastAsia="仿宋" w:cs="仿宋"/>
          <w:szCs w:val="21"/>
          <w:highlight w:val="none"/>
        </w:rPr>
      </w:pPr>
      <w:bookmarkStart w:id="77" w:name="附件12"/>
      <w:r>
        <w:rPr>
          <w:rFonts w:hint="eastAsia" w:ascii="仿宋" w:hAnsi="仿宋" w:eastAsia="仿宋" w:cs="仿宋"/>
          <w:b/>
          <w:sz w:val="24"/>
          <w:highlight w:val="none"/>
        </w:rPr>
        <w:t>附件</w:t>
      </w:r>
      <w:bookmarkEnd w:id="77"/>
      <w:r>
        <w:rPr>
          <w:rFonts w:hint="eastAsia" w:ascii="仿宋" w:hAnsi="仿宋" w:eastAsia="仿宋" w:cs="仿宋"/>
          <w:b/>
          <w:sz w:val="24"/>
          <w:highlight w:val="none"/>
          <w:lang w:val="en-US" w:eastAsia="zh-CN"/>
        </w:rPr>
        <w:t>9</w:t>
      </w:r>
    </w:p>
    <w:p w14:paraId="22A9A721">
      <w:pPr>
        <w:pageBreakBefore w:val="0"/>
        <w:kinsoku/>
        <w:topLinePunct w:val="0"/>
        <w:bidi w:val="0"/>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报价明细表</w:t>
      </w:r>
    </w:p>
    <w:p w14:paraId="1457A41D">
      <w:pPr>
        <w:pStyle w:val="26"/>
        <w:pageBreakBefore w:val="0"/>
        <w:kinsoku/>
        <w:topLinePunct w:val="0"/>
        <w:bidi w:val="0"/>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项目名称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项目编号：</w:t>
      </w:r>
      <w:r>
        <w:rPr>
          <w:rFonts w:hint="eastAsia" w:ascii="仿宋" w:hAnsi="仿宋" w:eastAsia="仿宋" w:cs="仿宋"/>
          <w:color w:val="000000"/>
          <w:szCs w:val="21"/>
          <w:highlight w:val="none"/>
          <w:u w:val="single"/>
        </w:rPr>
        <w:t xml:space="preserve">            </w:t>
      </w:r>
    </w:p>
    <w:tbl>
      <w:tblPr>
        <w:tblStyle w:val="48"/>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9"/>
        <w:gridCol w:w="2330"/>
        <w:gridCol w:w="1920"/>
        <w:gridCol w:w="790"/>
      </w:tblGrid>
      <w:tr w14:paraId="1D91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699" w:type="dxa"/>
            <w:noWrap w:val="0"/>
            <w:vAlign w:val="center"/>
          </w:tcPr>
          <w:p w14:paraId="06F3CE5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报价内容</w:t>
            </w:r>
          </w:p>
        </w:tc>
        <w:tc>
          <w:tcPr>
            <w:tcW w:w="2330" w:type="dxa"/>
            <w:noWrap w:val="0"/>
            <w:vAlign w:val="top"/>
          </w:tcPr>
          <w:p w14:paraId="3D9F2A7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单项主要工作内容</w:t>
            </w:r>
          </w:p>
        </w:tc>
        <w:tc>
          <w:tcPr>
            <w:tcW w:w="1920" w:type="dxa"/>
            <w:noWrap w:val="0"/>
            <w:vAlign w:val="center"/>
          </w:tcPr>
          <w:p w14:paraId="56804AC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单价</w:t>
            </w:r>
          </w:p>
        </w:tc>
        <w:tc>
          <w:tcPr>
            <w:tcW w:w="790" w:type="dxa"/>
            <w:noWrap w:val="0"/>
            <w:vAlign w:val="center"/>
          </w:tcPr>
          <w:p w14:paraId="39B443F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4B63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699" w:type="dxa"/>
            <w:vMerge w:val="restart"/>
            <w:noWrap w:val="0"/>
            <w:vAlign w:val="center"/>
          </w:tcPr>
          <w:p w14:paraId="0620DCA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浙江省芳村溪幸福河湖建设项目招标代理及施工阶段全过程工程造价控制</w:t>
            </w:r>
          </w:p>
        </w:tc>
        <w:tc>
          <w:tcPr>
            <w:tcW w:w="2330" w:type="dxa"/>
            <w:noWrap w:val="0"/>
            <w:vAlign w:val="top"/>
          </w:tcPr>
          <w:p w14:paraId="6D2B5DE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招标代理</w:t>
            </w:r>
          </w:p>
        </w:tc>
        <w:tc>
          <w:tcPr>
            <w:tcW w:w="1920" w:type="dxa"/>
            <w:noWrap w:val="0"/>
            <w:vAlign w:val="center"/>
          </w:tcPr>
          <w:p w14:paraId="6D9EB18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szCs w:val="21"/>
                <w:highlight w:val="none"/>
              </w:rPr>
            </w:pPr>
          </w:p>
        </w:tc>
        <w:tc>
          <w:tcPr>
            <w:tcW w:w="790" w:type="dxa"/>
            <w:noWrap w:val="0"/>
            <w:vAlign w:val="center"/>
          </w:tcPr>
          <w:p w14:paraId="24D8ECF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szCs w:val="21"/>
                <w:highlight w:val="none"/>
              </w:rPr>
            </w:pPr>
          </w:p>
        </w:tc>
      </w:tr>
      <w:tr w14:paraId="0DFF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699" w:type="dxa"/>
            <w:vMerge w:val="continue"/>
            <w:noWrap w:val="0"/>
            <w:vAlign w:val="center"/>
          </w:tcPr>
          <w:p w14:paraId="6FD4925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仿宋" w:hAnsi="仿宋" w:eastAsia="仿宋" w:cs="仿宋"/>
                <w:szCs w:val="21"/>
                <w:highlight w:val="none"/>
                <w:lang w:val="en-US" w:eastAsia="zh-CN"/>
              </w:rPr>
            </w:pPr>
          </w:p>
        </w:tc>
        <w:tc>
          <w:tcPr>
            <w:tcW w:w="2330" w:type="dxa"/>
            <w:noWrap w:val="0"/>
            <w:vAlign w:val="top"/>
          </w:tcPr>
          <w:p w14:paraId="6633106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施工阶段全过程工程造价控制</w:t>
            </w:r>
          </w:p>
        </w:tc>
        <w:tc>
          <w:tcPr>
            <w:tcW w:w="1920" w:type="dxa"/>
            <w:noWrap w:val="0"/>
            <w:vAlign w:val="center"/>
          </w:tcPr>
          <w:p w14:paraId="0D13BED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szCs w:val="21"/>
                <w:highlight w:val="none"/>
              </w:rPr>
            </w:pPr>
          </w:p>
        </w:tc>
        <w:tc>
          <w:tcPr>
            <w:tcW w:w="790" w:type="dxa"/>
            <w:noWrap w:val="0"/>
            <w:vAlign w:val="center"/>
          </w:tcPr>
          <w:p w14:paraId="4C70A34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szCs w:val="21"/>
                <w:highlight w:val="none"/>
              </w:rPr>
            </w:pPr>
          </w:p>
        </w:tc>
      </w:tr>
      <w:tr w14:paraId="1120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739" w:type="dxa"/>
            <w:gridSpan w:val="4"/>
            <w:noWrap w:val="0"/>
            <w:vAlign w:val="center"/>
          </w:tcPr>
          <w:p w14:paraId="30FA4E9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合计：大写人民币_________元（￥________元）</w:t>
            </w:r>
          </w:p>
        </w:tc>
      </w:tr>
      <w:tr w14:paraId="5911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739" w:type="dxa"/>
            <w:gridSpan w:val="4"/>
            <w:noWrap w:val="0"/>
            <w:vAlign w:val="center"/>
          </w:tcPr>
          <w:p w14:paraId="4384F49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default" w:ascii="仿宋" w:hAnsi="仿宋" w:eastAsia="仿宋" w:cs="仿宋"/>
                <w:szCs w:val="21"/>
                <w:highlight w:val="none"/>
                <w:lang w:val="en-US" w:eastAsia="zh-CN"/>
              </w:rPr>
            </w:pPr>
            <w:r>
              <w:rPr>
                <w:rFonts w:hint="eastAsia" w:ascii="仿宋" w:hAnsi="仿宋" w:eastAsia="仿宋" w:cs="仿宋"/>
                <w:color w:val="auto"/>
                <w:szCs w:val="21"/>
                <w:highlight w:val="none"/>
                <w:lang w:val="en-US" w:eastAsia="zh-CN"/>
              </w:rPr>
              <w:t>备注：</w:t>
            </w:r>
            <w:r>
              <w:rPr>
                <w:rFonts w:hint="eastAsia" w:ascii="仿宋" w:hAnsi="仿宋" w:eastAsia="仿宋" w:cs="仿宋"/>
                <w:b/>
                <w:szCs w:val="21"/>
                <w:highlight w:val="none"/>
                <w:u w:val="none"/>
              </w:rPr>
              <w:t>▲</w:t>
            </w:r>
            <w:r>
              <w:rPr>
                <w:rFonts w:hint="eastAsia" w:ascii="仿宋" w:hAnsi="仿宋" w:eastAsia="仿宋" w:cs="仿宋"/>
                <w:b/>
                <w:szCs w:val="21"/>
                <w:highlight w:val="none"/>
                <w:u w:val="none"/>
                <w:lang w:val="en-US" w:eastAsia="zh-CN"/>
              </w:rPr>
              <w:t>本项目</w:t>
            </w:r>
            <w:r>
              <w:rPr>
                <w:rFonts w:hint="eastAsia" w:ascii="仿宋" w:hAnsi="仿宋" w:eastAsia="仿宋" w:cs="仿宋"/>
                <w:color w:val="auto"/>
                <w:szCs w:val="21"/>
                <w:highlight w:val="none"/>
                <w:lang w:val="en-US" w:eastAsia="zh-CN"/>
              </w:rPr>
              <w:t>招标代理服务费用最高限价18.33万元、施工阶段全过程工程造价控制费用最高限价36.245万元，投标人单项主要工作内容单价不得超过该工作内容的最高限价，否则按无效响应处理。</w:t>
            </w:r>
          </w:p>
        </w:tc>
      </w:tr>
    </w:tbl>
    <w:p w14:paraId="3F270E09">
      <w:pPr>
        <w:pageBreakBefore w:val="0"/>
        <w:kinsoku/>
        <w:topLinePunct w:val="0"/>
        <w:bidi w:val="0"/>
        <w:spacing w:line="360" w:lineRule="auto"/>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注：</w:t>
      </w:r>
    </w:p>
    <w:p w14:paraId="5FDEA3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w:t>
      </w:r>
      <w:r>
        <w:rPr>
          <w:rFonts w:hint="eastAsia" w:ascii="仿宋" w:hAnsi="仿宋" w:eastAsia="仿宋" w:cs="仿宋"/>
          <w:bCs/>
          <w:szCs w:val="21"/>
          <w:highlight w:val="none"/>
        </w:rPr>
        <w:t>报价明细说明表格及所列报价组成部分仅供参考，投标单位可根据自身实际情况对报价明细情况进行说明；</w:t>
      </w:r>
    </w:p>
    <w:p w14:paraId="3F5414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w:t>
      </w:r>
      <w:r>
        <w:rPr>
          <w:rFonts w:hint="eastAsia" w:ascii="仿宋" w:hAnsi="仿宋" w:eastAsia="仿宋" w:cs="仿宋"/>
          <w:bCs/>
          <w:szCs w:val="21"/>
          <w:highlight w:val="none"/>
        </w:rPr>
        <w:t>“报价明细说明”中的合计金额须与附件“开标一览表</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rPr>
        <w:t>初次报价</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rPr>
        <w:t>”中</w:t>
      </w:r>
      <w:r>
        <w:rPr>
          <w:rFonts w:hint="eastAsia" w:ascii="仿宋" w:hAnsi="仿宋" w:eastAsia="仿宋" w:cs="仿宋"/>
          <w:highlight w:val="none"/>
        </w:rPr>
        <w:t>“</w:t>
      </w:r>
      <w:r>
        <w:rPr>
          <w:rFonts w:hint="eastAsia" w:ascii="仿宋" w:hAnsi="仿宋" w:eastAsia="仿宋" w:cs="仿宋"/>
          <w:bCs/>
          <w:szCs w:val="21"/>
          <w:highlight w:val="none"/>
        </w:rPr>
        <w:t>投标</w:t>
      </w:r>
      <w:r>
        <w:rPr>
          <w:rFonts w:hint="eastAsia" w:ascii="仿宋" w:hAnsi="仿宋" w:eastAsia="仿宋" w:cs="仿宋"/>
          <w:bCs/>
          <w:szCs w:val="21"/>
          <w:highlight w:val="none"/>
          <w:lang w:eastAsia="zh-CN"/>
        </w:rPr>
        <w:t>总</w:t>
      </w:r>
      <w:r>
        <w:rPr>
          <w:rFonts w:hint="eastAsia" w:ascii="仿宋" w:hAnsi="仿宋" w:eastAsia="仿宋" w:cs="仿宋"/>
          <w:bCs/>
          <w:szCs w:val="21"/>
          <w:highlight w:val="none"/>
        </w:rPr>
        <w:t>价”相一致。</w:t>
      </w:r>
    </w:p>
    <w:p w14:paraId="03752895">
      <w:pPr>
        <w:pStyle w:val="26"/>
        <w:pageBreakBefore w:val="0"/>
        <w:kinsoku/>
        <w:topLinePunct w:val="0"/>
        <w:bidi w:val="0"/>
        <w:spacing w:line="360" w:lineRule="auto"/>
        <w:rPr>
          <w:rFonts w:hint="eastAsia" w:ascii="仿宋" w:hAnsi="仿宋" w:eastAsia="仿宋" w:cs="仿宋"/>
          <w:szCs w:val="21"/>
          <w:highlight w:val="none"/>
        </w:rPr>
      </w:pPr>
      <w:r>
        <w:rPr>
          <w:rFonts w:hint="eastAsia" w:ascii="仿宋" w:hAnsi="仿宋" w:eastAsia="仿宋" w:cs="仿宋"/>
          <w:szCs w:val="21"/>
          <w:highlight w:val="none"/>
          <w:lang w:eastAsia="zh-CN"/>
        </w:rPr>
        <w:t>供应商名称</w:t>
      </w:r>
      <w:r>
        <w:rPr>
          <w:rFonts w:hint="eastAsia" w:ascii="仿宋" w:hAnsi="仿宋" w:eastAsia="仿宋" w:cs="仿宋"/>
          <w:szCs w:val="21"/>
          <w:highlight w:val="none"/>
        </w:rPr>
        <w:t>（盖章） ：</w:t>
      </w:r>
      <w:r>
        <w:rPr>
          <w:rFonts w:hint="eastAsia" w:ascii="仿宋" w:hAnsi="仿宋" w:eastAsia="仿宋" w:cs="仿宋"/>
          <w:szCs w:val="21"/>
          <w:highlight w:val="none"/>
          <w:u w:val="single"/>
        </w:rPr>
        <w:t xml:space="preserve">                               </w:t>
      </w:r>
    </w:p>
    <w:p w14:paraId="4697C930">
      <w:pPr>
        <w:pStyle w:val="26"/>
        <w:pageBreakBefore w:val="0"/>
        <w:kinsoku/>
        <w:topLinePunct w:val="0"/>
        <w:bidi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46404C7F">
      <w:pPr>
        <w:pageBreakBefore w:val="0"/>
        <w:kinsoku/>
        <w:topLinePunct w:val="0"/>
        <w:bidi w:val="0"/>
        <w:adjustRightInd w:val="0"/>
        <w:snapToGrid w:val="0"/>
        <w:spacing w:line="360" w:lineRule="auto"/>
        <w:rPr>
          <w:rFonts w:hint="eastAsia" w:ascii="仿宋" w:hAnsi="仿宋" w:eastAsia="仿宋" w:cs="仿宋"/>
          <w:szCs w:val="21"/>
          <w:highlight w:val="none"/>
          <w:lang w:val="en-US" w:eastAsia="zh-CN"/>
        </w:rPr>
      </w:pPr>
      <w:r>
        <w:rPr>
          <w:rFonts w:hint="eastAsia" w:ascii="仿宋" w:hAnsi="仿宋" w:eastAsia="仿宋" w:cs="仿宋"/>
          <w:szCs w:val="21"/>
          <w:highlight w:val="none"/>
        </w:rPr>
        <w:br w:type="page"/>
      </w:r>
    </w:p>
    <w:p w14:paraId="5E4FDD5C">
      <w:pPr>
        <w:pStyle w:val="73"/>
        <w:numPr>
          <w:ilvl w:val="0"/>
          <w:numId w:val="0"/>
        </w:numPr>
        <w:snapToGrid w:val="0"/>
        <w:spacing w:before="190" w:after="190" w:line="500" w:lineRule="exact"/>
        <w:ind w:left="0" w:leftChars="0" w:firstLine="227" w:firstLineChars="0"/>
        <w:jc w:val="center"/>
        <w:rPr>
          <w:rFonts w:hint="eastAsia" w:ascii="仿宋" w:hAnsi="仿宋" w:eastAsia="仿宋" w:cs="仿宋"/>
          <w:szCs w:val="21"/>
          <w:highlight w:val="none"/>
          <w:u w:val="single"/>
        </w:rPr>
      </w:pPr>
      <w:r>
        <w:rPr>
          <w:rFonts w:hint="eastAsia" w:ascii="仿宋" w:hAnsi="仿宋" w:eastAsia="仿宋" w:cs="仿宋"/>
          <w:b/>
          <w:bCs/>
          <w:color w:val="000000"/>
          <w:sz w:val="28"/>
          <w:szCs w:val="28"/>
          <w:highlight w:val="none"/>
        </w:rPr>
        <w:t>政府采购活动现场确认声明书</w:t>
      </w:r>
    </w:p>
    <w:p w14:paraId="65190C7C">
      <w:pPr>
        <w:rPr>
          <w:rFonts w:hint="eastAsia" w:ascii="仿宋" w:hAnsi="仿宋" w:eastAsia="仿宋" w:cs="仿宋"/>
          <w:szCs w:val="21"/>
          <w:highlight w:val="none"/>
          <w:u w:val="single"/>
        </w:rPr>
      </w:pPr>
      <w:r>
        <w:rPr>
          <w:rFonts w:hint="eastAsia" w:ascii="仿宋" w:hAnsi="仿宋" w:eastAsia="仿宋" w:cs="仿宋"/>
          <w:szCs w:val="21"/>
          <w:highlight w:val="none"/>
          <w:u w:val="single"/>
        </w:rPr>
        <w:t>浙江哲晟工程项目管理有限公司：</w:t>
      </w:r>
    </w:p>
    <w:p w14:paraId="579BA0C0">
      <w:pPr>
        <w:adjustRightInd w:val="0"/>
        <w:ind w:firstLine="444" w:firstLineChars="200"/>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本人（</w:t>
      </w:r>
      <w:r>
        <w:rPr>
          <w:rFonts w:hint="eastAsia" w:ascii="仿宋" w:hAnsi="仿宋" w:eastAsia="仿宋" w:cs="仿宋"/>
          <w:color w:val="000000"/>
          <w:spacing w:val="6"/>
          <w:szCs w:val="21"/>
          <w:highlight w:val="none"/>
          <w:u w:val="single"/>
        </w:rPr>
        <w:t xml:space="preserve">授权代表姓名       </w:t>
      </w:r>
      <w:r>
        <w:rPr>
          <w:rFonts w:hint="eastAsia" w:ascii="仿宋" w:hAnsi="仿宋" w:eastAsia="仿宋" w:cs="仿宋"/>
          <w:color w:val="000000"/>
          <w:spacing w:val="6"/>
          <w:szCs w:val="21"/>
          <w:highlight w:val="none"/>
        </w:rPr>
        <w:t>），经由（</w:t>
      </w:r>
      <w:r>
        <w:rPr>
          <w:rFonts w:hint="eastAsia" w:ascii="仿宋" w:hAnsi="仿宋" w:eastAsia="仿宋" w:cs="仿宋"/>
          <w:color w:val="000000"/>
          <w:spacing w:val="6"/>
          <w:szCs w:val="21"/>
          <w:highlight w:val="none"/>
          <w:u w:val="single"/>
        </w:rPr>
        <w:t xml:space="preserve">单位名称       </w:t>
      </w:r>
      <w:r>
        <w:rPr>
          <w:rFonts w:hint="eastAsia" w:ascii="仿宋" w:hAnsi="仿宋" w:eastAsia="仿宋" w:cs="仿宋"/>
          <w:color w:val="000000"/>
          <w:spacing w:val="6"/>
          <w:szCs w:val="21"/>
          <w:highlight w:val="none"/>
        </w:rPr>
        <w:t>）【</w:t>
      </w:r>
      <w:r>
        <w:rPr>
          <w:rFonts w:hint="eastAsia" w:ascii="仿宋" w:hAnsi="仿宋" w:eastAsia="仿宋" w:cs="仿宋"/>
          <w:color w:val="000000"/>
          <w:spacing w:val="6"/>
          <w:szCs w:val="21"/>
          <w:highlight w:val="none"/>
          <w:u w:val="single"/>
        </w:rPr>
        <w:t>法定代表人（单位负责人）姓名     】</w:t>
      </w:r>
      <w:r>
        <w:rPr>
          <w:rFonts w:hint="eastAsia" w:ascii="仿宋" w:hAnsi="仿宋" w:eastAsia="仿宋" w:cs="仿宋"/>
          <w:color w:val="000000"/>
          <w:spacing w:val="6"/>
          <w:szCs w:val="21"/>
          <w:highlight w:val="none"/>
        </w:rPr>
        <w:t>合法授权参加</w:t>
      </w:r>
      <w:r>
        <w:rPr>
          <w:rFonts w:hint="eastAsia" w:ascii="仿宋" w:hAnsi="仿宋" w:eastAsia="仿宋" w:cs="仿宋"/>
          <w:szCs w:val="21"/>
          <w:highlight w:val="none"/>
          <w:u w:val="single"/>
        </w:rPr>
        <w:t xml:space="preserve"> （项目名称:）（项目编号:）  </w:t>
      </w:r>
      <w:r>
        <w:rPr>
          <w:rFonts w:hint="eastAsia" w:ascii="仿宋" w:hAnsi="仿宋" w:eastAsia="仿宋" w:cs="仿宋"/>
          <w:color w:val="000000"/>
          <w:spacing w:val="6"/>
          <w:szCs w:val="21"/>
          <w:highlight w:val="none"/>
        </w:rPr>
        <w:t>政府采购活动，经与本单位法人代表（负责人）联系确认，现就有关公平竞争</w:t>
      </w:r>
      <w:r>
        <w:rPr>
          <w:rFonts w:hint="eastAsia" w:ascii="仿宋" w:hAnsi="仿宋" w:eastAsia="仿宋" w:cs="仿宋"/>
          <w:szCs w:val="21"/>
          <w:highlight w:val="none"/>
        </w:rPr>
        <w:t>事项</w:t>
      </w:r>
      <w:r>
        <w:rPr>
          <w:rFonts w:hint="eastAsia" w:ascii="仿宋" w:hAnsi="仿宋" w:eastAsia="仿宋" w:cs="仿宋"/>
          <w:color w:val="000000"/>
          <w:spacing w:val="6"/>
          <w:szCs w:val="21"/>
          <w:highlight w:val="none"/>
        </w:rPr>
        <w:t>郑重声明如下：</w:t>
      </w:r>
    </w:p>
    <w:p w14:paraId="68322457">
      <w:pPr>
        <w:ind w:firstLine="420" w:firstLineChars="200"/>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一、本单位与采购人之间 □ 不存在利害关系 □ 存在下列利害关系：</w:t>
      </w:r>
      <w:r>
        <w:rPr>
          <w:rFonts w:hint="eastAsia" w:ascii="仿宋" w:hAnsi="仿宋" w:eastAsia="仿宋" w:cs="仿宋"/>
          <w:color w:val="000000"/>
          <w:kern w:val="0"/>
          <w:szCs w:val="21"/>
          <w:highlight w:val="none"/>
          <w:u w:val="single"/>
        </w:rPr>
        <w:t xml:space="preserve">         </w:t>
      </w:r>
    </w:p>
    <w:p w14:paraId="09064B55">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A.投资关系    B.行政隶属关系    C.业务指导关系</w:t>
      </w:r>
    </w:p>
    <w:p w14:paraId="76EAA0B6">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D.其他可能</w:t>
      </w:r>
      <w:r>
        <w:rPr>
          <w:rFonts w:hint="eastAsia" w:ascii="仿宋" w:hAnsi="仿宋" w:eastAsia="仿宋" w:cs="仿宋"/>
          <w:color w:val="000000"/>
          <w:szCs w:val="21"/>
          <w:highlight w:val="none"/>
        </w:rPr>
        <w:t>影响采购公正的</w:t>
      </w:r>
      <w:r>
        <w:rPr>
          <w:rFonts w:hint="eastAsia" w:ascii="仿宋" w:hAnsi="仿宋" w:eastAsia="仿宋" w:cs="仿宋"/>
          <w:color w:val="000000"/>
          <w:kern w:val="0"/>
          <w:szCs w:val="21"/>
          <w:highlight w:val="none"/>
        </w:rPr>
        <w:t>利害关系</w:t>
      </w:r>
      <w:r>
        <w:rPr>
          <w:rFonts w:hint="eastAsia" w:ascii="仿宋" w:hAnsi="仿宋" w:eastAsia="仿宋" w:cs="仿宋"/>
          <w:color w:val="000000"/>
          <w:kern w:val="0"/>
          <w:szCs w:val="21"/>
          <w:highlight w:val="none"/>
          <w:u w:val="single"/>
        </w:rPr>
        <w:t>（如有，请如实说明）</w:t>
      </w:r>
      <w:r>
        <w:rPr>
          <w:rFonts w:hint="eastAsia" w:ascii="仿宋" w:hAnsi="仿宋" w:eastAsia="仿宋" w:cs="仿宋"/>
          <w:color w:val="000000"/>
          <w:kern w:val="0"/>
          <w:szCs w:val="21"/>
          <w:highlight w:val="none"/>
        </w:rPr>
        <w:t>。</w:t>
      </w:r>
    </w:p>
    <w:p w14:paraId="70D17437">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二、现已清楚知道参加本项目采购活动的其他所有供应商名称，本单位 □ 与其他</w:t>
      </w:r>
      <w:r>
        <w:rPr>
          <w:rFonts w:hint="eastAsia" w:ascii="仿宋" w:hAnsi="仿宋" w:eastAsia="仿宋" w:cs="仿宋"/>
          <w:szCs w:val="21"/>
          <w:highlight w:val="none"/>
        </w:rPr>
        <w:t>所有</w:t>
      </w:r>
      <w:r>
        <w:rPr>
          <w:rFonts w:hint="eastAsia" w:ascii="仿宋" w:hAnsi="仿宋" w:eastAsia="仿宋" w:cs="仿宋"/>
          <w:color w:val="000000"/>
          <w:kern w:val="0"/>
          <w:szCs w:val="21"/>
          <w:highlight w:val="none"/>
        </w:rPr>
        <w:t>供应商之间均不存在利害关系 □ 与（供应商名称）之间存在下列利害</w:t>
      </w:r>
      <w:r>
        <w:rPr>
          <w:rFonts w:hint="eastAsia" w:ascii="仿宋" w:hAnsi="仿宋" w:eastAsia="仿宋" w:cs="仿宋"/>
          <w:szCs w:val="21"/>
          <w:highlight w:val="none"/>
        </w:rPr>
        <w:t>关系：</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13DA3FE1">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 xml:space="preserve">  A.法定代表人或负责人或实际控制人是同一人</w:t>
      </w:r>
    </w:p>
    <w:p w14:paraId="6BE1382B">
      <w:pPr>
        <w:ind w:firstLine="420" w:firstLineChars="200"/>
        <w:rPr>
          <w:rFonts w:hint="eastAsia" w:ascii="仿宋" w:hAnsi="仿宋" w:eastAsia="仿宋" w:cs="仿宋"/>
          <w:color w:val="000000"/>
          <w:spacing w:val="6"/>
          <w:szCs w:val="21"/>
          <w:highlight w:val="none"/>
        </w:rPr>
      </w:pPr>
      <w:r>
        <w:rPr>
          <w:rFonts w:hint="eastAsia" w:ascii="仿宋" w:hAnsi="仿宋" w:eastAsia="仿宋" w:cs="仿宋"/>
          <w:color w:val="000000"/>
          <w:kern w:val="0"/>
          <w:szCs w:val="21"/>
          <w:highlight w:val="none"/>
        </w:rPr>
        <w:t xml:space="preserve">  B.法定代表人或负责人或实际控制人是夫妻关系</w:t>
      </w:r>
    </w:p>
    <w:p w14:paraId="7DE6C154">
      <w:pPr>
        <w:ind w:firstLine="420" w:firstLineChars="200"/>
        <w:rPr>
          <w:rFonts w:hint="eastAsia" w:ascii="仿宋" w:hAnsi="仿宋" w:eastAsia="仿宋" w:cs="仿宋"/>
          <w:color w:val="000000"/>
          <w:spacing w:val="6"/>
          <w:szCs w:val="21"/>
          <w:highlight w:val="none"/>
        </w:rPr>
      </w:pPr>
      <w:r>
        <w:rPr>
          <w:rFonts w:hint="eastAsia" w:ascii="仿宋" w:hAnsi="仿宋" w:eastAsia="仿宋" w:cs="仿宋"/>
          <w:color w:val="000000"/>
          <w:kern w:val="0"/>
          <w:szCs w:val="21"/>
          <w:highlight w:val="none"/>
        </w:rPr>
        <w:t xml:space="preserve">  C.法定代表人或负责人或实际控制人是直系血亲关系</w:t>
      </w:r>
    </w:p>
    <w:p w14:paraId="46B798A8">
      <w:pPr>
        <w:ind w:firstLine="420" w:firstLineChars="200"/>
        <w:rPr>
          <w:rFonts w:hint="eastAsia" w:ascii="仿宋" w:hAnsi="仿宋" w:eastAsia="仿宋" w:cs="仿宋"/>
          <w:color w:val="000000"/>
          <w:spacing w:val="6"/>
          <w:szCs w:val="21"/>
          <w:highlight w:val="none"/>
        </w:rPr>
      </w:pPr>
      <w:r>
        <w:rPr>
          <w:rFonts w:hint="eastAsia" w:ascii="仿宋" w:hAnsi="仿宋" w:eastAsia="仿宋" w:cs="仿宋"/>
          <w:color w:val="000000"/>
          <w:kern w:val="0"/>
          <w:szCs w:val="21"/>
          <w:highlight w:val="none"/>
        </w:rPr>
        <w:t xml:space="preserve">  D.法定代表人或负责人或实际控制人存在三代以内旁系血亲关系</w:t>
      </w:r>
    </w:p>
    <w:p w14:paraId="453EB6E2">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 xml:space="preserve">  E.法定代表人或负责人或实际控制人存在近姻亲关系</w:t>
      </w:r>
    </w:p>
    <w:p w14:paraId="7C27ED97">
      <w:pPr>
        <w:ind w:firstLine="420" w:firstLineChars="200"/>
        <w:rPr>
          <w:rFonts w:hint="eastAsia" w:ascii="仿宋" w:hAnsi="仿宋" w:eastAsia="仿宋" w:cs="仿宋"/>
          <w:szCs w:val="21"/>
          <w:highlight w:val="none"/>
        </w:rPr>
      </w:pPr>
      <w:r>
        <w:rPr>
          <w:rFonts w:hint="eastAsia" w:ascii="仿宋" w:hAnsi="仿宋" w:eastAsia="仿宋" w:cs="仿宋"/>
          <w:color w:val="000000"/>
          <w:kern w:val="0"/>
          <w:szCs w:val="21"/>
          <w:highlight w:val="none"/>
        </w:rPr>
        <w:t xml:space="preserve">  F.法定代表人或负责人或实际控制人存在股份控制或实际控制关系</w:t>
      </w:r>
    </w:p>
    <w:p w14:paraId="5F1B0336">
      <w:pPr>
        <w:ind w:firstLine="420" w:firstLineChars="200"/>
        <w:rPr>
          <w:rFonts w:hint="eastAsia" w:ascii="仿宋" w:hAnsi="仿宋" w:eastAsia="仿宋" w:cs="仿宋"/>
          <w:color w:val="000000"/>
          <w:kern w:val="0"/>
          <w:szCs w:val="21"/>
          <w:highlight w:val="none"/>
        </w:rPr>
      </w:pPr>
      <w:r>
        <w:rPr>
          <w:rFonts w:hint="eastAsia" w:ascii="仿宋" w:hAnsi="仿宋" w:eastAsia="仿宋" w:cs="仿宋"/>
          <w:szCs w:val="21"/>
          <w:highlight w:val="none"/>
        </w:rPr>
        <w:t xml:space="preserve">  </w:t>
      </w:r>
      <w:r>
        <w:rPr>
          <w:rFonts w:hint="eastAsia" w:ascii="仿宋" w:hAnsi="仿宋" w:eastAsia="仿宋" w:cs="仿宋"/>
          <w:color w:val="000000"/>
          <w:kern w:val="0"/>
          <w:szCs w:val="21"/>
          <w:highlight w:val="none"/>
        </w:rPr>
        <w:t>G.存在共同直接或间接投资设立子公司、联营企业和合营企业情况</w:t>
      </w:r>
    </w:p>
    <w:p w14:paraId="57FDA6E7">
      <w:pPr>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 xml:space="preserve">  H.存在分级代理或代销关系、同一生产制造商关系、</w:t>
      </w:r>
      <w:r>
        <w:rPr>
          <w:rFonts w:hint="eastAsia" w:ascii="仿宋" w:hAnsi="仿宋" w:eastAsia="仿宋" w:cs="仿宋"/>
          <w:color w:val="000000"/>
          <w:szCs w:val="21"/>
          <w:highlight w:val="none"/>
        </w:rPr>
        <w:t>管理关系、重要业务（占主营业务收入50%以上）或重要财务往来关系（如融资）等其他实质性控制</w:t>
      </w:r>
      <w:r>
        <w:rPr>
          <w:rFonts w:hint="eastAsia" w:ascii="仿宋" w:hAnsi="仿宋" w:eastAsia="仿宋" w:cs="仿宋"/>
          <w:szCs w:val="21"/>
          <w:highlight w:val="none"/>
        </w:rPr>
        <w:t>关系</w:t>
      </w:r>
    </w:p>
    <w:p w14:paraId="65067279">
      <w:pPr>
        <w:ind w:firstLine="420" w:firstLineChars="200"/>
        <w:rPr>
          <w:rFonts w:hint="eastAsia" w:ascii="仿宋" w:hAnsi="仿宋" w:eastAsia="仿宋" w:cs="仿宋"/>
          <w:color w:val="000000"/>
          <w:spacing w:val="6"/>
          <w:szCs w:val="21"/>
          <w:highlight w:val="none"/>
        </w:rPr>
      </w:pPr>
      <w:r>
        <w:rPr>
          <w:rFonts w:hint="eastAsia" w:ascii="仿宋" w:hAnsi="仿宋" w:eastAsia="仿宋" w:cs="仿宋"/>
          <w:color w:val="000000"/>
          <w:szCs w:val="21"/>
          <w:highlight w:val="none"/>
        </w:rPr>
        <w:t xml:space="preserve">  I</w:t>
      </w:r>
      <w:r>
        <w:rPr>
          <w:rFonts w:hint="eastAsia" w:ascii="仿宋" w:hAnsi="仿宋" w:eastAsia="仿宋" w:cs="仿宋"/>
          <w:color w:val="000000"/>
          <w:kern w:val="0"/>
          <w:szCs w:val="21"/>
          <w:highlight w:val="none"/>
        </w:rPr>
        <w:t>.</w:t>
      </w:r>
      <w:r>
        <w:rPr>
          <w:rFonts w:hint="eastAsia" w:ascii="仿宋" w:hAnsi="仿宋" w:eastAsia="仿宋" w:cs="仿宋"/>
          <w:color w:val="000000"/>
          <w:szCs w:val="21"/>
          <w:highlight w:val="none"/>
        </w:rPr>
        <w:t>其他利害关系情况：</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kern w:val="0"/>
          <w:szCs w:val="21"/>
          <w:highlight w:val="none"/>
        </w:rPr>
        <w:t>。</w:t>
      </w:r>
    </w:p>
    <w:p w14:paraId="51EB1871">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三、现已清楚知道并</w:t>
      </w:r>
      <w:r>
        <w:rPr>
          <w:rFonts w:hint="eastAsia" w:ascii="仿宋" w:hAnsi="仿宋" w:eastAsia="仿宋" w:cs="仿宋"/>
          <w:color w:val="000000"/>
          <w:kern w:val="0"/>
          <w:szCs w:val="21"/>
          <w:highlight w:val="none"/>
        </w:rPr>
        <w:t>严格遵守政府采购法律法规和现场纪律。</w:t>
      </w:r>
    </w:p>
    <w:p w14:paraId="4A3632C5">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四、我发现供应商之间存在或可能存在上述第二条第</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项利害关系。</w:t>
      </w:r>
    </w:p>
    <w:p w14:paraId="39501111">
      <w:pPr>
        <w:wordWrap w:val="0"/>
        <w:jc w:val="right"/>
        <w:rPr>
          <w:rFonts w:hint="eastAsia" w:ascii="仿宋" w:hAnsi="仿宋" w:eastAsia="仿宋" w:cs="仿宋"/>
          <w:color w:val="000000"/>
          <w:kern w:val="0"/>
          <w:szCs w:val="21"/>
          <w:highlight w:val="none"/>
        </w:rPr>
      </w:pPr>
    </w:p>
    <w:p w14:paraId="2B97721D">
      <w:pPr>
        <w:wordWrap w:val="0"/>
        <w:jc w:val="right"/>
        <w:rPr>
          <w:rFonts w:hint="eastAsia" w:ascii="仿宋" w:hAnsi="仿宋" w:eastAsia="仿宋" w:cs="仿宋"/>
          <w:color w:val="000000"/>
          <w:kern w:val="0"/>
          <w:szCs w:val="21"/>
          <w:highlight w:val="none"/>
        </w:rPr>
      </w:pPr>
    </w:p>
    <w:p w14:paraId="55C90571">
      <w:pPr>
        <w:wordWrap w:val="0"/>
        <w:jc w:val="righ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供应商代表签名：</w:t>
      </w:r>
      <w:r>
        <w:rPr>
          <w:rFonts w:hint="eastAsia" w:ascii="仿宋" w:hAnsi="仿宋" w:eastAsia="仿宋" w:cs="仿宋"/>
          <w:color w:val="000000"/>
          <w:kern w:val="0"/>
          <w:szCs w:val="21"/>
          <w:highlight w:val="none"/>
          <w:u w:val="single"/>
        </w:rPr>
        <w:t xml:space="preserve">              </w:t>
      </w:r>
    </w:p>
    <w:p w14:paraId="0F179774">
      <w:pPr>
        <w:jc w:val="right"/>
        <w:rPr>
          <w:rFonts w:hint="eastAsia" w:ascii="仿宋" w:hAnsi="仿宋" w:eastAsia="仿宋" w:cs="仿宋"/>
          <w:color w:val="000000"/>
          <w:sz w:val="24"/>
          <w:highlight w:val="none"/>
        </w:rPr>
      </w:pPr>
      <w:r>
        <w:rPr>
          <w:rFonts w:hint="eastAsia" w:ascii="仿宋" w:hAnsi="仿宋" w:eastAsia="仿宋" w:cs="仿宋"/>
          <w:color w:val="000000"/>
          <w:kern w:val="0"/>
          <w:szCs w:val="21"/>
          <w:highlight w:val="none"/>
        </w:rPr>
        <w:t>年    月   日</w:t>
      </w:r>
    </w:p>
    <w:p w14:paraId="0D694073">
      <w:pPr>
        <w:pStyle w:val="73"/>
        <w:numPr>
          <w:ilvl w:val="0"/>
          <w:numId w:val="0"/>
        </w:numPr>
        <w:snapToGrid w:val="0"/>
        <w:spacing w:before="190" w:after="190" w:line="440" w:lineRule="exact"/>
        <w:ind w:leftChars="200"/>
        <w:rPr>
          <w:rFonts w:hint="eastAsia" w:ascii="仿宋" w:hAnsi="仿宋" w:eastAsia="仿宋" w:cs="仿宋"/>
          <w:b/>
          <w:bCs/>
          <w:highlight w:val="none"/>
        </w:rPr>
      </w:pPr>
    </w:p>
    <w:p w14:paraId="19060657">
      <w:pPr>
        <w:ind w:firstLine="420" w:firstLineChars="200"/>
        <w:rPr>
          <w:rFonts w:hint="eastAsia"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说明：本声明书待响应文件完成解密后由法定代表人（单位负责人）或授权代理人进行填写，并以扫描件形式回传至代理机构邮箱</w:t>
      </w:r>
      <w:r>
        <w:rPr>
          <w:rFonts w:hint="eastAsia" w:ascii="仿宋" w:hAnsi="仿宋" w:eastAsia="仿宋" w:cs="仿宋"/>
          <w:b/>
          <w:bCs/>
          <w:color w:val="000000"/>
          <w:kern w:val="0"/>
          <w:szCs w:val="21"/>
          <w:highlight w:val="none"/>
          <w:lang w:val="en-US" w:eastAsia="zh-CN"/>
        </w:rPr>
        <w:t>245132933</w:t>
      </w:r>
      <w:r>
        <w:rPr>
          <w:rFonts w:hint="eastAsia" w:ascii="仿宋" w:hAnsi="仿宋" w:eastAsia="仿宋" w:cs="仿宋"/>
          <w:b/>
          <w:bCs/>
          <w:color w:val="000000"/>
          <w:kern w:val="0"/>
          <w:szCs w:val="21"/>
          <w:highlight w:val="none"/>
        </w:rPr>
        <w:t>@qq.com。</w:t>
      </w:r>
    </w:p>
    <w:p w14:paraId="038A307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highlight w:val="none"/>
          <w:lang w:eastAsia="zh-CN"/>
        </w:rPr>
      </w:pPr>
    </w:p>
    <w:sectPr>
      <w:footerReference r:id="rId12" w:type="first"/>
      <w:headerReference r:id="rId9" w:type="default"/>
      <w:footerReference r:id="rId10" w:type="default"/>
      <w:footerReference r:id="rId11" w:type="even"/>
      <w:pgSz w:w="11907" w:h="16840"/>
      <w:pgMar w:top="1423" w:right="1502" w:bottom="1417" w:left="1474" w:header="720" w:footer="672" w:gutter="0"/>
      <w:pgNumType w:fmt="decimal"/>
      <w:cols w:space="720" w:num="1"/>
      <w:titlePg/>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DD..">
    <w:altName w:val="Courier New"/>
    <w:panose1 w:val="00000000000000000000"/>
    <w:charset w:val="00"/>
    <w:family w:val="auto"/>
    <w:pitch w:val="default"/>
    <w:sig w:usb0="00000000" w:usb1="00000000" w:usb2="00000000" w:usb3="00000000" w:csb0="0000019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2521">
    <w:pPr>
      <w:pStyle w:val="32"/>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19E2D">
                          <w:pPr>
                            <w:pStyle w:val="3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419E2D">
                    <w:pPr>
                      <w:pStyle w:val="3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C1B0">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3AA01">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14227">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114227">
                    <w:pPr>
                      <w:pStyle w:val="3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22EF006E">
                          <w:pPr>
                            <w:rPr>
                              <w:rFonts w:hint="eastAsia"/>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CC71RLNAQAAlwMAAA4AAABkcnMvZTJvRG9jLnhtbK1TS27bMBDdF+gd&#10;CO5ryk5TJILlIIWRokDRFkh6AJqiLAL8gUNb8gXaG3TVTfc9l8+RISU5TbLJIhtqODN8M+/NaHnV&#10;G032MoBytqLzWUGJtMLVym4r+uPu5t0FJRC5rbl2Vlb0IIFerd6+WXa+lAvXOl3LQBDEQtn5irYx&#10;+pIxEK00HGbOS4vBxgXDI17DltWBd4huNFsUxQfWuVD74IQEQO96CNIRMbwE0DWNEnLtxM5IGwfU&#10;IDWPSAla5YGucrdNI0X81jQgI9EVRaYxn1gE7U062WrJy23gvlVibIG/pIUnnAxXFoueoNY8crIL&#10;6hmUUSI4cE2cCWfYQCQrgizmxRNtblvuZeaCUoM/iQ6vByu+7r8HouqKLiix3ODAj79/Hf/8O/79&#10;SS6SPJ2HErNuPebF/qPrcWkmP6Azse6bYNIX+RCMo7iHk7iyj0SkR/P3l2fnlAgMzc/PCrQRnT08&#10;9gHiJ+kMSUZFA84uS8r3XyAOqVNKqmXdjdI6z0/bRw7ETB6WOh86TFbsN/1IZ+PqA7LpcOwVtbjl&#10;lOjPFlVNGzIZYTI2k7HzQW3bvEKpHvjrXcQmcm+pwgA7FsZ5ZXbjbqWF+P+esx7+p9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VPmtAAAAADAQAADwAAAAAAAAABACAAAAAiAAAAZHJzL2Rvd25y&#10;ZXYueG1sUEsBAhQAFAAAAAgAh07iQCC71RLNAQAAlwMAAA4AAAAAAAAAAQAgAAAAHwEAAGRycy9l&#10;Mm9Eb2MueG1sUEsFBgAAAAAGAAYAWQEAAF4FAAAAAA==&#10;">
              <v:fill on="f" focussize="0,0"/>
              <v:stroke on="f"/>
              <v:imagedata o:title=""/>
              <o:lock v:ext="edit" aspectratio="f"/>
              <v:textbox inset="0mm,0mm,0mm,0mm" style="mso-fit-shape-to-text:t;">
                <w:txbxContent>
                  <w:p w14:paraId="22EF006E">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BE6A">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6D007">
                          <w:pPr>
                            <w:pStyle w:val="3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86D007">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EFB0A"/>
  <w:p w14:paraId="0384A30C">
    <w:pPr>
      <w:pStyle w:val="32"/>
      <w:framePr w:wrap="around" w:vAnchor="text" w:hAnchor="margin" w:xAlign="right" w:y="1"/>
      <w:rPr>
        <w:rStyle w:val="104"/>
      </w:rPr>
    </w:pPr>
    <w:r>
      <w:fldChar w:fldCharType="begin"/>
    </w:r>
    <w:r>
      <w:rPr>
        <w:rStyle w:val="104"/>
      </w:rPr>
      <w:instrText xml:space="preserve">PAGE  </w:instrText>
    </w:r>
    <w:r>
      <w:fldChar w:fldCharType="separate"/>
    </w:r>
    <w:r>
      <w:rPr>
        <w:rStyle w:val="104"/>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57732">
    <w:pPr>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30169">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7B30169">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C3CF">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A97C0">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130B">
    <w:pPr>
      <w:pStyle w:val="34"/>
      <w:pBdr>
        <w:top w:val="none" w:color="auto" w:sz="0" w:space="0"/>
        <w:left w:val="none" w:color="auto" w:sz="0" w:space="0"/>
        <w:bottom w:val="none" w:color="auto" w:sz="0" w:space="1"/>
        <w:right w:val="none" w:color="auto" w:sz="0" w:space="0"/>
        <w:between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E477E">
    <w:pPr>
      <w:pStyle w:val="34"/>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CE5E"/>
    <w:multiLevelType w:val="singleLevel"/>
    <w:tmpl w:val="D282CE5E"/>
    <w:lvl w:ilvl="0" w:tentative="0">
      <w:start w:val="7"/>
      <w:numFmt w:val="chineseCounting"/>
      <w:suff w:val="nothing"/>
      <w:lvlText w:val="（%1）"/>
      <w:lvlJc w:val="left"/>
      <w:rPr>
        <w:rFonts w:hint="eastAsia"/>
      </w:rPr>
    </w:lvl>
  </w:abstractNum>
  <w:abstractNum w:abstractNumId="1">
    <w:nsid w:val="E5C89B52"/>
    <w:multiLevelType w:val="singleLevel"/>
    <w:tmpl w:val="E5C89B52"/>
    <w:lvl w:ilvl="0" w:tentative="0">
      <w:start w:val="1"/>
      <w:numFmt w:val="decimal"/>
      <w:suff w:val="nothing"/>
      <w:lvlText w:val="（%1）"/>
      <w:lvlJc w:val="left"/>
    </w:lvl>
  </w:abstractNum>
  <w:abstractNum w:abstractNumId="2">
    <w:nsid w:val="FFFFFF88"/>
    <w:multiLevelType w:val="singleLevel"/>
    <w:tmpl w:val="FFFFFF88"/>
    <w:lvl w:ilvl="0" w:tentative="0">
      <w:start w:val="1"/>
      <w:numFmt w:val="decimal"/>
      <w:pStyle w:val="13"/>
      <w:lvlText w:val="%1."/>
      <w:lvlJc w:val="left"/>
      <w:pPr>
        <w:tabs>
          <w:tab w:val="left" w:pos="360"/>
        </w:tabs>
        <w:ind w:left="360" w:hanging="360"/>
      </w:pPr>
    </w:lvl>
  </w:abstractNum>
  <w:abstractNum w:abstractNumId="3">
    <w:nsid w:val="036C06B5"/>
    <w:multiLevelType w:val="multilevel"/>
    <w:tmpl w:val="036C06B5"/>
    <w:lvl w:ilvl="0" w:tentative="0">
      <w:start w:val="1"/>
      <w:numFmt w:val="bullet"/>
      <w:pStyle w:val="57"/>
      <w:lvlText w:val=""/>
      <w:lvlJc w:val="left"/>
      <w:pPr>
        <w:tabs>
          <w:tab w:val="left" w:pos="587"/>
        </w:tabs>
        <w:ind w:left="0" w:firstLine="227"/>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C040946"/>
    <w:multiLevelType w:val="singleLevel"/>
    <w:tmpl w:val="1C040946"/>
    <w:lvl w:ilvl="0" w:tentative="0">
      <w:start w:val="8"/>
      <w:numFmt w:val="chineseCounting"/>
      <w:suff w:val="nothing"/>
      <w:lvlText w:val="%1、"/>
      <w:lvlJc w:val="left"/>
      <w:rPr>
        <w:rFonts w:hint="eastAsia"/>
      </w:rPr>
    </w:lvl>
  </w:abstractNum>
  <w:abstractNum w:abstractNumId="5">
    <w:nsid w:val="29E38D09"/>
    <w:multiLevelType w:val="singleLevel"/>
    <w:tmpl w:val="29E38D09"/>
    <w:lvl w:ilvl="0" w:tentative="0">
      <w:start w:val="2"/>
      <w:numFmt w:val="chineseCounting"/>
      <w:suff w:val="nothing"/>
      <w:lvlText w:val="%1、"/>
      <w:lvlJc w:val="left"/>
      <w:rPr>
        <w:rFonts w:hint="eastAsia"/>
      </w:rPr>
    </w:lvl>
  </w:abstractNum>
  <w:abstractNum w:abstractNumId="6">
    <w:nsid w:val="3AD53FB9"/>
    <w:multiLevelType w:val="multilevel"/>
    <w:tmpl w:val="3AD53FB9"/>
    <w:lvl w:ilvl="0" w:tentative="0">
      <w:start w:val="1"/>
      <w:numFmt w:val="japaneseCounting"/>
      <w:pStyle w:val="21"/>
      <w:lvlText w:val="%1、"/>
      <w:lvlJc w:val="left"/>
      <w:pPr>
        <w:tabs>
          <w:tab w:val="left" w:pos="645"/>
        </w:tabs>
        <w:ind w:left="645" w:hanging="645"/>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FB756FE"/>
    <w:multiLevelType w:val="singleLevel"/>
    <w:tmpl w:val="3FB756FE"/>
    <w:lvl w:ilvl="0" w:tentative="0">
      <w:start w:val="3"/>
      <w:numFmt w:val="chineseCounting"/>
      <w:suff w:val="nothing"/>
      <w:lvlText w:val="%1、"/>
      <w:lvlJc w:val="left"/>
      <w:rPr>
        <w:rFonts w:hint="eastAsia"/>
      </w:rPr>
    </w:lvl>
  </w:abstractNum>
  <w:abstractNum w:abstractNumId="8">
    <w:nsid w:val="5C946295"/>
    <w:multiLevelType w:val="multilevel"/>
    <w:tmpl w:val="5C946295"/>
    <w:lvl w:ilvl="0" w:tentative="0">
      <w:start w:val="1"/>
      <w:numFmt w:val="decimal"/>
      <w:lvlText w:val="%1、"/>
      <w:lvlJc w:val="left"/>
      <w:pPr>
        <w:ind w:left="-90" w:hanging="360"/>
      </w:pPr>
    </w:lvl>
    <w:lvl w:ilvl="1" w:tentative="0">
      <w:start w:val="1"/>
      <w:numFmt w:val="lowerLetter"/>
      <w:lvlText w:val="%1)"/>
      <w:lvlJc w:val="left"/>
      <w:pPr>
        <w:ind w:left="1470" w:hanging="420"/>
      </w:pPr>
    </w:lvl>
    <w:lvl w:ilvl="2" w:tentative="0">
      <w:start w:val="1"/>
      <w:numFmt w:val="lowerRoman"/>
      <w:lvlText w:val="%1."/>
      <w:lvlJc w:val="right"/>
      <w:pPr>
        <w:ind w:left="1890" w:hanging="420"/>
      </w:pPr>
    </w:lvl>
    <w:lvl w:ilvl="3" w:tentative="0">
      <w:start w:val="1"/>
      <w:numFmt w:val="decimal"/>
      <w:lvlText w:val="%1."/>
      <w:lvlJc w:val="left"/>
      <w:pPr>
        <w:ind w:left="2310" w:hanging="420"/>
      </w:pPr>
    </w:lvl>
    <w:lvl w:ilvl="4" w:tentative="0">
      <w:start w:val="1"/>
      <w:numFmt w:val="lowerLetter"/>
      <w:lvlText w:val="%1)"/>
      <w:lvlJc w:val="left"/>
      <w:pPr>
        <w:ind w:left="2730" w:hanging="420"/>
      </w:pPr>
    </w:lvl>
    <w:lvl w:ilvl="5" w:tentative="0">
      <w:start w:val="1"/>
      <w:numFmt w:val="lowerRoman"/>
      <w:lvlText w:val="%1."/>
      <w:lvlJc w:val="right"/>
      <w:pPr>
        <w:ind w:left="3150" w:hanging="420"/>
      </w:pPr>
    </w:lvl>
    <w:lvl w:ilvl="6" w:tentative="0">
      <w:start w:val="1"/>
      <w:numFmt w:val="decimal"/>
      <w:lvlText w:val="%1."/>
      <w:lvlJc w:val="left"/>
      <w:pPr>
        <w:ind w:left="3570" w:hanging="420"/>
      </w:pPr>
    </w:lvl>
    <w:lvl w:ilvl="7" w:tentative="0">
      <w:start w:val="1"/>
      <w:numFmt w:val="lowerLetter"/>
      <w:lvlText w:val="%1)"/>
      <w:lvlJc w:val="left"/>
      <w:pPr>
        <w:ind w:left="3990" w:hanging="420"/>
      </w:pPr>
    </w:lvl>
    <w:lvl w:ilvl="8" w:tentative="0">
      <w:start w:val="1"/>
      <w:numFmt w:val="lowerRoman"/>
      <w:lvlText w:val="%1."/>
      <w:lvlJc w:val="right"/>
      <w:pPr>
        <w:ind w:left="4410" w:hanging="420"/>
      </w:pPr>
    </w:lvl>
  </w:abstractNum>
  <w:num w:numId="1">
    <w:abstractNumId w:val="2"/>
  </w:num>
  <w:num w:numId="2">
    <w:abstractNumId w:val="6"/>
  </w:num>
  <w:num w:numId="3">
    <w:abstractNumId w:val="3"/>
  </w:num>
  <w:num w:numId="4">
    <w:abstractNumId w:val="0"/>
  </w:num>
  <w:num w:numId="5">
    <w:abstractNumId w:val="5"/>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5"/>
  <w:drawingGridVerticalSpacing w:val="19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YmFhZGYzOTM2NzdlNjg2MTQ3ZGE4ZmU1ODdjMTcifQ=="/>
  </w:docVars>
  <w:rsids>
    <w:rsidRoot w:val="00172A27"/>
    <w:rsid w:val="0000118F"/>
    <w:rsid w:val="00001449"/>
    <w:rsid w:val="0000265F"/>
    <w:rsid w:val="0000266B"/>
    <w:rsid w:val="00004B46"/>
    <w:rsid w:val="00005398"/>
    <w:rsid w:val="000055E5"/>
    <w:rsid w:val="00005C0C"/>
    <w:rsid w:val="000064DE"/>
    <w:rsid w:val="000069A9"/>
    <w:rsid w:val="00007E2C"/>
    <w:rsid w:val="00007FF1"/>
    <w:rsid w:val="000100CA"/>
    <w:rsid w:val="00010A66"/>
    <w:rsid w:val="00010E74"/>
    <w:rsid w:val="00012117"/>
    <w:rsid w:val="00012619"/>
    <w:rsid w:val="00012A5F"/>
    <w:rsid w:val="00012C27"/>
    <w:rsid w:val="00012DA5"/>
    <w:rsid w:val="000131B5"/>
    <w:rsid w:val="0001379A"/>
    <w:rsid w:val="00014BA2"/>
    <w:rsid w:val="000155F2"/>
    <w:rsid w:val="00016C14"/>
    <w:rsid w:val="00017931"/>
    <w:rsid w:val="00017A10"/>
    <w:rsid w:val="00020DC2"/>
    <w:rsid w:val="00021639"/>
    <w:rsid w:val="00021E60"/>
    <w:rsid w:val="000221B7"/>
    <w:rsid w:val="00022598"/>
    <w:rsid w:val="00022694"/>
    <w:rsid w:val="00023679"/>
    <w:rsid w:val="00023DC8"/>
    <w:rsid w:val="00024E05"/>
    <w:rsid w:val="00024E53"/>
    <w:rsid w:val="000260DE"/>
    <w:rsid w:val="00026AFE"/>
    <w:rsid w:val="0002776D"/>
    <w:rsid w:val="000277EC"/>
    <w:rsid w:val="00030A19"/>
    <w:rsid w:val="00030A81"/>
    <w:rsid w:val="000311ED"/>
    <w:rsid w:val="000312D1"/>
    <w:rsid w:val="000321F7"/>
    <w:rsid w:val="00033E70"/>
    <w:rsid w:val="00033F90"/>
    <w:rsid w:val="000343A9"/>
    <w:rsid w:val="00035301"/>
    <w:rsid w:val="000357DF"/>
    <w:rsid w:val="0003599E"/>
    <w:rsid w:val="00035C69"/>
    <w:rsid w:val="00036D0E"/>
    <w:rsid w:val="00040FDE"/>
    <w:rsid w:val="000412CA"/>
    <w:rsid w:val="0004138D"/>
    <w:rsid w:val="00041571"/>
    <w:rsid w:val="00041769"/>
    <w:rsid w:val="00041821"/>
    <w:rsid w:val="00042E0A"/>
    <w:rsid w:val="000438DF"/>
    <w:rsid w:val="00043EB0"/>
    <w:rsid w:val="0004568F"/>
    <w:rsid w:val="00045B56"/>
    <w:rsid w:val="00046335"/>
    <w:rsid w:val="00046418"/>
    <w:rsid w:val="00046E9A"/>
    <w:rsid w:val="00047193"/>
    <w:rsid w:val="000474B1"/>
    <w:rsid w:val="0004778B"/>
    <w:rsid w:val="0004783D"/>
    <w:rsid w:val="00050708"/>
    <w:rsid w:val="00051250"/>
    <w:rsid w:val="00055146"/>
    <w:rsid w:val="00055B16"/>
    <w:rsid w:val="00057762"/>
    <w:rsid w:val="000579D2"/>
    <w:rsid w:val="000603EC"/>
    <w:rsid w:val="00060840"/>
    <w:rsid w:val="00061A75"/>
    <w:rsid w:val="00061AE0"/>
    <w:rsid w:val="0006236E"/>
    <w:rsid w:val="00063240"/>
    <w:rsid w:val="00063467"/>
    <w:rsid w:val="00063DEF"/>
    <w:rsid w:val="00063E4A"/>
    <w:rsid w:val="00063EC8"/>
    <w:rsid w:val="00063FCF"/>
    <w:rsid w:val="000641F7"/>
    <w:rsid w:val="0006499E"/>
    <w:rsid w:val="0006599D"/>
    <w:rsid w:val="00065A81"/>
    <w:rsid w:val="00066BB2"/>
    <w:rsid w:val="00066DBB"/>
    <w:rsid w:val="00067323"/>
    <w:rsid w:val="00067BC5"/>
    <w:rsid w:val="00067E4D"/>
    <w:rsid w:val="0007082A"/>
    <w:rsid w:val="00070848"/>
    <w:rsid w:val="00071417"/>
    <w:rsid w:val="000715DB"/>
    <w:rsid w:val="0007163A"/>
    <w:rsid w:val="0007244E"/>
    <w:rsid w:val="000727A8"/>
    <w:rsid w:val="00073B04"/>
    <w:rsid w:val="000741D4"/>
    <w:rsid w:val="0007444D"/>
    <w:rsid w:val="00074EF3"/>
    <w:rsid w:val="000751B4"/>
    <w:rsid w:val="00075390"/>
    <w:rsid w:val="000769F0"/>
    <w:rsid w:val="000770B4"/>
    <w:rsid w:val="0007749C"/>
    <w:rsid w:val="00077D1D"/>
    <w:rsid w:val="000804CD"/>
    <w:rsid w:val="000806CE"/>
    <w:rsid w:val="00080771"/>
    <w:rsid w:val="00081DA2"/>
    <w:rsid w:val="00082B43"/>
    <w:rsid w:val="0008498F"/>
    <w:rsid w:val="000855B0"/>
    <w:rsid w:val="000857FD"/>
    <w:rsid w:val="0008625E"/>
    <w:rsid w:val="000872F7"/>
    <w:rsid w:val="000918AE"/>
    <w:rsid w:val="00091CEA"/>
    <w:rsid w:val="00091E5F"/>
    <w:rsid w:val="00093590"/>
    <w:rsid w:val="00093E28"/>
    <w:rsid w:val="00094C54"/>
    <w:rsid w:val="00096DE9"/>
    <w:rsid w:val="000976A9"/>
    <w:rsid w:val="00097E62"/>
    <w:rsid w:val="000A0223"/>
    <w:rsid w:val="000A06A4"/>
    <w:rsid w:val="000A139D"/>
    <w:rsid w:val="000A1F4C"/>
    <w:rsid w:val="000A48B6"/>
    <w:rsid w:val="000A4B97"/>
    <w:rsid w:val="000A4F3D"/>
    <w:rsid w:val="000A782A"/>
    <w:rsid w:val="000A7C39"/>
    <w:rsid w:val="000A7C99"/>
    <w:rsid w:val="000B06DB"/>
    <w:rsid w:val="000B0C12"/>
    <w:rsid w:val="000B0FD8"/>
    <w:rsid w:val="000B11D4"/>
    <w:rsid w:val="000B171B"/>
    <w:rsid w:val="000B1D1C"/>
    <w:rsid w:val="000B2298"/>
    <w:rsid w:val="000B41B8"/>
    <w:rsid w:val="000B4D50"/>
    <w:rsid w:val="000B5089"/>
    <w:rsid w:val="000B634D"/>
    <w:rsid w:val="000B66C0"/>
    <w:rsid w:val="000C0A1F"/>
    <w:rsid w:val="000C1DB6"/>
    <w:rsid w:val="000C28E3"/>
    <w:rsid w:val="000C42BE"/>
    <w:rsid w:val="000C4C20"/>
    <w:rsid w:val="000C509F"/>
    <w:rsid w:val="000C54EC"/>
    <w:rsid w:val="000C5BF5"/>
    <w:rsid w:val="000C6152"/>
    <w:rsid w:val="000C6E5C"/>
    <w:rsid w:val="000C78AB"/>
    <w:rsid w:val="000D0226"/>
    <w:rsid w:val="000D1434"/>
    <w:rsid w:val="000D2C50"/>
    <w:rsid w:val="000D4159"/>
    <w:rsid w:val="000D5399"/>
    <w:rsid w:val="000D561E"/>
    <w:rsid w:val="000D63D5"/>
    <w:rsid w:val="000D6579"/>
    <w:rsid w:val="000D67B7"/>
    <w:rsid w:val="000D79F5"/>
    <w:rsid w:val="000D7DC1"/>
    <w:rsid w:val="000E015F"/>
    <w:rsid w:val="000E04D7"/>
    <w:rsid w:val="000E0A3B"/>
    <w:rsid w:val="000E0B92"/>
    <w:rsid w:val="000E22CB"/>
    <w:rsid w:val="000E2D28"/>
    <w:rsid w:val="000E2DB3"/>
    <w:rsid w:val="000E3654"/>
    <w:rsid w:val="000E49C5"/>
    <w:rsid w:val="000E5631"/>
    <w:rsid w:val="000E5C42"/>
    <w:rsid w:val="000E6043"/>
    <w:rsid w:val="000E7809"/>
    <w:rsid w:val="000F07A8"/>
    <w:rsid w:val="000F0FA0"/>
    <w:rsid w:val="000F106D"/>
    <w:rsid w:val="000F1172"/>
    <w:rsid w:val="000F1861"/>
    <w:rsid w:val="000F1925"/>
    <w:rsid w:val="000F2A08"/>
    <w:rsid w:val="000F3242"/>
    <w:rsid w:val="000F366D"/>
    <w:rsid w:val="000F530A"/>
    <w:rsid w:val="000F5E59"/>
    <w:rsid w:val="000F681E"/>
    <w:rsid w:val="000F6D20"/>
    <w:rsid w:val="000F6EE9"/>
    <w:rsid w:val="000F7AE1"/>
    <w:rsid w:val="000F7B28"/>
    <w:rsid w:val="001015EC"/>
    <w:rsid w:val="00103270"/>
    <w:rsid w:val="0010360B"/>
    <w:rsid w:val="00105271"/>
    <w:rsid w:val="00105499"/>
    <w:rsid w:val="0010698A"/>
    <w:rsid w:val="001070F4"/>
    <w:rsid w:val="001077EF"/>
    <w:rsid w:val="00110342"/>
    <w:rsid w:val="00110424"/>
    <w:rsid w:val="00110C74"/>
    <w:rsid w:val="00110CD0"/>
    <w:rsid w:val="00110FB4"/>
    <w:rsid w:val="0011139A"/>
    <w:rsid w:val="001114DF"/>
    <w:rsid w:val="001116D1"/>
    <w:rsid w:val="00111CB8"/>
    <w:rsid w:val="00111E0E"/>
    <w:rsid w:val="001124DD"/>
    <w:rsid w:val="0011265C"/>
    <w:rsid w:val="00112FF3"/>
    <w:rsid w:val="001133F2"/>
    <w:rsid w:val="001138AB"/>
    <w:rsid w:val="00113F0A"/>
    <w:rsid w:val="00115C42"/>
    <w:rsid w:val="001163B4"/>
    <w:rsid w:val="00116B3C"/>
    <w:rsid w:val="00120D6D"/>
    <w:rsid w:val="00121D52"/>
    <w:rsid w:val="00121FFD"/>
    <w:rsid w:val="00123030"/>
    <w:rsid w:val="00123E43"/>
    <w:rsid w:val="00125C64"/>
    <w:rsid w:val="001263DE"/>
    <w:rsid w:val="001268D3"/>
    <w:rsid w:val="00126C21"/>
    <w:rsid w:val="001276FA"/>
    <w:rsid w:val="00127B32"/>
    <w:rsid w:val="00127B57"/>
    <w:rsid w:val="00127E37"/>
    <w:rsid w:val="00127FE3"/>
    <w:rsid w:val="00130DE5"/>
    <w:rsid w:val="00131405"/>
    <w:rsid w:val="00132560"/>
    <w:rsid w:val="0013565B"/>
    <w:rsid w:val="00135BAE"/>
    <w:rsid w:val="00135E99"/>
    <w:rsid w:val="00136CE0"/>
    <w:rsid w:val="00137033"/>
    <w:rsid w:val="0013766D"/>
    <w:rsid w:val="00137AA6"/>
    <w:rsid w:val="001408AA"/>
    <w:rsid w:val="001408BB"/>
    <w:rsid w:val="00140A0E"/>
    <w:rsid w:val="00140A31"/>
    <w:rsid w:val="00140E38"/>
    <w:rsid w:val="00141286"/>
    <w:rsid w:val="001414B9"/>
    <w:rsid w:val="00141BF4"/>
    <w:rsid w:val="00142ABE"/>
    <w:rsid w:val="001433B0"/>
    <w:rsid w:val="00143627"/>
    <w:rsid w:val="00143D92"/>
    <w:rsid w:val="00144658"/>
    <w:rsid w:val="00145219"/>
    <w:rsid w:val="0014583C"/>
    <w:rsid w:val="001463C8"/>
    <w:rsid w:val="0014643A"/>
    <w:rsid w:val="00147776"/>
    <w:rsid w:val="001500CB"/>
    <w:rsid w:val="001501A7"/>
    <w:rsid w:val="00151D08"/>
    <w:rsid w:val="00152C81"/>
    <w:rsid w:val="00152DE6"/>
    <w:rsid w:val="00152E80"/>
    <w:rsid w:val="0015350F"/>
    <w:rsid w:val="00154AF6"/>
    <w:rsid w:val="0015594E"/>
    <w:rsid w:val="00155F4C"/>
    <w:rsid w:val="00156B22"/>
    <w:rsid w:val="001578EE"/>
    <w:rsid w:val="001613DB"/>
    <w:rsid w:val="001617F8"/>
    <w:rsid w:val="00162388"/>
    <w:rsid w:val="00162C0A"/>
    <w:rsid w:val="001633B8"/>
    <w:rsid w:val="00164215"/>
    <w:rsid w:val="0016456A"/>
    <w:rsid w:val="00164BE2"/>
    <w:rsid w:val="0016579C"/>
    <w:rsid w:val="00165DBF"/>
    <w:rsid w:val="001669E4"/>
    <w:rsid w:val="00166C25"/>
    <w:rsid w:val="00166EF4"/>
    <w:rsid w:val="001672B9"/>
    <w:rsid w:val="0016730D"/>
    <w:rsid w:val="0016737D"/>
    <w:rsid w:val="00173B10"/>
    <w:rsid w:val="00173E32"/>
    <w:rsid w:val="00173E51"/>
    <w:rsid w:val="00174BFE"/>
    <w:rsid w:val="00175AA2"/>
    <w:rsid w:val="00175B91"/>
    <w:rsid w:val="00175BDB"/>
    <w:rsid w:val="00175C70"/>
    <w:rsid w:val="00176127"/>
    <w:rsid w:val="00177160"/>
    <w:rsid w:val="00177C92"/>
    <w:rsid w:val="00180F33"/>
    <w:rsid w:val="0018173F"/>
    <w:rsid w:val="00181EBF"/>
    <w:rsid w:val="0018335E"/>
    <w:rsid w:val="00183AB1"/>
    <w:rsid w:val="00183FF6"/>
    <w:rsid w:val="00184C89"/>
    <w:rsid w:val="0018582C"/>
    <w:rsid w:val="00186DA3"/>
    <w:rsid w:val="0019054E"/>
    <w:rsid w:val="0019185A"/>
    <w:rsid w:val="0019241A"/>
    <w:rsid w:val="00193D4A"/>
    <w:rsid w:val="00194120"/>
    <w:rsid w:val="001945BA"/>
    <w:rsid w:val="00195DE2"/>
    <w:rsid w:val="0019635C"/>
    <w:rsid w:val="00196409"/>
    <w:rsid w:val="001976E5"/>
    <w:rsid w:val="001A171B"/>
    <w:rsid w:val="001A1D71"/>
    <w:rsid w:val="001A3954"/>
    <w:rsid w:val="001A3E4D"/>
    <w:rsid w:val="001A3F49"/>
    <w:rsid w:val="001A68E7"/>
    <w:rsid w:val="001A7AA3"/>
    <w:rsid w:val="001A7E8C"/>
    <w:rsid w:val="001B122A"/>
    <w:rsid w:val="001B1434"/>
    <w:rsid w:val="001B157F"/>
    <w:rsid w:val="001B1BD9"/>
    <w:rsid w:val="001B2184"/>
    <w:rsid w:val="001B3338"/>
    <w:rsid w:val="001B69D1"/>
    <w:rsid w:val="001C0195"/>
    <w:rsid w:val="001C0AF0"/>
    <w:rsid w:val="001C12A2"/>
    <w:rsid w:val="001C1532"/>
    <w:rsid w:val="001C278E"/>
    <w:rsid w:val="001C30EA"/>
    <w:rsid w:val="001C35C8"/>
    <w:rsid w:val="001C372E"/>
    <w:rsid w:val="001C4BF9"/>
    <w:rsid w:val="001C4E8C"/>
    <w:rsid w:val="001C5326"/>
    <w:rsid w:val="001C5663"/>
    <w:rsid w:val="001C5903"/>
    <w:rsid w:val="001D08E6"/>
    <w:rsid w:val="001D1628"/>
    <w:rsid w:val="001D18EA"/>
    <w:rsid w:val="001D1B2A"/>
    <w:rsid w:val="001D28BC"/>
    <w:rsid w:val="001D36C0"/>
    <w:rsid w:val="001D417C"/>
    <w:rsid w:val="001D4293"/>
    <w:rsid w:val="001D49E9"/>
    <w:rsid w:val="001D4B5D"/>
    <w:rsid w:val="001D5FB3"/>
    <w:rsid w:val="001D61EB"/>
    <w:rsid w:val="001D6228"/>
    <w:rsid w:val="001D7CC7"/>
    <w:rsid w:val="001E0403"/>
    <w:rsid w:val="001E0512"/>
    <w:rsid w:val="001E0AAF"/>
    <w:rsid w:val="001E116C"/>
    <w:rsid w:val="001E3261"/>
    <w:rsid w:val="001E3A52"/>
    <w:rsid w:val="001F02C7"/>
    <w:rsid w:val="001F1A5A"/>
    <w:rsid w:val="001F21A5"/>
    <w:rsid w:val="001F4519"/>
    <w:rsid w:val="001F7152"/>
    <w:rsid w:val="00200E9F"/>
    <w:rsid w:val="0020153C"/>
    <w:rsid w:val="00202D86"/>
    <w:rsid w:val="002031AE"/>
    <w:rsid w:val="00203213"/>
    <w:rsid w:val="002054FE"/>
    <w:rsid w:val="00205EE7"/>
    <w:rsid w:val="00205F18"/>
    <w:rsid w:val="0020742A"/>
    <w:rsid w:val="00207E80"/>
    <w:rsid w:val="002110D2"/>
    <w:rsid w:val="002114E0"/>
    <w:rsid w:val="00211E25"/>
    <w:rsid w:val="002138C7"/>
    <w:rsid w:val="0021395E"/>
    <w:rsid w:val="002174F9"/>
    <w:rsid w:val="00217F05"/>
    <w:rsid w:val="002212A4"/>
    <w:rsid w:val="00221881"/>
    <w:rsid w:val="002234B3"/>
    <w:rsid w:val="00223ECB"/>
    <w:rsid w:val="002242CD"/>
    <w:rsid w:val="00224945"/>
    <w:rsid w:val="00224F5D"/>
    <w:rsid w:val="00225450"/>
    <w:rsid w:val="002266FB"/>
    <w:rsid w:val="00227266"/>
    <w:rsid w:val="00231920"/>
    <w:rsid w:val="00231CB8"/>
    <w:rsid w:val="00232D89"/>
    <w:rsid w:val="00233BA6"/>
    <w:rsid w:val="002342A0"/>
    <w:rsid w:val="00234869"/>
    <w:rsid w:val="0023486D"/>
    <w:rsid w:val="0023588C"/>
    <w:rsid w:val="0023598A"/>
    <w:rsid w:val="00235C85"/>
    <w:rsid w:val="0023714B"/>
    <w:rsid w:val="002375EC"/>
    <w:rsid w:val="00240AE8"/>
    <w:rsid w:val="002419B7"/>
    <w:rsid w:val="002419C6"/>
    <w:rsid w:val="00242519"/>
    <w:rsid w:val="002435B2"/>
    <w:rsid w:val="00243DE4"/>
    <w:rsid w:val="0024428A"/>
    <w:rsid w:val="0024497E"/>
    <w:rsid w:val="00244D70"/>
    <w:rsid w:val="0024532A"/>
    <w:rsid w:val="002454BD"/>
    <w:rsid w:val="00246B12"/>
    <w:rsid w:val="00246E4A"/>
    <w:rsid w:val="00246F91"/>
    <w:rsid w:val="00247C48"/>
    <w:rsid w:val="00251069"/>
    <w:rsid w:val="00251489"/>
    <w:rsid w:val="00251877"/>
    <w:rsid w:val="002528D9"/>
    <w:rsid w:val="002551AC"/>
    <w:rsid w:val="00255344"/>
    <w:rsid w:val="00255F17"/>
    <w:rsid w:val="002563FD"/>
    <w:rsid w:val="00256519"/>
    <w:rsid w:val="0025695A"/>
    <w:rsid w:val="00256B8A"/>
    <w:rsid w:val="002577BB"/>
    <w:rsid w:val="00260A3F"/>
    <w:rsid w:val="002612E7"/>
    <w:rsid w:val="00262A83"/>
    <w:rsid w:val="00262C6A"/>
    <w:rsid w:val="0026381A"/>
    <w:rsid w:val="00264A4A"/>
    <w:rsid w:val="00265209"/>
    <w:rsid w:val="00265383"/>
    <w:rsid w:val="00265AB8"/>
    <w:rsid w:val="002667CB"/>
    <w:rsid w:val="00267282"/>
    <w:rsid w:val="00267737"/>
    <w:rsid w:val="00270744"/>
    <w:rsid w:val="002711BC"/>
    <w:rsid w:val="0027189E"/>
    <w:rsid w:val="00272B19"/>
    <w:rsid w:val="0027388E"/>
    <w:rsid w:val="00274CF7"/>
    <w:rsid w:val="00274F30"/>
    <w:rsid w:val="002758B4"/>
    <w:rsid w:val="002763A9"/>
    <w:rsid w:val="00276EE9"/>
    <w:rsid w:val="002774AA"/>
    <w:rsid w:val="002801E1"/>
    <w:rsid w:val="0028129C"/>
    <w:rsid w:val="002821F4"/>
    <w:rsid w:val="0028310C"/>
    <w:rsid w:val="002846AA"/>
    <w:rsid w:val="00286878"/>
    <w:rsid w:val="002919B7"/>
    <w:rsid w:val="00292530"/>
    <w:rsid w:val="0029282A"/>
    <w:rsid w:val="002928A8"/>
    <w:rsid w:val="0029343E"/>
    <w:rsid w:val="00293D82"/>
    <w:rsid w:val="0029402F"/>
    <w:rsid w:val="00297B7E"/>
    <w:rsid w:val="00297E4A"/>
    <w:rsid w:val="002A0124"/>
    <w:rsid w:val="002A3691"/>
    <w:rsid w:val="002A3996"/>
    <w:rsid w:val="002A3EAC"/>
    <w:rsid w:val="002A4DA2"/>
    <w:rsid w:val="002A5DF0"/>
    <w:rsid w:val="002A68E2"/>
    <w:rsid w:val="002A7D7A"/>
    <w:rsid w:val="002B145A"/>
    <w:rsid w:val="002B1D0C"/>
    <w:rsid w:val="002B2E46"/>
    <w:rsid w:val="002B53E0"/>
    <w:rsid w:val="002B625D"/>
    <w:rsid w:val="002B6B12"/>
    <w:rsid w:val="002C09AC"/>
    <w:rsid w:val="002C1380"/>
    <w:rsid w:val="002C17CA"/>
    <w:rsid w:val="002C1849"/>
    <w:rsid w:val="002C20BD"/>
    <w:rsid w:val="002C2266"/>
    <w:rsid w:val="002C36E9"/>
    <w:rsid w:val="002C43C4"/>
    <w:rsid w:val="002C6A3E"/>
    <w:rsid w:val="002C6C73"/>
    <w:rsid w:val="002C77C7"/>
    <w:rsid w:val="002D0440"/>
    <w:rsid w:val="002D0625"/>
    <w:rsid w:val="002D0ABC"/>
    <w:rsid w:val="002D1071"/>
    <w:rsid w:val="002D18BC"/>
    <w:rsid w:val="002D2714"/>
    <w:rsid w:val="002D2CDE"/>
    <w:rsid w:val="002D2DBF"/>
    <w:rsid w:val="002D42DD"/>
    <w:rsid w:val="002D6044"/>
    <w:rsid w:val="002D6BD8"/>
    <w:rsid w:val="002D6C2D"/>
    <w:rsid w:val="002D790F"/>
    <w:rsid w:val="002D7F94"/>
    <w:rsid w:val="002E01F0"/>
    <w:rsid w:val="002E0354"/>
    <w:rsid w:val="002E0B5F"/>
    <w:rsid w:val="002E0D3A"/>
    <w:rsid w:val="002E470C"/>
    <w:rsid w:val="002E4EC8"/>
    <w:rsid w:val="002E6BA0"/>
    <w:rsid w:val="002E7AF1"/>
    <w:rsid w:val="002F050A"/>
    <w:rsid w:val="002F0FDD"/>
    <w:rsid w:val="002F1446"/>
    <w:rsid w:val="002F1692"/>
    <w:rsid w:val="002F1812"/>
    <w:rsid w:val="002F2B2B"/>
    <w:rsid w:val="002F4103"/>
    <w:rsid w:val="002F4B0F"/>
    <w:rsid w:val="002F4BFE"/>
    <w:rsid w:val="002F60AB"/>
    <w:rsid w:val="002F6D03"/>
    <w:rsid w:val="002F74E9"/>
    <w:rsid w:val="002F7E68"/>
    <w:rsid w:val="003005F6"/>
    <w:rsid w:val="003013C6"/>
    <w:rsid w:val="003025D7"/>
    <w:rsid w:val="00302766"/>
    <w:rsid w:val="003027C5"/>
    <w:rsid w:val="00302955"/>
    <w:rsid w:val="00302E6C"/>
    <w:rsid w:val="0030358B"/>
    <w:rsid w:val="00303B18"/>
    <w:rsid w:val="003041F1"/>
    <w:rsid w:val="003076E8"/>
    <w:rsid w:val="003109DC"/>
    <w:rsid w:val="003116DB"/>
    <w:rsid w:val="00311E74"/>
    <w:rsid w:val="003126C8"/>
    <w:rsid w:val="003129CB"/>
    <w:rsid w:val="00313703"/>
    <w:rsid w:val="00313AFD"/>
    <w:rsid w:val="00314003"/>
    <w:rsid w:val="00314AA6"/>
    <w:rsid w:val="00314CB3"/>
    <w:rsid w:val="00315149"/>
    <w:rsid w:val="0031549E"/>
    <w:rsid w:val="00315846"/>
    <w:rsid w:val="003162BF"/>
    <w:rsid w:val="003164FD"/>
    <w:rsid w:val="00316A45"/>
    <w:rsid w:val="00316C25"/>
    <w:rsid w:val="00320E0A"/>
    <w:rsid w:val="00320FF0"/>
    <w:rsid w:val="003213A8"/>
    <w:rsid w:val="00321D54"/>
    <w:rsid w:val="00321E1B"/>
    <w:rsid w:val="00324152"/>
    <w:rsid w:val="00324993"/>
    <w:rsid w:val="003250D5"/>
    <w:rsid w:val="00325334"/>
    <w:rsid w:val="0032681C"/>
    <w:rsid w:val="00327EDB"/>
    <w:rsid w:val="0033049D"/>
    <w:rsid w:val="00331500"/>
    <w:rsid w:val="00332C1D"/>
    <w:rsid w:val="00334874"/>
    <w:rsid w:val="00334D63"/>
    <w:rsid w:val="0033595E"/>
    <w:rsid w:val="00342BC1"/>
    <w:rsid w:val="00342EAF"/>
    <w:rsid w:val="0034331D"/>
    <w:rsid w:val="003440BF"/>
    <w:rsid w:val="0034458C"/>
    <w:rsid w:val="00345497"/>
    <w:rsid w:val="00346B3F"/>
    <w:rsid w:val="00346C1B"/>
    <w:rsid w:val="00346ECE"/>
    <w:rsid w:val="00352139"/>
    <w:rsid w:val="003525C8"/>
    <w:rsid w:val="0035274F"/>
    <w:rsid w:val="0035278F"/>
    <w:rsid w:val="003535DF"/>
    <w:rsid w:val="00354715"/>
    <w:rsid w:val="003549BE"/>
    <w:rsid w:val="003562C9"/>
    <w:rsid w:val="003571F0"/>
    <w:rsid w:val="00357C9D"/>
    <w:rsid w:val="00357EF4"/>
    <w:rsid w:val="003603C9"/>
    <w:rsid w:val="00360414"/>
    <w:rsid w:val="00360C57"/>
    <w:rsid w:val="0036338D"/>
    <w:rsid w:val="003633D8"/>
    <w:rsid w:val="003636AF"/>
    <w:rsid w:val="00363959"/>
    <w:rsid w:val="0036579D"/>
    <w:rsid w:val="00366E5C"/>
    <w:rsid w:val="00367D8D"/>
    <w:rsid w:val="00367F84"/>
    <w:rsid w:val="00367FB6"/>
    <w:rsid w:val="00371C44"/>
    <w:rsid w:val="0037252A"/>
    <w:rsid w:val="00372E0F"/>
    <w:rsid w:val="0037501A"/>
    <w:rsid w:val="00375116"/>
    <w:rsid w:val="00375CA8"/>
    <w:rsid w:val="0037679F"/>
    <w:rsid w:val="00376C40"/>
    <w:rsid w:val="00376E2A"/>
    <w:rsid w:val="00377958"/>
    <w:rsid w:val="003814C0"/>
    <w:rsid w:val="0038163A"/>
    <w:rsid w:val="00382527"/>
    <w:rsid w:val="0038262F"/>
    <w:rsid w:val="0038317D"/>
    <w:rsid w:val="003831D7"/>
    <w:rsid w:val="0038327D"/>
    <w:rsid w:val="00383ADC"/>
    <w:rsid w:val="0038411B"/>
    <w:rsid w:val="00384DF4"/>
    <w:rsid w:val="003859C1"/>
    <w:rsid w:val="00385A46"/>
    <w:rsid w:val="00386D43"/>
    <w:rsid w:val="00390C19"/>
    <w:rsid w:val="0039111C"/>
    <w:rsid w:val="003914FF"/>
    <w:rsid w:val="00392FC6"/>
    <w:rsid w:val="0039310B"/>
    <w:rsid w:val="00393C30"/>
    <w:rsid w:val="00394755"/>
    <w:rsid w:val="00396E21"/>
    <w:rsid w:val="00396F7E"/>
    <w:rsid w:val="00397A95"/>
    <w:rsid w:val="003A1E91"/>
    <w:rsid w:val="003A2B1A"/>
    <w:rsid w:val="003A2F32"/>
    <w:rsid w:val="003A3377"/>
    <w:rsid w:val="003A3878"/>
    <w:rsid w:val="003A49C2"/>
    <w:rsid w:val="003A5060"/>
    <w:rsid w:val="003A5C2B"/>
    <w:rsid w:val="003A5E77"/>
    <w:rsid w:val="003A62F4"/>
    <w:rsid w:val="003A637F"/>
    <w:rsid w:val="003A6C3F"/>
    <w:rsid w:val="003B03F5"/>
    <w:rsid w:val="003B0630"/>
    <w:rsid w:val="003B08C9"/>
    <w:rsid w:val="003B1511"/>
    <w:rsid w:val="003B1A68"/>
    <w:rsid w:val="003B1E8D"/>
    <w:rsid w:val="003B1EE4"/>
    <w:rsid w:val="003B22EB"/>
    <w:rsid w:val="003B293C"/>
    <w:rsid w:val="003B3060"/>
    <w:rsid w:val="003B339F"/>
    <w:rsid w:val="003B3CDC"/>
    <w:rsid w:val="003B40C3"/>
    <w:rsid w:val="003B5A96"/>
    <w:rsid w:val="003B787A"/>
    <w:rsid w:val="003C11C9"/>
    <w:rsid w:val="003C1927"/>
    <w:rsid w:val="003C1D6B"/>
    <w:rsid w:val="003C2E1C"/>
    <w:rsid w:val="003C300D"/>
    <w:rsid w:val="003C3746"/>
    <w:rsid w:val="003C3A89"/>
    <w:rsid w:val="003C3FE5"/>
    <w:rsid w:val="003C48D4"/>
    <w:rsid w:val="003C51F7"/>
    <w:rsid w:val="003C5C3B"/>
    <w:rsid w:val="003C66C8"/>
    <w:rsid w:val="003C66CD"/>
    <w:rsid w:val="003C71D8"/>
    <w:rsid w:val="003C7341"/>
    <w:rsid w:val="003C7EEF"/>
    <w:rsid w:val="003D3BDF"/>
    <w:rsid w:val="003D54AB"/>
    <w:rsid w:val="003D5F71"/>
    <w:rsid w:val="003D7A9C"/>
    <w:rsid w:val="003D7AC0"/>
    <w:rsid w:val="003D7BC5"/>
    <w:rsid w:val="003E0C74"/>
    <w:rsid w:val="003E159C"/>
    <w:rsid w:val="003E1664"/>
    <w:rsid w:val="003E319A"/>
    <w:rsid w:val="003E3232"/>
    <w:rsid w:val="003E35B9"/>
    <w:rsid w:val="003E4853"/>
    <w:rsid w:val="003E5577"/>
    <w:rsid w:val="003E5F03"/>
    <w:rsid w:val="003E68C2"/>
    <w:rsid w:val="003F0882"/>
    <w:rsid w:val="003F0F10"/>
    <w:rsid w:val="003F2008"/>
    <w:rsid w:val="003F2774"/>
    <w:rsid w:val="003F2E8A"/>
    <w:rsid w:val="003F350B"/>
    <w:rsid w:val="003F3A38"/>
    <w:rsid w:val="003F3E6B"/>
    <w:rsid w:val="003F3E9B"/>
    <w:rsid w:val="003F50C1"/>
    <w:rsid w:val="003F5983"/>
    <w:rsid w:val="003F6BAF"/>
    <w:rsid w:val="003F71FF"/>
    <w:rsid w:val="0040042F"/>
    <w:rsid w:val="00400E83"/>
    <w:rsid w:val="004024CB"/>
    <w:rsid w:val="004027A2"/>
    <w:rsid w:val="0040305C"/>
    <w:rsid w:val="004039CB"/>
    <w:rsid w:val="00404510"/>
    <w:rsid w:val="00404840"/>
    <w:rsid w:val="00404ACC"/>
    <w:rsid w:val="00404F5C"/>
    <w:rsid w:val="0040722B"/>
    <w:rsid w:val="004102F8"/>
    <w:rsid w:val="00411762"/>
    <w:rsid w:val="004124BF"/>
    <w:rsid w:val="004141A7"/>
    <w:rsid w:val="00414559"/>
    <w:rsid w:val="00415C21"/>
    <w:rsid w:val="00416AC8"/>
    <w:rsid w:val="00416E36"/>
    <w:rsid w:val="004171AF"/>
    <w:rsid w:val="0041784F"/>
    <w:rsid w:val="004200AE"/>
    <w:rsid w:val="00420112"/>
    <w:rsid w:val="004206AB"/>
    <w:rsid w:val="00420C84"/>
    <w:rsid w:val="0042205C"/>
    <w:rsid w:val="004225A6"/>
    <w:rsid w:val="00422D4D"/>
    <w:rsid w:val="00423C8B"/>
    <w:rsid w:val="00423E66"/>
    <w:rsid w:val="00424C61"/>
    <w:rsid w:val="00424E41"/>
    <w:rsid w:val="00424E95"/>
    <w:rsid w:val="00425140"/>
    <w:rsid w:val="004255B0"/>
    <w:rsid w:val="00426439"/>
    <w:rsid w:val="00426944"/>
    <w:rsid w:val="004301C6"/>
    <w:rsid w:val="00430933"/>
    <w:rsid w:val="00430BEF"/>
    <w:rsid w:val="00430F99"/>
    <w:rsid w:val="00431018"/>
    <w:rsid w:val="004313B9"/>
    <w:rsid w:val="00431B21"/>
    <w:rsid w:val="004326FE"/>
    <w:rsid w:val="00432AA2"/>
    <w:rsid w:val="004331B0"/>
    <w:rsid w:val="004331D9"/>
    <w:rsid w:val="0043334D"/>
    <w:rsid w:val="0043572F"/>
    <w:rsid w:val="0043616C"/>
    <w:rsid w:val="004367D7"/>
    <w:rsid w:val="0043696B"/>
    <w:rsid w:val="0044122E"/>
    <w:rsid w:val="00441F4B"/>
    <w:rsid w:val="004428CB"/>
    <w:rsid w:val="00442C2F"/>
    <w:rsid w:val="00444265"/>
    <w:rsid w:val="00444577"/>
    <w:rsid w:val="00444E27"/>
    <w:rsid w:val="00445A7B"/>
    <w:rsid w:val="004464A9"/>
    <w:rsid w:val="0044719E"/>
    <w:rsid w:val="00447E3B"/>
    <w:rsid w:val="00450399"/>
    <w:rsid w:val="00451066"/>
    <w:rsid w:val="00451524"/>
    <w:rsid w:val="00451739"/>
    <w:rsid w:val="0045243D"/>
    <w:rsid w:val="00452552"/>
    <w:rsid w:val="0045281D"/>
    <w:rsid w:val="00452C22"/>
    <w:rsid w:val="00452CED"/>
    <w:rsid w:val="00453048"/>
    <w:rsid w:val="004549F3"/>
    <w:rsid w:val="00454C6D"/>
    <w:rsid w:val="00455201"/>
    <w:rsid w:val="00455351"/>
    <w:rsid w:val="0045595F"/>
    <w:rsid w:val="004578E2"/>
    <w:rsid w:val="00457A0C"/>
    <w:rsid w:val="0046055E"/>
    <w:rsid w:val="004628D4"/>
    <w:rsid w:val="004629FF"/>
    <w:rsid w:val="00464DC4"/>
    <w:rsid w:val="00464EBE"/>
    <w:rsid w:val="00465503"/>
    <w:rsid w:val="004657FA"/>
    <w:rsid w:val="00465A20"/>
    <w:rsid w:val="004660AB"/>
    <w:rsid w:val="004660B9"/>
    <w:rsid w:val="0046627F"/>
    <w:rsid w:val="0046787C"/>
    <w:rsid w:val="00467916"/>
    <w:rsid w:val="004679D6"/>
    <w:rsid w:val="00467E5C"/>
    <w:rsid w:val="00470033"/>
    <w:rsid w:val="00472F03"/>
    <w:rsid w:val="00474226"/>
    <w:rsid w:val="0047545E"/>
    <w:rsid w:val="0047614F"/>
    <w:rsid w:val="00477587"/>
    <w:rsid w:val="00477B1E"/>
    <w:rsid w:val="00477FC8"/>
    <w:rsid w:val="0048068C"/>
    <w:rsid w:val="004807F3"/>
    <w:rsid w:val="00480F86"/>
    <w:rsid w:val="00482E8A"/>
    <w:rsid w:val="00483C71"/>
    <w:rsid w:val="00484493"/>
    <w:rsid w:val="00484A83"/>
    <w:rsid w:val="00485200"/>
    <w:rsid w:val="00486AD3"/>
    <w:rsid w:val="0049005A"/>
    <w:rsid w:val="00490E83"/>
    <w:rsid w:val="00491AFF"/>
    <w:rsid w:val="0049266E"/>
    <w:rsid w:val="00492FFD"/>
    <w:rsid w:val="004931C2"/>
    <w:rsid w:val="00493CA7"/>
    <w:rsid w:val="00496451"/>
    <w:rsid w:val="00496AE1"/>
    <w:rsid w:val="00496EB8"/>
    <w:rsid w:val="004973A7"/>
    <w:rsid w:val="004A013A"/>
    <w:rsid w:val="004A05B1"/>
    <w:rsid w:val="004A0A6B"/>
    <w:rsid w:val="004A1E7B"/>
    <w:rsid w:val="004A2141"/>
    <w:rsid w:val="004A248F"/>
    <w:rsid w:val="004A2A0E"/>
    <w:rsid w:val="004A3DB0"/>
    <w:rsid w:val="004A3EA3"/>
    <w:rsid w:val="004A5EDE"/>
    <w:rsid w:val="004A649A"/>
    <w:rsid w:val="004A673B"/>
    <w:rsid w:val="004A6F92"/>
    <w:rsid w:val="004A7217"/>
    <w:rsid w:val="004B0816"/>
    <w:rsid w:val="004B100A"/>
    <w:rsid w:val="004B141F"/>
    <w:rsid w:val="004B2B54"/>
    <w:rsid w:val="004B3424"/>
    <w:rsid w:val="004B3839"/>
    <w:rsid w:val="004B3CC9"/>
    <w:rsid w:val="004B4522"/>
    <w:rsid w:val="004B5E78"/>
    <w:rsid w:val="004B5FA3"/>
    <w:rsid w:val="004B6D95"/>
    <w:rsid w:val="004B6E16"/>
    <w:rsid w:val="004B79D8"/>
    <w:rsid w:val="004B7F68"/>
    <w:rsid w:val="004C053C"/>
    <w:rsid w:val="004C0DAE"/>
    <w:rsid w:val="004C32F2"/>
    <w:rsid w:val="004C373B"/>
    <w:rsid w:val="004C3B74"/>
    <w:rsid w:val="004C43FF"/>
    <w:rsid w:val="004C447C"/>
    <w:rsid w:val="004C630D"/>
    <w:rsid w:val="004C6785"/>
    <w:rsid w:val="004D0F42"/>
    <w:rsid w:val="004D1012"/>
    <w:rsid w:val="004D222E"/>
    <w:rsid w:val="004D232A"/>
    <w:rsid w:val="004D2BFE"/>
    <w:rsid w:val="004D2FC7"/>
    <w:rsid w:val="004D314A"/>
    <w:rsid w:val="004D3767"/>
    <w:rsid w:val="004D3AA2"/>
    <w:rsid w:val="004D47DC"/>
    <w:rsid w:val="004D4B98"/>
    <w:rsid w:val="004D4CB4"/>
    <w:rsid w:val="004D4E05"/>
    <w:rsid w:val="004D556D"/>
    <w:rsid w:val="004D5A28"/>
    <w:rsid w:val="004D783C"/>
    <w:rsid w:val="004E012E"/>
    <w:rsid w:val="004E02AA"/>
    <w:rsid w:val="004E260B"/>
    <w:rsid w:val="004E271D"/>
    <w:rsid w:val="004E2ADA"/>
    <w:rsid w:val="004E3CB6"/>
    <w:rsid w:val="004E3FE3"/>
    <w:rsid w:val="004E4045"/>
    <w:rsid w:val="004E488B"/>
    <w:rsid w:val="004E52E9"/>
    <w:rsid w:val="004E5DF4"/>
    <w:rsid w:val="004E6AF2"/>
    <w:rsid w:val="004E77E0"/>
    <w:rsid w:val="004E7843"/>
    <w:rsid w:val="004F0DBD"/>
    <w:rsid w:val="004F0F3D"/>
    <w:rsid w:val="004F1022"/>
    <w:rsid w:val="004F35BF"/>
    <w:rsid w:val="004F37C3"/>
    <w:rsid w:val="004F3A8B"/>
    <w:rsid w:val="004F4F78"/>
    <w:rsid w:val="004F5444"/>
    <w:rsid w:val="004F5BE0"/>
    <w:rsid w:val="004F60D5"/>
    <w:rsid w:val="004F780B"/>
    <w:rsid w:val="004F7B61"/>
    <w:rsid w:val="00500B6E"/>
    <w:rsid w:val="00500DC4"/>
    <w:rsid w:val="00500F44"/>
    <w:rsid w:val="00501AFE"/>
    <w:rsid w:val="0050209B"/>
    <w:rsid w:val="0050277F"/>
    <w:rsid w:val="00502795"/>
    <w:rsid w:val="00502DCE"/>
    <w:rsid w:val="00503636"/>
    <w:rsid w:val="00504789"/>
    <w:rsid w:val="0050534A"/>
    <w:rsid w:val="00505F41"/>
    <w:rsid w:val="00506C57"/>
    <w:rsid w:val="0050704C"/>
    <w:rsid w:val="0050709E"/>
    <w:rsid w:val="005073CC"/>
    <w:rsid w:val="00507D69"/>
    <w:rsid w:val="00510B03"/>
    <w:rsid w:val="00511E1C"/>
    <w:rsid w:val="005133EE"/>
    <w:rsid w:val="00513DC7"/>
    <w:rsid w:val="005143AA"/>
    <w:rsid w:val="005159EC"/>
    <w:rsid w:val="00515B1E"/>
    <w:rsid w:val="005175EA"/>
    <w:rsid w:val="005179D1"/>
    <w:rsid w:val="00517E09"/>
    <w:rsid w:val="00520F7A"/>
    <w:rsid w:val="00522CA2"/>
    <w:rsid w:val="00522E17"/>
    <w:rsid w:val="00523F54"/>
    <w:rsid w:val="00525540"/>
    <w:rsid w:val="00526429"/>
    <w:rsid w:val="00527AAD"/>
    <w:rsid w:val="00530167"/>
    <w:rsid w:val="00530289"/>
    <w:rsid w:val="0053036A"/>
    <w:rsid w:val="005308CB"/>
    <w:rsid w:val="00530AF2"/>
    <w:rsid w:val="00532885"/>
    <w:rsid w:val="00532BAD"/>
    <w:rsid w:val="00533205"/>
    <w:rsid w:val="00533DD8"/>
    <w:rsid w:val="0053523A"/>
    <w:rsid w:val="005354DF"/>
    <w:rsid w:val="005364A9"/>
    <w:rsid w:val="00537EBB"/>
    <w:rsid w:val="00537EDD"/>
    <w:rsid w:val="0054089B"/>
    <w:rsid w:val="005421FF"/>
    <w:rsid w:val="005435C5"/>
    <w:rsid w:val="00543B69"/>
    <w:rsid w:val="0054426C"/>
    <w:rsid w:val="00544876"/>
    <w:rsid w:val="0054605A"/>
    <w:rsid w:val="005461CE"/>
    <w:rsid w:val="00547175"/>
    <w:rsid w:val="00547CAB"/>
    <w:rsid w:val="00550C21"/>
    <w:rsid w:val="005510CC"/>
    <w:rsid w:val="005514C4"/>
    <w:rsid w:val="005515B7"/>
    <w:rsid w:val="00551A44"/>
    <w:rsid w:val="005550C1"/>
    <w:rsid w:val="00555E2D"/>
    <w:rsid w:val="005563F7"/>
    <w:rsid w:val="00556C68"/>
    <w:rsid w:val="00556D08"/>
    <w:rsid w:val="00557B0A"/>
    <w:rsid w:val="00561048"/>
    <w:rsid w:val="005610A9"/>
    <w:rsid w:val="00561203"/>
    <w:rsid w:val="00561ED2"/>
    <w:rsid w:val="00561F29"/>
    <w:rsid w:val="00561F54"/>
    <w:rsid w:val="00562277"/>
    <w:rsid w:val="005632DA"/>
    <w:rsid w:val="005639FB"/>
    <w:rsid w:val="00565312"/>
    <w:rsid w:val="0056662A"/>
    <w:rsid w:val="00567971"/>
    <w:rsid w:val="005711B0"/>
    <w:rsid w:val="00571C48"/>
    <w:rsid w:val="00572A0E"/>
    <w:rsid w:val="00572DD6"/>
    <w:rsid w:val="005733F2"/>
    <w:rsid w:val="00574B61"/>
    <w:rsid w:val="00574DFD"/>
    <w:rsid w:val="00574EFA"/>
    <w:rsid w:val="005752A1"/>
    <w:rsid w:val="005763B7"/>
    <w:rsid w:val="00576A2E"/>
    <w:rsid w:val="00577F52"/>
    <w:rsid w:val="00577FC2"/>
    <w:rsid w:val="00580F20"/>
    <w:rsid w:val="00581699"/>
    <w:rsid w:val="005816A6"/>
    <w:rsid w:val="00581992"/>
    <w:rsid w:val="00581D6A"/>
    <w:rsid w:val="00582188"/>
    <w:rsid w:val="005826E4"/>
    <w:rsid w:val="005827E0"/>
    <w:rsid w:val="005862D6"/>
    <w:rsid w:val="005869C9"/>
    <w:rsid w:val="00586BCF"/>
    <w:rsid w:val="00586C15"/>
    <w:rsid w:val="00587DD6"/>
    <w:rsid w:val="005909A4"/>
    <w:rsid w:val="00590F73"/>
    <w:rsid w:val="005913D1"/>
    <w:rsid w:val="00592F23"/>
    <w:rsid w:val="00592FB6"/>
    <w:rsid w:val="00593725"/>
    <w:rsid w:val="00593980"/>
    <w:rsid w:val="00595275"/>
    <w:rsid w:val="00595851"/>
    <w:rsid w:val="005959B5"/>
    <w:rsid w:val="005959E6"/>
    <w:rsid w:val="005961E6"/>
    <w:rsid w:val="0059639E"/>
    <w:rsid w:val="005975A0"/>
    <w:rsid w:val="005A1109"/>
    <w:rsid w:val="005A2D77"/>
    <w:rsid w:val="005A3130"/>
    <w:rsid w:val="005A3574"/>
    <w:rsid w:val="005A3761"/>
    <w:rsid w:val="005A4022"/>
    <w:rsid w:val="005A43EB"/>
    <w:rsid w:val="005A5120"/>
    <w:rsid w:val="005A58FB"/>
    <w:rsid w:val="005A5E27"/>
    <w:rsid w:val="005A5FD9"/>
    <w:rsid w:val="005A63C6"/>
    <w:rsid w:val="005A6668"/>
    <w:rsid w:val="005A66DF"/>
    <w:rsid w:val="005A67CE"/>
    <w:rsid w:val="005A6FA9"/>
    <w:rsid w:val="005A7EA9"/>
    <w:rsid w:val="005A7FCB"/>
    <w:rsid w:val="005B0412"/>
    <w:rsid w:val="005B044E"/>
    <w:rsid w:val="005B0AB0"/>
    <w:rsid w:val="005B176F"/>
    <w:rsid w:val="005B1BD4"/>
    <w:rsid w:val="005B1CDF"/>
    <w:rsid w:val="005B1F31"/>
    <w:rsid w:val="005B298E"/>
    <w:rsid w:val="005B30DD"/>
    <w:rsid w:val="005B311B"/>
    <w:rsid w:val="005B3430"/>
    <w:rsid w:val="005B4D47"/>
    <w:rsid w:val="005B4D8E"/>
    <w:rsid w:val="005B5323"/>
    <w:rsid w:val="005B7E8F"/>
    <w:rsid w:val="005C1238"/>
    <w:rsid w:val="005C1BC8"/>
    <w:rsid w:val="005C2330"/>
    <w:rsid w:val="005C2A8C"/>
    <w:rsid w:val="005C2F98"/>
    <w:rsid w:val="005C52B7"/>
    <w:rsid w:val="005C5C81"/>
    <w:rsid w:val="005C6E4F"/>
    <w:rsid w:val="005D053D"/>
    <w:rsid w:val="005D08EE"/>
    <w:rsid w:val="005D0DED"/>
    <w:rsid w:val="005D126C"/>
    <w:rsid w:val="005D1895"/>
    <w:rsid w:val="005D36AB"/>
    <w:rsid w:val="005D36D4"/>
    <w:rsid w:val="005D37D4"/>
    <w:rsid w:val="005D4A7D"/>
    <w:rsid w:val="005D4BA9"/>
    <w:rsid w:val="005D4CED"/>
    <w:rsid w:val="005D5CBC"/>
    <w:rsid w:val="005D5F02"/>
    <w:rsid w:val="005D68CD"/>
    <w:rsid w:val="005E161E"/>
    <w:rsid w:val="005E16CC"/>
    <w:rsid w:val="005E20C6"/>
    <w:rsid w:val="005E3B3B"/>
    <w:rsid w:val="005E3CBA"/>
    <w:rsid w:val="005E5534"/>
    <w:rsid w:val="005E6234"/>
    <w:rsid w:val="005E709F"/>
    <w:rsid w:val="005F0AFC"/>
    <w:rsid w:val="005F16C0"/>
    <w:rsid w:val="005F24E4"/>
    <w:rsid w:val="005F2D72"/>
    <w:rsid w:val="005F3AAC"/>
    <w:rsid w:val="005F3E28"/>
    <w:rsid w:val="005F3F29"/>
    <w:rsid w:val="005F4819"/>
    <w:rsid w:val="005F48A7"/>
    <w:rsid w:val="005F48E4"/>
    <w:rsid w:val="005F5783"/>
    <w:rsid w:val="005F601A"/>
    <w:rsid w:val="005F60CC"/>
    <w:rsid w:val="00600D60"/>
    <w:rsid w:val="00601C26"/>
    <w:rsid w:val="00601FF5"/>
    <w:rsid w:val="00602F8E"/>
    <w:rsid w:val="006034F9"/>
    <w:rsid w:val="00603DAD"/>
    <w:rsid w:val="00604995"/>
    <w:rsid w:val="006050B7"/>
    <w:rsid w:val="00605955"/>
    <w:rsid w:val="006062DE"/>
    <w:rsid w:val="006067AB"/>
    <w:rsid w:val="00607198"/>
    <w:rsid w:val="00611281"/>
    <w:rsid w:val="00611845"/>
    <w:rsid w:val="00611BB6"/>
    <w:rsid w:val="0061267F"/>
    <w:rsid w:val="0061293E"/>
    <w:rsid w:val="00615533"/>
    <w:rsid w:val="0061772A"/>
    <w:rsid w:val="00620A23"/>
    <w:rsid w:val="00620B54"/>
    <w:rsid w:val="00620D9A"/>
    <w:rsid w:val="006212A5"/>
    <w:rsid w:val="00621B5D"/>
    <w:rsid w:val="00622ADA"/>
    <w:rsid w:val="00624AA5"/>
    <w:rsid w:val="006263F5"/>
    <w:rsid w:val="00626AE5"/>
    <w:rsid w:val="00627064"/>
    <w:rsid w:val="00627723"/>
    <w:rsid w:val="00630737"/>
    <w:rsid w:val="00630EC9"/>
    <w:rsid w:val="006311D1"/>
    <w:rsid w:val="006312F1"/>
    <w:rsid w:val="00632201"/>
    <w:rsid w:val="00632246"/>
    <w:rsid w:val="006327C8"/>
    <w:rsid w:val="00632CF6"/>
    <w:rsid w:val="00632DE2"/>
    <w:rsid w:val="006333C8"/>
    <w:rsid w:val="006333FE"/>
    <w:rsid w:val="0063426B"/>
    <w:rsid w:val="00634EDD"/>
    <w:rsid w:val="00636B39"/>
    <w:rsid w:val="00637223"/>
    <w:rsid w:val="006372BC"/>
    <w:rsid w:val="00640F7C"/>
    <w:rsid w:val="006410BE"/>
    <w:rsid w:val="006429AC"/>
    <w:rsid w:val="0064346A"/>
    <w:rsid w:val="00643BA2"/>
    <w:rsid w:val="0064402E"/>
    <w:rsid w:val="00644D87"/>
    <w:rsid w:val="00646C6E"/>
    <w:rsid w:val="00647155"/>
    <w:rsid w:val="00647ED3"/>
    <w:rsid w:val="00647F5B"/>
    <w:rsid w:val="00650A60"/>
    <w:rsid w:val="00650F9D"/>
    <w:rsid w:val="0065183A"/>
    <w:rsid w:val="00651F28"/>
    <w:rsid w:val="00651F7E"/>
    <w:rsid w:val="00652BFE"/>
    <w:rsid w:val="00654A5D"/>
    <w:rsid w:val="00654EF3"/>
    <w:rsid w:val="00655C6F"/>
    <w:rsid w:val="00655CBD"/>
    <w:rsid w:val="00660895"/>
    <w:rsid w:val="006618D6"/>
    <w:rsid w:val="00661955"/>
    <w:rsid w:val="00665D04"/>
    <w:rsid w:val="006708E2"/>
    <w:rsid w:val="00671EF4"/>
    <w:rsid w:val="00671F03"/>
    <w:rsid w:val="00671FE6"/>
    <w:rsid w:val="0067212D"/>
    <w:rsid w:val="006727AE"/>
    <w:rsid w:val="00673167"/>
    <w:rsid w:val="006739B8"/>
    <w:rsid w:val="006759F5"/>
    <w:rsid w:val="0067660C"/>
    <w:rsid w:val="00680F01"/>
    <w:rsid w:val="00684288"/>
    <w:rsid w:val="00684799"/>
    <w:rsid w:val="00685500"/>
    <w:rsid w:val="006861C0"/>
    <w:rsid w:val="00686AB5"/>
    <w:rsid w:val="00687BF8"/>
    <w:rsid w:val="00687E50"/>
    <w:rsid w:val="00690080"/>
    <w:rsid w:val="006908AC"/>
    <w:rsid w:val="006919E7"/>
    <w:rsid w:val="00692304"/>
    <w:rsid w:val="00693182"/>
    <w:rsid w:val="0069356B"/>
    <w:rsid w:val="00694535"/>
    <w:rsid w:val="00694871"/>
    <w:rsid w:val="00694A39"/>
    <w:rsid w:val="0069517D"/>
    <w:rsid w:val="0069587E"/>
    <w:rsid w:val="00695E84"/>
    <w:rsid w:val="00697232"/>
    <w:rsid w:val="006977A6"/>
    <w:rsid w:val="00697C02"/>
    <w:rsid w:val="006A0C28"/>
    <w:rsid w:val="006A0FDF"/>
    <w:rsid w:val="006A100F"/>
    <w:rsid w:val="006A17F7"/>
    <w:rsid w:val="006A1BD1"/>
    <w:rsid w:val="006A2876"/>
    <w:rsid w:val="006A4DF4"/>
    <w:rsid w:val="006A5FED"/>
    <w:rsid w:val="006A64BA"/>
    <w:rsid w:val="006A7AD9"/>
    <w:rsid w:val="006A7FE3"/>
    <w:rsid w:val="006B0D82"/>
    <w:rsid w:val="006B0F30"/>
    <w:rsid w:val="006B1926"/>
    <w:rsid w:val="006B2DFF"/>
    <w:rsid w:val="006B2E56"/>
    <w:rsid w:val="006B3515"/>
    <w:rsid w:val="006B3D88"/>
    <w:rsid w:val="006B495C"/>
    <w:rsid w:val="006B4BF8"/>
    <w:rsid w:val="006B4D70"/>
    <w:rsid w:val="006B6238"/>
    <w:rsid w:val="006B644C"/>
    <w:rsid w:val="006B6582"/>
    <w:rsid w:val="006B6D2F"/>
    <w:rsid w:val="006B6F75"/>
    <w:rsid w:val="006B7076"/>
    <w:rsid w:val="006B784D"/>
    <w:rsid w:val="006B7ADB"/>
    <w:rsid w:val="006C030A"/>
    <w:rsid w:val="006C2738"/>
    <w:rsid w:val="006C3B7E"/>
    <w:rsid w:val="006C4A36"/>
    <w:rsid w:val="006C5941"/>
    <w:rsid w:val="006C6EFB"/>
    <w:rsid w:val="006C72D2"/>
    <w:rsid w:val="006C774F"/>
    <w:rsid w:val="006D0F7F"/>
    <w:rsid w:val="006D2F9F"/>
    <w:rsid w:val="006D3E8F"/>
    <w:rsid w:val="006D4744"/>
    <w:rsid w:val="006D4999"/>
    <w:rsid w:val="006D4B60"/>
    <w:rsid w:val="006D7DFA"/>
    <w:rsid w:val="006E2494"/>
    <w:rsid w:val="006E38D2"/>
    <w:rsid w:val="006E4391"/>
    <w:rsid w:val="006E483E"/>
    <w:rsid w:val="006E58A7"/>
    <w:rsid w:val="006E722F"/>
    <w:rsid w:val="006E72AD"/>
    <w:rsid w:val="006E7CE3"/>
    <w:rsid w:val="006F0ED3"/>
    <w:rsid w:val="006F24B7"/>
    <w:rsid w:val="006F3328"/>
    <w:rsid w:val="006F342C"/>
    <w:rsid w:val="006F3992"/>
    <w:rsid w:val="006F40ED"/>
    <w:rsid w:val="006F4116"/>
    <w:rsid w:val="006F4D0B"/>
    <w:rsid w:val="006F531C"/>
    <w:rsid w:val="006F60BF"/>
    <w:rsid w:val="006F748A"/>
    <w:rsid w:val="00700614"/>
    <w:rsid w:val="00700785"/>
    <w:rsid w:val="00700AB7"/>
    <w:rsid w:val="00700DA8"/>
    <w:rsid w:val="00703447"/>
    <w:rsid w:val="00703688"/>
    <w:rsid w:val="00703958"/>
    <w:rsid w:val="00703FD8"/>
    <w:rsid w:val="007052E8"/>
    <w:rsid w:val="00705C94"/>
    <w:rsid w:val="0070689A"/>
    <w:rsid w:val="007072F9"/>
    <w:rsid w:val="00707C84"/>
    <w:rsid w:val="007110AA"/>
    <w:rsid w:val="007110E0"/>
    <w:rsid w:val="0071178F"/>
    <w:rsid w:val="00711EE9"/>
    <w:rsid w:val="007124B0"/>
    <w:rsid w:val="00712A10"/>
    <w:rsid w:val="00713895"/>
    <w:rsid w:val="00714339"/>
    <w:rsid w:val="007147DA"/>
    <w:rsid w:val="00714F4C"/>
    <w:rsid w:val="0071566A"/>
    <w:rsid w:val="007170CF"/>
    <w:rsid w:val="00717391"/>
    <w:rsid w:val="00717828"/>
    <w:rsid w:val="00717A1D"/>
    <w:rsid w:val="00720AA5"/>
    <w:rsid w:val="007217D9"/>
    <w:rsid w:val="00723C16"/>
    <w:rsid w:val="00724752"/>
    <w:rsid w:val="00724A74"/>
    <w:rsid w:val="00724E34"/>
    <w:rsid w:val="007256DA"/>
    <w:rsid w:val="00725D7F"/>
    <w:rsid w:val="007262F8"/>
    <w:rsid w:val="00726745"/>
    <w:rsid w:val="00727AB3"/>
    <w:rsid w:val="00727D08"/>
    <w:rsid w:val="00727D86"/>
    <w:rsid w:val="007303D8"/>
    <w:rsid w:val="00730C1F"/>
    <w:rsid w:val="007315B7"/>
    <w:rsid w:val="007323A1"/>
    <w:rsid w:val="0073267E"/>
    <w:rsid w:val="00733204"/>
    <w:rsid w:val="00733561"/>
    <w:rsid w:val="00734030"/>
    <w:rsid w:val="0073458B"/>
    <w:rsid w:val="007356B1"/>
    <w:rsid w:val="00736ABA"/>
    <w:rsid w:val="00736DFE"/>
    <w:rsid w:val="00737131"/>
    <w:rsid w:val="007378C2"/>
    <w:rsid w:val="00737921"/>
    <w:rsid w:val="00737A76"/>
    <w:rsid w:val="00737F1D"/>
    <w:rsid w:val="007407D3"/>
    <w:rsid w:val="00740F0E"/>
    <w:rsid w:val="007423F0"/>
    <w:rsid w:val="00742B1C"/>
    <w:rsid w:val="00743668"/>
    <w:rsid w:val="0074378F"/>
    <w:rsid w:val="0074390B"/>
    <w:rsid w:val="00743C01"/>
    <w:rsid w:val="00744443"/>
    <w:rsid w:val="007444E5"/>
    <w:rsid w:val="00746F99"/>
    <w:rsid w:val="0074781D"/>
    <w:rsid w:val="00750776"/>
    <w:rsid w:val="00750884"/>
    <w:rsid w:val="00752CDD"/>
    <w:rsid w:val="007538A6"/>
    <w:rsid w:val="00753D6F"/>
    <w:rsid w:val="00753DDF"/>
    <w:rsid w:val="0075477B"/>
    <w:rsid w:val="00754D6F"/>
    <w:rsid w:val="00756187"/>
    <w:rsid w:val="00756323"/>
    <w:rsid w:val="007576DC"/>
    <w:rsid w:val="007576FE"/>
    <w:rsid w:val="00760F4D"/>
    <w:rsid w:val="00761E95"/>
    <w:rsid w:val="0076346A"/>
    <w:rsid w:val="0076387F"/>
    <w:rsid w:val="007641AD"/>
    <w:rsid w:val="00764A8D"/>
    <w:rsid w:val="00764FAE"/>
    <w:rsid w:val="007658AD"/>
    <w:rsid w:val="00766773"/>
    <w:rsid w:val="007700C4"/>
    <w:rsid w:val="00771A20"/>
    <w:rsid w:val="00771C1E"/>
    <w:rsid w:val="00771FCA"/>
    <w:rsid w:val="00772F3B"/>
    <w:rsid w:val="00773317"/>
    <w:rsid w:val="00774204"/>
    <w:rsid w:val="0077466C"/>
    <w:rsid w:val="0077498E"/>
    <w:rsid w:val="00774E48"/>
    <w:rsid w:val="007752E7"/>
    <w:rsid w:val="00775789"/>
    <w:rsid w:val="0077595C"/>
    <w:rsid w:val="00776E51"/>
    <w:rsid w:val="00777869"/>
    <w:rsid w:val="007778B3"/>
    <w:rsid w:val="00777963"/>
    <w:rsid w:val="00777C32"/>
    <w:rsid w:val="00777DD8"/>
    <w:rsid w:val="00777FE8"/>
    <w:rsid w:val="0078063C"/>
    <w:rsid w:val="00780F91"/>
    <w:rsid w:val="00781477"/>
    <w:rsid w:val="00782C97"/>
    <w:rsid w:val="00783675"/>
    <w:rsid w:val="007844E5"/>
    <w:rsid w:val="00786448"/>
    <w:rsid w:val="00786647"/>
    <w:rsid w:val="0078664D"/>
    <w:rsid w:val="007867A7"/>
    <w:rsid w:val="00787142"/>
    <w:rsid w:val="00787C7D"/>
    <w:rsid w:val="00792A25"/>
    <w:rsid w:val="00793406"/>
    <w:rsid w:val="00793785"/>
    <w:rsid w:val="007940A9"/>
    <w:rsid w:val="007942D5"/>
    <w:rsid w:val="00794410"/>
    <w:rsid w:val="00794A6C"/>
    <w:rsid w:val="007957FE"/>
    <w:rsid w:val="00795E1C"/>
    <w:rsid w:val="00797580"/>
    <w:rsid w:val="007A164F"/>
    <w:rsid w:val="007A2C39"/>
    <w:rsid w:val="007A3B05"/>
    <w:rsid w:val="007A3E2E"/>
    <w:rsid w:val="007A4184"/>
    <w:rsid w:val="007A422E"/>
    <w:rsid w:val="007A5CA5"/>
    <w:rsid w:val="007B1807"/>
    <w:rsid w:val="007B2C20"/>
    <w:rsid w:val="007B2D29"/>
    <w:rsid w:val="007B43D8"/>
    <w:rsid w:val="007B4DB6"/>
    <w:rsid w:val="007B53BE"/>
    <w:rsid w:val="007B6AF7"/>
    <w:rsid w:val="007C0267"/>
    <w:rsid w:val="007C03B8"/>
    <w:rsid w:val="007C078B"/>
    <w:rsid w:val="007C0C58"/>
    <w:rsid w:val="007C0D5F"/>
    <w:rsid w:val="007C14D7"/>
    <w:rsid w:val="007C1E8A"/>
    <w:rsid w:val="007C2C05"/>
    <w:rsid w:val="007C2F3B"/>
    <w:rsid w:val="007C466A"/>
    <w:rsid w:val="007C5643"/>
    <w:rsid w:val="007C6820"/>
    <w:rsid w:val="007C7878"/>
    <w:rsid w:val="007C7D74"/>
    <w:rsid w:val="007D0988"/>
    <w:rsid w:val="007D17A9"/>
    <w:rsid w:val="007D1E47"/>
    <w:rsid w:val="007D3086"/>
    <w:rsid w:val="007D372B"/>
    <w:rsid w:val="007D3E6B"/>
    <w:rsid w:val="007D3FE0"/>
    <w:rsid w:val="007D4A27"/>
    <w:rsid w:val="007D52C8"/>
    <w:rsid w:val="007D62DF"/>
    <w:rsid w:val="007D630F"/>
    <w:rsid w:val="007D6563"/>
    <w:rsid w:val="007D6EA9"/>
    <w:rsid w:val="007E0556"/>
    <w:rsid w:val="007E08C8"/>
    <w:rsid w:val="007E0E1E"/>
    <w:rsid w:val="007E1571"/>
    <w:rsid w:val="007E2863"/>
    <w:rsid w:val="007E3B64"/>
    <w:rsid w:val="007E57A5"/>
    <w:rsid w:val="007E7675"/>
    <w:rsid w:val="007E7F58"/>
    <w:rsid w:val="007F03F3"/>
    <w:rsid w:val="007F08EE"/>
    <w:rsid w:val="007F11FE"/>
    <w:rsid w:val="007F1A4C"/>
    <w:rsid w:val="007F1F6A"/>
    <w:rsid w:val="007F20DA"/>
    <w:rsid w:val="007F2651"/>
    <w:rsid w:val="007F276C"/>
    <w:rsid w:val="007F34AA"/>
    <w:rsid w:val="007F389C"/>
    <w:rsid w:val="007F46BE"/>
    <w:rsid w:val="007F5E37"/>
    <w:rsid w:val="007F6797"/>
    <w:rsid w:val="007F6B0C"/>
    <w:rsid w:val="007F6DBF"/>
    <w:rsid w:val="007F70AA"/>
    <w:rsid w:val="007F7CCF"/>
    <w:rsid w:val="00800593"/>
    <w:rsid w:val="008017F7"/>
    <w:rsid w:val="00804572"/>
    <w:rsid w:val="00804DA0"/>
    <w:rsid w:val="008051DE"/>
    <w:rsid w:val="00805F5B"/>
    <w:rsid w:val="008060A7"/>
    <w:rsid w:val="00806962"/>
    <w:rsid w:val="0080750D"/>
    <w:rsid w:val="00812822"/>
    <w:rsid w:val="0081409C"/>
    <w:rsid w:val="0081446F"/>
    <w:rsid w:val="00814B3D"/>
    <w:rsid w:val="008152C6"/>
    <w:rsid w:val="00815735"/>
    <w:rsid w:val="008161C4"/>
    <w:rsid w:val="008162B1"/>
    <w:rsid w:val="008169E8"/>
    <w:rsid w:val="0081719F"/>
    <w:rsid w:val="008178C1"/>
    <w:rsid w:val="00820F90"/>
    <w:rsid w:val="00821262"/>
    <w:rsid w:val="008213EB"/>
    <w:rsid w:val="00822435"/>
    <w:rsid w:val="008224C1"/>
    <w:rsid w:val="008231E3"/>
    <w:rsid w:val="00824513"/>
    <w:rsid w:val="00824EE8"/>
    <w:rsid w:val="0082582F"/>
    <w:rsid w:val="00825D75"/>
    <w:rsid w:val="00825F88"/>
    <w:rsid w:val="0082690E"/>
    <w:rsid w:val="00826D25"/>
    <w:rsid w:val="00827CB4"/>
    <w:rsid w:val="00827CBA"/>
    <w:rsid w:val="00830272"/>
    <w:rsid w:val="008307A0"/>
    <w:rsid w:val="008308C6"/>
    <w:rsid w:val="00831471"/>
    <w:rsid w:val="00831FC8"/>
    <w:rsid w:val="00832031"/>
    <w:rsid w:val="008321C1"/>
    <w:rsid w:val="008327D9"/>
    <w:rsid w:val="0083479A"/>
    <w:rsid w:val="0083510C"/>
    <w:rsid w:val="0083560C"/>
    <w:rsid w:val="008358E4"/>
    <w:rsid w:val="008358E8"/>
    <w:rsid w:val="00836B03"/>
    <w:rsid w:val="00836DE8"/>
    <w:rsid w:val="00836ECE"/>
    <w:rsid w:val="008371C6"/>
    <w:rsid w:val="008378F6"/>
    <w:rsid w:val="00840831"/>
    <w:rsid w:val="00840AD1"/>
    <w:rsid w:val="00840FE2"/>
    <w:rsid w:val="00842B87"/>
    <w:rsid w:val="008438AD"/>
    <w:rsid w:val="00844537"/>
    <w:rsid w:val="008448C6"/>
    <w:rsid w:val="00844AC5"/>
    <w:rsid w:val="00844BE0"/>
    <w:rsid w:val="00845AFF"/>
    <w:rsid w:val="008462C1"/>
    <w:rsid w:val="00846F71"/>
    <w:rsid w:val="008500B7"/>
    <w:rsid w:val="00850752"/>
    <w:rsid w:val="00850D22"/>
    <w:rsid w:val="00851333"/>
    <w:rsid w:val="0085144B"/>
    <w:rsid w:val="008518AE"/>
    <w:rsid w:val="00851A64"/>
    <w:rsid w:val="00851BDA"/>
    <w:rsid w:val="00853262"/>
    <w:rsid w:val="00853EDC"/>
    <w:rsid w:val="008561C5"/>
    <w:rsid w:val="0085687E"/>
    <w:rsid w:val="0086154A"/>
    <w:rsid w:val="008618A0"/>
    <w:rsid w:val="00861EF2"/>
    <w:rsid w:val="008625DC"/>
    <w:rsid w:val="008627BE"/>
    <w:rsid w:val="00862912"/>
    <w:rsid w:val="00863574"/>
    <w:rsid w:val="0086484C"/>
    <w:rsid w:val="00865193"/>
    <w:rsid w:val="008654F4"/>
    <w:rsid w:val="008660D5"/>
    <w:rsid w:val="00867E87"/>
    <w:rsid w:val="008700E6"/>
    <w:rsid w:val="0087077B"/>
    <w:rsid w:val="00870EEC"/>
    <w:rsid w:val="0087289D"/>
    <w:rsid w:val="00874547"/>
    <w:rsid w:val="00874EEA"/>
    <w:rsid w:val="00874F6D"/>
    <w:rsid w:val="0087549F"/>
    <w:rsid w:val="008764B9"/>
    <w:rsid w:val="00876F47"/>
    <w:rsid w:val="008773AA"/>
    <w:rsid w:val="008779B1"/>
    <w:rsid w:val="00877DD8"/>
    <w:rsid w:val="008803CB"/>
    <w:rsid w:val="00880EAE"/>
    <w:rsid w:val="00880EBE"/>
    <w:rsid w:val="008815C0"/>
    <w:rsid w:val="00881EEF"/>
    <w:rsid w:val="00883141"/>
    <w:rsid w:val="00883177"/>
    <w:rsid w:val="0088465E"/>
    <w:rsid w:val="008852FF"/>
    <w:rsid w:val="00885339"/>
    <w:rsid w:val="00885619"/>
    <w:rsid w:val="00885E3B"/>
    <w:rsid w:val="008868CC"/>
    <w:rsid w:val="0088798A"/>
    <w:rsid w:val="00887DCF"/>
    <w:rsid w:val="00890CDE"/>
    <w:rsid w:val="008910EB"/>
    <w:rsid w:val="0089183B"/>
    <w:rsid w:val="00891D9A"/>
    <w:rsid w:val="00892165"/>
    <w:rsid w:val="0089309E"/>
    <w:rsid w:val="0089323A"/>
    <w:rsid w:val="008934E7"/>
    <w:rsid w:val="00893ED2"/>
    <w:rsid w:val="0089405A"/>
    <w:rsid w:val="00895F40"/>
    <w:rsid w:val="00896A41"/>
    <w:rsid w:val="00896E73"/>
    <w:rsid w:val="0089797D"/>
    <w:rsid w:val="00897FC6"/>
    <w:rsid w:val="008A097D"/>
    <w:rsid w:val="008A1A7A"/>
    <w:rsid w:val="008A323F"/>
    <w:rsid w:val="008A3769"/>
    <w:rsid w:val="008A3BB5"/>
    <w:rsid w:val="008A43AE"/>
    <w:rsid w:val="008A623A"/>
    <w:rsid w:val="008A625B"/>
    <w:rsid w:val="008B22DB"/>
    <w:rsid w:val="008B257F"/>
    <w:rsid w:val="008B409F"/>
    <w:rsid w:val="008B4A37"/>
    <w:rsid w:val="008B5E4C"/>
    <w:rsid w:val="008B6C88"/>
    <w:rsid w:val="008B6FB7"/>
    <w:rsid w:val="008B7B53"/>
    <w:rsid w:val="008C1872"/>
    <w:rsid w:val="008C18F6"/>
    <w:rsid w:val="008C1E10"/>
    <w:rsid w:val="008C2BD8"/>
    <w:rsid w:val="008C3B5E"/>
    <w:rsid w:val="008C4035"/>
    <w:rsid w:val="008C4FD7"/>
    <w:rsid w:val="008C5A44"/>
    <w:rsid w:val="008C6B18"/>
    <w:rsid w:val="008C7342"/>
    <w:rsid w:val="008C7990"/>
    <w:rsid w:val="008C7AD9"/>
    <w:rsid w:val="008D023A"/>
    <w:rsid w:val="008D08E0"/>
    <w:rsid w:val="008D16D1"/>
    <w:rsid w:val="008D1F13"/>
    <w:rsid w:val="008D238A"/>
    <w:rsid w:val="008D2C8B"/>
    <w:rsid w:val="008D2DE4"/>
    <w:rsid w:val="008D2F0F"/>
    <w:rsid w:val="008D31EC"/>
    <w:rsid w:val="008D3C9A"/>
    <w:rsid w:val="008D3E3D"/>
    <w:rsid w:val="008D54C2"/>
    <w:rsid w:val="008D555B"/>
    <w:rsid w:val="008D5A2A"/>
    <w:rsid w:val="008D7323"/>
    <w:rsid w:val="008E076C"/>
    <w:rsid w:val="008E0B0D"/>
    <w:rsid w:val="008E119F"/>
    <w:rsid w:val="008E12CE"/>
    <w:rsid w:val="008E1407"/>
    <w:rsid w:val="008E2A9F"/>
    <w:rsid w:val="008E3794"/>
    <w:rsid w:val="008E5BCB"/>
    <w:rsid w:val="008E6611"/>
    <w:rsid w:val="008E6D43"/>
    <w:rsid w:val="008E76FF"/>
    <w:rsid w:val="008F0375"/>
    <w:rsid w:val="008F07F6"/>
    <w:rsid w:val="008F0F59"/>
    <w:rsid w:val="008F105F"/>
    <w:rsid w:val="008F1E44"/>
    <w:rsid w:val="008F3050"/>
    <w:rsid w:val="008F325D"/>
    <w:rsid w:val="008F3F48"/>
    <w:rsid w:val="008F41D5"/>
    <w:rsid w:val="008F4276"/>
    <w:rsid w:val="008F4426"/>
    <w:rsid w:val="008F447F"/>
    <w:rsid w:val="008F45B3"/>
    <w:rsid w:val="008F7196"/>
    <w:rsid w:val="00900DA8"/>
    <w:rsid w:val="009015AD"/>
    <w:rsid w:val="00902270"/>
    <w:rsid w:val="00903045"/>
    <w:rsid w:val="009034AE"/>
    <w:rsid w:val="009038CF"/>
    <w:rsid w:val="009038D1"/>
    <w:rsid w:val="009040FB"/>
    <w:rsid w:val="00904DFB"/>
    <w:rsid w:val="00905089"/>
    <w:rsid w:val="00905177"/>
    <w:rsid w:val="0090568A"/>
    <w:rsid w:val="009058C3"/>
    <w:rsid w:val="00905C01"/>
    <w:rsid w:val="00906753"/>
    <w:rsid w:val="00907656"/>
    <w:rsid w:val="00907F06"/>
    <w:rsid w:val="009113B3"/>
    <w:rsid w:val="00911417"/>
    <w:rsid w:val="00911BB7"/>
    <w:rsid w:val="00914147"/>
    <w:rsid w:val="00914183"/>
    <w:rsid w:val="00914384"/>
    <w:rsid w:val="00914848"/>
    <w:rsid w:val="00914CF9"/>
    <w:rsid w:val="00915309"/>
    <w:rsid w:val="0091583E"/>
    <w:rsid w:val="009158D5"/>
    <w:rsid w:val="0091592D"/>
    <w:rsid w:val="00915CBE"/>
    <w:rsid w:val="009166C9"/>
    <w:rsid w:val="00917298"/>
    <w:rsid w:val="00917452"/>
    <w:rsid w:val="00917908"/>
    <w:rsid w:val="00917B72"/>
    <w:rsid w:val="00920025"/>
    <w:rsid w:val="00920403"/>
    <w:rsid w:val="00921251"/>
    <w:rsid w:val="009213D6"/>
    <w:rsid w:val="009214BC"/>
    <w:rsid w:val="0092153C"/>
    <w:rsid w:val="00921BF6"/>
    <w:rsid w:val="00921E8E"/>
    <w:rsid w:val="00922592"/>
    <w:rsid w:val="0092274A"/>
    <w:rsid w:val="00922EF4"/>
    <w:rsid w:val="009236C0"/>
    <w:rsid w:val="00923BC3"/>
    <w:rsid w:val="009244D3"/>
    <w:rsid w:val="00924889"/>
    <w:rsid w:val="00924963"/>
    <w:rsid w:val="009254E2"/>
    <w:rsid w:val="00925AC8"/>
    <w:rsid w:val="0092769B"/>
    <w:rsid w:val="00927A34"/>
    <w:rsid w:val="00931D34"/>
    <w:rsid w:val="009334A7"/>
    <w:rsid w:val="00934125"/>
    <w:rsid w:val="00934198"/>
    <w:rsid w:val="009341CB"/>
    <w:rsid w:val="009347BA"/>
    <w:rsid w:val="00935F6C"/>
    <w:rsid w:val="00936B52"/>
    <w:rsid w:val="009374FB"/>
    <w:rsid w:val="009377E2"/>
    <w:rsid w:val="00937E7A"/>
    <w:rsid w:val="00941355"/>
    <w:rsid w:val="00941B05"/>
    <w:rsid w:val="00941F7B"/>
    <w:rsid w:val="00942044"/>
    <w:rsid w:val="0094234A"/>
    <w:rsid w:val="00942A3F"/>
    <w:rsid w:val="00942CD4"/>
    <w:rsid w:val="009444B0"/>
    <w:rsid w:val="00945542"/>
    <w:rsid w:val="0094588E"/>
    <w:rsid w:val="00945C3C"/>
    <w:rsid w:val="00946891"/>
    <w:rsid w:val="00946EAC"/>
    <w:rsid w:val="00947021"/>
    <w:rsid w:val="00947C7C"/>
    <w:rsid w:val="00951066"/>
    <w:rsid w:val="009510AF"/>
    <w:rsid w:val="009518E2"/>
    <w:rsid w:val="00954C02"/>
    <w:rsid w:val="009552E0"/>
    <w:rsid w:val="00955433"/>
    <w:rsid w:val="009555B3"/>
    <w:rsid w:val="0095570D"/>
    <w:rsid w:val="0095730A"/>
    <w:rsid w:val="00957E17"/>
    <w:rsid w:val="00960B5E"/>
    <w:rsid w:val="00960C32"/>
    <w:rsid w:val="00960D6E"/>
    <w:rsid w:val="0096160C"/>
    <w:rsid w:val="00961C91"/>
    <w:rsid w:val="00962563"/>
    <w:rsid w:val="00963D7E"/>
    <w:rsid w:val="009648C6"/>
    <w:rsid w:val="00966579"/>
    <w:rsid w:val="0097028B"/>
    <w:rsid w:val="00971609"/>
    <w:rsid w:val="009719E8"/>
    <w:rsid w:val="009724F9"/>
    <w:rsid w:val="00972A4F"/>
    <w:rsid w:val="00972CA8"/>
    <w:rsid w:val="00973CF9"/>
    <w:rsid w:val="009748AC"/>
    <w:rsid w:val="00976468"/>
    <w:rsid w:val="00976BBC"/>
    <w:rsid w:val="00976F4F"/>
    <w:rsid w:val="00977B0E"/>
    <w:rsid w:val="00980056"/>
    <w:rsid w:val="009804A8"/>
    <w:rsid w:val="00980E69"/>
    <w:rsid w:val="0098100B"/>
    <w:rsid w:val="00983103"/>
    <w:rsid w:val="009836C1"/>
    <w:rsid w:val="0098372F"/>
    <w:rsid w:val="00983F65"/>
    <w:rsid w:val="00984393"/>
    <w:rsid w:val="00986282"/>
    <w:rsid w:val="00986726"/>
    <w:rsid w:val="009875C3"/>
    <w:rsid w:val="00987754"/>
    <w:rsid w:val="00987D37"/>
    <w:rsid w:val="009915A1"/>
    <w:rsid w:val="00991946"/>
    <w:rsid w:val="00991D1C"/>
    <w:rsid w:val="009927C7"/>
    <w:rsid w:val="00992A81"/>
    <w:rsid w:val="009933DA"/>
    <w:rsid w:val="009955BF"/>
    <w:rsid w:val="00995619"/>
    <w:rsid w:val="00995831"/>
    <w:rsid w:val="009959FE"/>
    <w:rsid w:val="00995FCD"/>
    <w:rsid w:val="009962D3"/>
    <w:rsid w:val="0099752F"/>
    <w:rsid w:val="00997E44"/>
    <w:rsid w:val="009A07EF"/>
    <w:rsid w:val="009A1131"/>
    <w:rsid w:val="009A1B78"/>
    <w:rsid w:val="009A2736"/>
    <w:rsid w:val="009A2C51"/>
    <w:rsid w:val="009A319A"/>
    <w:rsid w:val="009A38FB"/>
    <w:rsid w:val="009A56BF"/>
    <w:rsid w:val="009A5806"/>
    <w:rsid w:val="009A6794"/>
    <w:rsid w:val="009A6DFB"/>
    <w:rsid w:val="009A7037"/>
    <w:rsid w:val="009B0799"/>
    <w:rsid w:val="009B0FDF"/>
    <w:rsid w:val="009B33FF"/>
    <w:rsid w:val="009B34D1"/>
    <w:rsid w:val="009B4774"/>
    <w:rsid w:val="009B4A9A"/>
    <w:rsid w:val="009B7345"/>
    <w:rsid w:val="009B79FF"/>
    <w:rsid w:val="009B7DA0"/>
    <w:rsid w:val="009C0806"/>
    <w:rsid w:val="009C08D6"/>
    <w:rsid w:val="009C0DD4"/>
    <w:rsid w:val="009C11C7"/>
    <w:rsid w:val="009C1861"/>
    <w:rsid w:val="009C1D8F"/>
    <w:rsid w:val="009C1DA9"/>
    <w:rsid w:val="009C2A84"/>
    <w:rsid w:val="009C353E"/>
    <w:rsid w:val="009C385F"/>
    <w:rsid w:val="009C44F8"/>
    <w:rsid w:val="009C5C8D"/>
    <w:rsid w:val="009C6761"/>
    <w:rsid w:val="009C69C8"/>
    <w:rsid w:val="009C70AF"/>
    <w:rsid w:val="009C729A"/>
    <w:rsid w:val="009C7B7D"/>
    <w:rsid w:val="009C7FF0"/>
    <w:rsid w:val="009D04A0"/>
    <w:rsid w:val="009D0B7C"/>
    <w:rsid w:val="009D0BE9"/>
    <w:rsid w:val="009D203A"/>
    <w:rsid w:val="009D24ED"/>
    <w:rsid w:val="009D2BB3"/>
    <w:rsid w:val="009D3133"/>
    <w:rsid w:val="009D41B1"/>
    <w:rsid w:val="009D431D"/>
    <w:rsid w:val="009D4C08"/>
    <w:rsid w:val="009D4D13"/>
    <w:rsid w:val="009D50B6"/>
    <w:rsid w:val="009D5D9B"/>
    <w:rsid w:val="009D5FCE"/>
    <w:rsid w:val="009E00D2"/>
    <w:rsid w:val="009E015E"/>
    <w:rsid w:val="009E2E34"/>
    <w:rsid w:val="009E3139"/>
    <w:rsid w:val="009E31DA"/>
    <w:rsid w:val="009E3692"/>
    <w:rsid w:val="009E387D"/>
    <w:rsid w:val="009E4062"/>
    <w:rsid w:val="009E46F4"/>
    <w:rsid w:val="009E54D3"/>
    <w:rsid w:val="009E57B0"/>
    <w:rsid w:val="009E5C78"/>
    <w:rsid w:val="009E69E1"/>
    <w:rsid w:val="009E71CD"/>
    <w:rsid w:val="009F2D38"/>
    <w:rsid w:val="009F32CF"/>
    <w:rsid w:val="009F3F2C"/>
    <w:rsid w:val="009F581B"/>
    <w:rsid w:val="009F5DD6"/>
    <w:rsid w:val="009F6887"/>
    <w:rsid w:val="009F6B43"/>
    <w:rsid w:val="009F7CA7"/>
    <w:rsid w:val="00A0210B"/>
    <w:rsid w:val="00A02A37"/>
    <w:rsid w:val="00A02A90"/>
    <w:rsid w:val="00A02B36"/>
    <w:rsid w:val="00A03380"/>
    <w:rsid w:val="00A03B9D"/>
    <w:rsid w:val="00A03D04"/>
    <w:rsid w:val="00A040DC"/>
    <w:rsid w:val="00A04109"/>
    <w:rsid w:val="00A049BA"/>
    <w:rsid w:val="00A04A3F"/>
    <w:rsid w:val="00A0588B"/>
    <w:rsid w:val="00A06A57"/>
    <w:rsid w:val="00A072BC"/>
    <w:rsid w:val="00A0756D"/>
    <w:rsid w:val="00A106B6"/>
    <w:rsid w:val="00A112F3"/>
    <w:rsid w:val="00A11572"/>
    <w:rsid w:val="00A118C9"/>
    <w:rsid w:val="00A11A45"/>
    <w:rsid w:val="00A11EC7"/>
    <w:rsid w:val="00A12067"/>
    <w:rsid w:val="00A12A54"/>
    <w:rsid w:val="00A12E83"/>
    <w:rsid w:val="00A1353E"/>
    <w:rsid w:val="00A14659"/>
    <w:rsid w:val="00A1610C"/>
    <w:rsid w:val="00A16B3B"/>
    <w:rsid w:val="00A1725D"/>
    <w:rsid w:val="00A172C1"/>
    <w:rsid w:val="00A172C6"/>
    <w:rsid w:val="00A20F1A"/>
    <w:rsid w:val="00A21612"/>
    <w:rsid w:val="00A227C7"/>
    <w:rsid w:val="00A22D18"/>
    <w:rsid w:val="00A23028"/>
    <w:rsid w:val="00A232AD"/>
    <w:rsid w:val="00A23BE6"/>
    <w:rsid w:val="00A23F5E"/>
    <w:rsid w:val="00A24D9A"/>
    <w:rsid w:val="00A259F3"/>
    <w:rsid w:val="00A264C1"/>
    <w:rsid w:val="00A26812"/>
    <w:rsid w:val="00A27462"/>
    <w:rsid w:val="00A27588"/>
    <w:rsid w:val="00A30BBD"/>
    <w:rsid w:val="00A31486"/>
    <w:rsid w:val="00A32089"/>
    <w:rsid w:val="00A32F80"/>
    <w:rsid w:val="00A33ABD"/>
    <w:rsid w:val="00A34C24"/>
    <w:rsid w:val="00A34ECE"/>
    <w:rsid w:val="00A34FB1"/>
    <w:rsid w:val="00A35C10"/>
    <w:rsid w:val="00A35C65"/>
    <w:rsid w:val="00A35DF3"/>
    <w:rsid w:val="00A36363"/>
    <w:rsid w:val="00A3699E"/>
    <w:rsid w:val="00A36B2F"/>
    <w:rsid w:val="00A40843"/>
    <w:rsid w:val="00A40BCD"/>
    <w:rsid w:val="00A40C56"/>
    <w:rsid w:val="00A41DCA"/>
    <w:rsid w:val="00A43277"/>
    <w:rsid w:val="00A43C79"/>
    <w:rsid w:val="00A44797"/>
    <w:rsid w:val="00A44A26"/>
    <w:rsid w:val="00A44E63"/>
    <w:rsid w:val="00A4512E"/>
    <w:rsid w:val="00A46387"/>
    <w:rsid w:val="00A4697D"/>
    <w:rsid w:val="00A46B3C"/>
    <w:rsid w:val="00A46D27"/>
    <w:rsid w:val="00A46FA5"/>
    <w:rsid w:val="00A47AE7"/>
    <w:rsid w:val="00A5425C"/>
    <w:rsid w:val="00A545A8"/>
    <w:rsid w:val="00A54E26"/>
    <w:rsid w:val="00A5582A"/>
    <w:rsid w:val="00A559FC"/>
    <w:rsid w:val="00A55F71"/>
    <w:rsid w:val="00A562BE"/>
    <w:rsid w:val="00A56DF1"/>
    <w:rsid w:val="00A56E1A"/>
    <w:rsid w:val="00A56F54"/>
    <w:rsid w:val="00A6078E"/>
    <w:rsid w:val="00A60CF0"/>
    <w:rsid w:val="00A616CA"/>
    <w:rsid w:val="00A63430"/>
    <w:rsid w:val="00A63631"/>
    <w:rsid w:val="00A655A7"/>
    <w:rsid w:val="00A70F22"/>
    <w:rsid w:val="00A71BF2"/>
    <w:rsid w:val="00A71D68"/>
    <w:rsid w:val="00A71F1A"/>
    <w:rsid w:val="00A71F48"/>
    <w:rsid w:val="00A720FA"/>
    <w:rsid w:val="00A726B6"/>
    <w:rsid w:val="00A72A1C"/>
    <w:rsid w:val="00A72ADC"/>
    <w:rsid w:val="00A72B20"/>
    <w:rsid w:val="00A72CB4"/>
    <w:rsid w:val="00A73453"/>
    <w:rsid w:val="00A735F7"/>
    <w:rsid w:val="00A74B43"/>
    <w:rsid w:val="00A76191"/>
    <w:rsid w:val="00A76616"/>
    <w:rsid w:val="00A77B2C"/>
    <w:rsid w:val="00A80ACB"/>
    <w:rsid w:val="00A80CE6"/>
    <w:rsid w:val="00A82B42"/>
    <w:rsid w:val="00A84685"/>
    <w:rsid w:val="00A854A2"/>
    <w:rsid w:val="00A85C80"/>
    <w:rsid w:val="00A85DA1"/>
    <w:rsid w:val="00A86BE7"/>
    <w:rsid w:val="00A90017"/>
    <w:rsid w:val="00A917B3"/>
    <w:rsid w:val="00A926FD"/>
    <w:rsid w:val="00A931F9"/>
    <w:rsid w:val="00A93AB8"/>
    <w:rsid w:val="00A94F07"/>
    <w:rsid w:val="00A9503A"/>
    <w:rsid w:val="00A95136"/>
    <w:rsid w:val="00A9600B"/>
    <w:rsid w:val="00A9657B"/>
    <w:rsid w:val="00A96FB1"/>
    <w:rsid w:val="00A97863"/>
    <w:rsid w:val="00AA04F2"/>
    <w:rsid w:val="00AA0E22"/>
    <w:rsid w:val="00AA15D9"/>
    <w:rsid w:val="00AA2849"/>
    <w:rsid w:val="00AA2D39"/>
    <w:rsid w:val="00AA5344"/>
    <w:rsid w:val="00AA756B"/>
    <w:rsid w:val="00AA79AE"/>
    <w:rsid w:val="00AB09E1"/>
    <w:rsid w:val="00AB0D54"/>
    <w:rsid w:val="00AB0FB1"/>
    <w:rsid w:val="00AB1C64"/>
    <w:rsid w:val="00AB315D"/>
    <w:rsid w:val="00AB3C6B"/>
    <w:rsid w:val="00AB3CF9"/>
    <w:rsid w:val="00AB3D89"/>
    <w:rsid w:val="00AB40AE"/>
    <w:rsid w:val="00AB4569"/>
    <w:rsid w:val="00AB4DF9"/>
    <w:rsid w:val="00AB51DD"/>
    <w:rsid w:val="00AB55FC"/>
    <w:rsid w:val="00AB61F2"/>
    <w:rsid w:val="00AB72AD"/>
    <w:rsid w:val="00AB735F"/>
    <w:rsid w:val="00AB7ADD"/>
    <w:rsid w:val="00AC2552"/>
    <w:rsid w:val="00AC26BC"/>
    <w:rsid w:val="00AC3316"/>
    <w:rsid w:val="00AC4835"/>
    <w:rsid w:val="00AC4A10"/>
    <w:rsid w:val="00AC55C8"/>
    <w:rsid w:val="00AC584D"/>
    <w:rsid w:val="00AC6E1B"/>
    <w:rsid w:val="00AC6EA7"/>
    <w:rsid w:val="00AC74CE"/>
    <w:rsid w:val="00AD08EE"/>
    <w:rsid w:val="00AD14F6"/>
    <w:rsid w:val="00AD15CF"/>
    <w:rsid w:val="00AD33B4"/>
    <w:rsid w:val="00AD3722"/>
    <w:rsid w:val="00AD4CCF"/>
    <w:rsid w:val="00AD5668"/>
    <w:rsid w:val="00AD5818"/>
    <w:rsid w:val="00AD5D2A"/>
    <w:rsid w:val="00AD5F6A"/>
    <w:rsid w:val="00AD68D2"/>
    <w:rsid w:val="00AD70B6"/>
    <w:rsid w:val="00AE0442"/>
    <w:rsid w:val="00AE0499"/>
    <w:rsid w:val="00AE0AE2"/>
    <w:rsid w:val="00AE0BB1"/>
    <w:rsid w:val="00AE1052"/>
    <w:rsid w:val="00AE1202"/>
    <w:rsid w:val="00AE27B4"/>
    <w:rsid w:val="00AE2925"/>
    <w:rsid w:val="00AE45C9"/>
    <w:rsid w:val="00AE4878"/>
    <w:rsid w:val="00AE5DEE"/>
    <w:rsid w:val="00AE71D8"/>
    <w:rsid w:val="00AE7347"/>
    <w:rsid w:val="00AE775F"/>
    <w:rsid w:val="00AE7CE0"/>
    <w:rsid w:val="00AE7F98"/>
    <w:rsid w:val="00AF03D9"/>
    <w:rsid w:val="00AF0B01"/>
    <w:rsid w:val="00AF0D6D"/>
    <w:rsid w:val="00AF0FA9"/>
    <w:rsid w:val="00AF2BEB"/>
    <w:rsid w:val="00AF2C72"/>
    <w:rsid w:val="00AF33E7"/>
    <w:rsid w:val="00AF62C7"/>
    <w:rsid w:val="00AF668E"/>
    <w:rsid w:val="00AF76C4"/>
    <w:rsid w:val="00B02E76"/>
    <w:rsid w:val="00B04902"/>
    <w:rsid w:val="00B04EA2"/>
    <w:rsid w:val="00B050D1"/>
    <w:rsid w:val="00B05D9F"/>
    <w:rsid w:val="00B06448"/>
    <w:rsid w:val="00B06BB3"/>
    <w:rsid w:val="00B07E1C"/>
    <w:rsid w:val="00B10758"/>
    <w:rsid w:val="00B10DF5"/>
    <w:rsid w:val="00B10F2B"/>
    <w:rsid w:val="00B12C46"/>
    <w:rsid w:val="00B12D2A"/>
    <w:rsid w:val="00B13743"/>
    <w:rsid w:val="00B13AEA"/>
    <w:rsid w:val="00B13B17"/>
    <w:rsid w:val="00B14692"/>
    <w:rsid w:val="00B15149"/>
    <w:rsid w:val="00B201F5"/>
    <w:rsid w:val="00B20D88"/>
    <w:rsid w:val="00B214A8"/>
    <w:rsid w:val="00B215F3"/>
    <w:rsid w:val="00B21BB5"/>
    <w:rsid w:val="00B223AD"/>
    <w:rsid w:val="00B23BBF"/>
    <w:rsid w:val="00B23FE6"/>
    <w:rsid w:val="00B24AE3"/>
    <w:rsid w:val="00B25018"/>
    <w:rsid w:val="00B258DD"/>
    <w:rsid w:val="00B25C43"/>
    <w:rsid w:val="00B25CBF"/>
    <w:rsid w:val="00B260AE"/>
    <w:rsid w:val="00B26254"/>
    <w:rsid w:val="00B26D3C"/>
    <w:rsid w:val="00B275C1"/>
    <w:rsid w:val="00B27798"/>
    <w:rsid w:val="00B27B62"/>
    <w:rsid w:val="00B30626"/>
    <w:rsid w:val="00B308DC"/>
    <w:rsid w:val="00B32114"/>
    <w:rsid w:val="00B324ED"/>
    <w:rsid w:val="00B326AB"/>
    <w:rsid w:val="00B32813"/>
    <w:rsid w:val="00B333DF"/>
    <w:rsid w:val="00B33562"/>
    <w:rsid w:val="00B338A8"/>
    <w:rsid w:val="00B35D89"/>
    <w:rsid w:val="00B40444"/>
    <w:rsid w:val="00B4123E"/>
    <w:rsid w:val="00B416DA"/>
    <w:rsid w:val="00B42DF0"/>
    <w:rsid w:val="00B42E56"/>
    <w:rsid w:val="00B42E7C"/>
    <w:rsid w:val="00B447F0"/>
    <w:rsid w:val="00B46997"/>
    <w:rsid w:val="00B53628"/>
    <w:rsid w:val="00B544A0"/>
    <w:rsid w:val="00B55971"/>
    <w:rsid w:val="00B55FF8"/>
    <w:rsid w:val="00B569AC"/>
    <w:rsid w:val="00B57507"/>
    <w:rsid w:val="00B61438"/>
    <w:rsid w:val="00B63C43"/>
    <w:rsid w:val="00B64069"/>
    <w:rsid w:val="00B64944"/>
    <w:rsid w:val="00B64EE2"/>
    <w:rsid w:val="00B65022"/>
    <w:rsid w:val="00B659A3"/>
    <w:rsid w:val="00B65EDE"/>
    <w:rsid w:val="00B701B7"/>
    <w:rsid w:val="00B7024A"/>
    <w:rsid w:val="00B71A33"/>
    <w:rsid w:val="00B72A20"/>
    <w:rsid w:val="00B7388B"/>
    <w:rsid w:val="00B7405B"/>
    <w:rsid w:val="00B7453B"/>
    <w:rsid w:val="00B74A36"/>
    <w:rsid w:val="00B74ABD"/>
    <w:rsid w:val="00B74E9E"/>
    <w:rsid w:val="00B753BB"/>
    <w:rsid w:val="00B7587B"/>
    <w:rsid w:val="00B75C3E"/>
    <w:rsid w:val="00B800C3"/>
    <w:rsid w:val="00B812A2"/>
    <w:rsid w:val="00B81560"/>
    <w:rsid w:val="00B819AA"/>
    <w:rsid w:val="00B8278C"/>
    <w:rsid w:val="00B82CC1"/>
    <w:rsid w:val="00B83035"/>
    <w:rsid w:val="00B833DF"/>
    <w:rsid w:val="00B84B59"/>
    <w:rsid w:val="00B84B9B"/>
    <w:rsid w:val="00B86D68"/>
    <w:rsid w:val="00B87E85"/>
    <w:rsid w:val="00B906FA"/>
    <w:rsid w:val="00B90D03"/>
    <w:rsid w:val="00B90D3D"/>
    <w:rsid w:val="00B9174B"/>
    <w:rsid w:val="00B9187D"/>
    <w:rsid w:val="00B91C1A"/>
    <w:rsid w:val="00B921BE"/>
    <w:rsid w:val="00B92369"/>
    <w:rsid w:val="00B93DB1"/>
    <w:rsid w:val="00B94692"/>
    <w:rsid w:val="00B949AF"/>
    <w:rsid w:val="00B9529A"/>
    <w:rsid w:val="00B97C93"/>
    <w:rsid w:val="00B97CF3"/>
    <w:rsid w:val="00BA052A"/>
    <w:rsid w:val="00BA072D"/>
    <w:rsid w:val="00BA07FD"/>
    <w:rsid w:val="00BA0F89"/>
    <w:rsid w:val="00BA22F3"/>
    <w:rsid w:val="00BA39C6"/>
    <w:rsid w:val="00BA513D"/>
    <w:rsid w:val="00BA5193"/>
    <w:rsid w:val="00BA55C8"/>
    <w:rsid w:val="00BA5654"/>
    <w:rsid w:val="00BA56EC"/>
    <w:rsid w:val="00BA6D88"/>
    <w:rsid w:val="00BA7546"/>
    <w:rsid w:val="00BB0F99"/>
    <w:rsid w:val="00BB1F26"/>
    <w:rsid w:val="00BB1F28"/>
    <w:rsid w:val="00BB30EC"/>
    <w:rsid w:val="00BB3254"/>
    <w:rsid w:val="00BB34C1"/>
    <w:rsid w:val="00BB3956"/>
    <w:rsid w:val="00BB5026"/>
    <w:rsid w:val="00BB5501"/>
    <w:rsid w:val="00BB6B83"/>
    <w:rsid w:val="00BB727E"/>
    <w:rsid w:val="00BC129C"/>
    <w:rsid w:val="00BC1CE2"/>
    <w:rsid w:val="00BC265F"/>
    <w:rsid w:val="00BC2A7C"/>
    <w:rsid w:val="00BC475E"/>
    <w:rsid w:val="00BC490A"/>
    <w:rsid w:val="00BC58AD"/>
    <w:rsid w:val="00BC7429"/>
    <w:rsid w:val="00BD0378"/>
    <w:rsid w:val="00BD18E0"/>
    <w:rsid w:val="00BD3227"/>
    <w:rsid w:val="00BD39F1"/>
    <w:rsid w:val="00BD4A63"/>
    <w:rsid w:val="00BD5855"/>
    <w:rsid w:val="00BD5DFB"/>
    <w:rsid w:val="00BD5F78"/>
    <w:rsid w:val="00BD6BBE"/>
    <w:rsid w:val="00BD7877"/>
    <w:rsid w:val="00BE0D81"/>
    <w:rsid w:val="00BE18EF"/>
    <w:rsid w:val="00BE1F06"/>
    <w:rsid w:val="00BE2F95"/>
    <w:rsid w:val="00BE2FD3"/>
    <w:rsid w:val="00BE31E6"/>
    <w:rsid w:val="00BE3D43"/>
    <w:rsid w:val="00BE45B5"/>
    <w:rsid w:val="00BE5575"/>
    <w:rsid w:val="00BE5800"/>
    <w:rsid w:val="00BE7083"/>
    <w:rsid w:val="00BE72B2"/>
    <w:rsid w:val="00BE79EF"/>
    <w:rsid w:val="00BE7C0B"/>
    <w:rsid w:val="00BE7DE7"/>
    <w:rsid w:val="00BE7E4D"/>
    <w:rsid w:val="00BF0106"/>
    <w:rsid w:val="00BF0650"/>
    <w:rsid w:val="00BF1342"/>
    <w:rsid w:val="00BF188F"/>
    <w:rsid w:val="00BF1F2A"/>
    <w:rsid w:val="00BF5147"/>
    <w:rsid w:val="00BF5F11"/>
    <w:rsid w:val="00BF74C6"/>
    <w:rsid w:val="00BF7985"/>
    <w:rsid w:val="00BF7E74"/>
    <w:rsid w:val="00C0095D"/>
    <w:rsid w:val="00C00F52"/>
    <w:rsid w:val="00C02802"/>
    <w:rsid w:val="00C02B19"/>
    <w:rsid w:val="00C02CE5"/>
    <w:rsid w:val="00C04C7B"/>
    <w:rsid w:val="00C04F01"/>
    <w:rsid w:val="00C055CC"/>
    <w:rsid w:val="00C05C32"/>
    <w:rsid w:val="00C05F01"/>
    <w:rsid w:val="00C11070"/>
    <w:rsid w:val="00C11473"/>
    <w:rsid w:val="00C11BD6"/>
    <w:rsid w:val="00C11D5D"/>
    <w:rsid w:val="00C11EE5"/>
    <w:rsid w:val="00C12572"/>
    <w:rsid w:val="00C12D63"/>
    <w:rsid w:val="00C1491D"/>
    <w:rsid w:val="00C15388"/>
    <w:rsid w:val="00C1563F"/>
    <w:rsid w:val="00C15916"/>
    <w:rsid w:val="00C15C4A"/>
    <w:rsid w:val="00C173D0"/>
    <w:rsid w:val="00C200CD"/>
    <w:rsid w:val="00C202C7"/>
    <w:rsid w:val="00C20FB9"/>
    <w:rsid w:val="00C21E38"/>
    <w:rsid w:val="00C222F6"/>
    <w:rsid w:val="00C22475"/>
    <w:rsid w:val="00C2393F"/>
    <w:rsid w:val="00C23CC4"/>
    <w:rsid w:val="00C24696"/>
    <w:rsid w:val="00C24846"/>
    <w:rsid w:val="00C25179"/>
    <w:rsid w:val="00C25602"/>
    <w:rsid w:val="00C26740"/>
    <w:rsid w:val="00C305F8"/>
    <w:rsid w:val="00C33235"/>
    <w:rsid w:val="00C339D0"/>
    <w:rsid w:val="00C33EC7"/>
    <w:rsid w:val="00C348B9"/>
    <w:rsid w:val="00C34AA1"/>
    <w:rsid w:val="00C359C8"/>
    <w:rsid w:val="00C36395"/>
    <w:rsid w:val="00C3673B"/>
    <w:rsid w:val="00C4094C"/>
    <w:rsid w:val="00C409E5"/>
    <w:rsid w:val="00C40C58"/>
    <w:rsid w:val="00C44804"/>
    <w:rsid w:val="00C4514E"/>
    <w:rsid w:val="00C45266"/>
    <w:rsid w:val="00C45787"/>
    <w:rsid w:val="00C4581A"/>
    <w:rsid w:val="00C463A7"/>
    <w:rsid w:val="00C473A4"/>
    <w:rsid w:val="00C506BE"/>
    <w:rsid w:val="00C506D2"/>
    <w:rsid w:val="00C51F2D"/>
    <w:rsid w:val="00C52470"/>
    <w:rsid w:val="00C524B2"/>
    <w:rsid w:val="00C52BE8"/>
    <w:rsid w:val="00C53721"/>
    <w:rsid w:val="00C537E7"/>
    <w:rsid w:val="00C54173"/>
    <w:rsid w:val="00C55E48"/>
    <w:rsid w:val="00C565FC"/>
    <w:rsid w:val="00C57A89"/>
    <w:rsid w:val="00C60282"/>
    <w:rsid w:val="00C605E6"/>
    <w:rsid w:val="00C614BC"/>
    <w:rsid w:val="00C61D57"/>
    <w:rsid w:val="00C62969"/>
    <w:rsid w:val="00C6359F"/>
    <w:rsid w:val="00C63B7B"/>
    <w:rsid w:val="00C63F82"/>
    <w:rsid w:val="00C6551E"/>
    <w:rsid w:val="00C65EBB"/>
    <w:rsid w:val="00C65EC5"/>
    <w:rsid w:val="00C66A26"/>
    <w:rsid w:val="00C67A33"/>
    <w:rsid w:val="00C67A61"/>
    <w:rsid w:val="00C67D6D"/>
    <w:rsid w:val="00C703BA"/>
    <w:rsid w:val="00C70544"/>
    <w:rsid w:val="00C72081"/>
    <w:rsid w:val="00C7208B"/>
    <w:rsid w:val="00C728CC"/>
    <w:rsid w:val="00C728EE"/>
    <w:rsid w:val="00C72A92"/>
    <w:rsid w:val="00C73F08"/>
    <w:rsid w:val="00C74014"/>
    <w:rsid w:val="00C74125"/>
    <w:rsid w:val="00C74456"/>
    <w:rsid w:val="00C74614"/>
    <w:rsid w:val="00C74E99"/>
    <w:rsid w:val="00C7661C"/>
    <w:rsid w:val="00C76B1A"/>
    <w:rsid w:val="00C77507"/>
    <w:rsid w:val="00C77B97"/>
    <w:rsid w:val="00C809D4"/>
    <w:rsid w:val="00C814C1"/>
    <w:rsid w:val="00C82F05"/>
    <w:rsid w:val="00C82F19"/>
    <w:rsid w:val="00C8489A"/>
    <w:rsid w:val="00C855A6"/>
    <w:rsid w:val="00C85778"/>
    <w:rsid w:val="00C85CB6"/>
    <w:rsid w:val="00C86C9B"/>
    <w:rsid w:val="00C86D60"/>
    <w:rsid w:val="00C876B8"/>
    <w:rsid w:val="00C87AC5"/>
    <w:rsid w:val="00C87DBF"/>
    <w:rsid w:val="00C87DD9"/>
    <w:rsid w:val="00C87F3A"/>
    <w:rsid w:val="00C93211"/>
    <w:rsid w:val="00C938F1"/>
    <w:rsid w:val="00C9527A"/>
    <w:rsid w:val="00C95485"/>
    <w:rsid w:val="00C95B88"/>
    <w:rsid w:val="00C9664D"/>
    <w:rsid w:val="00C96DBB"/>
    <w:rsid w:val="00C96F1B"/>
    <w:rsid w:val="00C97481"/>
    <w:rsid w:val="00CA010A"/>
    <w:rsid w:val="00CA0F0F"/>
    <w:rsid w:val="00CA22AE"/>
    <w:rsid w:val="00CA2E34"/>
    <w:rsid w:val="00CA2EC7"/>
    <w:rsid w:val="00CA3836"/>
    <w:rsid w:val="00CA3C69"/>
    <w:rsid w:val="00CA3E22"/>
    <w:rsid w:val="00CA41EC"/>
    <w:rsid w:val="00CA4299"/>
    <w:rsid w:val="00CA531C"/>
    <w:rsid w:val="00CA5BB5"/>
    <w:rsid w:val="00CA7888"/>
    <w:rsid w:val="00CB3800"/>
    <w:rsid w:val="00CB4BFA"/>
    <w:rsid w:val="00CB5577"/>
    <w:rsid w:val="00CB7247"/>
    <w:rsid w:val="00CC15BF"/>
    <w:rsid w:val="00CC1B28"/>
    <w:rsid w:val="00CC1B40"/>
    <w:rsid w:val="00CC1BDB"/>
    <w:rsid w:val="00CC2484"/>
    <w:rsid w:val="00CC4C76"/>
    <w:rsid w:val="00CC4E40"/>
    <w:rsid w:val="00CC5543"/>
    <w:rsid w:val="00CC5575"/>
    <w:rsid w:val="00CC6E94"/>
    <w:rsid w:val="00CC7531"/>
    <w:rsid w:val="00CC7723"/>
    <w:rsid w:val="00CC7FDD"/>
    <w:rsid w:val="00CD03DD"/>
    <w:rsid w:val="00CD0420"/>
    <w:rsid w:val="00CD05E6"/>
    <w:rsid w:val="00CD1651"/>
    <w:rsid w:val="00CD1785"/>
    <w:rsid w:val="00CD24E6"/>
    <w:rsid w:val="00CD2856"/>
    <w:rsid w:val="00CD32E6"/>
    <w:rsid w:val="00CD345F"/>
    <w:rsid w:val="00CD3FC4"/>
    <w:rsid w:val="00CD43F2"/>
    <w:rsid w:val="00CD478D"/>
    <w:rsid w:val="00CD505E"/>
    <w:rsid w:val="00CD5568"/>
    <w:rsid w:val="00CD5BC8"/>
    <w:rsid w:val="00CD5DCF"/>
    <w:rsid w:val="00CD5E8F"/>
    <w:rsid w:val="00CD66EC"/>
    <w:rsid w:val="00CD7BB8"/>
    <w:rsid w:val="00CE0994"/>
    <w:rsid w:val="00CE1818"/>
    <w:rsid w:val="00CE1A3B"/>
    <w:rsid w:val="00CE1B7E"/>
    <w:rsid w:val="00CE20A2"/>
    <w:rsid w:val="00CE2C9F"/>
    <w:rsid w:val="00CE3EDE"/>
    <w:rsid w:val="00CE469B"/>
    <w:rsid w:val="00CE4D1C"/>
    <w:rsid w:val="00CE5DED"/>
    <w:rsid w:val="00CE7244"/>
    <w:rsid w:val="00CE75FD"/>
    <w:rsid w:val="00CE7BEF"/>
    <w:rsid w:val="00CE7F00"/>
    <w:rsid w:val="00CF064B"/>
    <w:rsid w:val="00CF1B87"/>
    <w:rsid w:val="00CF2E6A"/>
    <w:rsid w:val="00CF3AE3"/>
    <w:rsid w:val="00CF4634"/>
    <w:rsid w:val="00CF523D"/>
    <w:rsid w:val="00CF635E"/>
    <w:rsid w:val="00CF7915"/>
    <w:rsid w:val="00D0110D"/>
    <w:rsid w:val="00D01F61"/>
    <w:rsid w:val="00D02EFA"/>
    <w:rsid w:val="00D04CFC"/>
    <w:rsid w:val="00D057A6"/>
    <w:rsid w:val="00D059B8"/>
    <w:rsid w:val="00D05F2E"/>
    <w:rsid w:val="00D07409"/>
    <w:rsid w:val="00D07631"/>
    <w:rsid w:val="00D10BDF"/>
    <w:rsid w:val="00D11266"/>
    <w:rsid w:val="00D112FE"/>
    <w:rsid w:val="00D11848"/>
    <w:rsid w:val="00D11A88"/>
    <w:rsid w:val="00D133E6"/>
    <w:rsid w:val="00D13C20"/>
    <w:rsid w:val="00D1515E"/>
    <w:rsid w:val="00D16712"/>
    <w:rsid w:val="00D1698F"/>
    <w:rsid w:val="00D16B61"/>
    <w:rsid w:val="00D16F77"/>
    <w:rsid w:val="00D172E6"/>
    <w:rsid w:val="00D17555"/>
    <w:rsid w:val="00D17666"/>
    <w:rsid w:val="00D177F6"/>
    <w:rsid w:val="00D178F6"/>
    <w:rsid w:val="00D17ACC"/>
    <w:rsid w:val="00D17E1A"/>
    <w:rsid w:val="00D21103"/>
    <w:rsid w:val="00D21D94"/>
    <w:rsid w:val="00D23C53"/>
    <w:rsid w:val="00D23DB5"/>
    <w:rsid w:val="00D25138"/>
    <w:rsid w:val="00D2524A"/>
    <w:rsid w:val="00D25963"/>
    <w:rsid w:val="00D27589"/>
    <w:rsid w:val="00D30883"/>
    <w:rsid w:val="00D31798"/>
    <w:rsid w:val="00D319DA"/>
    <w:rsid w:val="00D33595"/>
    <w:rsid w:val="00D3450B"/>
    <w:rsid w:val="00D3500D"/>
    <w:rsid w:val="00D361EF"/>
    <w:rsid w:val="00D36648"/>
    <w:rsid w:val="00D3683F"/>
    <w:rsid w:val="00D36BE9"/>
    <w:rsid w:val="00D36F3C"/>
    <w:rsid w:val="00D37EDB"/>
    <w:rsid w:val="00D4034B"/>
    <w:rsid w:val="00D403F0"/>
    <w:rsid w:val="00D4086E"/>
    <w:rsid w:val="00D4094F"/>
    <w:rsid w:val="00D40EA8"/>
    <w:rsid w:val="00D4108A"/>
    <w:rsid w:val="00D42167"/>
    <w:rsid w:val="00D422A4"/>
    <w:rsid w:val="00D42472"/>
    <w:rsid w:val="00D42FF7"/>
    <w:rsid w:val="00D43624"/>
    <w:rsid w:val="00D454B8"/>
    <w:rsid w:val="00D46E6B"/>
    <w:rsid w:val="00D47301"/>
    <w:rsid w:val="00D47B44"/>
    <w:rsid w:val="00D47F89"/>
    <w:rsid w:val="00D516C7"/>
    <w:rsid w:val="00D51D76"/>
    <w:rsid w:val="00D53261"/>
    <w:rsid w:val="00D53909"/>
    <w:rsid w:val="00D54D1A"/>
    <w:rsid w:val="00D54D58"/>
    <w:rsid w:val="00D55446"/>
    <w:rsid w:val="00D559AF"/>
    <w:rsid w:val="00D57081"/>
    <w:rsid w:val="00D57CAD"/>
    <w:rsid w:val="00D57CFD"/>
    <w:rsid w:val="00D605B7"/>
    <w:rsid w:val="00D6088E"/>
    <w:rsid w:val="00D60D44"/>
    <w:rsid w:val="00D60F8C"/>
    <w:rsid w:val="00D61944"/>
    <w:rsid w:val="00D61E03"/>
    <w:rsid w:val="00D62C72"/>
    <w:rsid w:val="00D63847"/>
    <w:rsid w:val="00D63B26"/>
    <w:rsid w:val="00D63F1C"/>
    <w:rsid w:val="00D65861"/>
    <w:rsid w:val="00D66EE8"/>
    <w:rsid w:val="00D70C26"/>
    <w:rsid w:val="00D70D21"/>
    <w:rsid w:val="00D71A2C"/>
    <w:rsid w:val="00D71DB3"/>
    <w:rsid w:val="00D72BD6"/>
    <w:rsid w:val="00D74250"/>
    <w:rsid w:val="00D74462"/>
    <w:rsid w:val="00D750E5"/>
    <w:rsid w:val="00D756F3"/>
    <w:rsid w:val="00D7598A"/>
    <w:rsid w:val="00D75E27"/>
    <w:rsid w:val="00D76916"/>
    <w:rsid w:val="00D76CD0"/>
    <w:rsid w:val="00D777B8"/>
    <w:rsid w:val="00D8007D"/>
    <w:rsid w:val="00D80672"/>
    <w:rsid w:val="00D80D22"/>
    <w:rsid w:val="00D8129B"/>
    <w:rsid w:val="00D83801"/>
    <w:rsid w:val="00D83AAA"/>
    <w:rsid w:val="00D841C6"/>
    <w:rsid w:val="00D84262"/>
    <w:rsid w:val="00D8452A"/>
    <w:rsid w:val="00D85867"/>
    <w:rsid w:val="00D86318"/>
    <w:rsid w:val="00D86358"/>
    <w:rsid w:val="00D90A53"/>
    <w:rsid w:val="00D90A9F"/>
    <w:rsid w:val="00D911F0"/>
    <w:rsid w:val="00D91952"/>
    <w:rsid w:val="00D932B4"/>
    <w:rsid w:val="00D94B64"/>
    <w:rsid w:val="00D953F2"/>
    <w:rsid w:val="00D95592"/>
    <w:rsid w:val="00D9566A"/>
    <w:rsid w:val="00DA0AE5"/>
    <w:rsid w:val="00DA27F4"/>
    <w:rsid w:val="00DA303C"/>
    <w:rsid w:val="00DA3F73"/>
    <w:rsid w:val="00DA4304"/>
    <w:rsid w:val="00DA551D"/>
    <w:rsid w:val="00DA60C2"/>
    <w:rsid w:val="00DA6C9C"/>
    <w:rsid w:val="00DA6D02"/>
    <w:rsid w:val="00DA6DF7"/>
    <w:rsid w:val="00DA738C"/>
    <w:rsid w:val="00DB106F"/>
    <w:rsid w:val="00DB1805"/>
    <w:rsid w:val="00DB2E06"/>
    <w:rsid w:val="00DB411E"/>
    <w:rsid w:val="00DB413A"/>
    <w:rsid w:val="00DB46E1"/>
    <w:rsid w:val="00DB4CFD"/>
    <w:rsid w:val="00DB5707"/>
    <w:rsid w:val="00DB5756"/>
    <w:rsid w:val="00DB5BDB"/>
    <w:rsid w:val="00DB60CA"/>
    <w:rsid w:val="00DB71DC"/>
    <w:rsid w:val="00DB7E36"/>
    <w:rsid w:val="00DC0713"/>
    <w:rsid w:val="00DC0C52"/>
    <w:rsid w:val="00DC14EA"/>
    <w:rsid w:val="00DC169E"/>
    <w:rsid w:val="00DC296B"/>
    <w:rsid w:val="00DC2B55"/>
    <w:rsid w:val="00DC3832"/>
    <w:rsid w:val="00DC4ECF"/>
    <w:rsid w:val="00DC5832"/>
    <w:rsid w:val="00DC5A5D"/>
    <w:rsid w:val="00DC6157"/>
    <w:rsid w:val="00DC6590"/>
    <w:rsid w:val="00DD0882"/>
    <w:rsid w:val="00DD0B66"/>
    <w:rsid w:val="00DD0CE0"/>
    <w:rsid w:val="00DD2714"/>
    <w:rsid w:val="00DD2CA4"/>
    <w:rsid w:val="00DD2DAE"/>
    <w:rsid w:val="00DD45BC"/>
    <w:rsid w:val="00DD4DF2"/>
    <w:rsid w:val="00DD52FC"/>
    <w:rsid w:val="00DD589A"/>
    <w:rsid w:val="00DD6C1A"/>
    <w:rsid w:val="00DD7022"/>
    <w:rsid w:val="00DD7CAC"/>
    <w:rsid w:val="00DE041E"/>
    <w:rsid w:val="00DE2899"/>
    <w:rsid w:val="00DE2F54"/>
    <w:rsid w:val="00DE33F6"/>
    <w:rsid w:val="00DE6810"/>
    <w:rsid w:val="00DE6AF7"/>
    <w:rsid w:val="00DE6CE0"/>
    <w:rsid w:val="00DE7058"/>
    <w:rsid w:val="00DE76DF"/>
    <w:rsid w:val="00DF06D2"/>
    <w:rsid w:val="00DF0CEB"/>
    <w:rsid w:val="00DF19E9"/>
    <w:rsid w:val="00DF205F"/>
    <w:rsid w:val="00DF2241"/>
    <w:rsid w:val="00DF34F1"/>
    <w:rsid w:val="00DF3678"/>
    <w:rsid w:val="00DF428E"/>
    <w:rsid w:val="00DF4409"/>
    <w:rsid w:val="00DF4B00"/>
    <w:rsid w:val="00DF4C2F"/>
    <w:rsid w:val="00DF4D36"/>
    <w:rsid w:val="00DF710E"/>
    <w:rsid w:val="00DF7242"/>
    <w:rsid w:val="00DF755B"/>
    <w:rsid w:val="00DF7A80"/>
    <w:rsid w:val="00DF7FA8"/>
    <w:rsid w:val="00E0015B"/>
    <w:rsid w:val="00E0129B"/>
    <w:rsid w:val="00E0147B"/>
    <w:rsid w:val="00E02C0D"/>
    <w:rsid w:val="00E032D8"/>
    <w:rsid w:val="00E037EE"/>
    <w:rsid w:val="00E0380B"/>
    <w:rsid w:val="00E03903"/>
    <w:rsid w:val="00E0561F"/>
    <w:rsid w:val="00E05AA2"/>
    <w:rsid w:val="00E05D83"/>
    <w:rsid w:val="00E06815"/>
    <w:rsid w:val="00E06E4F"/>
    <w:rsid w:val="00E07468"/>
    <w:rsid w:val="00E07DB9"/>
    <w:rsid w:val="00E07DC4"/>
    <w:rsid w:val="00E11AA8"/>
    <w:rsid w:val="00E11B1A"/>
    <w:rsid w:val="00E11DF7"/>
    <w:rsid w:val="00E1227D"/>
    <w:rsid w:val="00E129E9"/>
    <w:rsid w:val="00E12D63"/>
    <w:rsid w:val="00E13385"/>
    <w:rsid w:val="00E1357B"/>
    <w:rsid w:val="00E1362D"/>
    <w:rsid w:val="00E149F4"/>
    <w:rsid w:val="00E15535"/>
    <w:rsid w:val="00E15936"/>
    <w:rsid w:val="00E15C25"/>
    <w:rsid w:val="00E16128"/>
    <w:rsid w:val="00E17522"/>
    <w:rsid w:val="00E17773"/>
    <w:rsid w:val="00E17848"/>
    <w:rsid w:val="00E20671"/>
    <w:rsid w:val="00E22DE7"/>
    <w:rsid w:val="00E23EAF"/>
    <w:rsid w:val="00E247A0"/>
    <w:rsid w:val="00E24B47"/>
    <w:rsid w:val="00E25CFD"/>
    <w:rsid w:val="00E2605E"/>
    <w:rsid w:val="00E260E9"/>
    <w:rsid w:val="00E3141E"/>
    <w:rsid w:val="00E31C28"/>
    <w:rsid w:val="00E32419"/>
    <w:rsid w:val="00E32AAA"/>
    <w:rsid w:val="00E32F56"/>
    <w:rsid w:val="00E3342B"/>
    <w:rsid w:val="00E33CA3"/>
    <w:rsid w:val="00E33E48"/>
    <w:rsid w:val="00E344A7"/>
    <w:rsid w:val="00E3508E"/>
    <w:rsid w:val="00E35528"/>
    <w:rsid w:val="00E36046"/>
    <w:rsid w:val="00E3653C"/>
    <w:rsid w:val="00E36592"/>
    <w:rsid w:val="00E3687D"/>
    <w:rsid w:val="00E370DD"/>
    <w:rsid w:val="00E425E2"/>
    <w:rsid w:val="00E42AAB"/>
    <w:rsid w:val="00E42BBB"/>
    <w:rsid w:val="00E45C0D"/>
    <w:rsid w:val="00E46A75"/>
    <w:rsid w:val="00E475F9"/>
    <w:rsid w:val="00E4792B"/>
    <w:rsid w:val="00E47E8B"/>
    <w:rsid w:val="00E50A8B"/>
    <w:rsid w:val="00E50F7A"/>
    <w:rsid w:val="00E525CD"/>
    <w:rsid w:val="00E5351A"/>
    <w:rsid w:val="00E53762"/>
    <w:rsid w:val="00E53EDB"/>
    <w:rsid w:val="00E542D4"/>
    <w:rsid w:val="00E54BF7"/>
    <w:rsid w:val="00E55369"/>
    <w:rsid w:val="00E5589F"/>
    <w:rsid w:val="00E55A17"/>
    <w:rsid w:val="00E55D12"/>
    <w:rsid w:val="00E5620D"/>
    <w:rsid w:val="00E56D4C"/>
    <w:rsid w:val="00E6029C"/>
    <w:rsid w:val="00E606AD"/>
    <w:rsid w:val="00E61226"/>
    <w:rsid w:val="00E61A0A"/>
    <w:rsid w:val="00E61AF2"/>
    <w:rsid w:val="00E61C35"/>
    <w:rsid w:val="00E6228A"/>
    <w:rsid w:val="00E6234E"/>
    <w:rsid w:val="00E62C44"/>
    <w:rsid w:val="00E63C6C"/>
    <w:rsid w:val="00E64301"/>
    <w:rsid w:val="00E65DBF"/>
    <w:rsid w:val="00E666F9"/>
    <w:rsid w:val="00E66741"/>
    <w:rsid w:val="00E66812"/>
    <w:rsid w:val="00E67D74"/>
    <w:rsid w:val="00E70C7F"/>
    <w:rsid w:val="00E70E1E"/>
    <w:rsid w:val="00E72169"/>
    <w:rsid w:val="00E72F52"/>
    <w:rsid w:val="00E7399C"/>
    <w:rsid w:val="00E746DC"/>
    <w:rsid w:val="00E74D78"/>
    <w:rsid w:val="00E766B3"/>
    <w:rsid w:val="00E77248"/>
    <w:rsid w:val="00E77A11"/>
    <w:rsid w:val="00E77F7F"/>
    <w:rsid w:val="00E8059C"/>
    <w:rsid w:val="00E80B98"/>
    <w:rsid w:val="00E80F08"/>
    <w:rsid w:val="00E8288C"/>
    <w:rsid w:val="00E82A5F"/>
    <w:rsid w:val="00E82CF5"/>
    <w:rsid w:val="00E841CD"/>
    <w:rsid w:val="00E8490F"/>
    <w:rsid w:val="00E852BF"/>
    <w:rsid w:val="00E85BA5"/>
    <w:rsid w:val="00E86A09"/>
    <w:rsid w:val="00E87347"/>
    <w:rsid w:val="00E879E2"/>
    <w:rsid w:val="00E87A49"/>
    <w:rsid w:val="00E91683"/>
    <w:rsid w:val="00E92152"/>
    <w:rsid w:val="00E92E14"/>
    <w:rsid w:val="00E9433E"/>
    <w:rsid w:val="00E946BA"/>
    <w:rsid w:val="00E94C0B"/>
    <w:rsid w:val="00E94E9B"/>
    <w:rsid w:val="00E95305"/>
    <w:rsid w:val="00E95BA7"/>
    <w:rsid w:val="00E95E20"/>
    <w:rsid w:val="00E968C5"/>
    <w:rsid w:val="00E9695F"/>
    <w:rsid w:val="00E97151"/>
    <w:rsid w:val="00E978DC"/>
    <w:rsid w:val="00EA097A"/>
    <w:rsid w:val="00EA346E"/>
    <w:rsid w:val="00EA4734"/>
    <w:rsid w:val="00EA63AB"/>
    <w:rsid w:val="00EA64BD"/>
    <w:rsid w:val="00EA6551"/>
    <w:rsid w:val="00EA6795"/>
    <w:rsid w:val="00EA68B0"/>
    <w:rsid w:val="00EA7370"/>
    <w:rsid w:val="00EA77E4"/>
    <w:rsid w:val="00EA7979"/>
    <w:rsid w:val="00EB0C5D"/>
    <w:rsid w:val="00EB0E5C"/>
    <w:rsid w:val="00EB1ECF"/>
    <w:rsid w:val="00EB2001"/>
    <w:rsid w:val="00EB2CBD"/>
    <w:rsid w:val="00EB2D2F"/>
    <w:rsid w:val="00EB2F31"/>
    <w:rsid w:val="00EB3749"/>
    <w:rsid w:val="00EB388D"/>
    <w:rsid w:val="00EB3D18"/>
    <w:rsid w:val="00EB4411"/>
    <w:rsid w:val="00EB5019"/>
    <w:rsid w:val="00EB6937"/>
    <w:rsid w:val="00EB741C"/>
    <w:rsid w:val="00EC1AE2"/>
    <w:rsid w:val="00EC1E5C"/>
    <w:rsid w:val="00EC2127"/>
    <w:rsid w:val="00EC40B7"/>
    <w:rsid w:val="00EC4F2A"/>
    <w:rsid w:val="00EC63DD"/>
    <w:rsid w:val="00EC66F6"/>
    <w:rsid w:val="00EC6835"/>
    <w:rsid w:val="00EC6C2E"/>
    <w:rsid w:val="00ED128A"/>
    <w:rsid w:val="00ED1710"/>
    <w:rsid w:val="00ED184A"/>
    <w:rsid w:val="00ED22FA"/>
    <w:rsid w:val="00ED34CA"/>
    <w:rsid w:val="00ED44AF"/>
    <w:rsid w:val="00ED44D2"/>
    <w:rsid w:val="00ED4BA1"/>
    <w:rsid w:val="00ED5100"/>
    <w:rsid w:val="00ED5CD7"/>
    <w:rsid w:val="00ED6EAE"/>
    <w:rsid w:val="00ED6F2A"/>
    <w:rsid w:val="00ED736A"/>
    <w:rsid w:val="00EE02E9"/>
    <w:rsid w:val="00EE0EE5"/>
    <w:rsid w:val="00EE2C27"/>
    <w:rsid w:val="00EE362F"/>
    <w:rsid w:val="00EE3906"/>
    <w:rsid w:val="00EE3AB8"/>
    <w:rsid w:val="00EE3B2D"/>
    <w:rsid w:val="00EE4990"/>
    <w:rsid w:val="00EE4CD6"/>
    <w:rsid w:val="00EE5349"/>
    <w:rsid w:val="00EE5FF1"/>
    <w:rsid w:val="00EE7940"/>
    <w:rsid w:val="00EF02F7"/>
    <w:rsid w:val="00EF0396"/>
    <w:rsid w:val="00EF117A"/>
    <w:rsid w:val="00EF138A"/>
    <w:rsid w:val="00EF18ED"/>
    <w:rsid w:val="00EF1DEC"/>
    <w:rsid w:val="00EF30DB"/>
    <w:rsid w:val="00EF3238"/>
    <w:rsid w:val="00EF3599"/>
    <w:rsid w:val="00EF4F0D"/>
    <w:rsid w:val="00EF53CD"/>
    <w:rsid w:val="00EF57A8"/>
    <w:rsid w:val="00EF5988"/>
    <w:rsid w:val="00EF5E36"/>
    <w:rsid w:val="00EF626B"/>
    <w:rsid w:val="00EF6798"/>
    <w:rsid w:val="00EF7BF7"/>
    <w:rsid w:val="00F000AD"/>
    <w:rsid w:val="00F00452"/>
    <w:rsid w:val="00F00F20"/>
    <w:rsid w:val="00F01C7A"/>
    <w:rsid w:val="00F0297A"/>
    <w:rsid w:val="00F049E8"/>
    <w:rsid w:val="00F04C5C"/>
    <w:rsid w:val="00F04E3B"/>
    <w:rsid w:val="00F05157"/>
    <w:rsid w:val="00F059DA"/>
    <w:rsid w:val="00F062DC"/>
    <w:rsid w:val="00F062FD"/>
    <w:rsid w:val="00F07774"/>
    <w:rsid w:val="00F07EB2"/>
    <w:rsid w:val="00F102C0"/>
    <w:rsid w:val="00F10E1E"/>
    <w:rsid w:val="00F11540"/>
    <w:rsid w:val="00F12070"/>
    <w:rsid w:val="00F12981"/>
    <w:rsid w:val="00F13B8F"/>
    <w:rsid w:val="00F14A24"/>
    <w:rsid w:val="00F14CC2"/>
    <w:rsid w:val="00F14FF3"/>
    <w:rsid w:val="00F1512C"/>
    <w:rsid w:val="00F159C3"/>
    <w:rsid w:val="00F17C68"/>
    <w:rsid w:val="00F17D15"/>
    <w:rsid w:val="00F2039B"/>
    <w:rsid w:val="00F213E0"/>
    <w:rsid w:val="00F216F8"/>
    <w:rsid w:val="00F21C56"/>
    <w:rsid w:val="00F2297B"/>
    <w:rsid w:val="00F22B77"/>
    <w:rsid w:val="00F23C56"/>
    <w:rsid w:val="00F23EED"/>
    <w:rsid w:val="00F25431"/>
    <w:rsid w:val="00F26C32"/>
    <w:rsid w:val="00F26DD8"/>
    <w:rsid w:val="00F31BB0"/>
    <w:rsid w:val="00F3250D"/>
    <w:rsid w:val="00F32FA6"/>
    <w:rsid w:val="00F33A02"/>
    <w:rsid w:val="00F3413B"/>
    <w:rsid w:val="00F348A7"/>
    <w:rsid w:val="00F34F46"/>
    <w:rsid w:val="00F355E9"/>
    <w:rsid w:val="00F36944"/>
    <w:rsid w:val="00F36A22"/>
    <w:rsid w:val="00F36B37"/>
    <w:rsid w:val="00F371F2"/>
    <w:rsid w:val="00F37487"/>
    <w:rsid w:val="00F3748A"/>
    <w:rsid w:val="00F4064B"/>
    <w:rsid w:val="00F408C4"/>
    <w:rsid w:val="00F40BD5"/>
    <w:rsid w:val="00F41509"/>
    <w:rsid w:val="00F41F59"/>
    <w:rsid w:val="00F4307E"/>
    <w:rsid w:val="00F430EC"/>
    <w:rsid w:val="00F4342F"/>
    <w:rsid w:val="00F44872"/>
    <w:rsid w:val="00F44F3C"/>
    <w:rsid w:val="00F45573"/>
    <w:rsid w:val="00F45E3E"/>
    <w:rsid w:val="00F46CAE"/>
    <w:rsid w:val="00F46D7C"/>
    <w:rsid w:val="00F47D1D"/>
    <w:rsid w:val="00F50653"/>
    <w:rsid w:val="00F512EB"/>
    <w:rsid w:val="00F51956"/>
    <w:rsid w:val="00F51D0F"/>
    <w:rsid w:val="00F52133"/>
    <w:rsid w:val="00F521B9"/>
    <w:rsid w:val="00F5224E"/>
    <w:rsid w:val="00F528E7"/>
    <w:rsid w:val="00F52C09"/>
    <w:rsid w:val="00F539BF"/>
    <w:rsid w:val="00F53CFE"/>
    <w:rsid w:val="00F53D22"/>
    <w:rsid w:val="00F53E21"/>
    <w:rsid w:val="00F54184"/>
    <w:rsid w:val="00F558BC"/>
    <w:rsid w:val="00F558C9"/>
    <w:rsid w:val="00F55AF8"/>
    <w:rsid w:val="00F560B8"/>
    <w:rsid w:val="00F5768A"/>
    <w:rsid w:val="00F57F73"/>
    <w:rsid w:val="00F608D4"/>
    <w:rsid w:val="00F62551"/>
    <w:rsid w:val="00F63594"/>
    <w:rsid w:val="00F63944"/>
    <w:rsid w:val="00F63FC6"/>
    <w:rsid w:val="00F6447F"/>
    <w:rsid w:val="00F64792"/>
    <w:rsid w:val="00F64B81"/>
    <w:rsid w:val="00F65B35"/>
    <w:rsid w:val="00F669D4"/>
    <w:rsid w:val="00F66D1D"/>
    <w:rsid w:val="00F6752C"/>
    <w:rsid w:val="00F6755F"/>
    <w:rsid w:val="00F701EC"/>
    <w:rsid w:val="00F7041E"/>
    <w:rsid w:val="00F70596"/>
    <w:rsid w:val="00F707F7"/>
    <w:rsid w:val="00F708AC"/>
    <w:rsid w:val="00F712BE"/>
    <w:rsid w:val="00F71936"/>
    <w:rsid w:val="00F71A0D"/>
    <w:rsid w:val="00F71EAD"/>
    <w:rsid w:val="00F71F39"/>
    <w:rsid w:val="00F72348"/>
    <w:rsid w:val="00F723CC"/>
    <w:rsid w:val="00F725CA"/>
    <w:rsid w:val="00F72ACF"/>
    <w:rsid w:val="00F72B47"/>
    <w:rsid w:val="00F733D0"/>
    <w:rsid w:val="00F734BA"/>
    <w:rsid w:val="00F7362A"/>
    <w:rsid w:val="00F739AD"/>
    <w:rsid w:val="00F74195"/>
    <w:rsid w:val="00F74B50"/>
    <w:rsid w:val="00F76156"/>
    <w:rsid w:val="00F777E4"/>
    <w:rsid w:val="00F7794A"/>
    <w:rsid w:val="00F801C3"/>
    <w:rsid w:val="00F805F4"/>
    <w:rsid w:val="00F80C3F"/>
    <w:rsid w:val="00F81026"/>
    <w:rsid w:val="00F824A6"/>
    <w:rsid w:val="00F83ACF"/>
    <w:rsid w:val="00F84C48"/>
    <w:rsid w:val="00F84D1D"/>
    <w:rsid w:val="00F86411"/>
    <w:rsid w:val="00F865CB"/>
    <w:rsid w:val="00F87C95"/>
    <w:rsid w:val="00F87DE6"/>
    <w:rsid w:val="00F906C9"/>
    <w:rsid w:val="00F90986"/>
    <w:rsid w:val="00F91580"/>
    <w:rsid w:val="00F916DE"/>
    <w:rsid w:val="00F91F61"/>
    <w:rsid w:val="00F922B8"/>
    <w:rsid w:val="00F92B8D"/>
    <w:rsid w:val="00F92EFA"/>
    <w:rsid w:val="00F93165"/>
    <w:rsid w:val="00F93864"/>
    <w:rsid w:val="00F93973"/>
    <w:rsid w:val="00F9418D"/>
    <w:rsid w:val="00F945A7"/>
    <w:rsid w:val="00F94903"/>
    <w:rsid w:val="00F94F59"/>
    <w:rsid w:val="00F956EE"/>
    <w:rsid w:val="00F968FA"/>
    <w:rsid w:val="00F9693B"/>
    <w:rsid w:val="00F96A89"/>
    <w:rsid w:val="00F96FF2"/>
    <w:rsid w:val="00F97AE3"/>
    <w:rsid w:val="00F97DE6"/>
    <w:rsid w:val="00FA0D1C"/>
    <w:rsid w:val="00FA1987"/>
    <w:rsid w:val="00FA2492"/>
    <w:rsid w:val="00FA431A"/>
    <w:rsid w:val="00FA474C"/>
    <w:rsid w:val="00FA5181"/>
    <w:rsid w:val="00FA5E95"/>
    <w:rsid w:val="00FA77C2"/>
    <w:rsid w:val="00FA7B34"/>
    <w:rsid w:val="00FB03AC"/>
    <w:rsid w:val="00FB06CF"/>
    <w:rsid w:val="00FB2595"/>
    <w:rsid w:val="00FB33CD"/>
    <w:rsid w:val="00FB3B90"/>
    <w:rsid w:val="00FB4822"/>
    <w:rsid w:val="00FB4A7D"/>
    <w:rsid w:val="00FB4D9D"/>
    <w:rsid w:val="00FB56A3"/>
    <w:rsid w:val="00FB5D00"/>
    <w:rsid w:val="00FB61C4"/>
    <w:rsid w:val="00FB6ED0"/>
    <w:rsid w:val="00FB70AB"/>
    <w:rsid w:val="00FB75F4"/>
    <w:rsid w:val="00FC0A43"/>
    <w:rsid w:val="00FC128B"/>
    <w:rsid w:val="00FC1A36"/>
    <w:rsid w:val="00FC1C8B"/>
    <w:rsid w:val="00FC1CBB"/>
    <w:rsid w:val="00FC1E7B"/>
    <w:rsid w:val="00FC2012"/>
    <w:rsid w:val="00FC27F0"/>
    <w:rsid w:val="00FC37A5"/>
    <w:rsid w:val="00FC3F25"/>
    <w:rsid w:val="00FC4AC6"/>
    <w:rsid w:val="00FC524D"/>
    <w:rsid w:val="00FC58B6"/>
    <w:rsid w:val="00FC673F"/>
    <w:rsid w:val="00FC7CB2"/>
    <w:rsid w:val="00FC7EB7"/>
    <w:rsid w:val="00FD07DD"/>
    <w:rsid w:val="00FD17A2"/>
    <w:rsid w:val="00FD2407"/>
    <w:rsid w:val="00FD346C"/>
    <w:rsid w:val="00FD3F53"/>
    <w:rsid w:val="00FD41C8"/>
    <w:rsid w:val="00FD4750"/>
    <w:rsid w:val="00FD4CBC"/>
    <w:rsid w:val="00FD5620"/>
    <w:rsid w:val="00FD58FF"/>
    <w:rsid w:val="00FD5E30"/>
    <w:rsid w:val="00FD6AC5"/>
    <w:rsid w:val="00FD74EB"/>
    <w:rsid w:val="00FD7C8E"/>
    <w:rsid w:val="00FE02D7"/>
    <w:rsid w:val="00FE04E8"/>
    <w:rsid w:val="00FE2FAC"/>
    <w:rsid w:val="00FE3BB6"/>
    <w:rsid w:val="00FE42A9"/>
    <w:rsid w:val="00FE5926"/>
    <w:rsid w:val="00FE594A"/>
    <w:rsid w:val="00FE5B54"/>
    <w:rsid w:val="00FE61D8"/>
    <w:rsid w:val="00FE6DD5"/>
    <w:rsid w:val="00FF03F9"/>
    <w:rsid w:val="00FF0EEB"/>
    <w:rsid w:val="00FF13CC"/>
    <w:rsid w:val="00FF23AF"/>
    <w:rsid w:val="00FF2DA4"/>
    <w:rsid w:val="00FF2FB3"/>
    <w:rsid w:val="00FF39D1"/>
    <w:rsid w:val="00FF47D2"/>
    <w:rsid w:val="00FF5699"/>
    <w:rsid w:val="00FF60EB"/>
    <w:rsid w:val="00FF6661"/>
    <w:rsid w:val="00FF6B9A"/>
    <w:rsid w:val="00FF776F"/>
    <w:rsid w:val="013843EC"/>
    <w:rsid w:val="015424BB"/>
    <w:rsid w:val="01764D60"/>
    <w:rsid w:val="022679BD"/>
    <w:rsid w:val="02297FA7"/>
    <w:rsid w:val="022E32FD"/>
    <w:rsid w:val="027D529F"/>
    <w:rsid w:val="02A93B2F"/>
    <w:rsid w:val="02E934D7"/>
    <w:rsid w:val="03304250"/>
    <w:rsid w:val="03987198"/>
    <w:rsid w:val="04456E93"/>
    <w:rsid w:val="04480E8E"/>
    <w:rsid w:val="045B6F0C"/>
    <w:rsid w:val="046C4FF8"/>
    <w:rsid w:val="04AD3DAA"/>
    <w:rsid w:val="04B878EB"/>
    <w:rsid w:val="04E856B7"/>
    <w:rsid w:val="050049D8"/>
    <w:rsid w:val="050A40ED"/>
    <w:rsid w:val="056368E8"/>
    <w:rsid w:val="0564610A"/>
    <w:rsid w:val="057B366A"/>
    <w:rsid w:val="05B966D9"/>
    <w:rsid w:val="05CA0BB7"/>
    <w:rsid w:val="05DB49F1"/>
    <w:rsid w:val="06007F0A"/>
    <w:rsid w:val="06310FD0"/>
    <w:rsid w:val="066B33B0"/>
    <w:rsid w:val="068258FF"/>
    <w:rsid w:val="06836392"/>
    <w:rsid w:val="06902CDC"/>
    <w:rsid w:val="06917637"/>
    <w:rsid w:val="06B036DE"/>
    <w:rsid w:val="06D33870"/>
    <w:rsid w:val="071C3B51"/>
    <w:rsid w:val="07267E44"/>
    <w:rsid w:val="07285FE3"/>
    <w:rsid w:val="07522B5E"/>
    <w:rsid w:val="0755380C"/>
    <w:rsid w:val="076A31EE"/>
    <w:rsid w:val="078548D7"/>
    <w:rsid w:val="079F5885"/>
    <w:rsid w:val="07B16DFA"/>
    <w:rsid w:val="07B26B4D"/>
    <w:rsid w:val="07D132BA"/>
    <w:rsid w:val="07DF1B4B"/>
    <w:rsid w:val="07F13FAE"/>
    <w:rsid w:val="07F8675E"/>
    <w:rsid w:val="089E3A0A"/>
    <w:rsid w:val="09134041"/>
    <w:rsid w:val="091C0BAE"/>
    <w:rsid w:val="09857580"/>
    <w:rsid w:val="09B20D47"/>
    <w:rsid w:val="09D8004E"/>
    <w:rsid w:val="09E7552B"/>
    <w:rsid w:val="0AA01CBB"/>
    <w:rsid w:val="0AE86DEC"/>
    <w:rsid w:val="0AF618DB"/>
    <w:rsid w:val="0B1E2383"/>
    <w:rsid w:val="0B2062E4"/>
    <w:rsid w:val="0B3D750A"/>
    <w:rsid w:val="0B3E2356"/>
    <w:rsid w:val="0B4E34C6"/>
    <w:rsid w:val="0B68417B"/>
    <w:rsid w:val="0C392A50"/>
    <w:rsid w:val="0C8353F1"/>
    <w:rsid w:val="0D1D645D"/>
    <w:rsid w:val="0D59159C"/>
    <w:rsid w:val="0DDB19DE"/>
    <w:rsid w:val="0E407A3D"/>
    <w:rsid w:val="0EA41E3E"/>
    <w:rsid w:val="0ED10695"/>
    <w:rsid w:val="0F5116AE"/>
    <w:rsid w:val="0F5A57C4"/>
    <w:rsid w:val="0F827CFD"/>
    <w:rsid w:val="0FE17619"/>
    <w:rsid w:val="0FE425AB"/>
    <w:rsid w:val="0FFD39C2"/>
    <w:rsid w:val="101D451D"/>
    <w:rsid w:val="10524F73"/>
    <w:rsid w:val="10606175"/>
    <w:rsid w:val="11150AF1"/>
    <w:rsid w:val="111B6BAD"/>
    <w:rsid w:val="11372833"/>
    <w:rsid w:val="1141576A"/>
    <w:rsid w:val="1180253B"/>
    <w:rsid w:val="119509F8"/>
    <w:rsid w:val="11A3524E"/>
    <w:rsid w:val="11D861DF"/>
    <w:rsid w:val="13A63132"/>
    <w:rsid w:val="13AA2AB0"/>
    <w:rsid w:val="13AF5361"/>
    <w:rsid w:val="13C0485F"/>
    <w:rsid w:val="13CA0C17"/>
    <w:rsid w:val="14265420"/>
    <w:rsid w:val="142E18CE"/>
    <w:rsid w:val="14BA04A3"/>
    <w:rsid w:val="14BC17E6"/>
    <w:rsid w:val="15B3797F"/>
    <w:rsid w:val="15FD688E"/>
    <w:rsid w:val="16111A2A"/>
    <w:rsid w:val="170406CF"/>
    <w:rsid w:val="1772696F"/>
    <w:rsid w:val="17832ABD"/>
    <w:rsid w:val="179B0263"/>
    <w:rsid w:val="181B4A75"/>
    <w:rsid w:val="182B52FB"/>
    <w:rsid w:val="182F4DF6"/>
    <w:rsid w:val="18374D92"/>
    <w:rsid w:val="188A044C"/>
    <w:rsid w:val="18D314AE"/>
    <w:rsid w:val="18DB766F"/>
    <w:rsid w:val="18FB40A1"/>
    <w:rsid w:val="19075A50"/>
    <w:rsid w:val="19081158"/>
    <w:rsid w:val="1917583F"/>
    <w:rsid w:val="19274E83"/>
    <w:rsid w:val="19341F4D"/>
    <w:rsid w:val="19C27FFE"/>
    <w:rsid w:val="19C96CEB"/>
    <w:rsid w:val="1A1A223C"/>
    <w:rsid w:val="1A2763A2"/>
    <w:rsid w:val="1A3A18AD"/>
    <w:rsid w:val="1A905FCC"/>
    <w:rsid w:val="1ADC5C7F"/>
    <w:rsid w:val="1B3D4BF9"/>
    <w:rsid w:val="1BB741DF"/>
    <w:rsid w:val="1CA37906"/>
    <w:rsid w:val="1CB2103C"/>
    <w:rsid w:val="1CBC2AC5"/>
    <w:rsid w:val="1CEE2427"/>
    <w:rsid w:val="1D3059A0"/>
    <w:rsid w:val="1D4664D7"/>
    <w:rsid w:val="1D586BC9"/>
    <w:rsid w:val="1D7F6EEA"/>
    <w:rsid w:val="1DA90A2F"/>
    <w:rsid w:val="1DAE1920"/>
    <w:rsid w:val="1DB25131"/>
    <w:rsid w:val="1DB4365C"/>
    <w:rsid w:val="1DE63162"/>
    <w:rsid w:val="1E386DE1"/>
    <w:rsid w:val="1E417EAC"/>
    <w:rsid w:val="1E9C3C51"/>
    <w:rsid w:val="1EB215BC"/>
    <w:rsid w:val="1ED156E5"/>
    <w:rsid w:val="1EF473BA"/>
    <w:rsid w:val="1F58241D"/>
    <w:rsid w:val="1F6128FE"/>
    <w:rsid w:val="1F7757FF"/>
    <w:rsid w:val="1F9B228A"/>
    <w:rsid w:val="1FAF0B2F"/>
    <w:rsid w:val="2018500A"/>
    <w:rsid w:val="20711CD8"/>
    <w:rsid w:val="207355FC"/>
    <w:rsid w:val="208B71D2"/>
    <w:rsid w:val="20FC3F0D"/>
    <w:rsid w:val="211C03C7"/>
    <w:rsid w:val="213741AD"/>
    <w:rsid w:val="217B4E95"/>
    <w:rsid w:val="21C96948"/>
    <w:rsid w:val="21CD2155"/>
    <w:rsid w:val="21F616FC"/>
    <w:rsid w:val="224701AB"/>
    <w:rsid w:val="22576CAC"/>
    <w:rsid w:val="226642ED"/>
    <w:rsid w:val="22B10AB2"/>
    <w:rsid w:val="231C07BA"/>
    <w:rsid w:val="233E7738"/>
    <w:rsid w:val="23503E27"/>
    <w:rsid w:val="23596C7F"/>
    <w:rsid w:val="236856C8"/>
    <w:rsid w:val="237E1F45"/>
    <w:rsid w:val="23826CB7"/>
    <w:rsid w:val="240A03C2"/>
    <w:rsid w:val="249C5163"/>
    <w:rsid w:val="257567C2"/>
    <w:rsid w:val="257F3253"/>
    <w:rsid w:val="26A2410D"/>
    <w:rsid w:val="26C06976"/>
    <w:rsid w:val="271E32C6"/>
    <w:rsid w:val="27730BCA"/>
    <w:rsid w:val="277D0F63"/>
    <w:rsid w:val="27FF406E"/>
    <w:rsid w:val="284321AC"/>
    <w:rsid w:val="28697E80"/>
    <w:rsid w:val="28E15521"/>
    <w:rsid w:val="28EE4F82"/>
    <w:rsid w:val="2940788D"/>
    <w:rsid w:val="294F433D"/>
    <w:rsid w:val="296E56E4"/>
    <w:rsid w:val="29E339B4"/>
    <w:rsid w:val="2A27165A"/>
    <w:rsid w:val="2A377AEF"/>
    <w:rsid w:val="2A7C7CFB"/>
    <w:rsid w:val="2AD44922"/>
    <w:rsid w:val="2AF71096"/>
    <w:rsid w:val="2B4961B5"/>
    <w:rsid w:val="2BB10EDE"/>
    <w:rsid w:val="2BCB32CE"/>
    <w:rsid w:val="2BEC0269"/>
    <w:rsid w:val="2C1664DF"/>
    <w:rsid w:val="2CDC672B"/>
    <w:rsid w:val="2CEE3723"/>
    <w:rsid w:val="2D9D7653"/>
    <w:rsid w:val="2DA03B3E"/>
    <w:rsid w:val="2DE95DAD"/>
    <w:rsid w:val="2DFD5837"/>
    <w:rsid w:val="2E061899"/>
    <w:rsid w:val="2E977CDB"/>
    <w:rsid w:val="2EBD32D4"/>
    <w:rsid w:val="2F2C3C0A"/>
    <w:rsid w:val="2F422E74"/>
    <w:rsid w:val="2F462582"/>
    <w:rsid w:val="2F6833F6"/>
    <w:rsid w:val="300D3893"/>
    <w:rsid w:val="30403CBF"/>
    <w:rsid w:val="304C5976"/>
    <w:rsid w:val="306A6AE9"/>
    <w:rsid w:val="30705B08"/>
    <w:rsid w:val="30836AF8"/>
    <w:rsid w:val="30950B25"/>
    <w:rsid w:val="30AD5A66"/>
    <w:rsid w:val="310A5C5E"/>
    <w:rsid w:val="313E1763"/>
    <w:rsid w:val="32560E0E"/>
    <w:rsid w:val="32940242"/>
    <w:rsid w:val="329C3CCE"/>
    <w:rsid w:val="32DB1233"/>
    <w:rsid w:val="32FB7574"/>
    <w:rsid w:val="332A5E0C"/>
    <w:rsid w:val="334943EF"/>
    <w:rsid w:val="334B6D4E"/>
    <w:rsid w:val="335019FA"/>
    <w:rsid w:val="33512537"/>
    <w:rsid w:val="337B3E1A"/>
    <w:rsid w:val="3384259B"/>
    <w:rsid w:val="33AC67B1"/>
    <w:rsid w:val="33F73F7E"/>
    <w:rsid w:val="34322947"/>
    <w:rsid w:val="343971E2"/>
    <w:rsid w:val="349D68E2"/>
    <w:rsid w:val="35223149"/>
    <w:rsid w:val="3549186C"/>
    <w:rsid w:val="35773495"/>
    <w:rsid w:val="358B5193"/>
    <w:rsid w:val="359A6297"/>
    <w:rsid w:val="35B05C99"/>
    <w:rsid w:val="35FF09A2"/>
    <w:rsid w:val="360B72B3"/>
    <w:rsid w:val="36203B2D"/>
    <w:rsid w:val="36A8512A"/>
    <w:rsid w:val="371511B8"/>
    <w:rsid w:val="371D79E5"/>
    <w:rsid w:val="377C6B6D"/>
    <w:rsid w:val="37BA58BB"/>
    <w:rsid w:val="37F74C3E"/>
    <w:rsid w:val="38244061"/>
    <w:rsid w:val="387B6D55"/>
    <w:rsid w:val="38BE57BE"/>
    <w:rsid w:val="39241B86"/>
    <w:rsid w:val="39317C8C"/>
    <w:rsid w:val="394F0285"/>
    <w:rsid w:val="39C66925"/>
    <w:rsid w:val="39E02849"/>
    <w:rsid w:val="3A504305"/>
    <w:rsid w:val="3A77735F"/>
    <w:rsid w:val="3A9C0AA1"/>
    <w:rsid w:val="3AF57817"/>
    <w:rsid w:val="3BC06F11"/>
    <w:rsid w:val="3C467C6F"/>
    <w:rsid w:val="3C9B4230"/>
    <w:rsid w:val="3CC67789"/>
    <w:rsid w:val="3CCA034E"/>
    <w:rsid w:val="3CD41612"/>
    <w:rsid w:val="3CEE3D0D"/>
    <w:rsid w:val="3CFE4612"/>
    <w:rsid w:val="3D006D6B"/>
    <w:rsid w:val="3D182F9E"/>
    <w:rsid w:val="3D2D0C2F"/>
    <w:rsid w:val="3D6C1A4D"/>
    <w:rsid w:val="3D730A5B"/>
    <w:rsid w:val="3D9E7A1C"/>
    <w:rsid w:val="3DB709EA"/>
    <w:rsid w:val="3DD05E38"/>
    <w:rsid w:val="3E0275DB"/>
    <w:rsid w:val="3E123A53"/>
    <w:rsid w:val="3E345007"/>
    <w:rsid w:val="3E6E36CB"/>
    <w:rsid w:val="3E761DE4"/>
    <w:rsid w:val="3EF93616"/>
    <w:rsid w:val="3F24523B"/>
    <w:rsid w:val="3F246454"/>
    <w:rsid w:val="402E32EA"/>
    <w:rsid w:val="40394935"/>
    <w:rsid w:val="40491ED2"/>
    <w:rsid w:val="408353E4"/>
    <w:rsid w:val="409B004A"/>
    <w:rsid w:val="40EA0CF6"/>
    <w:rsid w:val="411B05E9"/>
    <w:rsid w:val="412A7AEC"/>
    <w:rsid w:val="413805A2"/>
    <w:rsid w:val="417A79E8"/>
    <w:rsid w:val="41806BA2"/>
    <w:rsid w:val="41A4594E"/>
    <w:rsid w:val="43D962F4"/>
    <w:rsid w:val="449E6138"/>
    <w:rsid w:val="44EB3558"/>
    <w:rsid w:val="45074E0D"/>
    <w:rsid w:val="450A4ED0"/>
    <w:rsid w:val="45FA1660"/>
    <w:rsid w:val="462A5E1E"/>
    <w:rsid w:val="4656306A"/>
    <w:rsid w:val="4723347D"/>
    <w:rsid w:val="47290367"/>
    <w:rsid w:val="47395F34"/>
    <w:rsid w:val="474F1D66"/>
    <w:rsid w:val="479103AA"/>
    <w:rsid w:val="479A6BAF"/>
    <w:rsid w:val="47F46BC7"/>
    <w:rsid w:val="48081158"/>
    <w:rsid w:val="480C5CBF"/>
    <w:rsid w:val="4831448C"/>
    <w:rsid w:val="48381282"/>
    <w:rsid w:val="484A483F"/>
    <w:rsid w:val="486E22FA"/>
    <w:rsid w:val="48AB6554"/>
    <w:rsid w:val="48E2270D"/>
    <w:rsid w:val="48E95311"/>
    <w:rsid w:val="49793AE6"/>
    <w:rsid w:val="49810EA9"/>
    <w:rsid w:val="4A261181"/>
    <w:rsid w:val="4A8835F7"/>
    <w:rsid w:val="4AA46683"/>
    <w:rsid w:val="4AC4227D"/>
    <w:rsid w:val="4AFA35B4"/>
    <w:rsid w:val="4B51201E"/>
    <w:rsid w:val="4B820B34"/>
    <w:rsid w:val="4BDE3E56"/>
    <w:rsid w:val="4BE96317"/>
    <w:rsid w:val="4C183902"/>
    <w:rsid w:val="4C367FDA"/>
    <w:rsid w:val="4C547068"/>
    <w:rsid w:val="4C893A3D"/>
    <w:rsid w:val="4CCE4E9E"/>
    <w:rsid w:val="4CE8600F"/>
    <w:rsid w:val="4D5D14D6"/>
    <w:rsid w:val="4D6B5E52"/>
    <w:rsid w:val="4D747694"/>
    <w:rsid w:val="4DD67A6A"/>
    <w:rsid w:val="4E067654"/>
    <w:rsid w:val="4E845AC4"/>
    <w:rsid w:val="4E8E58CA"/>
    <w:rsid w:val="4EC75355"/>
    <w:rsid w:val="4ED37A65"/>
    <w:rsid w:val="4F644633"/>
    <w:rsid w:val="4FA90297"/>
    <w:rsid w:val="4FF71782"/>
    <w:rsid w:val="4FFC30CB"/>
    <w:rsid w:val="50233062"/>
    <w:rsid w:val="50403E11"/>
    <w:rsid w:val="50593A6B"/>
    <w:rsid w:val="505D4952"/>
    <w:rsid w:val="50A05B3E"/>
    <w:rsid w:val="50B0197F"/>
    <w:rsid w:val="50ED2B36"/>
    <w:rsid w:val="50F47C38"/>
    <w:rsid w:val="51364C57"/>
    <w:rsid w:val="51C745E1"/>
    <w:rsid w:val="51D75590"/>
    <w:rsid w:val="51D90FD1"/>
    <w:rsid w:val="52862B78"/>
    <w:rsid w:val="52885FEA"/>
    <w:rsid w:val="52950025"/>
    <w:rsid w:val="52AE7C95"/>
    <w:rsid w:val="53006E9A"/>
    <w:rsid w:val="531C39B7"/>
    <w:rsid w:val="537D468A"/>
    <w:rsid w:val="5380274F"/>
    <w:rsid w:val="53ED29D1"/>
    <w:rsid w:val="546B6463"/>
    <w:rsid w:val="54BE47E5"/>
    <w:rsid w:val="54EF235A"/>
    <w:rsid w:val="54F36046"/>
    <w:rsid w:val="553B3482"/>
    <w:rsid w:val="55723C47"/>
    <w:rsid w:val="55BF6176"/>
    <w:rsid w:val="55C12532"/>
    <w:rsid w:val="55EC088C"/>
    <w:rsid w:val="55ED6B3F"/>
    <w:rsid w:val="562F3781"/>
    <w:rsid w:val="56B23ED5"/>
    <w:rsid w:val="56C33843"/>
    <w:rsid w:val="56C7047B"/>
    <w:rsid w:val="57CA7BEA"/>
    <w:rsid w:val="57D563B5"/>
    <w:rsid w:val="585C67EF"/>
    <w:rsid w:val="5898744C"/>
    <w:rsid w:val="58AC2F38"/>
    <w:rsid w:val="58D3117C"/>
    <w:rsid w:val="5903014A"/>
    <w:rsid w:val="596B6CB1"/>
    <w:rsid w:val="59B47F4A"/>
    <w:rsid w:val="59C3464B"/>
    <w:rsid w:val="59E7753E"/>
    <w:rsid w:val="59FA62BF"/>
    <w:rsid w:val="5A57393E"/>
    <w:rsid w:val="5AC12E0F"/>
    <w:rsid w:val="5B130E22"/>
    <w:rsid w:val="5B936211"/>
    <w:rsid w:val="5BE02B85"/>
    <w:rsid w:val="5C2C0286"/>
    <w:rsid w:val="5C430C71"/>
    <w:rsid w:val="5C522A59"/>
    <w:rsid w:val="5C7E30F7"/>
    <w:rsid w:val="5C824AA4"/>
    <w:rsid w:val="5D3918DF"/>
    <w:rsid w:val="5D4D6537"/>
    <w:rsid w:val="5D7F353B"/>
    <w:rsid w:val="5D850DB2"/>
    <w:rsid w:val="5DC96D1F"/>
    <w:rsid w:val="5DCB1D21"/>
    <w:rsid w:val="5DE71CFE"/>
    <w:rsid w:val="5DFD27A3"/>
    <w:rsid w:val="5E522D80"/>
    <w:rsid w:val="5E673F79"/>
    <w:rsid w:val="5E800D5D"/>
    <w:rsid w:val="5EA839EE"/>
    <w:rsid w:val="5EC7261D"/>
    <w:rsid w:val="5ED52E57"/>
    <w:rsid w:val="5EDC7F5A"/>
    <w:rsid w:val="5F213113"/>
    <w:rsid w:val="5FAD3362"/>
    <w:rsid w:val="5FB04D3B"/>
    <w:rsid w:val="5FFB2592"/>
    <w:rsid w:val="600567B5"/>
    <w:rsid w:val="602176AF"/>
    <w:rsid w:val="6036115C"/>
    <w:rsid w:val="603C6229"/>
    <w:rsid w:val="60676B8C"/>
    <w:rsid w:val="612E684E"/>
    <w:rsid w:val="61460456"/>
    <w:rsid w:val="616647F5"/>
    <w:rsid w:val="61785D1C"/>
    <w:rsid w:val="61817005"/>
    <w:rsid w:val="6191435B"/>
    <w:rsid w:val="622A50C6"/>
    <w:rsid w:val="62846B5A"/>
    <w:rsid w:val="62DD550A"/>
    <w:rsid w:val="62E06467"/>
    <w:rsid w:val="63116973"/>
    <w:rsid w:val="63163A3E"/>
    <w:rsid w:val="63295D65"/>
    <w:rsid w:val="634044B9"/>
    <w:rsid w:val="634A13A9"/>
    <w:rsid w:val="63FA4E0C"/>
    <w:rsid w:val="647A748A"/>
    <w:rsid w:val="64FB2EEB"/>
    <w:rsid w:val="6518584B"/>
    <w:rsid w:val="65650F22"/>
    <w:rsid w:val="659C61B7"/>
    <w:rsid w:val="65A96DEB"/>
    <w:rsid w:val="65AB08A7"/>
    <w:rsid w:val="662D7133"/>
    <w:rsid w:val="66871764"/>
    <w:rsid w:val="66E1665E"/>
    <w:rsid w:val="66F916AD"/>
    <w:rsid w:val="671823D5"/>
    <w:rsid w:val="67340937"/>
    <w:rsid w:val="674E0603"/>
    <w:rsid w:val="688B7DD9"/>
    <w:rsid w:val="689364B4"/>
    <w:rsid w:val="68D94736"/>
    <w:rsid w:val="691E5436"/>
    <w:rsid w:val="693D1062"/>
    <w:rsid w:val="69FB5A4E"/>
    <w:rsid w:val="6A254A19"/>
    <w:rsid w:val="6A5E5AD5"/>
    <w:rsid w:val="6AFE1987"/>
    <w:rsid w:val="6B617EFB"/>
    <w:rsid w:val="6BE174EF"/>
    <w:rsid w:val="6BEA3909"/>
    <w:rsid w:val="6BEC358E"/>
    <w:rsid w:val="6C4B6D4E"/>
    <w:rsid w:val="6C66454E"/>
    <w:rsid w:val="6C702411"/>
    <w:rsid w:val="6C8D21E8"/>
    <w:rsid w:val="6CCE0EE6"/>
    <w:rsid w:val="6CD00A8E"/>
    <w:rsid w:val="6D11601B"/>
    <w:rsid w:val="6D592405"/>
    <w:rsid w:val="6E9F5A44"/>
    <w:rsid w:val="6EBC6A51"/>
    <w:rsid w:val="6ED46D1F"/>
    <w:rsid w:val="6EF94DC5"/>
    <w:rsid w:val="6F060DBE"/>
    <w:rsid w:val="6F224724"/>
    <w:rsid w:val="6F3D0EE4"/>
    <w:rsid w:val="6F6124E5"/>
    <w:rsid w:val="6F614E2E"/>
    <w:rsid w:val="6FA83AE2"/>
    <w:rsid w:val="6FB503E7"/>
    <w:rsid w:val="6FB8129A"/>
    <w:rsid w:val="70030B64"/>
    <w:rsid w:val="70255473"/>
    <w:rsid w:val="70623824"/>
    <w:rsid w:val="708B5A6B"/>
    <w:rsid w:val="70AD7E06"/>
    <w:rsid w:val="70D6077E"/>
    <w:rsid w:val="710728CD"/>
    <w:rsid w:val="718E6346"/>
    <w:rsid w:val="71A2207B"/>
    <w:rsid w:val="71D40D4C"/>
    <w:rsid w:val="71DA473D"/>
    <w:rsid w:val="71E600ED"/>
    <w:rsid w:val="71FE04BF"/>
    <w:rsid w:val="72161560"/>
    <w:rsid w:val="723046F8"/>
    <w:rsid w:val="724B1C1B"/>
    <w:rsid w:val="72505146"/>
    <w:rsid w:val="73131B0E"/>
    <w:rsid w:val="731D3F74"/>
    <w:rsid w:val="735C6795"/>
    <w:rsid w:val="737F7792"/>
    <w:rsid w:val="741C1AC7"/>
    <w:rsid w:val="741D25BD"/>
    <w:rsid w:val="744109C0"/>
    <w:rsid w:val="748A5394"/>
    <w:rsid w:val="751B6176"/>
    <w:rsid w:val="753D603F"/>
    <w:rsid w:val="757B375A"/>
    <w:rsid w:val="75862A1C"/>
    <w:rsid w:val="75AA3CB5"/>
    <w:rsid w:val="75B83A95"/>
    <w:rsid w:val="75D240EE"/>
    <w:rsid w:val="75F65014"/>
    <w:rsid w:val="76364720"/>
    <w:rsid w:val="76656803"/>
    <w:rsid w:val="766F72EB"/>
    <w:rsid w:val="76982AAB"/>
    <w:rsid w:val="76A959A6"/>
    <w:rsid w:val="76B35F22"/>
    <w:rsid w:val="778B45A3"/>
    <w:rsid w:val="77D90869"/>
    <w:rsid w:val="77DB2903"/>
    <w:rsid w:val="77DF62E7"/>
    <w:rsid w:val="78445EEE"/>
    <w:rsid w:val="785B617E"/>
    <w:rsid w:val="787B5521"/>
    <w:rsid w:val="788A330A"/>
    <w:rsid w:val="791A7B63"/>
    <w:rsid w:val="793C4D69"/>
    <w:rsid w:val="794C7106"/>
    <w:rsid w:val="79AE6327"/>
    <w:rsid w:val="7A4378CF"/>
    <w:rsid w:val="7A4D7616"/>
    <w:rsid w:val="7A6335B5"/>
    <w:rsid w:val="7A6A04A0"/>
    <w:rsid w:val="7AAC6B02"/>
    <w:rsid w:val="7AB862C6"/>
    <w:rsid w:val="7B3C1BD5"/>
    <w:rsid w:val="7B4932B3"/>
    <w:rsid w:val="7B756A69"/>
    <w:rsid w:val="7B7B492E"/>
    <w:rsid w:val="7BA02C88"/>
    <w:rsid w:val="7BA86742"/>
    <w:rsid w:val="7BAD3BDA"/>
    <w:rsid w:val="7BE9373B"/>
    <w:rsid w:val="7BF72207"/>
    <w:rsid w:val="7BFE1C08"/>
    <w:rsid w:val="7C090C35"/>
    <w:rsid w:val="7C41528A"/>
    <w:rsid w:val="7C8B3EE2"/>
    <w:rsid w:val="7C961A20"/>
    <w:rsid w:val="7CBB600A"/>
    <w:rsid w:val="7CD51379"/>
    <w:rsid w:val="7CD974CB"/>
    <w:rsid w:val="7CF01479"/>
    <w:rsid w:val="7CF064D4"/>
    <w:rsid w:val="7D04672B"/>
    <w:rsid w:val="7D3F20B7"/>
    <w:rsid w:val="7EC853A2"/>
    <w:rsid w:val="7ECB1729"/>
    <w:rsid w:val="7ED61CD0"/>
    <w:rsid w:val="7EE06268"/>
    <w:rsid w:val="7F227899"/>
    <w:rsid w:val="7F2D7CEE"/>
    <w:rsid w:val="7F7A07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3"/>
    <w:qFormat/>
    <w:uiPriority w:val="99"/>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14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31"/>
    <w:qFormat/>
    <w:uiPriority w:val="99"/>
    <w:pPr>
      <w:keepNext/>
      <w:keepLines/>
      <w:spacing w:before="260" w:beforeLines="0" w:after="260" w:afterLines="0" w:line="416" w:lineRule="auto"/>
      <w:outlineLvl w:val="2"/>
    </w:pPr>
    <w:rPr>
      <w:b/>
      <w:bCs/>
      <w:sz w:val="32"/>
      <w:szCs w:val="32"/>
    </w:rPr>
  </w:style>
  <w:style w:type="paragraph" w:styleId="6">
    <w:name w:val="heading 4"/>
    <w:basedOn w:val="1"/>
    <w:next w:val="1"/>
    <w:link w:val="147"/>
    <w:qFormat/>
    <w:uiPriority w:val="99"/>
    <w:pPr>
      <w:spacing w:line="240" w:lineRule="auto"/>
      <w:ind w:firstLine="643" w:firstLineChars="200"/>
      <w:outlineLvl w:val="3"/>
    </w:pPr>
  </w:style>
  <w:style w:type="paragraph" w:styleId="7">
    <w:name w:val="heading 5"/>
    <w:basedOn w:val="1"/>
    <w:next w:val="1"/>
    <w:link w:val="122"/>
    <w:qFormat/>
    <w:uiPriority w:val="99"/>
    <w:pPr>
      <w:keepNext/>
      <w:keepLines/>
      <w:spacing w:before="280" w:after="290" w:line="376" w:lineRule="auto"/>
      <w:outlineLvl w:val="4"/>
    </w:pPr>
    <w:rPr>
      <w:rFonts w:ascii="Calibri" w:hAnsi="Calibri"/>
      <w:b/>
      <w:bCs/>
      <w:kern w:val="0"/>
      <w:sz w:val="28"/>
      <w:szCs w:val="28"/>
    </w:rPr>
  </w:style>
  <w:style w:type="paragraph" w:styleId="8">
    <w:name w:val="heading 6"/>
    <w:basedOn w:val="1"/>
    <w:next w:val="1"/>
    <w:link w:val="103"/>
    <w:qFormat/>
    <w:uiPriority w:val="99"/>
    <w:pPr>
      <w:keepNext/>
      <w:keepLines/>
      <w:spacing w:before="240" w:after="64" w:line="320" w:lineRule="auto"/>
      <w:outlineLvl w:val="5"/>
    </w:pPr>
    <w:rPr>
      <w:rFonts w:ascii="Cambria" w:hAnsi="Cambria"/>
      <w:b/>
      <w:bCs/>
      <w:kern w:val="0"/>
      <w:sz w:val="24"/>
    </w:rPr>
  </w:style>
  <w:style w:type="paragraph" w:styleId="9">
    <w:name w:val="heading 7"/>
    <w:basedOn w:val="1"/>
    <w:next w:val="1"/>
    <w:link w:val="107"/>
    <w:qFormat/>
    <w:uiPriority w:val="99"/>
    <w:pPr>
      <w:keepNext/>
      <w:keepLines/>
      <w:spacing w:before="240" w:after="64" w:line="320" w:lineRule="auto"/>
      <w:outlineLvl w:val="6"/>
    </w:pPr>
    <w:rPr>
      <w:rFonts w:ascii="Calibri" w:hAnsi="Calibri"/>
      <w:b/>
      <w:bCs/>
      <w:kern w:val="0"/>
      <w:sz w:val="24"/>
    </w:rPr>
  </w:style>
  <w:style w:type="paragraph" w:styleId="10">
    <w:name w:val="heading 8"/>
    <w:basedOn w:val="1"/>
    <w:next w:val="1"/>
    <w:link w:val="138"/>
    <w:qFormat/>
    <w:uiPriority w:val="99"/>
    <w:pPr>
      <w:keepNext/>
      <w:keepLines/>
      <w:spacing w:before="240" w:after="64" w:line="320" w:lineRule="auto"/>
      <w:outlineLvl w:val="7"/>
    </w:pPr>
    <w:rPr>
      <w:rFonts w:ascii="Cambria" w:hAnsi="Cambria"/>
      <w:kern w:val="0"/>
      <w:sz w:val="24"/>
    </w:rPr>
  </w:style>
  <w:style w:type="paragraph" w:styleId="11">
    <w:name w:val="heading 9"/>
    <w:basedOn w:val="1"/>
    <w:next w:val="1"/>
    <w:link w:val="117"/>
    <w:qFormat/>
    <w:uiPriority w:val="99"/>
    <w:pPr>
      <w:keepNext/>
      <w:keepLines/>
      <w:spacing w:before="240" w:after="64" w:line="320" w:lineRule="auto"/>
      <w:outlineLvl w:val="8"/>
    </w:pPr>
    <w:rPr>
      <w:rFonts w:ascii="Cambria" w:hAnsi="Cambria"/>
      <w:kern w:val="0"/>
      <w:sz w:val="20"/>
      <w:szCs w:val="21"/>
    </w:rPr>
  </w:style>
  <w:style w:type="character" w:default="1" w:styleId="50">
    <w:name w:val="Default Paragraph Font"/>
    <w:qFormat/>
    <w:uiPriority w:val="0"/>
  </w:style>
  <w:style w:type="table" w:default="1" w:styleId="48">
    <w:name w:val="Normal Table"/>
    <w:semiHidden/>
    <w:qFormat/>
    <w:uiPriority w:val="0"/>
    <w:tblPr>
      <w:tblCellMar>
        <w:top w:w="0" w:type="dxa"/>
        <w:left w:w="108" w:type="dxa"/>
        <w:bottom w:w="0" w:type="dxa"/>
        <w:right w:w="108" w:type="dxa"/>
      </w:tblCellMar>
    </w:tblPr>
  </w:style>
  <w:style w:type="paragraph" w:styleId="2">
    <w:name w:val="Title"/>
    <w:basedOn w:val="1"/>
    <w:next w:val="1"/>
    <w:link w:val="136"/>
    <w:qFormat/>
    <w:uiPriority w:val="99"/>
    <w:pPr>
      <w:jc w:val="center"/>
    </w:pPr>
    <w:rPr>
      <w:rFonts w:ascii="Arial" w:hAnsi="Arial"/>
      <w:b/>
      <w:kern w:val="0"/>
      <w:sz w:val="36"/>
      <w:szCs w:val="20"/>
      <w:lang w:eastAsia="en-US"/>
    </w:rPr>
  </w:style>
  <w:style w:type="paragraph" w:styleId="12">
    <w:name w:val="toc 7"/>
    <w:basedOn w:val="1"/>
    <w:next w:val="1"/>
    <w:qFormat/>
    <w:uiPriority w:val="99"/>
    <w:pPr>
      <w:ind w:left="2520" w:leftChars="1200"/>
    </w:pPr>
    <w:rPr>
      <w:rFonts w:ascii="Calibri" w:hAnsi="Calibri"/>
      <w:szCs w:val="22"/>
    </w:rPr>
  </w:style>
  <w:style w:type="paragraph" w:styleId="13">
    <w:name w:val="List Number"/>
    <w:basedOn w:val="1"/>
    <w:qFormat/>
    <w:uiPriority w:val="0"/>
    <w:pPr>
      <w:numPr>
        <w:ilvl w:val="0"/>
        <w:numId w:val="1"/>
      </w:numPr>
    </w:pPr>
  </w:style>
  <w:style w:type="paragraph" w:styleId="14">
    <w:name w:val="Normal Indent"/>
    <w:basedOn w:val="1"/>
    <w:next w:val="15"/>
    <w:qFormat/>
    <w:uiPriority w:val="0"/>
    <w:pPr>
      <w:ind w:firstLine="420" w:firstLineChars="200"/>
    </w:pPr>
  </w:style>
  <w:style w:type="paragraph" w:styleId="15">
    <w:name w:val="Body Text Indent"/>
    <w:basedOn w:val="1"/>
    <w:next w:val="1"/>
    <w:link w:val="127"/>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139"/>
    <w:qFormat/>
    <w:uiPriority w:val="99"/>
    <w:pPr>
      <w:shd w:val="clear" w:color="auto" w:fill="000080"/>
    </w:pPr>
  </w:style>
  <w:style w:type="paragraph" w:styleId="18">
    <w:name w:val="toa heading"/>
    <w:basedOn w:val="1"/>
    <w:next w:val="1"/>
    <w:qFormat/>
    <w:uiPriority w:val="0"/>
    <w:pPr>
      <w:spacing w:before="120"/>
    </w:pPr>
    <w:rPr>
      <w:rFonts w:ascii="Arial" w:hAnsi="Arial" w:eastAsia="仿宋_GB2312" w:cs="Arial"/>
      <w:b/>
      <w:bCs/>
      <w:color w:val="000000"/>
      <w:kern w:val="0"/>
      <w:sz w:val="24"/>
      <w:szCs w:val="21"/>
    </w:rPr>
  </w:style>
  <w:style w:type="paragraph" w:styleId="19">
    <w:name w:val="annotation text"/>
    <w:basedOn w:val="1"/>
    <w:link w:val="133"/>
    <w:qFormat/>
    <w:uiPriority w:val="99"/>
    <w:pPr>
      <w:jc w:val="left"/>
    </w:pPr>
    <w:rPr>
      <w:rFonts w:ascii="Calibri" w:hAnsi="Calibri"/>
    </w:rPr>
  </w:style>
  <w:style w:type="paragraph" w:styleId="20">
    <w:name w:val="Body Text"/>
    <w:basedOn w:val="1"/>
    <w:next w:val="1"/>
    <w:link w:val="112"/>
    <w:semiHidden/>
    <w:qFormat/>
    <w:uiPriority w:val="0"/>
    <w:pPr>
      <w:spacing w:after="120"/>
    </w:pPr>
    <w:rPr>
      <w:rFonts w:ascii="Calibri" w:hAnsi="Calibri"/>
      <w:szCs w:val="22"/>
    </w:rPr>
  </w:style>
  <w:style w:type="paragraph" w:styleId="21">
    <w:name w:val="List Number 3"/>
    <w:basedOn w:val="1"/>
    <w:qFormat/>
    <w:uiPriority w:val="0"/>
    <w:pPr>
      <w:widowControl/>
      <w:numPr>
        <w:ilvl w:val="0"/>
        <w:numId w:val="2"/>
      </w:numPr>
      <w:tabs>
        <w:tab w:val="left" w:pos="482"/>
      </w:tabs>
      <w:spacing w:after="50" w:afterLines="50"/>
      <w:ind w:left="482" w:hanging="340"/>
      <w:jc w:val="left"/>
    </w:pPr>
    <w:rPr>
      <w:kern w:val="0"/>
      <w:sz w:val="24"/>
      <w:szCs w:val="20"/>
    </w:rPr>
  </w:style>
  <w:style w:type="paragraph" w:styleId="22">
    <w:name w:val="List 2"/>
    <w:basedOn w:val="1"/>
    <w:qFormat/>
    <w:uiPriority w:val="0"/>
    <w:pPr>
      <w:ind w:left="100" w:leftChars="200" w:hanging="200" w:hangingChars="200"/>
    </w:pPr>
  </w:style>
  <w:style w:type="paragraph" w:styleId="23">
    <w:name w:val="Block Text"/>
    <w:basedOn w:val="1"/>
    <w:qFormat/>
    <w:uiPriority w:val="99"/>
    <w:pPr>
      <w:spacing w:beforeLines="50" w:afterLines="50"/>
      <w:ind w:left="426" w:right="-11" w:hanging="426" w:hangingChars="203"/>
    </w:pPr>
    <w:rPr>
      <w:rFonts w:eastAsia="楷体_GB2312"/>
    </w:rPr>
  </w:style>
  <w:style w:type="paragraph" w:styleId="24">
    <w:name w:val="toc 5"/>
    <w:basedOn w:val="1"/>
    <w:next w:val="1"/>
    <w:qFormat/>
    <w:uiPriority w:val="99"/>
    <w:pPr>
      <w:ind w:left="1680" w:leftChars="800"/>
    </w:pPr>
    <w:rPr>
      <w:rFonts w:ascii="Calibri" w:hAnsi="Calibri"/>
      <w:szCs w:val="22"/>
    </w:rPr>
  </w:style>
  <w:style w:type="paragraph" w:styleId="25">
    <w:name w:val="toc 3"/>
    <w:basedOn w:val="1"/>
    <w:next w:val="1"/>
    <w:qFormat/>
    <w:uiPriority w:val="39"/>
    <w:pPr>
      <w:ind w:left="840" w:leftChars="400"/>
    </w:pPr>
  </w:style>
  <w:style w:type="paragraph" w:styleId="26">
    <w:name w:val="Plain Text"/>
    <w:basedOn w:val="1"/>
    <w:next w:val="1"/>
    <w:link w:val="118"/>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27">
    <w:name w:val="toc 8"/>
    <w:basedOn w:val="1"/>
    <w:next w:val="1"/>
    <w:qFormat/>
    <w:uiPriority w:val="99"/>
    <w:pPr>
      <w:ind w:left="2940" w:leftChars="1400"/>
    </w:pPr>
    <w:rPr>
      <w:rFonts w:ascii="Calibri" w:hAnsi="Calibri"/>
      <w:szCs w:val="22"/>
    </w:rPr>
  </w:style>
  <w:style w:type="paragraph" w:styleId="28">
    <w:name w:val="Date"/>
    <w:basedOn w:val="1"/>
    <w:next w:val="1"/>
    <w:link w:val="137"/>
    <w:qFormat/>
    <w:uiPriority w:val="0"/>
    <w:pPr>
      <w:ind w:leftChars="2500"/>
    </w:pPr>
    <w:rPr>
      <w:rFonts w:eastAsia="楷体_GB2312"/>
      <w:sz w:val="32"/>
      <w:szCs w:val="20"/>
    </w:rPr>
  </w:style>
  <w:style w:type="paragraph" w:styleId="29">
    <w:name w:val="Body Text Indent 2"/>
    <w:basedOn w:val="1"/>
    <w:link w:val="141"/>
    <w:qFormat/>
    <w:uiPriority w:val="0"/>
    <w:pPr>
      <w:autoSpaceDE w:val="0"/>
      <w:autoSpaceDN w:val="0"/>
      <w:adjustRightInd w:val="0"/>
      <w:spacing w:line="520" w:lineRule="exact"/>
      <w:ind w:left="181" w:firstLine="239"/>
    </w:pPr>
    <w:rPr>
      <w:rFonts w:ascii="仿宋_GB2312" w:eastAsia="仿宋_GB2312"/>
      <w:sz w:val="28"/>
      <w:szCs w:val="28"/>
      <w:lang w:val="zh-CN"/>
    </w:rPr>
  </w:style>
  <w:style w:type="paragraph" w:styleId="30">
    <w:name w:val="endnote text"/>
    <w:basedOn w:val="1"/>
    <w:link w:val="105"/>
    <w:semiHidden/>
    <w:qFormat/>
    <w:uiPriority w:val="0"/>
    <w:pPr>
      <w:snapToGrid w:val="0"/>
      <w:jc w:val="left"/>
    </w:pPr>
    <w:rPr>
      <w:szCs w:val="20"/>
    </w:rPr>
  </w:style>
  <w:style w:type="paragraph" w:styleId="31">
    <w:name w:val="Balloon Text"/>
    <w:basedOn w:val="1"/>
    <w:link w:val="98"/>
    <w:qFormat/>
    <w:uiPriority w:val="99"/>
    <w:rPr>
      <w:sz w:val="18"/>
      <w:szCs w:val="18"/>
    </w:rPr>
  </w:style>
  <w:style w:type="paragraph" w:styleId="32">
    <w:name w:val="footer"/>
    <w:basedOn w:val="1"/>
    <w:link w:val="143"/>
    <w:qFormat/>
    <w:uiPriority w:val="99"/>
    <w:pPr>
      <w:tabs>
        <w:tab w:val="center" w:pos="4153"/>
        <w:tab w:val="right" w:pos="8306"/>
      </w:tabs>
      <w:snapToGrid w:val="0"/>
      <w:jc w:val="left"/>
    </w:pPr>
    <w:rPr>
      <w:sz w:val="18"/>
      <w:szCs w:val="18"/>
    </w:rPr>
  </w:style>
  <w:style w:type="paragraph" w:styleId="33">
    <w:name w:val="envelope return"/>
    <w:basedOn w:val="1"/>
    <w:qFormat/>
    <w:uiPriority w:val="0"/>
    <w:pPr>
      <w:snapToGrid w:val="0"/>
    </w:pPr>
    <w:rPr>
      <w:rFonts w:ascii="Arial" w:hAnsi="Arial"/>
    </w:rPr>
  </w:style>
  <w:style w:type="paragraph" w:styleId="34">
    <w:name w:val="header"/>
    <w:basedOn w:val="1"/>
    <w:link w:val="116"/>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style>
  <w:style w:type="paragraph" w:styleId="36">
    <w:name w:val="toc 4"/>
    <w:basedOn w:val="1"/>
    <w:next w:val="1"/>
    <w:qFormat/>
    <w:uiPriority w:val="99"/>
    <w:pPr>
      <w:ind w:left="1260" w:leftChars="600"/>
    </w:pPr>
    <w:rPr>
      <w:rFonts w:ascii="Calibri" w:hAnsi="Calibri"/>
      <w:szCs w:val="22"/>
    </w:rPr>
  </w:style>
  <w:style w:type="paragraph" w:styleId="37">
    <w:name w:val="List"/>
    <w:basedOn w:val="1"/>
    <w:qFormat/>
    <w:uiPriority w:val="0"/>
    <w:pPr>
      <w:ind w:left="200" w:hanging="200" w:hangingChars="200"/>
    </w:pPr>
  </w:style>
  <w:style w:type="paragraph" w:styleId="38">
    <w:name w:val="toc 6"/>
    <w:basedOn w:val="1"/>
    <w:next w:val="1"/>
    <w:qFormat/>
    <w:uiPriority w:val="99"/>
    <w:pPr>
      <w:ind w:left="2100" w:leftChars="1000"/>
    </w:pPr>
    <w:rPr>
      <w:rFonts w:ascii="Calibri" w:hAnsi="Calibri"/>
      <w:szCs w:val="22"/>
    </w:rPr>
  </w:style>
  <w:style w:type="paragraph" w:styleId="39">
    <w:name w:val="Body Text Indent 3"/>
    <w:basedOn w:val="1"/>
    <w:link w:val="121"/>
    <w:qFormat/>
    <w:uiPriority w:val="0"/>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40">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41">
    <w:name w:val="toc 2"/>
    <w:basedOn w:val="1"/>
    <w:next w:val="1"/>
    <w:qFormat/>
    <w:uiPriority w:val="39"/>
    <w:pPr>
      <w:ind w:left="420" w:leftChars="200"/>
    </w:pPr>
  </w:style>
  <w:style w:type="paragraph" w:styleId="42">
    <w:name w:val="toc 9"/>
    <w:basedOn w:val="1"/>
    <w:next w:val="1"/>
    <w:qFormat/>
    <w:uiPriority w:val="99"/>
    <w:pPr>
      <w:ind w:left="3360" w:leftChars="1600"/>
    </w:pPr>
    <w:rPr>
      <w:rFonts w:ascii="Calibri" w:hAnsi="Calibri"/>
      <w:szCs w:val="22"/>
    </w:rPr>
  </w:style>
  <w:style w:type="paragraph" w:styleId="43">
    <w:name w:val="Body Text 2"/>
    <w:basedOn w:val="1"/>
    <w:link w:val="128"/>
    <w:qFormat/>
    <w:uiPriority w:val="0"/>
    <w:pPr>
      <w:spacing w:after="120" w:line="480" w:lineRule="auto"/>
    </w:pPr>
  </w:style>
  <w:style w:type="paragraph" w:styleId="44">
    <w:name w:val="HTML Preformatted"/>
    <w:basedOn w:val="1"/>
    <w:link w:val="1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6">
    <w:name w:val="Body Text First Indent"/>
    <w:basedOn w:val="20"/>
    <w:next w:val="38"/>
    <w:link w:val="126"/>
    <w:qFormat/>
    <w:uiPriority w:val="0"/>
    <w:pPr>
      <w:autoSpaceDE w:val="0"/>
      <w:autoSpaceDN w:val="0"/>
      <w:adjustRightInd w:val="0"/>
      <w:spacing w:line="360" w:lineRule="auto"/>
      <w:ind w:firstLine="420" w:firstLineChars="100"/>
    </w:pPr>
    <w:rPr>
      <w:rFonts w:ascii="Times New Roman" w:hAnsi="Times New Roman"/>
      <w:kern w:val="0"/>
      <w:szCs w:val="24"/>
    </w:rPr>
  </w:style>
  <w:style w:type="paragraph" w:styleId="47">
    <w:name w:val="Body Text First Indent 2"/>
    <w:basedOn w:val="15"/>
    <w:next w:val="1"/>
    <w:qFormat/>
    <w:uiPriority w:val="0"/>
    <w:pPr>
      <w:ind w:left="0" w:leftChars="0" w:firstLine="880" w:firstLineChars="200"/>
    </w:pPr>
    <w:rPr>
      <w:rFonts w:eastAsia="仿宋_GB2312"/>
      <w:szCs w:val="22"/>
    </w:rPr>
  </w:style>
  <w:style w:type="table" w:styleId="49">
    <w:name w:val="Table Grid"/>
    <w:basedOn w:val="4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0"/>
    <w:rPr>
      <w:b/>
      <w:bCs/>
    </w:rPr>
  </w:style>
  <w:style w:type="character" w:styleId="52">
    <w:name w:val="page number"/>
    <w:basedOn w:val="50"/>
    <w:qFormat/>
    <w:uiPriority w:val="99"/>
  </w:style>
  <w:style w:type="character" w:styleId="53">
    <w:name w:val="FollowedHyperlink"/>
    <w:basedOn w:val="50"/>
    <w:unhideWhenUsed/>
    <w:qFormat/>
    <w:uiPriority w:val="99"/>
    <w:rPr>
      <w:color w:val="800080"/>
      <w:u w:val="single"/>
    </w:rPr>
  </w:style>
  <w:style w:type="character" w:styleId="54">
    <w:name w:val="Emphasis"/>
    <w:basedOn w:val="50"/>
    <w:qFormat/>
    <w:uiPriority w:val="0"/>
    <w:rPr>
      <w:i/>
    </w:rPr>
  </w:style>
  <w:style w:type="character" w:styleId="55">
    <w:name w:val="Hyperlink"/>
    <w:basedOn w:val="50"/>
    <w:qFormat/>
    <w:uiPriority w:val="99"/>
    <w:rPr>
      <w:color w:val="0000FF"/>
      <w:u w:val="single"/>
    </w:rPr>
  </w:style>
  <w:style w:type="character" w:styleId="56">
    <w:name w:val="annotation reference"/>
    <w:basedOn w:val="50"/>
    <w:qFormat/>
    <w:uiPriority w:val="0"/>
    <w:rPr>
      <w:sz w:val="21"/>
      <w:szCs w:val="21"/>
    </w:rPr>
  </w:style>
  <w:style w:type="paragraph" w:customStyle="1" w:styleId="57">
    <w:name w:val="正文1"/>
    <w:basedOn w:val="25"/>
    <w:next w:val="58"/>
    <w:qFormat/>
    <w:uiPriority w:val="0"/>
    <w:pPr>
      <w:numPr>
        <w:ilvl w:val="0"/>
        <w:numId w:val="3"/>
      </w:numPr>
      <w:spacing w:line="500" w:lineRule="exact"/>
    </w:pPr>
    <w:rPr>
      <w:rFonts w:ascii="黑体" w:hAnsi="宋体"/>
    </w:rPr>
  </w:style>
  <w:style w:type="paragraph" w:customStyle="1" w:styleId="58">
    <w:name w:val="自动更正"/>
    <w:next w:val="59"/>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xl39"/>
    <w:basedOn w:val="1"/>
    <w:next w:val="60"/>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60">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61">
    <w:name w:val="Default"/>
    <w:next w:val="62"/>
    <w:qFormat/>
    <w:uiPriority w:val="0"/>
    <w:pPr>
      <w:widowControl w:val="0"/>
      <w:autoSpaceDE w:val="0"/>
      <w:autoSpaceDN w:val="0"/>
      <w:adjustRightInd w:val="0"/>
    </w:pPr>
    <w:rPr>
      <w:rFonts w:ascii=".a..DD.." w:hAnsi="Times New Roman" w:eastAsia=".a..DD.." w:cs="Times New Roman"/>
      <w:color w:val="000000"/>
      <w:sz w:val="24"/>
      <w:szCs w:val="24"/>
      <w:lang w:val="en-US" w:eastAsia="zh-CN" w:bidi="ar-SA"/>
    </w:rPr>
  </w:style>
  <w:style w:type="paragraph" w:customStyle="1" w:styleId="62">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63">
    <w:name w:val="样式1"/>
    <w:basedOn w:val="4"/>
    <w:next w:val="20"/>
    <w:link w:val="102"/>
    <w:qFormat/>
    <w:uiPriority w:val="0"/>
    <w:pPr>
      <w:jc w:val="center"/>
    </w:pPr>
    <w:rPr>
      <w:rFonts w:ascii="宋体" w:hAnsi="宋体"/>
      <w:sz w:val="36"/>
      <w:szCs w:val="36"/>
    </w:rPr>
  </w:style>
  <w:style w:type="paragraph" w:customStyle="1" w:styleId="6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5">
    <w:name w:val="表格文字"/>
    <w:basedOn w:val="66"/>
    <w:next w:val="20"/>
    <w:qFormat/>
    <w:uiPriority w:val="0"/>
    <w:pPr>
      <w:jc w:val="left"/>
      <w:textAlignment w:val="top"/>
    </w:pPr>
    <w:rPr>
      <w:sz w:val="18"/>
    </w:rPr>
  </w:style>
  <w:style w:type="paragraph" w:customStyle="1" w:styleId="66">
    <w:name w:val="表格文字（两侧对齐）"/>
    <w:basedOn w:val="1"/>
    <w:qFormat/>
    <w:uiPriority w:val="0"/>
    <w:pPr>
      <w:snapToGrid w:val="0"/>
    </w:pPr>
    <w:rPr>
      <w:rFonts w:eastAsia="宋体"/>
      <w:sz w:val="20"/>
    </w:rPr>
  </w:style>
  <w:style w:type="paragraph" w:customStyle="1" w:styleId="67">
    <w:name w:val="TOC 标题1"/>
    <w:basedOn w:val="3"/>
    <w:next w:val="1"/>
    <w:qFormat/>
    <w:uiPriority w:val="99"/>
    <w:pPr>
      <w:widowControl/>
      <w:spacing w:before="480" w:after="0" w:line="276" w:lineRule="auto"/>
      <w:jc w:val="left"/>
      <w:outlineLvl w:val="9"/>
    </w:pPr>
    <w:rPr>
      <w:rFonts w:ascii="Calibri Light" w:hAnsi="Calibri Light"/>
      <w:color w:val="2E74B5"/>
      <w:kern w:val="0"/>
      <w:sz w:val="28"/>
      <w:szCs w:val="28"/>
    </w:rPr>
  </w:style>
  <w:style w:type="paragraph" w:customStyle="1" w:styleId="68">
    <w:name w:val="列出段落"/>
    <w:basedOn w:val="1"/>
    <w:qFormat/>
    <w:uiPriority w:val="0"/>
    <w:pPr>
      <w:ind w:firstLine="420" w:firstLineChars="200"/>
    </w:pPr>
    <w:rPr>
      <w:rFonts w:ascii="Calibri" w:hAnsi="Calibri"/>
      <w:szCs w:val="22"/>
    </w:rPr>
  </w:style>
  <w:style w:type="paragraph" w:customStyle="1" w:styleId="69">
    <w:name w:val="reader-word-layer reader-word-s1-4"/>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70">
    <w:name w:val="正文2"/>
    <w:basedOn w:val="1"/>
    <w:qFormat/>
    <w:uiPriority w:val="0"/>
    <w:pPr>
      <w:spacing w:before="156" w:beforeLines="0" w:line="360" w:lineRule="auto"/>
      <w:ind w:firstLine="510" w:firstLineChars="200"/>
    </w:pPr>
    <w:rPr>
      <w:sz w:val="24"/>
      <w:szCs w:val="20"/>
    </w:rPr>
  </w:style>
  <w:style w:type="paragraph" w:customStyle="1" w:styleId="71">
    <w:name w:val="列出段落2"/>
    <w:basedOn w:val="1"/>
    <w:qFormat/>
    <w:uiPriority w:val="99"/>
    <w:pPr>
      <w:ind w:firstLine="420" w:firstLineChars="200"/>
    </w:pPr>
    <w:rPr>
      <w:rFonts w:ascii="Calibri" w:hAnsi="Calibri"/>
    </w:rPr>
  </w:style>
  <w:style w:type="paragraph" w:customStyle="1" w:styleId="72">
    <w:name w:val="默认段落字体 Para Char"/>
    <w:basedOn w:val="1"/>
    <w:qFormat/>
    <w:uiPriority w:val="0"/>
    <w:rPr>
      <w:szCs w:val="20"/>
    </w:rPr>
  </w:style>
  <w:style w:type="paragraph" w:customStyle="1" w:styleId="73">
    <w:name w:val="纯文本1"/>
    <w:basedOn w:val="57"/>
    <w:qFormat/>
    <w:uiPriority w:val="0"/>
    <w:pPr>
      <w:spacing w:beforeLines="50" w:afterLines="50" w:line="400" w:lineRule="exact"/>
    </w:pPr>
    <w:rPr>
      <w:rFonts w:ascii="宋体" w:hAnsi="Courier New"/>
      <w:sz w:val="24"/>
      <w:lang w:val="zh-CN"/>
    </w:rPr>
  </w:style>
  <w:style w:type="paragraph" w:customStyle="1" w:styleId="74">
    <w:name w:val="无间隔1"/>
    <w:link w:val="111"/>
    <w:qFormat/>
    <w:uiPriority w:val="99"/>
    <w:rPr>
      <w:rFonts w:ascii="Calibri" w:hAnsi="Calibri" w:eastAsia="宋体" w:cs="Times New Roman"/>
      <w:sz w:val="22"/>
      <w:szCs w:val="22"/>
      <w:lang w:val="en-US" w:eastAsia="zh-CN" w:bidi="ar-SA"/>
    </w:rPr>
  </w:style>
  <w:style w:type="paragraph" w:customStyle="1" w:styleId="75">
    <w:name w:val="文本正文"/>
    <w:basedOn w:val="1"/>
    <w:link w:val="110"/>
    <w:qFormat/>
    <w:uiPriority w:val="0"/>
    <w:pPr>
      <w:spacing w:before="156" w:beforeLines="50" w:after="156" w:afterLines="50" w:line="360" w:lineRule="auto"/>
      <w:ind w:firstLine="200" w:firstLineChars="200"/>
    </w:pPr>
    <w:rPr>
      <w:rFonts w:ascii="Calibri" w:hAnsi="Calibri" w:eastAsia="仿宋"/>
      <w:sz w:val="24"/>
      <w:szCs w:val="22"/>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font7"/>
    <w:basedOn w:val="1"/>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79">
    <w:name w:val=" Char Char Char Char Char Char Char Char Char Char"/>
    <w:basedOn w:val="17"/>
    <w:qFormat/>
    <w:uiPriority w:val="0"/>
    <w:rPr>
      <w:rFonts w:ascii="Tahoma" w:hAnsi="Tahoma"/>
      <w:sz w:val="24"/>
    </w:rPr>
  </w:style>
  <w:style w:type="paragraph" w:customStyle="1" w:styleId="80">
    <w:name w:val="p18"/>
    <w:basedOn w:val="1"/>
    <w:qFormat/>
    <w:uiPriority w:val="0"/>
    <w:pPr>
      <w:widowControl/>
      <w:spacing w:line="748" w:lineRule="atLeast"/>
      <w:ind w:left="-527" w:firstLine="527"/>
    </w:pPr>
    <w:rPr>
      <w:rFonts w:ascii="宋体" w:hAnsi="宋体" w:cs="宋体"/>
      <w:kern w:val="0"/>
      <w:sz w:val="24"/>
    </w:rPr>
  </w:style>
  <w:style w:type="paragraph" w:customStyle="1" w:styleId="81">
    <w:name w:val="列出段落3"/>
    <w:basedOn w:val="1"/>
    <w:qFormat/>
    <w:uiPriority w:val="99"/>
    <w:pPr>
      <w:spacing w:line="360" w:lineRule="auto"/>
      <w:ind w:firstLine="420" w:firstLineChars="200"/>
    </w:pPr>
    <w:rPr>
      <w:rFonts w:ascii="Calibri" w:hAnsi="Calibri" w:eastAsia="黑体"/>
      <w:sz w:val="24"/>
    </w:rPr>
  </w:style>
  <w:style w:type="paragraph" w:customStyle="1" w:styleId="82">
    <w:name w:val="列出段落21"/>
    <w:basedOn w:val="1"/>
    <w:qFormat/>
    <w:uiPriority w:val="99"/>
    <w:pPr>
      <w:ind w:firstLine="420" w:firstLineChars="200"/>
    </w:pPr>
    <w:rPr>
      <w:rFonts w:ascii="Calibri" w:hAnsi="Calibri"/>
      <w:szCs w:val="22"/>
    </w:rPr>
  </w:style>
  <w:style w:type="paragraph" w:customStyle="1" w:styleId="83">
    <w:name w:val="p0"/>
    <w:basedOn w:val="1"/>
    <w:qFormat/>
    <w:uiPriority w:val="99"/>
    <w:pPr>
      <w:widowControl/>
    </w:pPr>
    <w:rPr>
      <w:rFonts w:ascii="Calibri" w:hAnsi="Calibri" w:cs="Calibri"/>
      <w:kern w:val="0"/>
      <w:szCs w:val="21"/>
    </w:rPr>
  </w:style>
  <w:style w:type="paragraph" w:customStyle="1" w:styleId="84">
    <w:name w:val="正文缩进1"/>
    <w:basedOn w:val="1"/>
    <w:link w:val="145"/>
    <w:qFormat/>
    <w:uiPriority w:val="0"/>
    <w:pPr>
      <w:ind w:firstLine="420"/>
    </w:pPr>
    <w:rPr>
      <w:rFonts w:ascii="Calibri" w:hAnsi="Calibri"/>
      <w:szCs w:val="22"/>
    </w:rPr>
  </w:style>
  <w:style w:type="paragraph" w:customStyle="1" w:styleId="85">
    <w:name w:val="Char"/>
    <w:basedOn w:val="1"/>
    <w:qFormat/>
    <w:uiPriority w:val="0"/>
  </w:style>
  <w:style w:type="paragraph" w:customStyle="1" w:styleId="86">
    <w:name w:val="TOC 标题"/>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87">
    <w:name w:val="列出段落1"/>
    <w:basedOn w:val="1"/>
    <w:link w:val="108"/>
    <w:qFormat/>
    <w:uiPriority w:val="99"/>
    <w:pPr>
      <w:ind w:firstLine="420" w:firstLineChars="200"/>
    </w:pPr>
    <w:rPr>
      <w:rFonts w:ascii="Calibri" w:hAnsi="Calibri"/>
    </w:rPr>
  </w:style>
  <w:style w:type="paragraph" w:customStyle="1" w:styleId="88">
    <w:name w:val="正文段"/>
    <w:basedOn w:val="1"/>
    <w:qFormat/>
    <w:uiPriority w:val="0"/>
    <w:pPr>
      <w:widowControl/>
      <w:snapToGrid w:val="0"/>
      <w:spacing w:after="50" w:afterLines="50"/>
      <w:ind w:firstLine="200" w:firstLineChars="200"/>
    </w:pPr>
    <w:rPr>
      <w:kern w:val="0"/>
      <w:sz w:val="24"/>
      <w:szCs w:val="20"/>
    </w:rPr>
  </w:style>
  <w:style w:type="paragraph" w:customStyle="1" w:styleId="89">
    <w:name w:val="样式 首行缩进:  2 字符"/>
    <w:basedOn w:val="1"/>
    <w:qFormat/>
    <w:uiPriority w:val="0"/>
    <w:pPr>
      <w:spacing w:line="400" w:lineRule="exact"/>
      <w:ind w:firstLine="200" w:firstLineChars="200"/>
    </w:pPr>
    <w:rPr>
      <w:rFonts w:cs="宋体"/>
      <w:sz w:val="24"/>
      <w:lang w:bidi="ar-SA"/>
    </w:rPr>
  </w:style>
  <w:style w:type="paragraph" w:customStyle="1" w:styleId="90">
    <w:name w:val="List Paragraph"/>
    <w:basedOn w:val="1"/>
    <w:qFormat/>
    <w:uiPriority w:val="0"/>
    <w:pPr>
      <w:ind w:firstLine="420" w:firstLineChars="200"/>
    </w:pPr>
    <w:rPr>
      <w:rFonts w:ascii="Calibri" w:hAnsi="Calibri"/>
      <w:szCs w:val="22"/>
    </w:rPr>
  </w:style>
  <w:style w:type="paragraph" w:customStyle="1" w:styleId="91">
    <w:name w:val="TOC 标题2"/>
    <w:basedOn w:val="3"/>
    <w:next w:val="1"/>
    <w:qFormat/>
    <w:uiPriority w:val="99"/>
    <w:pPr>
      <w:widowControl/>
      <w:spacing w:before="480" w:after="0" w:line="276" w:lineRule="auto"/>
      <w:jc w:val="left"/>
      <w:outlineLvl w:val="9"/>
    </w:pPr>
    <w:rPr>
      <w:rFonts w:ascii="Calibri Light" w:hAnsi="Calibri Light"/>
      <w:color w:val="2E74B5"/>
      <w:kern w:val="0"/>
      <w:sz w:val="28"/>
      <w:szCs w:val="28"/>
    </w:rPr>
  </w:style>
  <w:style w:type="paragraph" w:customStyle="1" w:styleId="92">
    <w:name w:val=" Char"/>
    <w:basedOn w:val="1"/>
    <w:qFormat/>
    <w:uiPriority w:val="0"/>
  </w:style>
  <w:style w:type="paragraph" w:customStyle="1" w:styleId="93">
    <w:name w:val="GTA正文-2"/>
    <w:basedOn w:val="1"/>
    <w:qFormat/>
    <w:uiPriority w:val="99"/>
    <w:pPr>
      <w:snapToGrid w:val="0"/>
      <w:spacing w:beforeLines="50" w:after="156" w:line="480" w:lineRule="atLeast"/>
      <w:ind w:firstLine="480" w:firstLineChars="200"/>
    </w:pPr>
    <w:rPr>
      <w:rFonts w:ascii="微软雅黑" w:hAnsi="微软雅黑" w:eastAsia="微软雅黑" w:cs="Arial"/>
      <w:sz w:val="24"/>
    </w:rPr>
  </w:style>
  <w:style w:type="paragraph" w:customStyle="1" w:styleId="94">
    <w:name w:val="tabletext"/>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95">
    <w:name w:val="默认段落字体 Para Char Char Char Char Char Char Char Char Char1 Char Char Char Char"/>
    <w:basedOn w:val="1"/>
    <w:qFormat/>
    <w:uiPriority w:val="0"/>
    <w:rPr>
      <w:rFonts w:ascii="Tahoma" w:hAnsi="Tahoma"/>
      <w:sz w:val="24"/>
      <w:szCs w:val="20"/>
    </w:rPr>
  </w:style>
  <w:style w:type="paragraph" w:customStyle="1" w:styleId="96">
    <w:name w:val="Char Char Char Char Char Char Char Char Char Char"/>
    <w:basedOn w:val="17"/>
    <w:qFormat/>
    <w:uiPriority w:val="0"/>
    <w:rPr>
      <w:rFonts w:ascii="Tahoma" w:hAnsi="Tahoma"/>
      <w:sz w:val="24"/>
    </w:rPr>
  </w:style>
  <w:style w:type="paragraph" w:customStyle="1" w:styleId="97">
    <w:name w:val="DAS正文"/>
    <w:basedOn w:val="1"/>
    <w:link w:val="114"/>
    <w:qFormat/>
    <w:uiPriority w:val="99"/>
    <w:pPr>
      <w:spacing w:line="360" w:lineRule="auto"/>
      <w:jc w:val="center"/>
    </w:pPr>
    <w:rPr>
      <w:rFonts w:ascii="Verdana" w:hAnsi="Verdana"/>
      <w:kern w:val="0"/>
      <w:sz w:val="20"/>
      <w:szCs w:val="20"/>
    </w:rPr>
  </w:style>
  <w:style w:type="character" w:customStyle="1" w:styleId="98">
    <w:name w:val=" Char Char9"/>
    <w:basedOn w:val="50"/>
    <w:link w:val="31"/>
    <w:qFormat/>
    <w:uiPriority w:val="99"/>
    <w:rPr>
      <w:kern w:val="2"/>
      <w:sz w:val="18"/>
      <w:szCs w:val="18"/>
    </w:rPr>
  </w:style>
  <w:style w:type="character" w:customStyle="1" w:styleId="99">
    <w:name w:val="font21"/>
    <w:basedOn w:val="50"/>
    <w:qFormat/>
    <w:uiPriority w:val="99"/>
    <w:rPr>
      <w:rFonts w:ascii="宋体" w:hAnsi="宋体" w:eastAsia="宋体" w:cs="宋体"/>
      <w:color w:val="000000"/>
      <w:sz w:val="24"/>
      <w:szCs w:val="24"/>
      <w:u w:val="none"/>
    </w:rPr>
  </w:style>
  <w:style w:type="character" w:customStyle="1" w:styleId="100">
    <w:name w:val="font61"/>
    <w:basedOn w:val="50"/>
    <w:qFormat/>
    <w:uiPriority w:val="0"/>
    <w:rPr>
      <w:rFonts w:hint="eastAsia" w:ascii="宋体" w:hAnsi="宋体" w:eastAsia="宋体" w:cs="宋体"/>
      <w:color w:val="000000"/>
      <w:sz w:val="24"/>
      <w:szCs w:val="24"/>
      <w:u w:val="none"/>
    </w:rPr>
  </w:style>
  <w:style w:type="character" w:customStyle="1" w:styleId="101">
    <w:name w:val="标题 Char1"/>
    <w:basedOn w:val="50"/>
    <w:qFormat/>
    <w:locked/>
    <w:uiPriority w:val="0"/>
    <w:rPr>
      <w:rFonts w:ascii="Arial" w:hAnsi="Arial"/>
      <w:b/>
      <w:sz w:val="36"/>
      <w:lang w:eastAsia="en-US"/>
    </w:rPr>
  </w:style>
  <w:style w:type="character" w:customStyle="1" w:styleId="102">
    <w:name w:val="样式1 Char Char"/>
    <w:link w:val="63"/>
    <w:qFormat/>
    <w:uiPriority w:val="0"/>
    <w:rPr>
      <w:rFonts w:ascii="宋体" w:hAnsi="宋体" w:eastAsia="黑体"/>
      <w:b/>
      <w:bCs/>
      <w:kern w:val="2"/>
      <w:sz w:val="36"/>
      <w:szCs w:val="36"/>
    </w:rPr>
  </w:style>
  <w:style w:type="character" w:customStyle="1" w:styleId="103">
    <w:name w:val=" Char Char19"/>
    <w:basedOn w:val="50"/>
    <w:link w:val="8"/>
    <w:qFormat/>
    <w:uiPriority w:val="99"/>
    <w:rPr>
      <w:rFonts w:ascii="Cambria" w:hAnsi="Cambria"/>
      <w:b/>
      <w:bCs/>
      <w:sz w:val="24"/>
      <w:szCs w:val="24"/>
    </w:rPr>
  </w:style>
  <w:style w:type="character" w:customStyle="1" w:styleId="104">
    <w:name w:val="页码1"/>
    <w:basedOn w:val="50"/>
    <w:qFormat/>
    <w:uiPriority w:val="0"/>
    <w:rPr>
      <w:rFonts w:ascii="仿宋_GB2312" w:eastAsia="仿宋_GB2312" w:cs="Times New Roman"/>
      <w:b/>
      <w:sz w:val="32"/>
      <w:szCs w:val="32"/>
    </w:rPr>
  </w:style>
  <w:style w:type="character" w:customStyle="1" w:styleId="105">
    <w:name w:val=" Char Char7"/>
    <w:basedOn w:val="50"/>
    <w:link w:val="30"/>
    <w:semiHidden/>
    <w:qFormat/>
    <w:uiPriority w:val="0"/>
    <w:rPr>
      <w:kern w:val="2"/>
      <w:sz w:val="21"/>
    </w:rPr>
  </w:style>
  <w:style w:type="character" w:customStyle="1" w:styleId="106">
    <w:name w:val="标题 2 Char"/>
    <w:basedOn w:val="50"/>
    <w:qFormat/>
    <w:uiPriority w:val="99"/>
    <w:rPr>
      <w:rFonts w:ascii="Arial" w:hAnsi="Arial" w:eastAsia="黑体"/>
      <w:b/>
      <w:bCs/>
      <w:kern w:val="2"/>
      <w:sz w:val="32"/>
      <w:szCs w:val="32"/>
      <w:lang w:val="en-US" w:eastAsia="zh-CN" w:bidi="ar-SA"/>
    </w:rPr>
  </w:style>
  <w:style w:type="character" w:customStyle="1" w:styleId="107">
    <w:name w:val=" Char Char18"/>
    <w:basedOn w:val="50"/>
    <w:link w:val="9"/>
    <w:qFormat/>
    <w:uiPriority w:val="99"/>
    <w:rPr>
      <w:rFonts w:ascii="Calibri" w:hAnsi="Calibri"/>
      <w:b/>
      <w:bCs/>
      <w:sz w:val="24"/>
      <w:szCs w:val="24"/>
    </w:rPr>
  </w:style>
  <w:style w:type="character" w:customStyle="1" w:styleId="108">
    <w:name w:val="列出段落 Char"/>
    <w:basedOn w:val="50"/>
    <w:link w:val="87"/>
    <w:qFormat/>
    <w:locked/>
    <w:uiPriority w:val="99"/>
    <w:rPr>
      <w:rFonts w:ascii="Calibri" w:hAnsi="Calibri"/>
      <w:kern w:val="2"/>
      <w:sz w:val="21"/>
      <w:szCs w:val="24"/>
    </w:rPr>
  </w:style>
  <w:style w:type="character" w:customStyle="1" w:styleId="109">
    <w:name w:val="标题 2 Char Char"/>
    <w:basedOn w:val="50"/>
    <w:qFormat/>
    <w:uiPriority w:val="0"/>
    <w:rPr>
      <w:rFonts w:ascii="宋体" w:hAnsi="宋体" w:eastAsia="黑体"/>
      <w:b/>
      <w:bCs/>
      <w:kern w:val="2"/>
      <w:sz w:val="24"/>
      <w:szCs w:val="32"/>
      <w:lang w:val="en-US" w:eastAsia="zh-CN" w:bidi="ar-SA"/>
    </w:rPr>
  </w:style>
  <w:style w:type="character" w:customStyle="1" w:styleId="110">
    <w:name w:val="文本正文 Char"/>
    <w:link w:val="75"/>
    <w:qFormat/>
    <w:uiPriority w:val="0"/>
    <w:rPr>
      <w:rFonts w:ascii="Calibri" w:hAnsi="Calibri" w:eastAsia="仿宋"/>
      <w:kern w:val="2"/>
      <w:sz w:val="24"/>
      <w:szCs w:val="22"/>
      <w:lang w:bidi="ar-SA"/>
    </w:rPr>
  </w:style>
  <w:style w:type="character" w:customStyle="1" w:styleId="111">
    <w:name w:val="无间隔 Char"/>
    <w:basedOn w:val="50"/>
    <w:link w:val="74"/>
    <w:qFormat/>
    <w:locked/>
    <w:uiPriority w:val="99"/>
    <w:rPr>
      <w:rFonts w:ascii="Calibri" w:hAnsi="Calibri"/>
      <w:sz w:val="22"/>
      <w:szCs w:val="22"/>
      <w:lang w:val="en-US" w:eastAsia="zh-CN" w:bidi="ar-SA"/>
    </w:rPr>
  </w:style>
  <w:style w:type="character" w:customStyle="1" w:styleId="112">
    <w:name w:val=" Char Char14"/>
    <w:basedOn w:val="50"/>
    <w:link w:val="20"/>
    <w:semiHidden/>
    <w:qFormat/>
    <w:locked/>
    <w:uiPriority w:val="0"/>
    <w:rPr>
      <w:rFonts w:ascii="Calibri" w:hAnsi="Calibri" w:eastAsia="宋体"/>
      <w:kern w:val="2"/>
      <w:sz w:val="21"/>
      <w:szCs w:val="22"/>
      <w:lang w:val="en-US" w:eastAsia="zh-CN" w:bidi="ar-SA"/>
    </w:rPr>
  </w:style>
  <w:style w:type="character" w:customStyle="1" w:styleId="113">
    <w:name w:val="纯文本 Char1"/>
    <w:qFormat/>
    <w:locked/>
    <w:uiPriority w:val="0"/>
    <w:rPr>
      <w:rFonts w:ascii="宋体" w:hAnsi="Courier New" w:eastAsia="宋体"/>
      <w:sz w:val="21"/>
      <w:lang w:bidi="ar-SA"/>
    </w:rPr>
  </w:style>
  <w:style w:type="character" w:customStyle="1" w:styleId="114">
    <w:name w:val="DAS正文 Char"/>
    <w:link w:val="97"/>
    <w:qFormat/>
    <w:locked/>
    <w:uiPriority w:val="99"/>
    <w:rPr>
      <w:rFonts w:ascii="Verdana" w:hAnsi="Verdana"/>
    </w:rPr>
  </w:style>
  <w:style w:type="character" w:customStyle="1" w:styleId="115">
    <w:name w:val="font11"/>
    <w:basedOn w:val="50"/>
    <w:qFormat/>
    <w:uiPriority w:val="0"/>
    <w:rPr>
      <w:rFonts w:hint="eastAsia" w:ascii="宋体" w:hAnsi="宋体" w:eastAsia="宋体" w:cs="宋体"/>
      <w:b/>
      <w:color w:val="000000"/>
      <w:sz w:val="32"/>
      <w:szCs w:val="32"/>
      <w:u w:val="none"/>
    </w:rPr>
  </w:style>
  <w:style w:type="character" w:customStyle="1" w:styleId="116">
    <w:name w:val=" Char Char6"/>
    <w:basedOn w:val="50"/>
    <w:link w:val="34"/>
    <w:qFormat/>
    <w:locked/>
    <w:uiPriority w:val="99"/>
    <w:rPr>
      <w:rFonts w:eastAsia="宋体"/>
      <w:kern w:val="2"/>
      <w:sz w:val="18"/>
      <w:szCs w:val="18"/>
      <w:lang w:val="en-US" w:eastAsia="zh-CN" w:bidi="ar-SA"/>
    </w:rPr>
  </w:style>
  <w:style w:type="character" w:customStyle="1" w:styleId="117">
    <w:name w:val=" Char Char16"/>
    <w:basedOn w:val="50"/>
    <w:link w:val="11"/>
    <w:qFormat/>
    <w:uiPriority w:val="99"/>
    <w:rPr>
      <w:rFonts w:ascii="Cambria" w:hAnsi="Cambria"/>
      <w:szCs w:val="21"/>
    </w:rPr>
  </w:style>
  <w:style w:type="character" w:customStyle="1" w:styleId="118">
    <w:name w:val="普通文字 Char Char"/>
    <w:link w:val="26"/>
    <w:qFormat/>
    <w:locked/>
    <w:uiPriority w:val="0"/>
    <w:rPr>
      <w:rFonts w:ascii="宋体" w:hAnsi="Courier New" w:eastAsia="宋体"/>
      <w:sz w:val="21"/>
      <w:lang w:bidi="ar-SA"/>
    </w:rPr>
  </w:style>
  <w:style w:type="character" w:customStyle="1" w:styleId="119">
    <w:name w:val="large1"/>
    <w:basedOn w:val="50"/>
    <w:qFormat/>
    <w:uiPriority w:val="0"/>
    <w:rPr>
      <w:rFonts w:hint="eastAsia" w:ascii="宋体" w:hAnsi="宋体" w:eastAsia="宋体"/>
      <w:sz w:val="21"/>
      <w:szCs w:val="21"/>
    </w:rPr>
  </w:style>
  <w:style w:type="character" w:customStyle="1" w:styleId="120">
    <w:name w:val="bulletintext1"/>
    <w:basedOn w:val="50"/>
    <w:qFormat/>
    <w:uiPriority w:val="0"/>
    <w:rPr>
      <w:color w:val="000000"/>
      <w:sz w:val="18"/>
      <w:szCs w:val="18"/>
    </w:rPr>
  </w:style>
  <w:style w:type="character" w:customStyle="1" w:styleId="121">
    <w:name w:val=" Char Char4"/>
    <w:basedOn w:val="50"/>
    <w:link w:val="39"/>
    <w:qFormat/>
    <w:uiPriority w:val="0"/>
    <w:rPr>
      <w:rFonts w:ascii="仿宋_GB2312" w:eastAsia="仿宋_GB2312"/>
      <w:kern w:val="2"/>
      <w:sz w:val="28"/>
      <w:szCs w:val="28"/>
      <w:lang w:val="zh-CN"/>
    </w:rPr>
  </w:style>
  <w:style w:type="character" w:customStyle="1" w:styleId="122">
    <w:name w:val=" Char Char20"/>
    <w:basedOn w:val="50"/>
    <w:link w:val="7"/>
    <w:qFormat/>
    <w:uiPriority w:val="99"/>
    <w:rPr>
      <w:rFonts w:ascii="Calibri" w:hAnsi="Calibri"/>
      <w:b/>
      <w:bCs/>
      <w:sz w:val="28"/>
      <w:szCs w:val="28"/>
    </w:rPr>
  </w:style>
  <w:style w:type="character" w:customStyle="1" w:styleId="123">
    <w:name w:val=" Char Char24"/>
    <w:basedOn w:val="50"/>
    <w:link w:val="3"/>
    <w:qFormat/>
    <w:uiPriority w:val="99"/>
    <w:rPr>
      <w:b/>
      <w:bCs/>
      <w:kern w:val="44"/>
      <w:sz w:val="44"/>
      <w:szCs w:val="44"/>
    </w:rPr>
  </w:style>
  <w:style w:type="character" w:customStyle="1" w:styleId="124">
    <w:name w:val="纯文本 Char"/>
    <w:qFormat/>
    <w:locked/>
    <w:uiPriority w:val="0"/>
    <w:rPr>
      <w:rFonts w:ascii="宋体" w:hAnsi="Courier New" w:eastAsia="宋体"/>
      <w:sz w:val="21"/>
      <w:lang w:bidi="ar-SA"/>
    </w:rPr>
  </w:style>
  <w:style w:type="character" w:customStyle="1" w:styleId="125">
    <w:name w:val="topic"/>
    <w:basedOn w:val="50"/>
    <w:qFormat/>
    <w:uiPriority w:val="0"/>
  </w:style>
  <w:style w:type="character" w:customStyle="1" w:styleId="126">
    <w:name w:val=" Char Char15"/>
    <w:basedOn w:val="112"/>
    <w:link w:val="46"/>
    <w:qFormat/>
    <w:locked/>
    <w:uiPriority w:val="0"/>
    <w:rPr>
      <w:szCs w:val="24"/>
    </w:rPr>
  </w:style>
  <w:style w:type="character" w:customStyle="1" w:styleId="127">
    <w:name w:val=" Char Char11"/>
    <w:basedOn w:val="50"/>
    <w:link w:val="15"/>
    <w:qFormat/>
    <w:uiPriority w:val="99"/>
    <w:rPr>
      <w:rFonts w:ascii="仿宋_GB2312" w:eastAsia="仿宋_GB2312"/>
      <w:kern w:val="2"/>
      <w:sz w:val="28"/>
      <w:szCs w:val="28"/>
      <w:lang w:val="zh-CN"/>
    </w:rPr>
  </w:style>
  <w:style w:type="character" w:customStyle="1" w:styleId="128">
    <w:name w:val=" Char Char"/>
    <w:basedOn w:val="50"/>
    <w:link w:val="43"/>
    <w:qFormat/>
    <w:uiPriority w:val="0"/>
    <w:rPr>
      <w:kern w:val="2"/>
      <w:sz w:val="21"/>
      <w:szCs w:val="24"/>
    </w:rPr>
  </w:style>
  <w:style w:type="character" w:customStyle="1" w:styleId="129">
    <w:name w:val="font01"/>
    <w:basedOn w:val="50"/>
    <w:qFormat/>
    <w:uiPriority w:val="0"/>
    <w:rPr>
      <w:rFonts w:hint="eastAsia" w:ascii="宋体" w:hAnsi="宋体" w:eastAsia="宋体" w:cs="宋体"/>
      <w:color w:val="000000"/>
      <w:sz w:val="22"/>
      <w:szCs w:val="22"/>
      <w:u w:val="none"/>
    </w:rPr>
  </w:style>
  <w:style w:type="character" w:customStyle="1" w:styleId="130">
    <w:name w:val="font3"/>
    <w:basedOn w:val="50"/>
    <w:qFormat/>
    <w:uiPriority w:val="0"/>
  </w:style>
  <w:style w:type="character" w:customStyle="1" w:styleId="131">
    <w:name w:val=" Char Char22"/>
    <w:basedOn w:val="50"/>
    <w:link w:val="5"/>
    <w:qFormat/>
    <w:uiPriority w:val="99"/>
    <w:rPr>
      <w:b/>
      <w:bCs/>
      <w:kern w:val="2"/>
      <w:sz w:val="32"/>
      <w:szCs w:val="32"/>
    </w:rPr>
  </w:style>
  <w:style w:type="character" w:customStyle="1" w:styleId="132">
    <w:name w:val="标题 1 Char Char"/>
    <w:qFormat/>
    <w:uiPriority w:val="0"/>
    <w:rPr>
      <w:rFonts w:eastAsia="宋体"/>
      <w:b/>
      <w:spacing w:val="-2"/>
      <w:sz w:val="24"/>
      <w:lang w:val="en-US" w:eastAsia="zh-CN" w:bidi="ar-SA"/>
    </w:rPr>
  </w:style>
  <w:style w:type="character" w:customStyle="1" w:styleId="133">
    <w:name w:val=" Char Char12"/>
    <w:basedOn w:val="50"/>
    <w:link w:val="19"/>
    <w:qFormat/>
    <w:uiPriority w:val="99"/>
    <w:rPr>
      <w:rFonts w:ascii="Calibri" w:hAnsi="Calibri"/>
      <w:kern w:val="2"/>
      <w:sz w:val="21"/>
      <w:szCs w:val="24"/>
    </w:rPr>
  </w:style>
  <w:style w:type="character" w:customStyle="1" w:styleId="134">
    <w:name w:val=" Char Char1"/>
    <w:basedOn w:val="50"/>
    <w:link w:val="44"/>
    <w:qFormat/>
    <w:uiPriority w:val="99"/>
    <w:rPr>
      <w:rFonts w:ascii="宋体" w:hAnsi="宋体" w:cs="宋体"/>
      <w:sz w:val="24"/>
      <w:szCs w:val="24"/>
    </w:rPr>
  </w:style>
  <w:style w:type="character" w:customStyle="1" w:styleId="135">
    <w:name w:val="样式1 Char"/>
    <w:basedOn w:val="108"/>
    <w:qFormat/>
    <w:locked/>
    <w:uiPriority w:val="99"/>
    <w:rPr>
      <w:b/>
      <w:sz w:val="28"/>
      <w:szCs w:val="28"/>
    </w:rPr>
  </w:style>
  <w:style w:type="character" w:customStyle="1" w:styleId="136">
    <w:name w:val=" Char Char3"/>
    <w:basedOn w:val="50"/>
    <w:link w:val="2"/>
    <w:qFormat/>
    <w:locked/>
    <w:uiPriority w:val="99"/>
    <w:rPr>
      <w:rFonts w:ascii="Arial" w:hAnsi="Arial" w:eastAsia="宋体"/>
      <w:b/>
      <w:sz w:val="36"/>
      <w:lang w:val="en-US" w:eastAsia="en-US" w:bidi="ar-SA"/>
    </w:rPr>
  </w:style>
  <w:style w:type="character" w:customStyle="1" w:styleId="137">
    <w:name w:val=" Char Char10"/>
    <w:basedOn w:val="50"/>
    <w:link w:val="28"/>
    <w:qFormat/>
    <w:uiPriority w:val="0"/>
    <w:rPr>
      <w:rFonts w:eastAsia="楷体_GB2312"/>
      <w:kern w:val="2"/>
      <w:sz w:val="32"/>
    </w:rPr>
  </w:style>
  <w:style w:type="character" w:customStyle="1" w:styleId="138">
    <w:name w:val=" Char Char17"/>
    <w:basedOn w:val="50"/>
    <w:link w:val="10"/>
    <w:qFormat/>
    <w:uiPriority w:val="99"/>
    <w:rPr>
      <w:rFonts w:ascii="Cambria" w:hAnsi="Cambria"/>
      <w:sz w:val="24"/>
      <w:szCs w:val="24"/>
    </w:rPr>
  </w:style>
  <w:style w:type="character" w:customStyle="1" w:styleId="139">
    <w:name w:val=" Char Char13"/>
    <w:basedOn w:val="50"/>
    <w:link w:val="17"/>
    <w:qFormat/>
    <w:uiPriority w:val="99"/>
    <w:rPr>
      <w:kern w:val="2"/>
      <w:sz w:val="21"/>
      <w:szCs w:val="24"/>
      <w:shd w:val="clear" w:color="auto" w:fill="000080"/>
    </w:rPr>
  </w:style>
  <w:style w:type="character" w:customStyle="1" w:styleId="140">
    <w:name w:val="普通文字 Char Char1"/>
    <w:basedOn w:val="50"/>
    <w:qFormat/>
    <w:locked/>
    <w:uiPriority w:val="0"/>
    <w:rPr>
      <w:rFonts w:ascii="宋体" w:hAnsi="Courier New" w:eastAsia="宋体"/>
      <w:kern w:val="2"/>
      <w:sz w:val="21"/>
      <w:lang w:val="en-US" w:eastAsia="zh-CN" w:bidi="ar-SA"/>
    </w:rPr>
  </w:style>
  <w:style w:type="character" w:customStyle="1" w:styleId="141">
    <w:name w:val=" Char Char8"/>
    <w:basedOn w:val="50"/>
    <w:link w:val="29"/>
    <w:qFormat/>
    <w:uiPriority w:val="0"/>
    <w:rPr>
      <w:rFonts w:ascii="仿宋_GB2312" w:eastAsia="仿宋_GB2312"/>
      <w:kern w:val="2"/>
      <w:sz w:val="28"/>
      <w:szCs w:val="28"/>
      <w:lang w:val="zh-CN"/>
    </w:rPr>
  </w:style>
  <w:style w:type="character" w:customStyle="1" w:styleId="142">
    <w:name w:val=" Char Char2"/>
    <w:basedOn w:val="50"/>
    <w:qFormat/>
    <w:uiPriority w:val="0"/>
    <w:rPr>
      <w:rFonts w:ascii="宋体" w:hAnsi="Courier New" w:eastAsia="宋体"/>
      <w:sz w:val="21"/>
      <w:lang w:val="en-US" w:eastAsia="zh-CN" w:bidi="ar-SA"/>
    </w:rPr>
  </w:style>
  <w:style w:type="character" w:customStyle="1" w:styleId="143">
    <w:name w:val=" Char Char5"/>
    <w:basedOn w:val="50"/>
    <w:link w:val="32"/>
    <w:qFormat/>
    <w:locked/>
    <w:uiPriority w:val="99"/>
    <w:rPr>
      <w:rFonts w:eastAsia="宋体"/>
      <w:kern w:val="2"/>
      <w:sz w:val="18"/>
      <w:szCs w:val="18"/>
      <w:lang w:val="en-US" w:eastAsia="zh-CN" w:bidi="ar-SA"/>
    </w:rPr>
  </w:style>
  <w:style w:type="character" w:customStyle="1" w:styleId="144">
    <w:name w:val=" Char Char23"/>
    <w:basedOn w:val="50"/>
    <w:link w:val="4"/>
    <w:qFormat/>
    <w:uiPriority w:val="0"/>
    <w:rPr>
      <w:rFonts w:ascii="Arial" w:hAnsi="Arial" w:eastAsia="黑体"/>
      <w:b/>
      <w:bCs/>
      <w:kern w:val="2"/>
      <w:sz w:val="32"/>
      <w:szCs w:val="32"/>
    </w:rPr>
  </w:style>
  <w:style w:type="character" w:customStyle="1" w:styleId="145">
    <w:name w:val="正文缩进 Char1"/>
    <w:link w:val="84"/>
    <w:qFormat/>
    <w:locked/>
    <w:uiPriority w:val="0"/>
    <w:rPr>
      <w:rFonts w:ascii="Calibri" w:hAnsi="Calibri" w:eastAsia="宋体"/>
      <w:kern w:val="2"/>
      <w:sz w:val="21"/>
      <w:szCs w:val="22"/>
      <w:lang w:val="en-US" w:eastAsia="zh-CN" w:bidi="ar-SA"/>
    </w:rPr>
  </w:style>
  <w:style w:type="character" w:customStyle="1" w:styleId="146">
    <w:name w:val="Char Char2"/>
    <w:basedOn w:val="50"/>
    <w:qFormat/>
    <w:uiPriority w:val="0"/>
    <w:rPr>
      <w:rFonts w:hint="eastAsia" w:ascii="宋体" w:hAnsi="Courier New" w:eastAsia="宋体"/>
      <w:sz w:val="21"/>
      <w:lang w:val="en-US" w:eastAsia="zh-CN" w:bidi="ar-SA"/>
    </w:rPr>
  </w:style>
  <w:style w:type="character" w:customStyle="1" w:styleId="147">
    <w:name w:val=" Char Char21"/>
    <w:basedOn w:val="50"/>
    <w:link w:val="6"/>
    <w:qFormat/>
    <w:uiPriority w:val="99"/>
    <w:rPr>
      <w:rFonts w:ascii="Arial" w:hAnsi="Arial" w:eastAsia="黑体"/>
      <w:b/>
      <w:bCs/>
      <w:kern w:val="2"/>
      <w:sz w:val="32"/>
      <w:szCs w:val="32"/>
    </w:rPr>
  </w:style>
  <w:style w:type="table" w:customStyle="1" w:styleId="148">
    <w:name w:val="网格表 5 深色 - 着色 11"/>
    <w:qFormat/>
    <w:uiPriority w:val="99"/>
    <w:pPr>
      <w:jc w:val="center"/>
    </w:pPr>
    <w:rPr>
      <w:lang w:val="en-US" w:eastAsia="zh-CN" w:bidi="ar-SA"/>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style>
  <w:style w:type="character" w:customStyle="1" w:styleId="149">
    <w:name w:val="NormalCharacter"/>
    <w:qFormat/>
    <w:uiPriority w:val="0"/>
  </w:style>
  <w:style w:type="paragraph" w:customStyle="1" w:styleId="150">
    <w:name w:val="BodyText"/>
    <w:basedOn w:val="1"/>
    <w:next w:val="151"/>
    <w:qFormat/>
    <w:uiPriority w:val="0"/>
    <w:pPr>
      <w:widowControl/>
      <w:spacing w:after="120"/>
      <w:textAlignment w:val="baseline"/>
    </w:pPr>
    <w:rPr>
      <w:rFonts w:ascii="宋体" w:hAnsi="宋体"/>
    </w:rPr>
  </w:style>
  <w:style w:type="paragraph" w:customStyle="1" w:styleId="151">
    <w:name w:val="BodyText1I"/>
    <w:basedOn w:val="150"/>
    <w:next w:val="152"/>
    <w:qFormat/>
    <w:uiPriority w:val="0"/>
    <w:pPr>
      <w:ind w:firstLine="100" w:firstLineChars="100"/>
    </w:pPr>
  </w:style>
  <w:style w:type="paragraph" w:customStyle="1" w:styleId="152">
    <w:name w:val="TOC6"/>
    <w:basedOn w:val="1"/>
    <w:next w:val="1"/>
    <w:qFormat/>
    <w:uiPriority w:val="0"/>
    <w:pPr>
      <w:spacing w:line="240" w:lineRule="auto"/>
      <w:ind w:left="2100" w:leftChars="1000"/>
      <w:jc w:val="both"/>
      <w:textAlignment w:val="baseline"/>
    </w:pPr>
    <w:rPr>
      <w:rFonts w:ascii="Calibri" w:hAnsi="Calibri" w:eastAsia="宋体"/>
      <w:kern w:val="2"/>
      <w:sz w:val="21"/>
      <w:szCs w:val="22"/>
      <w:lang w:val="en-US" w:eastAsia="zh-CN" w:bidi="ar-SA"/>
    </w:rPr>
  </w:style>
  <w:style w:type="paragraph" w:customStyle="1" w:styleId="153">
    <w:name w:val="UserStyle_42"/>
    <w:basedOn w:val="1"/>
    <w:qFormat/>
    <w:uiPriority w:val="0"/>
    <w:pPr>
      <w:widowControl/>
      <w:jc w:val="center"/>
      <w:textAlignment w:val="baseline"/>
    </w:pPr>
    <w:rPr>
      <w:rFonts w:ascii="Arial" w:hAnsi="Arial"/>
      <w:szCs w:val="22"/>
    </w:rPr>
  </w:style>
  <w:style w:type="paragraph" w:customStyle="1" w:styleId="154">
    <w:name w:val="UserStyle_6"/>
    <w:basedOn w:val="1"/>
    <w:next w:val="150"/>
    <w:qFormat/>
    <w:uiPriority w:val="0"/>
    <w:pPr>
      <w:widowControl/>
      <w:spacing w:line="420" w:lineRule="atLeast"/>
      <w:jc w:val="left"/>
      <w:textAlignment w:val="baseline"/>
    </w:pPr>
    <w:rPr>
      <w:rFonts w:ascii="Calibri" w:hAnsi="Calibri"/>
      <w:kern w:val="0"/>
    </w:rPr>
  </w:style>
  <w:style w:type="paragraph" w:customStyle="1" w:styleId="155">
    <w:name w:val="UserStyle_114"/>
    <w:qFormat/>
    <w:uiPriority w:val="0"/>
    <w:pPr>
      <w:textAlignment w:val="baseline"/>
    </w:pPr>
    <w:rPr>
      <w:rFonts w:ascii="等线" w:hAnsi="等线" w:eastAsia="宋体" w:cs="Times New Roman"/>
      <w:sz w:val="22"/>
      <w:szCs w:val="22"/>
      <w:lang w:val="en-US" w:eastAsia="en-US" w:bidi="ar-SA"/>
    </w:rPr>
  </w:style>
  <w:style w:type="paragraph" w:customStyle="1" w:styleId="156">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table" w:customStyle="1" w:styleId="15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58">
    <w:name w:val="表格"/>
    <w:basedOn w:val="1"/>
    <w:qFormat/>
    <w:uiPriority w:val="0"/>
    <w:pPr>
      <w:widowControl/>
      <w:jc w:val="left"/>
    </w:pPr>
    <w:rPr>
      <w:rFonts w:ascii="Calibri" w:hAnsi="Calibri"/>
      <w:kern w:val="0"/>
      <w:sz w:val="18"/>
      <w:szCs w:val="20"/>
    </w:rPr>
  </w:style>
  <w:style w:type="paragraph" w:customStyle="1" w:styleId="159">
    <w:name w:val="列出段落11"/>
    <w:basedOn w:val="1"/>
    <w:qFormat/>
    <w:uiPriority w:val="99"/>
    <w:pPr>
      <w:ind w:firstLine="420" w:firstLineChars="200"/>
    </w:pPr>
    <w:rPr>
      <w:rFonts w:ascii="Calibri" w:hAnsi="Calibri"/>
    </w:rPr>
  </w:style>
  <w:style w:type="character" w:customStyle="1" w:styleId="160">
    <w:name w:val="font31"/>
    <w:basedOn w:val="50"/>
    <w:qFormat/>
    <w:uiPriority w:val="0"/>
    <w:rPr>
      <w:rFonts w:hint="eastAsia" w:ascii="宋体" w:hAnsi="宋体" w:eastAsia="宋体" w:cs="宋体"/>
      <w:color w:val="000000"/>
      <w:sz w:val="24"/>
      <w:szCs w:val="24"/>
      <w:u w:val="none"/>
    </w:rPr>
  </w:style>
  <w:style w:type="character" w:customStyle="1" w:styleId="161">
    <w:name w:val="font41"/>
    <w:basedOn w:val="50"/>
    <w:qFormat/>
    <w:uiPriority w:val="0"/>
    <w:rPr>
      <w:rFonts w:hint="eastAsia" w:ascii="宋体" w:hAnsi="宋体" w:eastAsia="宋体" w:cs="宋体"/>
      <w:color w:val="000000"/>
      <w:sz w:val="24"/>
      <w:szCs w:val="24"/>
      <w:u w:val="none"/>
      <w:vertAlign w:val="superscript"/>
    </w:rPr>
  </w:style>
  <w:style w:type="paragraph" w:customStyle="1" w:styleId="162">
    <w:name w:val="[Normal]"/>
    <w:qFormat/>
    <w:uiPriority w:val="0"/>
    <w:rPr>
      <w:rFonts w:ascii="宋体" w:hAnsi="宋体" w:eastAsia="宋体" w:cs="Times New Roman"/>
      <w:sz w:val="24"/>
      <w:szCs w:val="22"/>
      <w:lang w:val="zh-CN" w:eastAsia="zh-CN" w:bidi="ar-SA"/>
    </w:rPr>
  </w:style>
  <w:style w:type="paragraph" w:customStyle="1" w:styleId="163">
    <w:name w:val="首行缩进"/>
    <w:basedOn w:val="1"/>
    <w:qFormat/>
    <w:uiPriority w:val="0"/>
    <w:pPr>
      <w:ind w:firstLine="480" w:firstLineChars="200"/>
    </w:pPr>
    <w:rPr>
      <w:rFonts w:ascii="宋体" w:hAnsi="宋体" w:cs="宋体"/>
      <w:kern w:val="0"/>
      <w:sz w:val="24"/>
    </w:rPr>
  </w:style>
  <w:style w:type="paragraph" w:customStyle="1" w:styleId="164">
    <w:name w:val="_Style 7"/>
    <w:basedOn w:val="20"/>
    <w:next w:val="46"/>
    <w:qFormat/>
    <w:uiPriority w:val="99"/>
    <w:pPr>
      <w:spacing w:line="360" w:lineRule="auto"/>
      <w:ind w:firstLine="420" w:firstLineChars="100"/>
    </w:pPr>
  </w:style>
  <w:style w:type="paragraph" w:customStyle="1" w:styleId="165">
    <w:name w:val="标准中文版式_正文"/>
    <w:basedOn w:val="1"/>
    <w:qFormat/>
    <w:uiPriority w:val="0"/>
    <w:pPr>
      <w:spacing w:before="30" w:line="360" w:lineRule="auto"/>
      <w:ind w:firstLineChars="200"/>
    </w:pPr>
    <w:rPr>
      <w:rFonts w:ascii="Arial" w:hAnsi="Arial"/>
      <w:sz w:val="24"/>
      <w:szCs w:val="24"/>
    </w:rPr>
  </w:style>
  <w:style w:type="paragraph" w:customStyle="1" w:styleId="166">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167">
    <w:name w:val="Body text|1"/>
    <w:basedOn w:val="1"/>
    <w:qFormat/>
    <w:uiPriority w:val="0"/>
    <w:pPr>
      <w:widowControl w:val="0"/>
      <w:shd w:val="clear" w:color="auto" w:fill="auto"/>
      <w:spacing w:line="415" w:lineRule="auto"/>
      <w:ind w:firstLine="400"/>
    </w:pPr>
    <w:rPr>
      <w:rFonts w:ascii="宋体" w:hAnsi="宋体" w:eastAsia="宋体" w:cs="宋体"/>
      <w:sz w:val="22"/>
      <w:szCs w:val="22"/>
      <w:u w:val="none"/>
      <w:shd w:val="clear" w:color="auto" w:fill="auto"/>
      <w:lang w:val="zh-TW" w:eastAsia="zh-TW" w:bidi="zh-TW"/>
    </w:rPr>
  </w:style>
  <w:style w:type="table" w:customStyle="1" w:styleId="168">
    <w:name w:val="网格型2"/>
    <w:basedOn w:val="48"/>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样式 表格正文 + 两端对齐"/>
    <w:basedOn w:val="1"/>
    <w:next w:val="57"/>
    <w:qFormat/>
    <w:uiPriority w:val="0"/>
    <w:pPr>
      <w:spacing w:line="300" w:lineRule="auto"/>
    </w:pPr>
    <w:rPr>
      <w:rFonts w:ascii="Times New Roman"/>
      <w:sz w:val="24"/>
    </w:rPr>
  </w:style>
  <w:style w:type="paragraph" w:customStyle="1" w:styleId="170">
    <w:name w:val="_Style 3"/>
    <w:next w:val="1"/>
    <w:qFormat/>
    <w:uiPriority w:val="99"/>
    <w:pPr>
      <w:widowControl w:val="0"/>
      <w:spacing w:after="160" w:line="259" w:lineRule="auto"/>
      <w:jc w:val="both"/>
    </w:pPr>
    <w:rPr>
      <w:rFonts w:ascii="Calibri" w:hAnsi="Calibri" w:eastAsia="宋体" w:cs="Times New Roman"/>
      <w:kern w:val="2"/>
      <w:sz w:val="21"/>
      <w:szCs w:val="22"/>
      <w:lang w:val="en-US" w:eastAsia="zh-CN" w:bidi="ar-SA"/>
    </w:rPr>
  </w:style>
  <w:style w:type="paragraph" w:customStyle="1" w:styleId="171">
    <w:name w:val="PlainText"/>
    <w:basedOn w:val="1"/>
    <w:next w:val="1"/>
    <w:qFormat/>
    <w:uiPriority w:val="0"/>
    <w:pPr>
      <w:jc w:val="left"/>
    </w:pPr>
    <w:rPr>
      <w:rFonts w:ascii="宋体" w:hAnsi="Courier New"/>
    </w:rPr>
  </w:style>
  <w:style w:type="character" w:customStyle="1" w:styleId="172">
    <w:name w:val="15"/>
    <w:basedOn w:val="50"/>
    <w:qFormat/>
    <w:uiPriority w:val="0"/>
    <w:rPr>
      <w:rFonts w:hint="default" w:ascii="Calibri" w:hAnsi="Calibri" w:eastAsia="宋体" w:cs="Times New Roman"/>
      <w:kern w:val="2"/>
      <w:sz w:val="21"/>
      <w:szCs w:val="21"/>
    </w:rPr>
  </w:style>
  <w:style w:type="paragraph" w:customStyle="1" w:styleId="1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74">
    <w:name w:val="!表格正文"/>
    <w:basedOn w:val="1"/>
    <w:qFormat/>
    <w:uiPriority w:val="0"/>
    <w:pPr>
      <w:tabs>
        <w:tab w:val="left" w:pos="210"/>
      </w:tabs>
      <w:spacing w:line="432" w:lineRule="auto"/>
      <w:ind w:firstLine="0" w:firstLineChars="0"/>
      <w:jc w:val="center"/>
    </w:pPr>
    <w:rPr>
      <w:rFonts w:ascii="Calibri" w:hAnsi="Calibri"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cszs</Company>
  <Pages>53</Pages>
  <Words>32129</Words>
  <Characters>34006</Characters>
  <Lines>372</Lines>
  <Paragraphs>104</Paragraphs>
  <TotalTime>19</TotalTime>
  <ScaleCrop>false</ScaleCrop>
  <LinksUpToDate>false</LinksUpToDate>
  <CharactersWithSpaces>35785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2018-07-30T11:42:00Z</dcterms:created>
  <dc:creator>姚剑</dc:creator>
  <cp:lastModifiedBy>xx</cp:lastModifiedBy>
  <cp:lastPrinted>2025-06-05T12:13:00Z</cp:lastPrinted>
  <dcterms:modified xsi:type="dcterms:W3CDTF">2025-06-24T01:18:10Z</dcterms:modified>
  <dc:title>政府采购招标文件</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3E7AE13C8F8A489C8B728FF4149181D9_13</vt:lpwstr>
  </property>
  <property fmtid="{D5CDD505-2E9C-101B-9397-08002B2CF9AE}" pid="4" name="KSOTemplateDocerSaveRecord">
    <vt:lpwstr>eyJoZGlkIjoiYjEzNGE0OWY1NDY1NjRmZWU0M2IwMDU2ODVlYWZjYTMiLCJ1c2VySWQiOiI0NzY3NTU5NjgifQ==</vt:lpwstr>
  </property>
</Properties>
</file>