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7"/>
      </w:tblGrid>
      <w:tr w14:paraId="4F34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0" w:hRule="atLeast"/>
        </w:trPr>
        <w:tc>
          <w:tcPr>
            <w:tcW w:w="9827" w:type="dxa"/>
          </w:tcPr>
          <w:p w14:paraId="1CF2A59B">
            <w:pPr>
              <w:spacing w:line="460" w:lineRule="atLeast"/>
              <w:jc w:val="center"/>
              <w:rPr>
                <w:rFonts w:ascii="宋体" w:hAnsi="宋体"/>
                <w:b/>
                <w:color w:val="auto"/>
                <w:sz w:val="36"/>
                <w:highlight w:val="none"/>
              </w:rPr>
            </w:pPr>
          </w:p>
          <w:p w14:paraId="111B7271">
            <w:pPr>
              <w:spacing w:line="460" w:lineRule="atLeast"/>
              <w:jc w:val="center"/>
              <w:rPr>
                <w:rFonts w:ascii="宋体" w:hAnsi="宋体"/>
                <w:b/>
                <w:color w:val="auto"/>
                <w:sz w:val="36"/>
                <w:highlight w:val="none"/>
              </w:rPr>
            </w:pPr>
          </w:p>
          <w:p w14:paraId="4304C7CA">
            <w:pPr>
              <w:spacing w:line="460" w:lineRule="atLeast"/>
              <w:jc w:val="center"/>
              <w:rPr>
                <w:rFonts w:hint="eastAsia" w:ascii="宋体" w:hAnsi="宋体"/>
                <w:b/>
                <w:color w:val="auto"/>
                <w:sz w:val="66"/>
                <w:szCs w:val="66"/>
                <w:highlight w:val="none"/>
                <w:lang w:val="en-US" w:eastAsia="zh-CN"/>
              </w:rPr>
            </w:pPr>
            <w:r>
              <w:rPr>
                <w:rFonts w:hint="eastAsia" w:ascii="宋体" w:hAnsi="宋体"/>
                <w:b/>
                <w:color w:val="auto"/>
                <w:sz w:val="66"/>
                <w:szCs w:val="66"/>
                <w:highlight w:val="none"/>
                <w:lang w:val="en-US" w:eastAsia="zh-CN"/>
              </w:rPr>
              <w:t>龙 港 市 非 政 府 采 购</w:t>
            </w:r>
          </w:p>
          <w:p w14:paraId="125467F0">
            <w:pPr>
              <w:spacing w:line="460" w:lineRule="atLeast"/>
              <w:jc w:val="center"/>
              <w:rPr>
                <w:rFonts w:hint="eastAsia" w:ascii="宋体" w:hAnsi="宋体" w:eastAsia="宋体"/>
                <w:b/>
                <w:color w:val="auto"/>
                <w:sz w:val="66"/>
                <w:szCs w:val="66"/>
                <w:highlight w:val="none"/>
                <w:lang w:val="en-US" w:eastAsia="zh-CN"/>
              </w:rPr>
            </w:pPr>
            <w:r>
              <w:rPr>
                <w:rFonts w:hint="eastAsia" w:ascii="宋体" w:hAnsi="宋体"/>
                <w:b/>
                <w:color w:val="auto"/>
                <w:sz w:val="66"/>
                <w:szCs w:val="66"/>
                <w:highlight w:val="none"/>
                <w:lang w:val="en-US" w:eastAsia="zh-CN"/>
              </w:rPr>
              <w:t>竞争性谈判文件</w:t>
            </w:r>
          </w:p>
          <w:p w14:paraId="16717D88">
            <w:pPr>
              <w:spacing w:line="460" w:lineRule="atLeast"/>
              <w:jc w:val="center"/>
              <w:rPr>
                <w:rFonts w:ascii="宋体" w:hAnsi="宋体"/>
                <w:b/>
                <w:color w:val="auto"/>
                <w:sz w:val="66"/>
                <w:szCs w:val="66"/>
                <w:highlight w:val="none"/>
              </w:rPr>
            </w:pPr>
          </w:p>
          <w:p w14:paraId="4341A18E">
            <w:pPr>
              <w:spacing w:line="460" w:lineRule="atLeast"/>
              <w:ind w:firstLine="2232" w:firstLineChars="741"/>
              <w:rPr>
                <w:rFonts w:ascii="宋体" w:hAnsi="宋体"/>
                <w:b/>
                <w:color w:val="auto"/>
                <w:sz w:val="30"/>
                <w:szCs w:val="30"/>
                <w:highlight w:val="none"/>
              </w:rPr>
            </w:pPr>
          </w:p>
          <w:p w14:paraId="4655E9DA">
            <w:pPr>
              <w:spacing w:line="460" w:lineRule="atLeast"/>
              <w:ind w:left="3295" w:leftChars="852" w:hanging="1506" w:hangingChars="500"/>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龙港市宏程小学精品录播系统采购项目</w:t>
            </w:r>
          </w:p>
          <w:p w14:paraId="4B9EA104">
            <w:pPr>
              <w:spacing w:line="460" w:lineRule="atLeast"/>
              <w:ind w:firstLine="1807" w:firstLineChars="600"/>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采购编号：</w:t>
            </w:r>
            <w:r>
              <w:rPr>
                <w:rFonts w:hint="eastAsia" w:ascii="宋体" w:hAnsi="宋体"/>
                <w:b/>
                <w:color w:val="auto"/>
                <w:sz w:val="30"/>
                <w:szCs w:val="30"/>
                <w:highlight w:val="none"/>
                <w:lang w:val="en-US" w:eastAsia="zh-CN"/>
              </w:rPr>
              <w:t>WZDX-2025-LG001</w:t>
            </w:r>
          </w:p>
          <w:p w14:paraId="668A497C">
            <w:pPr>
              <w:spacing w:line="460" w:lineRule="atLeast"/>
              <w:jc w:val="center"/>
              <w:rPr>
                <w:rFonts w:ascii="宋体" w:hAnsi="宋体"/>
                <w:b/>
                <w:color w:val="auto"/>
                <w:sz w:val="28"/>
                <w:szCs w:val="30"/>
                <w:highlight w:val="none"/>
              </w:rPr>
            </w:pPr>
          </w:p>
          <w:p w14:paraId="1CA3021B">
            <w:pPr>
              <w:spacing w:line="460" w:lineRule="atLeast"/>
              <w:jc w:val="center"/>
              <w:rPr>
                <w:rFonts w:ascii="宋体" w:hAnsi="宋体"/>
                <w:b/>
                <w:color w:val="auto"/>
                <w:sz w:val="30"/>
                <w:szCs w:val="30"/>
                <w:highlight w:val="none"/>
              </w:rPr>
            </w:pPr>
          </w:p>
          <w:p w14:paraId="139DD8FA">
            <w:pPr>
              <w:spacing w:line="460" w:lineRule="atLeast"/>
              <w:ind w:firstLine="1807" w:firstLineChars="600"/>
              <w:rPr>
                <w:rFonts w:hint="eastAsia" w:ascii="宋体" w:hAnsi="宋体"/>
                <w:b/>
                <w:color w:val="auto"/>
                <w:sz w:val="30"/>
                <w:szCs w:val="30"/>
                <w:highlight w:val="none"/>
              </w:rPr>
            </w:pPr>
            <w:r>
              <w:rPr>
                <w:rFonts w:hint="eastAsia" w:ascii="宋体" w:hAnsi="宋体"/>
                <w:b/>
                <w:color w:val="auto"/>
                <w:sz w:val="30"/>
                <w:szCs w:val="30"/>
                <w:highlight w:val="none"/>
              </w:rPr>
              <w:t>采 购 人：苍南中工建设开发有限公司</w:t>
            </w:r>
          </w:p>
          <w:p w14:paraId="10B123C2">
            <w:pPr>
              <w:spacing w:line="460" w:lineRule="atLeast"/>
              <w:ind w:firstLine="1807" w:firstLineChars="600"/>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eastAsia="zh-CN"/>
              </w:rPr>
              <w:t>吴女士</w:t>
            </w:r>
          </w:p>
          <w:p w14:paraId="5832D66D">
            <w:pPr>
              <w:pStyle w:val="5"/>
              <w:ind w:firstLine="1807" w:firstLineChars="600"/>
              <w:jc w:val="both"/>
              <w:rPr>
                <w:rFonts w:hint="default"/>
                <w:color w:val="auto"/>
                <w:highlight w:val="none"/>
                <w:lang w:val="en-US"/>
              </w:rPr>
            </w:pPr>
            <w:r>
              <w:rPr>
                <w:rFonts w:hint="eastAsia" w:ascii="宋体" w:hAnsi="宋体"/>
                <w:b/>
                <w:color w:val="auto"/>
                <w:sz w:val="30"/>
                <w:szCs w:val="30"/>
                <w:highlight w:val="none"/>
                <w:lang w:val="en-US" w:eastAsia="zh-CN"/>
              </w:rPr>
              <w:t>联系电话：</w:t>
            </w:r>
            <w:r>
              <w:rPr>
                <w:rFonts w:hint="eastAsia" w:ascii="宋体" w:hAnsi="宋体" w:cs="Times New Roman"/>
                <w:b/>
                <w:color w:val="auto"/>
                <w:kern w:val="2"/>
                <w:sz w:val="30"/>
                <w:szCs w:val="30"/>
                <w:highlight w:val="none"/>
                <w:lang w:val="en-US" w:eastAsia="zh-CN" w:bidi="ar-SA"/>
              </w:rPr>
              <w:t>17855811382</w:t>
            </w:r>
          </w:p>
          <w:p w14:paraId="60DAD5C7">
            <w:pPr>
              <w:pStyle w:val="37"/>
              <w:rPr>
                <w:color w:val="auto"/>
                <w:highlight w:val="none"/>
              </w:rPr>
            </w:pPr>
          </w:p>
          <w:p w14:paraId="7FE97769">
            <w:pPr>
              <w:pStyle w:val="37"/>
              <w:rPr>
                <w:color w:val="auto"/>
                <w:highlight w:val="none"/>
              </w:rPr>
            </w:pPr>
          </w:p>
          <w:p w14:paraId="079A1A62">
            <w:pPr>
              <w:pStyle w:val="37"/>
              <w:rPr>
                <w:color w:val="auto"/>
                <w:highlight w:val="none"/>
              </w:rPr>
            </w:pPr>
          </w:p>
          <w:p w14:paraId="624CE428">
            <w:pPr>
              <w:pStyle w:val="37"/>
              <w:rPr>
                <w:color w:val="auto"/>
                <w:highlight w:val="none"/>
              </w:rPr>
            </w:pPr>
          </w:p>
          <w:p w14:paraId="38650D2D">
            <w:pPr>
              <w:pStyle w:val="37"/>
              <w:rPr>
                <w:color w:val="auto"/>
                <w:highlight w:val="none"/>
              </w:rPr>
            </w:pPr>
          </w:p>
          <w:p w14:paraId="76A588A2">
            <w:pPr>
              <w:spacing w:line="460" w:lineRule="atLeast"/>
              <w:ind w:firstLine="1807" w:firstLineChars="6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代理机构：</w:t>
            </w:r>
            <w:r>
              <w:rPr>
                <w:rFonts w:hint="eastAsia" w:ascii="宋体" w:hAnsi="宋体"/>
                <w:b/>
                <w:color w:val="auto"/>
                <w:sz w:val="30"/>
                <w:szCs w:val="30"/>
                <w:highlight w:val="none"/>
                <w:lang w:eastAsia="zh-CN"/>
              </w:rPr>
              <w:t>温州市鼎信工程管理咨询有限公司</w:t>
            </w:r>
          </w:p>
          <w:p w14:paraId="4BACE9E9">
            <w:pPr>
              <w:spacing w:line="460" w:lineRule="atLeast"/>
              <w:ind w:firstLine="1807" w:firstLineChars="600"/>
              <w:rPr>
                <w:rFonts w:hint="default" w:ascii="宋体" w:hAnsi="宋体"/>
                <w:b/>
                <w:color w:val="auto"/>
                <w:sz w:val="30"/>
                <w:szCs w:val="30"/>
                <w:highlight w:val="none"/>
                <w:lang w:val="en-US"/>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eastAsia="zh-CN"/>
              </w:rPr>
              <w:t>罗女士、</w:t>
            </w:r>
            <w:r>
              <w:rPr>
                <w:rFonts w:hint="eastAsia" w:ascii="宋体" w:hAnsi="宋体"/>
                <w:b/>
                <w:color w:val="auto"/>
                <w:sz w:val="30"/>
                <w:szCs w:val="30"/>
                <w:highlight w:val="none"/>
                <w:lang w:val="en-US" w:eastAsia="zh-CN"/>
              </w:rPr>
              <w:t>陈先生</w:t>
            </w:r>
          </w:p>
          <w:p w14:paraId="6ED29B3E">
            <w:pPr>
              <w:spacing w:line="460" w:lineRule="atLeast"/>
              <w:ind w:firstLine="1807" w:firstLineChars="600"/>
              <w:rPr>
                <w:rFonts w:hint="eastAsia" w:ascii="宋体" w:hAnsi="宋体" w:cs="Times New Roman"/>
                <w:b/>
                <w:color w:val="auto"/>
                <w:sz w:val="30"/>
                <w:szCs w:val="30"/>
                <w:highlight w:val="none"/>
                <w:lang w:val="en-US" w:eastAsia="zh-CN"/>
              </w:rPr>
            </w:pPr>
            <w:r>
              <w:rPr>
                <w:rFonts w:hint="eastAsia" w:ascii="宋体" w:hAnsi="宋体"/>
                <w:b/>
                <w:color w:val="auto"/>
                <w:sz w:val="30"/>
                <w:szCs w:val="30"/>
                <w:highlight w:val="none"/>
              </w:rPr>
              <w:t>联系电话：</w:t>
            </w:r>
            <w:r>
              <w:rPr>
                <w:rFonts w:hint="eastAsia" w:ascii="宋体" w:hAnsi="宋体" w:cs="Times New Roman"/>
                <w:b/>
                <w:color w:val="auto"/>
                <w:sz w:val="30"/>
                <w:szCs w:val="30"/>
                <w:highlight w:val="none"/>
                <w:lang w:val="en-US" w:eastAsia="zh-CN"/>
              </w:rPr>
              <w:t>13758785870；18267833829</w:t>
            </w:r>
          </w:p>
          <w:p w14:paraId="0CC2DDA7">
            <w:pPr>
              <w:pStyle w:val="2"/>
              <w:rPr>
                <w:rFonts w:hint="eastAsia" w:ascii="宋体" w:hAnsi="宋体" w:cs="Times New Roman"/>
                <w:b/>
                <w:color w:val="auto"/>
                <w:sz w:val="30"/>
                <w:szCs w:val="30"/>
                <w:highlight w:val="none"/>
                <w:lang w:val="en-US" w:eastAsia="zh-CN"/>
              </w:rPr>
            </w:pPr>
          </w:p>
          <w:p w14:paraId="33342499">
            <w:pPr>
              <w:pStyle w:val="3"/>
              <w:rPr>
                <w:rFonts w:hint="eastAsia"/>
                <w:color w:val="auto"/>
                <w:highlight w:val="none"/>
                <w:lang w:val="en-US" w:eastAsia="zh-CN"/>
              </w:rPr>
            </w:pPr>
          </w:p>
          <w:p w14:paraId="10CA9330">
            <w:pPr>
              <w:spacing w:line="460" w:lineRule="atLeast"/>
              <w:ind w:firstLine="1807" w:firstLineChars="600"/>
              <w:rPr>
                <w:rFonts w:hint="eastAsia" w:ascii="宋体" w:hAnsi="宋体" w:eastAsia="宋体" w:cs="Times New Roman"/>
                <w:b/>
                <w:color w:val="auto"/>
                <w:sz w:val="30"/>
                <w:szCs w:val="30"/>
                <w:highlight w:val="none"/>
                <w:lang w:val="en-US" w:eastAsia="zh-CN"/>
              </w:rPr>
            </w:pPr>
            <w:bookmarkStart w:id="0" w:name="_Toc29838"/>
          </w:p>
          <w:p w14:paraId="58222FF1">
            <w:pPr>
              <w:spacing w:line="460" w:lineRule="atLeast"/>
              <w:ind w:firstLine="1807" w:firstLineChars="600"/>
              <w:rPr>
                <w:rFonts w:hint="eastAsia" w:ascii="宋体" w:hAnsi="宋体" w:eastAsia="宋体" w:cs="Times New Roman"/>
                <w:b/>
                <w:color w:val="auto"/>
                <w:sz w:val="30"/>
                <w:szCs w:val="30"/>
                <w:highlight w:val="none"/>
                <w:lang w:val="en-US" w:eastAsia="zh-CN"/>
              </w:rPr>
            </w:pPr>
          </w:p>
          <w:p w14:paraId="495DE33B">
            <w:pPr>
              <w:spacing w:line="460" w:lineRule="atLeast"/>
              <w:ind w:firstLine="2711" w:firstLineChars="900"/>
              <w:jc w:val="both"/>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lang w:val="en-US" w:eastAsia="zh-CN"/>
              </w:rPr>
              <w:t>监督机构</w:t>
            </w:r>
            <w:r>
              <w:rPr>
                <w:rFonts w:hint="eastAsia" w:ascii="宋体" w:hAnsi="宋体" w:eastAsia="宋体" w:cs="Times New Roman"/>
                <w:b/>
                <w:color w:val="auto"/>
                <w:sz w:val="30"/>
                <w:szCs w:val="30"/>
                <w:highlight w:val="none"/>
                <w:lang w:eastAsia="zh-CN"/>
              </w:rPr>
              <w:t>：</w:t>
            </w:r>
            <w:bookmarkEnd w:id="0"/>
            <w:r>
              <w:rPr>
                <w:rFonts w:hint="eastAsia" w:ascii="宋体" w:hAnsi="宋体" w:eastAsia="宋体" w:cs="Times New Roman"/>
                <w:b/>
                <w:color w:val="auto"/>
                <w:sz w:val="30"/>
                <w:szCs w:val="30"/>
                <w:highlight w:val="none"/>
                <w:lang w:val="en-US" w:eastAsia="zh-CN"/>
              </w:rPr>
              <w:t>龙港市宏程小学</w:t>
            </w:r>
          </w:p>
          <w:p w14:paraId="4B574922">
            <w:pPr>
              <w:pStyle w:val="2"/>
              <w:rPr>
                <w:rFonts w:hint="eastAsia"/>
                <w:color w:val="auto"/>
                <w:highlight w:val="none"/>
                <w:lang w:val="en-US" w:eastAsia="zh-CN"/>
              </w:rPr>
            </w:pPr>
          </w:p>
          <w:p w14:paraId="0C83108E">
            <w:pPr>
              <w:spacing w:line="460" w:lineRule="atLeast"/>
              <w:ind w:firstLine="1807" w:firstLineChars="600"/>
              <w:rPr>
                <w:rFonts w:hint="default" w:ascii="宋体" w:hAnsi="宋体" w:eastAsia="宋体"/>
                <w:b/>
                <w:color w:val="auto"/>
                <w:sz w:val="30"/>
                <w:szCs w:val="30"/>
                <w:highlight w:val="none"/>
                <w:lang w:val="en-US" w:eastAsia="zh-CN"/>
              </w:rPr>
            </w:pPr>
          </w:p>
          <w:p w14:paraId="216FFA35">
            <w:pPr>
              <w:pStyle w:val="31"/>
              <w:spacing w:line="460" w:lineRule="atLeast"/>
              <w:ind w:left="0" w:leftChars="0" w:firstLine="3654" w:firstLineChars="1300"/>
              <w:jc w:val="both"/>
              <w:rPr>
                <w:rFonts w:hint="eastAsia" w:ascii="宋体" w:hAnsi="宋体" w:eastAsia="宋体"/>
                <w:b/>
                <w:color w:val="auto"/>
                <w:sz w:val="84"/>
                <w:highlight w:val="none"/>
                <w:lang w:eastAsia="zh-CN"/>
              </w:rPr>
            </w:pPr>
            <w:r>
              <w:rPr>
                <w:rFonts w:hint="eastAsia" w:ascii="宋体" w:hAnsi="宋体"/>
                <w:b/>
                <w:color w:val="auto"/>
                <w:sz w:val="28"/>
                <w:szCs w:val="28"/>
                <w:highlight w:val="none"/>
              </w:rPr>
              <w:t>二○</w:t>
            </w:r>
            <w:r>
              <w:rPr>
                <w:rFonts w:hint="eastAsia" w:ascii="宋体" w:hAnsi="宋体"/>
                <w:b/>
                <w:color w:val="auto"/>
                <w:sz w:val="28"/>
                <w:szCs w:val="28"/>
                <w:highlight w:val="none"/>
                <w:lang w:val="en-US" w:eastAsia="zh-CN"/>
              </w:rPr>
              <w:t>二五</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六</w:t>
            </w:r>
            <w:r>
              <w:rPr>
                <w:rFonts w:hint="eastAsia" w:ascii="宋体" w:hAnsi="宋体"/>
                <w:b/>
                <w:color w:val="auto"/>
                <w:sz w:val="28"/>
                <w:szCs w:val="28"/>
                <w:highlight w:val="none"/>
                <w:lang w:eastAsia="zh-CN"/>
              </w:rPr>
              <w:t>月</w:t>
            </w:r>
          </w:p>
        </w:tc>
      </w:tr>
    </w:tbl>
    <w:p w14:paraId="1C981FA3">
      <w:pPr>
        <w:autoSpaceDE w:val="0"/>
        <w:autoSpaceDN w:val="0"/>
        <w:adjustRightInd w:val="0"/>
        <w:spacing w:line="440" w:lineRule="atLeast"/>
        <w:jc w:val="center"/>
        <w:rPr>
          <w:rFonts w:hint="eastAsia" w:ascii="宋体" w:hAnsi="宋体" w:cs="仿宋_GB2312"/>
          <w:bCs/>
          <w:color w:val="auto"/>
          <w:sz w:val="36"/>
          <w:szCs w:val="36"/>
          <w:highlight w:val="none"/>
          <w:lang w:val="zh-CN"/>
        </w:rPr>
        <w:sectPr>
          <w:headerReference r:id="rId4" w:type="first"/>
          <w:footerReference r:id="rId7" w:type="first"/>
          <w:headerReference r:id="rId3" w:type="default"/>
          <w:footerReference r:id="rId5" w:type="default"/>
          <w:footerReference r:id="rId6" w:type="even"/>
          <w:pgSz w:w="11907" w:h="16840"/>
          <w:pgMar w:top="1440" w:right="1440" w:bottom="1440" w:left="1440" w:header="720" w:footer="720" w:gutter="0"/>
          <w:pgNumType w:start="0"/>
          <w:cols w:space="720" w:num="1"/>
          <w:titlePg/>
          <w:docGrid w:linePitch="286" w:charSpace="-3831"/>
        </w:sectPr>
      </w:pPr>
    </w:p>
    <w:p w14:paraId="477245AD">
      <w:pPr>
        <w:autoSpaceDE w:val="0"/>
        <w:autoSpaceDN w:val="0"/>
        <w:adjustRightInd w:val="0"/>
        <w:spacing w:line="440" w:lineRule="atLeast"/>
        <w:jc w:val="center"/>
        <w:rPr>
          <w:rFonts w:ascii="宋体" w:hAnsi="宋体" w:cs="仿宋_GB2312"/>
          <w:bCs/>
          <w:color w:val="auto"/>
          <w:highlight w:val="none"/>
          <w:lang w:val="zh-CN"/>
        </w:rPr>
      </w:pPr>
      <w:r>
        <w:rPr>
          <w:rFonts w:hint="eastAsia" w:ascii="宋体" w:hAnsi="宋体" w:cs="仿宋_GB2312"/>
          <w:bCs/>
          <w:color w:val="auto"/>
          <w:sz w:val="36"/>
          <w:szCs w:val="36"/>
          <w:highlight w:val="none"/>
          <w:lang w:val="zh-CN"/>
        </w:rPr>
        <w:t>竞争性谈判文件目录</w:t>
      </w:r>
    </w:p>
    <w:p w14:paraId="511B69D6">
      <w:pPr>
        <w:autoSpaceDE w:val="0"/>
        <w:autoSpaceDN w:val="0"/>
        <w:adjustRightInd w:val="0"/>
        <w:spacing w:line="460" w:lineRule="atLeast"/>
        <w:rPr>
          <w:rFonts w:ascii="宋体" w:hAnsi="宋体"/>
          <w:b/>
          <w:color w:val="auto"/>
          <w:sz w:val="24"/>
          <w:highlight w:val="none"/>
          <w:lang w:val="zh-CN"/>
        </w:rPr>
      </w:pPr>
    </w:p>
    <w:p w14:paraId="1CE01F7F">
      <w:pPr>
        <w:autoSpaceDE w:val="0"/>
        <w:autoSpaceDN w:val="0"/>
        <w:adjustRightInd w:val="0"/>
        <w:spacing w:line="560" w:lineRule="exact"/>
        <w:ind w:firstLine="840" w:firstLineChars="350"/>
        <w:rPr>
          <w:rFonts w:ascii="宋体" w:hAnsi="宋体"/>
          <w:color w:val="auto"/>
          <w:sz w:val="24"/>
          <w:highlight w:val="none"/>
          <w:lang w:val="zh-CN"/>
        </w:rPr>
      </w:pPr>
      <w:r>
        <w:rPr>
          <w:rFonts w:hint="eastAsia" w:ascii="宋体" w:hAnsi="宋体"/>
          <w:color w:val="auto"/>
          <w:sz w:val="24"/>
          <w:highlight w:val="none"/>
          <w:lang w:val="zh-CN"/>
        </w:rPr>
        <w:t>竞争性谈判采购公告</w:t>
      </w:r>
    </w:p>
    <w:p w14:paraId="54164329">
      <w:pPr>
        <w:autoSpaceDE w:val="0"/>
        <w:autoSpaceDN w:val="0"/>
        <w:adjustRightInd w:val="0"/>
        <w:spacing w:line="560" w:lineRule="exact"/>
        <w:ind w:firstLine="840" w:firstLineChars="350"/>
        <w:rPr>
          <w:rFonts w:ascii="宋体" w:hAnsi="宋体"/>
          <w:color w:val="auto"/>
          <w:sz w:val="24"/>
          <w:highlight w:val="none"/>
          <w:lang w:val="zh-CN"/>
        </w:rPr>
      </w:pPr>
      <w:r>
        <w:rPr>
          <w:rFonts w:ascii="宋体" w:hAnsi="宋体"/>
          <w:color w:val="auto"/>
          <w:sz w:val="24"/>
          <w:highlight w:val="none"/>
          <w:lang w:val="zh-CN"/>
        </w:rPr>
        <w:t>第一部分</w:t>
      </w:r>
      <w:r>
        <w:rPr>
          <w:rFonts w:hint="eastAsia" w:ascii="宋体" w:hAnsi="宋体"/>
          <w:color w:val="auto"/>
          <w:sz w:val="24"/>
          <w:highlight w:val="none"/>
          <w:lang w:val="zh-CN"/>
        </w:rPr>
        <w:t xml:space="preserve">   谈判邀请函（供应商须知前附表）</w:t>
      </w:r>
    </w:p>
    <w:p w14:paraId="5CBE73B2">
      <w:pPr>
        <w:autoSpaceDE w:val="0"/>
        <w:autoSpaceDN w:val="0"/>
        <w:adjustRightInd w:val="0"/>
        <w:spacing w:line="560" w:lineRule="exact"/>
        <w:ind w:firstLine="840" w:firstLineChars="350"/>
        <w:rPr>
          <w:rFonts w:ascii="宋体" w:hAnsi="宋体"/>
          <w:color w:val="auto"/>
          <w:sz w:val="24"/>
          <w:highlight w:val="none"/>
          <w:lang w:val="zh-CN"/>
        </w:rPr>
      </w:pPr>
      <w:r>
        <w:rPr>
          <w:rFonts w:hint="eastAsia" w:ascii="宋体" w:hAnsi="宋体"/>
          <w:color w:val="auto"/>
          <w:sz w:val="24"/>
          <w:highlight w:val="none"/>
          <w:lang w:val="zh-CN"/>
        </w:rPr>
        <w:t>第二部分   采购内容及要求</w:t>
      </w:r>
    </w:p>
    <w:p w14:paraId="30A83311">
      <w:pPr>
        <w:autoSpaceDE w:val="0"/>
        <w:autoSpaceDN w:val="0"/>
        <w:adjustRightInd w:val="0"/>
        <w:spacing w:line="560" w:lineRule="exact"/>
        <w:ind w:firstLine="840" w:firstLineChars="350"/>
        <w:rPr>
          <w:rFonts w:ascii="宋体" w:hAnsi="宋体"/>
          <w:color w:val="auto"/>
          <w:sz w:val="24"/>
          <w:highlight w:val="none"/>
          <w:lang w:val="zh-CN"/>
        </w:rPr>
      </w:pPr>
      <w:r>
        <w:rPr>
          <w:rFonts w:hint="eastAsia" w:ascii="宋体" w:hAnsi="宋体"/>
          <w:color w:val="auto"/>
          <w:sz w:val="24"/>
          <w:highlight w:val="none"/>
          <w:lang w:val="zh-CN"/>
        </w:rPr>
        <w:t>第三部分   供应商须知</w:t>
      </w:r>
    </w:p>
    <w:p w14:paraId="31EB26A1">
      <w:pPr>
        <w:autoSpaceDE w:val="0"/>
        <w:autoSpaceDN w:val="0"/>
        <w:adjustRightInd w:val="0"/>
        <w:spacing w:line="560" w:lineRule="exact"/>
        <w:ind w:firstLine="840" w:firstLineChars="350"/>
        <w:rPr>
          <w:rFonts w:ascii="宋体" w:hAnsi="宋体"/>
          <w:color w:val="auto"/>
          <w:sz w:val="24"/>
          <w:highlight w:val="none"/>
          <w:lang w:val="zh-CN"/>
        </w:rPr>
      </w:pPr>
      <w:r>
        <w:rPr>
          <w:rFonts w:hint="eastAsia" w:ascii="宋体" w:hAnsi="宋体"/>
          <w:color w:val="auto"/>
          <w:sz w:val="24"/>
          <w:highlight w:val="none"/>
          <w:lang w:val="zh-CN"/>
        </w:rPr>
        <w:t>第四部分   政府采购政策功能相关说明</w:t>
      </w:r>
    </w:p>
    <w:p w14:paraId="23A3DE92">
      <w:pPr>
        <w:autoSpaceDE w:val="0"/>
        <w:autoSpaceDN w:val="0"/>
        <w:adjustRightInd w:val="0"/>
        <w:spacing w:line="560" w:lineRule="exact"/>
        <w:ind w:firstLine="840" w:firstLineChars="350"/>
        <w:rPr>
          <w:rFonts w:ascii="宋体" w:hAnsi="宋体"/>
          <w:color w:val="auto"/>
          <w:sz w:val="24"/>
          <w:highlight w:val="none"/>
          <w:lang w:val="zh-CN"/>
        </w:rPr>
      </w:pPr>
      <w:r>
        <w:rPr>
          <w:rFonts w:ascii="宋体" w:hAnsi="宋体"/>
          <w:color w:val="auto"/>
          <w:sz w:val="24"/>
          <w:highlight w:val="none"/>
          <w:lang w:val="zh-CN"/>
        </w:rPr>
        <w:t>第五部分</w:t>
      </w:r>
      <w:r>
        <w:rPr>
          <w:rFonts w:hint="eastAsia" w:ascii="宋体" w:hAnsi="宋体"/>
          <w:color w:val="auto"/>
          <w:sz w:val="24"/>
          <w:highlight w:val="none"/>
          <w:lang w:val="zh-CN"/>
        </w:rPr>
        <w:t xml:space="preserve">   合同格式</w:t>
      </w:r>
    </w:p>
    <w:p w14:paraId="6DFB77D0">
      <w:pPr>
        <w:autoSpaceDE w:val="0"/>
        <w:autoSpaceDN w:val="0"/>
        <w:adjustRightInd w:val="0"/>
        <w:spacing w:line="560" w:lineRule="exact"/>
        <w:ind w:firstLine="840" w:firstLineChars="350"/>
        <w:rPr>
          <w:rFonts w:ascii="宋体" w:hAnsi="宋体"/>
          <w:color w:val="auto"/>
          <w:sz w:val="24"/>
          <w:highlight w:val="none"/>
          <w:lang w:val="zh-CN"/>
        </w:rPr>
      </w:pPr>
      <w:r>
        <w:rPr>
          <w:rFonts w:hint="eastAsia" w:ascii="宋体" w:hAnsi="宋体"/>
          <w:color w:val="auto"/>
          <w:sz w:val="24"/>
          <w:highlight w:val="none"/>
          <w:lang w:val="zh-CN"/>
        </w:rPr>
        <w:t>第六部分   响应文件格式</w:t>
      </w:r>
    </w:p>
    <w:p w14:paraId="46EADB93">
      <w:pPr>
        <w:autoSpaceDE w:val="0"/>
        <w:autoSpaceDN w:val="0"/>
        <w:adjustRightInd w:val="0"/>
        <w:spacing w:line="560" w:lineRule="exact"/>
        <w:ind w:firstLine="840" w:firstLineChars="350"/>
        <w:rPr>
          <w:rFonts w:ascii="宋体" w:hAnsi="宋体"/>
          <w:color w:val="auto"/>
          <w:sz w:val="24"/>
          <w:highlight w:val="none"/>
          <w:lang w:val="zh-CN"/>
        </w:rPr>
      </w:pPr>
      <w:r>
        <w:rPr>
          <w:rFonts w:hint="eastAsia" w:ascii="宋体" w:hAnsi="宋体"/>
          <w:color w:val="auto"/>
          <w:sz w:val="24"/>
          <w:highlight w:val="none"/>
          <w:lang w:val="zh-CN"/>
        </w:rPr>
        <w:t>第七部分   评审办法</w:t>
      </w:r>
    </w:p>
    <w:p w14:paraId="5A003A04">
      <w:pPr>
        <w:widowControl/>
        <w:spacing w:line="360" w:lineRule="atLeast"/>
        <w:jc w:val="center"/>
        <w:rPr>
          <w:rFonts w:ascii="宋体" w:hAnsi="宋体" w:cs="宋体"/>
          <w:bCs/>
          <w:color w:val="auto"/>
          <w:spacing w:val="15"/>
          <w:sz w:val="32"/>
          <w:szCs w:val="32"/>
          <w:highlight w:val="none"/>
        </w:rPr>
      </w:pPr>
    </w:p>
    <w:p w14:paraId="1D87CFA6">
      <w:pPr>
        <w:widowControl/>
        <w:spacing w:line="360" w:lineRule="atLeast"/>
        <w:jc w:val="center"/>
        <w:rPr>
          <w:rFonts w:ascii="宋体" w:hAnsi="宋体" w:cs="宋体"/>
          <w:bCs/>
          <w:color w:val="auto"/>
          <w:spacing w:val="15"/>
          <w:sz w:val="32"/>
          <w:szCs w:val="32"/>
          <w:highlight w:val="none"/>
        </w:rPr>
      </w:pPr>
    </w:p>
    <w:p w14:paraId="4179CD62">
      <w:pPr>
        <w:widowControl/>
        <w:spacing w:line="400" w:lineRule="exact"/>
        <w:ind w:firstLine="479" w:firstLineChars="199"/>
        <w:rPr>
          <w:rFonts w:ascii="宋体" w:hAnsi="宋体"/>
          <w:b/>
          <w:color w:val="auto"/>
          <w:sz w:val="24"/>
          <w:highlight w:val="none"/>
        </w:rPr>
      </w:pPr>
      <w:r>
        <w:rPr>
          <w:rFonts w:hint="eastAsia" w:ascii="宋体" w:hAnsi="宋体"/>
          <w:b/>
          <w:color w:val="auto"/>
          <w:sz w:val="24"/>
          <w:highlight w:val="none"/>
        </w:rPr>
        <w:t>注：竞争性谈判文件中有的条款及要求以加粗、加下划线或符号</w:t>
      </w:r>
      <w:r>
        <w:rPr>
          <w:rFonts w:hint="eastAsia" w:ascii="宋体"/>
          <w:color w:val="auto"/>
          <w:sz w:val="22"/>
          <w:szCs w:val="22"/>
          <w:highlight w:val="none"/>
        </w:rPr>
        <w:t>▲、★、</w:t>
      </w:r>
      <w:r>
        <w:rPr>
          <w:rFonts w:hint="eastAsia" w:ascii="宋体" w:hAnsi="宋体"/>
          <w:b/>
          <w:color w:val="auto"/>
          <w:sz w:val="30"/>
          <w:szCs w:val="30"/>
          <w:highlight w:val="none"/>
        </w:rPr>
        <w:t>*</w:t>
      </w:r>
      <w:r>
        <w:rPr>
          <w:rFonts w:hint="eastAsia" w:ascii="宋体" w:hAnsi="宋体"/>
          <w:b/>
          <w:color w:val="auto"/>
          <w:sz w:val="24"/>
          <w:highlight w:val="none"/>
        </w:rPr>
        <w:t>的形式强调，这些特别强调的条款及内容有些是重要条款，供应商对重要条款的响应程度将作为评审工作的主要依据之一。</w:t>
      </w:r>
    </w:p>
    <w:p w14:paraId="4F93B9D5">
      <w:pPr>
        <w:spacing w:afterLines="50" w:line="440" w:lineRule="exact"/>
        <w:jc w:val="center"/>
        <w:rPr>
          <w:rFonts w:ascii="宋体" w:hAnsi="宋体"/>
          <w:b/>
          <w:color w:val="auto"/>
          <w:sz w:val="30"/>
          <w:szCs w:val="30"/>
          <w:highlight w:val="none"/>
        </w:rPr>
        <w:sectPr>
          <w:footerReference r:id="rId9" w:type="first"/>
          <w:footerReference r:id="rId8" w:type="default"/>
          <w:pgSz w:w="11907" w:h="16840"/>
          <w:pgMar w:top="1440" w:right="1440" w:bottom="1440" w:left="1440" w:header="720" w:footer="720" w:gutter="0"/>
          <w:pgNumType w:fmt="decimal" w:start="1"/>
          <w:cols w:space="720" w:num="1"/>
          <w:titlePg/>
          <w:docGrid w:linePitch="286" w:charSpace="-3831"/>
        </w:sectPr>
      </w:pPr>
    </w:p>
    <w:p w14:paraId="0C9A6DE1">
      <w:pPr>
        <w:spacing w:afterLines="50" w:line="440" w:lineRule="exact"/>
        <w:jc w:val="center"/>
        <w:rPr>
          <w:rFonts w:ascii="宋体" w:hAnsi="宋体"/>
          <w:b/>
          <w:color w:val="auto"/>
          <w:sz w:val="30"/>
          <w:szCs w:val="30"/>
          <w:highlight w:val="none"/>
        </w:rPr>
      </w:pPr>
      <w:r>
        <w:rPr>
          <w:rFonts w:hint="eastAsia" w:ascii="宋体" w:hAnsi="宋体"/>
          <w:b/>
          <w:color w:val="auto"/>
          <w:sz w:val="30"/>
          <w:szCs w:val="30"/>
          <w:highlight w:val="none"/>
          <w:lang w:eastAsia="zh-CN"/>
        </w:rPr>
        <w:t>温州市鼎信工程管理咨询有限公司</w:t>
      </w:r>
      <w:r>
        <w:rPr>
          <w:rFonts w:hint="eastAsia" w:ascii="宋体" w:hAnsi="宋体"/>
          <w:b/>
          <w:color w:val="auto"/>
          <w:sz w:val="30"/>
          <w:szCs w:val="30"/>
          <w:highlight w:val="none"/>
        </w:rPr>
        <w:t>关于</w:t>
      </w:r>
      <w:r>
        <w:rPr>
          <w:rFonts w:hint="eastAsia" w:ascii="宋体" w:hAnsi="宋体"/>
          <w:b/>
          <w:color w:val="auto"/>
          <w:sz w:val="30"/>
          <w:szCs w:val="30"/>
          <w:highlight w:val="none"/>
          <w:lang w:eastAsia="zh-CN"/>
        </w:rPr>
        <w:t>龙港市宏程小学精品录播系统采购项目</w:t>
      </w:r>
      <w:r>
        <w:rPr>
          <w:rFonts w:hint="eastAsia" w:ascii="宋体" w:hAnsi="宋体"/>
          <w:b/>
          <w:color w:val="auto"/>
          <w:sz w:val="30"/>
          <w:szCs w:val="30"/>
          <w:highlight w:val="none"/>
        </w:rPr>
        <w:t>的竞争性谈判公告</w:t>
      </w:r>
    </w:p>
    <w:p w14:paraId="37346B27">
      <w:pPr>
        <w:pBdr>
          <w:top w:val="single" w:color="auto" w:sz="4" w:space="1"/>
          <w:left w:val="single" w:color="auto" w:sz="4" w:space="4"/>
          <w:bottom w:val="single" w:color="auto" w:sz="4" w:space="1"/>
          <w:right w:val="single" w:color="auto" w:sz="4" w:space="4"/>
        </w:pBdr>
        <w:spacing w:line="460" w:lineRule="exact"/>
        <w:rPr>
          <w:rFonts w:ascii="宋体" w:hAnsi="宋体"/>
          <w:color w:val="auto"/>
          <w:sz w:val="22"/>
          <w:szCs w:val="22"/>
          <w:highlight w:val="none"/>
        </w:rPr>
      </w:pPr>
      <w:bookmarkStart w:id="16" w:name="_GoBack"/>
      <w:r>
        <w:rPr>
          <w:rFonts w:hint="eastAsia" w:ascii="宋体" w:hAnsi="宋体"/>
          <w:color w:val="auto"/>
          <w:sz w:val="22"/>
          <w:szCs w:val="22"/>
          <w:highlight w:val="none"/>
        </w:rPr>
        <w:t>项目概况</w:t>
      </w:r>
    </w:p>
    <w:p w14:paraId="5ED676B4">
      <w:pPr>
        <w:pBdr>
          <w:top w:val="single" w:color="auto" w:sz="4" w:space="1"/>
          <w:left w:val="single" w:color="auto" w:sz="4" w:space="4"/>
          <w:bottom w:val="single" w:color="auto" w:sz="4" w:space="1"/>
          <w:right w:val="single" w:color="auto" w:sz="4" w:space="4"/>
        </w:pBdr>
        <w:spacing w:line="460" w:lineRule="exact"/>
        <w:ind w:firstLine="440" w:firstLineChars="200"/>
        <w:rPr>
          <w:rFonts w:ascii="宋体" w:hAnsi="宋体"/>
          <w:bCs/>
          <w:color w:val="auto"/>
          <w:sz w:val="22"/>
          <w:szCs w:val="22"/>
          <w:highlight w:val="none"/>
        </w:rPr>
      </w:pPr>
      <w:r>
        <w:rPr>
          <w:rFonts w:hint="eastAsia" w:ascii="宋体" w:hAnsi="宋体"/>
          <w:color w:val="auto"/>
          <w:sz w:val="22"/>
          <w:szCs w:val="22"/>
          <w:highlight w:val="none"/>
          <w:lang w:eastAsia="zh-CN"/>
        </w:rPr>
        <w:t>龙港市宏程小学精品录播系统采购项目</w:t>
      </w:r>
      <w:r>
        <w:rPr>
          <w:rFonts w:hint="eastAsia" w:ascii="宋体" w:hAnsi="宋体"/>
          <w:color w:val="auto"/>
          <w:sz w:val="22"/>
          <w:szCs w:val="22"/>
          <w:highlight w:val="none"/>
        </w:rPr>
        <w:t>的</w:t>
      </w:r>
      <w:r>
        <w:rPr>
          <w:rFonts w:hint="eastAsia" w:ascii="宋体" w:hAnsi="宋体"/>
          <w:color w:val="auto"/>
          <w:sz w:val="22"/>
          <w:szCs w:val="22"/>
          <w:highlight w:val="none"/>
          <w:lang w:eastAsia="zh-CN"/>
        </w:rPr>
        <w:t>应邀供应商需前往温州市鼎信工程管理咨询有限公司（龙港市龙港大道西三街路口广电大厦11B）领取</w:t>
      </w:r>
      <w:r>
        <w:rPr>
          <w:rFonts w:hint="eastAsia" w:ascii="宋体" w:hAnsi="宋体"/>
          <w:color w:val="auto"/>
          <w:sz w:val="22"/>
          <w:szCs w:val="22"/>
          <w:highlight w:val="none"/>
        </w:rPr>
        <w:t>采购文件，并于</w:t>
      </w:r>
      <w:r>
        <w:rPr>
          <w:rFonts w:hint="eastAsia" w:ascii="宋体" w:hAnsi="宋体"/>
          <w:color w:val="auto"/>
          <w:sz w:val="22"/>
          <w:szCs w:val="22"/>
          <w:highlight w:val="none"/>
          <w:lang w:val="en-US" w:eastAsia="zh-CN"/>
        </w:rPr>
        <w:t>2025</w:t>
      </w:r>
      <w:r>
        <w:rPr>
          <w:rFonts w:hint="eastAsia" w:ascii="宋体" w:hAnsi="宋体"/>
          <w:color w:val="auto"/>
          <w:sz w:val="22"/>
          <w:szCs w:val="22"/>
          <w:highlight w:val="none"/>
          <w:lang w:eastAsia="zh-CN"/>
        </w:rPr>
        <w:t>年</w:t>
      </w:r>
      <w:r>
        <w:rPr>
          <w:rFonts w:hint="eastAsia" w:ascii="宋体" w:hAnsi="宋体"/>
          <w:color w:val="auto"/>
          <w:sz w:val="22"/>
          <w:szCs w:val="22"/>
          <w:highlight w:val="none"/>
          <w:lang w:val="en-US" w:eastAsia="zh-CN"/>
        </w:rPr>
        <w:t>07</w:t>
      </w:r>
      <w:r>
        <w:rPr>
          <w:rFonts w:hint="eastAsia" w:ascii="宋体" w:hAnsi="宋体"/>
          <w:color w:val="auto"/>
          <w:sz w:val="22"/>
          <w:szCs w:val="22"/>
          <w:highlight w:val="none"/>
          <w:lang w:eastAsia="zh-CN"/>
        </w:rPr>
        <w:t>月</w:t>
      </w:r>
      <w:r>
        <w:rPr>
          <w:rFonts w:hint="eastAsia" w:ascii="宋体" w:hAnsi="宋体"/>
          <w:color w:val="auto"/>
          <w:sz w:val="22"/>
          <w:szCs w:val="22"/>
          <w:highlight w:val="none"/>
          <w:lang w:val="en-US" w:eastAsia="zh-CN"/>
        </w:rPr>
        <w:t>07</w:t>
      </w:r>
      <w:r>
        <w:rPr>
          <w:rFonts w:hint="eastAsia" w:ascii="宋体" w:hAnsi="宋体"/>
          <w:color w:val="auto"/>
          <w:sz w:val="22"/>
          <w:szCs w:val="22"/>
          <w:highlight w:val="none"/>
          <w:lang w:eastAsia="zh-CN"/>
        </w:rPr>
        <w:t>日14:30</w:t>
      </w:r>
      <w:r>
        <w:rPr>
          <w:rFonts w:hint="eastAsia" w:ascii="宋体" w:hAnsi="宋体"/>
          <w:color w:val="auto"/>
          <w:sz w:val="22"/>
          <w:szCs w:val="22"/>
          <w:highlight w:val="none"/>
        </w:rPr>
        <w:t>（</w:t>
      </w:r>
      <w:r>
        <w:rPr>
          <w:rFonts w:hint="eastAsia" w:ascii="宋体" w:hAnsi="宋体"/>
          <w:bCs/>
          <w:color w:val="auto"/>
          <w:sz w:val="22"/>
          <w:szCs w:val="22"/>
          <w:highlight w:val="none"/>
        </w:rPr>
        <w:t>北京时间）前</w:t>
      </w:r>
      <w:r>
        <w:rPr>
          <w:rFonts w:ascii="仿宋" w:hAnsi="仿宋"/>
          <w:color w:val="auto"/>
          <w:sz w:val="23"/>
          <w:szCs w:val="23"/>
          <w:highlight w:val="none"/>
        </w:rPr>
        <w:t>提交（上传）响应文件。</w:t>
      </w:r>
    </w:p>
    <w:p w14:paraId="57DBA43D">
      <w:pPr>
        <w:spacing w:line="460" w:lineRule="exact"/>
        <w:rPr>
          <w:rFonts w:ascii="宋体" w:hAnsi="宋体"/>
          <w:b/>
          <w:color w:val="auto"/>
          <w:sz w:val="22"/>
          <w:szCs w:val="22"/>
          <w:highlight w:val="none"/>
        </w:rPr>
      </w:pPr>
      <w:r>
        <w:rPr>
          <w:rFonts w:hint="eastAsia" w:ascii="宋体" w:hAnsi="宋体"/>
          <w:b/>
          <w:color w:val="auto"/>
          <w:sz w:val="22"/>
          <w:szCs w:val="22"/>
          <w:highlight w:val="none"/>
        </w:rPr>
        <w:t>一、项目基本情况</w:t>
      </w:r>
    </w:p>
    <w:p w14:paraId="4D89A29B">
      <w:pPr>
        <w:pStyle w:val="37"/>
        <w:spacing w:line="460" w:lineRule="exact"/>
        <w:ind w:firstLine="440" w:firstLineChars="200"/>
        <w:rPr>
          <w:rFonts w:hint="eastAsia" w:ascii="宋体" w:hAnsi="宋体" w:eastAsia="宋体" w:cs="Times New Roman"/>
          <w:color w:val="auto"/>
          <w:sz w:val="22"/>
          <w:szCs w:val="22"/>
          <w:highlight w:val="none"/>
          <w:lang w:eastAsia="zh-CN"/>
        </w:rPr>
      </w:pPr>
      <w:r>
        <w:rPr>
          <w:rFonts w:hint="eastAsia" w:ascii="宋体" w:hAnsi="宋体"/>
          <w:color w:val="auto"/>
          <w:sz w:val="22"/>
          <w:szCs w:val="22"/>
          <w:highlight w:val="none"/>
        </w:rPr>
        <w:t>项目编号：</w:t>
      </w:r>
      <w:r>
        <w:rPr>
          <w:rFonts w:hint="eastAsia" w:ascii="宋体" w:hAnsi="宋体" w:cs="Times New Roman"/>
          <w:color w:val="auto"/>
          <w:sz w:val="22"/>
          <w:szCs w:val="22"/>
          <w:highlight w:val="none"/>
          <w:lang w:val="en-US" w:eastAsia="zh-CN"/>
        </w:rPr>
        <w:t>WZDX-2025-LG001</w:t>
      </w:r>
    </w:p>
    <w:p w14:paraId="28AEBA51">
      <w:pPr>
        <w:pStyle w:val="37"/>
        <w:spacing w:line="460" w:lineRule="exact"/>
        <w:rPr>
          <w:rFonts w:hint="eastAsia" w:ascii="宋体" w:hAnsi="宋体" w:eastAsia="宋体"/>
          <w:color w:val="auto"/>
          <w:sz w:val="22"/>
          <w:szCs w:val="22"/>
          <w:highlight w:val="none"/>
          <w:lang w:eastAsia="zh-CN"/>
        </w:rPr>
      </w:pPr>
      <w:r>
        <w:rPr>
          <w:rFonts w:hint="eastAsia" w:ascii="宋体" w:hAnsi="宋体" w:eastAsia="宋体" w:cs="Times New Roman"/>
          <w:color w:val="auto"/>
          <w:sz w:val="22"/>
          <w:szCs w:val="22"/>
          <w:highlight w:val="none"/>
          <w:lang w:eastAsia="zh-CN"/>
        </w:rPr>
        <w:t xml:space="preserve">    项目名称：</w:t>
      </w:r>
      <w:r>
        <w:rPr>
          <w:rFonts w:hint="eastAsia" w:ascii="宋体" w:hAnsi="宋体" w:cs="Times New Roman"/>
          <w:color w:val="auto"/>
          <w:sz w:val="22"/>
          <w:szCs w:val="22"/>
          <w:highlight w:val="none"/>
          <w:lang w:eastAsia="zh-CN"/>
        </w:rPr>
        <w:t>龙港市宏程小学精品录播系统采购项目</w:t>
      </w:r>
    </w:p>
    <w:p w14:paraId="08EAEBF6">
      <w:pPr>
        <w:pStyle w:val="37"/>
        <w:spacing w:line="460" w:lineRule="exact"/>
        <w:ind w:firstLine="435"/>
        <w:rPr>
          <w:rFonts w:ascii="宋体" w:hAnsi="宋体"/>
          <w:color w:val="auto"/>
          <w:sz w:val="22"/>
          <w:szCs w:val="22"/>
          <w:highlight w:val="none"/>
        </w:rPr>
      </w:pPr>
      <w:r>
        <w:rPr>
          <w:rFonts w:hint="eastAsia" w:ascii="宋体" w:hAnsi="宋体"/>
          <w:color w:val="auto"/>
          <w:sz w:val="22"/>
          <w:szCs w:val="22"/>
          <w:highlight w:val="none"/>
        </w:rPr>
        <w:t>采购方式：竞争性谈判</w:t>
      </w:r>
    </w:p>
    <w:p w14:paraId="090547C2">
      <w:pPr>
        <w:pStyle w:val="37"/>
        <w:spacing w:line="460" w:lineRule="exact"/>
        <w:ind w:firstLine="435"/>
        <w:rPr>
          <w:rFonts w:hint="default" w:ascii="宋体" w:hAnsi="宋体" w:eastAsia="宋体" w:cs="宋体"/>
          <w:color w:val="auto"/>
          <w:kern w:val="0"/>
          <w:sz w:val="22"/>
          <w:szCs w:val="22"/>
          <w:highlight w:val="none"/>
          <w:lang w:val="en-US" w:eastAsia="zh-CN"/>
        </w:rPr>
      </w:pPr>
      <w:r>
        <w:rPr>
          <w:rFonts w:ascii="宋体" w:hAnsi="宋体" w:cs="宋体"/>
          <w:color w:val="auto"/>
          <w:kern w:val="0"/>
          <w:sz w:val="22"/>
          <w:szCs w:val="22"/>
          <w:highlight w:val="none"/>
        </w:rPr>
        <w:t>预算金额（元</w:t>
      </w:r>
      <w:r>
        <w:rPr>
          <w:rFonts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200000</w:t>
      </w:r>
    </w:p>
    <w:p w14:paraId="0EDBCCA2">
      <w:pPr>
        <w:pStyle w:val="37"/>
        <w:spacing w:line="460" w:lineRule="exact"/>
        <w:ind w:firstLine="435"/>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最高限价（元）</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200000</w:t>
      </w:r>
    </w:p>
    <w:p w14:paraId="1BF450A0">
      <w:pPr>
        <w:pStyle w:val="37"/>
        <w:spacing w:line="460" w:lineRule="exact"/>
        <w:ind w:firstLine="435"/>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采购需求：</w:t>
      </w:r>
    </w:p>
    <w:p w14:paraId="419CF194">
      <w:pPr>
        <w:pStyle w:val="37"/>
        <w:spacing w:line="460" w:lineRule="exact"/>
        <w:ind w:firstLine="435"/>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标项一</w:t>
      </w:r>
    </w:p>
    <w:p w14:paraId="6FDEB47D">
      <w:pPr>
        <w:pStyle w:val="37"/>
        <w:spacing w:line="460" w:lineRule="exact"/>
        <w:ind w:firstLine="435"/>
        <w:rPr>
          <w:rFonts w:hint="eastAsia" w:ascii="宋体" w:hAnsi="宋体" w:eastAsia="宋体" w:cs="宋体"/>
          <w:color w:val="auto"/>
          <w:kern w:val="0"/>
          <w:sz w:val="22"/>
          <w:szCs w:val="22"/>
          <w:highlight w:val="none"/>
          <w:lang w:eastAsia="zh-CN"/>
        </w:rPr>
      </w:pPr>
      <w:r>
        <w:rPr>
          <w:rFonts w:ascii="宋体" w:hAnsi="宋体" w:eastAsia="宋体" w:cs="宋体"/>
          <w:color w:val="auto"/>
          <w:kern w:val="0"/>
          <w:sz w:val="22"/>
          <w:szCs w:val="22"/>
          <w:highlight w:val="none"/>
        </w:rPr>
        <w:t>标项名称:</w:t>
      </w:r>
      <w:r>
        <w:rPr>
          <w:rFonts w:hint="eastAsia" w:ascii="宋体" w:hAnsi="宋体" w:cs="宋体"/>
          <w:color w:val="auto"/>
          <w:kern w:val="0"/>
          <w:sz w:val="22"/>
          <w:szCs w:val="22"/>
          <w:highlight w:val="none"/>
          <w:lang w:eastAsia="zh-CN"/>
        </w:rPr>
        <w:t>龙港市宏程小学精品录播系统采购项目</w:t>
      </w:r>
    </w:p>
    <w:p w14:paraId="68FCC08F">
      <w:pPr>
        <w:pStyle w:val="37"/>
        <w:spacing w:line="460" w:lineRule="exact"/>
        <w:ind w:firstLine="435"/>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数量：1 </w:t>
      </w:r>
    </w:p>
    <w:p w14:paraId="6571D05E">
      <w:pPr>
        <w:pStyle w:val="37"/>
        <w:spacing w:line="460" w:lineRule="exact"/>
        <w:ind w:firstLine="435"/>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预算金额（元）：</w:t>
      </w:r>
      <w:r>
        <w:rPr>
          <w:rFonts w:hint="eastAsia" w:ascii="宋体" w:hAnsi="宋体" w:cs="宋体"/>
          <w:color w:val="auto"/>
          <w:kern w:val="0"/>
          <w:sz w:val="22"/>
          <w:szCs w:val="22"/>
          <w:highlight w:val="none"/>
          <w:lang w:val="en-US" w:eastAsia="zh-CN"/>
        </w:rPr>
        <w:t>200000（含税价，税率13%）</w:t>
      </w:r>
    </w:p>
    <w:p w14:paraId="315E76AB">
      <w:pPr>
        <w:pStyle w:val="37"/>
        <w:spacing w:line="460" w:lineRule="exact"/>
        <w:ind w:firstLine="435"/>
        <w:rPr>
          <w:rFonts w:ascii="宋体" w:hAnsi="宋体" w:cs="宋体"/>
          <w:color w:val="auto"/>
          <w:kern w:val="0"/>
          <w:sz w:val="22"/>
          <w:szCs w:val="22"/>
          <w:highlight w:val="none"/>
        </w:rPr>
      </w:pPr>
      <w:r>
        <w:rPr>
          <w:rFonts w:ascii="宋体" w:hAnsi="宋体" w:cs="宋体"/>
          <w:color w:val="auto"/>
          <w:kern w:val="0"/>
          <w:sz w:val="22"/>
          <w:szCs w:val="22"/>
          <w:highlight w:val="none"/>
        </w:rPr>
        <w:t>单位：</w:t>
      </w:r>
      <w:r>
        <w:rPr>
          <w:rFonts w:hint="eastAsia" w:ascii="宋体" w:hAnsi="宋体" w:cs="宋体"/>
          <w:color w:val="auto"/>
          <w:kern w:val="0"/>
          <w:sz w:val="22"/>
          <w:szCs w:val="22"/>
          <w:highlight w:val="none"/>
          <w:lang w:val="en-US" w:eastAsia="zh-CN"/>
        </w:rPr>
        <w:t>批</w:t>
      </w:r>
      <w:r>
        <w:rPr>
          <w:rFonts w:ascii="宋体" w:hAnsi="宋体" w:cs="宋体"/>
          <w:color w:val="auto"/>
          <w:kern w:val="0"/>
          <w:sz w:val="22"/>
          <w:szCs w:val="22"/>
          <w:highlight w:val="none"/>
        </w:rPr>
        <w:t> </w:t>
      </w:r>
    </w:p>
    <w:p w14:paraId="3DD64AEC">
      <w:pPr>
        <w:pStyle w:val="37"/>
        <w:spacing w:line="460" w:lineRule="exact"/>
        <w:ind w:firstLine="440" w:firstLineChars="200"/>
        <w:rPr>
          <w:rFonts w:ascii="宋体" w:hAnsi="宋体"/>
          <w:color w:val="auto"/>
          <w:sz w:val="22"/>
          <w:szCs w:val="22"/>
          <w:highlight w:val="none"/>
        </w:rPr>
      </w:pPr>
      <w:r>
        <w:rPr>
          <w:rFonts w:ascii="宋体" w:hAnsi="宋体" w:cs="宋体"/>
          <w:color w:val="auto"/>
          <w:kern w:val="0"/>
          <w:sz w:val="22"/>
          <w:szCs w:val="22"/>
          <w:highlight w:val="none"/>
        </w:rPr>
        <w:t>简要规格描</w:t>
      </w:r>
      <w:r>
        <w:rPr>
          <w:rFonts w:ascii="宋体" w:hAnsi="宋体"/>
          <w:color w:val="auto"/>
          <w:sz w:val="22"/>
          <w:szCs w:val="22"/>
          <w:highlight w:val="none"/>
        </w:rPr>
        <w:t>述或项目基本概况介绍、用途：</w:t>
      </w:r>
      <w:r>
        <w:rPr>
          <w:rFonts w:hint="eastAsia" w:ascii="宋体" w:hAnsi="宋体"/>
          <w:color w:val="auto"/>
          <w:sz w:val="22"/>
          <w:szCs w:val="22"/>
          <w:highlight w:val="none"/>
        </w:rPr>
        <w:t>龙港市宏程小学采购录播系统设备1批，具体数量规格详见竞争性谈判文件</w:t>
      </w:r>
      <w:r>
        <w:rPr>
          <w:rFonts w:hint="eastAsia" w:ascii="宋体" w:hAnsi="宋体" w:cs="宋体"/>
          <w:color w:val="auto"/>
          <w:kern w:val="0"/>
          <w:sz w:val="22"/>
          <w:szCs w:val="22"/>
          <w:highlight w:val="none"/>
        </w:rPr>
        <w:t>。</w:t>
      </w:r>
    </w:p>
    <w:p w14:paraId="7DC3EAAD">
      <w:pPr>
        <w:pStyle w:val="37"/>
        <w:spacing w:line="460" w:lineRule="exact"/>
        <w:ind w:firstLine="435"/>
        <w:rPr>
          <w:rFonts w:ascii="宋体"/>
          <w:color w:val="auto"/>
          <w:sz w:val="22"/>
          <w:szCs w:val="22"/>
          <w:highlight w:val="none"/>
        </w:rPr>
      </w:pPr>
      <w:r>
        <w:rPr>
          <w:rFonts w:ascii="宋体" w:hAnsi="宋体" w:cs="宋体"/>
          <w:color w:val="auto"/>
          <w:kern w:val="0"/>
          <w:sz w:val="22"/>
          <w:szCs w:val="22"/>
          <w:highlight w:val="none"/>
        </w:rPr>
        <w:t>备注：</w:t>
      </w:r>
    </w:p>
    <w:p w14:paraId="225396AD">
      <w:pPr>
        <w:snapToGrid w:val="0"/>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合同履行期限：</w:t>
      </w:r>
      <w:r>
        <w:rPr>
          <w:rFonts w:hint="eastAsia" w:ascii="宋体" w:hAnsi="宋体"/>
          <w:color w:val="auto"/>
          <w:sz w:val="22"/>
          <w:szCs w:val="22"/>
          <w:highlight w:val="none"/>
          <w:lang w:val="en-US" w:eastAsia="zh-CN"/>
        </w:rPr>
        <w:t>详</w:t>
      </w:r>
      <w:r>
        <w:rPr>
          <w:rFonts w:hint="eastAsia" w:ascii="宋体" w:hAnsi="宋体"/>
          <w:color w:val="auto"/>
          <w:sz w:val="22"/>
          <w:szCs w:val="22"/>
          <w:highlight w:val="none"/>
        </w:rPr>
        <w:t>见竞争性谈判文件。</w:t>
      </w:r>
    </w:p>
    <w:p w14:paraId="3E83F111">
      <w:pPr>
        <w:pStyle w:val="37"/>
        <w:spacing w:line="460" w:lineRule="exact"/>
        <w:ind w:firstLine="435"/>
        <w:rPr>
          <w:rFonts w:ascii="宋体" w:hAnsi="宋体"/>
          <w:color w:val="auto"/>
          <w:sz w:val="22"/>
          <w:szCs w:val="22"/>
          <w:highlight w:val="none"/>
        </w:rPr>
      </w:pPr>
      <w:r>
        <w:rPr>
          <w:rFonts w:ascii="宋体" w:hAnsi="宋体"/>
          <w:color w:val="auto"/>
          <w:sz w:val="22"/>
          <w:szCs w:val="22"/>
          <w:highlight w:val="none"/>
        </w:rPr>
        <w:t>本项目</w:t>
      </w:r>
      <w:r>
        <w:rPr>
          <w:rFonts w:hint="eastAsia" w:ascii="宋体" w:hAnsi="宋体"/>
          <w:color w:val="auto"/>
          <w:sz w:val="22"/>
          <w:szCs w:val="22"/>
          <w:highlight w:val="none"/>
        </w:rPr>
        <w:t>(否)</w:t>
      </w:r>
      <w:r>
        <w:rPr>
          <w:rFonts w:ascii="宋体" w:hAnsi="宋体"/>
          <w:color w:val="auto"/>
          <w:sz w:val="22"/>
          <w:szCs w:val="22"/>
          <w:highlight w:val="none"/>
        </w:rPr>
        <w:t>接受联合体投标。</w:t>
      </w:r>
    </w:p>
    <w:p w14:paraId="56CF8289">
      <w:pPr>
        <w:widowControl/>
        <w:shd w:val="clear" w:color="auto" w:fill="FFFFFF"/>
        <w:spacing w:line="460" w:lineRule="exact"/>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二、申请人的资格要求：</w:t>
      </w:r>
    </w:p>
    <w:p w14:paraId="2D6FFE05">
      <w:pPr>
        <w:widowControl/>
        <w:shd w:val="clear" w:color="auto" w:fill="FFFFFF"/>
        <w:spacing w:line="460" w:lineRule="exact"/>
        <w:ind w:firstLine="426"/>
        <w:rPr>
          <w:rFonts w:ascii="宋体" w:cs="宋体"/>
          <w:b/>
          <w:color w:val="auto"/>
          <w:sz w:val="22"/>
          <w:szCs w:val="22"/>
          <w:highlight w:val="none"/>
        </w:rPr>
      </w:pPr>
      <w:bookmarkStart w:id="1" w:name="_Toc32407"/>
      <w:r>
        <w:rPr>
          <w:rFonts w:ascii="宋体" w:cs="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1F73B8A">
      <w:pPr>
        <w:widowControl/>
        <w:shd w:val="clear" w:color="auto" w:fill="FFFFFF"/>
        <w:spacing w:line="460" w:lineRule="exact"/>
        <w:ind w:firstLine="426"/>
        <w:jc w:val="left"/>
        <w:rPr>
          <w:rFonts w:ascii="宋体" w:cs="宋体"/>
          <w:color w:val="auto"/>
          <w:sz w:val="22"/>
          <w:szCs w:val="22"/>
          <w:highlight w:val="none"/>
        </w:rPr>
      </w:pPr>
      <w:r>
        <w:rPr>
          <w:rFonts w:ascii="宋体" w:cs="宋体"/>
          <w:color w:val="auto"/>
          <w:sz w:val="22"/>
          <w:szCs w:val="22"/>
          <w:highlight w:val="none"/>
        </w:rPr>
        <w:t>2.落实政府采购政策需满足的资格要求：</w:t>
      </w:r>
      <w:r>
        <w:rPr>
          <w:rFonts w:hint="eastAsia" w:ascii="宋体" w:cs="宋体"/>
          <w:color w:val="auto"/>
          <w:sz w:val="22"/>
          <w:szCs w:val="22"/>
          <w:highlight w:val="none"/>
        </w:rPr>
        <w:t>无</w:t>
      </w:r>
      <w:r>
        <w:rPr>
          <w:rFonts w:ascii="宋体" w:cs="宋体"/>
          <w:color w:val="auto"/>
          <w:sz w:val="22"/>
          <w:szCs w:val="22"/>
          <w:highlight w:val="none"/>
        </w:rPr>
        <w:t> </w:t>
      </w:r>
    </w:p>
    <w:p w14:paraId="7716DA24">
      <w:pPr>
        <w:widowControl/>
        <w:shd w:val="clear" w:color="auto" w:fill="FFFFFF"/>
        <w:spacing w:line="460" w:lineRule="exact"/>
        <w:ind w:firstLine="426"/>
        <w:jc w:val="left"/>
        <w:rPr>
          <w:rFonts w:hint="eastAsia" w:ascii="宋体" w:cs="宋体"/>
          <w:b/>
          <w:bCs/>
          <w:color w:val="auto"/>
          <w:sz w:val="22"/>
          <w:szCs w:val="22"/>
          <w:highlight w:val="none"/>
          <w:lang w:val="en-US" w:eastAsia="zh-CN"/>
        </w:rPr>
      </w:pPr>
      <w:r>
        <w:rPr>
          <w:rFonts w:ascii="宋体" w:cs="宋体"/>
          <w:color w:val="auto"/>
          <w:sz w:val="22"/>
          <w:szCs w:val="22"/>
          <w:highlight w:val="none"/>
        </w:rPr>
        <w:t>3.本项目的特定资格要求：</w:t>
      </w:r>
      <w:r>
        <w:rPr>
          <w:rFonts w:hint="eastAsia" w:ascii="宋体" w:cs="宋体"/>
          <w:color w:val="auto"/>
          <w:sz w:val="22"/>
          <w:szCs w:val="22"/>
          <w:highlight w:val="none"/>
          <w:lang w:val="en-US" w:eastAsia="zh-CN"/>
        </w:rPr>
        <w:t>无</w:t>
      </w:r>
    </w:p>
    <w:p w14:paraId="27773298">
      <w:pPr>
        <w:widowControl/>
        <w:shd w:val="clear" w:color="auto" w:fill="FFFFFF"/>
        <w:spacing w:line="460" w:lineRule="exact"/>
        <w:ind w:firstLine="426"/>
        <w:jc w:val="left"/>
        <w:rPr>
          <w:rFonts w:ascii="宋体" w:cs="宋体"/>
          <w:b/>
          <w:color w:val="auto"/>
          <w:sz w:val="22"/>
          <w:szCs w:val="22"/>
          <w:highlight w:val="none"/>
        </w:rPr>
      </w:pPr>
      <w:r>
        <w:rPr>
          <w:rFonts w:hint="eastAsia" w:ascii="宋体" w:cs="宋体"/>
          <w:b/>
          <w:color w:val="auto"/>
          <w:sz w:val="22"/>
          <w:szCs w:val="22"/>
          <w:highlight w:val="none"/>
        </w:rPr>
        <w:t>三</w:t>
      </w:r>
      <w:r>
        <w:rPr>
          <w:rFonts w:hint="eastAsia" w:ascii="宋体" w:hAnsi="宋体" w:cs="宋体"/>
          <w:b/>
          <w:color w:val="auto"/>
          <w:kern w:val="0"/>
          <w:sz w:val="22"/>
          <w:szCs w:val="22"/>
          <w:highlight w:val="none"/>
        </w:rPr>
        <w:t>、</w:t>
      </w:r>
      <w:r>
        <w:rPr>
          <w:rFonts w:hint="eastAsia" w:ascii="宋体" w:hAnsi="宋体" w:cs="宋体"/>
          <w:b/>
          <w:bCs/>
          <w:color w:val="auto"/>
          <w:kern w:val="0"/>
          <w:sz w:val="22"/>
          <w:szCs w:val="22"/>
          <w:highlight w:val="none"/>
        </w:rPr>
        <w:t>获取（下载）采购文件</w:t>
      </w:r>
    </w:p>
    <w:p w14:paraId="65BA4E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日 ，每天上午00:00至12:00 ，下午12:00至23:59（北京时间，线上获取法定节假日均可，线下获取文件法定节假日除外）</w:t>
      </w:r>
    </w:p>
    <w:p w14:paraId="2F437D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14:paraId="571762B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方式：网上下载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并将报名资料（报名登记表、营业执照复印件加盖公章）发送至918192530@qq.com</w:t>
      </w:r>
    </w:p>
    <w:p w14:paraId="3FBFA15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售价（元）：</w:t>
      </w:r>
      <w:r>
        <w:rPr>
          <w:rFonts w:hint="eastAsia" w:ascii="宋体" w:hAnsi="宋体" w:eastAsia="宋体" w:cs="宋体"/>
          <w:color w:val="auto"/>
          <w:sz w:val="24"/>
          <w:szCs w:val="24"/>
          <w:highlight w:val="none"/>
          <w:lang w:val="en-US" w:eastAsia="zh-CN"/>
        </w:rPr>
        <w:t>500元</w:t>
      </w:r>
    </w:p>
    <w:p w14:paraId="1276371C">
      <w:pPr>
        <w:spacing w:line="460" w:lineRule="exact"/>
        <w:rPr>
          <w:rFonts w:ascii="宋体" w:hAnsi="宋体"/>
          <w:b/>
          <w:color w:val="auto"/>
          <w:sz w:val="22"/>
          <w:szCs w:val="22"/>
          <w:highlight w:val="none"/>
        </w:rPr>
      </w:pPr>
      <w:r>
        <w:rPr>
          <w:rFonts w:hint="eastAsia" w:ascii="宋体" w:hAnsi="宋体"/>
          <w:b/>
          <w:color w:val="auto"/>
          <w:sz w:val="22"/>
          <w:szCs w:val="22"/>
          <w:highlight w:val="none"/>
        </w:rPr>
        <w:t>四、响应文件提交（上传）</w:t>
      </w:r>
    </w:p>
    <w:p w14:paraId="11FA2898">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日14:30</w:t>
      </w:r>
      <w:r>
        <w:rPr>
          <w:rFonts w:hint="eastAsia" w:ascii="宋体" w:hAnsi="宋体"/>
          <w:color w:val="auto"/>
          <w:sz w:val="22"/>
          <w:szCs w:val="22"/>
          <w:highlight w:val="none"/>
        </w:rPr>
        <w:t>（北京时间）</w:t>
      </w:r>
    </w:p>
    <w:p w14:paraId="01545F1D">
      <w:pPr>
        <w:pStyle w:val="240"/>
        <w:ind w:firstLine="440"/>
        <w:rPr>
          <w:rFonts w:hint="eastAsia" w:ascii="宋体" w:hAnsi="Times New Roman" w:eastAsia="宋体" w:cs="宋体"/>
          <w:color w:val="auto"/>
          <w:sz w:val="22"/>
          <w:szCs w:val="22"/>
          <w:highlight w:val="none"/>
          <w:lang w:val="en-US" w:eastAsia="zh-CN"/>
        </w:rPr>
      </w:pPr>
      <w:r>
        <w:rPr>
          <w:rFonts w:ascii="宋体" w:hAnsi="宋体" w:cs="宋体"/>
          <w:color w:val="auto"/>
          <w:kern w:val="0"/>
          <w:sz w:val="22"/>
          <w:szCs w:val="22"/>
          <w:highlight w:val="none"/>
        </w:rPr>
        <w:t>地点（网址）：</w:t>
      </w:r>
      <w:r>
        <w:rPr>
          <w:rFonts w:hint="eastAsia" w:ascii="宋体"/>
          <w:color w:val="auto"/>
          <w:sz w:val="22"/>
          <w:szCs w:val="22"/>
          <w:highlight w:val="none"/>
        </w:rPr>
        <w:t>龙港市世纪大道4518号龙港市政务客厅4楼</w:t>
      </w:r>
    </w:p>
    <w:p w14:paraId="1162C93D">
      <w:pPr>
        <w:pStyle w:val="37"/>
        <w:spacing w:line="460" w:lineRule="exact"/>
        <w:rPr>
          <w:rFonts w:ascii="宋体" w:hAnsi="宋体"/>
          <w:b/>
          <w:color w:val="auto"/>
          <w:sz w:val="22"/>
          <w:szCs w:val="22"/>
          <w:highlight w:val="none"/>
        </w:rPr>
      </w:pPr>
      <w:r>
        <w:rPr>
          <w:rFonts w:hint="eastAsia" w:ascii="宋体" w:hAnsi="宋体"/>
          <w:b/>
          <w:color w:val="auto"/>
          <w:sz w:val="22"/>
          <w:szCs w:val="22"/>
          <w:highlight w:val="none"/>
        </w:rPr>
        <w:t>五、响应文件开启</w:t>
      </w:r>
    </w:p>
    <w:p w14:paraId="4B599976">
      <w:pPr>
        <w:spacing w:line="4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开启时间：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日14:30</w:t>
      </w:r>
      <w:r>
        <w:rPr>
          <w:rFonts w:hint="eastAsia" w:ascii="宋体" w:hAnsi="宋体"/>
          <w:color w:val="auto"/>
          <w:sz w:val="22"/>
          <w:szCs w:val="22"/>
          <w:highlight w:val="none"/>
        </w:rPr>
        <w:t>（北京时间）</w:t>
      </w:r>
    </w:p>
    <w:p w14:paraId="03A84CFB">
      <w:pPr>
        <w:spacing w:line="460" w:lineRule="exact"/>
        <w:ind w:firstLine="440" w:firstLineChars="200"/>
        <w:rPr>
          <w:rFonts w:hint="eastAsia" w:ascii="宋体" w:hAnsi="Times New Roman" w:eastAsia="宋体" w:cs="宋体"/>
          <w:color w:val="auto"/>
          <w:sz w:val="22"/>
          <w:szCs w:val="22"/>
          <w:highlight w:val="none"/>
          <w:lang w:eastAsia="zh-CN"/>
        </w:rPr>
      </w:pPr>
      <w:r>
        <w:rPr>
          <w:rFonts w:hint="eastAsia" w:ascii="宋体" w:hAnsi="宋体"/>
          <w:color w:val="auto"/>
          <w:sz w:val="22"/>
          <w:szCs w:val="22"/>
          <w:highlight w:val="none"/>
        </w:rPr>
        <w:t>地点</w:t>
      </w:r>
      <w:r>
        <w:rPr>
          <w:rFonts w:ascii="宋体" w:hAnsi="宋体" w:cs="宋体"/>
          <w:color w:val="auto"/>
          <w:kern w:val="0"/>
          <w:sz w:val="22"/>
          <w:szCs w:val="22"/>
          <w:highlight w:val="none"/>
        </w:rPr>
        <w:t>（网址）</w:t>
      </w:r>
      <w:r>
        <w:rPr>
          <w:rFonts w:hint="eastAsia" w:ascii="宋体" w:hAnsi="Times New Roman" w:eastAsia="宋体" w:cs="宋体"/>
          <w:color w:val="auto"/>
          <w:sz w:val="22"/>
          <w:szCs w:val="22"/>
          <w:highlight w:val="none"/>
          <w:lang w:eastAsia="zh-CN"/>
        </w:rPr>
        <w:t>：</w:t>
      </w:r>
      <w:r>
        <w:rPr>
          <w:rFonts w:hint="eastAsia" w:ascii="宋体"/>
          <w:color w:val="auto"/>
          <w:sz w:val="22"/>
          <w:szCs w:val="22"/>
          <w:highlight w:val="none"/>
        </w:rPr>
        <w:t>龙港市世纪大道4518号龙港市政务客厅4楼</w:t>
      </w:r>
    </w:p>
    <w:p w14:paraId="4D6DBB14">
      <w:pPr>
        <w:widowControl/>
        <w:shd w:val="clear" w:color="auto" w:fill="FFFFFF"/>
        <w:spacing w:line="460" w:lineRule="exact"/>
        <w:jc w:val="left"/>
        <w:rPr>
          <w:rFonts w:ascii="宋体" w:cs="宋体"/>
          <w:b/>
          <w:color w:val="auto"/>
          <w:sz w:val="22"/>
          <w:szCs w:val="22"/>
          <w:highlight w:val="none"/>
        </w:rPr>
      </w:pPr>
      <w:r>
        <w:rPr>
          <w:rFonts w:hint="eastAsia" w:ascii="宋体" w:cs="宋体"/>
          <w:b/>
          <w:color w:val="auto"/>
          <w:sz w:val="22"/>
          <w:szCs w:val="22"/>
          <w:highlight w:val="none"/>
        </w:rPr>
        <w:t>六、公告期限</w:t>
      </w:r>
    </w:p>
    <w:p w14:paraId="14D7127A">
      <w:pPr>
        <w:widowControl/>
        <w:shd w:val="clear" w:color="auto" w:fill="FFFFFF"/>
        <w:spacing w:line="460" w:lineRule="exact"/>
        <w:ind w:firstLine="424" w:firstLineChars="193"/>
        <w:jc w:val="left"/>
        <w:rPr>
          <w:rFonts w:ascii="宋体" w:cs="宋体"/>
          <w:b/>
          <w:color w:val="auto"/>
          <w:sz w:val="22"/>
          <w:szCs w:val="22"/>
          <w:highlight w:val="none"/>
        </w:rPr>
      </w:pPr>
      <w:r>
        <w:rPr>
          <w:rFonts w:hint="eastAsia" w:ascii="宋体" w:cs="宋体"/>
          <w:color w:val="auto"/>
          <w:sz w:val="22"/>
          <w:szCs w:val="22"/>
          <w:highlight w:val="none"/>
        </w:rPr>
        <w:t>自本公告发布之日起3个工作日。</w:t>
      </w:r>
    </w:p>
    <w:p w14:paraId="521F82E3">
      <w:pPr>
        <w:widowControl/>
        <w:shd w:val="clear" w:color="auto" w:fill="FFFFFF"/>
        <w:spacing w:line="460" w:lineRule="exact"/>
        <w:jc w:val="left"/>
        <w:rPr>
          <w:rFonts w:ascii="宋体" w:cs="宋体"/>
          <w:b/>
          <w:color w:val="auto"/>
          <w:sz w:val="22"/>
          <w:szCs w:val="22"/>
          <w:highlight w:val="none"/>
        </w:rPr>
      </w:pPr>
      <w:r>
        <w:rPr>
          <w:rFonts w:hint="eastAsia" w:ascii="宋体" w:cs="宋体"/>
          <w:b/>
          <w:color w:val="auto"/>
          <w:sz w:val="22"/>
          <w:szCs w:val="22"/>
          <w:highlight w:val="none"/>
        </w:rPr>
        <w:t>七、其他补充事宜</w:t>
      </w:r>
    </w:p>
    <w:p w14:paraId="47DA25C5">
      <w:pPr>
        <w:widowControl/>
        <w:shd w:val="clear" w:color="auto" w:fill="FFFFFF"/>
        <w:spacing w:line="460" w:lineRule="exact"/>
        <w:ind w:firstLine="424" w:firstLineChars="193"/>
        <w:jc w:val="left"/>
        <w:rPr>
          <w:rFonts w:hint="eastAsia" w:ascii="宋体" w:eastAsia="宋体" w:cs="宋体"/>
          <w:color w:val="auto"/>
          <w:sz w:val="22"/>
          <w:szCs w:val="22"/>
          <w:highlight w:val="none"/>
          <w:lang w:eastAsia="zh-CN"/>
        </w:rPr>
      </w:pPr>
      <w:r>
        <w:rPr>
          <w:rFonts w:hint="eastAsia" w:ascii="宋体" w:eastAsia="宋体" w:cs="宋体"/>
          <w:color w:val="auto"/>
          <w:sz w:val="22"/>
          <w:szCs w:val="22"/>
          <w:highlight w:val="none"/>
          <w:lang w:eastAsia="zh-CN"/>
        </w:rPr>
        <w:t>1.供应商认为招标文件使自己的权益受到损害的，应在2025年</w:t>
      </w:r>
      <w:r>
        <w:rPr>
          <w:rFonts w:hint="eastAsia" w:ascii="宋体" w:cs="宋体"/>
          <w:color w:val="auto"/>
          <w:sz w:val="22"/>
          <w:szCs w:val="22"/>
          <w:highlight w:val="none"/>
          <w:lang w:val="en-US" w:eastAsia="zh-CN"/>
        </w:rPr>
        <w:t>07</w:t>
      </w:r>
      <w:r>
        <w:rPr>
          <w:rFonts w:hint="eastAsia" w:ascii="宋体" w:eastAsia="宋体" w:cs="宋体"/>
          <w:color w:val="auto"/>
          <w:sz w:val="22"/>
          <w:szCs w:val="22"/>
          <w:highlight w:val="none"/>
          <w:lang w:eastAsia="zh-CN"/>
        </w:rPr>
        <w:t>月</w:t>
      </w:r>
      <w:r>
        <w:rPr>
          <w:rFonts w:hint="eastAsia" w:ascii="宋体" w:cs="宋体"/>
          <w:color w:val="auto"/>
          <w:sz w:val="22"/>
          <w:szCs w:val="22"/>
          <w:highlight w:val="none"/>
          <w:lang w:val="en-US" w:eastAsia="zh-CN"/>
        </w:rPr>
        <w:t>03</w:t>
      </w:r>
      <w:r>
        <w:rPr>
          <w:rFonts w:hint="eastAsia" w:ascii="宋体" w:eastAsia="宋体" w:cs="宋体"/>
          <w:color w:val="auto"/>
          <w:sz w:val="22"/>
          <w:szCs w:val="22"/>
          <w:highlight w:val="none"/>
          <w:lang w:eastAsia="zh-CN"/>
        </w:rPr>
        <w:t>日17:00前，一次性提出所有询问、质疑事项并以书面形式原件一式二份送达至代理机构，非法定代表人办理，需授权代理人全权负责，提交《法定代表人授权委托书原件》，《质疑函》范本请到“浙江政府采购网”、“下载专区”、“质疑投诉模板”下载编制。逾期提出将拒绝接收。</w:t>
      </w:r>
    </w:p>
    <w:p w14:paraId="5C00386D">
      <w:pPr>
        <w:widowControl/>
        <w:shd w:val="clear" w:color="auto" w:fill="FFFFFF"/>
        <w:spacing w:line="460" w:lineRule="exact"/>
        <w:ind w:firstLine="424" w:firstLineChars="193"/>
        <w:jc w:val="left"/>
        <w:rPr>
          <w:rFonts w:hint="eastAsia" w:ascii="宋体" w:eastAsia="宋体" w:cs="宋体"/>
          <w:color w:val="auto"/>
          <w:sz w:val="22"/>
          <w:szCs w:val="22"/>
          <w:highlight w:val="none"/>
          <w:lang w:eastAsia="zh-CN"/>
        </w:rPr>
      </w:pPr>
      <w:r>
        <w:rPr>
          <w:rFonts w:hint="eastAsia" w:ascii="宋体" w:eastAsia="宋体" w:cs="宋体"/>
          <w:color w:val="auto"/>
          <w:sz w:val="22"/>
          <w:szCs w:val="22"/>
          <w:highlight w:val="none"/>
          <w:lang w:eastAsia="zh-CN"/>
        </w:rPr>
        <w:t>联系人：罗女士；</w:t>
      </w:r>
      <w:r>
        <w:rPr>
          <w:rFonts w:hint="eastAsia" w:ascii="宋体" w:eastAsia="宋体" w:cs="宋体"/>
          <w:color w:val="auto"/>
          <w:sz w:val="22"/>
          <w:szCs w:val="22"/>
          <w:highlight w:val="none"/>
          <w:lang w:val="en-US" w:eastAsia="zh-CN"/>
        </w:rPr>
        <w:t xml:space="preserve">陈先生  </w:t>
      </w:r>
      <w:r>
        <w:rPr>
          <w:rFonts w:hint="eastAsia" w:ascii="宋体" w:eastAsia="宋体" w:cs="宋体"/>
          <w:color w:val="auto"/>
          <w:sz w:val="22"/>
          <w:szCs w:val="22"/>
          <w:highlight w:val="none"/>
          <w:lang w:eastAsia="zh-CN"/>
        </w:rPr>
        <w:t>联系电话：13758785870；18267833829</w:t>
      </w:r>
    </w:p>
    <w:p w14:paraId="0A9442BE">
      <w:pPr>
        <w:widowControl/>
        <w:shd w:val="clear" w:color="auto" w:fill="FFFFFF"/>
        <w:spacing w:line="460" w:lineRule="exact"/>
        <w:ind w:firstLine="424" w:firstLineChars="193"/>
        <w:jc w:val="left"/>
        <w:rPr>
          <w:rFonts w:hint="eastAsia" w:ascii="宋体" w:eastAsia="宋体" w:cs="宋体"/>
          <w:color w:val="auto"/>
          <w:sz w:val="22"/>
          <w:szCs w:val="22"/>
          <w:highlight w:val="none"/>
          <w:lang w:eastAsia="zh-CN"/>
        </w:rPr>
      </w:pPr>
      <w:r>
        <w:rPr>
          <w:rFonts w:hint="eastAsia" w:ascii="宋体" w:eastAsia="宋体" w:cs="宋体"/>
          <w:color w:val="auto"/>
          <w:sz w:val="22"/>
          <w:szCs w:val="22"/>
          <w:highlight w:val="none"/>
          <w:lang w:eastAsia="zh-CN"/>
        </w:rPr>
        <w:t>2.招标文件发售截止时间之后潜在供应商仍可购买招标文件，但该供应商如对招标文件有疑问应按照规定的质疑时间前提出，逾期提出的采购组织机构不予受理，答复。</w:t>
      </w:r>
    </w:p>
    <w:p w14:paraId="6A0C60B0">
      <w:pPr>
        <w:widowControl/>
        <w:shd w:val="clear" w:color="auto" w:fill="FFFFFF"/>
        <w:spacing w:line="460" w:lineRule="exact"/>
        <w:ind w:firstLine="424" w:firstLineChars="193"/>
        <w:jc w:val="left"/>
        <w:rPr>
          <w:rFonts w:hint="eastAsia" w:ascii="宋体" w:eastAsia="宋体" w:cs="宋体"/>
          <w:color w:val="auto"/>
          <w:sz w:val="22"/>
          <w:szCs w:val="22"/>
          <w:highlight w:val="none"/>
          <w:lang w:eastAsia="zh-CN"/>
        </w:rPr>
      </w:pPr>
      <w:r>
        <w:rPr>
          <w:rFonts w:hint="eastAsia" w:ascii="宋体" w:eastAsia="宋体" w:cs="宋体"/>
          <w:color w:val="auto"/>
          <w:sz w:val="22"/>
          <w:szCs w:val="22"/>
          <w:highlight w:val="none"/>
          <w:lang w:eastAsia="zh-CN"/>
        </w:rPr>
        <w:t>3.本项目未使用财政性资金，采购项目是参照《中华人民共和国政府采购法》等相关规定执行，如与政府采购法相关规定不一致的，以本招标文件为准。</w:t>
      </w:r>
    </w:p>
    <w:p w14:paraId="6F438A24">
      <w:pPr>
        <w:widowControl/>
        <w:shd w:val="clear" w:color="auto" w:fill="FFFFFF"/>
        <w:spacing w:line="460" w:lineRule="exact"/>
        <w:jc w:val="left"/>
        <w:rPr>
          <w:rFonts w:ascii="宋体" w:cs="宋体"/>
          <w:b/>
          <w:color w:val="auto"/>
          <w:sz w:val="22"/>
          <w:szCs w:val="22"/>
          <w:highlight w:val="none"/>
        </w:rPr>
      </w:pPr>
      <w:r>
        <w:rPr>
          <w:rFonts w:hint="eastAsia" w:ascii="宋体" w:cs="宋体"/>
          <w:b/>
          <w:color w:val="auto"/>
          <w:sz w:val="22"/>
          <w:szCs w:val="22"/>
          <w:highlight w:val="none"/>
          <w:lang w:val="en-US" w:eastAsia="zh-CN"/>
        </w:rPr>
        <w:t>八</w:t>
      </w:r>
      <w:r>
        <w:rPr>
          <w:rFonts w:hint="eastAsia" w:ascii="宋体" w:cs="宋体"/>
          <w:b/>
          <w:color w:val="auto"/>
          <w:sz w:val="22"/>
          <w:szCs w:val="22"/>
          <w:highlight w:val="none"/>
        </w:rPr>
        <w:t>、对本次采购提出询问、质疑、投诉，请按以下方式联系</w:t>
      </w:r>
    </w:p>
    <w:p w14:paraId="33BE8E0B">
      <w:pPr>
        <w:widowControl/>
        <w:shd w:val="clear" w:color="auto" w:fill="FFFFFF"/>
        <w:spacing w:line="460" w:lineRule="exact"/>
        <w:ind w:firstLine="363"/>
        <w:jc w:val="left"/>
        <w:rPr>
          <w:rFonts w:ascii="宋体" w:cs="宋体"/>
          <w:b/>
          <w:color w:val="auto"/>
          <w:sz w:val="22"/>
          <w:szCs w:val="22"/>
          <w:highlight w:val="none"/>
        </w:rPr>
      </w:pPr>
      <w:r>
        <w:rPr>
          <w:rFonts w:hint="eastAsia" w:ascii="宋体" w:cs="宋体"/>
          <w:color w:val="auto"/>
          <w:sz w:val="22"/>
          <w:szCs w:val="22"/>
          <w:highlight w:val="none"/>
        </w:rPr>
        <w:t>1.采购人信息</w:t>
      </w:r>
    </w:p>
    <w:p w14:paraId="096560BB">
      <w:pPr>
        <w:spacing w:line="46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名称：苍南中工建设开发有限公司</w:t>
      </w:r>
    </w:p>
    <w:p w14:paraId="0C202F4C">
      <w:pPr>
        <w:spacing w:line="460" w:lineRule="exact"/>
        <w:ind w:firstLine="440" w:firstLineChars="200"/>
        <w:rPr>
          <w:rFonts w:hint="eastAsia" w:ascii="宋体" w:eastAsia="宋体"/>
          <w:color w:val="auto"/>
          <w:sz w:val="22"/>
          <w:szCs w:val="22"/>
          <w:highlight w:val="none"/>
          <w:lang w:eastAsia="zh-CN"/>
        </w:rPr>
      </w:pPr>
      <w:r>
        <w:rPr>
          <w:rFonts w:hint="eastAsia" w:ascii="宋体" w:eastAsia="宋体"/>
          <w:color w:val="auto"/>
          <w:sz w:val="22"/>
          <w:szCs w:val="22"/>
          <w:highlight w:val="none"/>
        </w:rPr>
        <w:t>地址：</w:t>
      </w:r>
      <w:r>
        <w:rPr>
          <w:rFonts w:hint="eastAsia" w:ascii="宋体" w:eastAsia="宋体"/>
          <w:color w:val="auto"/>
          <w:sz w:val="22"/>
          <w:szCs w:val="22"/>
          <w:highlight w:val="none"/>
          <w:lang w:eastAsia="zh-CN"/>
        </w:rPr>
        <w:t>温州市苍南县灵溪镇苍岳大厦5A508</w:t>
      </w:r>
    </w:p>
    <w:p w14:paraId="17158CC3">
      <w:pPr>
        <w:spacing w:line="460" w:lineRule="exact"/>
        <w:ind w:firstLine="440" w:firstLineChars="200"/>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项目联系人：</w:t>
      </w:r>
      <w:r>
        <w:rPr>
          <w:rFonts w:hint="eastAsia" w:ascii="宋体" w:eastAsia="宋体"/>
          <w:color w:val="auto"/>
          <w:sz w:val="22"/>
          <w:szCs w:val="22"/>
          <w:highlight w:val="none"/>
          <w:lang w:eastAsia="zh-CN"/>
        </w:rPr>
        <w:t>吴女士</w:t>
      </w:r>
    </w:p>
    <w:p w14:paraId="653F7BB4">
      <w:pPr>
        <w:spacing w:line="460" w:lineRule="exact"/>
        <w:ind w:firstLine="440" w:firstLineChars="200"/>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项目联系方式：</w:t>
      </w:r>
      <w:r>
        <w:rPr>
          <w:rFonts w:hint="eastAsia" w:ascii="宋体" w:eastAsia="宋体"/>
          <w:color w:val="auto"/>
          <w:sz w:val="22"/>
          <w:szCs w:val="22"/>
          <w:highlight w:val="none"/>
          <w:lang w:val="en-US" w:eastAsia="zh-CN"/>
        </w:rPr>
        <w:t>17855811382</w:t>
      </w:r>
    </w:p>
    <w:p w14:paraId="00C2BCBA">
      <w:pPr>
        <w:pStyle w:val="2"/>
        <w:rPr>
          <w:color w:val="auto"/>
          <w:highlight w:val="none"/>
        </w:rPr>
      </w:pPr>
    </w:p>
    <w:p w14:paraId="32A2F7FB">
      <w:pPr>
        <w:widowControl/>
        <w:shd w:val="clear" w:color="auto" w:fill="FFFFFF"/>
        <w:spacing w:line="460" w:lineRule="exact"/>
        <w:ind w:firstLine="363"/>
        <w:jc w:val="left"/>
        <w:rPr>
          <w:rFonts w:ascii="宋体"/>
          <w:color w:val="auto"/>
          <w:sz w:val="22"/>
          <w:szCs w:val="22"/>
          <w:highlight w:val="none"/>
        </w:rPr>
      </w:pPr>
      <w:r>
        <w:rPr>
          <w:rFonts w:hint="eastAsia" w:ascii="宋体"/>
          <w:color w:val="auto"/>
          <w:sz w:val="22"/>
          <w:szCs w:val="22"/>
          <w:highlight w:val="none"/>
        </w:rPr>
        <w:t>2.采购代理机构信息</w:t>
      </w:r>
    </w:p>
    <w:p w14:paraId="0B561472">
      <w:pPr>
        <w:widowControl/>
        <w:shd w:val="clear" w:color="auto" w:fill="FFFFFF"/>
        <w:spacing w:line="460" w:lineRule="exact"/>
        <w:ind w:firstLine="363"/>
        <w:jc w:val="left"/>
        <w:rPr>
          <w:rFonts w:hint="eastAsia" w:ascii="宋体" w:eastAsia="宋体" w:cs="宋体"/>
          <w:color w:val="auto"/>
          <w:sz w:val="22"/>
          <w:szCs w:val="22"/>
          <w:highlight w:val="none"/>
          <w:lang w:eastAsia="zh-CN"/>
        </w:rPr>
      </w:pPr>
      <w:r>
        <w:rPr>
          <w:rFonts w:hint="eastAsia" w:ascii="宋体" w:cs="宋体"/>
          <w:color w:val="auto"/>
          <w:sz w:val="22"/>
          <w:szCs w:val="22"/>
          <w:highlight w:val="none"/>
        </w:rPr>
        <w:t>名称：</w:t>
      </w:r>
      <w:r>
        <w:rPr>
          <w:rFonts w:hint="eastAsia" w:ascii="宋体"/>
          <w:color w:val="auto"/>
          <w:sz w:val="22"/>
          <w:szCs w:val="22"/>
          <w:highlight w:val="none"/>
          <w:lang w:eastAsia="zh-CN"/>
        </w:rPr>
        <w:t>温州市鼎信工程管理咨询有限公司</w:t>
      </w:r>
    </w:p>
    <w:p w14:paraId="6BED08FB">
      <w:pPr>
        <w:widowControl/>
        <w:shd w:val="clear" w:color="auto" w:fill="FFFFFF"/>
        <w:spacing w:line="460" w:lineRule="exact"/>
        <w:ind w:firstLine="363"/>
        <w:jc w:val="left"/>
        <w:rPr>
          <w:rFonts w:hint="default" w:ascii="宋体" w:eastAsia="宋体" w:cs="宋体"/>
          <w:color w:val="auto"/>
          <w:sz w:val="22"/>
          <w:szCs w:val="22"/>
          <w:highlight w:val="none"/>
          <w:lang w:val="en-US" w:eastAsia="zh-CN"/>
        </w:rPr>
      </w:pPr>
      <w:r>
        <w:rPr>
          <w:rFonts w:hint="eastAsia" w:ascii="宋体" w:cs="宋体"/>
          <w:color w:val="auto"/>
          <w:sz w:val="22"/>
          <w:szCs w:val="22"/>
          <w:highlight w:val="none"/>
        </w:rPr>
        <w:t>地址：</w:t>
      </w:r>
      <w:r>
        <w:rPr>
          <w:rFonts w:hint="eastAsia" w:ascii="宋体"/>
          <w:color w:val="auto"/>
          <w:sz w:val="22"/>
          <w:highlight w:val="none"/>
          <w:lang w:eastAsia="zh-CN"/>
        </w:rPr>
        <w:t>龙港市龙港大道西三街路口广电大厦11B</w:t>
      </w:r>
    </w:p>
    <w:p w14:paraId="14FE3FB6">
      <w:pPr>
        <w:widowControl/>
        <w:shd w:val="clear" w:color="auto" w:fill="FFFFFF"/>
        <w:spacing w:line="460" w:lineRule="exact"/>
        <w:ind w:firstLine="363"/>
        <w:jc w:val="left"/>
        <w:rPr>
          <w:rFonts w:hint="default" w:ascii="宋体" w:eastAsia="宋体" w:cs="宋体"/>
          <w:color w:val="auto"/>
          <w:sz w:val="22"/>
          <w:szCs w:val="22"/>
          <w:highlight w:val="none"/>
          <w:lang w:val="en-US" w:eastAsia="zh-CN"/>
        </w:rPr>
      </w:pPr>
      <w:r>
        <w:rPr>
          <w:rFonts w:hint="eastAsia" w:ascii="宋体" w:cs="宋体"/>
          <w:color w:val="auto"/>
          <w:sz w:val="22"/>
          <w:szCs w:val="22"/>
          <w:highlight w:val="none"/>
        </w:rPr>
        <w:t>项目联系人：</w:t>
      </w:r>
      <w:r>
        <w:rPr>
          <w:rFonts w:hint="eastAsia" w:ascii="宋体"/>
          <w:color w:val="auto"/>
          <w:sz w:val="22"/>
          <w:szCs w:val="22"/>
          <w:highlight w:val="none"/>
          <w:lang w:eastAsia="zh-CN"/>
        </w:rPr>
        <w:t>罗女士</w:t>
      </w:r>
      <w:r>
        <w:rPr>
          <w:rFonts w:hint="eastAsia" w:ascii="宋体" w:cs="宋体"/>
          <w:color w:val="auto"/>
          <w:sz w:val="22"/>
          <w:szCs w:val="22"/>
          <w:highlight w:val="none"/>
        </w:rPr>
        <w:t> </w:t>
      </w:r>
      <w:r>
        <w:rPr>
          <w:rFonts w:hint="eastAsia" w:ascii="宋体" w:cs="宋体"/>
          <w:color w:val="auto"/>
          <w:sz w:val="22"/>
          <w:szCs w:val="22"/>
          <w:highlight w:val="none"/>
          <w:lang w:eastAsia="zh-CN"/>
        </w:rPr>
        <w:t>；</w:t>
      </w:r>
      <w:r>
        <w:rPr>
          <w:rFonts w:hint="eastAsia" w:ascii="宋体" w:cs="宋体"/>
          <w:color w:val="auto"/>
          <w:sz w:val="22"/>
          <w:szCs w:val="22"/>
          <w:highlight w:val="none"/>
          <w:lang w:val="en-US" w:eastAsia="zh-CN"/>
        </w:rPr>
        <w:t>陈先生</w:t>
      </w:r>
    </w:p>
    <w:p w14:paraId="72F063F7">
      <w:pPr>
        <w:widowControl/>
        <w:shd w:val="clear" w:color="auto" w:fill="FFFFFF"/>
        <w:spacing w:line="460" w:lineRule="exact"/>
        <w:ind w:firstLine="363"/>
        <w:jc w:val="left"/>
        <w:rPr>
          <w:rFonts w:hint="default" w:ascii="宋体" w:eastAsia="宋体" w:cs="宋体"/>
          <w:b/>
          <w:color w:val="auto"/>
          <w:sz w:val="22"/>
          <w:szCs w:val="22"/>
          <w:highlight w:val="none"/>
          <w:lang w:val="en-US" w:eastAsia="zh-CN"/>
        </w:rPr>
      </w:pPr>
      <w:r>
        <w:rPr>
          <w:rFonts w:hint="eastAsia" w:ascii="宋体" w:cs="宋体"/>
          <w:color w:val="auto"/>
          <w:sz w:val="22"/>
          <w:szCs w:val="22"/>
          <w:highlight w:val="none"/>
        </w:rPr>
        <w:t>项目联系方式：13758785870；18267833829</w:t>
      </w:r>
    </w:p>
    <w:p w14:paraId="7B8A5E28">
      <w:pPr>
        <w:widowControl/>
        <w:shd w:val="clear" w:color="auto" w:fill="FFFFFF"/>
        <w:spacing w:line="460" w:lineRule="exact"/>
        <w:ind w:firstLine="440" w:firstLineChars="200"/>
        <w:jc w:val="left"/>
        <w:rPr>
          <w:rFonts w:hint="eastAsia" w:ascii="宋体" w:hAnsi="Times New Roman" w:eastAsia="宋体" w:cs="宋体"/>
          <w:color w:val="auto"/>
          <w:sz w:val="22"/>
          <w:szCs w:val="22"/>
          <w:highlight w:val="none"/>
          <w:lang w:val="en-US"/>
        </w:rPr>
      </w:pPr>
      <w:bookmarkStart w:id="2" w:name="_Toc436"/>
      <w:bookmarkStart w:id="3" w:name="_Toc13298"/>
    </w:p>
    <w:p w14:paraId="2F36B858">
      <w:pPr>
        <w:widowControl/>
        <w:shd w:val="clear" w:color="auto" w:fill="FFFFFF"/>
        <w:spacing w:line="460" w:lineRule="exact"/>
        <w:ind w:firstLine="440" w:firstLineChars="200"/>
        <w:jc w:val="left"/>
        <w:rPr>
          <w:rFonts w:hint="eastAsia" w:ascii="宋体" w:hAnsi="Times New Roman" w:eastAsia="宋体" w:cs="宋体"/>
          <w:color w:val="auto"/>
          <w:sz w:val="22"/>
          <w:szCs w:val="22"/>
          <w:highlight w:val="none"/>
        </w:rPr>
      </w:pPr>
      <w:r>
        <w:rPr>
          <w:rFonts w:hint="eastAsia" w:ascii="宋体" w:hAnsi="Times New Roman" w:eastAsia="宋体" w:cs="宋体"/>
          <w:color w:val="auto"/>
          <w:sz w:val="22"/>
          <w:szCs w:val="22"/>
          <w:highlight w:val="none"/>
          <w:lang w:val="en-US"/>
        </w:rPr>
        <w:t>3.</w:t>
      </w:r>
      <w:r>
        <w:rPr>
          <w:rFonts w:hint="eastAsia" w:ascii="宋体" w:hAnsi="Times New Roman" w:eastAsia="宋体" w:cs="宋体"/>
          <w:color w:val="auto"/>
          <w:sz w:val="22"/>
          <w:szCs w:val="22"/>
          <w:highlight w:val="none"/>
        </w:rPr>
        <w:t>采购监督管理部门名称</w:t>
      </w:r>
      <w:bookmarkEnd w:id="2"/>
      <w:bookmarkEnd w:id="3"/>
    </w:p>
    <w:p w14:paraId="6300A238">
      <w:pPr>
        <w:widowControl/>
        <w:shd w:val="clear" w:color="auto" w:fill="FFFFFF"/>
        <w:spacing w:line="460" w:lineRule="exact"/>
        <w:ind w:firstLine="363"/>
        <w:jc w:val="left"/>
        <w:rPr>
          <w:rFonts w:hint="default"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rPr>
        <w:t>名    称：</w:t>
      </w:r>
      <w:r>
        <w:rPr>
          <w:rFonts w:hint="eastAsia" w:ascii="宋体" w:hAnsi="Times New Roman" w:eastAsia="宋体" w:cs="宋体"/>
          <w:color w:val="auto"/>
          <w:sz w:val="22"/>
          <w:szCs w:val="22"/>
          <w:highlight w:val="none"/>
          <w:lang w:val="en-US" w:eastAsia="zh-CN"/>
        </w:rPr>
        <w:t>龙港市宏程小学</w:t>
      </w:r>
    </w:p>
    <w:p w14:paraId="0C5B3630">
      <w:pPr>
        <w:widowControl/>
        <w:shd w:val="clear" w:color="auto" w:fill="FFFFFF"/>
        <w:spacing w:line="460" w:lineRule="exact"/>
        <w:ind w:firstLine="363"/>
        <w:jc w:val="left"/>
        <w:rPr>
          <w:rFonts w:hint="eastAsia" w:ascii="宋体" w:hAnsi="Times New Roman" w:eastAsia="宋体" w:cs="宋体"/>
          <w:color w:val="auto"/>
          <w:sz w:val="22"/>
          <w:szCs w:val="22"/>
          <w:highlight w:val="none"/>
          <w:lang w:eastAsia="zh-CN"/>
        </w:rPr>
      </w:pPr>
      <w:r>
        <w:rPr>
          <w:rFonts w:hint="eastAsia" w:ascii="宋体" w:hAnsi="Times New Roman" w:eastAsia="宋体" w:cs="宋体"/>
          <w:color w:val="auto"/>
          <w:sz w:val="22"/>
          <w:szCs w:val="22"/>
          <w:highlight w:val="none"/>
          <w:lang w:val="en-US"/>
        </w:rPr>
        <w:t>地    址</w:t>
      </w:r>
      <w:r>
        <w:rPr>
          <w:rFonts w:hint="eastAsia" w:ascii="宋体" w:hAnsi="Times New Roman" w:eastAsia="宋体" w:cs="宋体"/>
          <w:color w:val="auto"/>
          <w:sz w:val="22"/>
          <w:szCs w:val="22"/>
          <w:highlight w:val="none"/>
        </w:rPr>
        <w:t>：</w:t>
      </w:r>
      <w:r>
        <w:rPr>
          <w:rFonts w:hint="eastAsia" w:ascii="宋体" w:cs="宋体"/>
          <w:color w:val="auto"/>
          <w:sz w:val="22"/>
          <w:szCs w:val="22"/>
          <w:highlight w:val="none"/>
          <w:lang w:eastAsia="zh-CN"/>
        </w:rPr>
        <w:t>温州市龙港市宏程路171号</w:t>
      </w:r>
    </w:p>
    <w:p w14:paraId="369DD2CA">
      <w:pPr>
        <w:widowControl/>
        <w:shd w:val="clear" w:color="auto" w:fill="FFFFFF"/>
        <w:spacing w:line="460" w:lineRule="exact"/>
        <w:ind w:firstLine="363"/>
        <w:jc w:val="left"/>
        <w:rPr>
          <w:rFonts w:hint="eastAsia" w:ascii="宋体" w:hAnsi="Times New Roman" w:eastAsia="宋体" w:cs="宋体"/>
          <w:color w:val="auto"/>
          <w:sz w:val="22"/>
          <w:szCs w:val="22"/>
          <w:highlight w:val="none"/>
          <w:lang w:val="en-US" w:eastAsia="zh-CN"/>
        </w:rPr>
      </w:pPr>
      <w:r>
        <w:rPr>
          <w:rFonts w:hint="eastAsia" w:ascii="宋体" w:hAnsi="Times New Roman" w:eastAsia="宋体" w:cs="宋体"/>
          <w:color w:val="auto"/>
          <w:sz w:val="22"/>
          <w:szCs w:val="22"/>
          <w:highlight w:val="none"/>
          <w:lang w:val="en-US"/>
        </w:rPr>
        <w:t>联 系 人</w:t>
      </w:r>
      <w:r>
        <w:rPr>
          <w:rFonts w:hint="eastAsia" w:ascii="宋体" w:hAnsi="Times New Roman" w:eastAsia="宋体" w:cs="宋体"/>
          <w:color w:val="auto"/>
          <w:sz w:val="22"/>
          <w:szCs w:val="22"/>
          <w:highlight w:val="none"/>
        </w:rPr>
        <w:t>：</w:t>
      </w:r>
      <w:r>
        <w:rPr>
          <w:rFonts w:hint="eastAsia" w:ascii="宋体" w:cs="宋体"/>
          <w:color w:val="auto"/>
          <w:sz w:val="22"/>
          <w:szCs w:val="22"/>
          <w:highlight w:val="none"/>
          <w:lang w:val="en-US" w:eastAsia="zh-CN"/>
        </w:rPr>
        <w:t>金老师</w:t>
      </w:r>
    </w:p>
    <w:p w14:paraId="45DAC2FB">
      <w:pPr>
        <w:widowControl/>
        <w:shd w:val="clear" w:color="auto" w:fill="FFFFFF"/>
        <w:spacing w:line="460" w:lineRule="exact"/>
        <w:ind w:firstLine="363"/>
        <w:jc w:val="left"/>
        <w:rPr>
          <w:rFonts w:hint="eastAsia" w:ascii="宋体" w:hAnsi="Times New Roman" w:eastAsia="宋体" w:cs="宋体"/>
          <w:color w:val="auto"/>
          <w:sz w:val="22"/>
          <w:szCs w:val="22"/>
          <w:highlight w:val="none"/>
          <w:lang w:eastAsia="zh-CN"/>
        </w:rPr>
      </w:pPr>
      <w:r>
        <w:rPr>
          <w:rFonts w:hint="eastAsia" w:ascii="宋体" w:hAnsi="Times New Roman" w:eastAsia="宋体" w:cs="宋体"/>
          <w:color w:val="auto"/>
          <w:sz w:val="22"/>
          <w:szCs w:val="22"/>
          <w:highlight w:val="none"/>
        </w:rPr>
        <w:t>监督投诉电话：</w:t>
      </w:r>
      <w:r>
        <w:rPr>
          <w:rFonts w:hint="eastAsia" w:ascii="宋体" w:cs="宋体"/>
          <w:color w:val="auto"/>
          <w:sz w:val="22"/>
          <w:szCs w:val="22"/>
          <w:highlight w:val="none"/>
          <w:lang w:eastAsia="zh-CN"/>
        </w:rPr>
        <w:t>15869468531</w:t>
      </w:r>
    </w:p>
    <w:p w14:paraId="069A9718">
      <w:pPr>
        <w:autoSpaceDE/>
        <w:autoSpaceDN/>
        <w:spacing w:line="420" w:lineRule="exact"/>
        <w:ind w:firstLine="440"/>
        <w:outlineLvl w:val="9"/>
        <w:rPr>
          <w:rFonts w:ascii="仿宋" w:hAnsi="仿宋" w:eastAsia="仿宋" w:cs="仿宋"/>
          <w:color w:val="auto"/>
          <w:sz w:val="28"/>
          <w:szCs w:val="28"/>
          <w:highlight w:val="none"/>
        </w:rPr>
      </w:pPr>
    </w:p>
    <w:bookmarkEnd w:id="16"/>
    <w:p w14:paraId="5FF5A659">
      <w:pPr>
        <w:pStyle w:val="2"/>
      </w:pPr>
    </w:p>
    <w:p w14:paraId="2E226509">
      <w:pPr>
        <w:pStyle w:val="5"/>
        <w:rPr>
          <w:color w:val="auto"/>
          <w:highlight w:val="none"/>
        </w:rPr>
        <w:sectPr>
          <w:footerReference r:id="rId11" w:type="first"/>
          <w:footerReference r:id="rId10" w:type="default"/>
          <w:pgSz w:w="11907" w:h="16840"/>
          <w:pgMar w:top="1440" w:right="1440" w:bottom="1440" w:left="1440" w:header="720" w:footer="720" w:gutter="0"/>
          <w:pgNumType w:fmt="decimal"/>
          <w:cols w:space="720" w:num="1"/>
          <w:titlePg/>
          <w:docGrid w:linePitch="286" w:charSpace="-3831"/>
        </w:sectPr>
      </w:pPr>
    </w:p>
    <w:bookmarkEnd w:id="1"/>
    <w:p w14:paraId="4AD727BB">
      <w:pPr>
        <w:spacing w:line="520" w:lineRule="exact"/>
        <w:jc w:val="center"/>
        <w:rPr>
          <w:rStyle w:val="233"/>
          <w:rFonts w:ascii="宋体" w:cs="Times New Roman"/>
          <w:b/>
          <w:bCs/>
          <w:color w:val="auto"/>
          <w:sz w:val="36"/>
          <w:szCs w:val="36"/>
          <w:highlight w:val="none"/>
        </w:rPr>
      </w:pPr>
      <w:r>
        <w:rPr>
          <w:rStyle w:val="233"/>
          <w:rFonts w:ascii="宋体" w:cs="Times New Roman"/>
          <w:b/>
          <w:bCs/>
          <w:color w:val="auto"/>
          <w:sz w:val="36"/>
          <w:szCs w:val="36"/>
          <w:highlight w:val="none"/>
        </w:rPr>
        <w:t>供应商报名登记表</w:t>
      </w:r>
    </w:p>
    <w:p w14:paraId="54E8D04A">
      <w:pPr>
        <w:pStyle w:val="244"/>
        <w:rPr>
          <w:rStyle w:val="233"/>
          <w:color w:val="auto"/>
          <w:highlight w:val="none"/>
        </w:rPr>
      </w:pPr>
    </w:p>
    <w:tbl>
      <w:tblPr>
        <w:tblStyle w:val="49"/>
        <w:tblW w:w="9721"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0" w:type="dxa"/>
          <w:bottom w:w="0" w:type="dxa"/>
          <w:right w:w="0" w:type="dxa"/>
        </w:tblCellMar>
      </w:tblPr>
      <w:tblGrid>
        <w:gridCol w:w="986"/>
        <w:gridCol w:w="982"/>
        <w:gridCol w:w="2880"/>
        <w:gridCol w:w="370"/>
        <w:gridCol w:w="1115"/>
        <w:gridCol w:w="3388"/>
      </w:tblGrid>
      <w:tr w14:paraId="7157C479">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1968" w:type="dxa"/>
            <w:gridSpan w:val="2"/>
            <w:tcBorders>
              <w:top w:val="single" w:color="000000" w:sz="18" w:space="0"/>
              <w:left w:val="single" w:color="000000" w:sz="18" w:space="0"/>
              <w:bottom w:val="single" w:color="000000" w:sz="6" w:space="0"/>
              <w:right w:val="single" w:color="000000" w:sz="6" w:space="0"/>
            </w:tcBorders>
            <w:vAlign w:val="center"/>
          </w:tcPr>
          <w:p w14:paraId="4111E2B9">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日    期</w:t>
            </w:r>
          </w:p>
        </w:tc>
        <w:tc>
          <w:tcPr>
            <w:tcW w:w="7753" w:type="dxa"/>
            <w:gridSpan w:val="4"/>
            <w:tcBorders>
              <w:top w:val="single" w:color="000000" w:sz="18" w:space="0"/>
              <w:left w:val="single" w:color="000000" w:sz="6" w:space="0"/>
              <w:bottom w:val="single" w:color="000000" w:sz="6" w:space="0"/>
              <w:right w:val="single" w:color="000000" w:sz="18" w:space="0"/>
            </w:tcBorders>
            <w:vAlign w:val="center"/>
          </w:tcPr>
          <w:p w14:paraId="765B4491">
            <w:pPr>
              <w:spacing w:line="520" w:lineRule="exact"/>
              <w:ind w:firstLine="210" w:firstLineChars="100"/>
              <w:jc w:val="center"/>
              <w:rPr>
                <w:rStyle w:val="233"/>
                <w:rFonts w:ascii="宋体" w:cs="Times New Roman"/>
                <w:bCs/>
                <w:color w:val="auto"/>
                <w:szCs w:val="22"/>
                <w:highlight w:val="none"/>
              </w:rPr>
            </w:pPr>
            <w:r>
              <w:rPr>
                <w:rStyle w:val="233"/>
                <w:rFonts w:hint="eastAsia" w:ascii="宋体" w:cs="Times New Roman"/>
                <w:bCs/>
                <w:color w:val="auto"/>
                <w:szCs w:val="22"/>
                <w:highlight w:val="none"/>
                <w:lang w:eastAsia="zh-CN"/>
              </w:rPr>
              <w:t>202</w:t>
            </w:r>
            <w:r>
              <w:rPr>
                <w:rStyle w:val="233"/>
                <w:rFonts w:hint="eastAsia" w:ascii="宋体" w:cs="Times New Roman"/>
                <w:bCs/>
                <w:color w:val="auto"/>
                <w:szCs w:val="22"/>
                <w:highlight w:val="none"/>
                <w:lang w:val="en-US" w:eastAsia="zh-CN"/>
              </w:rPr>
              <w:t>5</w:t>
            </w:r>
            <w:r>
              <w:rPr>
                <w:rStyle w:val="233"/>
                <w:rFonts w:ascii="宋体" w:cs="Times New Roman"/>
                <w:bCs/>
                <w:color w:val="auto"/>
                <w:szCs w:val="22"/>
                <w:highlight w:val="none"/>
              </w:rPr>
              <w:t>年    月     日</w:t>
            </w:r>
          </w:p>
        </w:tc>
      </w:tr>
      <w:tr w14:paraId="3EEFE7D8">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968" w:type="dxa"/>
            <w:gridSpan w:val="2"/>
            <w:tcBorders>
              <w:top w:val="single" w:color="000000" w:sz="6" w:space="0"/>
              <w:left w:val="single" w:color="000000" w:sz="18" w:space="0"/>
              <w:bottom w:val="single" w:color="000000" w:sz="6" w:space="0"/>
              <w:right w:val="single" w:color="000000" w:sz="6" w:space="0"/>
            </w:tcBorders>
            <w:vAlign w:val="center"/>
          </w:tcPr>
          <w:p w14:paraId="5B414AB7">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项目名称</w:t>
            </w:r>
          </w:p>
        </w:tc>
        <w:tc>
          <w:tcPr>
            <w:tcW w:w="7753" w:type="dxa"/>
            <w:gridSpan w:val="4"/>
            <w:tcBorders>
              <w:top w:val="single" w:color="000000" w:sz="6" w:space="0"/>
              <w:left w:val="single" w:color="000000" w:sz="6" w:space="0"/>
              <w:bottom w:val="single" w:color="000000" w:sz="6" w:space="0"/>
              <w:right w:val="single" w:color="000000" w:sz="18" w:space="0"/>
            </w:tcBorders>
            <w:vAlign w:val="center"/>
          </w:tcPr>
          <w:p w14:paraId="7407E53E">
            <w:pPr>
              <w:spacing w:line="520" w:lineRule="exact"/>
              <w:jc w:val="left"/>
              <w:rPr>
                <w:rStyle w:val="233"/>
                <w:rFonts w:ascii="宋体" w:cs="Times New Roman"/>
                <w:bCs/>
                <w:color w:val="auto"/>
                <w:szCs w:val="22"/>
                <w:highlight w:val="none"/>
              </w:rPr>
            </w:pPr>
          </w:p>
        </w:tc>
      </w:tr>
      <w:tr w14:paraId="53D53918">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968" w:type="dxa"/>
            <w:gridSpan w:val="2"/>
            <w:tcBorders>
              <w:top w:val="single" w:color="000000" w:sz="6" w:space="0"/>
              <w:left w:val="single" w:color="000000" w:sz="18" w:space="0"/>
              <w:bottom w:val="single" w:color="000000" w:sz="6" w:space="0"/>
              <w:right w:val="single" w:color="000000" w:sz="6" w:space="0"/>
            </w:tcBorders>
            <w:vAlign w:val="center"/>
          </w:tcPr>
          <w:p w14:paraId="55B025CC">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项目编号</w:t>
            </w:r>
          </w:p>
        </w:tc>
        <w:tc>
          <w:tcPr>
            <w:tcW w:w="7753" w:type="dxa"/>
            <w:gridSpan w:val="4"/>
            <w:tcBorders>
              <w:top w:val="single" w:color="000000" w:sz="6" w:space="0"/>
              <w:left w:val="single" w:color="000000" w:sz="6" w:space="0"/>
              <w:bottom w:val="single" w:color="000000" w:sz="6" w:space="0"/>
              <w:right w:val="single" w:color="000000" w:sz="18" w:space="0"/>
            </w:tcBorders>
            <w:vAlign w:val="center"/>
          </w:tcPr>
          <w:p w14:paraId="646CB599">
            <w:pPr>
              <w:spacing w:line="520" w:lineRule="exact"/>
              <w:jc w:val="left"/>
              <w:rPr>
                <w:rStyle w:val="233"/>
                <w:rFonts w:ascii="宋体" w:cs="Times New Roman"/>
                <w:bCs/>
                <w:color w:val="auto"/>
                <w:szCs w:val="22"/>
                <w:highlight w:val="none"/>
              </w:rPr>
            </w:pPr>
            <w:r>
              <w:rPr>
                <w:rStyle w:val="233"/>
                <w:rFonts w:ascii="宋体" w:cs="Times New Roman"/>
                <w:bCs/>
                <w:color w:val="auto"/>
                <w:szCs w:val="22"/>
                <w:highlight w:val="none"/>
              </w:rPr>
              <w:t xml:space="preserve"> </w:t>
            </w:r>
          </w:p>
        </w:tc>
      </w:tr>
      <w:tr w14:paraId="20FC5E27">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968" w:type="dxa"/>
            <w:gridSpan w:val="2"/>
            <w:tcBorders>
              <w:top w:val="single" w:color="000000" w:sz="6" w:space="0"/>
              <w:left w:val="single" w:color="000000" w:sz="18" w:space="0"/>
              <w:bottom w:val="single" w:color="000000" w:sz="6" w:space="0"/>
              <w:right w:val="single" w:color="000000" w:sz="6" w:space="0"/>
            </w:tcBorders>
            <w:vAlign w:val="center"/>
          </w:tcPr>
          <w:p w14:paraId="4F322FFF">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供应商名称（公章）</w:t>
            </w:r>
          </w:p>
        </w:tc>
        <w:tc>
          <w:tcPr>
            <w:tcW w:w="7753" w:type="dxa"/>
            <w:gridSpan w:val="4"/>
            <w:tcBorders>
              <w:top w:val="single" w:color="000000" w:sz="6" w:space="0"/>
              <w:left w:val="single" w:color="000000" w:sz="6" w:space="0"/>
              <w:bottom w:val="single" w:color="000000" w:sz="6" w:space="0"/>
              <w:right w:val="single" w:color="000000" w:sz="18" w:space="0"/>
            </w:tcBorders>
            <w:vAlign w:val="center"/>
          </w:tcPr>
          <w:p w14:paraId="0DE6CCA1">
            <w:pPr>
              <w:spacing w:line="520" w:lineRule="exact"/>
              <w:jc w:val="left"/>
              <w:rPr>
                <w:rStyle w:val="233"/>
                <w:rFonts w:ascii="宋体" w:cs="Times New Roman"/>
                <w:bCs/>
                <w:color w:val="auto"/>
                <w:szCs w:val="22"/>
                <w:highlight w:val="none"/>
              </w:rPr>
            </w:pPr>
          </w:p>
        </w:tc>
      </w:tr>
      <w:tr w14:paraId="5067229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968" w:type="dxa"/>
            <w:gridSpan w:val="2"/>
            <w:tcBorders>
              <w:top w:val="single" w:color="000000" w:sz="6" w:space="0"/>
              <w:left w:val="single" w:color="000000" w:sz="18" w:space="0"/>
              <w:bottom w:val="single" w:color="000000" w:sz="6" w:space="0"/>
              <w:right w:val="single" w:color="000000" w:sz="6" w:space="0"/>
            </w:tcBorders>
            <w:vAlign w:val="center"/>
          </w:tcPr>
          <w:p w14:paraId="508F15BF">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统一社会信用代码</w:t>
            </w:r>
          </w:p>
        </w:tc>
        <w:tc>
          <w:tcPr>
            <w:tcW w:w="7753" w:type="dxa"/>
            <w:gridSpan w:val="4"/>
            <w:tcBorders>
              <w:top w:val="single" w:color="000000" w:sz="6" w:space="0"/>
              <w:left w:val="single" w:color="000000" w:sz="6" w:space="0"/>
              <w:bottom w:val="single" w:color="000000" w:sz="6" w:space="0"/>
              <w:right w:val="single" w:color="000000" w:sz="18" w:space="0"/>
            </w:tcBorders>
            <w:vAlign w:val="center"/>
          </w:tcPr>
          <w:p w14:paraId="2B36453E">
            <w:pPr>
              <w:spacing w:line="520" w:lineRule="exact"/>
              <w:jc w:val="left"/>
              <w:rPr>
                <w:rStyle w:val="233"/>
                <w:rFonts w:ascii="宋体" w:cs="Times New Roman"/>
                <w:bCs/>
                <w:color w:val="auto"/>
                <w:szCs w:val="22"/>
                <w:highlight w:val="none"/>
              </w:rPr>
            </w:pPr>
          </w:p>
        </w:tc>
      </w:tr>
      <w:tr w14:paraId="3789839C">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968" w:type="dxa"/>
            <w:gridSpan w:val="2"/>
            <w:tcBorders>
              <w:top w:val="single" w:color="000000" w:sz="6" w:space="0"/>
              <w:left w:val="single" w:color="000000" w:sz="18" w:space="0"/>
              <w:bottom w:val="single" w:color="000000" w:sz="6" w:space="0"/>
              <w:right w:val="single" w:color="000000" w:sz="6" w:space="0"/>
            </w:tcBorders>
            <w:vAlign w:val="center"/>
          </w:tcPr>
          <w:p w14:paraId="05B9F708">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项目联系人</w:t>
            </w:r>
          </w:p>
        </w:tc>
        <w:tc>
          <w:tcPr>
            <w:tcW w:w="2880" w:type="dxa"/>
            <w:tcBorders>
              <w:top w:val="single" w:color="000000" w:sz="6" w:space="0"/>
              <w:left w:val="single" w:color="000000" w:sz="6" w:space="0"/>
              <w:bottom w:val="single" w:color="000000" w:sz="6" w:space="0"/>
              <w:right w:val="single" w:color="000000" w:sz="6" w:space="0"/>
            </w:tcBorders>
            <w:vAlign w:val="center"/>
          </w:tcPr>
          <w:p w14:paraId="7FF7E234">
            <w:pPr>
              <w:spacing w:line="520" w:lineRule="exact"/>
              <w:jc w:val="left"/>
              <w:rPr>
                <w:rStyle w:val="233"/>
                <w:rFonts w:ascii="宋体" w:cs="Times New Roman"/>
                <w:bCs/>
                <w:color w:val="auto"/>
                <w:szCs w:val="22"/>
                <w:highlight w:val="none"/>
              </w:rPr>
            </w:pPr>
            <w:r>
              <w:rPr>
                <w:rStyle w:val="233"/>
                <w:rFonts w:ascii="宋体" w:cs="Times New Roman"/>
                <w:bCs/>
                <w:color w:val="auto"/>
                <w:szCs w:val="22"/>
                <w:highlight w:val="none"/>
              </w:rPr>
              <w:t> </w:t>
            </w:r>
          </w:p>
        </w:tc>
        <w:tc>
          <w:tcPr>
            <w:tcW w:w="1485" w:type="dxa"/>
            <w:gridSpan w:val="2"/>
            <w:tcBorders>
              <w:top w:val="single" w:color="000000" w:sz="6" w:space="0"/>
              <w:left w:val="single" w:color="000000" w:sz="6" w:space="0"/>
              <w:bottom w:val="single" w:color="000000" w:sz="6" w:space="0"/>
              <w:right w:val="single" w:color="000000" w:sz="6" w:space="0"/>
            </w:tcBorders>
            <w:vAlign w:val="center"/>
          </w:tcPr>
          <w:p w14:paraId="2B7AE9F1">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手    机</w:t>
            </w:r>
          </w:p>
        </w:tc>
        <w:tc>
          <w:tcPr>
            <w:tcW w:w="3388" w:type="dxa"/>
            <w:tcBorders>
              <w:top w:val="single" w:color="000000" w:sz="6" w:space="0"/>
              <w:left w:val="single" w:color="000000" w:sz="6" w:space="0"/>
              <w:bottom w:val="single" w:color="000000" w:sz="6" w:space="0"/>
              <w:right w:val="single" w:color="000000" w:sz="18" w:space="0"/>
            </w:tcBorders>
            <w:vAlign w:val="center"/>
          </w:tcPr>
          <w:p w14:paraId="1E431899">
            <w:pPr>
              <w:spacing w:line="520" w:lineRule="exact"/>
              <w:jc w:val="left"/>
              <w:rPr>
                <w:rStyle w:val="233"/>
                <w:rFonts w:ascii="宋体" w:cs="Times New Roman"/>
                <w:bCs/>
                <w:color w:val="auto"/>
                <w:szCs w:val="22"/>
                <w:highlight w:val="none"/>
              </w:rPr>
            </w:pPr>
            <w:r>
              <w:rPr>
                <w:rStyle w:val="233"/>
                <w:rFonts w:ascii="宋体" w:cs="Times New Roman"/>
                <w:bCs/>
                <w:color w:val="auto"/>
                <w:szCs w:val="22"/>
                <w:highlight w:val="none"/>
              </w:rPr>
              <w:t> </w:t>
            </w:r>
          </w:p>
        </w:tc>
      </w:tr>
      <w:tr w14:paraId="5FD5CF09">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968" w:type="dxa"/>
            <w:gridSpan w:val="2"/>
            <w:tcBorders>
              <w:top w:val="single" w:color="000000" w:sz="6" w:space="0"/>
              <w:left w:val="single" w:color="000000" w:sz="18" w:space="0"/>
              <w:bottom w:val="single" w:color="000000" w:sz="6" w:space="0"/>
              <w:right w:val="single" w:color="000000" w:sz="6" w:space="0"/>
            </w:tcBorders>
            <w:vAlign w:val="center"/>
          </w:tcPr>
          <w:p w14:paraId="0153A96E">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联系电话</w:t>
            </w:r>
          </w:p>
        </w:tc>
        <w:tc>
          <w:tcPr>
            <w:tcW w:w="2880" w:type="dxa"/>
            <w:tcBorders>
              <w:top w:val="single" w:color="000000" w:sz="6" w:space="0"/>
              <w:left w:val="single" w:color="000000" w:sz="6" w:space="0"/>
              <w:bottom w:val="single" w:color="000000" w:sz="6" w:space="0"/>
              <w:right w:val="single" w:color="000000" w:sz="6" w:space="0"/>
            </w:tcBorders>
            <w:vAlign w:val="center"/>
          </w:tcPr>
          <w:p w14:paraId="3FE2B866">
            <w:pPr>
              <w:spacing w:line="520" w:lineRule="exact"/>
              <w:jc w:val="left"/>
              <w:rPr>
                <w:rStyle w:val="233"/>
                <w:rFonts w:ascii="宋体" w:cs="Times New Roman"/>
                <w:bCs/>
                <w:color w:val="auto"/>
                <w:szCs w:val="22"/>
                <w:highlight w:val="none"/>
              </w:rPr>
            </w:pPr>
            <w:r>
              <w:rPr>
                <w:rStyle w:val="233"/>
                <w:rFonts w:ascii="宋体" w:cs="Times New Roman"/>
                <w:bCs/>
                <w:color w:val="auto"/>
                <w:szCs w:val="22"/>
                <w:highlight w:val="none"/>
              </w:rPr>
              <w:t> </w:t>
            </w:r>
          </w:p>
        </w:tc>
        <w:tc>
          <w:tcPr>
            <w:tcW w:w="1485" w:type="dxa"/>
            <w:gridSpan w:val="2"/>
            <w:tcBorders>
              <w:top w:val="single" w:color="000000" w:sz="6" w:space="0"/>
              <w:left w:val="single" w:color="000000" w:sz="6" w:space="0"/>
              <w:bottom w:val="single" w:color="000000" w:sz="6" w:space="0"/>
              <w:right w:val="single" w:color="000000" w:sz="6" w:space="0"/>
            </w:tcBorders>
            <w:vAlign w:val="center"/>
          </w:tcPr>
          <w:p w14:paraId="1FC25D64">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传    真</w:t>
            </w:r>
          </w:p>
        </w:tc>
        <w:tc>
          <w:tcPr>
            <w:tcW w:w="3388" w:type="dxa"/>
            <w:tcBorders>
              <w:top w:val="single" w:color="000000" w:sz="6" w:space="0"/>
              <w:left w:val="single" w:color="000000" w:sz="6" w:space="0"/>
              <w:bottom w:val="single" w:color="000000" w:sz="6" w:space="0"/>
              <w:right w:val="single" w:color="000000" w:sz="18" w:space="0"/>
            </w:tcBorders>
            <w:vAlign w:val="center"/>
          </w:tcPr>
          <w:p w14:paraId="6F3A604F">
            <w:pPr>
              <w:spacing w:line="520" w:lineRule="exact"/>
              <w:jc w:val="left"/>
              <w:rPr>
                <w:rStyle w:val="233"/>
                <w:rFonts w:ascii="宋体" w:cs="Times New Roman"/>
                <w:bCs/>
                <w:color w:val="auto"/>
                <w:szCs w:val="22"/>
                <w:highlight w:val="none"/>
              </w:rPr>
            </w:pPr>
            <w:r>
              <w:rPr>
                <w:rStyle w:val="233"/>
                <w:rFonts w:ascii="宋体" w:cs="Times New Roman"/>
                <w:bCs/>
                <w:color w:val="auto"/>
                <w:szCs w:val="22"/>
                <w:highlight w:val="none"/>
              </w:rPr>
              <w:t> </w:t>
            </w:r>
          </w:p>
        </w:tc>
      </w:tr>
      <w:tr w14:paraId="4942C4E5">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968" w:type="dxa"/>
            <w:gridSpan w:val="2"/>
            <w:tcBorders>
              <w:top w:val="single" w:color="000000" w:sz="6" w:space="0"/>
              <w:left w:val="single" w:color="000000" w:sz="18" w:space="0"/>
              <w:bottom w:val="single" w:color="000000" w:sz="6" w:space="0"/>
              <w:right w:val="single" w:color="000000" w:sz="6" w:space="0"/>
            </w:tcBorders>
            <w:vAlign w:val="center"/>
          </w:tcPr>
          <w:p w14:paraId="68CE80F0">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E-mail</w:t>
            </w:r>
          </w:p>
        </w:tc>
        <w:tc>
          <w:tcPr>
            <w:tcW w:w="2880" w:type="dxa"/>
            <w:tcBorders>
              <w:top w:val="single" w:color="000000" w:sz="6" w:space="0"/>
              <w:left w:val="single" w:color="000000" w:sz="6" w:space="0"/>
              <w:bottom w:val="single" w:color="000000" w:sz="6" w:space="0"/>
              <w:right w:val="single" w:color="000000" w:sz="6" w:space="0"/>
            </w:tcBorders>
            <w:vAlign w:val="center"/>
          </w:tcPr>
          <w:p w14:paraId="2F15559D">
            <w:pPr>
              <w:spacing w:line="520" w:lineRule="exact"/>
              <w:jc w:val="left"/>
              <w:rPr>
                <w:rStyle w:val="233"/>
                <w:rFonts w:ascii="宋体" w:cs="Times New Roman"/>
                <w:bCs/>
                <w:color w:val="auto"/>
                <w:szCs w:val="22"/>
                <w:highlight w:val="none"/>
              </w:rPr>
            </w:pPr>
            <w:r>
              <w:rPr>
                <w:rStyle w:val="233"/>
                <w:rFonts w:ascii="宋体" w:cs="Times New Roman"/>
                <w:bCs/>
                <w:color w:val="auto"/>
                <w:szCs w:val="22"/>
                <w:highlight w:val="none"/>
              </w:rPr>
              <w:t> </w:t>
            </w:r>
          </w:p>
        </w:tc>
        <w:tc>
          <w:tcPr>
            <w:tcW w:w="1485" w:type="dxa"/>
            <w:gridSpan w:val="2"/>
            <w:tcBorders>
              <w:top w:val="single" w:color="000000" w:sz="6" w:space="0"/>
              <w:left w:val="single" w:color="000000" w:sz="6" w:space="0"/>
              <w:bottom w:val="single" w:color="000000" w:sz="6" w:space="0"/>
              <w:right w:val="single" w:color="000000" w:sz="6" w:space="0"/>
            </w:tcBorders>
            <w:vAlign w:val="center"/>
          </w:tcPr>
          <w:p w14:paraId="04EF7666">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邮政编码</w:t>
            </w:r>
          </w:p>
        </w:tc>
        <w:tc>
          <w:tcPr>
            <w:tcW w:w="3388" w:type="dxa"/>
            <w:tcBorders>
              <w:top w:val="single" w:color="000000" w:sz="6" w:space="0"/>
              <w:left w:val="single" w:color="000000" w:sz="6" w:space="0"/>
              <w:bottom w:val="single" w:color="000000" w:sz="6" w:space="0"/>
              <w:right w:val="single" w:color="000000" w:sz="18" w:space="0"/>
            </w:tcBorders>
            <w:vAlign w:val="center"/>
          </w:tcPr>
          <w:p w14:paraId="144046DE">
            <w:pPr>
              <w:spacing w:line="520" w:lineRule="exact"/>
              <w:jc w:val="left"/>
              <w:rPr>
                <w:rStyle w:val="233"/>
                <w:rFonts w:ascii="宋体" w:cs="Times New Roman"/>
                <w:bCs/>
                <w:color w:val="auto"/>
                <w:szCs w:val="22"/>
                <w:highlight w:val="none"/>
              </w:rPr>
            </w:pPr>
            <w:r>
              <w:rPr>
                <w:rStyle w:val="233"/>
                <w:rFonts w:ascii="宋体" w:cs="Times New Roman"/>
                <w:bCs/>
                <w:color w:val="auto"/>
                <w:szCs w:val="22"/>
                <w:highlight w:val="none"/>
              </w:rPr>
              <w:t> </w:t>
            </w:r>
          </w:p>
        </w:tc>
      </w:tr>
      <w:tr w14:paraId="6DD78D08">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968" w:type="dxa"/>
            <w:gridSpan w:val="2"/>
            <w:tcBorders>
              <w:top w:val="single" w:color="000000" w:sz="6" w:space="0"/>
              <w:left w:val="single" w:color="000000" w:sz="18" w:space="0"/>
              <w:bottom w:val="single" w:color="000000" w:sz="6" w:space="0"/>
              <w:right w:val="single" w:color="000000" w:sz="6" w:space="0"/>
            </w:tcBorders>
            <w:vAlign w:val="center"/>
          </w:tcPr>
          <w:p w14:paraId="57690041">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通信地址</w:t>
            </w:r>
          </w:p>
        </w:tc>
        <w:tc>
          <w:tcPr>
            <w:tcW w:w="7753" w:type="dxa"/>
            <w:gridSpan w:val="4"/>
            <w:tcBorders>
              <w:top w:val="single" w:color="000000" w:sz="6" w:space="0"/>
              <w:left w:val="single" w:color="000000" w:sz="6" w:space="0"/>
              <w:bottom w:val="single" w:color="000000" w:sz="6" w:space="0"/>
              <w:right w:val="single" w:color="000000" w:sz="18" w:space="0"/>
            </w:tcBorders>
            <w:vAlign w:val="center"/>
          </w:tcPr>
          <w:p w14:paraId="6806F1AE">
            <w:pPr>
              <w:spacing w:line="520" w:lineRule="exact"/>
              <w:jc w:val="left"/>
              <w:rPr>
                <w:rStyle w:val="233"/>
                <w:rFonts w:ascii="宋体" w:cs="Times New Roman"/>
                <w:bCs/>
                <w:color w:val="auto"/>
                <w:szCs w:val="22"/>
                <w:highlight w:val="none"/>
              </w:rPr>
            </w:pPr>
            <w:r>
              <w:rPr>
                <w:rStyle w:val="233"/>
                <w:rFonts w:ascii="宋体" w:cs="Times New Roman"/>
                <w:bCs/>
                <w:color w:val="auto"/>
                <w:szCs w:val="22"/>
                <w:highlight w:val="none"/>
              </w:rPr>
              <w:t> </w:t>
            </w:r>
          </w:p>
        </w:tc>
      </w:tr>
      <w:tr w14:paraId="30433397">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9721" w:type="dxa"/>
            <w:gridSpan w:val="6"/>
            <w:tcBorders>
              <w:top w:val="single" w:color="000000" w:sz="6" w:space="0"/>
              <w:left w:val="single" w:color="000000" w:sz="18" w:space="0"/>
              <w:bottom w:val="single" w:color="000000" w:sz="6" w:space="0"/>
              <w:right w:val="single" w:color="000000" w:sz="18" w:space="0"/>
            </w:tcBorders>
            <w:vAlign w:val="center"/>
          </w:tcPr>
          <w:p w14:paraId="77FC7071">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提交的报名文件资料</w:t>
            </w:r>
          </w:p>
        </w:tc>
      </w:tr>
      <w:tr w14:paraId="6209F82E">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986" w:type="dxa"/>
            <w:tcBorders>
              <w:top w:val="single" w:color="000000" w:sz="6" w:space="0"/>
              <w:left w:val="single" w:color="000000" w:sz="18" w:space="0"/>
              <w:bottom w:val="single" w:color="000000" w:sz="6" w:space="0"/>
              <w:right w:val="single" w:color="000000" w:sz="6" w:space="0"/>
            </w:tcBorders>
            <w:vAlign w:val="center"/>
          </w:tcPr>
          <w:p w14:paraId="5BF25CEF">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序号</w:t>
            </w:r>
          </w:p>
        </w:tc>
        <w:tc>
          <w:tcPr>
            <w:tcW w:w="4232" w:type="dxa"/>
            <w:gridSpan w:val="3"/>
            <w:tcBorders>
              <w:top w:val="single" w:color="000000" w:sz="6" w:space="0"/>
              <w:left w:val="single" w:color="000000" w:sz="6" w:space="0"/>
              <w:bottom w:val="single" w:color="000000" w:sz="6" w:space="0"/>
              <w:right w:val="single" w:color="000000" w:sz="6" w:space="0"/>
            </w:tcBorders>
            <w:vAlign w:val="center"/>
          </w:tcPr>
          <w:p w14:paraId="6F232750">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报  名  资  料</w:t>
            </w:r>
          </w:p>
        </w:tc>
        <w:tc>
          <w:tcPr>
            <w:tcW w:w="1115" w:type="dxa"/>
            <w:tcBorders>
              <w:top w:val="single" w:color="000000" w:sz="6" w:space="0"/>
              <w:left w:val="single" w:color="000000" w:sz="6" w:space="0"/>
              <w:bottom w:val="single" w:color="000000" w:sz="6" w:space="0"/>
              <w:right w:val="single" w:color="000000" w:sz="6" w:space="0"/>
            </w:tcBorders>
            <w:vAlign w:val="center"/>
          </w:tcPr>
          <w:p w14:paraId="4C43B8FE">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是否提交</w:t>
            </w:r>
          </w:p>
        </w:tc>
        <w:tc>
          <w:tcPr>
            <w:tcW w:w="3388" w:type="dxa"/>
            <w:tcBorders>
              <w:top w:val="single" w:color="000000" w:sz="6" w:space="0"/>
              <w:left w:val="single" w:color="000000" w:sz="6" w:space="0"/>
              <w:bottom w:val="single" w:color="000000" w:sz="6" w:space="0"/>
              <w:right w:val="single" w:color="000000" w:sz="18" w:space="0"/>
            </w:tcBorders>
            <w:vAlign w:val="center"/>
          </w:tcPr>
          <w:p w14:paraId="380C53E5">
            <w:pPr>
              <w:spacing w:line="520" w:lineRule="exact"/>
              <w:jc w:val="center"/>
              <w:rPr>
                <w:rStyle w:val="233"/>
                <w:rFonts w:ascii="宋体" w:cs="Times New Roman"/>
                <w:bCs/>
                <w:color w:val="auto"/>
                <w:szCs w:val="22"/>
                <w:highlight w:val="none"/>
              </w:rPr>
            </w:pPr>
            <w:r>
              <w:rPr>
                <w:rStyle w:val="233"/>
                <w:rFonts w:ascii="宋体" w:cs="Times New Roman"/>
                <w:bCs/>
                <w:color w:val="auto"/>
                <w:szCs w:val="22"/>
                <w:highlight w:val="none"/>
              </w:rPr>
              <w:t>备    注</w:t>
            </w:r>
          </w:p>
        </w:tc>
      </w:tr>
      <w:tr w14:paraId="481B89AD">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843" w:hRule="atLeast"/>
          <w:jc w:val="center"/>
        </w:trPr>
        <w:tc>
          <w:tcPr>
            <w:tcW w:w="986" w:type="dxa"/>
            <w:tcBorders>
              <w:top w:val="single" w:color="000000" w:sz="6" w:space="0"/>
              <w:left w:val="single" w:color="000000" w:sz="18" w:space="0"/>
              <w:bottom w:val="single" w:color="000000" w:sz="6" w:space="0"/>
              <w:right w:val="single" w:color="000000" w:sz="6" w:space="0"/>
            </w:tcBorders>
            <w:vAlign w:val="center"/>
          </w:tcPr>
          <w:p w14:paraId="40A54EDC">
            <w:pPr>
              <w:numPr>
                <w:ilvl w:val="0"/>
                <w:numId w:val="1"/>
              </w:numPr>
              <w:spacing w:line="520" w:lineRule="exact"/>
              <w:ind w:left="134" w:leftChars="64" w:firstLine="0"/>
              <w:jc w:val="center"/>
              <w:rPr>
                <w:rStyle w:val="233"/>
                <w:rFonts w:ascii="宋体" w:cs="Times New Roman"/>
                <w:bCs/>
                <w:color w:val="auto"/>
                <w:szCs w:val="22"/>
                <w:highlight w:val="none"/>
              </w:rPr>
            </w:pPr>
          </w:p>
        </w:tc>
        <w:tc>
          <w:tcPr>
            <w:tcW w:w="4232" w:type="dxa"/>
            <w:gridSpan w:val="3"/>
            <w:tcBorders>
              <w:top w:val="single" w:color="000000" w:sz="6" w:space="0"/>
              <w:left w:val="single" w:color="000000" w:sz="6" w:space="0"/>
              <w:bottom w:val="single" w:color="000000" w:sz="6" w:space="0"/>
              <w:right w:val="single" w:color="000000" w:sz="6" w:space="0"/>
            </w:tcBorders>
            <w:vAlign w:val="center"/>
          </w:tcPr>
          <w:p w14:paraId="1CC8C1A3">
            <w:pPr>
              <w:spacing w:line="520" w:lineRule="exact"/>
              <w:ind w:firstLine="210" w:firstLineChars="100"/>
              <w:jc w:val="left"/>
              <w:rPr>
                <w:rStyle w:val="233"/>
                <w:rFonts w:ascii="宋体" w:cs="Times New Roman"/>
                <w:bCs/>
                <w:color w:val="auto"/>
                <w:szCs w:val="22"/>
                <w:highlight w:val="none"/>
              </w:rPr>
            </w:pPr>
            <w:r>
              <w:rPr>
                <w:rStyle w:val="233"/>
                <w:rFonts w:ascii="宋体" w:cs="Times New Roman"/>
                <w:bCs/>
                <w:color w:val="auto"/>
                <w:szCs w:val="22"/>
                <w:highlight w:val="none"/>
              </w:rPr>
              <w:t>有效的工商执照、税务登记证（副本复印件）</w:t>
            </w:r>
          </w:p>
        </w:tc>
        <w:tc>
          <w:tcPr>
            <w:tcW w:w="1115" w:type="dxa"/>
            <w:tcBorders>
              <w:top w:val="single" w:color="000000" w:sz="6" w:space="0"/>
              <w:left w:val="single" w:color="000000" w:sz="6" w:space="0"/>
              <w:bottom w:val="single" w:color="000000" w:sz="6" w:space="0"/>
              <w:right w:val="single" w:color="000000" w:sz="6" w:space="0"/>
            </w:tcBorders>
            <w:vAlign w:val="center"/>
          </w:tcPr>
          <w:p w14:paraId="56665B59">
            <w:pPr>
              <w:spacing w:line="520" w:lineRule="exact"/>
              <w:jc w:val="left"/>
              <w:rPr>
                <w:rStyle w:val="233"/>
                <w:rFonts w:ascii="宋体" w:cs="Times New Roman"/>
                <w:bCs/>
                <w:color w:val="auto"/>
                <w:szCs w:val="22"/>
                <w:highlight w:val="none"/>
              </w:rPr>
            </w:pPr>
          </w:p>
        </w:tc>
        <w:tc>
          <w:tcPr>
            <w:tcW w:w="3388" w:type="dxa"/>
            <w:tcBorders>
              <w:top w:val="single" w:color="000000" w:sz="6" w:space="0"/>
              <w:left w:val="single" w:color="000000" w:sz="6" w:space="0"/>
              <w:bottom w:val="single" w:color="000000" w:sz="6" w:space="0"/>
              <w:right w:val="single" w:color="000000" w:sz="18" w:space="0"/>
            </w:tcBorders>
            <w:vAlign w:val="center"/>
          </w:tcPr>
          <w:p w14:paraId="01DA432D">
            <w:pPr>
              <w:spacing w:line="520" w:lineRule="exact"/>
              <w:jc w:val="left"/>
              <w:rPr>
                <w:rStyle w:val="233"/>
                <w:rFonts w:ascii="宋体" w:cs="Times New Roman"/>
                <w:bCs/>
                <w:color w:val="auto"/>
                <w:szCs w:val="22"/>
                <w:highlight w:val="none"/>
              </w:rPr>
            </w:pPr>
          </w:p>
        </w:tc>
      </w:tr>
      <w:tr w14:paraId="108E9835">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986" w:type="dxa"/>
            <w:tcBorders>
              <w:top w:val="single" w:color="000000" w:sz="6" w:space="0"/>
              <w:left w:val="single" w:color="000000" w:sz="18" w:space="0"/>
              <w:bottom w:val="single" w:color="000000" w:sz="6" w:space="0"/>
              <w:right w:val="single" w:color="000000" w:sz="6" w:space="0"/>
            </w:tcBorders>
            <w:vAlign w:val="center"/>
          </w:tcPr>
          <w:p w14:paraId="59F4CD4B">
            <w:pPr>
              <w:numPr>
                <w:ilvl w:val="0"/>
                <w:numId w:val="1"/>
              </w:numPr>
              <w:spacing w:line="520" w:lineRule="exact"/>
              <w:ind w:left="134" w:leftChars="64" w:firstLine="0"/>
              <w:jc w:val="center"/>
              <w:rPr>
                <w:rStyle w:val="233"/>
                <w:rFonts w:ascii="宋体" w:cs="Times New Roman"/>
                <w:bCs/>
                <w:color w:val="auto"/>
                <w:szCs w:val="22"/>
                <w:highlight w:val="none"/>
              </w:rPr>
            </w:pPr>
          </w:p>
        </w:tc>
        <w:tc>
          <w:tcPr>
            <w:tcW w:w="4232" w:type="dxa"/>
            <w:gridSpan w:val="3"/>
            <w:tcBorders>
              <w:top w:val="single" w:color="000000" w:sz="6" w:space="0"/>
              <w:left w:val="single" w:color="000000" w:sz="6" w:space="0"/>
              <w:bottom w:val="single" w:color="000000" w:sz="6" w:space="0"/>
              <w:right w:val="single" w:color="000000" w:sz="6" w:space="0"/>
            </w:tcBorders>
            <w:vAlign w:val="center"/>
          </w:tcPr>
          <w:p w14:paraId="4A1CA738">
            <w:pPr>
              <w:spacing w:line="520" w:lineRule="exact"/>
              <w:ind w:firstLine="210" w:firstLineChars="100"/>
              <w:jc w:val="left"/>
              <w:rPr>
                <w:rStyle w:val="233"/>
                <w:rFonts w:hint="eastAsia" w:ascii="宋体" w:eastAsia="宋体" w:cs="Times New Roman"/>
                <w:bCs/>
                <w:color w:val="auto"/>
                <w:szCs w:val="22"/>
                <w:highlight w:val="none"/>
                <w:lang w:eastAsia="zh-CN"/>
              </w:rPr>
            </w:pPr>
            <w:r>
              <w:rPr>
                <w:rStyle w:val="233"/>
                <w:rFonts w:hint="eastAsia" w:ascii="宋体" w:cs="Times New Roman"/>
                <w:bCs/>
                <w:color w:val="auto"/>
                <w:szCs w:val="22"/>
                <w:highlight w:val="none"/>
                <w:lang w:eastAsia="zh-CN"/>
              </w:rPr>
              <w:t>特定资格条件规定的资质证书（如有）</w:t>
            </w:r>
          </w:p>
        </w:tc>
        <w:tc>
          <w:tcPr>
            <w:tcW w:w="1115" w:type="dxa"/>
            <w:tcBorders>
              <w:top w:val="single" w:color="000000" w:sz="6" w:space="0"/>
              <w:left w:val="single" w:color="000000" w:sz="6" w:space="0"/>
              <w:bottom w:val="single" w:color="000000" w:sz="6" w:space="0"/>
              <w:right w:val="single" w:color="000000" w:sz="6" w:space="0"/>
            </w:tcBorders>
            <w:vAlign w:val="center"/>
          </w:tcPr>
          <w:p w14:paraId="4D870060">
            <w:pPr>
              <w:spacing w:line="520" w:lineRule="exact"/>
              <w:jc w:val="left"/>
              <w:rPr>
                <w:rStyle w:val="233"/>
                <w:rFonts w:ascii="宋体" w:cs="Times New Roman"/>
                <w:bCs/>
                <w:color w:val="auto"/>
                <w:szCs w:val="22"/>
                <w:highlight w:val="none"/>
              </w:rPr>
            </w:pPr>
          </w:p>
        </w:tc>
        <w:tc>
          <w:tcPr>
            <w:tcW w:w="3388" w:type="dxa"/>
            <w:tcBorders>
              <w:top w:val="single" w:color="000000" w:sz="6" w:space="0"/>
              <w:left w:val="single" w:color="000000" w:sz="6" w:space="0"/>
              <w:bottom w:val="single" w:color="000000" w:sz="6" w:space="0"/>
              <w:right w:val="single" w:color="000000" w:sz="18" w:space="0"/>
            </w:tcBorders>
            <w:vAlign w:val="center"/>
          </w:tcPr>
          <w:p w14:paraId="7DEE527D">
            <w:pPr>
              <w:spacing w:line="520" w:lineRule="exact"/>
              <w:ind w:firstLine="210" w:firstLineChars="100"/>
              <w:jc w:val="left"/>
              <w:rPr>
                <w:rStyle w:val="233"/>
                <w:rFonts w:ascii="宋体" w:cs="Times New Roman"/>
                <w:bCs/>
                <w:color w:val="auto"/>
                <w:szCs w:val="22"/>
                <w:highlight w:val="none"/>
              </w:rPr>
            </w:pPr>
            <w:r>
              <w:rPr>
                <w:rStyle w:val="233"/>
                <w:rFonts w:ascii="宋体" w:cs="Times New Roman"/>
                <w:bCs/>
                <w:color w:val="auto"/>
                <w:szCs w:val="22"/>
                <w:highlight w:val="none"/>
              </w:rPr>
              <w:t>注册资金：        万元</w:t>
            </w:r>
          </w:p>
        </w:tc>
      </w:tr>
      <w:tr w14:paraId="6D3A6FD4">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986" w:type="dxa"/>
            <w:tcBorders>
              <w:top w:val="single" w:color="000000" w:sz="6" w:space="0"/>
              <w:left w:val="single" w:color="000000" w:sz="18" w:space="0"/>
              <w:bottom w:val="single" w:color="000000" w:sz="6" w:space="0"/>
              <w:right w:val="single" w:color="000000" w:sz="6" w:space="0"/>
            </w:tcBorders>
            <w:vAlign w:val="center"/>
          </w:tcPr>
          <w:p w14:paraId="3517BE91">
            <w:pPr>
              <w:numPr>
                <w:ilvl w:val="0"/>
                <w:numId w:val="1"/>
              </w:numPr>
              <w:spacing w:line="520" w:lineRule="exact"/>
              <w:ind w:left="134" w:leftChars="64" w:firstLine="0"/>
              <w:jc w:val="center"/>
              <w:rPr>
                <w:rStyle w:val="233"/>
                <w:rFonts w:ascii="宋体" w:cs="Times New Roman"/>
                <w:bCs/>
                <w:color w:val="auto"/>
                <w:szCs w:val="22"/>
                <w:highlight w:val="none"/>
              </w:rPr>
            </w:pPr>
          </w:p>
        </w:tc>
        <w:tc>
          <w:tcPr>
            <w:tcW w:w="4232" w:type="dxa"/>
            <w:gridSpan w:val="3"/>
            <w:tcBorders>
              <w:top w:val="single" w:color="000000" w:sz="6" w:space="0"/>
              <w:left w:val="single" w:color="000000" w:sz="6" w:space="0"/>
              <w:bottom w:val="single" w:color="000000" w:sz="6" w:space="0"/>
              <w:right w:val="single" w:color="000000" w:sz="6" w:space="0"/>
            </w:tcBorders>
            <w:vAlign w:val="center"/>
          </w:tcPr>
          <w:p w14:paraId="0CEBD4B3">
            <w:pPr>
              <w:spacing w:line="520" w:lineRule="exact"/>
              <w:ind w:firstLine="210" w:firstLineChars="100"/>
              <w:jc w:val="left"/>
              <w:rPr>
                <w:rStyle w:val="233"/>
                <w:rFonts w:ascii="宋体" w:cs="Times New Roman"/>
                <w:bCs/>
                <w:color w:val="auto"/>
                <w:szCs w:val="22"/>
                <w:highlight w:val="none"/>
              </w:rPr>
            </w:pPr>
          </w:p>
        </w:tc>
        <w:tc>
          <w:tcPr>
            <w:tcW w:w="1115" w:type="dxa"/>
            <w:tcBorders>
              <w:top w:val="single" w:color="000000" w:sz="6" w:space="0"/>
              <w:left w:val="single" w:color="000000" w:sz="6" w:space="0"/>
              <w:bottom w:val="single" w:color="000000" w:sz="6" w:space="0"/>
              <w:right w:val="single" w:color="000000" w:sz="6" w:space="0"/>
            </w:tcBorders>
            <w:vAlign w:val="center"/>
          </w:tcPr>
          <w:p w14:paraId="0F820771">
            <w:pPr>
              <w:spacing w:line="520" w:lineRule="exact"/>
              <w:jc w:val="left"/>
              <w:rPr>
                <w:rStyle w:val="233"/>
                <w:rFonts w:ascii="宋体" w:cs="Times New Roman"/>
                <w:bCs/>
                <w:color w:val="auto"/>
                <w:szCs w:val="22"/>
                <w:highlight w:val="none"/>
              </w:rPr>
            </w:pPr>
          </w:p>
        </w:tc>
        <w:tc>
          <w:tcPr>
            <w:tcW w:w="3388" w:type="dxa"/>
            <w:tcBorders>
              <w:top w:val="single" w:color="000000" w:sz="6" w:space="0"/>
              <w:left w:val="single" w:color="000000" w:sz="6" w:space="0"/>
              <w:bottom w:val="single" w:color="000000" w:sz="6" w:space="0"/>
              <w:right w:val="single" w:color="000000" w:sz="18" w:space="0"/>
            </w:tcBorders>
            <w:vAlign w:val="center"/>
          </w:tcPr>
          <w:p w14:paraId="16D05060">
            <w:pPr>
              <w:spacing w:line="520" w:lineRule="exact"/>
              <w:jc w:val="left"/>
              <w:rPr>
                <w:rStyle w:val="233"/>
                <w:rFonts w:ascii="宋体" w:cs="Times New Roman"/>
                <w:bCs/>
                <w:color w:val="auto"/>
                <w:szCs w:val="22"/>
                <w:highlight w:val="none"/>
              </w:rPr>
            </w:pPr>
          </w:p>
        </w:tc>
      </w:tr>
      <w:tr w14:paraId="76D4EF61">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986" w:type="dxa"/>
            <w:tcBorders>
              <w:top w:val="single" w:color="000000" w:sz="6" w:space="0"/>
              <w:left w:val="single" w:color="000000" w:sz="18" w:space="0"/>
              <w:bottom w:val="single" w:color="000000" w:sz="6" w:space="0"/>
              <w:right w:val="single" w:color="000000" w:sz="6" w:space="0"/>
            </w:tcBorders>
            <w:vAlign w:val="center"/>
          </w:tcPr>
          <w:p w14:paraId="25E54D36">
            <w:pPr>
              <w:numPr>
                <w:ilvl w:val="0"/>
                <w:numId w:val="1"/>
              </w:numPr>
              <w:spacing w:line="520" w:lineRule="exact"/>
              <w:ind w:left="134" w:leftChars="64" w:firstLine="0"/>
              <w:jc w:val="center"/>
              <w:rPr>
                <w:rStyle w:val="233"/>
                <w:rFonts w:ascii="宋体" w:cs="Times New Roman"/>
                <w:bCs/>
                <w:color w:val="auto"/>
                <w:szCs w:val="22"/>
                <w:highlight w:val="none"/>
              </w:rPr>
            </w:pPr>
          </w:p>
        </w:tc>
        <w:tc>
          <w:tcPr>
            <w:tcW w:w="4232" w:type="dxa"/>
            <w:gridSpan w:val="3"/>
            <w:tcBorders>
              <w:top w:val="single" w:color="000000" w:sz="6" w:space="0"/>
              <w:left w:val="single" w:color="000000" w:sz="6" w:space="0"/>
              <w:bottom w:val="single" w:color="000000" w:sz="6" w:space="0"/>
              <w:right w:val="single" w:color="000000" w:sz="6" w:space="0"/>
            </w:tcBorders>
            <w:vAlign w:val="center"/>
          </w:tcPr>
          <w:p w14:paraId="3C9D4854">
            <w:pPr>
              <w:spacing w:line="520" w:lineRule="exact"/>
              <w:jc w:val="left"/>
              <w:rPr>
                <w:rStyle w:val="233"/>
                <w:rFonts w:ascii="宋体" w:cs="Times New Roman"/>
                <w:bCs/>
                <w:color w:val="auto"/>
                <w:szCs w:val="22"/>
                <w:highlight w:val="none"/>
              </w:rPr>
            </w:pPr>
          </w:p>
        </w:tc>
        <w:tc>
          <w:tcPr>
            <w:tcW w:w="1115" w:type="dxa"/>
            <w:tcBorders>
              <w:top w:val="single" w:color="000000" w:sz="6" w:space="0"/>
              <w:left w:val="single" w:color="000000" w:sz="6" w:space="0"/>
              <w:bottom w:val="single" w:color="000000" w:sz="6" w:space="0"/>
              <w:right w:val="single" w:color="000000" w:sz="6" w:space="0"/>
            </w:tcBorders>
            <w:vAlign w:val="center"/>
          </w:tcPr>
          <w:p w14:paraId="7C0C88E9">
            <w:pPr>
              <w:spacing w:line="520" w:lineRule="exact"/>
              <w:jc w:val="left"/>
              <w:rPr>
                <w:rStyle w:val="233"/>
                <w:rFonts w:ascii="宋体" w:cs="Times New Roman"/>
                <w:bCs/>
                <w:color w:val="auto"/>
                <w:szCs w:val="22"/>
                <w:highlight w:val="none"/>
              </w:rPr>
            </w:pPr>
          </w:p>
        </w:tc>
        <w:tc>
          <w:tcPr>
            <w:tcW w:w="3388" w:type="dxa"/>
            <w:vMerge w:val="restart"/>
            <w:tcBorders>
              <w:top w:val="single" w:color="000000" w:sz="6" w:space="0"/>
              <w:left w:val="single" w:color="000000" w:sz="6" w:space="0"/>
              <w:bottom w:val="single" w:color="000000" w:sz="6" w:space="0"/>
              <w:right w:val="single" w:color="000000" w:sz="18" w:space="0"/>
            </w:tcBorders>
            <w:vAlign w:val="center"/>
          </w:tcPr>
          <w:p w14:paraId="5DF56ED7">
            <w:pPr>
              <w:spacing w:line="520" w:lineRule="exact"/>
              <w:ind w:firstLine="210" w:firstLineChars="100"/>
              <w:jc w:val="left"/>
              <w:rPr>
                <w:rStyle w:val="233"/>
                <w:rFonts w:ascii="宋体" w:cs="Times New Roman"/>
                <w:bCs/>
                <w:color w:val="auto"/>
                <w:szCs w:val="22"/>
                <w:highlight w:val="none"/>
              </w:rPr>
            </w:pPr>
            <w:r>
              <w:rPr>
                <w:rStyle w:val="233"/>
                <w:rFonts w:ascii="宋体" w:cs="Times New Roman"/>
                <w:bCs/>
                <w:color w:val="auto"/>
                <w:szCs w:val="22"/>
                <w:highlight w:val="none"/>
              </w:rPr>
              <w:t>售后服务点： 温州：□       </w:t>
            </w:r>
          </w:p>
          <w:p w14:paraId="4C6E0E85">
            <w:pPr>
              <w:spacing w:line="520" w:lineRule="exact"/>
              <w:ind w:firstLine="210" w:firstLineChars="100"/>
              <w:jc w:val="left"/>
              <w:rPr>
                <w:rStyle w:val="233"/>
                <w:rFonts w:ascii="宋体" w:cs="Times New Roman"/>
                <w:bCs/>
                <w:color w:val="auto"/>
                <w:szCs w:val="22"/>
                <w:highlight w:val="none"/>
              </w:rPr>
            </w:pPr>
            <w:r>
              <w:rPr>
                <w:rStyle w:val="233"/>
                <w:rFonts w:ascii="宋体" w:cs="Times New Roman"/>
                <w:bCs/>
                <w:color w:val="auto"/>
                <w:szCs w:val="22"/>
                <w:highlight w:val="none"/>
              </w:rPr>
              <w:t>其他：□</w:t>
            </w:r>
          </w:p>
        </w:tc>
      </w:tr>
      <w:tr w14:paraId="3000FB3C">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0" w:type="dxa"/>
            <w:bottom w:w="0" w:type="dxa"/>
            <w:right w:w="0" w:type="dxa"/>
          </w:tblCellMar>
        </w:tblPrEx>
        <w:trPr>
          <w:trHeight w:val="614" w:hRule="atLeast"/>
          <w:jc w:val="center"/>
        </w:trPr>
        <w:tc>
          <w:tcPr>
            <w:tcW w:w="986" w:type="dxa"/>
            <w:tcBorders>
              <w:top w:val="single" w:color="000000" w:sz="6" w:space="0"/>
              <w:left w:val="single" w:color="000000" w:sz="18" w:space="0"/>
              <w:bottom w:val="single" w:color="000000" w:sz="18" w:space="0"/>
              <w:right w:val="single" w:color="000000" w:sz="6" w:space="0"/>
            </w:tcBorders>
            <w:vAlign w:val="center"/>
          </w:tcPr>
          <w:p w14:paraId="5B32E656">
            <w:pPr>
              <w:spacing w:line="520" w:lineRule="exact"/>
              <w:rPr>
                <w:rStyle w:val="233"/>
                <w:rFonts w:ascii="宋体" w:cs="Times New Roman"/>
                <w:bCs/>
                <w:color w:val="auto"/>
                <w:szCs w:val="22"/>
                <w:highlight w:val="none"/>
              </w:rPr>
            </w:pPr>
          </w:p>
        </w:tc>
        <w:tc>
          <w:tcPr>
            <w:tcW w:w="4232" w:type="dxa"/>
            <w:gridSpan w:val="3"/>
            <w:tcBorders>
              <w:top w:val="single" w:color="000000" w:sz="6" w:space="0"/>
              <w:left w:val="single" w:color="000000" w:sz="6" w:space="0"/>
              <w:bottom w:val="single" w:color="000000" w:sz="18" w:space="0"/>
              <w:right w:val="single" w:color="000000" w:sz="6" w:space="0"/>
            </w:tcBorders>
            <w:vAlign w:val="center"/>
          </w:tcPr>
          <w:p w14:paraId="51BBE12E">
            <w:pPr>
              <w:spacing w:line="520" w:lineRule="exact"/>
              <w:jc w:val="left"/>
              <w:rPr>
                <w:rStyle w:val="233"/>
                <w:rFonts w:ascii="宋体" w:cs="Times New Roman"/>
                <w:bCs/>
                <w:color w:val="auto"/>
                <w:szCs w:val="22"/>
                <w:highlight w:val="none"/>
              </w:rPr>
            </w:pPr>
          </w:p>
        </w:tc>
        <w:tc>
          <w:tcPr>
            <w:tcW w:w="1115" w:type="dxa"/>
            <w:tcBorders>
              <w:top w:val="single" w:color="000000" w:sz="6" w:space="0"/>
              <w:left w:val="single" w:color="000000" w:sz="6" w:space="0"/>
              <w:bottom w:val="single" w:color="000000" w:sz="18" w:space="0"/>
              <w:right w:val="single" w:color="000000" w:sz="6" w:space="0"/>
            </w:tcBorders>
            <w:vAlign w:val="center"/>
          </w:tcPr>
          <w:p w14:paraId="1B04DD3C">
            <w:pPr>
              <w:spacing w:line="520" w:lineRule="exact"/>
              <w:jc w:val="left"/>
              <w:rPr>
                <w:rStyle w:val="233"/>
                <w:rFonts w:ascii="宋体" w:cs="Times New Roman"/>
                <w:bCs/>
                <w:color w:val="auto"/>
                <w:szCs w:val="22"/>
                <w:highlight w:val="none"/>
              </w:rPr>
            </w:pPr>
          </w:p>
        </w:tc>
        <w:tc>
          <w:tcPr>
            <w:tcW w:w="3388" w:type="dxa"/>
            <w:vMerge w:val="continue"/>
            <w:tcBorders>
              <w:top w:val="single" w:color="000000" w:sz="6" w:space="0"/>
              <w:left w:val="single" w:color="000000" w:sz="6" w:space="0"/>
              <w:bottom w:val="single" w:color="000000" w:sz="18" w:space="0"/>
              <w:right w:val="single" w:color="000000" w:sz="18" w:space="0"/>
            </w:tcBorders>
            <w:vAlign w:val="center"/>
          </w:tcPr>
          <w:p w14:paraId="72F729C1">
            <w:pPr>
              <w:spacing w:line="520" w:lineRule="exact"/>
              <w:jc w:val="left"/>
              <w:rPr>
                <w:rStyle w:val="233"/>
                <w:rFonts w:ascii="宋体" w:cs="Times New Roman"/>
                <w:bCs/>
                <w:color w:val="auto"/>
                <w:szCs w:val="22"/>
                <w:highlight w:val="none"/>
              </w:rPr>
            </w:pPr>
          </w:p>
        </w:tc>
      </w:tr>
    </w:tbl>
    <w:p w14:paraId="4C01EC26">
      <w:pPr>
        <w:jc w:val="center"/>
        <w:rPr>
          <w:rStyle w:val="233"/>
          <w:rFonts w:ascii="宋体" w:hAnsi="宋体"/>
          <w:color w:val="auto"/>
          <w:kern w:val="0"/>
          <w:sz w:val="24"/>
          <w:highlight w:val="none"/>
        </w:rPr>
      </w:pPr>
    </w:p>
    <w:p w14:paraId="50F211C6">
      <w:pPr>
        <w:rPr>
          <w:rStyle w:val="233"/>
          <w:rFonts w:ascii="宋体" w:hAnsi="宋体"/>
          <w:b/>
          <w:color w:val="auto"/>
          <w:sz w:val="32"/>
          <w:szCs w:val="32"/>
          <w:highlight w:val="none"/>
        </w:rPr>
      </w:pPr>
      <w:r>
        <w:rPr>
          <w:rStyle w:val="233"/>
          <w:rFonts w:ascii="宋体" w:hAnsi="宋体"/>
          <w:b/>
          <w:color w:val="auto"/>
          <w:sz w:val="32"/>
          <w:szCs w:val="32"/>
          <w:highlight w:val="none"/>
        </w:rPr>
        <w:br w:type="page"/>
      </w:r>
    </w:p>
    <w:p w14:paraId="5DD9D6A2">
      <w:pPr>
        <w:jc w:val="center"/>
        <w:rPr>
          <w:rStyle w:val="233"/>
          <w:rFonts w:ascii="宋体" w:hAnsi="宋体"/>
          <w:b/>
          <w:color w:val="auto"/>
          <w:sz w:val="32"/>
          <w:szCs w:val="32"/>
          <w:highlight w:val="none"/>
        </w:rPr>
      </w:pPr>
      <w:r>
        <w:rPr>
          <w:rStyle w:val="233"/>
          <w:rFonts w:ascii="宋体" w:hAnsi="宋体"/>
          <w:b/>
          <w:color w:val="auto"/>
          <w:sz w:val="32"/>
          <w:szCs w:val="32"/>
          <w:highlight w:val="none"/>
        </w:rPr>
        <w:t>投 标 通 知 (邀 请) 书</w:t>
      </w:r>
    </w:p>
    <w:p w14:paraId="13CEF48A">
      <w:pPr>
        <w:spacing w:line="360" w:lineRule="auto"/>
        <w:ind w:firstLine="440" w:firstLineChars="200"/>
        <w:rPr>
          <w:rStyle w:val="233"/>
          <w:rFonts w:ascii="宋体" w:hAnsi="宋体"/>
          <w:color w:val="auto"/>
          <w:kern w:val="0"/>
          <w:sz w:val="22"/>
          <w:szCs w:val="22"/>
          <w:highlight w:val="none"/>
        </w:rPr>
      </w:pPr>
      <w:r>
        <w:rPr>
          <w:rStyle w:val="233"/>
          <w:rFonts w:hint="eastAsia" w:ascii="宋体" w:hAnsi="宋体"/>
          <w:color w:val="auto"/>
          <w:kern w:val="0"/>
          <w:sz w:val="22"/>
          <w:szCs w:val="22"/>
          <w:highlight w:val="none"/>
        </w:rPr>
        <w:t>温州市鼎信工程管理咨询有限公司</w:t>
      </w:r>
      <w:r>
        <w:rPr>
          <w:rStyle w:val="233"/>
          <w:rFonts w:ascii="宋体" w:hAnsi="宋体"/>
          <w:color w:val="auto"/>
          <w:kern w:val="0"/>
          <w:sz w:val="22"/>
          <w:szCs w:val="22"/>
          <w:highlight w:val="none"/>
        </w:rPr>
        <w:t>对</w:t>
      </w:r>
      <w:r>
        <w:rPr>
          <w:rStyle w:val="233"/>
          <w:rFonts w:hint="eastAsia" w:ascii="宋体" w:hAnsi="宋体" w:cs="Times New Roman"/>
          <w:color w:val="auto"/>
          <w:kern w:val="0"/>
          <w:sz w:val="22"/>
          <w:szCs w:val="22"/>
          <w:highlight w:val="none"/>
        </w:rPr>
        <w:t>龙港市宏程小学精品录播系统采购项目</w:t>
      </w:r>
      <w:r>
        <w:rPr>
          <w:rStyle w:val="233"/>
          <w:rFonts w:ascii="宋体" w:hAnsi="宋体"/>
          <w:color w:val="auto"/>
          <w:kern w:val="0"/>
          <w:sz w:val="22"/>
          <w:szCs w:val="22"/>
          <w:highlight w:val="none"/>
        </w:rPr>
        <w:t>进行竞争性</w:t>
      </w:r>
      <w:r>
        <w:rPr>
          <w:rStyle w:val="233"/>
          <w:rFonts w:hint="eastAsia" w:ascii="宋体" w:hAnsi="宋体"/>
          <w:color w:val="auto"/>
          <w:kern w:val="0"/>
          <w:sz w:val="22"/>
          <w:szCs w:val="22"/>
          <w:highlight w:val="none"/>
        </w:rPr>
        <w:t>谈判</w:t>
      </w:r>
      <w:r>
        <w:rPr>
          <w:rStyle w:val="233"/>
          <w:rFonts w:ascii="宋体" w:hAnsi="宋体"/>
          <w:color w:val="auto"/>
          <w:kern w:val="0"/>
          <w:sz w:val="22"/>
          <w:szCs w:val="22"/>
          <w:highlight w:val="none"/>
        </w:rPr>
        <w:t>，特通知贵公司（企业）前来投标。并请按招标文件的要求认真准备好投标文件，按时前来投标。</w:t>
      </w:r>
    </w:p>
    <w:tbl>
      <w:tblPr>
        <w:tblStyle w:val="49"/>
        <w:tblW w:w="9073"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7070"/>
      </w:tblGrid>
      <w:tr w14:paraId="4AE3B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003" w:type="dxa"/>
            <w:tcBorders>
              <w:top w:val="double" w:color="000000" w:sz="4" w:space="0"/>
              <w:left w:val="double" w:color="000000" w:sz="4" w:space="0"/>
              <w:bottom w:val="single" w:color="000000" w:sz="4" w:space="0"/>
              <w:right w:val="single" w:color="000000" w:sz="4" w:space="0"/>
            </w:tcBorders>
            <w:vAlign w:val="center"/>
          </w:tcPr>
          <w:p w14:paraId="41AF6167">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kern w:val="0"/>
                <w:sz w:val="21"/>
                <w:szCs w:val="21"/>
                <w:highlight w:val="none"/>
                <w:lang w:eastAsia="zh-CN"/>
              </w:rPr>
            </w:pPr>
            <w:r>
              <w:rPr>
                <w:rStyle w:val="233"/>
                <w:rFonts w:hint="eastAsia" w:ascii="宋体" w:hAnsi="宋体" w:eastAsia="宋体" w:cs="宋体"/>
                <w:color w:val="auto"/>
                <w:kern w:val="0"/>
                <w:sz w:val="21"/>
                <w:szCs w:val="21"/>
                <w:highlight w:val="none"/>
                <w:lang w:eastAsia="zh-CN"/>
              </w:rPr>
              <w:t>采购编号</w:t>
            </w:r>
          </w:p>
        </w:tc>
        <w:tc>
          <w:tcPr>
            <w:tcW w:w="7070" w:type="dxa"/>
            <w:tcBorders>
              <w:top w:val="double" w:color="000000" w:sz="4" w:space="0"/>
              <w:left w:val="single" w:color="000000" w:sz="4" w:space="0"/>
              <w:bottom w:val="single" w:color="000000" w:sz="4" w:space="0"/>
              <w:right w:val="double" w:color="000000" w:sz="4" w:space="0"/>
            </w:tcBorders>
            <w:vAlign w:val="center"/>
          </w:tcPr>
          <w:p w14:paraId="5C3B089C">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kern w:val="0"/>
                <w:sz w:val="21"/>
                <w:szCs w:val="21"/>
                <w:highlight w:val="none"/>
                <w:lang w:eastAsia="zh-CN"/>
              </w:rPr>
            </w:pPr>
            <w:r>
              <w:rPr>
                <w:rStyle w:val="233"/>
                <w:rFonts w:hint="eastAsia" w:ascii="宋体" w:hAnsi="宋体" w:eastAsia="宋体" w:cs="宋体"/>
                <w:color w:val="auto"/>
                <w:kern w:val="0"/>
                <w:sz w:val="21"/>
                <w:szCs w:val="21"/>
                <w:highlight w:val="none"/>
                <w:lang w:val="en-US" w:eastAsia="zh-CN"/>
              </w:rPr>
              <w:t>WZDX-2025-LG001</w:t>
            </w:r>
          </w:p>
        </w:tc>
      </w:tr>
      <w:tr w14:paraId="7508D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4B654929">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 xml:space="preserve">采购内容 </w:t>
            </w:r>
          </w:p>
        </w:tc>
        <w:tc>
          <w:tcPr>
            <w:tcW w:w="7070" w:type="dxa"/>
            <w:tcBorders>
              <w:top w:val="single" w:color="000000" w:sz="4" w:space="0"/>
              <w:left w:val="single" w:color="000000" w:sz="4" w:space="0"/>
              <w:bottom w:val="single" w:color="000000" w:sz="4" w:space="0"/>
              <w:right w:val="double" w:color="000000" w:sz="4" w:space="0"/>
            </w:tcBorders>
            <w:vAlign w:val="center"/>
          </w:tcPr>
          <w:p w14:paraId="0DE3C7C2">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b/>
                <w:bCs/>
                <w:color w:val="auto"/>
                <w:sz w:val="21"/>
                <w:szCs w:val="21"/>
                <w:highlight w:val="none"/>
                <w:lang w:eastAsia="zh-CN"/>
              </w:rPr>
            </w:pPr>
            <w:r>
              <w:rPr>
                <w:rStyle w:val="233"/>
                <w:rFonts w:hint="eastAsia" w:ascii="宋体" w:hAnsi="宋体" w:eastAsia="宋体" w:cs="宋体"/>
                <w:color w:val="auto"/>
                <w:kern w:val="0"/>
                <w:sz w:val="21"/>
                <w:szCs w:val="21"/>
                <w:highlight w:val="none"/>
              </w:rPr>
              <w:t>龙港市宏程小学精品录播系统采购项目</w:t>
            </w:r>
          </w:p>
        </w:tc>
      </w:tr>
      <w:tr w14:paraId="0E26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12A8574B">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资金来源</w:t>
            </w:r>
          </w:p>
        </w:tc>
        <w:tc>
          <w:tcPr>
            <w:tcW w:w="7070" w:type="dxa"/>
            <w:tcBorders>
              <w:top w:val="single" w:color="000000" w:sz="4" w:space="0"/>
              <w:left w:val="single" w:color="000000" w:sz="4" w:space="0"/>
              <w:bottom w:val="single" w:color="000000" w:sz="4" w:space="0"/>
              <w:right w:val="double" w:color="000000" w:sz="4" w:space="0"/>
            </w:tcBorders>
            <w:vAlign w:val="center"/>
          </w:tcPr>
          <w:p w14:paraId="22F53693">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bCs/>
                <w:color w:val="auto"/>
                <w:sz w:val="21"/>
                <w:szCs w:val="21"/>
                <w:highlight w:val="none"/>
                <w:lang w:eastAsia="zh-CN"/>
              </w:rPr>
            </w:pPr>
            <w:r>
              <w:rPr>
                <w:rStyle w:val="233"/>
                <w:rFonts w:hint="eastAsia" w:ascii="宋体" w:hAnsi="宋体" w:eastAsia="宋体" w:cs="宋体"/>
                <w:color w:val="auto"/>
                <w:sz w:val="21"/>
                <w:szCs w:val="21"/>
                <w:highlight w:val="none"/>
                <w:lang w:eastAsia="zh-CN"/>
              </w:rPr>
              <w:t>自筹资金</w:t>
            </w:r>
          </w:p>
        </w:tc>
      </w:tr>
      <w:tr w14:paraId="7D0C2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46AD6871">
            <w:pPr>
              <w:keepNext w:val="0"/>
              <w:keepLines w:val="0"/>
              <w:pageBreakBefore w:val="0"/>
              <w:widowControl w:val="0"/>
              <w:kinsoku/>
              <w:wordWrap/>
              <w:overflowPunct/>
              <w:topLinePunct w:val="0"/>
              <w:autoSpaceDE/>
              <w:autoSpaceDN/>
              <w:bidi w:val="0"/>
              <w:adjustRightInd/>
              <w:snapToGrid w:val="0"/>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采购预算</w:t>
            </w:r>
          </w:p>
        </w:tc>
        <w:tc>
          <w:tcPr>
            <w:tcW w:w="7070" w:type="dxa"/>
            <w:tcBorders>
              <w:top w:val="single" w:color="000000" w:sz="4" w:space="0"/>
              <w:left w:val="single" w:color="000000" w:sz="4" w:space="0"/>
              <w:bottom w:val="single" w:color="000000" w:sz="4" w:space="0"/>
              <w:right w:val="double" w:color="000000" w:sz="4" w:space="0"/>
            </w:tcBorders>
            <w:vAlign w:val="center"/>
          </w:tcPr>
          <w:p w14:paraId="49127305">
            <w:pPr>
              <w:pStyle w:val="37"/>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bCs/>
                <w:color w:val="auto"/>
                <w:sz w:val="21"/>
                <w:szCs w:val="21"/>
                <w:highlight w:val="none"/>
              </w:rPr>
            </w:pPr>
            <w:r>
              <w:rPr>
                <w:rStyle w:val="233"/>
                <w:rFonts w:hint="eastAsia" w:ascii="宋体" w:hAnsi="宋体" w:eastAsia="宋体" w:cs="宋体"/>
                <w:b/>
                <w:color w:val="auto"/>
                <w:sz w:val="21"/>
                <w:szCs w:val="21"/>
                <w:highlight w:val="none"/>
              </w:rPr>
              <w:t>▲本项目采购预算为</w:t>
            </w:r>
            <w:r>
              <w:rPr>
                <w:rStyle w:val="233"/>
                <w:rFonts w:hint="eastAsia" w:ascii="宋体" w:hAnsi="宋体" w:eastAsia="宋体" w:cs="宋体"/>
                <w:b/>
                <w:color w:val="auto"/>
                <w:sz w:val="21"/>
                <w:szCs w:val="21"/>
                <w:highlight w:val="none"/>
                <w:u w:val="single"/>
                <w:lang w:val="en-US" w:eastAsia="zh-CN"/>
              </w:rPr>
              <w:t>200000元</w:t>
            </w:r>
            <w:r>
              <w:rPr>
                <w:rFonts w:hint="eastAsia" w:ascii="宋体" w:hAnsi="宋体" w:eastAsia="宋体" w:cs="宋体"/>
                <w:b/>
                <w:bCs/>
                <w:color w:val="auto"/>
                <w:kern w:val="0"/>
                <w:sz w:val="21"/>
                <w:szCs w:val="21"/>
                <w:highlight w:val="none"/>
                <w:lang w:val="en-US" w:eastAsia="zh-CN"/>
              </w:rPr>
              <w:t>（含税价，税率13%）</w:t>
            </w:r>
            <w:r>
              <w:rPr>
                <w:rStyle w:val="233"/>
                <w:rFonts w:hint="eastAsia" w:ascii="宋体" w:hAnsi="宋体" w:eastAsia="宋体" w:cs="宋体"/>
                <w:b/>
                <w:color w:val="auto"/>
                <w:sz w:val="21"/>
                <w:szCs w:val="21"/>
                <w:highlight w:val="none"/>
              </w:rPr>
              <w:t>；供应商的投标总价超出该采购预算的，该供应商按无效投标处理。</w:t>
            </w:r>
          </w:p>
        </w:tc>
      </w:tr>
      <w:tr w14:paraId="0F971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463C330C">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采购方式</w:t>
            </w:r>
          </w:p>
        </w:tc>
        <w:tc>
          <w:tcPr>
            <w:tcW w:w="7070" w:type="dxa"/>
            <w:tcBorders>
              <w:top w:val="single" w:color="000000" w:sz="4" w:space="0"/>
              <w:left w:val="single" w:color="000000" w:sz="4" w:space="0"/>
              <w:bottom w:val="single" w:color="000000" w:sz="4" w:space="0"/>
              <w:right w:val="double" w:color="000000" w:sz="4" w:space="0"/>
            </w:tcBorders>
            <w:vAlign w:val="center"/>
          </w:tcPr>
          <w:p w14:paraId="317BABC1">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bCs/>
                <w:color w:val="auto"/>
                <w:sz w:val="21"/>
                <w:szCs w:val="21"/>
                <w:highlight w:val="none"/>
              </w:rPr>
            </w:pPr>
            <w:r>
              <w:rPr>
                <w:rStyle w:val="233"/>
                <w:rFonts w:hint="eastAsia" w:ascii="宋体" w:hAnsi="宋体" w:eastAsia="宋体" w:cs="宋体"/>
                <w:color w:val="auto"/>
                <w:sz w:val="21"/>
                <w:szCs w:val="21"/>
                <w:highlight w:val="none"/>
              </w:rPr>
              <w:t>竞争性谈判</w:t>
            </w:r>
          </w:p>
        </w:tc>
      </w:tr>
      <w:tr w14:paraId="50A2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4D93D96C">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确定成交供应商办法</w:t>
            </w:r>
          </w:p>
        </w:tc>
        <w:tc>
          <w:tcPr>
            <w:tcW w:w="7070" w:type="dxa"/>
            <w:tcBorders>
              <w:top w:val="single" w:color="000000" w:sz="4" w:space="0"/>
              <w:left w:val="single" w:color="000000" w:sz="4" w:space="0"/>
              <w:bottom w:val="single" w:color="000000" w:sz="4" w:space="0"/>
              <w:right w:val="double" w:color="000000" w:sz="4" w:space="0"/>
            </w:tcBorders>
            <w:vAlign w:val="center"/>
          </w:tcPr>
          <w:p w14:paraId="204F4159">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bCs/>
                <w:color w:val="auto"/>
                <w:sz w:val="21"/>
                <w:szCs w:val="21"/>
                <w:highlight w:val="none"/>
              </w:rPr>
            </w:pPr>
            <w:r>
              <w:rPr>
                <w:rStyle w:val="233"/>
                <w:rFonts w:hint="eastAsia" w:ascii="宋体" w:hAnsi="宋体" w:eastAsia="宋体" w:cs="宋体"/>
                <w:color w:val="auto"/>
                <w:sz w:val="21"/>
                <w:szCs w:val="21"/>
                <w:highlight w:val="none"/>
                <w:lang w:val="en-US" w:eastAsia="zh-CN"/>
              </w:rPr>
              <w:t>最低评标价法</w:t>
            </w:r>
          </w:p>
        </w:tc>
      </w:tr>
      <w:tr w14:paraId="1D47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584F5C67">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报价有效期</w:t>
            </w:r>
          </w:p>
        </w:tc>
        <w:tc>
          <w:tcPr>
            <w:tcW w:w="7070" w:type="dxa"/>
            <w:tcBorders>
              <w:top w:val="single" w:color="000000" w:sz="4" w:space="0"/>
              <w:left w:val="single" w:color="000000" w:sz="4" w:space="0"/>
              <w:bottom w:val="single" w:color="000000" w:sz="4" w:space="0"/>
              <w:right w:val="double" w:color="000000" w:sz="4" w:space="0"/>
            </w:tcBorders>
            <w:vAlign w:val="center"/>
          </w:tcPr>
          <w:p w14:paraId="285EE369">
            <w:pPr>
              <w:keepNext w:val="0"/>
              <w:keepLines w:val="0"/>
              <w:pageBreakBefore w:val="0"/>
              <w:widowControl w:val="0"/>
              <w:kinsoku/>
              <w:wordWrap/>
              <w:overflowPunct/>
              <w:topLinePunct w:val="0"/>
              <w:autoSpaceDE/>
              <w:autoSpaceDN/>
              <w:bidi w:val="0"/>
              <w:adjustRightInd/>
              <w:snapToGrid w:val="0"/>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lang w:val="en-US" w:eastAsia="zh-CN"/>
              </w:rPr>
              <w:t>9</w:t>
            </w:r>
            <w:r>
              <w:rPr>
                <w:rStyle w:val="233"/>
                <w:rFonts w:hint="eastAsia" w:ascii="宋体" w:hAnsi="宋体" w:eastAsia="宋体" w:cs="宋体"/>
                <w:color w:val="auto"/>
                <w:sz w:val="21"/>
                <w:szCs w:val="21"/>
                <w:highlight w:val="none"/>
              </w:rPr>
              <w:t>0日历天（自响应文件递交截止日起计算）</w:t>
            </w:r>
          </w:p>
        </w:tc>
      </w:tr>
      <w:tr w14:paraId="12626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59072DDB">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磋商响应文件份数</w:t>
            </w:r>
          </w:p>
        </w:tc>
        <w:tc>
          <w:tcPr>
            <w:tcW w:w="7070" w:type="dxa"/>
            <w:tcBorders>
              <w:top w:val="single" w:color="000000" w:sz="4" w:space="0"/>
              <w:left w:val="single" w:color="000000" w:sz="4" w:space="0"/>
              <w:bottom w:val="single" w:color="000000" w:sz="4" w:space="0"/>
              <w:right w:val="double" w:color="000000" w:sz="4" w:space="0"/>
            </w:tcBorders>
            <w:vAlign w:val="center"/>
          </w:tcPr>
          <w:p w14:paraId="4F9CE27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谈判响应文件（商务技术文件及商务报价文件）正本一份，副本四份；</w:t>
            </w:r>
          </w:p>
          <w:p w14:paraId="42BE4FBF">
            <w:pPr>
              <w:pStyle w:val="241"/>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资格审核资料及原件部分一份</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lang w:val="zh-CN"/>
              </w:rPr>
              <w:t>。</w:t>
            </w:r>
          </w:p>
        </w:tc>
      </w:tr>
      <w:tr w14:paraId="79131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128E8B8C">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谈判保证金</w:t>
            </w:r>
          </w:p>
        </w:tc>
        <w:tc>
          <w:tcPr>
            <w:tcW w:w="7070" w:type="dxa"/>
            <w:tcBorders>
              <w:top w:val="single" w:color="000000" w:sz="4" w:space="0"/>
              <w:left w:val="single" w:color="000000" w:sz="4" w:space="0"/>
              <w:bottom w:val="single" w:color="000000" w:sz="4" w:space="0"/>
              <w:right w:val="double" w:color="000000" w:sz="4" w:space="0"/>
            </w:tcBorders>
            <w:vAlign w:val="center"/>
          </w:tcPr>
          <w:p w14:paraId="79935002">
            <w:pPr>
              <w:keepNext w:val="0"/>
              <w:keepLines w:val="0"/>
              <w:pageBreakBefore w:val="0"/>
              <w:widowControl w:val="0"/>
              <w:kinsoku/>
              <w:wordWrap/>
              <w:overflowPunct/>
              <w:topLinePunct w:val="0"/>
              <w:autoSpaceDE/>
              <w:autoSpaceDN/>
              <w:bidi w:val="0"/>
              <w:adjustRightInd/>
              <w:spacing w:line="360" w:lineRule="exact"/>
              <w:ind w:right="99"/>
              <w:jc w:val="left"/>
              <w:textAlignment w:val="auto"/>
              <w:rPr>
                <w:rStyle w:val="233"/>
                <w:rFonts w:hint="eastAsia" w:ascii="宋体" w:hAnsi="宋体" w:eastAsia="宋体" w:cs="宋体"/>
                <w:color w:val="auto"/>
                <w:kern w:val="0"/>
                <w:sz w:val="21"/>
                <w:szCs w:val="21"/>
                <w:highlight w:val="none"/>
              </w:rPr>
            </w:pPr>
            <w:r>
              <w:rPr>
                <w:rStyle w:val="233"/>
                <w:rFonts w:hint="eastAsia" w:ascii="宋体" w:hAnsi="宋体" w:eastAsia="宋体" w:cs="宋体"/>
                <w:color w:val="auto"/>
                <w:kern w:val="0"/>
                <w:sz w:val="21"/>
                <w:szCs w:val="21"/>
                <w:highlight w:val="none"/>
              </w:rPr>
              <w:t>按照《浙江省财政厅关于明确政府采购保证金管理工作的通知》浙财采监〔2019〕5号文件规定，投标人无需缴纳投标保证金。</w:t>
            </w:r>
          </w:p>
        </w:tc>
      </w:tr>
      <w:tr w14:paraId="60008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50DB6604">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谈判响应文件提交地址</w:t>
            </w:r>
          </w:p>
        </w:tc>
        <w:tc>
          <w:tcPr>
            <w:tcW w:w="7070" w:type="dxa"/>
            <w:tcBorders>
              <w:top w:val="single" w:color="000000" w:sz="4" w:space="0"/>
              <w:left w:val="single" w:color="000000" w:sz="4" w:space="0"/>
              <w:bottom w:val="single" w:color="000000" w:sz="4" w:space="0"/>
              <w:right w:val="double" w:color="000000" w:sz="4" w:space="0"/>
            </w:tcBorders>
            <w:vAlign w:val="center"/>
          </w:tcPr>
          <w:p w14:paraId="3171D7A2">
            <w:pPr>
              <w:pStyle w:val="240"/>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kern w:val="0"/>
                <w:sz w:val="21"/>
                <w:szCs w:val="21"/>
                <w:highlight w:val="none"/>
                <w:lang w:val="en-US" w:eastAsia="zh-CN" w:bidi="ar-SA"/>
              </w:rPr>
              <w:t>龙港市世纪大道4518号龙港市政务客厅4楼</w:t>
            </w:r>
          </w:p>
        </w:tc>
      </w:tr>
      <w:tr w14:paraId="78C2D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003" w:type="dxa"/>
            <w:tcBorders>
              <w:top w:val="single" w:color="000000" w:sz="4" w:space="0"/>
              <w:left w:val="double" w:color="000000" w:sz="4" w:space="0"/>
              <w:bottom w:val="single" w:color="000000" w:sz="4" w:space="0"/>
              <w:right w:val="single" w:color="000000" w:sz="4" w:space="0"/>
            </w:tcBorders>
            <w:shd w:val="clear" w:color="auto" w:fill="FFFFFF" w:themeFill="background1"/>
            <w:vAlign w:val="center"/>
          </w:tcPr>
          <w:p w14:paraId="019BD9FA">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谈判响应文件递交截止与开启时间</w:t>
            </w:r>
          </w:p>
        </w:tc>
        <w:tc>
          <w:tcPr>
            <w:tcW w:w="7070" w:type="dxa"/>
            <w:tcBorders>
              <w:top w:val="single" w:color="000000" w:sz="4" w:space="0"/>
              <w:left w:val="single" w:color="000000" w:sz="4" w:space="0"/>
              <w:bottom w:val="single" w:color="000000" w:sz="4" w:space="0"/>
              <w:right w:val="double" w:color="000000" w:sz="4" w:space="0"/>
            </w:tcBorders>
            <w:shd w:val="clear" w:color="auto" w:fill="FFFFFF" w:themeFill="background1"/>
            <w:vAlign w:val="center"/>
          </w:tcPr>
          <w:p w14:paraId="1B130BC5">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日14:30</w:t>
            </w:r>
            <w:r>
              <w:rPr>
                <w:rStyle w:val="233"/>
                <w:rFonts w:hint="eastAsia" w:ascii="宋体" w:hAnsi="宋体" w:eastAsia="宋体" w:cs="宋体"/>
                <w:color w:val="auto"/>
                <w:sz w:val="21"/>
                <w:szCs w:val="21"/>
                <w:highlight w:val="none"/>
              </w:rPr>
              <w:t xml:space="preserve"> </w:t>
            </w:r>
          </w:p>
        </w:tc>
      </w:tr>
      <w:tr w14:paraId="1AFB5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66F06C87">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谈判地点</w:t>
            </w:r>
          </w:p>
        </w:tc>
        <w:tc>
          <w:tcPr>
            <w:tcW w:w="7070" w:type="dxa"/>
            <w:tcBorders>
              <w:top w:val="single" w:color="000000" w:sz="4" w:space="0"/>
              <w:left w:val="single" w:color="000000" w:sz="4" w:space="0"/>
              <w:bottom w:val="single" w:color="000000" w:sz="4" w:space="0"/>
              <w:right w:val="double" w:color="000000" w:sz="4" w:space="0"/>
            </w:tcBorders>
            <w:vAlign w:val="center"/>
          </w:tcPr>
          <w:p w14:paraId="7A9CDCA9">
            <w:pPr>
              <w:pStyle w:val="240"/>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bCs/>
                <w:color w:val="auto"/>
                <w:sz w:val="21"/>
                <w:szCs w:val="21"/>
                <w:highlight w:val="none"/>
              </w:rPr>
            </w:pPr>
            <w:r>
              <w:rPr>
                <w:rStyle w:val="233"/>
                <w:rFonts w:hint="eastAsia" w:ascii="宋体" w:hAnsi="宋体" w:eastAsia="宋体" w:cs="宋体"/>
                <w:color w:val="auto"/>
                <w:kern w:val="0"/>
                <w:sz w:val="21"/>
                <w:szCs w:val="21"/>
                <w:highlight w:val="none"/>
                <w:lang w:val="en-US" w:eastAsia="zh-CN" w:bidi="ar-SA"/>
              </w:rPr>
              <w:t>龙港市世纪大道4518号龙港市政务客厅4楼</w:t>
            </w:r>
          </w:p>
        </w:tc>
      </w:tr>
      <w:tr w14:paraId="3B55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17F95052">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采购类型</w:t>
            </w:r>
          </w:p>
        </w:tc>
        <w:tc>
          <w:tcPr>
            <w:tcW w:w="7070" w:type="dxa"/>
            <w:tcBorders>
              <w:top w:val="single" w:color="000000" w:sz="4" w:space="0"/>
              <w:left w:val="single" w:color="000000" w:sz="4" w:space="0"/>
              <w:bottom w:val="single" w:color="000000" w:sz="4" w:space="0"/>
              <w:right w:val="double" w:color="000000" w:sz="4" w:space="0"/>
            </w:tcBorders>
            <w:vAlign w:val="center"/>
          </w:tcPr>
          <w:p w14:paraId="438A8F69">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 货物类       服务类       工程类</w:t>
            </w:r>
          </w:p>
        </w:tc>
      </w:tr>
      <w:tr w14:paraId="45CF9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6C42B7AF">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现场勘查</w:t>
            </w:r>
          </w:p>
        </w:tc>
        <w:tc>
          <w:tcPr>
            <w:tcW w:w="7070" w:type="dxa"/>
            <w:tcBorders>
              <w:top w:val="single" w:color="000000" w:sz="4" w:space="0"/>
              <w:left w:val="single" w:color="000000" w:sz="4" w:space="0"/>
              <w:bottom w:val="single" w:color="000000" w:sz="4" w:space="0"/>
              <w:right w:val="double" w:color="000000" w:sz="4" w:space="0"/>
            </w:tcBorders>
            <w:vAlign w:val="center"/>
          </w:tcPr>
          <w:p w14:paraId="01751D62">
            <w:pPr>
              <w:keepNext w:val="0"/>
              <w:keepLines w:val="0"/>
              <w:pageBreakBefore w:val="0"/>
              <w:widowControl w:val="0"/>
              <w:kinsoku/>
              <w:wordWrap/>
              <w:overflowPunct/>
              <w:topLinePunct w:val="0"/>
              <w:autoSpaceDE/>
              <w:autoSpaceDN/>
              <w:bidi w:val="0"/>
              <w:adjustRightInd/>
              <w:spacing w:line="360" w:lineRule="exact"/>
              <w:textAlignment w:val="auto"/>
              <w:rPr>
                <w:rStyle w:val="233"/>
                <w:rFonts w:hint="eastAsia" w:ascii="宋体" w:hAnsi="宋体" w:eastAsia="宋体" w:cs="宋体"/>
                <w:b/>
                <w:color w:val="auto"/>
                <w:sz w:val="21"/>
                <w:szCs w:val="21"/>
                <w:highlight w:val="none"/>
              </w:rPr>
            </w:pPr>
            <w:r>
              <w:rPr>
                <w:rStyle w:val="233"/>
                <w:rFonts w:hint="eastAsia" w:ascii="宋体" w:hAnsi="宋体" w:eastAsia="宋体" w:cs="宋体"/>
                <w:b/>
                <w:color w:val="auto"/>
                <w:sz w:val="21"/>
                <w:szCs w:val="21"/>
                <w:highlight w:val="none"/>
              </w:rPr>
              <w:t>供应商应当自行进行现场踏勘，以了解准确的报价依据。如果由于供应商不进行现场踏勘而导致投标方案与实际需求严重不符，由此产生的一切后果由供应商自行负责。踏勘期间发生的费用或意外导致伤亡等一切责任和损失均由供应商自行承担。</w:t>
            </w:r>
          </w:p>
        </w:tc>
      </w:tr>
      <w:tr w14:paraId="2D443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53A02103">
            <w:pPr>
              <w:keepNext w:val="0"/>
              <w:keepLines w:val="0"/>
              <w:pageBreakBefore w:val="0"/>
              <w:widowControl w:val="0"/>
              <w:shd w:val="clear" w:color="auto" w:fill="FFFFFF"/>
              <w:kinsoku/>
              <w:wordWrap/>
              <w:overflowPunct/>
              <w:topLinePunct w:val="0"/>
              <w:autoSpaceDE/>
              <w:autoSpaceDN/>
              <w:bidi w:val="0"/>
              <w:adjustRightInd/>
              <w:spacing w:line="360" w:lineRule="exact"/>
              <w:jc w:val="left"/>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质疑时间</w:t>
            </w:r>
          </w:p>
        </w:tc>
        <w:tc>
          <w:tcPr>
            <w:tcW w:w="7070" w:type="dxa"/>
            <w:tcBorders>
              <w:top w:val="single" w:color="000000" w:sz="4" w:space="0"/>
              <w:left w:val="single" w:color="000000" w:sz="4" w:space="0"/>
              <w:bottom w:val="single" w:color="000000" w:sz="4" w:space="0"/>
              <w:right w:val="double" w:color="000000" w:sz="4" w:space="0"/>
            </w:tcBorders>
            <w:vAlign w:val="center"/>
          </w:tcPr>
          <w:p w14:paraId="477FEE04">
            <w:pPr>
              <w:keepNext w:val="0"/>
              <w:keepLines w:val="0"/>
              <w:pageBreakBefore w:val="0"/>
              <w:widowControl w:val="0"/>
              <w:shd w:val="clear" w:color="auto" w:fill="FFFFFF"/>
              <w:kinsoku/>
              <w:wordWrap/>
              <w:overflowPunct/>
              <w:topLinePunct w:val="0"/>
              <w:autoSpaceDE/>
              <w:autoSpaceDN/>
              <w:bidi w:val="0"/>
              <w:adjustRightInd/>
              <w:spacing w:line="360" w:lineRule="exact"/>
              <w:jc w:val="left"/>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按规定时间执行</w:t>
            </w:r>
          </w:p>
        </w:tc>
      </w:tr>
      <w:tr w14:paraId="3CEBD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773259F9">
            <w:pPr>
              <w:keepNext w:val="0"/>
              <w:keepLines w:val="0"/>
              <w:pageBreakBefore w:val="0"/>
              <w:widowControl w:val="0"/>
              <w:shd w:val="clear" w:color="auto" w:fill="FFFFFF"/>
              <w:kinsoku/>
              <w:wordWrap/>
              <w:overflowPunct/>
              <w:topLinePunct w:val="0"/>
              <w:autoSpaceDE/>
              <w:autoSpaceDN/>
              <w:bidi w:val="0"/>
              <w:adjustRightInd/>
              <w:spacing w:line="360" w:lineRule="exact"/>
              <w:jc w:val="left"/>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质疑受理地点</w:t>
            </w:r>
          </w:p>
        </w:tc>
        <w:tc>
          <w:tcPr>
            <w:tcW w:w="7070" w:type="dxa"/>
            <w:tcBorders>
              <w:top w:val="single" w:color="000000" w:sz="4" w:space="0"/>
              <w:left w:val="single" w:color="000000" w:sz="4" w:space="0"/>
              <w:bottom w:val="single" w:color="000000" w:sz="4" w:space="0"/>
              <w:right w:val="double" w:color="000000" w:sz="4" w:space="0"/>
            </w:tcBorders>
            <w:vAlign w:val="center"/>
          </w:tcPr>
          <w:p w14:paraId="0A363CC7">
            <w:pPr>
              <w:keepNext w:val="0"/>
              <w:keepLines w:val="0"/>
              <w:pageBreakBefore w:val="0"/>
              <w:widowControl w:val="0"/>
              <w:shd w:val="clear" w:color="auto" w:fill="FFFFFF"/>
              <w:kinsoku/>
              <w:wordWrap/>
              <w:overflowPunct/>
              <w:topLinePunct w:val="0"/>
              <w:autoSpaceDE/>
              <w:autoSpaceDN/>
              <w:bidi w:val="0"/>
              <w:adjustRightInd/>
              <w:spacing w:line="360" w:lineRule="exact"/>
              <w:jc w:val="left"/>
              <w:textAlignment w:val="auto"/>
              <w:rPr>
                <w:rStyle w:val="233"/>
                <w:rFonts w:hint="eastAsia" w:ascii="宋体" w:hAnsi="宋体" w:eastAsia="宋体" w:cs="宋体"/>
                <w:bCs/>
                <w:color w:val="auto"/>
                <w:kern w:val="0"/>
                <w:sz w:val="21"/>
                <w:szCs w:val="21"/>
                <w:highlight w:val="none"/>
                <w:lang w:val="en-US" w:eastAsia="zh-CN"/>
              </w:rPr>
            </w:pPr>
            <w:r>
              <w:rPr>
                <w:rStyle w:val="233"/>
                <w:rFonts w:hint="eastAsia" w:ascii="宋体" w:hAnsi="宋体" w:eastAsia="宋体" w:cs="宋体"/>
                <w:bCs/>
                <w:color w:val="auto"/>
                <w:kern w:val="0"/>
                <w:sz w:val="21"/>
                <w:szCs w:val="21"/>
                <w:highlight w:val="none"/>
              </w:rPr>
              <w:t>温州市鼎信工程管理咨询有限公司（龙港市龙港大道西三街路口广电大厦11B），联系人：罗女士，</w:t>
            </w:r>
            <w:r>
              <w:rPr>
                <w:rStyle w:val="233"/>
                <w:rFonts w:hint="eastAsia" w:ascii="宋体" w:hAnsi="宋体" w:eastAsia="宋体" w:cs="宋体"/>
                <w:bCs/>
                <w:color w:val="auto"/>
                <w:kern w:val="0"/>
                <w:sz w:val="21"/>
                <w:szCs w:val="21"/>
                <w:highlight w:val="none"/>
                <w:lang w:val="en-US"/>
              </w:rPr>
              <w:t xml:space="preserve">陈先生  </w:t>
            </w:r>
            <w:r>
              <w:rPr>
                <w:rStyle w:val="233"/>
                <w:rFonts w:hint="eastAsia" w:ascii="宋体" w:hAnsi="宋体" w:eastAsia="宋体" w:cs="宋体"/>
                <w:bCs/>
                <w:color w:val="auto"/>
                <w:kern w:val="0"/>
                <w:sz w:val="21"/>
                <w:szCs w:val="21"/>
                <w:highlight w:val="none"/>
              </w:rPr>
              <w:t>联系电话：13758785870；18267833829</w:t>
            </w:r>
          </w:p>
        </w:tc>
      </w:tr>
      <w:tr w14:paraId="5BBC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4C404E04">
            <w:pPr>
              <w:keepNext w:val="0"/>
              <w:keepLines w:val="0"/>
              <w:pageBreakBefore w:val="0"/>
              <w:widowControl w:val="0"/>
              <w:kinsoku/>
              <w:wordWrap/>
              <w:overflowPunct/>
              <w:topLinePunct w:val="0"/>
              <w:autoSpaceDE/>
              <w:autoSpaceDN/>
              <w:bidi w:val="0"/>
              <w:adjustRightInd/>
              <w:snapToGrid w:val="0"/>
              <w:spacing w:line="360" w:lineRule="exact"/>
              <w:textAlignment w:val="auto"/>
              <w:rPr>
                <w:rStyle w:val="233"/>
                <w:rFonts w:hint="eastAsia" w:ascii="宋体" w:hAnsi="宋体" w:eastAsia="宋体" w:cs="宋体"/>
                <w:color w:val="auto"/>
                <w:sz w:val="21"/>
                <w:szCs w:val="21"/>
                <w:highlight w:val="none"/>
              </w:rPr>
            </w:pPr>
            <w:r>
              <w:rPr>
                <w:rStyle w:val="233"/>
                <w:rFonts w:hint="eastAsia" w:ascii="宋体" w:hAnsi="宋体" w:eastAsia="宋体" w:cs="宋体"/>
                <w:color w:val="auto"/>
                <w:sz w:val="21"/>
                <w:szCs w:val="21"/>
                <w:highlight w:val="none"/>
              </w:rPr>
              <w:t>信用记录甄别</w:t>
            </w:r>
          </w:p>
        </w:tc>
        <w:tc>
          <w:tcPr>
            <w:tcW w:w="7070" w:type="dxa"/>
            <w:tcBorders>
              <w:top w:val="single" w:color="000000" w:sz="4" w:space="0"/>
              <w:left w:val="single" w:color="000000" w:sz="4" w:space="0"/>
              <w:bottom w:val="single" w:color="000000" w:sz="4" w:space="0"/>
              <w:right w:val="double" w:color="000000" w:sz="4" w:space="0"/>
            </w:tcBorders>
            <w:vAlign w:val="center"/>
          </w:tcPr>
          <w:p w14:paraId="14C2DA31">
            <w:pPr>
              <w:keepNext w:val="0"/>
              <w:keepLines w:val="0"/>
              <w:pageBreakBefore w:val="0"/>
              <w:widowControl w:val="0"/>
              <w:kinsoku/>
              <w:wordWrap/>
              <w:overflowPunct/>
              <w:topLinePunct w:val="0"/>
              <w:autoSpaceDE/>
              <w:autoSpaceDN/>
              <w:bidi w:val="0"/>
              <w:adjustRightInd/>
              <w:snapToGrid w:val="0"/>
              <w:spacing w:line="360" w:lineRule="exact"/>
              <w:textAlignment w:val="auto"/>
              <w:rPr>
                <w:rStyle w:val="233"/>
                <w:rFonts w:hint="eastAsia" w:ascii="宋体" w:hAnsi="宋体" w:eastAsia="宋体" w:cs="宋体"/>
                <w:bCs/>
                <w:color w:val="auto"/>
                <w:sz w:val="21"/>
                <w:szCs w:val="21"/>
                <w:highlight w:val="none"/>
              </w:rPr>
            </w:pPr>
            <w:r>
              <w:rPr>
                <w:rStyle w:val="233"/>
                <w:rFonts w:hint="eastAsia" w:ascii="宋体" w:hAnsi="宋体" w:eastAsia="宋体" w:cs="宋体"/>
                <w:bCs/>
                <w:color w:val="auto"/>
                <w:sz w:val="21"/>
                <w:szCs w:val="21"/>
                <w:highlight w:val="none"/>
              </w:rPr>
              <w:t>根据</w:t>
            </w:r>
            <w:r>
              <w:rPr>
                <w:rStyle w:val="233"/>
                <w:rFonts w:hint="eastAsia" w:ascii="宋体" w:hAnsi="宋体" w:eastAsia="宋体" w:cs="宋体"/>
                <w:color w:val="auto"/>
                <w:sz w:val="21"/>
                <w:szCs w:val="21"/>
                <w:highlight w:val="none"/>
              </w:rPr>
              <w:t>《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w:t>
            </w:r>
            <w:r>
              <w:rPr>
                <w:rStyle w:val="233"/>
                <w:rFonts w:hint="eastAsia" w:ascii="宋体" w:hAnsi="宋体" w:eastAsia="宋体" w:cs="宋体"/>
                <w:b/>
                <w:color w:val="auto"/>
                <w:sz w:val="21"/>
                <w:szCs w:val="21"/>
                <w:highlight w:val="none"/>
              </w:rPr>
              <w:t>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14:paraId="2107B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36FCB5BB">
            <w:pPr>
              <w:keepNext w:val="0"/>
              <w:keepLines w:val="0"/>
              <w:pageBreakBefore w:val="0"/>
              <w:widowControl w:val="0"/>
              <w:shd w:val="clear" w:color="auto" w:fill="FFFFFF"/>
              <w:kinsoku/>
              <w:wordWrap/>
              <w:overflowPunct/>
              <w:topLinePunct w:val="0"/>
              <w:autoSpaceDE/>
              <w:autoSpaceDN/>
              <w:bidi w:val="0"/>
              <w:adjustRightInd/>
              <w:spacing w:line="360" w:lineRule="exact"/>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其他注意事项</w:t>
            </w:r>
          </w:p>
        </w:tc>
        <w:tc>
          <w:tcPr>
            <w:tcW w:w="7070" w:type="dxa"/>
            <w:tcBorders>
              <w:top w:val="single" w:color="000000" w:sz="4" w:space="0"/>
              <w:left w:val="single" w:color="000000" w:sz="4" w:space="0"/>
              <w:bottom w:val="single" w:color="000000" w:sz="4" w:space="0"/>
              <w:right w:val="double" w:color="000000" w:sz="4" w:space="0"/>
            </w:tcBorders>
            <w:vAlign w:val="center"/>
          </w:tcPr>
          <w:p w14:paraId="368EE5CA">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（1）各投标供应商派法定代表人（或法定代表人授权代表）按本招标文件规定的时间和地点参加本项目的开标大会并登记签到。投标供应商如不派代表参加开标大会，不作无效标处理。</w:t>
            </w:r>
          </w:p>
          <w:p w14:paraId="46C52BE1">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（2）法定代表人参加开标大会的同时出示：a.企业营业执照复印件加盖公章（封装在投标文件内的也有效）;b.个人有效身份证明（居民身份证）.</w:t>
            </w:r>
          </w:p>
          <w:p w14:paraId="666AE6C8">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（3）法定代表人授权委托书载明的授权代表参加开标大会的同时出示：a.企业营业执照复印件加盖公章（封装在投标文件内有效）;b.投标供应商法定代表人授权委托书原件；c.个人有效身份证明（居民身份证）.</w:t>
            </w:r>
          </w:p>
          <w:p w14:paraId="1C5CB258">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（4）法定代表人或法定代表人授权委托书载明的授权代表参加开标大会时递交的“企业营业执照复印件加盖公章”或投标供应商“法定代表人授权委托书原件”密封在投标文件技术资信部分内有效；</w:t>
            </w:r>
          </w:p>
          <w:p w14:paraId="17DB6EFB">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（5）授权代表开标前出示的法定代表人授权委托书与投标文件中的法定代表人授权委托书不一致时，以投标文件中的为准；</w:t>
            </w:r>
          </w:p>
          <w:p w14:paraId="6AC04663">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（6）供应商采用邮寄的，其联系人若为法人的须提供“企业营业执照和身份证复印件加盖公章”，若联系人为委托人的须提供“法定代表人授权委托书原件”，且须密封在投标文件技术资信部分内；</w:t>
            </w:r>
          </w:p>
          <w:p w14:paraId="383CC507">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（7）招标文件其他地方规定与本表规定不一致的，以本表规定为准。</w:t>
            </w:r>
          </w:p>
        </w:tc>
      </w:tr>
      <w:tr w14:paraId="1822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2003" w:type="dxa"/>
            <w:tcBorders>
              <w:top w:val="single" w:color="000000" w:sz="4" w:space="0"/>
              <w:left w:val="double" w:color="000000" w:sz="4" w:space="0"/>
              <w:bottom w:val="single" w:color="000000" w:sz="4" w:space="0"/>
              <w:right w:val="single" w:color="000000" w:sz="4" w:space="0"/>
            </w:tcBorders>
            <w:vAlign w:val="center"/>
          </w:tcPr>
          <w:p w14:paraId="1680390A">
            <w:pPr>
              <w:keepNext w:val="0"/>
              <w:keepLines w:val="0"/>
              <w:pageBreakBefore w:val="0"/>
              <w:widowControl w:val="0"/>
              <w:shd w:val="clear" w:color="auto" w:fill="FFFFFF"/>
              <w:kinsoku/>
              <w:wordWrap/>
              <w:overflowPunct/>
              <w:topLinePunct w:val="0"/>
              <w:autoSpaceDE/>
              <w:autoSpaceDN/>
              <w:bidi w:val="0"/>
              <w:adjustRightInd/>
              <w:spacing w:line="360" w:lineRule="exact"/>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合同签订</w:t>
            </w:r>
          </w:p>
        </w:tc>
        <w:tc>
          <w:tcPr>
            <w:tcW w:w="7070" w:type="dxa"/>
            <w:tcBorders>
              <w:top w:val="single" w:color="000000" w:sz="4" w:space="0"/>
              <w:left w:val="single" w:color="000000" w:sz="4" w:space="0"/>
              <w:bottom w:val="single" w:color="000000" w:sz="4" w:space="0"/>
              <w:right w:val="double" w:color="000000" w:sz="4" w:space="0"/>
            </w:tcBorders>
            <w:vAlign w:val="center"/>
          </w:tcPr>
          <w:p w14:paraId="77F7E511">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1、中标供应商须在中标通知书发出之日起30日历天内与采购人签订合同。</w:t>
            </w:r>
          </w:p>
          <w:p w14:paraId="23C2E887">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2、本项目政府采购合同按规定在浙江政府采购网（http://www.zjzfcg.gov.cn）予以公告。</w:t>
            </w:r>
          </w:p>
        </w:tc>
      </w:tr>
      <w:tr w14:paraId="7550E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03" w:type="dxa"/>
            <w:tcBorders>
              <w:top w:val="single" w:color="000000" w:sz="4" w:space="0"/>
              <w:left w:val="double" w:color="000000" w:sz="4" w:space="0"/>
              <w:bottom w:val="double" w:color="000000" w:sz="4" w:space="0"/>
              <w:right w:val="single" w:color="000000" w:sz="4" w:space="0"/>
            </w:tcBorders>
            <w:vAlign w:val="center"/>
          </w:tcPr>
          <w:p w14:paraId="4E76A182">
            <w:pPr>
              <w:keepNext w:val="0"/>
              <w:keepLines w:val="0"/>
              <w:pageBreakBefore w:val="0"/>
              <w:widowControl w:val="0"/>
              <w:shd w:val="clear" w:color="auto" w:fill="FFFFFF"/>
              <w:kinsoku/>
              <w:wordWrap/>
              <w:overflowPunct/>
              <w:topLinePunct w:val="0"/>
              <w:autoSpaceDE/>
              <w:autoSpaceDN/>
              <w:bidi w:val="0"/>
              <w:adjustRightInd/>
              <w:spacing w:line="360" w:lineRule="exact"/>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备注</w:t>
            </w:r>
          </w:p>
        </w:tc>
        <w:tc>
          <w:tcPr>
            <w:tcW w:w="7070" w:type="dxa"/>
            <w:tcBorders>
              <w:top w:val="single" w:color="000000" w:sz="4" w:space="0"/>
              <w:left w:val="single" w:color="000000" w:sz="4" w:space="0"/>
              <w:bottom w:val="double" w:color="000000" w:sz="4" w:space="0"/>
              <w:right w:val="double" w:color="000000" w:sz="4" w:space="0"/>
            </w:tcBorders>
            <w:vAlign w:val="center"/>
          </w:tcPr>
          <w:p w14:paraId="7A2C4D30">
            <w:pPr>
              <w:keepNext w:val="0"/>
              <w:keepLines w:val="0"/>
              <w:pageBreakBefore w:val="0"/>
              <w:widowControl w:val="0"/>
              <w:shd w:val="clear" w:color="auto" w:fill="FFFFFF"/>
              <w:kinsoku/>
              <w:wordWrap/>
              <w:overflowPunct/>
              <w:topLinePunct w:val="0"/>
              <w:autoSpaceDE/>
              <w:autoSpaceDN/>
              <w:bidi w:val="0"/>
              <w:adjustRightInd/>
              <w:spacing w:line="360" w:lineRule="exact"/>
              <w:ind w:firstLine="420" w:firstLineChars="200"/>
              <w:textAlignment w:val="auto"/>
              <w:rPr>
                <w:rStyle w:val="233"/>
                <w:rFonts w:hint="eastAsia" w:ascii="宋体" w:hAnsi="宋体" w:eastAsia="宋体" w:cs="宋体"/>
                <w:bCs/>
                <w:color w:val="auto"/>
                <w:kern w:val="0"/>
                <w:sz w:val="21"/>
                <w:szCs w:val="21"/>
                <w:highlight w:val="none"/>
              </w:rPr>
            </w:pPr>
            <w:r>
              <w:rPr>
                <w:rStyle w:val="233"/>
                <w:rFonts w:hint="eastAsia" w:ascii="宋体" w:hAnsi="宋体" w:eastAsia="宋体" w:cs="宋体"/>
                <w:bCs/>
                <w:color w:val="auto"/>
                <w:kern w:val="0"/>
                <w:sz w:val="21"/>
                <w:szCs w:val="21"/>
                <w:highlight w:val="none"/>
              </w:rPr>
              <w:t>如发现采购文件及其评审办法中存在含糊不清、相互矛盾、多种含义以及歧视性不公正条款或违法违规等内容时，请在规定的质疑截止时间前向采购机构或采购人书面反映，逾期不得再对采购文件的条款提出质疑。</w:t>
            </w:r>
            <w:r>
              <w:rPr>
                <w:rStyle w:val="233"/>
                <w:rFonts w:hint="eastAsia" w:ascii="宋体" w:hAnsi="宋体" w:eastAsia="宋体" w:cs="宋体"/>
                <w:bCs/>
                <w:color w:val="auto"/>
                <w:kern w:val="0"/>
                <w:sz w:val="21"/>
                <w:szCs w:val="21"/>
                <w:highlight w:val="none"/>
                <w:lang w:eastAsia="zh-CN"/>
              </w:rPr>
              <w:t>构成本招标文件的各个组成部分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r>
              <w:rPr>
                <w:rStyle w:val="233"/>
                <w:rFonts w:hint="eastAsia" w:ascii="宋体" w:hAnsi="宋体" w:eastAsia="宋体" w:cs="宋体"/>
                <w:bCs/>
                <w:color w:val="auto"/>
                <w:kern w:val="0"/>
                <w:sz w:val="21"/>
                <w:szCs w:val="21"/>
                <w:highlight w:val="none"/>
              </w:rPr>
              <w:t>。</w:t>
            </w:r>
          </w:p>
        </w:tc>
      </w:tr>
    </w:tbl>
    <w:p w14:paraId="60A7CBE0">
      <w:pPr>
        <w:rPr>
          <w:rFonts w:hint="eastAsia" w:ascii="宋体" w:hAnsi="宋体"/>
          <w:color w:val="auto"/>
          <w:sz w:val="36"/>
          <w:highlight w:val="none"/>
        </w:rPr>
      </w:pPr>
      <w:r>
        <w:rPr>
          <w:rFonts w:hint="eastAsia" w:ascii="宋体" w:hAnsi="宋体"/>
          <w:color w:val="auto"/>
          <w:sz w:val="36"/>
          <w:highlight w:val="none"/>
        </w:rPr>
        <w:br w:type="page"/>
      </w:r>
    </w:p>
    <w:p w14:paraId="71C9E095">
      <w:pPr>
        <w:pStyle w:val="2"/>
        <w:rPr>
          <w:rFonts w:hint="eastAsia"/>
          <w:color w:val="auto"/>
          <w:highlight w:val="none"/>
        </w:rPr>
      </w:pPr>
    </w:p>
    <w:p w14:paraId="7F98210A">
      <w:pPr>
        <w:autoSpaceDE w:val="0"/>
        <w:autoSpaceDN w:val="0"/>
        <w:adjustRightInd w:val="0"/>
        <w:snapToGrid w:val="0"/>
        <w:spacing w:afterLines="50" w:line="460" w:lineRule="atLeast"/>
        <w:jc w:val="center"/>
        <w:textAlignment w:val="bottom"/>
        <w:rPr>
          <w:rFonts w:hint="eastAsia" w:ascii="宋体" w:hAnsi="宋体"/>
          <w:color w:val="auto"/>
          <w:sz w:val="36"/>
          <w:highlight w:val="none"/>
        </w:rPr>
      </w:pPr>
    </w:p>
    <w:p w14:paraId="050797A0">
      <w:pPr>
        <w:snapToGrid w:val="0"/>
        <w:spacing w:line="440" w:lineRule="atLeast"/>
        <w:ind w:firstLine="3534" w:firstLineChars="800"/>
        <w:jc w:val="both"/>
        <w:textAlignment w:val="bottom"/>
        <w:rPr>
          <w:rStyle w:val="233"/>
          <w:rFonts w:ascii="宋体" w:hAnsi="宋体"/>
          <w:b/>
          <w:color w:val="auto"/>
          <w:sz w:val="44"/>
          <w:highlight w:val="none"/>
        </w:rPr>
      </w:pPr>
      <w:r>
        <w:rPr>
          <w:rStyle w:val="233"/>
          <w:rFonts w:ascii="宋体" w:hAnsi="宋体"/>
          <w:b/>
          <w:color w:val="auto"/>
          <w:sz w:val="44"/>
          <w:highlight w:val="none"/>
        </w:rPr>
        <w:t>采购文件总目录</w:t>
      </w:r>
    </w:p>
    <w:p w14:paraId="147D9382">
      <w:pPr>
        <w:spacing w:line="440" w:lineRule="atLeast"/>
        <w:ind w:left="1079" w:leftChars="514"/>
        <w:rPr>
          <w:rStyle w:val="233"/>
          <w:rFonts w:ascii="宋体" w:hAnsi="宋体" w:cs="仿宋_GB2312"/>
          <w:bCs/>
          <w:color w:val="auto"/>
          <w:kern w:val="0"/>
          <w:sz w:val="22"/>
          <w:szCs w:val="22"/>
          <w:highlight w:val="none"/>
          <w:lang w:val="zh-CN"/>
        </w:rPr>
      </w:pPr>
      <w:r>
        <w:rPr>
          <w:rStyle w:val="233"/>
          <w:rFonts w:ascii="宋体" w:hAnsi="宋体" w:cs="仿宋_GB2312"/>
          <w:bCs/>
          <w:color w:val="auto"/>
          <w:kern w:val="0"/>
          <w:sz w:val="22"/>
          <w:szCs w:val="22"/>
          <w:highlight w:val="none"/>
          <w:lang w:val="zh-CN"/>
        </w:rPr>
        <w:t>第一部分 项目简介</w:t>
      </w:r>
    </w:p>
    <w:p w14:paraId="3161DACC">
      <w:pPr>
        <w:spacing w:line="440" w:lineRule="atLeast"/>
        <w:ind w:left="1079" w:leftChars="514"/>
        <w:rPr>
          <w:rStyle w:val="233"/>
          <w:rFonts w:ascii="宋体" w:hAnsi="宋体" w:cs="仿宋_GB2312"/>
          <w:bCs/>
          <w:color w:val="auto"/>
          <w:kern w:val="0"/>
          <w:sz w:val="24"/>
          <w:szCs w:val="24"/>
          <w:highlight w:val="none"/>
          <w:lang w:val="zh-CN"/>
        </w:rPr>
      </w:pPr>
      <w:r>
        <w:rPr>
          <w:rStyle w:val="233"/>
          <w:rFonts w:ascii="宋体" w:hAnsi="宋体" w:cs="仿宋_GB2312"/>
          <w:bCs/>
          <w:color w:val="auto"/>
          <w:kern w:val="0"/>
          <w:sz w:val="22"/>
          <w:szCs w:val="22"/>
          <w:highlight w:val="none"/>
          <w:lang w:val="zh-CN"/>
        </w:rPr>
        <w:t>第二部分 采购内容及技术要求</w:t>
      </w:r>
    </w:p>
    <w:p w14:paraId="1D1F638D">
      <w:pPr>
        <w:spacing w:line="440" w:lineRule="atLeast"/>
        <w:ind w:left="1079" w:leftChars="514" w:firstLine="1200" w:firstLineChars="500"/>
        <w:rPr>
          <w:rStyle w:val="233"/>
          <w:rFonts w:hint="default" w:ascii="宋体" w:hAnsi="宋体" w:cs="仿宋_GB2312"/>
          <w:bCs/>
          <w:color w:val="auto"/>
          <w:kern w:val="0"/>
          <w:sz w:val="24"/>
          <w:szCs w:val="24"/>
          <w:highlight w:val="none"/>
          <w:lang w:val="en-US" w:eastAsia="zh-CN"/>
        </w:rPr>
      </w:pPr>
      <w:r>
        <w:rPr>
          <w:rStyle w:val="233"/>
          <w:rFonts w:hint="eastAsia" w:ascii="宋体" w:hAnsi="宋体" w:cs="仿宋_GB2312"/>
          <w:bCs/>
          <w:color w:val="auto"/>
          <w:kern w:val="0"/>
          <w:sz w:val="24"/>
          <w:szCs w:val="24"/>
          <w:highlight w:val="none"/>
          <w:lang w:val="zh-CN" w:eastAsia="zh-CN"/>
        </w:rPr>
        <w:t>一、</w:t>
      </w:r>
      <w:r>
        <w:rPr>
          <w:rStyle w:val="233"/>
          <w:rFonts w:hint="eastAsia" w:ascii="宋体" w:hAnsi="宋体" w:cs="仿宋_GB2312"/>
          <w:bCs/>
          <w:color w:val="auto"/>
          <w:kern w:val="0"/>
          <w:sz w:val="24"/>
          <w:szCs w:val="24"/>
          <w:highlight w:val="none"/>
          <w:lang w:val="en-US" w:eastAsia="zh-CN"/>
        </w:rPr>
        <w:t>采购内容及清单</w:t>
      </w:r>
    </w:p>
    <w:p w14:paraId="5480BEE0">
      <w:pPr>
        <w:spacing w:line="440" w:lineRule="atLeast"/>
        <w:ind w:left="1079" w:leftChars="514" w:firstLine="1200" w:firstLineChars="500"/>
        <w:rPr>
          <w:rStyle w:val="233"/>
          <w:rFonts w:hint="eastAsia" w:ascii="宋体" w:hAnsi="宋体" w:cs="仿宋_GB2312"/>
          <w:bCs/>
          <w:color w:val="auto"/>
          <w:kern w:val="0"/>
          <w:sz w:val="24"/>
          <w:szCs w:val="24"/>
          <w:highlight w:val="none"/>
          <w:lang w:val="en-US" w:eastAsia="zh-CN"/>
        </w:rPr>
      </w:pPr>
      <w:r>
        <w:rPr>
          <w:rStyle w:val="233"/>
          <w:rFonts w:hint="eastAsia" w:ascii="宋体" w:hAnsi="宋体" w:cs="仿宋_GB2312"/>
          <w:bCs/>
          <w:color w:val="auto"/>
          <w:kern w:val="0"/>
          <w:sz w:val="24"/>
          <w:szCs w:val="24"/>
          <w:highlight w:val="none"/>
          <w:lang w:val="zh-CN"/>
        </w:rPr>
        <w:t>二</w:t>
      </w:r>
      <w:r>
        <w:rPr>
          <w:rStyle w:val="233"/>
          <w:rFonts w:ascii="宋体" w:hAnsi="宋体" w:cs="仿宋_GB2312"/>
          <w:bCs/>
          <w:color w:val="auto"/>
          <w:kern w:val="0"/>
          <w:sz w:val="24"/>
          <w:szCs w:val="24"/>
          <w:highlight w:val="none"/>
          <w:lang w:val="zh-CN"/>
        </w:rPr>
        <w:t>、</w:t>
      </w:r>
      <w:r>
        <w:rPr>
          <w:rStyle w:val="233"/>
          <w:rFonts w:hint="eastAsia" w:ascii="宋体" w:hAnsi="宋体" w:cs="仿宋_GB2312"/>
          <w:bCs/>
          <w:color w:val="auto"/>
          <w:kern w:val="0"/>
          <w:sz w:val="24"/>
          <w:szCs w:val="24"/>
          <w:highlight w:val="none"/>
          <w:lang w:val="zh-CN"/>
        </w:rPr>
        <w:t>技术要求</w:t>
      </w:r>
    </w:p>
    <w:p w14:paraId="793CD9A1">
      <w:pPr>
        <w:spacing w:line="440" w:lineRule="atLeast"/>
        <w:ind w:left="1079" w:leftChars="514" w:firstLine="1200" w:firstLineChars="500"/>
        <w:rPr>
          <w:rStyle w:val="233"/>
          <w:rFonts w:hint="default" w:ascii="宋体" w:hAnsi="宋体" w:eastAsia="宋体" w:cs="仿宋_GB2312"/>
          <w:bCs/>
          <w:color w:val="auto"/>
          <w:kern w:val="0"/>
          <w:sz w:val="24"/>
          <w:szCs w:val="24"/>
          <w:highlight w:val="none"/>
          <w:lang w:val="en-US" w:eastAsia="zh-CN"/>
        </w:rPr>
      </w:pPr>
      <w:r>
        <w:rPr>
          <w:rStyle w:val="233"/>
          <w:rFonts w:hint="eastAsia" w:ascii="宋体" w:hAnsi="宋体" w:cs="仿宋_GB2312"/>
          <w:bCs/>
          <w:color w:val="auto"/>
          <w:kern w:val="0"/>
          <w:sz w:val="24"/>
          <w:szCs w:val="24"/>
          <w:highlight w:val="none"/>
          <w:lang w:val="zh-CN"/>
        </w:rPr>
        <w:t>三</w:t>
      </w:r>
      <w:r>
        <w:rPr>
          <w:rStyle w:val="233"/>
          <w:rFonts w:ascii="宋体" w:hAnsi="宋体" w:cs="仿宋_GB2312"/>
          <w:bCs/>
          <w:color w:val="auto"/>
          <w:kern w:val="0"/>
          <w:sz w:val="24"/>
          <w:szCs w:val="24"/>
          <w:highlight w:val="none"/>
          <w:lang w:val="zh-CN"/>
        </w:rPr>
        <w:t>、</w:t>
      </w:r>
      <w:r>
        <w:rPr>
          <w:rStyle w:val="233"/>
          <w:rFonts w:hint="eastAsia" w:ascii="宋体" w:hAnsi="宋体" w:cs="仿宋_GB2312"/>
          <w:bCs/>
          <w:color w:val="auto"/>
          <w:kern w:val="0"/>
          <w:sz w:val="24"/>
          <w:szCs w:val="24"/>
          <w:highlight w:val="none"/>
          <w:lang w:val="en-US" w:eastAsia="zh-CN"/>
        </w:rPr>
        <w:t>其他要求</w:t>
      </w:r>
    </w:p>
    <w:p w14:paraId="199EDFCD">
      <w:pPr>
        <w:spacing w:line="440" w:lineRule="atLeast"/>
        <w:ind w:left="1079" w:leftChars="514" w:firstLine="1200" w:firstLineChars="500"/>
        <w:rPr>
          <w:rStyle w:val="233"/>
          <w:rFonts w:ascii="宋体" w:hAnsi="宋体" w:cs="仿宋_GB2312"/>
          <w:bCs/>
          <w:color w:val="auto"/>
          <w:kern w:val="0"/>
          <w:sz w:val="24"/>
          <w:szCs w:val="24"/>
          <w:highlight w:val="none"/>
          <w:lang w:val="zh-CN"/>
        </w:rPr>
      </w:pPr>
      <w:r>
        <w:rPr>
          <w:rStyle w:val="233"/>
          <w:rFonts w:hint="eastAsia" w:ascii="宋体" w:hAnsi="宋体" w:cs="仿宋_GB2312"/>
          <w:bCs/>
          <w:color w:val="auto"/>
          <w:kern w:val="0"/>
          <w:sz w:val="24"/>
          <w:szCs w:val="24"/>
          <w:highlight w:val="none"/>
          <w:lang w:val="en-US" w:eastAsia="zh-CN"/>
        </w:rPr>
        <w:t>四</w:t>
      </w:r>
      <w:r>
        <w:rPr>
          <w:rStyle w:val="233"/>
          <w:rFonts w:ascii="宋体" w:hAnsi="宋体" w:cs="仿宋_GB2312"/>
          <w:bCs/>
          <w:color w:val="auto"/>
          <w:kern w:val="0"/>
          <w:sz w:val="24"/>
          <w:szCs w:val="24"/>
          <w:highlight w:val="none"/>
          <w:lang w:val="zh-CN"/>
        </w:rPr>
        <w:t>、商务要求</w:t>
      </w:r>
    </w:p>
    <w:p w14:paraId="385C4A06">
      <w:pPr>
        <w:spacing w:line="440" w:lineRule="atLeast"/>
        <w:ind w:left="1079" w:leftChars="514"/>
        <w:rPr>
          <w:rStyle w:val="233"/>
          <w:rFonts w:ascii="宋体" w:hAnsi="宋体" w:cs="仿宋_GB2312"/>
          <w:bCs/>
          <w:color w:val="auto"/>
          <w:kern w:val="0"/>
          <w:sz w:val="24"/>
          <w:szCs w:val="24"/>
          <w:highlight w:val="none"/>
          <w:lang w:val="zh-CN"/>
        </w:rPr>
      </w:pPr>
      <w:r>
        <w:rPr>
          <w:rStyle w:val="233"/>
          <w:rFonts w:ascii="宋体" w:hAnsi="宋体" w:cs="仿宋_GB2312"/>
          <w:bCs/>
          <w:color w:val="auto"/>
          <w:kern w:val="0"/>
          <w:sz w:val="24"/>
          <w:szCs w:val="24"/>
          <w:highlight w:val="none"/>
          <w:lang w:val="zh-CN"/>
        </w:rPr>
        <w:t>第三部分 供应商须知</w:t>
      </w:r>
    </w:p>
    <w:p w14:paraId="622C3338">
      <w:pPr>
        <w:spacing w:line="440" w:lineRule="atLeast"/>
        <w:ind w:left="1079" w:leftChars="514" w:firstLine="1101" w:firstLineChars="459"/>
        <w:rPr>
          <w:rStyle w:val="233"/>
          <w:rFonts w:ascii="宋体" w:hAnsi="宋体" w:cs="仿宋_GB2312"/>
          <w:bCs/>
          <w:color w:val="auto"/>
          <w:kern w:val="0"/>
          <w:sz w:val="24"/>
          <w:szCs w:val="24"/>
          <w:highlight w:val="none"/>
          <w:lang w:val="zh-CN"/>
        </w:rPr>
      </w:pPr>
      <w:r>
        <w:rPr>
          <w:rStyle w:val="233"/>
          <w:rFonts w:ascii="宋体" w:hAnsi="宋体" w:cs="仿宋_GB2312"/>
          <w:bCs/>
          <w:color w:val="auto"/>
          <w:kern w:val="0"/>
          <w:sz w:val="24"/>
          <w:szCs w:val="24"/>
          <w:highlight w:val="none"/>
          <w:lang w:val="zh-CN"/>
        </w:rPr>
        <w:t>一、说    明</w:t>
      </w:r>
    </w:p>
    <w:p w14:paraId="6B16A911">
      <w:pPr>
        <w:spacing w:line="440" w:lineRule="atLeast"/>
        <w:ind w:left="1079" w:leftChars="514" w:firstLine="1101" w:firstLineChars="459"/>
        <w:rPr>
          <w:rStyle w:val="233"/>
          <w:rFonts w:ascii="宋体" w:hAnsi="宋体" w:cs="仿宋_GB2312"/>
          <w:bCs/>
          <w:color w:val="auto"/>
          <w:kern w:val="0"/>
          <w:sz w:val="24"/>
          <w:szCs w:val="24"/>
          <w:highlight w:val="none"/>
          <w:lang w:val="zh-CN"/>
        </w:rPr>
      </w:pPr>
      <w:r>
        <w:rPr>
          <w:rStyle w:val="233"/>
          <w:rFonts w:ascii="宋体" w:hAnsi="宋体" w:cs="仿宋_GB2312"/>
          <w:bCs/>
          <w:color w:val="auto"/>
          <w:kern w:val="0"/>
          <w:sz w:val="24"/>
          <w:szCs w:val="24"/>
          <w:highlight w:val="none"/>
          <w:lang w:val="zh-CN"/>
        </w:rPr>
        <w:t>二、供应商资格条件</w:t>
      </w:r>
    </w:p>
    <w:p w14:paraId="5019FDFA">
      <w:pPr>
        <w:spacing w:line="440" w:lineRule="atLeast"/>
        <w:ind w:left="1079" w:leftChars="514" w:firstLine="1101" w:firstLineChars="459"/>
        <w:rPr>
          <w:rStyle w:val="233"/>
          <w:rFonts w:ascii="宋体" w:hAnsi="宋体" w:cs="仿宋_GB2312"/>
          <w:bCs/>
          <w:color w:val="auto"/>
          <w:kern w:val="0"/>
          <w:sz w:val="24"/>
          <w:szCs w:val="24"/>
          <w:highlight w:val="none"/>
          <w:lang w:val="zh-CN"/>
        </w:rPr>
      </w:pPr>
      <w:r>
        <w:rPr>
          <w:rStyle w:val="233"/>
          <w:rFonts w:ascii="宋体" w:hAnsi="宋体" w:cs="仿宋_GB2312"/>
          <w:bCs/>
          <w:color w:val="auto"/>
          <w:kern w:val="0"/>
          <w:sz w:val="24"/>
          <w:szCs w:val="24"/>
          <w:highlight w:val="none"/>
          <w:lang w:val="zh-CN"/>
        </w:rPr>
        <w:t>三、采购文件</w:t>
      </w:r>
    </w:p>
    <w:p w14:paraId="17235861">
      <w:pPr>
        <w:spacing w:line="440" w:lineRule="atLeast"/>
        <w:ind w:left="1079" w:leftChars="514" w:firstLine="1101" w:firstLineChars="459"/>
        <w:rPr>
          <w:rStyle w:val="233"/>
          <w:rFonts w:ascii="宋体" w:hAnsi="宋体" w:cs="仿宋_GB2312"/>
          <w:bCs/>
          <w:color w:val="auto"/>
          <w:kern w:val="0"/>
          <w:sz w:val="24"/>
          <w:szCs w:val="24"/>
          <w:highlight w:val="none"/>
          <w:lang w:val="zh-CN"/>
        </w:rPr>
      </w:pPr>
      <w:r>
        <w:rPr>
          <w:rStyle w:val="233"/>
          <w:rFonts w:ascii="宋体" w:hAnsi="宋体" w:cs="仿宋_GB2312"/>
          <w:bCs/>
          <w:color w:val="auto"/>
          <w:kern w:val="0"/>
          <w:sz w:val="24"/>
          <w:szCs w:val="24"/>
          <w:highlight w:val="none"/>
          <w:lang w:val="zh-CN"/>
        </w:rPr>
        <w:t>四、</w:t>
      </w:r>
      <w:r>
        <w:rPr>
          <w:rStyle w:val="233"/>
          <w:rFonts w:hint="eastAsia" w:ascii="宋体" w:hAnsi="宋体" w:cs="仿宋_GB2312"/>
          <w:bCs/>
          <w:color w:val="auto"/>
          <w:kern w:val="0"/>
          <w:sz w:val="24"/>
          <w:szCs w:val="24"/>
          <w:highlight w:val="none"/>
          <w:lang w:val="zh-CN"/>
        </w:rPr>
        <w:t>谈判</w:t>
      </w:r>
      <w:r>
        <w:rPr>
          <w:rStyle w:val="233"/>
          <w:rFonts w:ascii="宋体" w:hAnsi="宋体" w:cs="仿宋_GB2312"/>
          <w:bCs/>
          <w:color w:val="auto"/>
          <w:kern w:val="0"/>
          <w:sz w:val="24"/>
          <w:szCs w:val="24"/>
          <w:highlight w:val="none"/>
          <w:lang w:val="zh-CN"/>
        </w:rPr>
        <w:t>响应文件的密封与递交</w:t>
      </w:r>
    </w:p>
    <w:p w14:paraId="69B943E5">
      <w:pPr>
        <w:spacing w:line="440" w:lineRule="atLeast"/>
        <w:ind w:left="1079" w:leftChars="514" w:firstLine="1101" w:firstLineChars="459"/>
        <w:rPr>
          <w:rStyle w:val="233"/>
          <w:rFonts w:ascii="宋体" w:hAnsi="宋体" w:cs="仿宋_GB2312"/>
          <w:bCs/>
          <w:color w:val="auto"/>
          <w:kern w:val="0"/>
          <w:sz w:val="24"/>
          <w:szCs w:val="24"/>
          <w:highlight w:val="none"/>
          <w:lang w:val="zh-CN"/>
        </w:rPr>
      </w:pPr>
      <w:r>
        <w:rPr>
          <w:rStyle w:val="233"/>
          <w:rFonts w:ascii="宋体" w:hAnsi="宋体" w:cs="仿宋_GB2312"/>
          <w:bCs/>
          <w:color w:val="auto"/>
          <w:kern w:val="0"/>
          <w:sz w:val="24"/>
          <w:szCs w:val="24"/>
          <w:highlight w:val="none"/>
          <w:lang w:val="zh-CN"/>
        </w:rPr>
        <w:t>五、</w:t>
      </w:r>
      <w:r>
        <w:rPr>
          <w:rStyle w:val="233"/>
          <w:rFonts w:hAnsi="宋体"/>
          <w:color w:val="auto"/>
          <w:sz w:val="24"/>
          <w:szCs w:val="24"/>
          <w:highlight w:val="none"/>
        </w:rPr>
        <w:t>开标和评标</w:t>
      </w:r>
    </w:p>
    <w:p w14:paraId="7084C77B">
      <w:pPr>
        <w:spacing w:line="440" w:lineRule="atLeast"/>
        <w:ind w:left="1079" w:leftChars="514" w:firstLine="1101" w:firstLineChars="459"/>
        <w:rPr>
          <w:rStyle w:val="233"/>
          <w:rFonts w:ascii="宋体" w:hAnsi="宋体" w:cs="仿宋_GB2312"/>
          <w:bCs/>
          <w:color w:val="auto"/>
          <w:kern w:val="0"/>
          <w:sz w:val="24"/>
          <w:szCs w:val="24"/>
          <w:highlight w:val="none"/>
          <w:lang w:val="zh-CN"/>
        </w:rPr>
      </w:pPr>
      <w:r>
        <w:rPr>
          <w:rStyle w:val="233"/>
          <w:rFonts w:ascii="宋体" w:hAnsi="宋体" w:cs="仿宋_GB2312"/>
          <w:bCs/>
          <w:color w:val="auto"/>
          <w:kern w:val="0"/>
          <w:sz w:val="24"/>
          <w:szCs w:val="24"/>
          <w:highlight w:val="none"/>
          <w:lang w:val="zh-CN"/>
        </w:rPr>
        <w:t>六、授予合同</w:t>
      </w:r>
    </w:p>
    <w:p w14:paraId="4B56BD74">
      <w:pPr>
        <w:snapToGrid w:val="0"/>
        <w:spacing w:line="440" w:lineRule="atLeast"/>
        <w:ind w:firstLine="960" w:firstLineChars="400"/>
        <w:textAlignment w:val="bottom"/>
        <w:rPr>
          <w:rStyle w:val="233"/>
          <w:rFonts w:ascii="宋体" w:hAnsi="宋体"/>
          <w:color w:val="auto"/>
          <w:sz w:val="24"/>
          <w:szCs w:val="24"/>
          <w:highlight w:val="none"/>
        </w:rPr>
      </w:pPr>
      <w:r>
        <w:rPr>
          <w:rStyle w:val="233"/>
          <w:rFonts w:ascii="宋体" w:hAnsi="宋体"/>
          <w:color w:val="auto"/>
          <w:sz w:val="24"/>
          <w:szCs w:val="24"/>
          <w:highlight w:val="none"/>
        </w:rPr>
        <w:t>第四部分  合同格式</w:t>
      </w:r>
    </w:p>
    <w:p w14:paraId="400C56AC">
      <w:pPr>
        <w:tabs>
          <w:tab w:val="left" w:pos="560"/>
        </w:tabs>
        <w:snapToGrid w:val="0"/>
        <w:spacing w:line="440" w:lineRule="atLeast"/>
        <w:textAlignment w:val="bottom"/>
        <w:rPr>
          <w:rStyle w:val="233"/>
          <w:rFonts w:ascii="宋体" w:hAnsi="宋体"/>
          <w:color w:val="auto"/>
          <w:sz w:val="24"/>
          <w:szCs w:val="24"/>
          <w:highlight w:val="none"/>
        </w:rPr>
      </w:pPr>
      <w:r>
        <w:rPr>
          <w:rStyle w:val="233"/>
          <w:rFonts w:ascii="宋体" w:hAnsi="宋体"/>
          <w:color w:val="auto"/>
          <w:sz w:val="24"/>
          <w:szCs w:val="24"/>
          <w:highlight w:val="none"/>
        </w:rPr>
        <w:t xml:space="preserve">        第五部分  附件：投标文件格式</w:t>
      </w:r>
    </w:p>
    <w:p w14:paraId="5E3404BE">
      <w:pPr>
        <w:snapToGrid w:val="0"/>
        <w:spacing w:line="440" w:lineRule="atLeast"/>
        <w:ind w:firstLine="960" w:firstLineChars="400"/>
        <w:textAlignment w:val="bottom"/>
        <w:rPr>
          <w:rStyle w:val="233"/>
          <w:rFonts w:ascii="宋体" w:hAnsi="宋体"/>
          <w:color w:val="auto"/>
          <w:sz w:val="24"/>
          <w:szCs w:val="24"/>
          <w:highlight w:val="none"/>
        </w:rPr>
      </w:pPr>
      <w:r>
        <w:rPr>
          <w:rStyle w:val="233"/>
          <w:rFonts w:ascii="宋体" w:hAnsi="宋体"/>
          <w:color w:val="auto"/>
          <w:sz w:val="24"/>
          <w:szCs w:val="24"/>
          <w:highlight w:val="none"/>
        </w:rPr>
        <w:t>第六部分  评审办法</w:t>
      </w:r>
    </w:p>
    <w:p w14:paraId="3F109856">
      <w:pPr>
        <w:spacing w:line="440" w:lineRule="atLeast"/>
        <w:ind w:left="1079" w:leftChars="514"/>
        <w:rPr>
          <w:rStyle w:val="233"/>
          <w:rFonts w:ascii="宋体" w:hAnsi="宋体" w:cs="仿宋_GB2312"/>
          <w:bCs/>
          <w:color w:val="auto"/>
          <w:kern w:val="0"/>
          <w:sz w:val="24"/>
          <w:szCs w:val="24"/>
          <w:highlight w:val="none"/>
          <w:lang w:val="zh-CN"/>
        </w:rPr>
      </w:pPr>
    </w:p>
    <w:p w14:paraId="40EA1B05">
      <w:pPr>
        <w:spacing w:line="440" w:lineRule="atLeast"/>
        <w:ind w:left="1079" w:leftChars="514"/>
        <w:rPr>
          <w:rStyle w:val="233"/>
          <w:rFonts w:ascii="宋体" w:hAnsi="宋体" w:cs="仿宋_GB2312"/>
          <w:bCs/>
          <w:color w:val="auto"/>
          <w:kern w:val="0"/>
          <w:sz w:val="22"/>
          <w:szCs w:val="22"/>
          <w:highlight w:val="none"/>
          <w:lang w:val="zh-CN"/>
        </w:rPr>
      </w:pPr>
    </w:p>
    <w:p w14:paraId="17D4034A">
      <w:pPr>
        <w:spacing w:line="440" w:lineRule="atLeast"/>
        <w:ind w:left="1079" w:leftChars="514"/>
        <w:rPr>
          <w:rStyle w:val="233"/>
          <w:rFonts w:ascii="宋体" w:hAnsi="宋体" w:cs="仿宋_GB2312"/>
          <w:bCs/>
          <w:color w:val="auto"/>
          <w:kern w:val="0"/>
          <w:sz w:val="22"/>
          <w:szCs w:val="22"/>
          <w:highlight w:val="none"/>
          <w:lang w:val="zh-CN"/>
        </w:rPr>
      </w:pPr>
    </w:p>
    <w:p w14:paraId="30AFB534">
      <w:pPr>
        <w:spacing w:line="440" w:lineRule="atLeast"/>
        <w:ind w:left="1079" w:leftChars="514"/>
        <w:rPr>
          <w:rStyle w:val="233"/>
          <w:rFonts w:ascii="宋体" w:hAnsi="宋体" w:cs="仿宋_GB2312"/>
          <w:bCs/>
          <w:color w:val="auto"/>
          <w:kern w:val="0"/>
          <w:sz w:val="22"/>
          <w:szCs w:val="22"/>
          <w:highlight w:val="none"/>
          <w:lang w:val="zh-CN"/>
        </w:rPr>
      </w:pPr>
    </w:p>
    <w:p w14:paraId="720275E0">
      <w:pPr>
        <w:spacing w:line="440" w:lineRule="atLeast"/>
        <w:ind w:left="1079" w:leftChars="514"/>
        <w:rPr>
          <w:rStyle w:val="233"/>
          <w:rFonts w:ascii="宋体" w:hAnsi="宋体" w:cs="仿宋_GB2312"/>
          <w:bCs/>
          <w:color w:val="auto"/>
          <w:kern w:val="0"/>
          <w:sz w:val="22"/>
          <w:szCs w:val="22"/>
          <w:highlight w:val="none"/>
          <w:lang w:val="zh-CN"/>
        </w:rPr>
      </w:pPr>
    </w:p>
    <w:p w14:paraId="0D71B962">
      <w:pPr>
        <w:spacing w:before="120" w:line="440" w:lineRule="atLeast"/>
        <w:rPr>
          <w:rStyle w:val="233"/>
          <w:rFonts w:ascii="宋体"/>
          <w:color w:val="auto"/>
          <w:sz w:val="22"/>
          <w:szCs w:val="22"/>
          <w:highlight w:val="none"/>
          <w:u w:val="thick"/>
        </w:rPr>
      </w:pPr>
      <w:r>
        <w:rPr>
          <w:rStyle w:val="233"/>
          <w:rFonts w:ascii="宋体"/>
          <w:color w:val="auto"/>
          <w:sz w:val="22"/>
          <w:szCs w:val="22"/>
          <w:highlight w:val="none"/>
          <w:u w:val="thick"/>
        </w:rPr>
        <w:t>注：采购文件中有的条款及要求以加粗、加下划线或符号★、▲的形式强调，这些特别强调的条款及内容有些是重要条款，供应商对重要条款的响应程度将作为评审工作的主要依据之一。</w:t>
      </w:r>
    </w:p>
    <w:p w14:paraId="7E2D439E">
      <w:pPr>
        <w:pStyle w:val="249"/>
        <w:spacing w:line="240" w:lineRule="auto"/>
        <w:jc w:val="center"/>
        <w:rPr>
          <w:rStyle w:val="233"/>
          <w:rFonts w:ascii="宋体" w:hAnsi="宋体"/>
          <w:b/>
          <w:color w:val="auto"/>
          <w:sz w:val="36"/>
          <w:highlight w:val="none"/>
        </w:rPr>
      </w:pPr>
      <w:r>
        <w:rPr>
          <w:rStyle w:val="233"/>
          <w:rFonts w:ascii="宋体" w:hAnsi="宋体"/>
          <w:b/>
          <w:color w:val="auto"/>
          <w:sz w:val="36"/>
          <w:highlight w:val="none"/>
        </w:rPr>
        <w:br w:type="page"/>
      </w:r>
    </w:p>
    <w:p w14:paraId="7CC7B435">
      <w:pPr>
        <w:autoSpaceDE w:val="0"/>
        <w:autoSpaceDN w:val="0"/>
        <w:adjustRightInd w:val="0"/>
        <w:snapToGrid w:val="0"/>
        <w:spacing w:afterLines="50" w:line="460" w:lineRule="atLeast"/>
        <w:jc w:val="center"/>
        <w:textAlignment w:val="bottom"/>
        <w:rPr>
          <w:rFonts w:hint="eastAsia" w:ascii="宋体" w:hAnsi="宋体"/>
          <w:color w:val="auto"/>
          <w:sz w:val="36"/>
          <w:highlight w:val="none"/>
        </w:rPr>
      </w:pPr>
      <w:r>
        <w:rPr>
          <w:rFonts w:hint="eastAsia" w:ascii="宋体" w:hAnsi="宋体"/>
          <w:color w:val="auto"/>
          <w:sz w:val="36"/>
          <w:highlight w:val="none"/>
        </w:rPr>
        <w:t>第一部分  项目简介</w:t>
      </w:r>
    </w:p>
    <w:p w14:paraId="17EC1F9C">
      <w:pPr>
        <w:snapToGrid w:val="0"/>
        <w:spacing w:line="460" w:lineRule="exact"/>
        <w:ind w:firstLine="541" w:firstLineChars="246"/>
        <w:rPr>
          <w:rStyle w:val="233"/>
          <w:rFonts w:ascii="宋体" w:hAnsi="宋体"/>
          <w:color w:val="auto"/>
          <w:sz w:val="22"/>
          <w:szCs w:val="22"/>
          <w:highlight w:val="none"/>
        </w:rPr>
      </w:pPr>
      <w:r>
        <w:rPr>
          <w:rStyle w:val="233"/>
          <w:rFonts w:hint="eastAsia" w:ascii="宋体" w:hAnsi="宋体"/>
          <w:color w:val="auto"/>
          <w:sz w:val="22"/>
          <w:szCs w:val="22"/>
          <w:highlight w:val="none"/>
        </w:rPr>
        <w:t>温州市鼎信工程管理咨询有限公司</w:t>
      </w:r>
      <w:r>
        <w:rPr>
          <w:rStyle w:val="233"/>
          <w:rFonts w:ascii="宋体" w:hAnsi="宋体"/>
          <w:color w:val="auto"/>
          <w:sz w:val="22"/>
          <w:szCs w:val="22"/>
          <w:highlight w:val="none"/>
        </w:rPr>
        <w:t>受</w:t>
      </w:r>
      <w:r>
        <w:rPr>
          <w:rFonts w:hint="eastAsia" w:ascii="宋体" w:hAnsi="Times New Roman" w:eastAsia="宋体" w:cs="宋体"/>
          <w:color w:val="auto"/>
          <w:sz w:val="22"/>
          <w:szCs w:val="22"/>
          <w:highlight w:val="none"/>
        </w:rPr>
        <w:t>苍南中工建设开发有限公司</w:t>
      </w:r>
      <w:r>
        <w:rPr>
          <w:rStyle w:val="233"/>
          <w:rFonts w:ascii="宋体" w:hAnsi="宋体"/>
          <w:color w:val="auto"/>
          <w:sz w:val="22"/>
          <w:szCs w:val="22"/>
          <w:highlight w:val="none"/>
        </w:rPr>
        <w:t>委托，以竞争性</w:t>
      </w:r>
      <w:r>
        <w:rPr>
          <w:rStyle w:val="233"/>
          <w:rFonts w:hint="eastAsia" w:ascii="宋体" w:hAnsi="宋体"/>
          <w:color w:val="auto"/>
          <w:sz w:val="22"/>
          <w:szCs w:val="22"/>
          <w:highlight w:val="none"/>
        </w:rPr>
        <w:t>谈判</w:t>
      </w:r>
      <w:r>
        <w:rPr>
          <w:rStyle w:val="233"/>
          <w:rFonts w:ascii="宋体" w:hAnsi="宋体"/>
          <w:color w:val="auto"/>
          <w:sz w:val="22"/>
          <w:szCs w:val="22"/>
          <w:highlight w:val="none"/>
        </w:rPr>
        <w:t>方式采购</w:t>
      </w:r>
      <w:r>
        <w:rPr>
          <w:rStyle w:val="233"/>
          <w:rFonts w:hint="eastAsia" w:ascii="宋体" w:hAnsi="宋体" w:cs="Times New Roman"/>
          <w:color w:val="auto"/>
          <w:kern w:val="0"/>
          <w:sz w:val="22"/>
          <w:szCs w:val="22"/>
          <w:highlight w:val="none"/>
        </w:rPr>
        <w:t>龙港市宏程小学精品录播系统采购项目</w:t>
      </w:r>
      <w:r>
        <w:rPr>
          <w:rStyle w:val="233"/>
          <w:rFonts w:ascii="宋体" w:hAnsi="宋体" w:cs="Times New Roman"/>
          <w:color w:val="auto"/>
          <w:sz w:val="22"/>
          <w:szCs w:val="22"/>
          <w:highlight w:val="none"/>
        </w:rPr>
        <w:t>，本次招标资金已经落实。</w:t>
      </w:r>
      <w:r>
        <w:rPr>
          <w:rStyle w:val="233"/>
          <w:rFonts w:ascii="宋体" w:hAnsi="宋体"/>
          <w:color w:val="auto"/>
          <w:sz w:val="22"/>
          <w:szCs w:val="22"/>
          <w:highlight w:val="none"/>
        </w:rPr>
        <w:t>我们热情欢迎有关公司（企业）前来进行投标。</w:t>
      </w:r>
    </w:p>
    <w:p w14:paraId="2D971EE6">
      <w:pPr>
        <w:autoSpaceDE w:val="0"/>
        <w:autoSpaceDN w:val="0"/>
        <w:adjustRightInd w:val="0"/>
        <w:snapToGrid w:val="0"/>
        <w:spacing w:afterLines="50" w:line="460" w:lineRule="atLeast"/>
        <w:jc w:val="center"/>
        <w:textAlignment w:val="bottom"/>
        <w:rPr>
          <w:rFonts w:hint="eastAsia" w:ascii="宋体" w:hAnsi="宋体"/>
          <w:color w:val="auto"/>
          <w:sz w:val="36"/>
          <w:highlight w:val="none"/>
        </w:rPr>
      </w:pPr>
    </w:p>
    <w:p w14:paraId="330F80C7">
      <w:pPr>
        <w:autoSpaceDE w:val="0"/>
        <w:autoSpaceDN w:val="0"/>
        <w:adjustRightInd w:val="0"/>
        <w:snapToGrid w:val="0"/>
        <w:spacing w:afterLines="50" w:line="460" w:lineRule="atLeast"/>
        <w:jc w:val="center"/>
        <w:textAlignment w:val="bottom"/>
        <w:rPr>
          <w:rFonts w:ascii="宋体" w:hAnsi="宋体"/>
          <w:color w:val="auto"/>
          <w:sz w:val="36"/>
          <w:highlight w:val="none"/>
        </w:rPr>
      </w:pPr>
      <w:r>
        <w:rPr>
          <w:rFonts w:hint="eastAsia" w:ascii="宋体" w:hAnsi="宋体"/>
          <w:color w:val="auto"/>
          <w:sz w:val="36"/>
          <w:highlight w:val="none"/>
        </w:rPr>
        <w:t>第二部分  采购内容及要求</w:t>
      </w:r>
    </w:p>
    <w:p w14:paraId="413BB17E">
      <w:pPr>
        <w:tabs>
          <w:tab w:val="left" w:pos="210"/>
        </w:tabs>
        <w:spacing w:line="360" w:lineRule="auto"/>
        <w:textAlignment w:val="bottom"/>
        <w:rPr>
          <w:rStyle w:val="233"/>
          <w:rFonts w:hint="eastAsia" w:ascii="宋体" w:hAnsi="Times New Roman" w:eastAsia="宋体" w:cs="Times New Roman"/>
          <w:b/>
          <w:bCs/>
          <w:color w:val="auto"/>
          <w:sz w:val="22"/>
          <w:szCs w:val="22"/>
          <w:highlight w:val="none"/>
          <w:lang w:val="en-US" w:eastAsia="zh-CN"/>
        </w:rPr>
      </w:pPr>
    </w:p>
    <w:p w14:paraId="58427AD8">
      <w:pPr>
        <w:tabs>
          <w:tab w:val="left" w:pos="210"/>
        </w:tabs>
        <w:spacing w:line="360" w:lineRule="auto"/>
        <w:textAlignment w:val="bottom"/>
        <w:rPr>
          <w:rStyle w:val="233"/>
          <w:rFonts w:hint="eastAsia" w:ascii="宋体" w:hAnsi="Times New Roman" w:eastAsia="宋体" w:cs="Times New Roman"/>
          <w:b/>
          <w:bCs/>
          <w:color w:val="auto"/>
          <w:sz w:val="22"/>
          <w:szCs w:val="22"/>
          <w:highlight w:val="none"/>
          <w:lang w:val="en-US" w:eastAsia="zh-CN"/>
        </w:rPr>
      </w:pPr>
      <w:r>
        <w:rPr>
          <w:rStyle w:val="233"/>
          <w:rFonts w:hint="eastAsia" w:ascii="宋体" w:hAnsi="Times New Roman" w:eastAsia="宋体" w:cs="Times New Roman"/>
          <w:b/>
          <w:bCs/>
          <w:color w:val="auto"/>
          <w:sz w:val="22"/>
          <w:szCs w:val="22"/>
          <w:highlight w:val="none"/>
          <w:lang w:val="en-US" w:eastAsia="zh-CN"/>
        </w:rPr>
        <w:t>一、采购内容</w:t>
      </w:r>
    </w:p>
    <w:p w14:paraId="614707CD">
      <w:pPr>
        <w:pageBreakBefore w:val="0"/>
        <w:widowControl w:val="0"/>
        <w:tabs>
          <w:tab w:val="left" w:pos="0"/>
        </w:tabs>
        <w:kinsoku/>
        <w:wordWrap/>
        <w:overflowPunct/>
        <w:topLinePunct w:val="0"/>
        <w:bidi w:val="0"/>
        <w:adjustRightInd w:val="0"/>
        <w:snapToGrid w:val="0"/>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本项目采购内容为</w:t>
      </w:r>
      <w:r>
        <w:rPr>
          <w:rFonts w:hint="eastAsia" w:ascii="宋体" w:hAnsi="宋体" w:cs="宋体"/>
          <w:b w:val="0"/>
          <w:bCs w:val="0"/>
          <w:color w:val="auto"/>
          <w:sz w:val="22"/>
          <w:szCs w:val="22"/>
          <w:highlight w:val="none"/>
          <w:lang w:val="en-US" w:eastAsia="zh-CN"/>
        </w:rPr>
        <w:t>龙港市宏程小学精品录播系统采购项目</w:t>
      </w:r>
      <w:r>
        <w:rPr>
          <w:rFonts w:hint="eastAsia" w:ascii="宋体" w:hAnsi="宋体" w:eastAsia="宋体" w:cs="宋体"/>
          <w:b w:val="0"/>
          <w:bCs w:val="0"/>
          <w:color w:val="auto"/>
          <w:sz w:val="22"/>
          <w:szCs w:val="22"/>
          <w:highlight w:val="none"/>
        </w:rPr>
        <w:t>，包含所需</w:t>
      </w:r>
      <w:r>
        <w:rPr>
          <w:rFonts w:hint="eastAsia" w:ascii="宋体" w:hAnsi="宋体" w:eastAsia="宋体" w:cs="宋体"/>
          <w:b w:val="0"/>
          <w:bCs w:val="0"/>
          <w:color w:val="auto"/>
          <w:sz w:val="22"/>
          <w:szCs w:val="22"/>
          <w:highlight w:val="none"/>
          <w:lang w:val="en-US" w:eastAsia="zh-CN"/>
        </w:rPr>
        <w:t>项目</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lang w:val="en-US" w:eastAsia="zh-CN"/>
        </w:rPr>
        <w:t>产品采购</w:t>
      </w:r>
      <w:r>
        <w:rPr>
          <w:rFonts w:hint="eastAsia" w:ascii="宋体" w:hAnsi="宋体" w:eastAsia="宋体" w:cs="宋体"/>
          <w:b w:val="0"/>
          <w:bCs w:val="0"/>
          <w:color w:val="auto"/>
          <w:sz w:val="22"/>
          <w:szCs w:val="22"/>
          <w:highlight w:val="none"/>
        </w:rPr>
        <w:t>、运输、安装（含辅材辅料、配套施工）、调试、验收配合、第三方检测（如需）、售后服务及伴随的其他一切内容。</w:t>
      </w:r>
    </w:p>
    <w:p w14:paraId="41C2971B">
      <w:pPr>
        <w:pStyle w:val="243"/>
        <w:spacing w:line="360" w:lineRule="auto"/>
        <w:ind w:firstLine="442"/>
        <w:textAlignment w:val="auto"/>
        <w:rPr>
          <w:rFonts w:hint="eastAsia" w:hAnsi="宋体"/>
          <w:b w:val="0"/>
          <w:bCs w:val="0"/>
          <w:color w:val="auto"/>
          <w:sz w:val="22"/>
          <w:highlight w:val="none"/>
          <w:u w:val="single"/>
          <w:lang w:eastAsia="zh-CN"/>
        </w:rPr>
      </w:pPr>
      <w:r>
        <w:rPr>
          <w:rFonts w:hint="eastAsia" w:hAnsi="宋体"/>
          <w:b w:val="0"/>
          <w:bCs w:val="0"/>
          <w:color w:val="auto"/>
          <w:sz w:val="22"/>
          <w:highlight w:val="none"/>
        </w:rPr>
        <w:t>（</w:t>
      </w:r>
      <w:r>
        <w:rPr>
          <w:rFonts w:hint="eastAsia" w:hAnsi="宋体"/>
          <w:b w:val="0"/>
          <w:bCs w:val="0"/>
          <w:color w:val="auto"/>
          <w:sz w:val="22"/>
          <w:highlight w:val="none"/>
          <w:u w:val="single"/>
        </w:rPr>
        <w:t>以下所有参数是为了对拟投标的货物的技术指标和功能要求更好的说明，欢迎其他能满足本项目技术需求且性能相当的产品参加。产品性能是否相当由评标委员会按少数服从多数原则认定</w:t>
      </w:r>
      <w:r>
        <w:rPr>
          <w:rFonts w:hint="eastAsia" w:hAnsi="宋体"/>
          <w:b w:val="0"/>
          <w:bCs w:val="0"/>
          <w:color w:val="auto"/>
          <w:sz w:val="22"/>
          <w:highlight w:val="none"/>
          <w:u w:val="single"/>
          <w:lang w:eastAsia="zh-CN"/>
        </w:rPr>
        <w:t>）</w:t>
      </w:r>
    </w:p>
    <w:tbl>
      <w:tblPr>
        <w:tblStyle w:val="49"/>
        <w:tblW w:w="9113" w:type="dxa"/>
        <w:tblInd w:w="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1" w:type="dxa"/>
          <w:left w:w="28" w:type="dxa"/>
          <w:bottom w:w="11" w:type="dxa"/>
          <w:right w:w="28" w:type="dxa"/>
        </w:tblCellMar>
      </w:tblPr>
      <w:tblGrid>
        <w:gridCol w:w="763"/>
        <w:gridCol w:w="1487"/>
        <w:gridCol w:w="5675"/>
        <w:gridCol w:w="613"/>
        <w:gridCol w:w="575"/>
      </w:tblGrid>
      <w:tr w14:paraId="2426C6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shd w:val="clear" w:color="auto" w:fill="B6DDE8"/>
            <w:noWrap w:val="0"/>
            <w:vAlign w:val="center"/>
          </w:tcPr>
          <w:p w14:paraId="62CBD6F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487" w:type="dxa"/>
            <w:tcBorders>
              <w:tl2br w:val="nil"/>
              <w:tr2bl w:val="nil"/>
            </w:tcBorders>
            <w:shd w:val="clear" w:color="auto" w:fill="B6DDE8"/>
            <w:noWrap w:val="0"/>
            <w:vAlign w:val="center"/>
          </w:tcPr>
          <w:p w14:paraId="6175124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5675" w:type="dxa"/>
            <w:tcBorders>
              <w:tl2br w:val="nil"/>
              <w:tr2bl w:val="nil"/>
            </w:tcBorders>
            <w:shd w:val="clear" w:color="auto" w:fill="B6DDE8"/>
            <w:noWrap w:val="0"/>
            <w:vAlign w:val="center"/>
          </w:tcPr>
          <w:p w14:paraId="38335B6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招标参数</w:t>
            </w:r>
          </w:p>
        </w:tc>
        <w:tc>
          <w:tcPr>
            <w:tcW w:w="613" w:type="dxa"/>
            <w:tcBorders>
              <w:tl2br w:val="nil"/>
              <w:tr2bl w:val="nil"/>
            </w:tcBorders>
            <w:shd w:val="clear" w:color="auto" w:fill="B6DDE8"/>
            <w:noWrap w:val="0"/>
            <w:vAlign w:val="center"/>
          </w:tcPr>
          <w:p w14:paraId="0AEC03B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575" w:type="dxa"/>
            <w:tcBorders>
              <w:tl2br w:val="nil"/>
              <w:tr2bl w:val="nil"/>
            </w:tcBorders>
            <w:shd w:val="clear" w:color="auto" w:fill="B6DDE8"/>
            <w:noWrap w:val="0"/>
            <w:vAlign w:val="center"/>
          </w:tcPr>
          <w:p w14:paraId="0E224E3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4E6511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0F4A01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7" w:type="dxa"/>
            <w:tcBorders>
              <w:tl2br w:val="nil"/>
              <w:tr2bl w:val="nil"/>
            </w:tcBorders>
            <w:noWrap w:val="0"/>
            <w:vAlign w:val="center"/>
          </w:tcPr>
          <w:p w14:paraId="5755A9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高清录播主机</w:t>
            </w:r>
          </w:p>
        </w:tc>
        <w:tc>
          <w:tcPr>
            <w:tcW w:w="5675" w:type="dxa"/>
            <w:tcBorders>
              <w:tl2br w:val="nil"/>
              <w:tr2bl w:val="nil"/>
            </w:tcBorders>
            <w:noWrap w:val="0"/>
            <w:vAlign w:val="top"/>
          </w:tcPr>
          <w:p w14:paraId="1BC1E321">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一、整体设计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2.高度集成：主机需同时具备录制、直播、导播、自动跟踪、音频编码、视频编码、音频处理、视频处理、存储、点播、互动多功能于一体；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3.优质性能：主机采用ARM架构处理器同时内置GPU与NPU协处理器，CPU核心数≥8，核心主频≥2.4GHz；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4.工作噪声：主机在正常工作状态下的生产噪声不高于20dB(A)；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5.工作功率：要求整机正常工作状态下功耗不超过50W；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6.视频接口：数字视频接口D-Video（RJ45）≥5，HDMI 输入≥2，HDMI 输出≥2路，分辨率均支持1080P@30fps；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7.音频接口：要求主机支持线性音频输入与数字音频输入，要求Line in接口≥2，Line out接口≥2，数字音频接口D-Mic（RJ45）≥6；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8.网络接口：RJ45≥1，支持100/1000M网络自适应及IPv4、IPv6双协议栈；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9.控制接口：RJ45≥2，支持RS232串行通信协议进行外接控制；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10.外设接口：USB2.0≥2，可用于连接U盘等外设；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11.系统存储≥2T，保障设备的正常运行与录制视频文件的本地存储；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12.视频一线通：支持摄像机与主机之间仅通过一根双绞线即可同时实现供电、控制和视频信号的同步传输，不接受使用转接器的方式；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13.音频一线通：支持麦克风与主机之间仅通过一根双绞线即可同时实现供电和音频信号的采集，实现音频信号的高品质、抗干扰稳定传输；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14.视频录制：兼容标准H.264视频编解码能力，要求支持1080P@30fps、720P@30fps，以及AAC音频编解码协议标准且内置音频处理功能；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15.视频传输技术：支持对同品牌高清摄像机实现基于RJ45双绞线的视频裸数据传输技术，支持摄像机到录播主机端的视频采集和传输过程无需编解码、无画质损耗并实现≤100ms的声画同步，保障录制视频效果；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二、功能设计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16.便捷导播：软件需采用B/S架构设计，支持通过浏览器即可进行管理配置与操作，而无需额外安装客户端或APP；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17.AI全场景跟踪：录播内置跟踪算法且跟踪功能基于AI人工智能技术无需额外增加图像定位主机或摄像机即可实现多机位的全自动跟踪切换；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18.画面同步：要求录播主机配套同品牌摄像机支持在多机位接入的情况下所有画面高度同步。在多画面布局以及多流录制、多流直播的使用场景下不同画面保持高度同步，满足最佳的使用体验；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19.中英双语：需支持中英双语版本切换，适合不同用户的应用需求。要求通过网络导播界面即可便捷切换，无需进行更改授权、系统升级等复杂操作；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20.上电模式：需支持通电模式选择，实现主机通电后自动进入相应模式，包含但不限于自动开机、开机且休眠、不开机等模式；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21.版本管理：支持查看系统软件版本，提供离线文件升级、网络在线升级和定时自动升级三种升级方式，且支持导出和导入系统配置文件；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22.安装信息：支持填写设备的安装信息，包括位置、所在学校、安装地点、联系人等；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23.休眠唤醒：需支持定时休眠唤醒功能，提供精确到秒的自定义时间设置，可以单独设置是否定时休眠或者定时唤醒；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24.权限管理：需支持对主机后台设置管理员用户与普通用户两种使用权限，普通用户无法进行相关参数与配置修改；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25.系统状态：支持在导播界面实时查看主机当前CPU温度、磁盘空间占用情况、视频录制的参数配置和正在录制的视频时长与大小等信息；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26.UVC/UAC功能：要求主机具备通过USB口直接输出音视频信号的能力，实现便捷的视频会议软件接入；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27.智能音频处理：支持音频采样率的设置，且支持AGC自动增益、ANS噪声抑制、EQ均衡、AEC回声抑制等音频处理功能；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28.录制码流：支持主码流和子码流的高低双码流录制，且支持自定义清晰度、帧率、码率和I帧间隔，支持动态比特率或静态比特率两种模式；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29.存储管理：需支持录像文件循环覆盖功能，开启循环覆盖功能后，录播硬盘在已存储90%的空间时，再次启动录制将删除录播内现存时间最早的录像文件以应对录制频率比较高的情况；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30.标签设置：需支持视频信号源标签设置，对摄像机实时拍摄信号、HDMI高清输入信号均可自定义名称标签，为导播控制与编辑灵活性提供便利；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31.多场景音频：需支持录制模式和互动模式的独立音频场景设置，针对无线MIC和多媒体等不同设备类型，进行场景化的音频参数设置；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32.跟踪自定义：要求支持根据实际喜好，自定义AI跟踪逻辑下所切换的画面信号，且支持双分屏、画中画等布局；；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三、其他要求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33.要求主机与视频资源管理平台、高清摄像机设备为同一品牌；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34.要求支持FTP文件传输协议，主机录制生成的视频文件与应用平台实现自动归档上传；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▲35.要求与区原有视频平台无缝对接，实现视频的直播、点播、自动上传、AI分析统一承现等功能。</w:t>
            </w:r>
          </w:p>
        </w:tc>
        <w:tc>
          <w:tcPr>
            <w:tcW w:w="613" w:type="dxa"/>
            <w:tcBorders>
              <w:tl2br w:val="nil"/>
              <w:tr2bl w:val="nil"/>
            </w:tcBorders>
            <w:noWrap w:val="0"/>
            <w:vAlign w:val="center"/>
          </w:tcPr>
          <w:p w14:paraId="1C0C0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6EFBF8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0098A7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6719E3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87" w:type="dxa"/>
            <w:tcBorders>
              <w:tl2br w:val="nil"/>
              <w:tr2bl w:val="nil"/>
            </w:tcBorders>
            <w:noWrap w:val="0"/>
            <w:vAlign w:val="center"/>
          </w:tcPr>
          <w:p w14:paraId="60F797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录播流媒体处理软件</w:t>
            </w:r>
          </w:p>
        </w:tc>
        <w:tc>
          <w:tcPr>
            <w:tcW w:w="5675" w:type="dxa"/>
            <w:tcBorders>
              <w:tl2br w:val="nil"/>
              <w:tr2bl w:val="nil"/>
            </w:tcBorders>
            <w:noWrap w:val="0"/>
            <w:vAlign w:val="top"/>
          </w:tcPr>
          <w:p w14:paraId="6BA195C0">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1.要求软件在出厂时内嵌于录播主机中，且应具备自主知识产权，提供计算机软件著作权登记证书复印件并加盖原厂公章或投标专用章；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2.录制模式：支持电影模式和资源模式两种录制模式。电影模式下支持将多路视频信号的复合成一路画面进行录制；资源模式下支持将接入的摄像机画面和电脑画面进行独立录制；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3.分段录制：支持30分钟分段、60分钟分段两种分段录制方式，系统可在不结束录制的条件下根据分段时长自动将视频录制为多个分段文件；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4.录制存储：采用H.264/H.265的视频编码格式和MP4的视频封装格式，支持在断网情况下也可以进行视频录制并存储于录播主机中，也支持在联网情况下通过FTP自动上传视频文件；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5.同步录制：支持外接存储设备（如U盘），实现在视频录制的过程中，自动同步录制多一份并存储至U盘中；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6.录制关联：支持在录制启动时自动关联开启直播和全自动跟踪模式；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7.视频管理：支持查看已录制的视频文件，并可按录制时间进行排序和按关键字检索查看，也支持对视频文件进行在线播放、下载、删除和FTP上传；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8.网络导播：支持通过浏览器即可访问并使用导播功能，而无需额外安装客户端或APP；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9.导播模式：支持全自动、半自动、手动三种导播模式，且支持在录制、直播和互动过程中任意切换导播模式；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10.导播预览：支持对接入的所有画面进行导播预览，包括教师特写、教师全景、学生全景、学生特写、电脑画面等，电脑画面包括两路HDMI画面可切换，并支持点击预览画面即可切换为导播输出画面；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11.视频布局：支持二分屏、三分屏、画中画等布局，也支持自定义布局方式，且支持对布局内的每个画面窗口进行拖动、叠加、缩放和指定视频源的操作，实现灵活调整；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12.台标字幕：需支持在导播预览界面添加Logo台标与字幕，可自主上传Logo图标、设置logo位置、编辑字幕内容、选择字幕字体颜色与是否滚动显示，且后台管理设置可预设字幕作为备选，方便灵活调整与切换；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13.片头片尾：需支持片头片尾设置，可上传JPG格式图片作为录制默认的片头片尾画面，并可自定义片头片尾显示时长，支持片头片尾显示视频信息；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15.音量控制：支持在导播过程中进行音量控制，可调整相关输入输出的音量大小，且支持一键静音功能；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16.直播码流：需支持主码流和子码流高低双码流，且支持自定义清晰度、帧率和码流，主码流清晰度不小于1080P；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17.直播推流：支持不少于4路RTMP同步推流直播，并可自定义选择主码流或子码流进行推流直播；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18.直播模式：需支持RTMP直播、TS直播、集控推流直播等不少于3种不同直播模式，以适应不同场景直播需求；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19.互动协议：需支持H.323、SIP 、BFCP、WebRTC等视音频互动协议技术，也支持内置互动模块，无需额外MCU类设备即可进行远程互动教学应用；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20.互动画质：支持1080P@30fps的高清互动画质，且支持设置互动码流，并支持基于SVC技术实现在不同网络状况下的画面质量自适应；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互动模式：支持“1+3”的互动授课模式和多方视频会议模式，授课模式支持主讲端查看所有听讲端画面并可控制听讲端的互动画面显示，会议模式支持二分屏、三分屏、四分屏等布局，也支持选择参会方进行轮巡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双流互动：支持在实时互动过程中，可将教学场景信号与电脑课件信号以互相独立的信号进行传输，并最终在接收端可通过两路独立HDMI接口将接收到的教学场景画面与电脑课件画面同时分别输出到两个显示设备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23.发言权限控制：支持通过网络导播界面，主讲端在互动过程中对其余互动参与者的发言权限进行控制，支持单人禁言/开启以及全场禁言/开启的控制方式；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24.呼叫应答：需支持呼叫应答设置，满足不同互动场景的需要，包括自动应答与勾选手动应答两种方式；</w:t>
            </w:r>
          </w:p>
        </w:tc>
        <w:tc>
          <w:tcPr>
            <w:tcW w:w="613" w:type="dxa"/>
            <w:tcBorders>
              <w:tl2br w:val="nil"/>
              <w:tr2bl w:val="nil"/>
            </w:tcBorders>
            <w:noWrap w:val="0"/>
            <w:vAlign w:val="center"/>
          </w:tcPr>
          <w:p w14:paraId="75B019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3F8FD9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14:paraId="5D2284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789BD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87" w:type="dxa"/>
            <w:tcBorders>
              <w:tl2br w:val="nil"/>
              <w:tr2bl w:val="nil"/>
            </w:tcBorders>
            <w:noWrap w:val="0"/>
            <w:vAlign w:val="center"/>
          </w:tcPr>
          <w:p w14:paraId="775F24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智能跟踪处理软件</w:t>
            </w:r>
          </w:p>
        </w:tc>
        <w:tc>
          <w:tcPr>
            <w:tcW w:w="5675" w:type="dxa"/>
            <w:tcBorders>
              <w:tl2br w:val="nil"/>
              <w:tr2bl w:val="nil"/>
            </w:tcBorders>
            <w:noWrap w:val="0"/>
            <w:vAlign w:val="top"/>
          </w:tcPr>
          <w:p w14:paraId="7DFA5607">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1.跟踪逻辑：支持智能识别接入摄像机的使用定位，并联动摄像机选用对应的跟踪逻辑，如教师跟踪、学生跟踪等；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2.检测区域：支持对接入摄像机的AI跟踪检测区域设置，可基于实景拍摄画面框选跟踪区域，框选后只在区域中方能触发跟踪，所见所得方便操作；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3.跟踪切换：支持根据设定的跟踪策略形成跟踪指令，实现多路接入摄像机的全自动AI跟踪画面切换；且支持自定义跟踪切换逻辑的画面布局，包含但不限于双分屏、画中画与自定义布局等；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4.跟踪策略：支持对接入摄像机自定义设置AI跟踪目标更新周期时间，摄像机依据配置实现相应跟踪策略；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5.智能构图：支持设置摄像机拍摄画面的智能构图模式，包含但不限于五分像、七分像、全身像等；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6.全场景跟拍：要求支持基于计算机视觉CV技术的AI人工智能跟踪算法，实现教师识别、教师移动跟拍、教师轨迹识别以及学生上台识别、单人与多人起立识别等教学焦点进行自动捕捉与切换；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7.要求软件在出厂时内嵌于录播主机中，且应具备自主知识产权，提供计算机软件著作权登记证书复印件并加盖原厂公章或投标专用章。</w:t>
            </w:r>
          </w:p>
        </w:tc>
        <w:tc>
          <w:tcPr>
            <w:tcW w:w="613" w:type="dxa"/>
            <w:tcBorders>
              <w:tl2br w:val="nil"/>
              <w:tr2bl w:val="nil"/>
            </w:tcBorders>
            <w:noWrap w:val="0"/>
            <w:vAlign w:val="center"/>
          </w:tcPr>
          <w:p w14:paraId="336A5C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0509FA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14:paraId="6C2127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shd w:val="clear" w:color="auto" w:fill="FFFFFF"/>
            <w:noWrap w:val="0"/>
            <w:vAlign w:val="center"/>
          </w:tcPr>
          <w:p w14:paraId="67808C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87" w:type="dxa"/>
            <w:tcBorders>
              <w:tl2br w:val="nil"/>
              <w:tr2bl w:val="nil"/>
            </w:tcBorders>
            <w:shd w:val="clear" w:color="auto" w:fill="FFFFFF"/>
            <w:noWrap w:val="0"/>
            <w:vAlign w:val="center"/>
          </w:tcPr>
          <w:p w14:paraId="0F6834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智能课堂行为分析软件</w:t>
            </w:r>
          </w:p>
        </w:tc>
        <w:tc>
          <w:tcPr>
            <w:tcW w:w="5675" w:type="dxa"/>
            <w:tcBorders>
              <w:tl2br w:val="nil"/>
              <w:tr2bl w:val="nil"/>
            </w:tcBorders>
            <w:shd w:val="clear" w:color="auto" w:fill="FFFFFF"/>
            <w:noWrap w:val="0"/>
            <w:vAlign w:val="center"/>
          </w:tcPr>
          <w:p w14:paraId="415949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一.整体要求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1.兼容对接：配套高清录播主机，实现视频数据分析；同时支持与视频资源管理平台无缝对接，可将数据通过平台进行分析结果数据展示。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2.多维分析：支持对课堂数据进行综合多维度的分析，包括“课堂三率”、“课堂语言分析”、“教学行为分析”、“教师活动轨迹”、“课堂时间分配”、“学生课堂动作表情分析”等维度数据。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3.实时分析：支持对师生出勤率、S-T教学行为、教师活动轨迹、学生课堂动作表情分析等维度数据进行实时统计分析。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二.课堂教情分析要求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1.教学行为分析：支持“教师讲授”、“指导学生”、“学生汇报”、“师生互动”、“生生互动”、“教师巡视”多种维度的教学行为识别。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2.教师轨迹分析：支持统计整个课节时间内授课教师的授课行动轨迹，直观呈现教师授课过程中的授课位置数据。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3.教师巡视分析：要求支持教师巡视情况统计并形成教师巡视数据，分析数据应包括教师课堂巡视次数、时长等数据。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三.课堂学生分析要求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1.班级出勤率统计：以班级维度进行班级出勤人数统计，包括应出席人数、实际出席人数、出勤率、迟到人数、缺席人数等。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2.学生听课率分析：支持以课堂时间为轴线，对各个时刻学生的听课率进行分析统计，同时统计峰值和平均值数据。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3.支持学生课堂动作分析，包括趴桌子、举手、站立、抬头等肢体语言，可对各类动作进行实时检测。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4.支持对学生动作的实时统计分析，统计当前每种学生动作的峰值次数和占比。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5.支持学生课堂表情分析，包括积极、平淡、消极等表情。并支持对各类表情进行实时检测，统计课堂中各类表情的学生人数。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6.支持对整节课堂实现学生动作和表情的统计分析，统计每种学生动作和表情的峰值时刻、峰值占比和峰值人数。</w:t>
            </w:r>
          </w:p>
        </w:tc>
        <w:tc>
          <w:tcPr>
            <w:tcW w:w="613" w:type="dxa"/>
            <w:tcBorders>
              <w:tl2br w:val="nil"/>
              <w:tr2bl w:val="nil"/>
            </w:tcBorders>
            <w:shd w:val="clear" w:color="auto" w:fill="FFFFFF"/>
            <w:noWrap/>
            <w:vAlign w:val="center"/>
          </w:tcPr>
          <w:p w14:paraId="5324A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shd w:val="clear" w:color="auto" w:fill="FFFFFF"/>
            <w:noWrap/>
            <w:vAlign w:val="center"/>
          </w:tcPr>
          <w:p w14:paraId="265D83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r>
      <w:tr w14:paraId="4EC1B0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shd w:val="clear" w:color="auto" w:fill="FFFFFF"/>
            <w:noWrap w:val="0"/>
            <w:vAlign w:val="center"/>
          </w:tcPr>
          <w:p w14:paraId="4CE53D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87" w:type="dxa"/>
            <w:tcBorders>
              <w:tl2br w:val="nil"/>
              <w:tr2bl w:val="nil"/>
            </w:tcBorders>
            <w:shd w:val="clear" w:color="auto" w:fill="FFFFFF"/>
            <w:noWrap w:val="0"/>
            <w:vAlign w:val="center"/>
          </w:tcPr>
          <w:p w14:paraId="5059B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智能语音分析软件</w:t>
            </w:r>
          </w:p>
        </w:tc>
        <w:tc>
          <w:tcPr>
            <w:tcW w:w="5675" w:type="dxa"/>
            <w:tcBorders>
              <w:tl2br w:val="nil"/>
              <w:tr2bl w:val="nil"/>
            </w:tcBorders>
            <w:shd w:val="clear" w:color="auto" w:fill="FFFFFF"/>
            <w:noWrap w:val="0"/>
            <w:vAlign w:val="center"/>
          </w:tcPr>
          <w:p w14:paraId="6E7825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1.教师提问情况分析：支持基于课堂语音识别能力进行教师课堂提问行为分析，从提问次数与高频时间段两个核心维度进行数据统计，实现课堂提问情况的清晰回顾。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2.教师语速分析：支持通过语音识别能力进行教师课堂授课语速分析，呈现数据需包括教师课堂说话词数以及平均语速。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4.课堂关键词分析：支持通过AI语音识别能力，抓取统计提前设置好的课堂知识点关键词，统计各关键词出现的次数频率，并标注出现的时间点和显示所在的语句内容。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5.课堂高频词分析：支持通过AI语音识别能力，抓取授课过程中出现的高频词汇，并统计出现频次，判断课堂教学重点；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6.课堂语气词分析：支持通过进行课堂语音识别，判断老师教学过程中出现的常规语气词出现频次，如“呐”，“嘛”，等语气词，辅助老师调整教学过程中的不良习惯；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7.要求软件在出厂时内嵌于录播主机中，且应具备自主知识产权，提供计算机软件著作权登记证书复印件并加盖原厂公章或投标专用章；</w:t>
            </w:r>
          </w:p>
        </w:tc>
        <w:tc>
          <w:tcPr>
            <w:tcW w:w="613" w:type="dxa"/>
            <w:tcBorders>
              <w:tl2br w:val="nil"/>
              <w:tr2bl w:val="nil"/>
            </w:tcBorders>
            <w:shd w:val="clear" w:color="auto" w:fill="FFFFFF"/>
            <w:noWrap/>
            <w:vAlign w:val="center"/>
          </w:tcPr>
          <w:p w14:paraId="118E64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shd w:val="clear" w:color="auto" w:fill="FFFFFF"/>
            <w:noWrap/>
            <w:vAlign w:val="center"/>
          </w:tcPr>
          <w:p w14:paraId="0EFB09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r>
      <w:tr w14:paraId="371EFB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37DC05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87" w:type="dxa"/>
            <w:tcBorders>
              <w:tl2br w:val="nil"/>
              <w:tr2bl w:val="nil"/>
            </w:tcBorders>
            <w:noWrap w:val="0"/>
            <w:vAlign w:val="center"/>
          </w:tcPr>
          <w:p w14:paraId="5F450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全景摄像机</w:t>
            </w:r>
          </w:p>
        </w:tc>
        <w:tc>
          <w:tcPr>
            <w:tcW w:w="5675" w:type="dxa"/>
            <w:tcBorders>
              <w:tl2br w:val="nil"/>
              <w:tr2bl w:val="nil"/>
            </w:tcBorders>
            <w:noWrap w:val="0"/>
            <w:vAlign w:val="center"/>
          </w:tcPr>
          <w:p w14:paraId="544A8B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1.传感器：要求采用CMOS类型图像传感器，尺寸≥1/2.5英寸；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2.像素：有效像素≥800万；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3.变焦：要求支持自动和手动变焦，光学变焦倍数≥22倍；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4.云台转动：要求具备机械云台可进行转动跟踪。水平转动速度范围不少于1.0°~ 94.2°/s，垂直转动速度范围不少于1.0°~ 74.8°/s；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5.视频编码：要求支持H.265、H.264高清视频编码协议；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6.视频输出：要求具备数字视频输出口（RJ45）≥1，HDMI视频输出口≥1；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7.通讯接口：要求具备RS232/RS422≥1；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8.网络接入：RJ45网络接口≥1，并支持100M/1000M自适应以太网接入与RTSP协议网络视频输出；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9.音频接口：Line in输入口≥1；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10.USB接口：要求具备USB Type-A≥1；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11.协议支持：要求支持VISCA/ONVIF协议满足多种场景控制要求；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12.背光补偿：要求具备背光补偿功能；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13.数字降噪：支持2D/3D数字降噪，信噪比≥55dB；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14.一线通：要求与搭配的录播主机实现基于RJ45双绞线的一线通连接，完成摄像机供电、控制以及视频信号传输；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16.AI跟踪：要求内置跟踪算法，摄像机内无额外辅助摄像头也无需增加任何设备即可实现人像自动跟踪，包括水平运动、俯仰运动、变焦、聚焦四维实时跟踪；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17.跟踪逻辑自选：要求支持根据AI智能算法，同一摄像机可根据部署使用场景智能应用为教师、学生跟踪模式，无需手动设置；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18.交叉识别：需支持对锁定跟拍对象进行人脸特征与肢体双重认证识别，在多人同时进入拍摄画面的情况下，持续锁定跟踪对象，不出现跟丢和误跟的情况；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19.AI抗干扰：支持在拍摄画面有显示设备或其他动态视频播放的情况下，自动启用AI抗干扰能力，保障画面始终锁定被跟踪对象，且跟踪效果不受影响；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20.PTZ自适应：需支持PTZ实时跟焦，AI跟踪的状态下能实现摄像机水平旋转、垂直旋转、变焦的实时同步变化，无需等待拍摄对象稳定后再变焦调整画面，移动过程不虚焦，实现拍摄画面的自适应稳定调整；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21.电源支持：支持录播主机供电和DC12V电源适配器等供电方式；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22.要求摄像机与录播主机为同一品牌。</w:t>
            </w:r>
          </w:p>
        </w:tc>
        <w:tc>
          <w:tcPr>
            <w:tcW w:w="613" w:type="dxa"/>
            <w:tcBorders>
              <w:tl2br w:val="nil"/>
              <w:tr2bl w:val="nil"/>
            </w:tcBorders>
            <w:noWrap w:val="0"/>
            <w:vAlign w:val="center"/>
          </w:tcPr>
          <w:p w14:paraId="5CBDF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75" w:type="dxa"/>
            <w:tcBorders>
              <w:tl2br w:val="nil"/>
              <w:tr2bl w:val="nil"/>
            </w:tcBorders>
            <w:noWrap w:val="0"/>
            <w:vAlign w:val="center"/>
          </w:tcPr>
          <w:p w14:paraId="22879C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076146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19350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87" w:type="dxa"/>
            <w:tcBorders>
              <w:tl2br w:val="nil"/>
              <w:tr2bl w:val="nil"/>
            </w:tcBorders>
            <w:noWrap w:val="0"/>
            <w:vAlign w:val="center"/>
          </w:tcPr>
          <w:p w14:paraId="676692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摄像机跟踪拍摄软件</w:t>
            </w:r>
          </w:p>
        </w:tc>
        <w:tc>
          <w:tcPr>
            <w:tcW w:w="5675" w:type="dxa"/>
            <w:tcBorders>
              <w:tl2br w:val="nil"/>
              <w:tr2bl w:val="nil"/>
            </w:tcBorders>
            <w:noWrap w:val="0"/>
            <w:vAlign w:val="top"/>
          </w:tcPr>
          <w:p w14:paraId="252C22C5">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1.摄像机传输处理软件需采用B/S架构，支持通用浏览器直接访问进行管理；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2.需支持曝光模式设置功能，包括自动、手动；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3.需支持抗闪烁频率、动态范围、光圈、快门参数设置；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4.需支持自动白平衡设置功能，红、蓝增益可调；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5.需支持噪声抑制设置功能，支持2D、3D降噪；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6.需支持摄像机图像质量调节功能，包括亮度、对比度、色调、饱和度；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7.需支持图像水平、垂直翻转，适应摄像机不同的安装方式要求；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8.需支持摄像机控制功能，包括云台控制、预置位设置与调用、焦距调节等，预置位数≥255；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9.支持配合录播主机设置五分像、七分像、全身像等多种教师图像跟踪画面模式，根据实际需要设置选用教师跟踪画面的大小；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10.支持配合录播主机划分的自动跟踪区域，当锁定跟踪人物走出自动跟踪区域时即停止跟踪，直到重新回到区域出现在画面中为止；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11.需支持依据录播主机设置的跟踪目标更新周期时间，被跟拍人员脱离跟踪拍摄区域后开始计时，到达更新周期时间后自动解除目标跟拍锁定，回归默认状态，待下一位人员进入画面中开始重新锁定跟踪；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12.要求软件在出厂时内嵌于摄像机中，且应具备自主知识产权，提供计算机软件著作权登记证书复印件并加盖原厂公章或投标专用章。</w:t>
            </w:r>
          </w:p>
        </w:tc>
        <w:tc>
          <w:tcPr>
            <w:tcW w:w="613" w:type="dxa"/>
            <w:tcBorders>
              <w:tl2br w:val="nil"/>
              <w:tr2bl w:val="nil"/>
            </w:tcBorders>
            <w:noWrap w:val="0"/>
            <w:vAlign w:val="center"/>
          </w:tcPr>
          <w:p w14:paraId="7470B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75" w:type="dxa"/>
            <w:tcBorders>
              <w:tl2br w:val="nil"/>
              <w:tr2bl w:val="nil"/>
            </w:tcBorders>
            <w:noWrap w:val="0"/>
            <w:vAlign w:val="center"/>
          </w:tcPr>
          <w:p w14:paraId="4BEF6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14:paraId="1F0455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49B322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87" w:type="dxa"/>
            <w:tcBorders>
              <w:tl2br w:val="nil"/>
              <w:tr2bl w:val="nil"/>
            </w:tcBorders>
            <w:noWrap w:val="0"/>
            <w:vAlign w:val="center"/>
          </w:tcPr>
          <w:p w14:paraId="468C20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音频处理器</w:t>
            </w:r>
          </w:p>
        </w:tc>
        <w:tc>
          <w:tcPr>
            <w:tcW w:w="5675" w:type="dxa"/>
            <w:tcBorders>
              <w:tl2br w:val="nil"/>
              <w:tr2bl w:val="nil"/>
            </w:tcBorders>
            <w:noWrap w:val="0"/>
            <w:vAlign w:val="top"/>
          </w:tcPr>
          <w:p w14:paraId="512B63BD">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1.采用工业级嵌入式架构，稳定可靠，音频处理部分和无线麦接收部分一体化设计；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2.集成自动噪音抑制技术，（去除包含空调、排气扇等噪音干扰）保证声音质量；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3.内置U段无线麦接收模块，可配2只无线发射端，支持头戴、领夹、手持任意组合；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4.可通过网络进行远程监听，软件升级和参数配置；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5.8路差分输入，支持软硬件48V幻象供电开启关闭；4路单声道Line-IN输入；4路平衡输出；8路平衡输入可做16段EQ处理；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6.支持智能混音、抗混响、回声消除、AGC功能及远程回声消除；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数字音频主机具有可视化环境声场检测软件，根据GB-50118提出的教室声环境国家标准，数字音频主机能够检测标准中要求的：不同频段混响时间、背景噪音、语言传输指数STIPA、C50等声学参数，以应对各类复杂教室声学环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8.回声抑制比：＞60dB；环境噪声消除，稳态噪声消除比：30dB ；频率响应 ：20Hz-16KHz；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9.生产企业具备：ISO9000证书、信用等级AAA。                                         10.产品具备降噪控制软件、回声消除专用软件证书、音频主机软件证书、公安部检测报告或其他可靠性测试报告、3C证书、环境声场检测软件证书。</w:t>
            </w:r>
          </w:p>
        </w:tc>
        <w:tc>
          <w:tcPr>
            <w:tcW w:w="613" w:type="dxa"/>
            <w:tcBorders>
              <w:tl2br w:val="nil"/>
              <w:tr2bl w:val="nil"/>
            </w:tcBorders>
            <w:noWrap w:val="0"/>
            <w:vAlign w:val="center"/>
          </w:tcPr>
          <w:p w14:paraId="58AF7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656ADD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2F62B0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67BD36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87" w:type="dxa"/>
            <w:tcBorders>
              <w:tl2br w:val="nil"/>
              <w:tr2bl w:val="nil"/>
            </w:tcBorders>
            <w:noWrap w:val="0"/>
            <w:vAlign w:val="center"/>
          </w:tcPr>
          <w:p w14:paraId="5157D4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高保真话筒</w:t>
            </w:r>
          </w:p>
        </w:tc>
        <w:tc>
          <w:tcPr>
            <w:tcW w:w="5675" w:type="dxa"/>
            <w:tcBorders>
              <w:tl2br w:val="nil"/>
              <w:tr2bl w:val="nil"/>
            </w:tcBorders>
            <w:noWrap w:val="0"/>
            <w:vAlign w:val="top"/>
          </w:tcPr>
          <w:p w14:paraId="04868667">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Style w:val="251"/>
                <w:rFonts w:hint="eastAsia" w:ascii="宋体" w:hAnsi="宋体" w:eastAsia="宋体" w:cs="宋体"/>
                <w:color w:val="auto"/>
                <w:sz w:val="22"/>
                <w:szCs w:val="22"/>
                <w:highlight w:val="none"/>
                <w:lang w:val="en-US" w:eastAsia="zh-CN" w:bidi="ar"/>
              </w:rPr>
              <w:t>1. 单体：背极式驻极体</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2. 指向性：超心型</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3. 频率响应：40Hz—16kHz</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4. 低频衰减：内置</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5. 灵敏度：-29dB±3dB（1dB=1V/Pa at 1kHz.</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6. 输出抗阻：500</w:t>
            </w:r>
            <w:r>
              <w:rPr>
                <w:rStyle w:val="252"/>
                <w:rFonts w:hint="eastAsia" w:ascii="宋体" w:hAnsi="宋体" w:eastAsia="宋体" w:cs="宋体"/>
                <w:color w:val="auto"/>
                <w:sz w:val="22"/>
                <w:szCs w:val="22"/>
                <w:highlight w:val="none"/>
                <w:lang w:val="en-US" w:eastAsia="zh-CN" w:bidi="ar"/>
              </w:rPr>
              <w:t>Ω</w:t>
            </w:r>
            <w:r>
              <w:rPr>
                <w:rStyle w:val="251"/>
                <w:rFonts w:hint="eastAsia" w:ascii="宋体" w:hAnsi="宋体" w:eastAsia="宋体" w:cs="宋体"/>
                <w:color w:val="auto"/>
                <w:sz w:val="22"/>
                <w:szCs w:val="22"/>
                <w:highlight w:val="none"/>
                <w:lang w:val="en-US" w:eastAsia="zh-CN" w:bidi="ar"/>
              </w:rPr>
              <w:t>±20%（at 1kHz.</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7. 最大声压级：130dB（T.H.D≤1% at 1kHz.</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8. 信噪比：70dB（1KHz at 1Pa.</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9. 动态范围：106dB（1kHz at Max SPL.</w:t>
            </w:r>
            <w:r>
              <w:rPr>
                <w:rStyle w:val="251"/>
                <w:rFonts w:hint="eastAsia" w:ascii="宋体" w:hAnsi="宋体" w:eastAsia="宋体" w:cs="宋体"/>
                <w:color w:val="auto"/>
                <w:sz w:val="22"/>
                <w:szCs w:val="22"/>
                <w:highlight w:val="none"/>
                <w:lang w:val="en-US" w:eastAsia="zh-CN" w:bidi="ar"/>
              </w:rPr>
              <w:br w:type="textWrapping"/>
            </w:r>
            <w:r>
              <w:rPr>
                <w:rStyle w:val="251"/>
                <w:rFonts w:hint="eastAsia" w:ascii="宋体" w:hAnsi="宋体" w:eastAsia="宋体" w:cs="宋体"/>
                <w:color w:val="auto"/>
                <w:sz w:val="22"/>
                <w:szCs w:val="22"/>
                <w:highlight w:val="none"/>
                <w:lang w:val="en-US" w:eastAsia="zh-CN" w:bidi="ar"/>
              </w:rPr>
              <w:t>10. 使用电源：48V 幻象电源（48V DC.，2mA</w:t>
            </w:r>
          </w:p>
        </w:tc>
        <w:tc>
          <w:tcPr>
            <w:tcW w:w="613" w:type="dxa"/>
            <w:tcBorders>
              <w:tl2br w:val="nil"/>
              <w:tr2bl w:val="nil"/>
            </w:tcBorders>
            <w:noWrap w:val="0"/>
            <w:vAlign w:val="center"/>
          </w:tcPr>
          <w:p w14:paraId="699965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75" w:type="dxa"/>
            <w:tcBorders>
              <w:tl2br w:val="nil"/>
              <w:tr2bl w:val="nil"/>
            </w:tcBorders>
            <w:noWrap w:val="0"/>
            <w:vAlign w:val="center"/>
          </w:tcPr>
          <w:p w14:paraId="35141C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r>
      <w:tr w14:paraId="2517DE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5DA90F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87" w:type="dxa"/>
            <w:tcBorders>
              <w:tl2br w:val="nil"/>
              <w:tr2bl w:val="nil"/>
            </w:tcBorders>
            <w:noWrap w:val="0"/>
            <w:vAlign w:val="center"/>
          </w:tcPr>
          <w:p w14:paraId="2A0D04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录播控制面板</w:t>
            </w:r>
          </w:p>
        </w:tc>
        <w:tc>
          <w:tcPr>
            <w:tcW w:w="5675" w:type="dxa"/>
            <w:tcBorders>
              <w:tl2br w:val="nil"/>
              <w:tr2bl w:val="nil"/>
            </w:tcBorders>
            <w:noWrap w:val="0"/>
            <w:vAlign w:val="center"/>
          </w:tcPr>
          <w:p w14:paraId="364195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1.一键式录播系统电源开关机。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2.一键式录制、停止、锁定电脑信号；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一键式开启录播系统的录播模式和互动模式；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4.一键式发起与远端设备互动连接；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5.一键式“一键静音”功能，主讲端可一键关闭远端互动教室发言，进入主讲授课模式。                                                                      6.支持控制面板切换互动画面的信号源，并传输到听课室，包括本地老师信号、学生信号、电脑信号、远端课室画面。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7.支持对各画面的自由布局控制，包括单画面全屏、双分屏、三分屏、四分屏、画中画，并传输到听课室。</w:t>
            </w:r>
          </w:p>
        </w:tc>
        <w:tc>
          <w:tcPr>
            <w:tcW w:w="613" w:type="dxa"/>
            <w:tcBorders>
              <w:tl2br w:val="nil"/>
              <w:tr2bl w:val="nil"/>
            </w:tcBorders>
            <w:noWrap w:val="0"/>
            <w:vAlign w:val="center"/>
          </w:tcPr>
          <w:p w14:paraId="62E76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75987B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14:paraId="49086E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1B2048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87" w:type="dxa"/>
            <w:tcBorders>
              <w:tl2br w:val="nil"/>
              <w:tr2bl w:val="nil"/>
            </w:tcBorders>
            <w:noWrap w:val="0"/>
            <w:vAlign w:val="center"/>
          </w:tcPr>
          <w:p w14:paraId="06ED44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录播电源管理器</w:t>
            </w:r>
          </w:p>
        </w:tc>
        <w:tc>
          <w:tcPr>
            <w:tcW w:w="5675" w:type="dxa"/>
            <w:tcBorders>
              <w:tl2br w:val="nil"/>
              <w:tr2bl w:val="nil"/>
            </w:tcBorders>
            <w:noWrap w:val="0"/>
            <w:vAlign w:val="top"/>
          </w:tcPr>
          <w:p w14:paraId="4CD327B3">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1.支持对录播系统控制功能；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2.向录播视频系统、音频系统、显示系统提供统一的、至少八路电源管理；从而实现对录播系统的远程集中统一控制。</w:t>
            </w:r>
          </w:p>
        </w:tc>
        <w:tc>
          <w:tcPr>
            <w:tcW w:w="613" w:type="dxa"/>
            <w:tcBorders>
              <w:tl2br w:val="nil"/>
              <w:tr2bl w:val="nil"/>
            </w:tcBorders>
            <w:noWrap w:val="0"/>
            <w:vAlign w:val="center"/>
          </w:tcPr>
          <w:p w14:paraId="35E0C1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3700F7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697D63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226BF1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87" w:type="dxa"/>
            <w:tcBorders>
              <w:tl2br w:val="nil"/>
              <w:tr2bl w:val="nil"/>
            </w:tcBorders>
            <w:noWrap w:val="0"/>
            <w:vAlign w:val="center"/>
          </w:tcPr>
          <w:p w14:paraId="5681A4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无线话筒</w:t>
            </w:r>
          </w:p>
        </w:tc>
        <w:tc>
          <w:tcPr>
            <w:tcW w:w="5675" w:type="dxa"/>
            <w:tcBorders>
              <w:tl2br w:val="nil"/>
              <w:tr2bl w:val="nil"/>
            </w:tcBorders>
            <w:noWrap w:val="0"/>
            <w:vAlign w:val="top"/>
          </w:tcPr>
          <w:p w14:paraId="1DFF5537">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1.接收机采用PLL锁相环、微电脑CPU控制系统，兼容手动选频和红外自动对频锁定频道。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2.支持平衡和非平衡两种选择输出端口；V/A显示屏在任何角度观察字体清晰，具有SCAN 自动扫频功能。自动找一个环境最干净的频点处停下来作为接收机的使用频率。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3.频率范围等同或优于支持640-690MHz、807-830MHz。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4.有效使用距离空旷≥50米，灵敏度≥-105dBm(12dB S/N AD)。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5.系统包括有≥一台主机+≥一手持一头戴无线话筒。</w:t>
            </w:r>
          </w:p>
        </w:tc>
        <w:tc>
          <w:tcPr>
            <w:tcW w:w="613" w:type="dxa"/>
            <w:tcBorders>
              <w:tl2br w:val="nil"/>
              <w:tr2bl w:val="nil"/>
            </w:tcBorders>
            <w:noWrap w:val="0"/>
            <w:vAlign w:val="center"/>
          </w:tcPr>
          <w:p w14:paraId="4D93DC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1E887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14:paraId="1F0F25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0275B5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487" w:type="dxa"/>
            <w:tcBorders>
              <w:tl2br w:val="nil"/>
              <w:tr2bl w:val="nil"/>
            </w:tcBorders>
            <w:noWrap/>
            <w:vAlign w:val="center"/>
          </w:tcPr>
          <w:p w14:paraId="54DB0B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互动显示屏</w:t>
            </w:r>
          </w:p>
        </w:tc>
        <w:tc>
          <w:tcPr>
            <w:tcW w:w="5675" w:type="dxa"/>
            <w:tcBorders>
              <w:tl2br w:val="nil"/>
              <w:tr2bl w:val="nil"/>
            </w:tcBorders>
            <w:noWrap w:val="0"/>
            <w:vAlign w:val="center"/>
          </w:tcPr>
          <w:p w14:paraId="7723D0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251"/>
                <w:rFonts w:hint="eastAsia" w:ascii="宋体" w:hAnsi="宋体" w:eastAsia="宋体" w:cs="宋体"/>
                <w:color w:val="auto"/>
                <w:sz w:val="22"/>
                <w:szCs w:val="22"/>
                <w:highlight w:val="none"/>
                <w:lang w:val="en-US" w:eastAsia="zh-CN" w:bidi="ar"/>
              </w:rPr>
              <w:t>LED液晶智能电视，酷开操作系统/兼容安卓5.1； 屏幕寿命：≥30000小时；能效等级：等于或优于2级；屏幕尺寸：65英寸；屏幕比例：16:9；物理分辨率：3840*2160；对比度：≥1000:1；响应时间：≤8ms；产品功耗：≤</w:t>
            </w:r>
            <w:r>
              <w:rPr>
                <w:rStyle w:val="253"/>
                <w:rFonts w:hint="eastAsia" w:ascii="宋体" w:hAnsi="宋体" w:eastAsia="宋体" w:cs="宋体"/>
                <w:color w:val="auto"/>
                <w:sz w:val="22"/>
                <w:szCs w:val="22"/>
                <w:highlight w:val="none"/>
                <w:lang w:val="en-US" w:eastAsia="zh-CN" w:bidi="ar"/>
              </w:rPr>
              <w:t>20</w:t>
            </w:r>
            <w:r>
              <w:rPr>
                <w:rStyle w:val="251"/>
                <w:rFonts w:hint="eastAsia" w:ascii="宋体" w:hAnsi="宋体" w:eastAsia="宋体" w:cs="宋体"/>
                <w:color w:val="auto"/>
                <w:sz w:val="22"/>
                <w:szCs w:val="22"/>
                <w:highlight w:val="none"/>
                <w:lang w:val="en-US" w:eastAsia="zh-CN" w:bidi="ar"/>
              </w:rPr>
              <w:t>0W；待机功率：≤0.5W;有线/WIFI/蓝牙功能；声音输出功率：≥8W*2;显示技术：六基色、屏变功能；输入端口：HDMI 接口：2个； USB3.0*1路；USB2.0*1路；网络接口：1路；VGA接口</w:t>
            </w:r>
          </w:p>
        </w:tc>
        <w:tc>
          <w:tcPr>
            <w:tcW w:w="613" w:type="dxa"/>
            <w:tcBorders>
              <w:tl2br w:val="nil"/>
              <w:tr2bl w:val="nil"/>
            </w:tcBorders>
            <w:noWrap w:val="0"/>
            <w:vAlign w:val="center"/>
          </w:tcPr>
          <w:p w14:paraId="2A43EF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1D17E0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1D5E6F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31A44D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487" w:type="dxa"/>
            <w:tcBorders>
              <w:tl2br w:val="nil"/>
              <w:tr2bl w:val="nil"/>
            </w:tcBorders>
            <w:noWrap w:val="0"/>
            <w:vAlign w:val="center"/>
          </w:tcPr>
          <w:p w14:paraId="56720F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有源互动音箱</w:t>
            </w:r>
          </w:p>
        </w:tc>
        <w:tc>
          <w:tcPr>
            <w:tcW w:w="5675" w:type="dxa"/>
            <w:tcBorders>
              <w:tl2br w:val="nil"/>
              <w:tr2bl w:val="nil"/>
            </w:tcBorders>
            <w:noWrap w:val="0"/>
            <w:vAlign w:val="top"/>
          </w:tcPr>
          <w:p w14:paraId="0DFD3842">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额定阻抗： 8Ω. 额定功率： 60W . 最大功率：120W . 有效频率范围（-3dB）： 80Hz－20KHz . 灵敏度： 88dB /w/m . 连续声压级： 113 dB/m/w . 最大声压级：120 dB/m/w ；辐射角度（H×V）：  90°×50°. 单元规格：LF：6.5"×1，HF：2"×1 。</w:t>
            </w:r>
          </w:p>
        </w:tc>
        <w:tc>
          <w:tcPr>
            <w:tcW w:w="613" w:type="dxa"/>
            <w:tcBorders>
              <w:tl2br w:val="nil"/>
              <w:tr2bl w:val="nil"/>
            </w:tcBorders>
            <w:noWrap w:val="0"/>
            <w:vAlign w:val="center"/>
          </w:tcPr>
          <w:p w14:paraId="05B604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1A8B08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w:t>
            </w:r>
          </w:p>
        </w:tc>
      </w:tr>
      <w:tr w14:paraId="7A97F8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416DB8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487" w:type="dxa"/>
            <w:tcBorders>
              <w:tl2br w:val="nil"/>
              <w:tr2bl w:val="nil"/>
            </w:tcBorders>
            <w:noWrap w:val="0"/>
            <w:vAlign w:val="center"/>
          </w:tcPr>
          <w:p w14:paraId="4DD6FF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导播电脑</w:t>
            </w:r>
          </w:p>
        </w:tc>
        <w:tc>
          <w:tcPr>
            <w:tcW w:w="5675" w:type="dxa"/>
            <w:tcBorders>
              <w:tl2br w:val="nil"/>
              <w:tr2bl w:val="nil"/>
            </w:tcBorders>
            <w:noWrap w:val="0"/>
            <w:vAlign w:val="center"/>
          </w:tcPr>
          <w:p w14:paraId="211F38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613" w:type="dxa"/>
            <w:tcBorders>
              <w:tl2br w:val="nil"/>
              <w:tr2bl w:val="nil"/>
            </w:tcBorders>
            <w:noWrap w:val="0"/>
            <w:vAlign w:val="center"/>
          </w:tcPr>
          <w:p w14:paraId="489B5F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4828EC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6B7323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24A3F8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487" w:type="dxa"/>
            <w:tcBorders>
              <w:tl2br w:val="nil"/>
              <w:tr2bl w:val="nil"/>
            </w:tcBorders>
            <w:noWrap w:val="0"/>
            <w:vAlign w:val="center"/>
          </w:tcPr>
          <w:p w14:paraId="604B9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观摩室音箱</w:t>
            </w:r>
          </w:p>
        </w:tc>
        <w:tc>
          <w:tcPr>
            <w:tcW w:w="5675" w:type="dxa"/>
            <w:tcBorders>
              <w:tl2br w:val="nil"/>
              <w:tr2bl w:val="nil"/>
            </w:tcBorders>
            <w:noWrap w:val="0"/>
            <w:vAlign w:val="center"/>
          </w:tcPr>
          <w:p w14:paraId="3CA05B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额定阻抗： 8Ω. 额定功率： 60W . 最大功率：120W . 有效频率范围（-3dB）： 80Hz－20KHz . 灵敏度： 88dB /w/m . 连续声压级： 113 dB/m/w . 最大声压级：120 dB/m/w ；辐射角度（H×V）：  90°×50°. 单元规格：LF：6.5"×1，HF：2"×1 。</w:t>
            </w:r>
          </w:p>
        </w:tc>
        <w:tc>
          <w:tcPr>
            <w:tcW w:w="613" w:type="dxa"/>
            <w:tcBorders>
              <w:tl2br w:val="nil"/>
              <w:tr2bl w:val="nil"/>
            </w:tcBorders>
            <w:noWrap w:val="0"/>
            <w:vAlign w:val="center"/>
          </w:tcPr>
          <w:p w14:paraId="4E356D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583059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w:t>
            </w:r>
          </w:p>
        </w:tc>
      </w:tr>
      <w:tr w14:paraId="3074F5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1F341D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487" w:type="dxa"/>
            <w:tcBorders>
              <w:tl2br w:val="nil"/>
              <w:tr2bl w:val="nil"/>
            </w:tcBorders>
            <w:noWrap w:val="0"/>
            <w:vAlign w:val="center"/>
          </w:tcPr>
          <w:p w14:paraId="4822B1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观摩室功放</w:t>
            </w:r>
          </w:p>
        </w:tc>
        <w:tc>
          <w:tcPr>
            <w:tcW w:w="5675" w:type="dxa"/>
            <w:tcBorders>
              <w:tl2br w:val="nil"/>
              <w:tr2bl w:val="nil"/>
            </w:tcBorders>
            <w:noWrap w:val="0"/>
            <w:vAlign w:val="center"/>
          </w:tcPr>
          <w:p w14:paraId="27C9BF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两组音源输入，两路话筒输入；额定功率：立体声2×60W/8Ω . 频率响应：  20Hz-20KHz  +1/-3dB。</w:t>
            </w:r>
          </w:p>
        </w:tc>
        <w:tc>
          <w:tcPr>
            <w:tcW w:w="613" w:type="dxa"/>
            <w:tcBorders>
              <w:tl2br w:val="nil"/>
              <w:tr2bl w:val="nil"/>
            </w:tcBorders>
            <w:noWrap w:val="0"/>
            <w:vAlign w:val="center"/>
          </w:tcPr>
          <w:p w14:paraId="083456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17FD59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415A01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740D1C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487" w:type="dxa"/>
            <w:tcBorders>
              <w:tl2br w:val="nil"/>
              <w:tr2bl w:val="nil"/>
            </w:tcBorders>
            <w:noWrap w:val="0"/>
            <w:vAlign w:val="center"/>
          </w:tcPr>
          <w:p w14:paraId="05279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课桌椅</w:t>
            </w:r>
          </w:p>
        </w:tc>
        <w:tc>
          <w:tcPr>
            <w:tcW w:w="5675" w:type="dxa"/>
            <w:tcBorders>
              <w:tl2br w:val="nil"/>
              <w:tr2bl w:val="nil"/>
            </w:tcBorders>
            <w:noWrap w:val="0"/>
            <w:vAlign w:val="center"/>
          </w:tcPr>
          <w:p w14:paraId="54B9C9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折叠桌可以折叠移动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桌面板材为实木颗粒压缩板，EI级防火环保板，板材厚度25mm，采用1.6的PVC热熔封边条，挡板采用16mm颗粒压缩板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架子前脚采用3*6cm优质冷轧钢椭圆管壁厚1.2，后脚架子采用2.5*5cm的优质冷轧钢旦管壁厚1.2 上托3mm厚铁双折弯 ，拉管直径5cm圆管壁厚1.2mm 经过焊接打磨除油去锈清水浸泡，倒静电喷涂高温烘烤成型，采用静音万向轮     设置有二层书网可以收纳物品，由两边塑料框架和4只圆管组合</w:t>
            </w:r>
          </w:p>
        </w:tc>
        <w:tc>
          <w:tcPr>
            <w:tcW w:w="613" w:type="dxa"/>
            <w:tcBorders>
              <w:tl2br w:val="nil"/>
              <w:tr2bl w:val="nil"/>
            </w:tcBorders>
            <w:noWrap w:val="0"/>
            <w:vAlign w:val="center"/>
          </w:tcPr>
          <w:p w14:paraId="58F384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575" w:type="dxa"/>
            <w:tcBorders>
              <w:tl2br w:val="nil"/>
              <w:tr2bl w:val="nil"/>
            </w:tcBorders>
            <w:noWrap w:val="0"/>
            <w:vAlign w:val="center"/>
          </w:tcPr>
          <w:p w14:paraId="6191B9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w:t>
            </w:r>
          </w:p>
        </w:tc>
      </w:tr>
      <w:tr w14:paraId="3756DA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2DA50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487" w:type="dxa"/>
            <w:tcBorders>
              <w:tl2br w:val="nil"/>
              <w:tr2bl w:val="nil"/>
            </w:tcBorders>
            <w:noWrap w:val="0"/>
            <w:vAlign w:val="center"/>
          </w:tcPr>
          <w:p w14:paraId="69E072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科大讯飞智慧黑板</w:t>
            </w:r>
          </w:p>
        </w:tc>
        <w:tc>
          <w:tcPr>
            <w:tcW w:w="5675" w:type="dxa"/>
            <w:tcBorders>
              <w:tl2br w:val="nil"/>
              <w:tr2bl w:val="nil"/>
            </w:tcBorders>
            <w:noWrap w:val="0"/>
            <w:vAlign w:val="center"/>
          </w:tcPr>
          <w:p w14:paraId="5866401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一、整体设计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 整机屏幕需采用 UHD 超高清 A 规 LED 液晶屏，屏幕显示尺寸≥75/86英寸，显示比例 16:9，屏幕图像分辨率≥3840*2160。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液晶显示层与钢化玻璃层需采用零贴合或全贴合设计。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整机需采用内置摄像头、麦克风，需支持无需外接线材连接和任何可见外接线材及模块化拼接痕迹，不占用整机外部设备接口。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整机需支持前置物理接口不少于 4 个，所有接口均需采用非转接方式，包含≥1 路 HDMI 接口、≥2 路双通道 USB3.0 接口(Windows 和 Android 系统均能被识别，无需分区)、≥1 路 Type-C 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 整机前置接口（不限 USB 接口）均需具备防撞挡板设计，防撞挡板需采用转轴式翻转设计。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整机后置物理接口需不少于 10 个，包含≥2 路 HDMI 2.0、≥1 路 VGA、≥2 路 USB、≥1 路 RS232、≥1 路 RJ45、≥1 路 TOUCH USB(触控输出接口)、≥1 路 Audio in 3.5mm、≥1 路 Audio out 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 整机需支持拓展同品牌系列智能笔或无线麦克风接收设备；整机需至少包含一个智能笔专用收纳槽，收纳槽需支持智能笔的无线充电，支持静默智能登录，智能笔放入收纳槽内可直接进入充电状态，无需连接外部充电设备，如充电线，充电盒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 智能笔在低电量 10%状态下，需支持充电≤5 分钟，使用时长≥45 分钟。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 整机需内置无线多功能接收器，无需连接外部线材和外置接收器即可实现一键扩音和语音指令功能；整机需内置无线充电模块，无需连接外部线材即可实现智能笔充电。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 整机内置无线多功能接收器和无线充电模块采用单独的模块化可拆卸结构设计，无需对整机进行拆卸，方便快速售后维护。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 需支持仅需一根网线，Windows 和 Android 系统均可实现上网功能。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 整机需采用全金属外壳，铝合金边框，金属材质背板，屏幕边缘采用圆角包边防护，表面无尖锐边缘设计，对内部电路器件辐射有一定的屏蔽作用。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 整机外观需支持防腐蚀，检测依据：GB/T 2423.17-2008，喷雾环境温度 35℃，盐雾浓度为 5％的 NaCl 溶液，在 35℃条件连续喷雾 48h，试验后，样品外观、各金属件都应无锈蚀痕迹。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 整机外壳需通过防火测试，检测依据： GB4943.1-2022。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 整机需具备抗振动、防跌落特性，保证整机运输或使用过程中不易受损，检测依据：GB/T 2423.56-2023。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 整机需支持在高温下可稳定工作，检测环境：50℃，整机连续工作 8h。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 整机需支持在低温环境稳定工作，检测环境：-15℃，整机存储 2h 后开机工作 2h。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  整机需采用防尘防水设计，满足 IP31 标准：防护 2.5mm 直径和更大的固体外来体，防止水滴浸入。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 整机 OPS 电脑安装结构需支持按压式卡扣或螺丝固定模式，抽拉式安装，无需工具就可快速拆卸电脑模块。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 整机需内置光感传感器，支持根据环境光自动调节整机亮度。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 整机需自带 Android 操作系统， 系统版本≥Android 11，CPU≥四核，内存≥2GB，存储空间≥16GB。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 同品牌系列智能笔或无线麦克风接收设备，均需支持 Windows 操作系统或者 UOS 操作系统下的语音操作，支持通过语音指令打开操作系统桌面上的已安装所有应用。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 需支持通过语音直接打开网络搜索引擎，如百度，直接查询对应的信息及资料；可通过口语表达进行语音转写文本输入；可通过口语表达控制PPT 和文档等上下翻页功能，控制机器的音量大小。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  需支持通过口语表达快速返回系统桌面、选人和打开白板等 不少于300 条操作。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 在整机运行环境下，需支持内置无线多功能接收器接收到音源后，整机音频链路延迟≤4ms。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★26.  在整机运行环境下，需支持自适应扩音优化、防啸叫算法能力；需支持配套智能教学笔通过整机实现高质量扩音，THD≤1%，啸叫距离≤20cm，根据语音质量评估方法，扩音效果满足 MOS≥3.5。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★27. 在整机运行环境下，需支持配套教学设备如智能笔实时显示连接状态，并支持监控当前电量百分比，支持提醒用户及时充电。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28. 在整机系统运行环境下支持多种人机交互能力，如点击屏幕、语音控制。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29. 在整机教学系统运行环境下，智能笔需支持一键切换画笔颜色与板擦功能；需支持切换颜色≥2 种，且支持教师自定义任意颜色。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30. 整机需内置非独立外扩展麦克风阵列，麦克风数量≥4，可用于对教室环境音频进行采集，整机拾音距离≥12m，拾音角度≥180°。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★31. 整机需内置 2.2 声道扬声器，位于设备下边框出音，20W 全频扬声器 ≥2 个，15W 高音扬声器 ≥2 个，总功率 ≥70W，语言清晰度（STI-PA）≥0.75，参考 IEC 60268-16 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 喇叭声音需支持“标准”“音乐”“影视”“听力”四种声音模式切换。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★33. 整机扬声器在 100%音量下，1 米处声压级≥90dB，10 米处声压级≥84dB，响度差距≤6dB。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34. 整机需支持屏体亮度≥400cd/m²，色彩覆盖率≥72%NTSC，对比度≥4000：1。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35. 整机屏体需支持最大可视角度≥178 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36. 整机屏体需支持无需操作即可实现蓝光防护，具备物理防蓝光（过滤蓝光）功能，有效抗蓝光、防眩光，蓝光占比（有害蓝光 415～455nm 能量综合）/（整体蓝光 400～500 能量综合）＜50%，低蓝光保护显示不偏色、不泛黄。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37. 整机灰度等级需≥256 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38. 需支持标准、明亮、鲜艳三种图像模式调节。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39. 需支持自定义图像设置，支持对对比度、色阶、图像亮度进行调节设置。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40. 整机屏幕需采用全物理钢化玻璃，表面硬度≥9H。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41. 钢化玻璃透光率需支持≥90%。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42. 整机主屏需采用全物理钢化玻璃，有效保护屏幕显示画面。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43. 整机主屏需采用防眩光玻璃，屏幕需支持防眩光功能。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44. 整机书写面板需采用防眩光全钢化防爆玻璃面板，表面应力≥100Mpa。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★45. 整机需具备智能书写护眼模式，需支持屏幕书写过程中逐步降低整机背光亮度至 50%，降低色温至 6500K 以下。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46. 依据相关国家标准，整机视网膜蓝光危害（蓝光加权辐射亮度 LB）需满足IEC TR 62778：2014 蓝光危害 RG0 级别，LB 限制范围≤100，蓝光无危害。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47. 整机在 sRGB 色彩空间模式下，可做到高色准△E≤2。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48. 需支持纸质护眼模式，可支持素描、牛皮纸、宣纸、水彩纸四个模式。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49. 整机需具有前置按键，包含开关机、护眼、录课、主页、音量加减。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50. 需支持通过前置面板物理按键一键启动录课功能，录制屏幕及整机半径 12米内课堂现场音频。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51. 整机前置面板需支持一键还原Windows 操作系统，采用隐藏式针孔设计避免误操作。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52. 需具备三合一电源按键，支持整机大屏开关机、OPS 电脑开关机和息屏三合一，息屏后可实现降低功耗不少于 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53. 为提高无线信号接发稳定性并避免信号遮挡，整机需内置路由模块，支持2.4G、5G 双频 wifi，满足 IEEE 802.11 a/b/g/n/ac。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54. 整机无线网络需支持互通功能，只需安卓连接无线网络，Windows 即可实现上网。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55. 网络模块需支持路由器/交换机双网络形态切换，路由器模式下整机需支持独立生成 IP 地址，可具备内网网络环境；交换机模式下需支持与外部网络同网段，可与外部网络连接设备进行网络数据传输。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56. Android 系统下，中控菜单工具栏需包含白板、批注、截屏、计算器、倒计时、聚光灯、音量调节、亮度调节，OPS 通道下需具有手势指南。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57. 需支持Wi-Fi 和 AP 热点工作距离≥12m。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58. 整机需内置高清广角摄像头，结构采用非独立设计。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59. 需支持像素≥1600 万，对角视场角≥135°，水平视场角≥120°。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★60. 整机高清摄像头需支持下倾设计，下倾角度≥15°，拍摄画面全面。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61. 整机高清摄像头需支持用于远程巡课，拍摄范围需满足：摄像头垂直线左右水平距离各大于等于 3.5 米，左右最边缘深度大于等于 2 米范围。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62. 整机高清摄像头需支持AI识别人像，人像识别距离需≥10 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63. 整机高清摄像头需支持人脸识别、AI选人和AI考勤（不限于快速点名），支持识别镜头前的所有学生进行人数统计、随机抽选。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64. 整机需支持通过人脸识别进行登录账号。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65.  整机系统（安卓系统，Windows 系统）触控需支持40点触控及同时书写，触摸分辨率≥32768×32768。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66. 需采用红外触控技术，触控方式需支持手指或书写笔等非透明物体，支持多点触摸。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67. 需支持定位精度≤±1mm，最小识别直径≤2mm，书写高度≤2mm，触摸响应时间≤5ms。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68.整机 Windows 系统下需支持书写触控延迟≤45ms。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69. 整机安卓系统下需支持书写触控延迟≤35ms。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70. 需支持从安卓通道切换到内置电脑通道后，触摸框在 1s 内可进行触控书写；从内置电脑切换到外部通道后，触摸框在 3s 内可进行触控书写。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71. 需支持Windows 7、Windows 8、Windows 10、Linux、Mac OS、UOS（统信）、KYLIN（麒麟）系统外置电脑操作系统接入时，无需安装触摸驱动。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72. 为方便售后维护，需支持触摸框采用前拆设计。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73. 触摸框具有防粉笔灰遮挡功能，支持触摸框未被粉笔灰完全遮挡时可正常书写。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74. 触摸屏需支持在照度 100k lux（勒克司）环境下仍能正常工作。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75. 整机设备副板需支持磁吸附功能，可吸附带有磁吸的板擦等教具。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76. 整机需支持二维码扫码报修问题。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77. 整机双系统下，需支持在任意信号源通道下，都可调出侧边栏快捷菜单，菜单含中控导航、系统切换、小工具、快捷设置、亮度/音量调节。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78. 整机需内置书写白板，需支持橡皮擦、圈选、保存、邮件分享、导出功能。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79. 整机需具备智能手势识别功能，在任意信号源通道下均可识别上、下、左、右方向多种手势，左右晃动、缩/放方向手势滑动并调用相应功能。需支持调用多窗口切换、最小化、亮息屏、降半屏、中控菜单多种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80. 需具备供电保护模块，支持在内置电脑未锁定的情况下，不给内置电脑供电。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81. 整机需具有防浪涌、防静电、防辐射、防划伤、触摸屏防遮挡等安全保护措施。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82. 无信号输入时，需支持自动关机功能，关机的时间间隔可自定义。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83. 需支持设备根据需要修改及记忆信号源名称，支持自动识别及切换到新接入的信号源来显示，断开信号源连接后经确认即可返回之前信号源。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84. 安卓系统需支持自检功能，可检测整机内存，存储使用情况；可检测内置电脑，触控系统，光感系统，屏体温度相关硬件状态，可判断硬件是否正常工作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85. 需内置无线传屏接收端，无需外接接收部件，无线传屏发射器与整机匹配后即可实现传屏功能，可以将外部电脑的屏幕画面通过无线方式传输到整机屏幕上显示。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86. 无线投屏功能需支持触摸回控，可直接在大屏上操作电脑。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87. 需支持外接电脑设备连接整机且触控信号连通时，外接电脑设备可识别整机前置 USB 接口设备，支持读取前置 USB 接口的移动存储设备数据；需支持连接整机前置 USB 接口的翻页笔和无线键鼠外接设备可直接使用于外接电脑。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88. 整机需具备前置 Type-C 接口，支持音视频输入。通过双头 Type-C 线将外接电脑设备连接至整机，可把外接电脑设备画面投到整机上，同时可在整机上操作画面，可实现反向触控电脑的操作，无需再连接额外的触控 USB 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89. 需支持外接电脑设备通过双头 Type-C 数据线连接至整机，可调用整机内置的摄像头、麦克风、扬声器，可在外接电脑上控制整机拍摄教室画面。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90. 前置 Type-C 接口，支持通过不带转换装置的外部线缆，实现外接电脑HDMI 信号的接入投屏显示。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91. 需支持通过 Type-C 接口接入外接移动存储设备进行文件传输，兼容Type-C 接口快速充电功能。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92. 需支持单独听模式下，系统自动息屏/黑屏，进行音频播放，满足听力等教学需求。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93. 设备需支持系统锁定功能，支持 USB key 解锁。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94. 整机屏幕需支持手势下移实现半屏显示，点击上方屏幕可返回全屏。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95. 整机需支持半屏模式，将 Windows 显示画面上半部分下拉到屏幕下半部分显示，且可正常触控操作 Windows 系统，点击非 Windows 显示画面区域（屏幕上半部分），可退出该模式。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96. 需支持用户将自定义图片设置为开机画面。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97. 需支持整机电磁干扰 ITE 达到国标 GB/T 9254.1-2021 Class B 等级要求，满足教学环境多电子设备共用，无需采取任何电磁辐射防护措施。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98. 需支持云端在线系统固件升级；支持云端在线触摸框、麦克风、路由模块、音频处理单元的固件升级，支持其他部件升级扩展功能。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99. 安卓系统需具备文件浏览功能，需支持文件分类，选定、全选、复制、粘贴、删除等功能。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100. 整机需具有悬浮菜单，支持通过两指调用到屏幕任意位置；需支持在任意信号源通道下均可调用悬浮菜单，悬浮菜单具有批注、擦除，切换信号源等功能，悬浮菜单中的信号源支持自定义修改且可一键直达常用信号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101. Android 系统下，书写白板需支持对已书写的笔迹和形状进行选择后更换颜色。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102. Android 系统下，书写白板需支持双屏和三屏分屏书写。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103. Android 系统下，书写白板需支持全局漫游，支持拇指+食指漫游手势。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104. Android 系统下，书写白板需支持图片、表格、思维导图插入。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105. Android 系统下，书写白板需支持当前白板界面小窗口打开浏览器进行上网。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106.  Android 系统下，应用程序需包含浏览器、文件管理器、相机、系统自检工具、远程 OTA 升级工具、投屏工具和欢迎词。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107.  整机双系统(含任意信号源通道) 下需支持通过手势调出侧边栏快捷中控菜单，菜单含中控导航、系统切换、小工具、快捷设置、护眼模式和亮度/音量调节。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108.  Android 系统下，中控菜单导航栏需包含主页、返回和多任务。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109.  Android 系统下，中控菜单系统栏需包含降屏、护眼、触控锁、息屏、设置。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二、教学软件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为确保产品的兼容性和稳定性，硬件大屏及教学应用系统软需为同一品牌；支持一键开机后即刻进入教学应用系统界面，无需额外点击操作运行应用系统；支持教师通过二维码扫码、账密输入、智能笔磁吸登录、人脸识别登录方式进入教学应用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2.教学应用系统需支持如下功能：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1）教学应用快捷入口：教学桌面支持教学常用的功能，包括电子白板、文件管理、电子课本、视频展台、授课助手；需提供Windows桌面应用入口，无需切换到Windows系统桌面即可点击运行已安装的第三方应用。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2）学科应用入口：教学桌面需支持语文、数学、英语、物理、化学、生物、地理、历史、信息技术共9个学科的学科应用，需支持教师直接下载并使用。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3）活动模板：支持≥5种的教学活动模板，教师可自定义活动标题。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4）文件管理：需支持获取本地磁盘、移动类储存设备；支持一键打开本地文件进行教学。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★3.需提供罗盘工具，需支持五指点击屏幕调出罗盘工具栏，需支持在屏幕任意位置停留或左右侧边隐藏；需提供用于教学的便捷工具，包括选择、画笔、板擦、撤销、回退。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1）选择工具：需支持在电子白板软件下，对手写笔迹、学科工具、插入的图片至少需支持2种方式，如框选、圈选；选择后至少支持≥3种操作如置顶、克隆、删除功能；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2）画笔工具：需支持一键调取3层功能，包含笔触粗细、颜色、笔形，教师随机选择；需提供≥4种笔型，如钢笔、毛笔、铅笔、印刷笔；需支持将手写体转写成标准印刷体，印刷体支持自动识别≥5 种格式，如中文、英文、数学公式、化学无机方程式、有机分子式；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3）擦除工具：需提供≥4种擦除模式，如板擦擦除、圈选局部擦除、笔迹全屏清除、手势擦除方式；同时，针对手势擦除需支持根据教师手掌与屏幕的接触面积自动判定调整擦除面积大小；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4）撤销恢复：需支持任意界面下，针对教师笔迹提供≥2种基础操作如撤销和恢复。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5）聚焦工具：需支持≥3种格式进行快速截取，如电子课件、电子课本、电子习题；同时，需支持≥5种调整模式，如截取范围大小，内容进行放大、插入白板、关灯讲解、保存至桌面。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自动收起：罗盘工具需支持1分钟后无任何操作自动收起，收起后可显示当前的罗盘状态，如选择、画笔、板擦，画笔状态收起后，可显示当前画笔颜色。收起状态下，需支持双击罗盘中心切换画笔与选择状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在系统界面下，内置侧边栏快捷菜单，支持≥5种快捷入口，包括课本、白板、展台、讲评、智能笔等；需支持在系统界面下实现上课/下课，并自动登录/退出教师账号，登录后自动进入上次授课班级及教学进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5.需支持≥5种智能手势操作，如调用系统菜单、召唤全局工具栏、窗口最小化、多窗口管理、亮/息屏、降半屏手势操作功能。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6.录课功能：需支持录课功能，需支持≥2种调取方式，如前置物理按键一键调取或罗盘工具调取；支持对微课内容进行关键视频切片提取。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1）录制功能：需支持屏幕内容及教室声音画面同时进行录制；生成视频后支持分享链接；支持录制任意全屏画面、局部画面，支持录制保存音频、屏幕画面、摄像头画面，支持在录制过程中进行书写和擦除。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2）需支持按照时间点对微课进行剪辑拆分以及删除；录制结束后自动生成分享二维码，支持扫码即可进行查阅。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3）课后查阅：需支持对微课进行分类管理、按微课名搜索，需支持通过点击关键帧方式快速精准定位微课内容；需支持增减关键帧。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4）保存分享：需支持分发到微信或微博，至少支持2种发送方式如链接、二维码；需支持分享至教师、班级、校本微课库。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7.备授课同步：需支持通过云端将备课的资源同步至电子化教材对应章节目录，无需拷贝。需支持新建自定义备课本，满足复习备考等各类不同课型的备课应用。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1）备课资源：支持从云端、校本资源库、个人网盘获取资源。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添加本地资源：支持教师备课过程中从本地添加教学资源，资源格式支持文本（.txt/.docx/.doc/.pdf）、表格（.xlsx/.xls）、演示胶片（.pptx/.ppt）、图片（.jpg/.png/.dmp/.gif）、视频（.mp4/.avi/.rmvb/.wmv）及音频（.mp3/.wma/.wa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3）备课本管理：需支持教师在网盘存储与管理个人新建课件、课堂活动内容；需支持按照章节目录存储备课资源。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4）备课资源管理：需支持对备课资源进行导出、保存、分享、删除，并支持找回10天内已删除的备课资源。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需覆盖小学、初中、高中学段的电子版本教材，需支持提供≥2000本电子教材资源；其中语文、英语、音乐学科提供点读功能，支持分句、段、篇章进行点读；需给每个教师账号提供至少10本电子课本下载权限，并支持教师课本上课时，一键云同步获取备课资源，并下载至课本中。授课过程中，支持对课本进行文本批注、画笔标注、擦除、聚焦、翻页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9.需支持制作课件时可插入教学互动活动，如分类、连线、选词填空、翻翻卡课堂活动、支持插入素材资源、课件资源、试题资源；需支持直接引用与课程相关的云端、校本资源库、个人资源库资源；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10.电子白板需支持提供书写工具，以实现教学过程中选择内容、书写、擦除操作；需支持多人书写功能，不低于20条同步书写轨迹。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1）背景模板：需提供≥10个白板主题模板，便于学科教学，如五线谱、篮球场、点阵格、足球场。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2）白板操作：书写内容需支持放大、缩小、移动3种操作，且白板需具备添加页、位置切换、保存和分享功能。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★11.语文学科工具：需支持提供≥5种语文类学科工具，包括诗词卡片、朗读评测、字词听写、识字接龙、汉语朗读；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12.数学学科工具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平面几何工具：需支持多种平面图形，包括线、角、圆、多边形；需支持教师对平面图形提供多种操作，包括调整大小、调整角度、调整颜色、克隆；需支持对平面图形按任意中心点进行旋转；需支持教师在原图形上绘制多种辅助线，如平行线、垂线、角平分线；通过辅助线能绘制长度相同的线段，绘制30°、45°、60°、90°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立体几何工具：需支持手绘至少6种立体几何图形并自动识别为标准形状，包括立方体、圆柱体、圆锥、四棱锥、N棱柱、N棱锥；立方体需支持≥8种图形工具操作，如堆积、构图、展开、收起、旋转、三视图、调节、填充常见教学操作；需支持在立方体任一面复制立方体形成组合图形，并能对组合图形进行360°旋转；支持绘制立方体内部的任意切面，绘制后可自由调节；立体几何图形需支持“三视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函数工具：需支持≥6种函数类型，包括一次函数、二次函数、幂函数、指数函数、对数函数、三角函数，及其组合函数的图形绘制，支持手动调节函数参数，图形随之调整；支持以上类型函数手写直接转写为标准印刷体，点击即可生成相应的函数图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4）尺规工具：需支持提供≥4种常见尺规工具，包含量角器、圆规、直尺、三角板，支持调整测量工具大小尺寸；需支持将测量工具旋转任意角度，并可直接输入指定旋转角度实现旋转。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★13.英语学科工具：需提供≥8种英语学科工具，包括四线三格、字母卡片、英语朗读、单词评测、单词接龙、单词听写、英文划词、英文识别等多种英语学科工具和应用；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物理学科工具：需提供物理电路图，涵盖初高中教材电路实验，≥21种电路实验案例，包含伏安法测电阻、欧姆定律应用、动态电路分析等；≥26种元件包含二极管、滑动变阻器、热敏电阻、灵敏电流计等，教师可结合实际教学场景自行组装；以上实验操作支持≥5种功能操作，如标注、修改样式等，满足虚拟实验应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15.化学学科工具：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1）需提供≥56种化学仪器工具，如反应类、固定和加持类、加热类、分离类、计量类、存取类等仪器调用；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2)需提供化学元素周期表，可查看全部元素的相对原子质量、价层电子排布、原子结构；支持调取任意元素的元素卡片，从该元素的简介、存在、制取、用途、发现5个维度进行元素性质讲解。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3）化学识别及推荐：需支持将教师手写的化学方程式自动识别为标准印刷体；并支持智能推荐功能，可根据原生笔迹或印刷体快速调取对应的化学元素、化学实验、微课讲解等资源。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16.地理学科工具：需提供初中地理教学所需的地球和地图、世界地理、中国地理模块；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17.历史学科工具：提供初中历史教学所学所需的中国古代史、中国近代史、中国现代史、世界古代史、世界近代史、世界现代史等模块资源；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18.艺术学科工具：内置专用美术画板工具，需提供≥6种笔形；需支持≥12种画笔颜色，需支持提供符合绘画调色教学需求的调色盘；需支持对绘画内容进行擦除、一键清空、撤销、恢复、保存等操作；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19.AI教学工具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1）中文识别：需支持手写中文直接转写为印刷体，且识别为印刷体后支持朗读、评测、生成卡片等功能；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2）英文识别：需支持手写英文直接转写为印刷体，且识别为印刷体后支持朗读、评测、生成卡片等功能；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3）中文划词：需支持对手写中文或英文进行圈画，推荐相关卡片资料，中文卡片包括拼音、笔顺、部首和结构，英文卡片包括发音、翻译和例句等；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4）英文划词：需支持对手写英文进行圈画，推荐相关卡片资料，英文卡片包括发音、翻译、例句；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★20.考试讲评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需支持在大屏上对试卷进行讲评，包括题目展示、过程讲解、拓展资源、板书留存等：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1）题目展示：需支持对试卷中的题目进行逐题讲解，讲解时可以展示题目的题干及参考答案，以及学生的作答详情。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2）过程讲解：需支持每道题有对应的讲解区，且支持讲解区的操作功能≥3种，如书写、擦除、移动；需支持在讲解区书写题目的解答过程，并能直接将参考答案插入到讲解区中；需支持切换题目时，板书内容跟随题目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3）拓展资源：需支持在讲解题目时添加拓展题目，并展示题干。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4）板书留存：需支持将老师在大屏上每一题的讲解内容保存为图片。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三、内置OPS电脑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1.整机架构:为降低电脑模块维护成本，接口需严格遵循Intel相关规范,针脚数为行业通用≥80Pin ,与大屏无单独接线；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2.为保证产品安全性，需采用卡扣固定，无需工具即可快速拆卸电脑模块；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3.CPU需采用Intel第12代 I5处理器；内存≥8G DDR4，支持拓展16G DDR4；硬盘≥256G SSD，支持拓展512G SSD；</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4.USB接口要求：USB3.0和USB2.0 不少于6个；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5.其他接口要求：需支持网络接口不少于1个，DP输出接口不少于1个，HDMI不少于1个，耳机不少于1个，麦克风输入接口不少于1个；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Wi-Fi 6：需支持802.11b/g/n/ac/ax；蓝牙需支持Bluetooth 4.2。</w:t>
            </w:r>
          </w:p>
        </w:tc>
        <w:tc>
          <w:tcPr>
            <w:tcW w:w="613" w:type="dxa"/>
            <w:tcBorders>
              <w:tl2br w:val="nil"/>
              <w:tr2bl w:val="nil"/>
            </w:tcBorders>
            <w:noWrap w:val="0"/>
            <w:vAlign w:val="center"/>
          </w:tcPr>
          <w:p w14:paraId="71EC04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37F68C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732785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7AAEF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87" w:type="dxa"/>
            <w:tcBorders>
              <w:tl2br w:val="nil"/>
              <w:tr2bl w:val="nil"/>
            </w:tcBorders>
            <w:noWrap/>
            <w:vAlign w:val="center"/>
          </w:tcPr>
          <w:p w14:paraId="06CED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教室讲台</w:t>
            </w:r>
          </w:p>
        </w:tc>
        <w:tc>
          <w:tcPr>
            <w:tcW w:w="5675" w:type="dxa"/>
            <w:tcBorders>
              <w:tl2br w:val="nil"/>
              <w:tr2bl w:val="nil"/>
            </w:tcBorders>
            <w:noWrap w:val="0"/>
            <w:vAlign w:val="top"/>
          </w:tcPr>
          <w:p w14:paraId="6FBFCF3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木扶手讲台</w:t>
            </w:r>
          </w:p>
          <w:p w14:paraId="1250B1D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长1050*730*高1000</w:t>
            </w:r>
          </w:p>
        </w:tc>
        <w:tc>
          <w:tcPr>
            <w:tcW w:w="613" w:type="dxa"/>
            <w:tcBorders>
              <w:tl2br w:val="nil"/>
              <w:tr2bl w:val="nil"/>
            </w:tcBorders>
            <w:noWrap w:val="0"/>
            <w:vAlign w:val="center"/>
          </w:tcPr>
          <w:p w14:paraId="451B4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75A1B2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14:paraId="30DDC8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30689E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487" w:type="dxa"/>
            <w:tcBorders>
              <w:tl2br w:val="nil"/>
              <w:tr2bl w:val="nil"/>
            </w:tcBorders>
            <w:noWrap/>
            <w:vAlign w:val="center"/>
          </w:tcPr>
          <w:p w14:paraId="6F1DB8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观摩室大屏</w:t>
            </w:r>
          </w:p>
        </w:tc>
        <w:tc>
          <w:tcPr>
            <w:tcW w:w="5675" w:type="dxa"/>
            <w:tcBorders>
              <w:tl2br w:val="nil"/>
              <w:tr2bl w:val="nil"/>
            </w:tcBorders>
            <w:noWrap w:val="0"/>
            <w:vAlign w:val="top"/>
          </w:tcPr>
          <w:p w14:paraId="620C2743">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55英寸 金属全面屏 4K超高清</w:t>
            </w:r>
          </w:p>
        </w:tc>
        <w:tc>
          <w:tcPr>
            <w:tcW w:w="613" w:type="dxa"/>
            <w:tcBorders>
              <w:tl2br w:val="nil"/>
              <w:tr2bl w:val="nil"/>
            </w:tcBorders>
            <w:noWrap w:val="0"/>
            <w:vAlign w:val="center"/>
          </w:tcPr>
          <w:p w14:paraId="4FE2ED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75" w:type="dxa"/>
            <w:tcBorders>
              <w:tl2br w:val="nil"/>
              <w:tr2bl w:val="nil"/>
            </w:tcBorders>
            <w:noWrap w:val="0"/>
            <w:vAlign w:val="center"/>
          </w:tcPr>
          <w:p w14:paraId="6539F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19481E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3DCA2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487" w:type="dxa"/>
            <w:tcBorders>
              <w:tl2br w:val="nil"/>
              <w:tr2bl w:val="nil"/>
            </w:tcBorders>
            <w:noWrap w:val="0"/>
            <w:vAlign w:val="center"/>
          </w:tcPr>
          <w:p w14:paraId="6E5516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课堂教室语言分析</w:t>
            </w:r>
          </w:p>
        </w:tc>
        <w:tc>
          <w:tcPr>
            <w:tcW w:w="5675" w:type="dxa"/>
            <w:tcBorders>
              <w:tl2br w:val="nil"/>
              <w:tr2bl w:val="nil"/>
            </w:tcBorders>
            <w:noWrap w:val="0"/>
            <w:vAlign w:val="center"/>
          </w:tcPr>
          <w:p w14:paraId="5424AF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1、支持对实录内容进行AI智能课堂分析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2、支持教学环节切分及环节总结，针对教学环节的实施给予分析及改进建议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3、支持对教师教学行为进行分析，包括教师语速分析、关键词提取、S-T分析、师生行为时长占比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4、支持进行师生问答分析，包括教师提问分析、学生回答分析、教师反馈分析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5、支持通过大模型总结课堂的优劣势、提供活动建议优化，支持用户通过自由提问的方式与大模型对话，开展个性化教研分析</w:t>
            </w:r>
          </w:p>
        </w:tc>
        <w:tc>
          <w:tcPr>
            <w:tcW w:w="613" w:type="dxa"/>
            <w:tcBorders>
              <w:tl2br w:val="nil"/>
              <w:tr2bl w:val="nil"/>
            </w:tcBorders>
            <w:noWrap w:val="0"/>
            <w:vAlign w:val="center"/>
          </w:tcPr>
          <w:p w14:paraId="530C6F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12FAA2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r>
      <w:tr w14:paraId="3D09E3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4E8900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487" w:type="dxa"/>
            <w:tcBorders>
              <w:tl2br w:val="nil"/>
              <w:tr2bl w:val="nil"/>
            </w:tcBorders>
            <w:noWrap w:val="0"/>
            <w:vAlign w:val="center"/>
          </w:tcPr>
          <w:p w14:paraId="75048E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笔记本</w:t>
            </w:r>
          </w:p>
        </w:tc>
        <w:tc>
          <w:tcPr>
            <w:tcW w:w="5675" w:type="dxa"/>
            <w:tcBorders>
              <w:tl2br w:val="nil"/>
              <w:tr2bl w:val="nil"/>
            </w:tcBorders>
            <w:noWrap w:val="0"/>
            <w:vAlign w:val="center"/>
          </w:tcPr>
          <w:p w14:paraId="4E5EDE6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1.英特尔® 酷睿™ i7-12700H 处理器 2.3 GHz (24M 缓存, 可高达 4.7 GHz, 6P+8E 核心)NVIDIA® GeForce® RTX™ 3050 笔记本电脑 GPU</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4GB GDDR6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Intel® Iris Xe Graphics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*英特尔锐炬 Xᵉ 显卡仅适用于搭载英特尔® 酷睿™ i5/i7/i9 处理器，最高 80 个图形执行单元（EU）和双通道内存的型号。</w:t>
            </w:r>
          </w:p>
        </w:tc>
        <w:tc>
          <w:tcPr>
            <w:tcW w:w="613" w:type="dxa"/>
            <w:tcBorders>
              <w:tl2br w:val="nil"/>
              <w:tr2bl w:val="nil"/>
            </w:tcBorders>
            <w:noWrap w:val="0"/>
            <w:vAlign w:val="center"/>
          </w:tcPr>
          <w:p w14:paraId="2C678C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434AD1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416A0E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1" w:type="dxa"/>
            <w:left w:w="28" w:type="dxa"/>
            <w:bottom w:w="11" w:type="dxa"/>
            <w:right w:w="28" w:type="dxa"/>
          </w:tblCellMar>
        </w:tblPrEx>
        <w:trPr>
          <w:trHeight w:val="454" w:hRule="atLeast"/>
        </w:trPr>
        <w:tc>
          <w:tcPr>
            <w:tcW w:w="763" w:type="dxa"/>
            <w:tcBorders>
              <w:tl2br w:val="nil"/>
              <w:tr2bl w:val="nil"/>
            </w:tcBorders>
            <w:noWrap w:val="0"/>
            <w:vAlign w:val="center"/>
          </w:tcPr>
          <w:p w14:paraId="6AB340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487" w:type="dxa"/>
            <w:tcBorders>
              <w:tl2br w:val="nil"/>
              <w:tr2bl w:val="nil"/>
            </w:tcBorders>
            <w:noWrap w:val="0"/>
            <w:vAlign w:val="center"/>
          </w:tcPr>
          <w:p w14:paraId="7B0735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系统配件、施工</w:t>
            </w:r>
          </w:p>
        </w:tc>
        <w:tc>
          <w:tcPr>
            <w:tcW w:w="5675" w:type="dxa"/>
            <w:tcBorders>
              <w:tl2br w:val="nil"/>
              <w:tr2bl w:val="nil"/>
            </w:tcBorders>
            <w:noWrap w:val="0"/>
            <w:vAlign w:val="center"/>
          </w:tcPr>
          <w:p w14:paraId="2E9CDE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含录播教室的弱电布线、线材管材、高清线、VGA分配器、切换器等各类配件、线材。</w:t>
            </w:r>
          </w:p>
        </w:tc>
        <w:tc>
          <w:tcPr>
            <w:tcW w:w="613" w:type="dxa"/>
            <w:tcBorders>
              <w:tl2br w:val="nil"/>
              <w:tr2bl w:val="nil"/>
            </w:tcBorders>
            <w:noWrap w:val="0"/>
            <w:vAlign w:val="center"/>
          </w:tcPr>
          <w:p w14:paraId="64333C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dxa"/>
            <w:tcBorders>
              <w:tl2br w:val="nil"/>
              <w:tr2bl w:val="nil"/>
            </w:tcBorders>
            <w:noWrap w:val="0"/>
            <w:vAlign w:val="center"/>
          </w:tcPr>
          <w:p w14:paraId="65DD6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bl>
    <w:p w14:paraId="1A242317">
      <w:pPr>
        <w:pStyle w:val="243"/>
        <w:spacing w:line="360" w:lineRule="auto"/>
        <w:ind w:firstLine="442"/>
        <w:textAlignment w:val="auto"/>
        <w:rPr>
          <w:rFonts w:hint="eastAsia" w:hAnsi="宋体"/>
          <w:b w:val="0"/>
          <w:bCs w:val="0"/>
          <w:color w:val="auto"/>
          <w:sz w:val="22"/>
          <w:highlight w:val="none"/>
          <w:u w:val="single"/>
          <w:lang w:eastAsia="zh-CN"/>
        </w:rPr>
      </w:pPr>
    </w:p>
    <w:p w14:paraId="12B667BF">
      <w:pPr>
        <w:numPr>
          <w:ilvl w:val="0"/>
          <w:numId w:val="2"/>
        </w:numPr>
        <w:tabs>
          <w:tab w:val="left" w:pos="210"/>
        </w:tabs>
        <w:spacing w:line="360" w:lineRule="auto"/>
        <w:textAlignment w:val="bottom"/>
        <w:rPr>
          <w:rStyle w:val="233"/>
          <w:rFonts w:hint="eastAsia" w:ascii="宋体" w:hAnsi="Times New Roman" w:eastAsia="宋体" w:cs="Times New Roman"/>
          <w:b/>
          <w:bCs/>
          <w:color w:val="auto"/>
          <w:sz w:val="22"/>
          <w:szCs w:val="22"/>
          <w:highlight w:val="none"/>
          <w:lang w:val="en-US" w:eastAsia="zh-CN"/>
        </w:rPr>
      </w:pPr>
      <w:r>
        <w:rPr>
          <w:rStyle w:val="233"/>
          <w:rFonts w:hint="eastAsia" w:ascii="宋体" w:hAnsi="Times New Roman" w:eastAsia="宋体" w:cs="Times New Roman"/>
          <w:b/>
          <w:bCs/>
          <w:color w:val="auto"/>
          <w:sz w:val="22"/>
          <w:szCs w:val="22"/>
          <w:highlight w:val="none"/>
          <w:lang w:val="en-US" w:eastAsia="zh-CN"/>
        </w:rPr>
        <w:t>技术要求：</w:t>
      </w:r>
    </w:p>
    <w:p w14:paraId="0C19DF80">
      <w:pPr>
        <w:pageBreakBefore w:val="0"/>
        <w:widowControl w:val="0"/>
        <w:numPr>
          <w:ilvl w:val="0"/>
          <w:numId w:val="3"/>
        </w:numPr>
        <w:tabs>
          <w:tab w:val="left" w:pos="0"/>
        </w:tabs>
        <w:kinsoku/>
        <w:wordWrap/>
        <w:overflowPunct/>
        <w:topLinePunct w:val="0"/>
        <w:bidi w:val="0"/>
        <w:adjustRightInd w:val="0"/>
        <w:snapToGrid w:val="0"/>
        <w:spacing w:line="360" w:lineRule="auto"/>
        <w:ind w:firstLine="220" w:firstLineChars="1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本项目采用</w:t>
      </w:r>
      <w:r>
        <w:rPr>
          <w:rFonts w:hint="eastAsia" w:ascii="宋体" w:hAnsi="宋体" w:cs="宋体"/>
          <w:b w:val="0"/>
          <w:bCs w:val="0"/>
          <w:color w:val="auto"/>
          <w:sz w:val="22"/>
          <w:szCs w:val="22"/>
          <w:highlight w:val="none"/>
          <w:lang w:eastAsia="zh-CN"/>
        </w:rPr>
        <w:t>按实结算</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但</w:t>
      </w:r>
      <w:r>
        <w:rPr>
          <w:rFonts w:hint="eastAsia" w:ascii="宋体" w:hAnsi="宋体" w:eastAsia="宋体" w:cs="宋体"/>
          <w:b w:val="0"/>
          <w:bCs w:val="0"/>
          <w:color w:val="auto"/>
          <w:sz w:val="22"/>
          <w:szCs w:val="22"/>
          <w:highlight w:val="none"/>
        </w:rPr>
        <w:t>投标</w:t>
      </w:r>
      <w:r>
        <w:rPr>
          <w:rFonts w:hint="eastAsia" w:ascii="宋体" w:hAnsi="宋体" w:cs="宋体"/>
          <w:b w:val="0"/>
          <w:bCs w:val="0"/>
          <w:color w:val="auto"/>
          <w:sz w:val="22"/>
          <w:szCs w:val="22"/>
          <w:highlight w:val="none"/>
          <w:lang w:eastAsia="zh-CN"/>
        </w:rPr>
        <w:t>单</w:t>
      </w:r>
      <w:r>
        <w:rPr>
          <w:rFonts w:hint="eastAsia" w:ascii="宋体" w:hAnsi="宋体" w:eastAsia="宋体" w:cs="宋体"/>
          <w:b w:val="0"/>
          <w:bCs w:val="0"/>
          <w:color w:val="auto"/>
          <w:sz w:val="22"/>
          <w:szCs w:val="22"/>
          <w:highlight w:val="none"/>
        </w:rPr>
        <w:t>价应涵盖</w:t>
      </w:r>
      <w:r>
        <w:rPr>
          <w:rFonts w:hint="eastAsia" w:ascii="宋体" w:hAnsi="宋体" w:cs="宋体"/>
          <w:b w:val="0"/>
          <w:bCs w:val="0"/>
          <w:color w:val="auto"/>
          <w:sz w:val="22"/>
          <w:szCs w:val="22"/>
          <w:highlight w:val="none"/>
          <w:lang w:eastAsia="zh-CN"/>
        </w:rPr>
        <w:t>直至设备正常运行的</w:t>
      </w:r>
      <w:r>
        <w:rPr>
          <w:rFonts w:hint="eastAsia" w:ascii="宋体" w:hAnsi="宋体" w:eastAsia="宋体" w:cs="宋体"/>
          <w:b w:val="0"/>
          <w:bCs w:val="0"/>
          <w:color w:val="auto"/>
          <w:sz w:val="22"/>
          <w:szCs w:val="22"/>
          <w:highlight w:val="none"/>
        </w:rPr>
        <w:t>全部费用，以及</w:t>
      </w:r>
      <w:r>
        <w:rPr>
          <w:rFonts w:hint="eastAsia" w:ascii="宋体" w:eastAsia="宋体"/>
          <w:b w:val="0"/>
          <w:color w:val="auto"/>
          <w:sz w:val="22"/>
          <w:szCs w:val="22"/>
          <w:highlight w:val="none"/>
        </w:rPr>
        <w:t>所有产品（包括设备、材料、施工）的设计、制造、运输、调试、系统集成、验收配合、验收费用（含专家费）、第三方检测（若有）、培训、免费质保服务、</w:t>
      </w:r>
      <w:r>
        <w:rPr>
          <w:rFonts w:ascii="宋体" w:eastAsia="宋体"/>
          <w:b w:val="0"/>
          <w:color w:val="auto"/>
          <w:sz w:val="22"/>
          <w:szCs w:val="22"/>
          <w:highlight w:val="none"/>
        </w:rPr>
        <w:t>税金、</w:t>
      </w:r>
      <w:r>
        <w:rPr>
          <w:rFonts w:hint="eastAsia" w:ascii="宋体" w:eastAsia="宋体"/>
          <w:b w:val="0"/>
          <w:color w:val="auto"/>
          <w:sz w:val="22"/>
          <w:szCs w:val="22"/>
          <w:highlight w:val="none"/>
        </w:rPr>
        <w:t>人工、管理、</w:t>
      </w:r>
      <w:r>
        <w:rPr>
          <w:rFonts w:ascii="宋体" w:eastAsia="宋体"/>
          <w:b w:val="0"/>
          <w:color w:val="auto"/>
          <w:sz w:val="22"/>
          <w:szCs w:val="22"/>
          <w:highlight w:val="none"/>
        </w:rPr>
        <w:t>合理利润</w:t>
      </w:r>
      <w:r>
        <w:rPr>
          <w:rFonts w:hint="eastAsia" w:ascii="宋体" w:eastAsia="宋体"/>
          <w:b w:val="0"/>
          <w:color w:val="auto"/>
          <w:sz w:val="22"/>
          <w:szCs w:val="22"/>
          <w:highlight w:val="none"/>
          <w:lang w:eastAsia="zh-CN"/>
        </w:rPr>
        <w:t>、</w:t>
      </w:r>
      <w:r>
        <w:rPr>
          <w:rFonts w:hint="eastAsia" w:ascii="宋体" w:hAnsi="宋体" w:eastAsia="宋体" w:cs="宋体"/>
          <w:b w:val="0"/>
          <w:bCs w:val="0"/>
          <w:color w:val="auto"/>
          <w:sz w:val="22"/>
          <w:szCs w:val="22"/>
          <w:highlight w:val="none"/>
        </w:rPr>
        <w:t>风险费、投标费用</w:t>
      </w:r>
      <w:r>
        <w:rPr>
          <w:rFonts w:ascii="宋体" w:eastAsia="宋体"/>
          <w:b w:val="0"/>
          <w:color w:val="auto"/>
          <w:sz w:val="22"/>
          <w:szCs w:val="22"/>
          <w:highlight w:val="none"/>
        </w:rPr>
        <w:t>等一切成本及费用。</w:t>
      </w:r>
      <w:r>
        <w:rPr>
          <w:rFonts w:hint="eastAsia" w:ascii="宋体" w:hAnsi="宋体" w:eastAsia="宋体" w:cs="宋体"/>
          <w:b w:val="0"/>
          <w:bCs w:val="0"/>
          <w:color w:val="auto"/>
          <w:sz w:val="22"/>
          <w:szCs w:val="22"/>
          <w:highlight w:val="none"/>
        </w:rPr>
        <w:t>（以上所有费用包含在综合单价中，不分列）。</w:t>
      </w:r>
    </w:p>
    <w:p w14:paraId="4913F6F6">
      <w:pPr>
        <w:pageBreakBefore w:val="0"/>
        <w:widowControl w:val="0"/>
        <w:numPr>
          <w:ilvl w:val="0"/>
          <w:numId w:val="3"/>
        </w:numPr>
        <w:tabs>
          <w:tab w:val="left" w:pos="0"/>
        </w:tabs>
        <w:kinsoku/>
        <w:wordWrap/>
        <w:overflowPunct/>
        <w:topLinePunct w:val="0"/>
        <w:bidi w:val="0"/>
        <w:adjustRightInd w:val="0"/>
        <w:snapToGrid w:val="0"/>
        <w:spacing w:line="360" w:lineRule="auto"/>
        <w:ind w:firstLine="220" w:firstLineChars="100"/>
        <w:jc w:val="left"/>
        <w:textAlignment w:val="auto"/>
        <w:rPr>
          <w:rFonts w:hint="eastAsia" w:ascii="宋体" w:hAnsi="Times New Roman" w:eastAsia="宋体" w:cs="Times New Roman"/>
          <w:b w:val="0"/>
          <w:color w:val="auto"/>
          <w:sz w:val="22"/>
          <w:szCs w:val="22"/>
          <w:highlight w:val="none"/>
        </w:rPr>
      </w:pPr>
      <w:r>
        <w:rPr>
          <w:rFonts w:hint="eastAsia" w:ascii="宋体" w:hAnsi="Times New Roman" w:eastAsia="宋体" w:cs="Times New Roman"/>
          <w:b w:val="0"/>
          <w:color w:val="auto"/>
          <w:sz w:val="22"/>
          <w:szCs w:val="22"/>
          <w:highlight w:val="none"/>
        </w:rPr>
        <w:t>供应商必须对采购的全部</w:t>
      </w:r>
      <w:r>
        <w:rPr>
          <w:rFonts w:hint="eastAsia" w:ascii="宋体" w:hAnsi="Times New Roman" w:eastAsia="宋体" w:cs="Times New Roman"/>
          <w:b w:val="0"/>
          <w:color w:val="auto"/>
          <w:sz w:val="22"/>
          <w:szCs w:val="22"/>
          <w:highlight w:val="none"/>
          <w:lang w:val="en-US" w:eastAsia="zh-CN"/>
        </w:rPr>
        <w:t>货物</w:t>
      </w:r>
      <w:r>
        <w:rPr>
          <w:rFonts w:hint="eastAsia" w:ascii="宋体" w:hAnsi="Times New Roman" w:eastAsia="宋体" w:cs="Times New Roman"/>
          <w:b w:val="0"/>
          <w:color w:val="auto"/>
          <w:sz w:val="22"/>
          <w:szCs w:val="22"/>
          <w:highlight w:val="none"/>
        </w:rPr>
        <w:t>进行投标报价，请各投标人在报价时充分考虑各种风险。招标文件中未列明但项目建设过程中又实际需要的材料由投标人免费补齐。</w:t>
      </w:r>
    </w:p>
    <w:p w14:paraId="47E14C46">
      <w:pPr>
        <w:pageBreakBefore w:val="0"/>
        <w:widowControl w:val="0"/>
        <w:numPr>
          <w:ilvl w:val="0"/>
          <w:numId w:val="0"/>
        </w:numPr>
        <w:tabs>
          <w:tab w:val="left" w:pos="0"/>
        </w:tabs>
        <w:kinsoku/>
        <w:wordWrap/>
        <w:overflowPunct/>
        <w:topLinePunct w:val="0"/>
        <w:bidi w:val="0"/>
        <w:adjustRightInd w:val="0"/>
        <w:snapToGrid w:val="0"/>
        <w:spacing w:line="360" w:lineRule="auto"/>
        <w:ind w:firstLine="220" w:firstLineChars="100"/>
        <w:jc w:val="left"/>
        <w:textAlignment w:val="auto"/>
        <w:rPr>
          <w:rFonts w:hint="eastAsia" w:ascii="宋体" w:hAnsi="Times New Roman" w:eastAsia="宋体" w:cs="Times New Roman"/>
          <w:b w:val="0"/>
          <w:color w:val="auto"/>
          <w:sz w:val="22"/>
          <w:szCs w:val="22"/>
          <w:highlight w:val="none"/>
        </w:rPr>
      </w:pPr>
      <w:r>
        <w:rPr>
          <w:rFonts w:hint="eastAsia" w:ascii="宋体" w:hAnsi="Times New Roman" w:eastAsia="宋体" w:cs="Times New Roman"/>
          <w:b w:val="0"/>
          <w:color w:val="auto"/>
          <w:sz w:val="22"/>
          <w:szCs w:val="22"/>
          <w:highlight w:val="none"/>
          <w:lang w:val="en-US" w:eastAsia="zh-CN"/>
        </w:rPr>
        <w:t>3、</w:t>
      </w:r>
      <w:r>
        <w:rPr>
          <w:rFonts w:hint="eastAsia" w:ascii="宋体" w:hAnsi="Times New Roman" w:eastAsia="宋体" w:cs="Times New Roman"/>
          <w:b w:val="0"/>
          <w:color w:val="auto"/>
          <w:sz w:val="22"/>
          <w:szCs w:val="22"/>
          <w:highlight w:val="none"/>
        </w:rPr>
        <w:t>各投标人需提供所投产品的详细参数及服务方案，如未提供或提供不全可能出现不利于投标人的评分，该风险由投标人自行承担。</w:t>
      </w:r>
    </w:p>
    <w:p w14:paraId="31BEDA3A">
      <w:pPr>
        <w:numPr>
          <w:ilvl w:val="0"/>
          <w:numId w:val="0"/>
        </w:numPr>
        <w:rPr>
          <w:rFonts w:hint="eastAsia"/>
          <w:b/>
          <w:bCs/>
          <w:color w:val="auto"/>
          <w:highlight w:val="none"/>
          <w:lang w:val="en-US" w:eastAsia="zh-CN"/>
        </w:rPr>
      </w:pPr>
      <w:r>
        <w:rPr>
          <w:rFonts w:hint="eastAsia"/>
          <w:b/>
          <w:bCs/>
          <w:color w:val="auto"/>
          <w:highlight w:val="none"/>
          <w:lang w:val="en-US" w:eastAsia="zh-CN"/>
        </w:rPr>
        <w:t>三、其他要求</w:t>
      </w:r>
    </w:p>
    <w:p w14:paraId="40366D8E">
      <w:pPr>
        <w:numPr>
          <w:ilvl w:val="0"/>
          <w:numId w:val="4"/>
        </w:numPr>
        <w:snapToGrid w:val="0"/>
        <w:spacing w:line="460" w:lineRule="exact"/>
        <w:ind w:firstLine="220" w:firstLineChars="1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本采购工程包含</w:t>
      </w:r>
      <w:r>
        <w:rPr>
          <w:rFonts w:hint="eastAsia" w:ascii="宋体" w:hAnsi="宋体" w:cs="宋体"/>
          <w:color w:val="auto"/>
          <w:sz w:val="22"/>
          <w:szCs w:val="22"/>
          <w:highlight w:val="none"/>
          <w:lang w:val="en-US" w:eastAsia="zh-CN"/>
        </w:rPr>
        <w:t>的所有设备</w:t>
      </w:r>
      <w:r>
        <w:rPr>
          <w:rFonts w:hint="eastAsia" w:ascii="宋体" w:hAnsi="宋体" w:eastAsia="宋体" w:cs="宋体"/>
          <w:color w:val="auto"/>
          <w:sz w:val="22"/>
          <w:szCs w:val="22"/>
          <w:highlight w:val="none"/>
          <w:lang w:eastAsia="zh-CN"/>
        </w:rPr>
        <w:t>安装，安装所需的辅材及附件由投标供应商自行考虑，并包含在投标报价中，实施过程中合同价格不予调整，供应商应现场勘察，以求得准确的报价依据，供应商自行承担报价风险。</w:t>
      </w:r>
    </w:p>
    <w:p w14:paraId="229C7ACC">
      <w:pPr>
        <w:snapToGrid w:val="0"/>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2、所有设备进场施工</w:t>
      </w:r>
      <w:r>
        <w:rPr>
          <w:rFonts w:hint="eastAsia" w:ascii="宋体" w:hAnsi="宋体" w:cs="宋体"/>
          <w:color w:val="auto"/>
          <w:sz w:val="22"/>
          <w:szCs w:val="22"/>
          <w:highlight w:val="none"/>
        </w:rPr>
        <w:t>后，如</w:t>
      </w:r>
      <w:r>
        <w:rPr>
          <w:rFonts w:hint="eastAsia" w:ascii="宋体" w:hAnsi="宋体" w:cs="宋体"/>
          <w:color w:val="auto"/>
          <w:sz w:val="22"/>
          <w:szCs w:val="22"/>
          <w:highlight w:val="none"/>
          <w:lang w:eastAsia="zh-CN"/>
        </w:rPr>
        <w:t>因需</w:t>
      </w:r>
      <w:r>
        <w:rPr>
          <w:rFonts w:hint="eastAsia" w:ascii="宋体" w:hAnsi="宋体" w:cs="宋体"/>
          <w:color w:val="auto"/>
          <w:sz w:val="22"/>
          <w:szCs w:val="22"/>
          <w:highlight w:val="none"/>
        </w:rPr>
        <w:t>现场调整</w:t>
      </w:r>
      <w:r>
        <w:rPr>
          <w:rFonts w:hint="eastAsia" w:ascii="宋体" w:hAnsi="宋体" w:cs="宋体"/>
          <w:color w:val="auto"/>
          <w:sz w:val="22"/>
          <w:szCs w:val="22"/>
          <w:highlight w:val="none"/>
          <w:lang w:eastAsia="zh-CN"/>
        </w:rPr>
        <w:t>原因</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本项目的中标供应商需无条件配合，</w:t>
      </w:r>
      <w:r>
        <w:rPr>
          <w:rFonts w:hint="eastAsia" w:ascii="宋体" w:hAnsi="宋体" w:cs="宋体"/>
          <w:color w:val="auto"/>
          <w:sz w:val="22"/>
          <w:szCs w:val="22"/>
          <w:highlight w:val="none"/>
        </w:rPr>
        <w:t>因此产生</w:t>
      </w:r>
      <w:r>
        <w:rPr>
          <w:rFonts w:hint="eastAsia" w:ascii="宋体" w:hAnsi="宋体" w:cs="宋体"/>
          <w:color w:val="auto"/>
          <w:sz w:val="22"/>
          <w:szCs w:val="22"/>
          <w:highlight w:val="none"/>
          <w:lang w:eastAsia="zh-CN"/>
        </w:rPr>
        <w:t>需</w:t>
      </w:r>
      <w:r>
        <w:rPr>
          <w:rFonts w:hint="eastAsia" w:ascii="宋体" w:hAnsi="宋体" w:cs="宋体"/>
          <w:color w:val="auto"/>
          <w:sz w:val="22"/>
          <w:szCs w:val="22"/>
          <w:highlight w:val="none"/>
        </w:rPr>
        <w:t>增加的施工费用（包括新增工程量）投标供应商在投标报价时须自行考虑，该费用计入投标总价，今后不予增加；如实际工程量有所减少的，按实核减。</w:t>
      </w:r>
    </w:p>
    <w:p w14:paraId="6E5BCE5E">
      <w:pPr>
        <w:snapToGrid w:val="0"/>
        <w:spacing w:line="460" w:lineRule="exact"/>
        <w:ind w:firstLine="220" w:firstLineChars="1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3、本项目设备参数与招标文件所表明的清单参数不一致的以招标文件为准。</w:t>
      </w:r>
    </w:p>
    <w:p w14:paraId="21FF486B">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以上清单为采购人提出的参考清单，但作为所有供应商的报价基础，供应商提供的报价清单不得少于本项目采购清单内规定的货物及数量。如采购文件中遗漏了完工必须具备的设备、材料、货物、配件或服务，请供应商在投标文件中自行配齐，并包含在总价中；中标供应商有义务保证本项目系统的完整性，如项目实施过程中因缺少设备、材料、货物、配件或服务导致本系统无法正常运行，中标供应商必须免费提供至本项目可正常使用。</w:t>
      </w:r>
    </w:p>
    <w:p w14:paraId="2AB3A2CF">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为保证工程质量，投标供应商需保证投标产品参数的真实性，供货时采购人及监理单位将进行如实核对，如实际安装设备达不到招标文件技术要求或安装型号参数与投标文件不一致，做验收不通过处理，采购人有权无条件取消合同并不予退还履约保证金；并将作为虚假应标上报监督机构，申请废除其中标人资格并保留追究责任的权利。供应商到货及安装、退货等所造成的损失自行承担。</w:t>
      </w:r>
    </w:p>
    <w:p w14:paraId="73C3CBDE">
      <w:pPr>
        <w:pStyle w:val="5"/>
        <w:rPr>
          <w:rFonts w:hint="eastAsia"/>
          <w:color w:val="auto"/>
          <w:highlight w:val="none"/>
          <w:lang w:val="en-US" w:eastAsia="zh-CN"/>
        </w:rPr>
      </w:pPr>
    </w:p>
    <w:p w14:paraId="37D86350">
      <w:pPr>
        <w:tabs>
          <w:tab w:val="left" w:pos="210"/>
        </w:tabs>
        <w:spacing w:line="360" w:lineRule="auto"/>
        <w:textAlignment w:val="bottom"/>
        <w:rPr>
          <w:rStyle w:val="233"/>
          <w:rFonts w:ascii="宋体" w:eastAsia="宋体" w:cs="Times New Roman"/>
          <w:b/>
          <w:bCs/>
          <w:color w:val="auto"/>
          <w:sz w:val="22"/>
          <w:szCs w:val="22"/>
          <w:highlight w:val="none"/>
        </w:rPr>
      </w:pPr>
      <w:r>
        <w:rPr>
          <w:rStyle w:val="233"/>
          <w:rFonts w:hint="eastAsia" w:ascii="宋体" w:cs="Times New Roman"/>
          <w:b/>
          <w:bCs/>
          <w:color w:val="auto"/>
          <w:sz w:val="22"/>
          <w:szCs w:val="22"/>
          <w:highlight w:val="none"/>
          <w:lang w:val="en-US"/>
        </w:rPr>
        <w:t>四</w:t>
      </w:r>
      <w:r>
        <w:rPr>
          <w:rStyle w:val="233"/>
          <w:rFonts w:hint="eastAsia" w:ascii="宋体" w:eastAsia="宋体" w:cs="Times New Roman"/>
          <w:b/>
          <w:bCs/>
          <w:color w:val="auto"/>
          <w:sz w:val="22"/>
          <w:szCs w:val="22"/>
          <w:highlight w:val="none"/>
        </w:rPr>
        <w:t>、商务条款</w:t>
      </w:r>
    </w:p>
    <w:p w14:paraId="1781D79E">
      <w:pPr>
        <w:snapToGrid w:val="0"/>
        <w:spacing w:line="460" w:lineRule="exact"/>
        <w:ind w:firstLine="220" w:firstLineChars="1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lang w:val="en-US" w:eastAsia="zh-CN"/>
        </w:rPr>
        <w:t>1、工期：</w:t>
      </w:r>
      <w:r>
        <w:rPr>
          <w:rFonts w:hint="eastAsia" w:ascii="宋体" w:hAnsi="宋体" w:eastAsia="宋体" w:cs="宋体"/>
          <w:color w:val="auto"/>
          <w:sz w:val="22"/>
          <w:szCs w:val="22"/>
          <w:highlight w:val="none"/>
          <w:u w:val="single"/>
          <w:lang w:val="en-US" w:eastAsia="zh-CN"/>
        </w:rPr>
        <w:t>设备进场供货期为签订合同后</w:t>
      </w:r>
      <w:r>
        <w:rPr>
          <w:rFonts w:hint="eastAsia" w:ascii="宋体"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lang w:val="en-US" w:eastAsia="zh-CN"/>
        </w:rPr>
        <w:t>0日历天内完成供货及安装、调试</w:t>
      </w:r>
      <w:r>
        <w:rPr>
          <w:rFonts w:hint="eastAsia" w:ascii="宋体" w:hAnsi="宋体" w:cs="宋体"/>
          <w:color w:val="auto"/>
          <w:sz w:val="22"/>
          <w:szCs w:val="22"/>
          <w:highlight w:val="none"/>
          <w:u w:val="single"/>
          <w:lang w:val="en-US" w:eastAsia="zh-CN"/>
        </w:rPr>
        <w:t>直至设备正常运行</w:t>
      </w:r>
      <w:r>
        <w:rPr>
          <w:rFonts w:hint="eastAsia" w:ascii="宋体" w:hAnsi="宋体" w:eastAsia="宋体" w:cs="宋体"/>
          <w:color w:val="auto"/>
          <w:sz w:val="22"/>
          <w:szCs w:val="22"/>
          <w:highlight w:val="none"/>
          <w:u w:val="single"/>
          <w:lang w:val="en-US" w:eastAsia="zh-CN"/>
        </w:rPr>
        <w:t>，达到验收标准。</w:t>
      </w:r>
    </w:p>
    <w:p w14:paraId="5A58261C">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2、保质期与售后服务：</w:t>
      </w:r>
    </w:p>
    <w:p w14:paraId="1ED2BF64">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（1）本项目所有设备质保期均至少</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年（技术参数中有详细说明的除外），质保期从验收合格交付使用之日起算；保质期内因产品本身缺陷（非人为因素）造成各种故障应由成交供应商免费技术服务和维修及维护。</w:t>
      </w:r>
    </w:p>
    <w:p w14:paraId="031A07A7">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（2）在质保期内，成交供应商应负责对其提供的设备进行现场维修、损坏件更换，不收取额外费用，响应时间必须满足系统正常运行的要求。</w:t>
      </w:r>
    </w:p>
    <w:p w14:paraId="157050DB">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（3）质量保修期内，要求供应商7×24小时电话响应技术咨询；除非采购文件另有规定，供应商须在接到采购人维修要求电话后， 30分钟内作出响应，2小时到达现场处置，24 小时内修复。若不能修复，则需要免费提供后备或替代设备，以保证采购人正常的工作。</w:t>
      </w:r>
    </w:p>
    <w:p w14:paraId="2EC101BA">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（4）中标供应商应提供充足的备品备件，满足日常维护需求。</w:t>
      </w:r>
    </w:p>
    <w:p w14:paraId="6A7FB54F">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（5）投标供应商应提供质保期后的服务计划或建议，明确收费事项及标准，保修后免费维修。</w:t>
      </w:r>
    </w:p>
    <w:p w14:paraId="345DAD8C">
      <w:pPr>
        <w:pStyle w:val="28"/>
        <w:adjustRightInd w:val="0"/>
        <w:snapToGrid w:val="0"/>
        <w:spacing w:line="460" w:lineRule="exact"/>
        <w:ind w:firstLine="220" w:firstLineChars="100"/>
        <w:rPr>
          <w:rFonts w:hint="eastAsia" w:hAnsi="宋体" w:cs="宋体"/>
          <w:color w:val="auto"/>
          <w:sz w:val="22"/>
          <w:szCs w:val="22"/>
          <w:highlight w:val="none"/>
        </w:rPr>
      </w:pPr>
      <w:r>
        <w:rPr>
          <w:rFonts w:hint="eastAsia" w:hAnsi="宋体" w:cs="宋体"/>
          <w:color w:val="auto"/>
          <w:sz w:val="22"/>
          <w:szCs w:val="22"/>
          <w:highlight w:val="none"/>
          <w:lang w:val="en-US" w:eastAsia="zh-CN"/>
        </w:rPr>
        <w:t>3</w:t>
      </w:r>
      <w:r>
        <w:rPr>
          <w:rFonts w:hint="eastAsia" w:hAnsi="宋体" w:cs="宋体"/>
          <w:color w:val="auto"/>
          <w:sz w:val="22"/>
          <w:szCs w:val="22"/>
          <w:highlight w:val="none"/>
        </w:rPr>
        <w:t>、付款方式：</w:t>
      </w:r>
    </w:p>
    <w:p w14:paraId="61F637D2">
      <w:pPr>
        <w:numPr>
          <w:ilvl w:val="0"/>
          <w:numId w:val="5"/>
        </w:numPr>
        <w:snapToGrid w:val="0"/>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lang w:eastAsia="zh-CN"/>
        </w:rPr>
        <w:t>签订合同后中标供应商须提交合同总价的5%作为履约保证金至采购人指定的账户（转账或银行保函）。</w:t>
      </w:r>
      <w:r>
        <w:rPr>
          <w:rFonts w:hint="eastAsia" w:ascii="宋体" w:hAnsi="宋体" w:cs="宋体"/>
          <w:color w:val="auto"/>
          <w:sz w:val="22"/>
          <w:szCs w:val="22"/>
          <w:highlight w:val="none"/>
        </w:rPr>
        <w:t>自验收合格之日起，至12个月后无售后履约问题的，采购人在五个工作日内无息一次性退还履约保证金。</w:t>
      </w:r>
    </w:p>
    <w:p w14:paraId="23B42B1C">
      <w:pPr>
        <w:numPr>
          <w:ilvl w:val="0"/>
          <w:numId w:val="5"/>
        </w:numPr>
        <w:snapToGrid w:val="0"/>
        <w:spacing w:line="460" w:lineRule="exact"/>
        <w:ind w:firstLine="220" w:firstLineChars="100"/>
        <w:rPr>
          <w:rFonts w:hint="eastAsia"/>
          <w:color w:val="auto"/>
          <w:highlight w:val="none"/>
        </w:rPr>
      </w:pPr>
      <w:r>
        <w:rPr>
          <w:rFonts w:hint="eastAsia" w:ascii="宋体" w:hAnsi="宋体" w:cs="宋体"/>
          <w:color w:val="auto"/>
          <w:sz w:val="22"/>
          <w:szCs w:val="22"/>
          <w:highlight w:val="none"/>
        </w:rPr>
        <w:t>中标供应商将所有设备及产品安装调试完成， 由</w:t>
      </w:r>
      <w:r>
        <w:rPr>
          <w:rFonts w:hint="eastAsia" w:ascii="宋体" w:hAnsi="宋体" w:cs="宋体"/>
          <w:color w:val="auto"/>
          <w:sz w:val="22"/>
          <w:szCs w:val="22"/>
          <w:highlight w:val="none"/>
          <w:lang w:eastAsia="zh-CN"/>
        </w:rPr>
        <w:t>龙港市宏程小学</w:t>
      </w:r>
      <w:r>
        <w:rPr>
          <w:rFonts w:hint="eastAsia" w:ascii="宋体" w:hAnsi="宋体" w:cs="宋体"/>
          <w:color w:val="auto"/>
          <w:sz w:val="22"/>
          <w:szCs w:val="22"/>
          <w:highlight w:val="none"/>
        </w:rPr>
        <w:t>组织验收合格后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中标供应商将向</w:t>
      </w: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提供相关付款资料并足额开具发票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%的增值税专用发票</w:t>
      </w:r>
      <w:r>
        <w:rPr>
          <w:rFonts w:hint="eastAsia" w:ascii="宋体" w:hAnsi="宋体" w:cs="宋体"/>
          <w:color w:val="auto"/>
          <w:sz w:val="22"/>
          <w:szCs w:val="22"/>
          <w:highlight w:val="none"/>
          <w:lang w:eastAsia="zh-CN"/>
        </w:rPr>
        <w:t>），且</w:t>
      </w: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lang w:eastAsia="zh-CN"/>
        </w:rPr>
        <w:t>收取政府付费后，</w:t>
      </w:r>
      <w:r>
        <w:rPr>
          <w:rFonts w:hint="eastAsia" w:ascii="宋体" w:hAnsi="宋体" w:cs="宋体"/>
          <w:color w:val="auto"/>
          <w:sz w:val="22"/>
          <w:szCs w:val="22"/>
          <w:highlight w:val="none"/>
        </w:rPr>
        <w:t>采购人向供应商支付至合同价款的</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0%</w:t>
      </w:r>
      <w:r>
        <w:rPr>
          <w:rFonts w:hint="eastAsia" w:ascii="宋体" w:hAnsi="宋体" w:cs="宋体"/>
          <w:color w:val="auto"/>
          <w:sz w:val="22"/>
          <w:szCs w:val="22"/>
          <w:highlight w:val="none"/>
          <w:lang w:eastAsia="zh-CN"/>
        </w:rPr>
        <w:t>（预计2026年1月支付）</w:t>
      </w:r>
      <w:r>
        <w:rPr>
          <w:rFonts w:hint="eastAsia"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留10%作为质保金，自验收合格之日起，至12个月后</w:t>
      </w:r>
      <w:r>
        <w:rPr>
          <w:rFonts w:hint="eastAsia" w:hAnsi="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一次性付清质保金</w:t>
      </w:r>
      <w:r>
        <w:rPr>
          <w:rFonts w:hint="eastAsia" w:ascii="宋体" w:hAnsi="宋体" w:cs="宋体"/>
          <w:color w:val="auto"/>
          <w:sz w:val="22"/>
          <w:szCs w:val="22"/>
          <w:highlight w:val="none"/>
          <w:lang w:eastAsia="zh-CN"/>
        </w:rPr>
        <w:t>。</w:t>
      </w:r>
    </w:p>
    <w:p w14:paraId="0C689096">
      <w:pPr>
        <w:snapToGrid w:val="0"/>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备注：采购人有权根据实际需求情况对部分产品的数量进行调整，货款结算时以实际数量为准，结算单价以中标供应商所报单价为准。</w:t>
      </w:r>
    </w:p>
    <w:p w14:paraId="531B4075">
      <w:pPr>
        <w:numPr>
          <w:ilvl w:val="0"/>
          <w:numId w:val="0"/>
        </w:numPr>
        <w:snapToGrid w:val="0"/>
        <w:spacing w:line="460" w:lineRule="exact"/>
        <w:ind w:leftChars="1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培训：</w:t>
      </w:r>
    </w:p>
    <w:p w14:paraId="3B3C4506">
      <w:pPr>
        <w:numPr>
          <w:ilvl w:val="0"/>
          <w:numId w:val="0"/>
        </w:numPr>
        <w:snapToGrid w:val="0"/>
        <w:spacing w:line="460" w:lineRule="exact"/>
        <w:ind w:leftChars="100"/>
        <w:rPr>
          <w:rFonts w:hint="eastAsia" w:ascii="宋体" w:eastAsia="宋体" w:cs="Times New Roman"/>
          <w:b w:val="0"/>
          <w:bCs w:val="0"/>
          <w:color w:val="auto"/>
          <w:kern w:val="2"/>
          <w:sz w:val="22"/>
          <w:szCs w:val="22"/>
          <w:highlight w:val="none"/>
        </w:rPr>
      </w:pPr>
      <w:r>
        <w:rPr>
          <w:rFonts w:hint="eastAsia" w:ascii="宋体" w:eastAsia="宋体" w:cs="Times New Roman"/>
          <w:b w:val="0"/>
          <w:bCs w:val="0"/>
          <w:color w:val="auto"/>
          <w:kern w:val="2"/>
          <w:sz w:val="22"/>
          <w:szCs w:val="22"/>
          <w:highlight w:val="none"/>
          <w:lang w:eastAsia="zh-CN"/>
        </w:rPr>
        <w:t>（</w:t>
      </w:r>
      <w:r>
        <w:rPr>
          <w:rFonts w:hint="eastAsia" w:ascii="宋体" w:eastAsia="宋体" w:cs="Times New Roman"/>
          <w:b w:val="0"/>
          <w:bCs w:val="0"/>
          <w:color w:val="auto"/>
          <w:kern w:val="2"/>
          <w:sz w:val="22"/>
          <w:szCs w:val="22"/>
          <w:highlight w:val="none"/>
        </w:rPr>
        <w:t>1</w:t>
      </w:r>
      <w:r>
        <w:rPr>
          <w:rFonts w:hint="eastAsia" w:ascii="宋体" w:eastAsia="宋体" w:cs="Times New Roman"/>
          <w:b w:val="0"/>
          <w:bCs w:val="0"/>
          <w:color w:val="auto"/>
          <w:kern w:val="2"/>
          <w:sz w:val="22"/>
          <w:szCs w:val="22"/>
          <w:highlight w:val="none"/>
          <w:lang w:eastAsia="zh-CN"/>
        </w:rPr>
        <w:t>）</w:t>
      </w:r>
      <w:r>
        <w:rPr>
          <w:rFonts w:hint="eastAsia" w:ascii="宋体" w:eastAsia="宋体" w:cs="Times New Roman"/>
          <w:b w:val="0"/>
          <w:bCs w:val="0"/>
          <w:color w:val="auto"/>
          <w:kern w:val="2"/>
          <w:sz w:val="22"/>
          <w:szCs w:val="22"/>
          <w:highlight w:val="none"/>
          <w:lang w:val="en-US" w:eastAsia="zh-CN"/>
        </w:rPr>
        <w:t>成交供应商</w:t>
      </w:r>
      <w:r>
        <w:rPr>
          <w:rFonts w:hint="eastAsia" w:ascii="宋体" w:eastAsia="宋体" w:cs="Times New Roman"/>
          <w:b w:val="0"/>
          <w:bCs w:val="0"/>
          <w:color w:val="auto"/>
          <w:kern w:val="2"/>
          <w:sz w:val="22"/>
          <w:szCs w:val="22"/>
          <w:highlight w:val="none"/>
        </w:rPr>
        <w:t>在龙港市应有完整的售后服务网点或委托其他符合条件的企业（提供委托协议），确保买方能得到满意的售后服务和相应的技术支持，即便在质保期满后也能够方便的购买到所需的备品备件和及时的技术服务。投标人在投标文件中应详细介绍服务网点情况</w:t>
      </w:r>
      <w:r>
        <w:rPr>
          <w:rFonts w:hint="eastAsia" w:ascii="宋体" w:eastAsia="宋体" w:cs="Times New Roman"/>
          <w:b w:val="0"/>
          <w:bCs w:val="0"/>
          <w:color w:val="auto"/>
          <w:kern w:val="2"/>
          <w:sz w:val="22"/>
          <w:szCs w:val="22"/>
          <w:highlight w:val="none"/>
          <w:lang w:eastAsia="zh-CN"/>
        </w:rPr>
        <w:t>（</w:t>
      </w:r>
      <w:r>
        <w:rPr>
          <w:rFonts w:hint="eastAsia" w:ascii="宋体" w:eastAsia="宋体" w:cs="Times New Roman"/>
          <w:b w:val="0"/>
          <w:bCs w:val="0"/>
          <w:color w:val="auto"/>
          <w:kern w:val="2"/>
          <w:sz w:val="22"/>
          <w:szCs w:val="22"/>
          <w:highlight w:val="none"/>
        </w:rPr>
        <w:t>包括地址、联系方式、人员配置（含负责人）、故障修复时间、方式及保障措施</w:t>
      </w:r>
      <w:r>
        <w:rPr>
          <w:rFonts w:hint="eastAsia" w:ascii="宋体" w:eastAsia="宋体" w:cs="Times New Roman"/>
          <w:b w:val="0"/>
          <w:bCs w:val="0"/>
          <w:color w:val="auto"/>
          <w:kern w:val="2"/>
          <w:sz w:val="22"/>
          <w:szCs w:val="22"/>
          <w:highlight w:val="none"/>
          <w:lang w:eastAsia="zh-CN"/>
        </w:rPr>
        <w:t>）</w:t>
      </w:r>
      <w:r>
        <w:rPr>
          <w:rFonts w:hint="eastAsia" w:ascii="宋体" w:eastAsia="宋体" w:cs="Times New Roman"/>
          <w:b w:val="0"/>
          <w:bCs w:val="0"/>
          <w:color w:val="auto"/>
          <w:kern w:val="2"/>
          <w:sz w:val="22"/>
          <w:szCs w:val="22"/>
          <w:highlight w:val="none"/>
        </w:rPr>
        <w:t>。</w:t>
      </w:r>
    </w:p>
    <w:p w14:paraId="024AB40A">
      <w:pPr>
        <w:snapToGrid w:val="0"/>
        <w:spacing w:line="460" w:lineRule="exact"/>
        <w:ind w:firstLine="220" w:firstLineChars="100"/>
        <w:rPr>
          <w:rFonts w:hint="eastAsia" w:ascii="宋体" w:hAnsi="宋体" w:cs="宋体"/>
          <w:color w:val="auto"/>
          <w:sz w:val="22"/>
          <w:szCs w:val="22"/>
          <w:highlight w:val="none"/>
        </w:rPr>
      </w:pPr>
      <w:r>
        <w:rPr>
          <w:rFonts w:hint="eastAsia" w:ascii="宋体" w:eastAsia="宋体" w:cs="Times New Roman"/>
          <w:b w:val="0"/>
          <w:bCs w:val="0"/>
          <w:color w:val="auto"/>
          <w:kern w:val="2"/>
          <w:sz w:val="22"/>
          <w:szCs w:val="22"/>
          <w:highlight w:val="none"/>
          <w:lang w:eastAsia="zh-CN"/>
        </w:rPr>
        <w:t>（</w:t>
      </w:r>
      <w:r>
        <w:rPr>
          <w:rFonts w:hint="eastAsia" w:ascii="宋体" w:eastAsia="宋体" w:cs="Times New Roman"/>
          <w:b w:val="0"/>
          <w:bCs w:val="0"/>
          <w:color w:val="auto"/>
          <w:kern w:val="2"/>
          <w:sz w:val="22"/>
          <w:szCs w:val="22"/>
          <w:highlight w:val="none"/>
          <w:lang w:val="en-US" w:eastAsia="zh-CN"/>
        </w:rPr>
        <w:t>2）</w:t>
      </w:r>
      <w:r>
        <w:rPr>
          <w:rFonts w:hint="eastAsia" w:ascii="宋体" w:eastAsia="宋体" w:cs="Times New Roman"/>
          <w:b w:val="0"/>
          <w:bCs w:val="0"/>
          <w:color w:val="auto"/>
          <w:kern w:val="2"/>
          <w:sz w:val="22"/>
          <w:szCs w:val="22"/>
          <w:highlight w:val="none"/>
        </w:rPr>
        <w:t>设备安装、调试结束后，卖方应立即派有经验的工程师对买方人员进行操作和日常管理与维护的培训，并确保买方参与培训的人员能独立、熟练地进行操作和日常维护保养。</w:t>
      </w:r>
    </w:p>
    <w:p w14:paraId="27D24316">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培训内容包括产品的功能、操作、日常维护、一般故障处理等内容。培训涉及的所有费用由中标供应商承担。具体培训方案请在投标文件中明确说明。</w:t>
      </w:r>
    </w:p>
    <w:p w14:paraId="68FA814D">
      <w:pPr>
        <w:snapToGrid w:val="0"/>
        <w:spacing w:line="46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、安装调试：</w:t>
      </w:r>
    </w:p>
    <w:p w14:paraId="2824C0A0">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（1）安装地点：采购人指定地点安装、调试及合理摆放位置，直至验收合格。</w:t>
      </w:r>
    </w:p>
    <w:p w14:paraId="263C5AF3">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（2）质量标准：合格（符合采购文件要求、投标承诺以及国家、行业有关技术规范和标准）</w:t>
      </w:r>
    </w:p>
    <w:p w14:paraId="443A4772">
      <w:pPr>
        <w:snapToGrid w:val="0"/>
        <w:spacing w:line="460" w:lineRule="exact"/>
        <w:ind w:firstLine="220" w:firstLineChars="100"/>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u w:val="single"/>
          <w:lang w:val="en-US" w:eastAsia="zh-CN"/>
        </w:rPr>
        <w:t>供应商须派技术人员提供送货及安装服务。送货、安装全过程中发生的所有费用由中标供应商负责。（包括运输、</w:t>
      </w:r>
      <w:r>
        <w:rPr>
          <w:rFonts w:hint="eastAsia" w:ascii="宋体" w:eastAsia="宋体" w:cs="Times New Roman"/>
          <w:b w:val="0"/>
          <w:bCs w:val="0"/>
          <w:color w:val="auto"/>
          <w:kern w:val="2"/>
          <w:sz w:val="22"/>
          <w:szCs w:val="22"/>
          <w:highlight w:val="none"/>
          <w:u w:val="single"/>
        </w:rPr>
        <w:t>人员、工具、材料、仪器及一切</w:t>
      </w:r>
      <w:r>
        <w:rPr>
          <w:rFonts w:hint="eastAsia" w:ascii="宋体" w:hAnsi="宋体" w:eastAsia="宋体" w:cs="宋体"/>
          <w:color w:val="auto"/>
          <w:sz w:val="22"/>
          <w:szCs w:val="22"/>
          <w:highlight w:val="none"/>
          <w:u w:val="single"/>
          <w:lang w:val="en-US" w:eastAsia="zh-CN"/>
        </w:rPr>
        <w:t>费用均由中标供应商免费提供，不再额外增加，请各供应商综合考虑进行报价。</w:t>
      </w:r>
      <w:r>
        <w:rPr>
          <w:rFonts w:hint="eastAsia" w:ascii="宋体" w:hAnsi="宋体" w:eastAsia="宋体" w:cs="宋体"/>
          <w:color w:val="auto"/>
          <w:sz w:val="22"/>
          <w:szCs w:val="22"/>
          <w:highlight w:val="none"/>
          <w:u w:val="none"/>
          <w:lang w:val="en-US" w:eastAsia="zh-CN"/>
        </w:rPr>
        <w:t>）</w:t>
      </w:r>
    </w:p>
    <w:p w14:paraId="6ED00DBB">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（4）供应商应在报价文件中提出其安装调试过程中使用单位需配合的内容。</w:t>
      </w:r>
    </w:p>
    <w:p w14:paraId="21D5B32B">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（5）供应商安装完毕后要恢复安装现场并保持安装现场清洁。</w:t>
      </w:r>
    </w:p>
    <w:p w14:paraId="78DBF895">
      <w:pPr>
        <w:spacing w:line="360" w:lineRule="auto"/>
        <w:jc w:val="both"/>
        <w:rPr>
          <w:rFonts w:hint="eastAsia" w:hAnsi="宋体" w:cs="宋体"/>
          <w:color w:val="auto"/>
          <w:sz w:val="22"/>
          <w:szCs w:val="22"/>
          <w:highlight w:val="none"/>
        </w:rPr>
      </w:pPr>
      <w:r>
        <w:rPr>
          <w:rFonts w:hint="eastAsia" w:hAnsi="宋体" w:cs="宋体"/>
          <w:color w:val="auto"/>
          <w:sz w:val="22"/>
          <w:szCs w:val="22"/>
          <w:highlight w:val="none"/>
          <w:lang w:val="en-US" w:eastAsia="zh-CN"/>
        </w:rPr>
        <w:t>7</w:t>
      </w:r>
      <w:r>
        <w:rPr>
          <w:rFonts w:hint="eastAsia" w:hAnsi="宋体" w:cs="宋体"/>
          <w:color w:val="auto"/>
          <w:sz w:val="22"/>
          <w:szCs w:val="22"/>
          <w:highlight w:val="none"/>
        </w:rPr>
        <w:t>、验收：</w:t>
      </w:r>
    </w:p>
    <w:p w14:paraId="38C527F5">
      <w:pPr>
        <w:spacing w:line="360" w:lineRule="auto"/>
        <w:ind w:firstLine="440" w:firstLineChars="200"/>
        <w:jc w:val="both"/>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成交供应商送货至学校后，由使用学校根据货物的要求和标准，对货物进行接收、监督安装，安装完毕后</w:t>
      </w:r>
      <w:r>
        <w:rPr>
          <w:rFonts w:hint="eastAsia" w:ascii="宋体" w:hAnsi="宋体" w:cs="宋体"/>
          <w:color w:val="auto"/>
          <w:sz w:val="22"/>
          <w:szCs w:val="22"/>
          <w:highlight w:val="none"/>
          <w:lang w:eastAsia="zh-CN"/>
        </w:rPr>
        <w:t>龙港市宏程小学</w:t>
      </w:r>
      <w:r>
        <w:rPr>
          <w:rFonts w:hint="eastAsia" w:ascii="宋体" w:hAnsi="宋体" w:cs="宋体"/>
          <w:color w:val="auto"/>
          <w:sz w:val="22"/>
          <w:szCs w:val="22"/>
          <w:highlight w:val="none"/>
          <w:lang w:val="en-US" w:eastAsia="zh-CN"/>
        </w:rPr>
        <w:t>进行检查验收。货物的数量不足或表面瑕疵，使用学校应在验收时当面提出；对质量问题有异议的应在就位调试后10个工作日内提出。</w:t>
      </w:r>
    </w:p>
    <w:p w14:paraId="203DE598">
      <w:pPr>
        <w:snapToGrid w:val="0"/>
        <w:spacing w:line="460" w:lineRule="exact"/>
        <w:ind w:firstLine="220" w:firstLineChars="1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在验收过程中发现数量不足或有质量、技术等问题，成交供应商应负责按照学校的要求采取补足，更换或退货等处理措施，并承担由此发生的一切费用和损失。</w:t>
      </w:r>
    </w:p>
    <w:p w14:paraId="3106200A">
      <w:pPr>
        <w:spacing w:line="360" w:lineRule="auto"/>
        <w:ind w:firstLine="440"/>
        <w:jc w:val="both"/>
        <w:rPr>
          <w:rFonts w:hint="eastAsia" w:hAnsi="宋体" w:cs="宋体"/>
          <w:color w:val="auto"/>
          <w:sz w:val="22"/>
          <w:szCs w:val="22"/>
          <w:highlight w:val="none"/>
        </w:rPr>
      </w:pPr>
    </w:p>
    <w:p w14:paraId="2E108CBE">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四、工作范围：</w:t>
      </w:r>
    </w:p>
    <w:p w14:paraId="14E374E5">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根据招标文件，各供应商须按国家有关标准及规范完成下列工作（包括但不限于）：</w:t>
      </w:r>
    </w:p>
    <w:p w14:paraId="383CB627">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1.提供完整成套的系统需配备的全部软硬件；</w:t>
      </w:r>
    </w:p>
    <w:p w14:paraId="25EFA3BE">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2.货物及相关附件的提供、运输、装卸、就位、安装、调试、检验检测、通过验收； </w:t>
      </w:r>
    </w:p>
    <w:p w14:paraId="1B19D3D9">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3.完成各项安装、调试、检验、测试工作，并在采购人的配合下进行验收；提供各种数据资料；直至通过验收；包括所涉及的软硬件系统调整、配置和调试、维护；</w:t>
      </w:r>
    </w:p>
    <w:p w14:paraId="7349D778">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4.对业主的操作人员及维修人员进行技术培训；</w:t>
      </w:r>
    </w:p>
    <w:p w14:paraId="18A3C27C">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5.质保期内系统的维保及维修及质保期后终身维修；</w:t>
      </w:r>
    </w:p>
    <w:p w14:paraId="2A38F504">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6．由中标供应商免费送货到指定地点；</w:t>
      </w:r>
    </w:p>
    <w:p w14:paraId="72872749">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r>
        <w:rPr>
          <w:rFonts w:hint="eastAsia" w:ascii="宋体" w:hAnsi="宋体" w:cs="宋体"/>
          <w:color w:val="auto"/>
          <w:sz w:val="22"/>
          <w:szCs w:val="22"/>
          <w:highlight w:val="none"/>
          <w:lang w:val="en-US" w:eastAsia="zh-CN"/>
        </w:rPr>
        <w:t>设备</w:t>
      </w:r>
      <w:r>
        <w:rPr>
          <w:rFonts w:hint="eastAsia" w:ascii="宋体" w:hAnsi="宋体" w:eastAsia="宋体" w:cs="宋体"/>
          <w:color w:val="auto"/>
          <w:sz w:val="22"/>
          <w:szCs w:val="22"/>
          <w:highlight w:val="none"/>
          <w:lang w:val="en-US" w:eastAsia="zh-CN"/>
        </w:rPr>
        <w:t>施工进场所产生增加的费用（包括新增工程量），各投标供应商在投标报价时须自行考虑，该费用计入投标总价，今后不予增加。</w:t>
      </w:r>
    </w:p>
    <w:p w14:paraId="42CCF717">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8.售后服务的措施及承诺。</w:t>
      </w:r>
    </w:p>
    <w:p w14:paraId="41D81C89">
      <w:pPr>
        <w:snapToGrid w:val="0"/>
        <w:spacing w:line="460" w:lineRule="exact"/>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以上工作内容的费用均包含在投标总价中。</w:t>
      </w:r>
    </w:p>
    <w:p w14:paraId="6BA552CA">
      <w:pPr>
        <w:spacing w:line="360" w:lineRule="auto"/>
        <w:jc w:val="both"/>
        <w:rPr>
          <w:rFonts w:hint="eastAsia" w:ascii="Times New Roman" w:hAnsi="宋体" w:eastAsia="宋体" w:cs="宋体"/>
          <w:color w:val="auto"/>
          <w:sz w:val="22"/>
          <w:szCs w:val="22"/>
          <w:highlight w:val="none"/>
          <w:lang w:val="en-US" w:eastAsia="zh-CN"/>
        </w:rPr>
      </w:pPr>
    </w:p>
    <w:p w14:paraId="49E1EF6F">
      <w:pPr>
        <w:spacing w:line="360" w:lineRule="auto"/>
        <w:jc w:val="both"/>
        <w:rPr>
          <w:rFonts w:hint="eastAsia" w:ascii="Times New Roman" w:hAnsi="宋体" w:eastAsia="宋体" w:cs="宋体"/>
          <w:color w:val="auto"/>
          <w:sz w:val="22"/>
          <w:szCs w:val="22"/>
          <w:highlight w:val="none"/>
        </w:rPr>
      </w:pPr>
    </w:p>
    <w:p w14:paraId="410F524E">
      <w:pPr>
        <w:spacing w:line="360" w:lineRule="auto"/>
        <w:jc w:val="both"/>
        <w:rPr>
          <w:rFonts w:hint="eastAsia" w:ascii="Times New Roman" w:hAnsi="宋体" w:eastAsia="宋体" w:cs="宋体"/>
          <w:color w:val="auto"/>
          <w:sz w:val="22"/>
          <w:szCs w:val="22"/>
          <w:highlight w:val="none"/>
        </w:rPr>
      </w:pPr>
    </w:p>
    <w:p w14:paraId="0AE60281">
      <w:pPr>
        <w:spacing w:line="360" w:lineRule="auto"/>
        <w:jc w:val="both"/>
        <w:rPr>
          <w:rFonts w:hint="eastAsia" w:ascii="Times New Roman" w:hAnsi="宋体" w:eastAsia="宋体" w:cs="宋体"/>
          <w:color w:val="auto"/>
          <w:sz w:val="22"/>
          <w:szCs w:val="22"/>
          <w:highlight w:val="none"/>
        </w:rPr>
      </w:pPr>
    </w:p>
    <w:p w14:paraId="14527F6C">
      <w:pPr>
        <w:pStyle w:val="39"/>
        <w:adjustRightInd w:val="0"/>
        <w:snapToGrid w:val="0"/>
        <w:spacing w:line="460" w:lineRule="atLeast"/>
        <w:ind w:firstLine="2160" w:firstLineChars="600"/>
        <w:jc w:val="both"/>
        <w:rPr>
          <w:rFonts w:hint="eastAsia" w:ascii="宋体" w:hAnsi="宋体" w:eastAsia="宋体"/>
          <w:color w:val="auto"/>
          <w:sz w:val="36"/>
          <w:highlight w:val="none"/>
        </w:rPr>
      </w:pPr>
    </w:p>
    <w:p w14:paraId="39640B96">
      <w:pPr>
        <w:pStyle w:val="39"/>
        <w:adjustRightInd w:val="0"/>
        <w:snapToGrid w:val="0"/>
        <w:spacing w:line="460" w:lineRule="atLeast"/>
        <w:ind w:firstLine="2160" w:firstLineChars="600"/>
        <w:jc w:val="both"/>
        <w:rPr>
          <w:rFonts w:hint="eastAsia" w:ascii="宋体" w:hAnsi="宋体" w:eastAsia="宋体"/>
          <w:color w:val="auto"/>
          <w:sz w:val="36"/>
          <w:highlight w:val="none"/>
        </w:rPr>
      </w:pPr>
    </w:p>
    <w:p w14:paraId="7AAD297D">
      <w:pPr>
        <w:pStyle w:val="39"/>
        <w:adjustRightInd w:val="0"/>
        <w:snapToGrid w:val="0"/>
        <w:spacing w:line="460" w:lineRule="atLeast"/>
        <w:ind w:firstLine="2160" w:firstLineChars="600"/>
        <w:jc w:val="both"/>
        <w:rPr>
          <w:rFonts w:hint="eastAsia" w:ascii="宋体" w:hAnsi="宋体" w:eastAsia="宋体"/>
          <w:color w:val="auto"/>
          <w:sz w:val="36"/>
          <w:highlight w:val="none"/>
        </w:rPr>
      </w:pPr>
    </w:p>
    <w:p w14:paraId="5D3D7F01">
      <w:pPr>
        <w:pStyle w:val="39"/>
        <w:adjustRightInd w:val="0"/>
        <w:snapToGrid w:val="0"/>
        <w:spacing w:line="460" w:lineRule="atLeast"/>
        <w:ind w:firstLine="2160" w:firstLineChars="600"/>
        <w:jc w:val="both"/>
        <w:rPr>
          <w:rFonts w:hint="eastAsia" w:ascii="宋体" w:hAnsi="宋体" w:eastAsia="宋体"/>
          <w:color w:val="auto"/>
          <w:sz w:val="36"/>
          <w:highlight w:val="none"/>
        </w:rPr>
      </w:pPr>
    </w:p>
    <w:p w14:paraId="30BF517B">
      <w:pPr>
        <w:rPr>
          <w:rFonts w:hint="eastAsia" w:ascii="宋体" w:hAnsi="宋体" w:eastAsia="宋体"/>
          <w:color w:val="auto"/>
          <w:sz w:val="36"/>
          <w:highlight w:val="none"/>
        </w:rPr>
      </w:pPr>
      <w:r>
        <w:rPr>
          <w:rFonts w:hint="eastAsia" w:ascii="宋体" w:hAnsi="宋体" w:eastAsia="宋体"/>
          <w:color w:val="auto"/>
          <w:sz w:val="36"/>
          <w:highlight w:val="none"/>
        </w:rPr>
        <w:br w:type="page"/>
      </w:r>
    </w:p>
    <w:p w14:paraId="63A31538">
      <w:pPr>
        <w:pStyle w:val="39"/>
        <w:adjustRightInd w:val="0"/>
        <w:snapToGrid w:val="0"/>
        <w:spacing w:line="460" w:lineRule="atLeast"/>
        <w:ind w:firstLine="2160" w:firstLineChars="600"/>
        <w:jc w:val="both"/>
        <w:rPr>
          <w:rFonts w:ascii="宋体" w:hAnsi="宋体" w:eastAsia="宋体"/>
          <w:color w:val="auto"/>
          <w:sz w:val="36"/>
          <w:highlight w:val="none"/>
        </w:rPr>
      </w:pPr>
      <w:r>
        <w:rPr>
          <w:rFonts w:hint="eastAsia" w:ascii="宋体" w:hAnsi="宋体" w:eastAsia="宋体"/>
          <w:color w:val="auto"/>
          <w:sz w:val="36"/>
          <w:highlight w:val="none"/>
        </w:rPr>
        <w:t>第三部分   供应商须知</w:t>
      </w:r>
    </w:p>
    <w:p w14:paraId="3F7DF0BB">
      <w:pPr>
        <w:autoSpaceDE w:val="0"/>
        <w:autoSpaceDN w:val="0"/>
        <w:adjustRightInd w:val="0"/>
        <w:spacing w:line="460" w:lineRule="exact"/>
        <w:ind w:firstLine="440" w:firstLineChars="200"/>
        <w:contextualSpacing/>
        <w:textAlignment w:val="bottom"/>
        <w:rPr>
          <w:rFonts w:ascii="宋体" w:hAnsi="宋体"/>
          <w:color w:val="auto"/>
          <w:sz w:val="22"/>
          <w:szCs w:val="22"/>
          <w:highlight w:val="none"/>
        </w:rPr>
      </w:pPr>
      <w:r>
        <w:rPr>
          <w:rFonts w:hint="eastAsia" w:ascii="宋体" w:hAnsi="宋体"/>
          <w:color w:val="auto"/>
          <w:sz w:val="22"/>
          <w:szCs w:val="22"/>
          <w:highlight w:val="none"/>
        </w:rPr>
        <w:t>一、说明</w:t>
      </w:r>
    </w:p>
    <w:p w14:paraId="30D6450A">
      <w:pPr>
        <w:autoSpaceDE w:val="0"/>
        <w:autoSpaceDN w:val="0"/>
        <w:adjustRightInd w:val="0"/>
        <w:spacing w:line="460" w:lineRule="exact"/>
        <w:ind w:firstLine="440" w:firstLineChars="200"/>
        <w:contextualSpacing/>
        <w:textAlignment w:val="bottom"/>
        <w:rPr>
          <w:rFonts w:ascii="宋体" w:hAnsi="宋体"/>
          <w:color w:val="auto"/>
          <w:sz w:val="22"/>
          <w:szCs w:val="22"/>
          <w:highlight w:val="none"/>
        </w:rPr>
      </w:pPr>
      <w:r>
        <w:rPr>
          <w:rFonts w:hint="eastAsia" w:ascii="宋体" w:hAnsi="宋体"/>
          <w:color w:val="auto"/>
          <w:sz w:val="22"/>
          <w:szCs w:val="22"/>
          <w:highlight w:val="none"/>
        </w:rPr>
        <w:t>1、本次采购工作是按照《中华人民共和国政府采购法》及相关法律规章组织和实施。</w:t>
      </w:r>
    </w:p>
    <w:p w14:paraId="11DFF9B1">
      <w:pPr>
        <w:autoSpaceDE w:val="0"/>
        <w:autoSpaceDN w:val="0"/>
        <w:adjustRightInd w:val="0"/>
        <w:spacing w:line="460" w:lineRule="exact"/>
        <w:ind w:firstLine="440" w:firstLineChars="200"/>
        <w:contextualSpacing/>
        <w:textAlignment w:val="bottom"/>
        <w:rPr>
          <w:rFonts w:ascii="宋体" w:hAnsi="宋体"/>
          <w:b/>
          <w:color w:val="auto"/>
          <w:sz w:val="22"/>
          <w:szCs w:val="22"/>
          <w:highlight w:val="none"/>
        </w:rPr>
      </w:pPr>
      <w:r>
        <w:rPr>
          <w:rFonts w:hint="eastAsia" w:ascii="宋体" w:hAnsi="宋体"/>
          <w:color w:val="auto"/>
          <w:sz w:val="22"/>
          <w:szCs w:val="22"/>
          <w:highlight w:val="none"/>
        </w:rPr>
        <w:t>2、</w:t>
      </w:r>
      <w:r>
        <w:rPr>
          <w:rFonts w:hint="eastAsia" w:ascii="宋体" w:hAnsi="宋体"/>
          <w:b/>
          <w:color w:val="auto"/>
          <w:sz w:val="22"/>
          <w:szCs w:val="22"/>
          <w:highlight w:val="none"/>
        </w:rPr>
        <w:t>供应商必须对本项目全部内容进行报价，只对部分内容进行报价的供应商将按无效响应处理。</w:t>
      </w:r>
    </w:p>
    <w:p w14:paraId="5010D717">
      <w:pPr>
        <w:autoSpaceDE w:val="0"/>
        <w:autoSpaceDN w:val="0"/>
        <w:adjustRightInd w:val="0"/>
        <w:spacing w:line="460" w:lineRule="exact"/>
        <w:ind w:firstLine="440" w:firstLineChars="200"/>
        <w:contextualSpacing/>
        <w:textAlignment w:val="bottom"/>
        <w:rPr>
          <w:rFonts w:ascii="宋体" w:hAnsi="宋体"/>
          <w:color w:val="auto"/>
          <w:sz w:val="22"/>
          <w:szCs w:val="22"/>
          <w:highlight w:val="none"/>
        </w:rPr>
      </w:pPr>
      <w:r>
        <w:rPr>
          <w:rFonts w:hint="eastAsia" w:ascii="宋体" w:hAnsi="宋体"/>
          <w:color w:val="auto"/>
          <w:sz w:val="22"/>
          <w:szCs w:val="22"/>
          <w:highlight w:val="none"/>
        </w:rPr>
        <w:t>3、无论采购过程中的作法和结果如何，供应商自行承担采购活动中所发生的全部费用。</w:t>
      </w:r>
    </w:p>
    <w:p w14:paraId="09FC0D5C">
      <w:pPr>
        <w:autoSpaceDE w:val="0"/>
        <w:autoSpaceDN w:val="0"/>
        <w:adjustRightInd w:val="0"/>
        <w:spacing w:line="460" w:lineRule="exact"/>
        <w:ind w:firstLine="440" w:firstLineChars="200"/>
        <w:contextualSpacing/>
        <w:textAlignment w:val="bottom"/>
        <w:rPr>
          <w:rFonts w:ascii="宋体" w:hAnsi="宋体"/>
          <w:color w:val="auto"/>
          <w:sz w:val="22"/>
          <w:szCs w:val="22"/>
          <w:highlight w:val="none"/>
        </w:rPr>
      </w:pPr>
      <w:r>
        <w:rPr>
          <w:rFonts w:hint="eastAsia" w:ascii="宋体" w:hAnsi="宋体"/>
          <w:color w:val="auto"/>
          <w:sz w:val="22"/>
          <w:szCs w:val="22"/>
          <w:highlight w:val="none"/>
        </w:rPr>
        <w:t>4、</w:t>
      </w:r>
      <w:r>
        <w:rPr>
          <w:rFonts w:hint="eastAsia" w:ascii="宋体" w:hAnsi="宋体"/>
          <w:b/>
          <w:color w:val="auto"/>
          <w:sz w:val="22"/>
          <w:szCs w:val="22"/>
          <w:highlight w:val="none"/>
        </w:rPr>
        <w:t>本次采购预</w:t>
      </w:r>
      <w:r>
        <w:rPr>
          <w:rFonts w:hint="eastAsia" w:ascii="宋体" w:hAnsi="宋体" w:eastAsia="宋体" w:cs="Times New Roman"/>
          <w:b/>
          <w:color w:val="auto"/>
          <w:sz w:val="22"/>
          <w:szCs w:val="22"/>
          <w:highlight w:val="none"/>
        </w:rPr>
        <w:t>算为</w:t>
      </w:r>
      <w:r>
        <w:rPr>
          <w:rFonts w:hint="eastAsia" w:ascii="宋体" w:hAnsi="宋体" w:cs="Times New Roman"/>
          <w:b/>
          <w:color w:val="auto"/>
          <w:sz w:val="22"/>
          <w:szCs w:val="22"/>
          <w:highlight w:val="none"/>
          <w:lang w:val="en-US" w:eastAsia="zh-CN"/>
        </w:rPr>
        <w:t>200000</w:t>
      </w:r>
      <w:r>
        <w:rPr>
          <w:rFonts w:hint="eastAsia" w:ascii="宋体" w:hAnsi="宋体"/>
          <w:b/>
          <w:color w:val="auto"/>
          <w:sz w:val="22"/>
          <w:szCs w:val="22"/>
          <w:highlight w:val="none"/>
        </w:rPr>
        <w:t>元</w:t>
      </w:r>
      <w:r>
        <w:rPr>
          <w:rFonts w:hint="eastAsia" w:ascii="宋体" w:hAnsi="宋体" w:cs="宋体"/>
          <w:b/>
          <w:bCs/>
          <w:color w:val="auto"/>
          <w:kern w:val="0"/>
          <w:sz w:val="22"/>
          <w:szCs w:val="22"/>
          <w:highlight w:val="none"/>
          <w:lang w:val="en-US" w:eastAsia="zh-CN"/>
        </w:rPr>
        <w:t>（含税价，税率13%）</w:t>
      </w:r>
      <w:r>
        <w:rPr>
          <w:rFonts w:hint="eastAsia" w:ascii="宋体" w:hAnsi="宋体"/>
          <w:b/>
          <w:color w:val="auto"/>
          <w:sz w:val="22"/>
          <w:szCs w:val="22"/>
          <w:highlight w:val="none"/>
        </w:rPr>
        <w:t>。如果某个（些）供应商最后报价超出采购预算的，则该供应商的报价按无效报价处理。</w:t>
      </w:r>
    </w:p>
    <w:p w14:paraId="61CA492C">
      <w:pPr>
        <w:autoSpaceDE w:val="0"/>
        <w:autoSpaceDN w:val="0"/>
        <w:adjustRightInd w:val="0"/>
        <w:snapToGrid w:val="0"/>
        <w:spacing w:line="460" w:lineRule="atLeast"/>
        <w:ind w:firstLine="420" w:firstLineChars="191"/>
        <w:textAlignment w:val="bottom"/>
        <w:rPr>
          <w:rFonts w:ascii="宋体"/>
          <w:color w:val="auto"/>
          <w:sz w:val="22"/>
          <w:szCs w:val="22"/>
          <w:highlight w:val="none"/>
        </w:rPr>
      </w:pPr>
      <w:r>
        <w:rPr>
          <w:rFonts w:hint="eastAsia" w:ascii="宋体" w:hAnsi="宋体"/>
          <w:color w:val="auto"/>
          <w:sz w:val="22"/>
          <w:szCs w:val="22"/>
          <w:highlight w:val="none"/>
        </w:rPr>
        <w:t>5、</w:t>
      </w:r>
      <w:r>
        <w:rPr>
          <w:rFonts w:hint="eastAsia" w:ascii="宋体"/>
          <w:color w:val="auto"/>
          <w:sz w:val="22"/>
          <w:szCs w:val="22"/>
          <w:highlight w:val="none"/>
        </w:rPr>
        <w:t>供应商须自行进行现场勘察，确认采购人的实际需求，了解</w:t>
      </w:r>
      <w:r>
        <w:rPr>
          <w:rFonts w:hint="eastAsia" w:ascii="宋体"/>
          <w:color w:val="auto"/>
          <w:sz w:val="22"/>
          <w:szCs w:val="22"/>
          <w:highlight w:val="none"/>
          <w:lang w:eastAsia="zh-CN"/>
        </w:rPr>
        <w:t>测量</w:t>
      </w:r>
      <w:r>
        <w:rPr>
          <w:rFonts w:hint="eastAsia" w:ascii="宋体"/>
          <w:color w:val="auto"/>
          <w:sz w:val="22"/>
          <w:szCs w:val="22"/>
          <w:highlight w:val="none"/>
        </w:rPr>
        <w:t>点的具体情况取得准确的报价依据，自行承担报价风险。供应商成交后不得以各种理由提出增价要求，否则采购人有权取消其成交资格，并追究违约责任。</w:t>
      </w:r>
    </w:p>
    <w:p w14:paraId="78D9A2D9">
      <w:pPr>
        <w:adjustRightInd w:val="0"/>
        <w:spacing w:line="440" w:lineRule="atLeast"/>
        <w:ind w:firstLine="431" w:firstLineChars="196"/>
        <w:rPr>
          <w:rFonts w:ascii="宋体"/>
          <w:color w:val="auto"/>
          <w:sz w:val="22"/>
          <w:szCs w:val="22"/>
          <w:highlight w:val="none"/>
        </w:rPr>
      </w:pPr>
      <w:r>
        <w:rPr>
          <w:rFonts w:hint="eastAsia" w:ascii="宋体"/>
          <w:color w:val="auto"/>
          <w:sz w:val="22"/>
          <w:highlight w:val="none"/>
          <w:lang w:val="en-US" w:eastAsia="zh-CN"/>
        </w:rPr>
        <w:t>6</w:t>
      </w:r>
      <w:r>
        <w:rPr>
          <w:rFonts w:hint="eastAsia" w:ascii="宋体"/>
          <w:color w:val="auto"/>
          <w:sz w:val="22"/>
          <w:highlight w:val="none"/>
        </w:rPr>
        <w:t>、</w:t>
      </w:r>
      <w:r>
        <w:rPr>
          <w:rFonts w:hint="eastAsia" w:ascii="宋体"/>
          <w:color w:val="auto"/>
          <w:sz w:val="22"/>
          <w:szCs w:val="22"/>
          <w:highlight w:val="none"/>
        </w:rPr>
        <w:t>供应商针对本项目的要求，提供管理制度、工作流程，各岗位人员安排计划表及岗位职责，签订合同时须向采购人提供细化的工作流程。如需调换项目成员组成表中的相关人员，须经采购人同意方能调换；实际工作过程中，采购人认为有工作人员不能胜任的，成交供应商须无条件调换人员。</w:t>
      </w:r>
    </w:p>
    <w:p w14:paraId="485D0824">
      <w:pPr>
        <w:autoSpaceDE w:val="0"/>
        <w:autoSpaceDN w:val="0"/>
        <w:adjustRightInd w:val="0"/>
        <w:snapToGrid w:val="0"/>
        <w:spacing w:line="460" w:lineRule="exact"/>
        <w:ind w:firstLine="420" w:firstLineChars="191"/>
        <w:textAlignment w:val="bottom"/>
        <w:rPr>
          <w:rFonts w:ascii="宋体"/>
          <w:color w:val="auto"/>
          <w:sz w:val="22"/>
          <w:szCs w:val="22"/>
          <w:highlight w:val="none"/>
        </w:rPr>
      </w:pPr>
      <w:r>
        <w:rPr>
          <w:rFonts w:hint="eastAsia" w:ascii="宋体"/>
          <w:color w:val="auto"/>
          <w:sz w:val="22"/>
          <w:szCs w:val="22"/>
          <w:highlight w:val="none"/>
        </w:rPr>
        <w:t>8、在服务期内，成交供应商应按有关法律、法规的规定缴纳相关社保和保险等费用。如有引起纠纷投诉的，均由成交供应商自行承担相关后果，采购人概不负责。在服务期内，成交供应商</w:t>
      </w:r>
      <w:r>
        <w:rPr>
          <w:rFonts w:ascii="宋体"/>
          <w:color w:val="auto"/>
          <w:sz w:val="22"/>
          <w:szCs w:val="22"/>
          <w:highlight w:val="none"/>
        </w:rPr>
        <w:t>的工作人员出现意外事故导致人员伤亡的情况，均由</w:t>
      </w:r>
      <w:r>
        <w:rPr>
          <w:rFonts w:hint="eastAsia" w:ascii="宋体"/>
          <w:color w:val="auto"/>
          <w:sz w:val="22"/>
          <w:szCs w:val="22"/>
          <w:highlight w:val="none"/>
        </w:rPr>
        <w:t>成交供应商</w:t>
      </w:r>
      <w:r>
        <w:rPr>
          <w:rFonts w:ascii="宋体"/>
          <w:color w:val="auto"/>
          <w:sz w:val="22"/>
          <w:szCs w:val="22"/>
          <w:highlight w:val="none"/>
        </w:rPr>
        <w:t>自负责任</w:t>
      </w:r>
      <w:r>
        <w:rPr>
          <w:rFonts w:hint="eastAsia" w:ascii="宋体"/>
          <w:color w:val="auto"/>
          <w:sz w:val="22"/>
          <w:szCs w:val="22"/>
          <w:highlight w:val="none"/>
        </w:rPr>
        <w:t>，</w:t>
      </w:r>
      <w:r>
        <w:rPr>
          <w:rFonts w:ascii="宋体"/>
          <w:color w:val="auto"/>
          <w:sz w:val="22"/>
          <w:szCs w:val="22"/>
          <w:highlight w:val="none"/>
        </w:rPr>
        <w:t>各供应商须在报价中</w:t>
      </w:r>
      <w:r>
        <w:rPr>
          <w:rFonts w:hint="eastAsia" w:ascii="宋体"/>
          <w:color w:val="auto"/>
          <w:sz w:val="22"/>
          <w:szCs w:val="22"/>
          <w:highlight w:val="none"/>
        </w:rPr>
        <w:t>充分</w:t>
      </w:r>
      <w:r>
        <w:rPr>
          <w:rFonts w:ascii="宋体"/>
          <w:color w:val="auto"/>
          <w:sz w:val="22"/>
          <w:szCs w:val="22"/>
          <w:highlight w:val="none"/>
        </w:rPr>
        <w:t>考虑</w:t>
      </w:r>
      <w:r>
        <w:rPr>
          <w:rFonts w:hint="eastAsia" w:ascii="宋体"/>
          <w:color w:val="auto"/>
          <w:sz w:val="22"/>
          <w:szCs w:val="22"/>
          <w:highlight w:val="none"/>
        </w:rPr>
        <w:t>各种可能发生的</w:t>
      </w:r>
      <w:r>
        <w:rPr>
          <w:rFonts w:ascii="宋体"/>
          <w:color w:val="auto"/>
          <w:sz w:val="22"/>
          <w:szCs w:val="22"/>
          <w:highlight w:val="none"/>
        </w:rPr>
        <w:t>风险</w:t>
      </w:r>
      <w:r>
        <w:rPr>
          <w:rFonts w:hint="eastAsia" w:ascii="宋体"/>
          <w:color w:val="auto"/>
          <w:sz w:val="22"/>
          <w:szCs w:val="22"/>
          <w:highlight w:val="none"/>
        </w:rPr>
        <w:t>费用</w:t>
      </w:r>
      <w:r>
        <w:rPr>
          <w:rFonts w:ascii="宋体"/>
          <w:color w:val="auto"/>
          <w:sz w:val="22"/>
          <w:szCs w:val="22"/>
          <w:highlight w:val="none"/>
        </w:rPr>
        <w:t>。</w:t>
      </w:r>
    </w:p>
    <w:p w14:paraId="1BC3F66B">
      <w:pPr>
        <w:pStyle w:val="11"/>
        <w:spacing w:line="460" w:lineRule="exact"/>
        <w:ind w:firstLine="440"/>
        <w:rPr>
          <w:rFonts w:ascii="宋体"/>
          <w:color w:val="auto"/>
          <w:sz w:val="22"/>
          <w:szCs w:val="22"/>
          <w:highlight w:val="none"/>
        </w:rPr>
      </w:pPr>
      <w:r>
        <w:rPr>
          <w:rFonts w:hint="eastAsia" w:ascii="宋体"/>
          <w:color w:val="auto"/>
          <w:sz w:val="22"/>
          <w:szCs w:val="22"/>
          <w:highlight w:val="none"/>
        </w:rPr>
        <w:t>9、本次采购所涉及的人员食、宿、交通等均由供应商自行解决，相关费用包含在综合单价中。</w:t>
      </w:r>
    </w:p>
    <w:p w14:paraId="014790FF">
      <w:pPr>
        <w:autoSpaceDE w:val="0"/>
        <w:autoSpaceDN w:val="0"/>
        <w:adjustRightInd w:val="0"/>
        <w:snapToGrid w:val="0"/>
        <w:spacing w:line="460" w:lineRule="exact"/>
        <w:ind w:firstLine="420" w:firstLineChars="191"/>
        <w:textAlignment w:val="bottom"/>
        <w:rPr>
          <w:rFonts w:ascii="宋体"/>
          <w:color w:val="auto"/>
          <w:sz w:val="22"/>
          <w:szCs w:val="22"/>
          <w:highlight w:val="none"/>
        </w:rPr>
      </w:pPr>
      <w:r>
        <w:rPr>
          <w:rFonts w:hint="eastAsia" w:ascii="宋体"/>
          <w:color w:val="auto"/>
          <w:sz w:val="22"/>
          <w:szCs w:val="22"/>
          <w:highlight w:val="none"/>
        </w:rPr>
        <w:t>10、单位负责人为同一人或者存在直接控股、管理关系的不同供应商，不得参加同一合同项下的政府采购活动。</w:t>
      </w:r>
      <w:r>
        <w:rPr>
          <w:rFonts w:ascii="宋体"/>
          <w:color w:val="auto"/>
          <w:sz w:val="22"/>
          <w:szCs w:val="22"/>
          <w:highlight w:val="none"/>
        </w:rPr>
        <w:t>如在评标过程（或标后质疑投诉期内）中发现供应商间存在上述关系，存在上述关系的全部供应商均做无效投标（无效</w:t>
      </w:r>
      <w:r>
        <w:rPr>
          <w:rFonts w:hint="eastAsia" w:ascii="宋体"/>
          <w:color w:val="auto"/>
          <w:sz w:val="22"/>
          <w:szCs w:val="22"/>
          <w:highlight w:val="none"/>
        </w:rPr>
        <w:t>成交</w:t>
      </w:r>
      <w:r>
        <w:rPr>
          <w:rFonts w:ascii="宋体"/>
          <w:color w:val="auto"/>
          <w:sz w:val="22"/>
          <w:szCs w:val="22"/>
          <w:highlight w:val="none"/>
        </w:rPr>
        <w:t>）处理。</w:t>
      </w:r>
    </w:p>
    <w:p w14:paraId="17F3C000">
      <w:pPr>
        <w:pStyle w:val="11"/>
        <w:spacing w:line="460" w:lineRule="exact"/>
        <w:ind w:firstLine="440"/>
        <w:rPr>
          <w:rFonts w:hint="eastAsia" w:ascii="宋体"/>
          <w:color w:val="auto"/>
          <w:sz w:val="22"/>
          <w:szCs w:val="22"/>
          <w:highlight w:val="none"/>
        </w:rPr>
      </w:pPr>
      <w:r>
        <w:rPr>
          <w:rFonts w:hint="eastAsia" w:ascii="宋体"/>
          <w:color w:val="auto"/>
          <w:sz w:val="22"/>
          <w:szCs w:val="22"/>
          <w:highlight w:val="none"/>
        </w:rPr>
        <w:t>除单一来源采购项目外，为采购项目提供整体设计、规范编制或者项目管理、监理、检测等服务的供应商，不得再参加该采购项目的其他采购活动。</w:t>
      </w:r>
    </w:p>
    <w:p w14:paraId="09506A68">
      <w:pPr>
        <w:pStyle w:val="11"/>
        <w:spacing w:line="460" w:lineRule="exact"/>
        <w:ind w:firstLine="440"/>
        <w:rPr>
          <w:rFonts w:hint="eastAsia" w:ascii="宋体" w:hAnsi="Times New Roman" w:eastAsia="宋体" w:cs="Times New Roman"/>
          <w:color w:val="auto"/>
          <w:sz w:val="22"/>
          <w:szCs w:val="22"/>
          <w:highlight w:val="none"/>
        </w:rPr>
      </w:pPr>
      <w:bookmarkStart w:id="4" w:name="_Toc530761237"/>
      <w:r>
        <w:rPr>
          <w:rFonts w:hint="eastAsia" w:ascii="宋体" w:hAnsi="Times New Roman" w:eastAsia="宋体" w:cs="Times New Roman"/>
          <w:color w:val="auto"/>
          <w:sz w:val="22"/>
          <w:szCs w:val="22"/>
          <w:highlight w:val="none"/>
          <w:lang w:eastAsia="zh-CN"/>
        </w:rPr>
        <w:t>二</w:t>
      </w:r>
      <w:r>
        <w:rPr>
          <w:rFonts w:hint="eastAsia" w:ascii="宋体" w:hAnsi="Times New Roman" w:eastAsia="宋体" w:cs="Times New Roman"/>
          <w:color w:val="auto"/>
          <w:sz w:val="22"/>
          <w:szCs w:val="22"/>
          <w:highlight w:val="none"/>
        </w:rPr>
        <w:t>、 报价文件的编制</w:t>
      </w:r>
      <w:bookmarkEnd w:id="4"/>
    </w:p>
    <w:p w14:paraId="2AD340D4">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1、</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应认真阅读采购文件中所有事项格式、条款和技术规范等。</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没有按照采购文件要求提交全部资料，或者没有对采购文件各个方面做出实质性响应，导致报价被拒绝的风险由</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自行承担。</w:t>
      </w:r>
    </w:p>
    <w:p w14:paraId="75C75A8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应保证所提供文件资料的真实性，所有文件资料必须是针对本次报价的。如发现</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提供了虚假文件资料，其报价将被拒绝，并自行承担相应的法律责任。</w:t>
      </w:r>
    </w:p>
    <w:p w14:paraId="41895A0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w:t>
      </w:r>
      <w:r>
        <w:rPr>
          <w:rFonts w:hint="eastAsia" w:ascii="宋体" w:hAnsi="Times New Roman" w:eastAsia="宋体" w:cs="Times New Roman"/>
          <w:color w:val="auto"/>
          <w:sz w:val="22"/>
          <w:szCs w:val="22"/>
          <w:highlight w:val="none"/>
        </w:rPr>
        <w:t>报价文件的构成：</w:t>
      </w:r>
    </w:p>
    <w:p w14:paraId="1E060D31">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3.1</w:t>
      </w:r>
      <w:r>
        <w:rPr>
          <w:rFonts w:hint="eastAsia" w:ascii="宋体" w:hAnsi="Times New Roman" w:eastAsia="宋体" w:cs="Times New Roman"/>
          <w:color w:val="auto"/>
          <w:sz w:val="22"/>
          <w:szCs w:val="22"/>
          <w:highlight w:val="none"/>
        </w:rPr>
        <w:t>报价函                                        （附件一）</w:t>
      </w:r>
    </w:p>
    <w:p w14:paraId="73E598D0">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3.2</w:t>
      </w:r>
      <w:r>
        <w:rPr>
          <w:rFonts w:hint="eastAsia" w:ascii="宋体" w:hAnsi="Times New Roman" w:eastAsia="宋体" w:cs="Times New Roman"/>
          <w:color w:val="auto"/>
          <w:sz w:val="22"/>
          <w:szCs w:val="22"/>
          <w:highlight w:val="none"/>
        </w:rPr>
        <w:t>报价一览表                                    （附件二）</w:t>
      </w:r>
    </w:p>
    <w:p w14:paraId="43D9179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3.3</w:t>
      </w:r>
      <w:r>
        <w:rPr>
          <w:rFonts w:hint="eastAsia" w:ascii="宋体" w:hAnsi="Times New Roman" w:eastAsia="宋体" w:cs="Times New Roman"/>
          <w:color w:val="auto"/>
          <w:sz w:val="22"/>
          <w:szCs w:val="22"/>
          <w:highlight w:val="none"/>
        </w:rPr>
        <w:t>分项报价表                                    （附件三）</w:t>
      </w:r>
    </w:p>
    <w:p w14:paraId="7994413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3.4</w:t>
      </w:r>
      <w:r>
        <w:rPr>
          <w:rFonts w:hint="eastAsia" w:ascii="宋体" w:hAnsi="Times New Roman" w:eastAsia="宋体" w:cs="Times New Roman"/>
          <w:color w:val="auto"/>
          <w:sz w:val="22"/>
          <w:szCs w:val="22"/>
          <w:highlight w:val="none"/>
        </w:rPr>
        <w:t>资格证明文件：                                （附件四）</w:t>
      </w:r>
    </w:p>
    <w:p w14:paraId="7B5FFADA">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lang w:val="en-US" w:eastAsia="zh-CN"/>
        </w:rPr>
        <w:t>1</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法定代表人身份证明</w:t>
      </w:r>
    </w:p>
    <w:p w14:paraId="3F745DA2">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lang w:val="en-US" w:eastAsia="zh-CN"/>
        </w:rPr>
        <w:t>2</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法定代表人授权书</w:t>
      </w:r>
    </w:p>
    <w:p w14:paraId="13087BE2">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lang w:val="en-US" w:eastAsia="zh-CN"/>
        </w:rPr>
        <w:t>3</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企业法人有效营业执照副本（复印件加盖公章）</w:t>
      </w:r>
    </w:p>
    <w:p w14:paraId="2B482EB3">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cs="Times New Roman"/>
          <w:color w:val="auto"/>
          <w:sz w:val="22"/>
          <w:szCs w:val="22"/>
          <w:highlight w:val="none"/>
          <w:lang w:eastAsia="zh-CN"/>
        </w:rPr>
        <w:t>（</w:t>
      </w:r>
      <w:r>
        <w:rPr>
          <w:rFonts w:hint="eastAsia" w:ascii="宋体" w:cs="Times New Roman"/>
          <w:color w:val="auto"/>
          <w:sz w:val="22"/>
          <w:szCs w:val="22"/>
          <w:highlight w:val="none"/>
          <w:lang w:val="en-US" w:eastAsia="zh-CN"/>
        </w:rPr>
        <w:t>4</w:t>
      </w:r>
      <w:r>
        <w:rPr>
          <w:rFonts w:hint="eastAsia" w:ascii="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参加采购、招投标等活动前三年内（新成立不满三年的组织机构自成立之日起</w:t>
      </w:r>
    </w:p>
    <w:p w14:paraId="5D357EB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算）在经营活动中没有重大违法记录的声明函</w:t>
      </w:r>
    </w:p>
    <w:p w14:paraId="1EF8844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w:t>
      </w:r>
      <w:r>
        <w:rPr>
          <w:rFonts w:hint="eastAsia" w:ascii="宋体" w:cs="Times New Roman"/>
          <w:color w:val="auto"/>
          <w:sz w:val="22"/>
          <w:szCs w:val="22"/>
          <w:highlight w:val="none"/>
          <w:lang w:val="en-US" w:eastAsia="zh-CN"/>
        </w:rPr>
        <w:t>5</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具有良好的商业信誉和健全的财务会计制度的承诺函</w:t>
      </w:r>
    </w:p>
    <w:p w14:paraId="6C6D4EAD">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w:t>
      </w:r>
      <w:r>
        <w:rPr>
          <w:rFonts w:hint="eastAsia" w:ascii="宋体" w:cs="Times New Roman"/>
          <w:color w:val="auto"/>
          <w:sz w:val="22"/>
          <w:szCs w:val="22"/>
          <w:highlight w:val="none"/>
          <w:lang w:val="en-US" w:eastAsia="zh-CN"/>
        </w:rPr>
        <w:t>6</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具有履行合同所必需的设备和专业技术、售后保障等能力的承诺函</w:t>
      </w:r>
    </w:p>
    <w:p w14:paraId="6A543EF4">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w:t>
      </w:r>
      <w:r>
        <w:rPr>
          <w:rFonts w:hint="eastAsia" w:ascii="宋体" w:cs="Times New Roman"/>
          <w:color w:val="auto"/>
          <w:sz w:val="22"/>
          <w:szCs w:val="22"/>
          <w:highlight w:val="none"/>
          <w:lang w:val="en-US" w:eastAsia="zh-CN"/>
        </w:rPr>
        <w:t>7</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具有依法缴纳税收和社会保障资金的良好记录的承诺函</w:t>
      </w:r>
    </w:p>
    <w:p w14:paraId="2B88A53F">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w:t>
      </w:r>
      <w:r>
        <w:rPr>
          <w:rFonts w:hint="eastAsia" w:ascii="宋体" w:cs="Times New Roman"/>
          <w:color w:val="auto"/>
          <w:sz w:val="22"/>
          <w:szCs w:val="22"/>
          <w:highlight w:val="none"/>
          <w:lang w:val="en-US" w:eastAsia="zh-CN"/>
        </w:rPr>
        <w:t>8</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投标</w:t>
      </w:r>
      <w:r>
        <w:rPr>
          <w:rFonts w:hint="eastAsia" w:ascii="宋体" w:hAnsi="Times New Roman" w:eastAsia="宋体" w:cs="Times New Roman"/>
          <w:color w:val="auto"/>
          <w:sz w:val="22"/>
          <w:szCs w:val="22"/>
          <w:highlight w:val="none"/>
          <w:lang w:val="en-US" w:eastAsia="zh-CN"/>
        </w:rPr>
        <w:t>供应商</w:t>
      </w:r>
      <w:r>
        <w:rPr>
          <w:rFonts w:hint="eastAsia" w:ascii="宋体" w:hAnsi="Times New Roman" w:eastAsia="宋体" w:cs="Times New Roman"/>
          <w:color w:val="auto"/>
          <w:sz w:val="22"/>
          <w:szCs w:val="22"/>
          <w:highlight w:val="none"/>
        </w:rPr>
        <w:t>“信用中国”(www.creditchina.gov.cn)；“中国政府采购网”（http://www.ccgp.gov.cn/）信用记录网页截图（采购公告发布之日至投标截止时间</w:t>
      </w:r>
      <w:r>
        <w:rPr>
          <w:rFonts w:hint="eastAsia" w:ascii="宋体" w:hAnsi="Times New Roman" w:eastAsia="宋体" w:cs="Times New Roman"/>
          <w:color w:val="auto"/>
          <w:sz w:val="22"/>
          <w:szCs w:val="22"/>
          <w:highlight w:val="none"/>
          <w:lang w:val="en-US" w:eastAsia="zh-CN"/>
        </w:rPr>
        <w:t xml:space="preserve">      </w:t>
      </w:r>
      <w:r>
        <w:rPr>
          <w:rFonts w:hint="eastAsia" w:ascii="宋体" w:hAnsi="Times New Roman" w:eastAsia="宋体" w:cs="Times New Roman"/>
          <w:color w:val="auto"/>
          <w:sz w:val="22"/>
          <w:szCs w:val="22"/>
          <w:highlight w:val="none"/>
        </w:rPr>
        <w:t>前）</w:t>
      </w:r>
    </w:p>
    <w:p w14:paraId="2051254A">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w:t>
      </w:r>
      <w:r>
        <w:rPr>
          <w:rFonts w:hint="eastAsia" w:ascii="宋体" w:cs="Times New Roman"/>
          <w:color w:val="auto"/>
          <w:sz w:val="22"/>
          <w:szCs w:val="22"/>
          <w:highlight w:val="none"/>
          <w:lang w:val="en-US" w:eastAsia="zh-CN"/>
        </w:rPr>
        <w:t>9</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其他资质、资信证明文件（如有，复印件盖公章）</w:t>
      </w:r>
    </w:p>
    <w:p w14:paraId="5F0D08B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3.5</w:t>
      </w:r>
      <w:r>
        <w:rPr>
          <w:rFonts w:hint="eastAsia" w:ascii="宋体" w:hAnsi="Times New Roman" w:eastAsia="宋体" w:cs="Times New Roman"/>
          <w:color w:val="auto"/>
          <w:sz w:val="22"/>
          <w:szCs w:val="22"/>
          <w:highlight w:val="none"/>
        </w:rPr>
        <w:t>售后服务及优惠承诺                           （附件七）</w:t>
      </w:r>
    </w:p>
    <w:p w14:paraId="534DEAF3">
      <w:pPr>
        <w:pStyle w:val="11"/>
        <w:spacing w:line="460" w:lineRule="exact"/>
        <w:ind w:firstLine="440"/>
        <w:rPr>
          <w:rFonts w:hint="eastAsia" w:ascii="宋体" w:hAnsi="Times New Roman" w:eastAsia="宋体" w:cs="Times New Roman"/>
          <w:color w:val="auto"/>
          <w:sz w:val="22"/>
          <w:szCs w:val="22"/>
          <w:highlight w:val="none"/>
          <w:lang w:eastAsia="zh-CN"/>
        </w:rPr>
      </w:pPr>
      <w:r>
        <w:rPr>
          <w:rFonts w:hint="eastAsia" w:ascii="宋体" w:hAnsi="Times New Roman" w:eastAsia="宋体" w:cs="Times New Roman"/>
          <w:color w:val="auto"/>
          <w:sz w:val="22"/>
          <w:szCs w:val="22"/>
          <w:highlight w:val="none"/>
          <w:lang w:val="en-US" w:eastAsia="zh-CN"/>
        </w:rPr>
        <w:t>3.6</w:t>
      </w:r>
      <w:r>
        <w:rPr>
          <w:rFonts w:hint="eastAsia" w:ascii="宋体" w:hAnsi="Times New Roman" w:eastAsia="宋体" w:cs="Times New Roman"/>
          <w:color w:val="auto"/>
          <w:sz w:val="22"/>
          <w:szCs w:val="22"/>
          <w:highlight w:val="none"/>
          <w:lang w:eastAsia="zh-CN"/>
        </w:rPr>
        <w:t>对本项目整个实施方案的详细描述（包括进度安排、人员配备、验收方案等）</w:t>
      </w:r>
    </w:p>
    <w:p w14:paraId="7E8EFF7D">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3.7</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认为需要提供的其他技术资料。</w:t>
      </w:r>
    </w:p>
    <w:p w14:paraId="2D27556F">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三、</w:t>
      </w:r>
      <w:r>
        <w:rPr>
          <w:rFonts w:hint="eastAsia" w:ascii="宋体" w:hAnsi="Times New Roman" w:eastAsia="宋体" w:cs="Times New Roman"/>
          <w:color w:val="auto"/>
          <w:sz w:val="22"/>
          <w:szCs w:val="22"/>
          <w:highlight w:val="none"/>
        </w:rPr>
        <w:t>报价文件格式</w:t>
      </w:r>
    </w:p>
    <w:p w14:paraId="7B3B7524">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1、</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应根据采购文件中所提供的格式，内容按顺序填写并装订成册，并装于报价文件中。</w:t>
      </w:r>
    </w:p>
    <w:p w14:paraId="446A4E7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w:t>
      </w:r>
      <w:r>
        <w:rPr>
          <w:rFonts w:hint="eastAsia" w:ascii="宋体" w:hAnsi="Times New Roman" w:eastAsia="宋体" w:cs="Times New Roman"/>
          <w:color w:val="auto"/>
          <w:sz w:val="22"/>
          <w:szCs w:val="22"/>
          <w:highlight w:val="none"/>
        </w:rPr>
        <w:t>报价</w:t>
      </w:r>
    </w:p>
    <w:p w14:paraId="3631972B">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2.1</w:t>
      </w:r>
      <w:r>
        <w:rPr>
          <w:rFonts w:hint="eastAsia" w:ascii="宋体" w:hAnsi="Times New Roman" w:eastAsia="宋体" w:cs="Times New Roman"/>
          <w:color w:val="auto"/>
          <w:sz w:val="22"/>
          <w:szCs w:val="22"/>
          <w:highlight w:val="none"/>
        </w:rPr>
        <w:t>投标报价是指</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在正确地完全履行合同义务后采购人应支付给</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所有的服务价款，包括但不限于本项目</w:t>
      </w:r>
      <w:r>
        <w:rPr>
          <w:rFonts w:hint="eastAsia" w:ascii="宋体" w:cs="Times New Roman"/>
          <w:color w:val="auto"/>
          <w:sz w:val="22"/>
          <w:szCs w:val="22"/>
          <w:highlight w:val="none"/>
          <w:lang w:eastAsia="zh-CN"/>
        </w:rPr>
        <w:t>服务费</w:t>
      </w:r>
      <w:r>
        <w:rPr>
          <w:rFonts w:hint="eastAsia" w:ascii="宋体" w:hAnsi="Times New Roman" w:eastAsia="宋体" w:cs="Times New Roman"/>
          <w:color w:val="auto"/>
          <w:sz w:val="22"/>
          <w:szCs w:val="22"/>
          <w:highlight w:val="none"/>
        </w:rPr>
        <w:t>、</w:t>
      </w:r>
      <w:r>
        <w:rPr>
          <w:rFonts w:hint="eastAsia" w:ascii="宋体" w:cs="Times New Roman"/>
          <w:color w:val="auto"/>
          <w:sz w:val="22"/>
          <w:szCs w:val="22"/>
          <w:highlight w:val="none"/>
          <w:lang w:eastAsia="zh-CN"/>
        </w:rPr>
        <w:t>保险、材料费、</w:t>
      </w:r>
      <w:r>
        <w:rPr>
          <w:rFonts w:hint="eastAsia" w:ascii="宋体" w:hAnsi="Times New Roman" w:eastAsia="宋体" w:cs="Times New Roman"/>
          <w:color w:val="auto"/>
          <w:sz w:val="22"/>
          <w:szCs w:val="22"/>
          <w:highlight w:val="none"/>
        </w:rPr>
        <w:t>税金、完成本项目所需的人工费等全部费用。投标</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应根据上述因素自行考虑含入投标总价。</w:t>
      </w:r>
    </w:p>
    <w:p w14:paraId="1FD1E89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2.2</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必须按附件的报价一览表（统一格式）、分项报价表（统一格式）的内容填写费用清单、合价及其他事项，并由法定代表人或授权代表签署。</w:t>
      </w:r>
    </w:p>
    <w:p w14:paraId="0DCA80A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2.3</w:t>
      </w:r>
      <w:r>
        <w:rPr>
          <w:rFonts w:hint="eastAsia" w:ascii="宋体" w:hAnsi="Times New Roman" w:eastAsia="宋体" w:cs="Times New Roman"/>
          <w:color w:val="auto"/>
          <w:sz w:val="22"/>
          <w:szCs w:val="22"/>
          <w:highlight w:val="none"/>
        </w:rPr>
        <w:t>所有报价均以人民币报价，</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如需外汇购入某些货物，须折合成人民币计入报价报价中。</w:t>
      </w:r>
    </w:p>
    <w:p w14:paraId="707F36E2">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2.4</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不接受任何选择报价，对每一项目只允许一个报价。</w:t>
      </w:r>
    </w:p>
    <w:p w14:paraId="16AF4171">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2.5</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要求分类报价是为了方便评标，但在任何情况下不限制采购人以其认为最合适的条款、条件签订合同的权利。</w:t>
      </w:r>
    </w:p>
    <w:p w14:paraId="33BE1612">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2.6</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所报的报价价在合同执行过程中是固定不变的，不得以任何理由予以变更。任何包含价格调整的要求，将被认为是非实质性响应报价而予以拒绝。</w:t>
      </w:r>
    </w:p>
    <w:p w14:paraId="0AC39DB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w:t>
      </w:r>
      <w:r>
        <w:rPr>
          <w:rFonts w:hint="eastAsia" w:ascii="宋体" w:hAnsi="Times New Roman" w:eastAsia="宋体" w:cs="Times New Roman"/>
          <w:color w:val="auto"/>
          <w:sz w:val="22"/>
          <w:szCs w:val="22"/>
          <w:highlight w:val="none"/>
        </w:rPr>
        <w:t>报价有效期</w:t>
      </w:r>
    </w:p>
    <w:p w14:paraId="505F171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3.1</w:t>
      </w:r>
      <w:r>
        <w:rPr>
          <w:rFonts w:hint="eastAsia" w:ascii="宋体" w:hAnsi="Times New Roman" w:eastAsia="宋体" w:cs="Times New Roman"/>
          <w:color w:val="auto"/>
          <w:sz w:val="22"/>
          <w:szCs w:val="22"/>
          <w:highlight w:val="none"/>
        </w:rPr>
        <w:t>自开标之日起90 天内报价应保持有效。报价文件有效期短于这个规定期限的报价将视为非响应性报价而予以拒绝。</w:t>
      </w:r>
    </w:p>
    <w:p w14:paraId="731BF01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3.2</w:t>
      </w:r>
      <w:r>
        <w:rPr>
          <w:rFonts w:hint="eastAsia" w:ascii="宋体" w:hAnsi="Times New Roman" w:eastAsia="宋体" w:cs="Times New Roman"/>
          <w:color w:val="auto"/>
          <w:sz w:val="22"/>
          <w:szCs w:val="22"/>
          <w:highlight w:val="none"/>
        </w:rPr>
        <w:t>特殊情况下，在原报价有效期截止前，</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可与</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协商延长报价有效期，这种要求和答复均以书面形式进行。</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可拒绝接受延期要求</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同意延长报价有效期的</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不得修改报价文件。</w:t>
      </w:r>
    </w:p>
    <w:p w14:paraId="28353A42">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4、</w:t>
      </w:r>
      <w:r>
        <w:rPr>
          <w:rFonts w:hint="eastAsia" w:ascii="宋体" w:hAnsi="Times New Roman" w:eastAsia="宋体" w:cs="Times New Roman"/>
          <w:color w:val="auto"/>
          <w:sz w:val="22"/>
          <w:szCs w:val="22"/>
          <w:highlight w:val="none"/>
        </w:rPr>
        <w:t>报价文件的签署和规定</w:t>
      </w:r>
    </w:p>
    <w:p w14:paraId="6D41EB6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4.1</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应提供一式</w:t>
      </w:r>
      <w:r>
        <w:rPr>
          <w:rFonts w:hint="eastAsia" w:ascii="宋体" w:hAnsi="Times New Roman" w:eastAsia="宋体" w:cs="Times New Roman"/>
          <w:color w:val="auto"/>
          <w:sz w:val="22"/>
          <w:szCs w:val="22"/>
          <w:highlight w:val="none"/>
          <w:lang w:eastAsia="zh-CN"/>
        </w:rPr>
        <w:t>五</w:t>
      </w:r>
      <w:r>
        <w:rPr>
          <w:rFonts w:hint="eastAsia" w:ascii="宋体" w:hAnsi="Times New Roman" w:eastAsia="宋体" w:cs="Times New Roman"/>
          <w:color w:val="auto"/>
          <w:sz w:val="22"/>
          <w:szCs w:val="22"/>
          <w:highlight w:val="none"/>
        </w:rPr>
        <w:t>份的报价文件，并分别装订成册。其中正本一份、副本</w:t>
      </w:r>
      <w:r>
        <w:rPr>
          <w:rFonts w:hint="eastAsia" w:ascii="宋体" w:hAnsi="Times New Roman" w:eastAsia="宋体" w:cs="Times New Roman"/>
          <w:color w:val="auto"/>
          <w:sz w:val="22"/>
          <w:szCs w:val="22"/>
          <w:highlight w:val="none"/>
          <w:lang w:eastAsia="zh-CN"/>
        </w:rPr>
        <w:t>四</w:t>
      </w:r>
      <w:r>
        <w:rPr>
          <w:rFonts w:hint="eastAsia" w:ascii="宋体" w:hAnsi="Times New Roman" w:eastAsia="宋体" w:cs="Times New Roman"/>
          <w:color w:val="auto"/>
          <w:sz w:val="22"/>
          <w:szCs w:val="22"/>
          <w:highlight w:val="none"/>
        </w:rPr>
        <w:t>份，每套报价文件的封面应清楚标明“正本”或“副本”字样，若“正本”与“副本”不符，以“正本”为准。</w:t>
      </w:r>
    </w:p>
    <w:p w14:paraId="22A3EFE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4.2</w:t>
      </w:r>
      <w:r>
        <w:rPr>
          <w:rFonts w:hint="eastAsia" w:ascii="宋体" w:hAnsi="Times New Roman" w:eastAsia="宋体" w:cs="Times New Roman"/>
          <w:color w:val="auto"/>
          <w:sz w:val="22"/>
          <w:szCs w:val="22"/>
          <w:highlight w:val="none"/>
        </w:rPr>
        <w:t>报价文件的正本必须打印或用不褪色的墨水书写，并由法定代表人或其授权代表签署，副本可用正本的复印。</w:t>
      </w:r>
    </w:p>
    <w:p w14:paraId="34D74CF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4.3</w:t>
      </w:r>
      <w:r>
        <w:rPr>
          <w:rFonts w:hint="eastAsia" w:ascii="宋体" w:hAnsi="Times New Roman" w:eastAsia="宋体" w:cs="Times New Roman"/>
          <w:color w:val="auto"/>
          <w:sz w:val="22"/>
          <w:szCs w:val="22"/>
          <w:highlight w:val="none"/>
        </w:rPr>
        <w:t>报价文件如有修改和增删必须由报价文件签字人在修改和增删处旁签署或盖章，方才有效。</w:t>
      </w:r>
    </w:p>
    <w:p w14:paraId="1B9CAF5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4.4</w:t>
      </w:r>
      <w:r>
        <w:rPr>
          <w:rFonts w:hint="eastAsia" w:ascii="宋体" w:hAnsi="Times New Roman" w:eastAsia="宋体" w:cs="Times New Roman"/>
          <w:color w:val="auto"/>
          <w:sz w:val="22"/>
          <w:szCs w:val="22"/>
          <w:highlight w:val="none"/>
        </w:rPr>
        <w:t>报价文件字迹模糊或在关键的技术、商务条款上表述不清楚，将可能导致其报价被拒绝。</w:t>
      </w:r>
    </w:p>
    <w:p w14:paraId="589EAC01">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5、</w:t>
      </w:r>
      <w:r>
        <w:rPr>
          <w:rFonts w:hint="eastAsia" w:ascii="宋体" w:hAnsi="Times New Roman" w:eastAsia="宋体" w:cs="Times New Roman"/>
          <w:color w:val="auto"/>
          <w:sz w:val="22"/>
          <w:szCs w:val="22"/>
          <w:highlight w:val="none"/>
        </w:rPr>
        <w:t>报价文件的密封及标记</w:t>
      </w:r>
    </w:p>
    <w:p w14:paraId="5B852C0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5.1</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必须将报价文件单独密封，且在各自的密封袋上标明“报价文件”字样。封口处贴上封条，启封处加盖报价单位公章并由法定代表人或其授权代表签字。封皮上写明报价项目名称、项目编号、并注明“开标时启封”字样。</w:t>
      </w:r>
    </w:p>
    <w:p w14:paraId="2D481700">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5.2</w:t>
      </w:r>
      <w:r>
        <w:rPr>
          <w:rFonts w:hint="eastAsia" w:ascii="宋体" w:hAnsi="Times New Roman" w:eastAsia="宋体" w:cs="Times New Roman"/>
          <w:color w:val="auto"/>
          <w:sz w:val="22"/>
          <w:szCs w:val="22"/>
          <w:highlight w:val="none"/>
        </w:rPr>
        <w:t>如果</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未按上述要求密封及加写标记，</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对报价文件的误投和提前启封不负责任。</w:t>
      </w:r>
    </w:p>
    <w:p w14:paraId="4FEC3210">
      <w:pPr>
        <w:pStyle w:val="11"/>
        <w:spacing w:line="460" w:lineRule="exact"/>
        <w:ind w:left="0" w:leftChars="0" w:firstLine="440" w:firstLineChars="200"/>
        <w:rPr>
          <w:rFonts w:hint="eastAsia" w:ascii="宋体" w:hAnsi="Times New Roman" w:eastAsia="宋体" w:cs="Times New Roman"/>
          <w:color w:val="auto"/>
          <w:sz w:val="22"/>
          <w:szCs w:val="22"/>
          <w:highlight w:val="none"/>
        </w:rPr>
      </w:pPr>
      <w:bookmarkStart w:id="5" w:name="_Toc530761239"/>
      <w:r>
        <w:rPr>
          <w:rFonts w:hint="eastAsia" w:ascii="宋体" w:hAnsi="Times New Roman" w:eastAsia="宋体" w:cs="Times New Roman"/>
          <w:color w:val="auto"/>
          <w:sz w:val="22"/>
          <w:szCs w:val="22"/>
          <w:highlight w:val="none"/>
          <w:lang w:eastAsia="zh-CN"/>
        </w:rPr>
        <w:t>四</w:t>
      </w:r>
      <w:r>
        <w:rPr>
          <w:rFonts w:hint="eastAsia" w:ascii="宋体" w:hAnsi="Times New Roman" w:eastAsia="宋体" w:cs="Times New Roman"/>
          <w:color w:val="auto"/>
          <w:sz w:val="22"/>
          <w:szCs w:val="22"/>
          <w:highlight w:val="none"/>
        </w:rPr>
        <w:t>、报价文件的递交</w:t>
      </w:r>
      <w:bookmarkEnd w:id="5"/>
    </w:p>
    <w:p w14:paraId="3F72C3BA">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1、</w:t>
      </w:r>
      <w:r>
        <w:rPr>
          <w:rFonts w:hint="eastAsia" w:ascii="宋体" w:hAnsi="Times New Roman" w:eastAsia="宋体" w:cs="Times New Roman"/>
          <w:color w:val="auto"/>
          <w:sz w:val="22"/>
          <w:szCs w:val="22"/>
          <w:highlight w:val="none"/>
        </w:rPr>
        <w:t>报价文件的递交</w:t>
      </w:r>
    </w:p>
    <w:p w14:paraId="3835B36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1.1</w:t>
      </w:r>
      <w:r>
        <w:rPr>
          <w:rFonts w:hint="eastAsia" w:ascii="宋体" w:hAnsi="Times New Roman" w:eastAsia="宋体" w:cs="Times New Roman"/>
          <w:color w:val="auto"/>
          <w:sz w:val="22"/>
          <w:szCs w:val="22"/>
          <w:highlight w:val="none"/>
        </w:rPr>
        <w:t>▲报价文件必须在规定的报价截止时间前送达到指定的收标地点。</w:t>
      </w:r>
    </w:p>
    <w:p w14:paraId="4D6EF2AF">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1.2</w:t>
      </w:r>
      <w:r>
        <w:rPr>
          <w:rFonts w:hint="eastAsia" w:ascii="宋体" w:hAnsi="Times New Roman" w:eastAsia="宋体" w:cs="Times New Roman"/>
          <w:color w:val="auto"/>
          <w:sz w:val="22"/>
          <w:szCs w:val="22"/>
          <w:highlight w:val="none"/>
        </w:rPr>
        <w:t>▲</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如是法定代表人参加报价的，应同时递交法定代表人有效身份证明（原件）、企业法人营业执照副本复印件（加盖公章），由</w:t>
      </w:r>
      <w:r>
        <w:rPr>
          <w:rFonts w:hint="eastAsia" w:ascii="宋体" w:hAnsi="Times New Roman" w:eastAsia="宋体" w:cs="Times New Roman"/>
          <w:color w:val="auto"/>
          <w:sz w:val="22"/>
          <w:szCs w:val="22"/>
          <w:highlight w:val="none"/>
          <w:lang w:eastAsia="zh-CN"/>
        </w:rPr>
        <w:t>谈判小组</w:t>
      </w:r>
      <w:r>
        <w:rPr>
          <w:rFonts w:hint="eastAsia" w:ascii="宋体" w:hAnsi="Times New Roman" w:eastAsia="宋体" w:cs="Times New Roman"/>
          <w:color w:val="auto"/>
          <w:sz w:val="22"/>
          <w:szCs w:val="22"/>
          <w:highlight w:val="none"/>
        </w:rPr>
        <w:t>确认报价资格。</w:t>
      </w:r>
    </w:p>
    <w:p w14:paraId="264EE8FD">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1.3</w:t>
      </w:r>
      <w:r>
        <w:rPr>
          <w:rFonts w:hint="eastAsia" w:ascii="宋体" w:hAnsi="Times New Roman" w:eastAsia="宋体" w:cs="Times New Roman"/>
          <w:color w:val="auto"/>
          <w:sz w:val="22"/>
          <w:szCs w:val="22"/>
          <w:highlight w:val="none"/>
        </w:rPr>
        <w:t>▲</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如是授权代表参加报价的，应同时递交法定代表人授权书（原件）、授权代表有效身份证明（原件）、企业法人营业执照副本复印件（加盖公章），由</w:t>
      </w:r>
      <w:r>
        <w:rPr>
          <w:rFonts w:hint="eastAsia" w:ascii="宋体" w:hAnsi="Times New Roman" w:eastAsia="宋体" w:cs="Times New Roman"/>
          <w:color w:val="auto"/>
          <w:sz w:val="22"/>
          <w:szCs w:val="22"/>
          <w:highlight w:val="none"/>
          <w:lang w:eastAsia="zh-CN"/>
        </w:rPr>
        <w:t>谈判小组</w:t>
      </w:r>
      <w:r>
        <w:rPr>
          <w:rFonts w:hint="eastAsia" w:ascii="宋体" w:hAnsi="Times New Roman" w:eastAsia="宋体" w:cs="Times New Roman"/>
          <w:color w:val="auto"/>
          <w:sz w:val="22"/>
          <w:szCs w:val="22"/>
          <w:highlight w:val="none"/>
        </w:rPr>
        <w:t>确认报价资格。</w:t>
      </w:r>
    </w:p>
    <w:p w14:paraId="57DFDCD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w:t>
      </w:r>
      <w:r>
        <w:rPr>
          <w:rFonts w:hint="eastAsia" w:ascii="宋体" w:hAnsi="Times New Roman" w:eastAsia="宋体" w:cs="Times New Roman"/>
          <w:color w:val="auto"/>
          <w:sz w:val="22"/>
          <w:szCs w:val="22"/>
          <w:highlight w:val="none"/>
        </w:rPr>
        <w:t>报价文件的修改和撤回</w:t>
      </w:r>
    </w:p>
    <w:p w14:paraId="25D12646">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2.1</w:t>
      </w:r>
      <w:r>
        <w:rPr>
          <w:rFonts w:hint="eastAsia" w:ascii="宋体" w:hAnsi="Times New Roman" w:eastAsia="宋体" w:cs="Times New Roman"/>
          <w:color w:val="auto"/>
          <w:sz w:val="22"/>
          <w:szCs w:val="22"/>
          <w:highlight w:val="none"/>
        </w:rPr>
        <w:t>在报价截止时间前，</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可以用书面形式提出修改或撤回其报价并送达到</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，但不得影响开标活动的正常进行。</w:t>
      </w:r>
    </w:p>
    <w:p w14:paraId="4E096BD3">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2.2</w:t>
      </w:r>
      <w:r>
        <w:rPr>
          <w:rFonts w:hint="eastAsia" w:ascii="宋体" w:hAnsi="Times New Roman" w:eastAsia="宋体" w:cs="Times New Roman"/>
          <w:color w:val="auto"/>
          <w:sz w:val="22"/>
          <w:szCs w:val="22"/>
          <w:highlight w:val="none"/>
        </w:rPr>
        <w:t>“报价文件修改”或“报价文件撤回通知”都应密封并在密封袋上写明报价项目名称、编号、报价单位名称，并注明“报价文件修改”或“报价文件撤回通知”字样。</w:t>
      </w:r>
    </w:p>
    <w:p w14:paraId="308037DA">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2.3</w:t>
      </w:r>
      <w:r>
        <w:rPr>
          <w:rFonts w:hint="eastAsia" w:ascii="宋体" w:hAnsi="Times New Roman" w:eastAsia="宋体" w:cs="Times New Roman"/>
          <w:color w:val="auto"/>
          <w:sz w:val="22"/>
          <w:szCs w:val="22"/>
          <w:highlight w:val="none"/>
        </w:rPr>
        <w:t>从报价截止日期起至报价有效期满这段时间内，</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不得撤回其报价，否则</w:t>
      </w:r>
      <w:r>
        <w:rPr>
          <w:rFonts w:hint="eastAsia" w:ascii="宋体" w:hAnsi="Times New Roman" w:eastAsia="宋体" w:cs="Times New Roman"/>
          <w:color w:val="auto"/>
          <w:sz w:val="22"/>
          <w:szCs w:val="22"/>
          <w:highlight w:val="none"/>
          <w:lang w:eastAsia="zh-CN"/>
        </w:rPr>
        <w:t>投标</w:t>
      </w:r>
      <w:r>
        <w:rPr>
          <w:rFonts w:hint="eastAsia" w:ascii="宋体" w:hAnsi="Times New Roman" w:eastAsia="宋体" w:cs="Times New Roman"/>
          <w:color w:val="auto"/>
          <w:sz w:val="22"/>
          <w:szCs w:val="22"/>
          <w:highlight w:val="none"/>
        </w:rPr>
        <w:t>保证金将不予退还。</w:t>
      </w:r>
    </w:p>
    <w:p w14:paraId="1269960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w:t>
      </w:r>
      <w:r>
        <w:rPr>
          <w:rFonts w:hint="eastAsia" w:ascii="宋体" w:hAnsi="Times New Roman" w:eastAsia="宋体" w:cs="Times New Roman"/>
          <w:color w:val="auto"/>
          <w:sz w:val="22"/>
          <w:szCs w:val="22"/>
          <w:highlight w:val="none"/>
        </w:rPr>
        <w:t>发生下列情况之一的报价文件将拒收:</w:t>
      </w:r>
    </w:p>
    <w:p w14:paraId="6FED1A7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3.1</w:t>
      </w:r>
      <w:r>
        <w:rPr>
          <w:rFonts w:hint="eastAsia" w:ascii="宋体" w:hAnsi="Times New Roman" w:eastAsia="宋体" w:cs="Times New Roman"/>
          <w:color w:val="auto"/>
          <w:sz w:val="22"/>
          <w:szCs w:val="22"/>
          <w:highlight w:val="none"/>
        </w:rPr>
        <w:t>在报价截止时间以后送达的报价文件；</w:t>
      </w:r>
    </w:p>
    <w:p w14:paraId="29F3F15B">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val="en-US" w:eastAsia="zh-CN"/>
        </w:rPr>
        <w:t>3.2</w:t>
      </w:r>
      <w:r>
        <w:rPr>
          <w:rFonts w:hint="eastAsia" w:ascii="宋体" w:hAnsi="Times New Roman" w:eastAsia="宋体" w:cs="Times New Roman"/>
          <w:color w:val="auto"/>
          <w:sz w:val="22"/>
          <w:szCs w:val="22"/>
          <w:highlight w:val="none"/>
        </w:rPr>
        <w:t>未密封或未装订的报价文件及由于包装不妥在送达途中严重破损或失散的报价文件；</w:t>
      </w:r>
    </w:p>
    <w:p w14:paraId="10222D98">
      <w:pPr>
        <w:pStyle w:val="11"/>
        <w:spacing w:line="460" w:lineRule="exact"/>
        <w:ind w:firstLine="440"/>
        <w:rPr>
          <w:rFonts w:hint="eastAsia" w:ascii="宋体" w:hAnsi="Times New Roman" w:eastAsia="宋体" w:cs="Times New Roman"/>
          <w:color w:val="auto"/>
          <w:sz w:val="22"/>
          <w:szCs w:val="22"/>
          <w:highlight w:val="none"/>
        </w:rPr>
      </w:pPr>
      <w:bookmarkStart w:id="6" w:name="_Toc530761240"/>
      <w:r>
        <w:rPr>
          <w:rFonts w:hint="eastAsia" w:ascii="宋体" w:hAnsi="Times New Roman" w:eastAsia="宋体" w:cs="Times New Roman"/>
          <w:color w:val="auto"/>
          <w:sz w:val="22"/>
          <w:szCs w:val="22"/>
          <w:highlight w:val="none"/>
          <w:lang w:eastAsia="zh-CN"/>
        </w:rPr>
        <w:t>五</w:t>
      </w:r>
      <w:r>
        <w:rPr>
          <w:rFonts w:hint="eastAsia" w:ascii="宋体" w:hAnsi="Times New Roman" w:eastAsia="宋体" w:cs="Times New Roman"/>
          <w:color w:val="auto"/>
          <w:sz w:val="22"/>
          <w:szCs w:val="22"/>
          <w:highlight w:val="none"/>
        </w:rPr>
        <w:t>、 开标和评标</w:t>
      </w:r>
      <w:bookmarkEnd w:id="6"/>
    </w:p>
    <w:p w14:paraId="627FDEA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谈判小组</w:t>
      </w:r>
    </w:p>
    <w:p w14:paraId="4D4D4F8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1.1  </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依法组建谈判小组，谈判小组由3人（含）以上的单数组成，谈判小组负责对报价文件进行审查、质疑、评估、比较及确定成交候选人。</w:t>
      </w:r>
    </w:p>
    <w:p w14:paraId="62EE180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1.2  谈判期间，报价</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代表必须到场，负责解答有关事宜。</w:t>
      </w:r>
    </w:p>
    <w:p w14:paraId="020F74DA">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w:t>
      </w:r>
      <w:r>
        <w:rPr>
          <w:rFonts w:hint="eastAsia" w:ascii="宋体" w:hAnsi="Times New Roman" w:eastAsia="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谈判和评审</w:t>
      </w:r>
    </w:p>
    <w:p w14:paraId="247B0033">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2.1  谈判双方按照</w:t>
      </w:r>
      <w:r>
        <w:rPr>
          <w:rFonts w:hint="eastAsia" w:ascii="宋体" w:hAnsi="Times New Roman" w:eastAsia="宋体" w:cs="Times New Roman"/>
          <w:color w:val="auto"/>
          <w:sz w:val="22"/>
          <w:szCs w:val="22"/>
          <w:highlight w:val="none"/>
          <w:lang w:eastAsia="zh-CN"/>
        </w:rPr>
        <w:t>采购文件</w:t>
      </w:r>
      <w:r>
        <w:rPr>
          <w:rFonts w:hint="eastAsia" w:ascii="宋体" w:hAnsi="Times New Roman" w:eastAsia="宋体" w:cs="Times New Roman"/>
          <w:color w:val="auto"/>
          <w:sz w:val="22"/>
          <w:szCs w:val="22"/>
          <w:highlight w:val="none"/>
        </w:rPr>
        <w:t>规定的时间、地点进行竞争性谈判。</w:t>
      </w:r>
    </w:p>
    <w:p w14:paraId="5507FD4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2.2  谈判开始，首先由谈判小组成员检验所有报价</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的法定代表人授权书、报价</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代表有效身份证件和企业法人有效营业执照副本复印件（加盖报价</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公章），以确认其报价资格。</w:t>
      </w:r>
    </w:p>
    <w:p w14:paraId="109186E3">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2.3  谈判小组根据</w:t>
      </w:r>
      <w:r>
        <w:rPr>
          <w:rFonts w:hint="eastAsia" w:ascii="宋体" w:hAnsi="Times New Roman" w:eastAsia="宋体" w:cs="Times New Roman"/>
          <w:color w:val="auto"/>
          <w:sz w:val="22"/>
          <w:szCs w:val="22"/>
          <w:highlight w:val="none"/>
          <w:lang w:eastAsia="zh-CN"/>
        </w:rPr>
        <w:t>采购文件</w:t>
      </w:r>
      <w:r>
        <w:rPr>
          <w:rFonts w:hint="eastAsia" w:ascii="宋体" w:hAnsi="Times New Roman" w:eastAsia="宋体" w:cs="Times New Roman"/>
          <w:color w:val="auto"/>
          <w:sz w:val="22"/>
          <w:szCs w:val="22"/>
          <w:highlight w:val="none"/>
        </w:rPr>
        <w:t>的规定，对报价文件的有效性、完整性和对</w:t>
      </w:r>
      <w:r>
        <w:rPr>
          <w:rFonts w:hint="eastAsia" w:ascii="宋体" w:hAnsi="Times New Roman" w:eastAsia="宋体" w:cs="Times New Roman"/>
          <w:color w:val="auto"/>
          <w:sz w:val="22"/>
          <w:szCs w:val="22"/>
          <w:highlight w:val="none"/>
          <w:lang w:eastAsia="zh-CN"/>
        </w:rPr>
        <w:t>采购文件</w:t>
      </w:r>
      <w:r>
        <w:rPr>
          <w:rFonts w:hint="eastAsia" w:ascii="宋体" w:hAnsi="Times New Roman" w:eastAsia="宋体" w:cs="Times New Roman"/>
          <w:color w:val="auto"/>
          <w:sz w:val="22"/>
          <w:szCs w:val="22"/>
          <w:highlight w:val="none"/>
        </w:rPr>
        <w:t>的响应程度进行审查，以确定其是否对</w:t>
      </w:r>
      <w:r>
        <w:rPr>
          <w:rFonts w:hint="eastAsia" w:ascii="宋体" w:hAnsi="Times New Roman" w:eastAsia="宋体" w:cs="Times New Roman"/>
          <w:color w:val="auto"/>
          <w:sz w:val="22"/>
          <w:szCs w:val="22"/>
          <w:highlight w:val="none"/>
          <w:lang w:eastAsia="zh-CN"/>
        </w:rPr>
        <w:t>采购文件</w:t>
      </w:r>
      <w:r>
        <w:rPr>
          <w:rFonts w:hint="eastAsia" w:ascii="宋体" w:hAnsi="Times New Roman" w:eastAsia="宋体" w:cs="Times New Roman"/>
          <w:color w:val="auto"/>
          <w:sz w:val="22"/>
          <w:szCs w:val="22"/>
          <w:highlight w:val="none"/>
        </w:rPr>
        <w:t>作出了实质性响应。实质上没有响应</w:t>
      </w:r>
      <w:r>
        <w:rPr>
          <w:rFonts w:hint="eastAsia" w:ascii="宋体" w:hAnsi="Times New Roman" w:eastAsia="宋体" w:cs="Times New Roman"/>
          <w:color w:val="auto"/>
          <w:sz w:val="22"/>
          <w:szCs w:val="22"/>
          <w:highlight w:val="none"/>
          <w:lang w:eastAsia="zh-CN"/>
        </w:rPr>
        <w:t>采购文件</w:t>
      </w:r>
      <w:r>
        <w:rPr>
          <w:rFonts w:hint="eastAsia" w:ascii="宋体" w:hAnsi="Times New Roman" w:eastAsia="宋体" w:cs="Times New Roman"/>
          <w:color w:val="auto"/>
          <w:sz w:val="22"/>
          <w:szCs w:val="22"/>
          <w:highlight w:val="none"/>
        </w:rPr>
        <w:t>要求的报价将被拒绝。谈判小组对报价文件是否实质上响应</w:t>
      </w:r>
      <w:r>
        <w:rPr>
          <w:rFonts w:hint="eastAsia" w:ascii="宋体" w:hAnsi="Times New Roman" w:eastAsia="宋体" w:cs="Times New Roman"/>
          <w:color w:val="auto"/>
          <w:sz w:val="22"/>
          <w:szCs w:val="22"/>
          <w:highlight w:val="none"/>
          <w:lang w:eastAsia="zh-CN"/>
        </w:rPr>
        <w:t>采购文件</w:t>
      </w:r>
      <w:r>
        <w:rPr>
          <w:rFonts w:hint="eastAsia" w:ascii="宋体" w:hAnsi="Times New Roman" w:eastAsia="宋体" w:cs="Times New Roman"/>
          <w:color w:val="auto"/>
          <w:sz w:val="22"/>
          <w:szCs w:val="22"/>
          <w:highlight w:val="none"/>
        </w:rPr>
        <w:t>的要求是根据报价文件本书而不是依据外部证明。</w:t>
      </w:r>
    </w:p>
    <w:p w14:paraId="2F282A2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2.4  谈判小组所有成员将遵循“公开、公平、公正”的原则，采用相同的程序和标准，所有成员与单一</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进行封闭式谈判。谈判主要针对报价</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提供服务的价格、技术性能、质量水平和保证措施、实施方案、售后服务及承诺、培训计划、履约能力、付款方式等方面进行谈判和综合分析考评。在谈判过程中，谈判的任何一方都不得透露与谈判有关的其他</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的技术资料、价格和其他信息。</w:t>
      </w:r>
    </w:p>
    <w:p w14:paraId="3D4B21AD">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2.5  在谈判过程中，报价</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不得向谈判小组成员询问谈判情况，不得进行旨在影响谈判结果的活动，否则将取消其谈判资格，不予退还</w:t>
      </w:r>
      <w:r>
        <w:rPr>
          <w:rFonts w:hint="eastAsia" w:ascii="宋体" w:hAnsi="Times New Roman" w:eastAsia="宋体" w:cs="Times New Roman"/>
          <w:color w:val="auto"/>
          <w:sz w:val="22"/>
          <w:szCs w:val="22"/>
          <w:highlight w:val="none"/>
          <w:lang w:eastAsia="zh-CN"/>
        </w:rPr>
        <w:t>投标</w:t>
      </w:r>
      <w:r>
        <w:rPr>
          <w:rFonts w:hint="eastAsia" w:ascii="宋体" w:hAnsi="Times New Roman" w:eastAsia="宋体" w:cs="Times New Roman"/>
          <w:color w:val="auto"/>
          <w:sz w:val="22"/>
          <w:szCs w:val="22"/>
          <w:highlight w:val="none"/>
        </w:rPr>
        <w:t>保证金。</w:t>
      </w:r>
    </w:p>
    <w:p w14:paraId="0E052D1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2.6  在谈判过程中，谈判小组成员不得与报价</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私下交换意见，在竞争性谈判结束后，凡与谈判情况有接触的人不得将谈判情况扩散出谈判小组成员外。</w:t>
      </w:r>
    </w:p>
    <w:p w14:paraId="704DC2A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2.7  谈判结束后，谈判小组应要求所有参加谈判的</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在规定的时间内背靠背进行最后报价。</w:t>
      </w:r>
    </w:p>
    <w:p w14:paraId="7C3457F1">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3．  宣布最终报价</w:t>
      </w:r>
    </w:p>
    <w:p w14:paraId="5253B91F">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3.1  宣布最终报价时邀请所有谈判</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代表参加，参加的代表应准时出席并签名报到以证明其出席。谈判</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代表未参加开标会的，事后不得对谈判结果提出异议。谈判</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代表应对最终报价的内容及记录结果当场进行校核和签字确认，如有异议应当场提出，否则视为默许同意</w:t>
      </w:r>
    </w:p>
    <w:p w14:paraId="3575FB3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4.  ▲在谈判过程中，有下列情况之一的，经谈判小组认定后按无效标处理：</w:t>
      </w:r>
    </w:p>
    <w:p w14:paraId="44AF486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（1）报价文件未加盖单位公章、无法定代表人签字或其授权代表签字的；</w:t>
      </w:r>
    </w:p>
    <w:p w14:paraId="4E616A9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（2）明显不符合采购文件中主要技术规格、技术标准的；</w:t>
      </w:r>
    </w:p>
    <w:p w14:paraId="14496CFF">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（3）报价文件内容不全或关键字迹模糊无法辨认的；</w:t>
      </w:r>
    </w:p>
    <w:p w14:paraId="10648075">
      <w:pPr>
        <w:pStyle w:val="11"/>
        <w:spacing w:line="460" w:lineRule="exact"/>
        <w:ind w:firstLine="440"/>
        <w:rPr>
          <w:rFonts w:hint="eastAsia" w:ascii="宋体" w:hAnsi="Times New Roman" w:eastAsia="宋体" w:cs="Times New Roman"/>
          <w:color w:val="auto"/>
          <w:sz w:val="22"/>
          <w:szCs w:val="22"/>
          <w:highlight w:val="none"/>
          <w:lang w:eastAsia="zh-CN"/>
        </w:rPr>
      </w:pPr>
      <w:r>
        <w:rPr>
          <w:rFonts w:hint="eastAsia" w:ascii="宋体" w:hAnsi="Times New Roman" w:eastAsia="宋体" w:cs="Times New Roman"/>
          <w:color w:val="auto"/>
          <w:sz w:val="22"/>
          <w:szCs w:val="22"/>
          <w:highlight w:val="none"/>
        </w:rPr>
        <w:t>（</w:t>
      </w:r>
      <w:r>
        <w:rPr>
          <w:rFonts w:hint="eastAsia" w:ascii="宋体" w:hAnsi="Times New Roman" w:eastAsia="宋体" w:cs="Times New Roman"/>
          <w:color w:val="auto"/>
          <w:sz w:val="22"/>
          <w:szCs w:val="22"/>
          <w:highlight w:val="none"/>
          <w:lang w:val="en-US" w:eastAsia="zh-CN"/>
        </w:rPr>
        <w:t>4</w:t>
      </w:r>
      <w:r>
        <w:rPr>
          <w:rFonts w:hint="eastAsia" w:ascii="宋体" w:hAnsi="Times New Roman" w:eastAsia="宋体" w:cs="Times New Roman"/>
          <w:color w:val="auto"/>
          <w:sz w:val="22"/>
          <w:szCs w:val="22"/>
          <w:highlight w:val="none"/>
        </w:rPr>
        <w:t>）报价超过采购总预算或分项采购预算</w:t>
      </w:r>
      <w:r>
        <w:rPr>
          <w:rFonts w:hint="eastAsia" w:ascii="宋体" w:hAnsi="Times New Roman" w:eastAsia="宋体" w:cs="Times New Roman"/>
          <w:color w:val="auto"/>
          <w:sz w:val="22"/>
          <w:szCs w:val="22"/>
          <w:highlight w:val="none"/>
          <w:lang w:eastAsia="zh-CN"/>
        </w:rPr>
        <w:t>；</w:t>
      </w:r>
    </w:p>
    <w:p w14:paraId="05DD0C6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w:t>
      </w:r>
      <w:r>
        <w:rPr>
          <w:rFonts w:hint="eastAsia" w:ascii="宋体" w:hAnsi="Times New Roman" w:eastAsia="宋体" w:cs="Times New Roman"/>
          <w:color w:val="auto"/>
          <w:sz w:val="22"/>
          <w:szCs w:val="22"/>
          <w:highlight w:val="none"/>
          <w:lang w:val="en-US" w:eastAsia="zh-CN"/>
        </w:rPr>
        <w:t>5</w:t>
      </w:r>
      <w:r>
        <w:rPr>
          <w:rFonts w:hint="eastAsia" w:ascii="宋体" w:hAnsi="Times New Roman" w:eastAsia="宋体" w:cs="Times New Roman"/>
          <w:color w:val="auto"/>
          <w:sz w:val="22"/>
          <w:szCs w:val="22"/>
          <w:highlight w:val="none"/>
        </w:rPr>
        <w:t>）报价文件附有采购人不能接受的条件；</w:t>
      </w:r>
    </w:p>
    <w:p w14:paraId="1EEE9BB1">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w:t>
      </w:r>
      <w:r>
        <w:rPr>
          <w:rFonts w:hint="eastAsia" w:ascii="宋体" w:hAnsi="Times New Roman" w:eastAsia="宋体" w:cs="Times New Roman"/>
          <w:color w:val="auto"/>
          <w:sz w:val="22"/>
          <w:szCs w:val="22"/>
          <w:highlight w:val="none"/>
          <w:lang w:val="en-US" w:eastAsia="zh-CN"/>
        </w:rPr>
        <w:t>6</w:t>
      </w:r>
      <w:r>
        <w:rPr>
          <w:rFonts w:hint="eastAsia" w:ascii="宋体" w:hAnsi="Times New Roman" w:eastAsia="宋体" w:cs="Times New Roman"/>
          <w:color w:val="auto"/>
          <w:sz w:val="22"/>
          <w:szCs w:val="22"/>
          <w:highlight w:val="none"/>
        </w:rPr>
        <w:t>）授权代表没有法定代表人合法、有效委托的；</w:t>
      </w:r>
    </w:p>
    <w:p w14:paraId="5AC0D9A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w:t>
      </w:r>
      <w:r>
        <w:rPr>
          <w:rFonts w:hint="eastAsia" w:ascii="宋体" w:hAnsi="Times New Roman" w:eastAsia="宋体" w:cs="Times New Roman"/>
          <w:color w:val="auto"/>
          <w:sz w:val="22"/>
          <w:szCs w:val="22"/>
          <w:highlight w:val="none"/>
          <w:lang w:val="en-US" w:eastAsia="zh-CN"/>
        </w:rPr>
        <w:t>7</w:t>
      </w:r>
      <w:r>
        <w:rPr>
          <w:rFonts w:hint="eastAsia" w:ascii="宋体" w:hAnsi="Times New Roman" w:eastAsia="宋体" w:cs="Times New Roman"/>
          <w:color w:val="auto"/>
          <w:sz w:val="22"/>
          <w:szCs w:val="22"/>
          <w:highlight w:val="none"/>
        </w:rPr>
        <w:t>）谈判小组认定不符合法律、法规和采购文件中规定的其他实质性要求的；</w:t>
      </w:r>
    </w:p>
    <w:p w14:paraId="2F20921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  确定成交候选人</w:t>
      </w:r>
    </w:p>
    <w:p w14:paraId="5412567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5.1  本次谈判由谈判小组确定成交候选人。</w:t>
      </w:r>
    </w:p>
    <w:p w14:paraId="34D135FB">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5.2  谈判小组根据符合采购需求、质量和服务相等且报价最低的原则向采购人推荐第一、第二成交候选</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w:t>
      </w:r>
    </w:p>
    <w:p w14:paraId="7DEC657A">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5.3  排名第一的成交候选人放弃中标；因不可抗力提出不能履行合同</w:t>
      </w:r>
      <w:r>
        <w:rPr>
          <w:rFonts w:hint="eastAsia" w:ascii="宋体" w:cs="Times New Roman"/>
          <w:color w:val="auto"/>
          <w:sz w:val="22"/>
          <w:szCs w:val="22"/>
          <w:highlight w:val="none"/>
          <w:lang w:eastAsia="zh-CN"/>
        </w:rPr>
        <w:t>；</w:t>
      </w:r>
      <w:r>
        <w:rPr>
          <w:rFonts w:hint="eastAsia" w:ascii="宋体" w:hAnsi="Times New Roman" w:eastAsia="宋体" w:cs="Times New Roman"/>
          <w:color w:val="auto"/>
          <w:sz w:val="22"/>
          <w:szCs w:val="22"/>
          <w:highlight w:val="none"/>
        </w:rPr>
        <w:t>或者</w:t>
      </w:r>
      <w:r>
        <w:rPr>
          <w:rFonts w:hint="eastAsia" w:ascii="宋体" w:hAnsi="Times New Roman" w:eastAsia="宋体" w:cs="Times New Roman"/>
          <w:color w:val="auto"/>
          <w:sz w:val="22"/>
          <w:szCs w:val="22"/>
          <w:highlight w:val="none"/>
          <w:lang w:eastAsia="zh-CN"/>
        </w:rPr>
        <w:t>采购文件</w:t>
      </w:r>
      <w:r>
        <w:rPr>
          <w:rFonts w:hint="eastAsia" w:ascii="宋体" w:hAnsi="Times New Roman" w:eastAsia="宋体" w:cs="Times New Roman"/>
          <w:color w:val="auto"/>
          <w:sz w:val="22"/>
          <w:szCs w:val="22"/>
          <w:highlight w:val="none"/>
        </w:rPr>
        <w:t>规定应当提交履约保证金而在规定的期限内未能提交的；或未能在规定时间内与采购单位签订合同的；或者经质疑，</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审查后，确因排名第一的候选人在本次采购活动中存在违法违规行为或其他原因使质疑成立的，</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视具体情况确定是否由排名第二的候选人为成交人。</w:t>
      </w:r>
    </w:p>
    <w:p w14:paraId="5028D082">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6．谈判小组不向未成交</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解释未成交原因，不退还报价文件。</w:t>
      </w:r>
    </w:p>
    <w:p w14:paraId="6FAA0D0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7. </w:t>
      </w:r>
      <w:r>
        <w:rPr>
          <w:rFonts w:hint="eastAsia" w:ascii="宋体" w:hAnsi="Times New Roman" w:eastAsia="宋体" w:cs="Times New Roman"/>
          <w:color w:val="auto"/>
          <w:sz w:val="22"/>
          <w:szCs w:val="22"/>
          <w:highlight w:val="none"/>
          <w:lang w:eastAsia="zh-CN"/>
        </w:rPr>
        <w:t>采购人</w:t>
      </w:r>
      <w:r>
        <w:rPr>
          <w:rFonts w:hint="eastAsia" w:ascii="宋体" w:hAnsi="Times New Roman" w:eastAsia="宋体" w:cs="Times New Roman"/>
          <w:color w:val="auto"/>
          <w:sz w:val="22"/>
          <w:szCs w:val="22"/>
          <w:highlight w:val="none"/>
        </w:rPr>
        <w:t>对决标结果不做任何解释，也不保证最低价中标。</w:t>
      </w:r>
    </w:p>
    <w:p w14:paraId="7164E5A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8. 评标细则详见 “谈判原则及方法”。</w:t>
      </w:r>
    </w:p>
    <w:p w14:paraId="7BF8A03E">
      <w:pPr>
        <w:pStyle w:val="11"/>
        <w:spacing w:line="460" w:lineRule="exact"/>
        <w:ind w:firstLine="440"/>
        <w:rPr>
          <w:rFonts w:hint="eastAsia" w:ascii="宋体" w:hAnsi="Times New Roman" w:eastAsia="宋体" w:cs="Times New Roman"/>
          <w:color w:val="auto"/>
          <w:sz w:val="22"/>
          <w:szCs w:val="22"/>
          <w:highlight w:val="none"/>
        </w:rPr>
      </w:pPr>
      <w:bookmarkStart w:id="7" w:name="_Toc530761241"/>
      <w:r>
        <w:rPr>
          <w:rFonts w:hint="eastAsia" w:ascii="宋体" w:hAnsi="Times New Roman" w:eastAsia="宋体" w:cs="Times New Roman"/>
          <w:color w:val="auto"/>
          <w:sz w:val="22"/>
          <w:szCs w:val="22"/>
          <w:highlight w:val="none"/>
          <w:lang w:eastAsia="zh-CN"/>
        </w:rPr>
        <w:t>六</w:t>
      </w:r>
      <w:r>
        <w:rPr>
          <w:rFonts w:hint="eastAsia" w:ascii="宋体" w:hAnsi="Times New Roman" w:eastAsia="宋体" w:cs="Times New Roman"/>
          <w:color w:val="auto"/>
          <w:sz w:val="22"/>
          <w:szCs w:val="22"/>
          <w:highlight w:val="none"/>
        </w:rPr>
        <w:t>、 授予合同</w:t>
      </w:r>
      <w:bookmarkEnd w:id="7"/>
    </w:p>
    <w:p w14:paraId="31BB407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 最终审查</w:t>
      </w:r>
    </w:p>
    <w:p w14:paraId="709B2B1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1.1采购单位依法负责成交（中标）供应商的资格审查工作，由采购人代表具体履行该项职责。采购单位没有派遣采购人代表参加项目评审，应在收到采购结果后的5个工作日内对成交（中标）供应商的资格和采购结果进行审查并确认，但事先已授权评标小组进行审查确认的除外。</w:t>
      </w:r>
    </w:p>
    <w:p w14:paraId="2E7C77DB">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1.2如果审查通过，采购人将把成交合同授予该</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，如果审查没有通过，采购人将拒绝其投标。</w:t>
      </w:r>
    </w:p>
    <w:p w14:paraId="53018FE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1.3 评标小组推荐的</w:t>
      </w:r>
      <w:r>
        <w:rPr>
          <w:rFonts w:hint="eastAsia" w:ascii="宋体" w:hAnsi="Times New Roman" w:eastAsia="宋体" w:cs="Times New Roman"/>
          <w:color w:val="auto"/>
          <w:sz w:val="22"/>
          <w:szCs w:val="22"/>
          <w:highlight w:val="none"/>
          <w:lang w:eastAsia="zh-CN"/>
        </w:rPr>
        <w:t>成交</w:t>
      </w:r>
      <w:r>
        <w:rPr>
          <w:rFonts w:hint="eastAsia" w:ascii="宋体" w:hAnsi="Times New Roman" w:eastAsia="宋体" w:cs="Times New Roman"/>
          <w:color w:val="auto"/>
          <w:sz w:val="22"/>
          <w:szCs w:val="22"/>
          <w:highlight w:val="none"/>
          <w:lang w:val="en-US" w:eastAsia="zh-CN"/>
        </w:rPr>
        <w:t>候选人</w:t>
      </w:r>
      <w:r>
        <w:rPr>
          <w:rFonts w:hint="eastAsia" w:ascii="宋体" w:hAnsi="Times New Roman" w:eastAsia="宋体" w:cs="Times New Roman"/>
          <w:color w:val="auto"/>
          <w:sz w:val="22"/>
          <w:szCs w:val="22"/>
          <w:highlight w:val="none"/>
        </w:rPr>
        <w:t>经采购人审查合格后在网上发布成交公告。</w:t>
      </w:r>
    </w:p>
    <w:p w14:paraId="220A0D6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 成交通知书</w:t>
      </w:r>
    </w:p>
    <w:p w14:paraId="6C31709D">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2.1 发布成交公告的同时，采购人将向</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 xml:space="preserve">发出成交通知书。 </w:t>
      </w:r>
    </w:p>
    <w:p w14:paraId="247C865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2.2 成交通知书是合同的一个组成部分,对采购人和</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均具有同等法律效力。</w:t>
      </w:r>
    </w:p>
    <w:p w14:paraId="019ADABF">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3． 授标时更改采购货物（服务）数量的权力</w:t>
      </w:r>
    </w:p>
    <w:p w14:paraId="2F2190D1">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    采购人在授予合同时有权对采购货物的数量和服务在一定幅度范围内予以增加或减少,经双方协商同意，可以对其他的条款和条件作适当修改，但不得对单价作任何改变。</w:t>
      </w:r>
    </w:p>
    <w:p w14:paraId="53F27AED">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4． 签订合同</w:t>
      </w:r>
    </w:p>
    <w:p w14:paraId="3906F0F6">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4.1 </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应按成交通知书规定的时间、地点与采购人签订合同（合同另有规定的除外）。</w:t>
      </w:r>
    </w:p>
    <w:p w14:paraId="5CA6F574">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4.2 在签订合同前，采购人有权在成交总价不变的前提下要求</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对报价中的不平衡报价和缺漏项进行调整，如果</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无合理理由拒绝调整，其成交资格将被取消，且将导致其它进一步的赔偿和处罚。</w:t>
      </w:r>
    </w:p>
    <w:p w14:paraId="6A339F9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4.3 采购文件、</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的</w:t>
      </w:r>
      <w:r>
        <w:rPr>
          <w:rFonts w:hint="eastAsia" w:ascii="宋体" w:hAnsi="Times New Roman" w:eastAsia="宋体" w:cs="Times New Roman"/>
          <w:color w:val="auto"/>
          <w:sz w:val="22"/>
          <w:szCs w:val="22"/>
          <w:highlight w:val="none"/>
          <w:lang w:val="en-US" w:eastAsia="zh-CN"/>
        </w:rPr>
        <w:t>报价</w:t>
      </w:r>
      <w:r>
        <w:rPr>
          <w:rFonts w:hint="eastAsia" w:ascii="宋体" w:hAnsi="Times New Roman" w:eastAsia="宋体" w:cs="Times New Roman"/>
          <w:color w:val="auto"/>
          <w:sz w:val="22"/>
          <w:szCs w:val="22"/>
          <w:highlight w:val="none"/>
        </w:rPr>
        <w:t>文件、修改文件、投标过程中有关澄清文件及经</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和评标小组双方签字的询标纪要和成交通知书均作为合同附件。</w:t>
      </w:r>
    </w:p>
    <w:p w14:paraId="0AFA3DBF">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4.4 拒签合同的违约责任</w:t>
      </w:r>
    </w:p>
    <w:p w14:paraId="2EA80C23">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接到成交通知书后，在规定的时间内因自身原因拒签合同的，或在规定时间内借故否认已经承诺的条件而拒签合同的，按自动弃标处理。如已签合同却拒绝按合同约定履行，以违约处理，采购人可单方终止合同，其投标保证金将被不予退还。</w:t>
      </w:r>
    </w:p>
    <w:p w14:paraId="09EFBFD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4.5 </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应在合同签订后五个工作日内提交一份采购合同扫描件或复印件交采购代理机构备案。</w:t>
      </w:r>
    </w:p>
    <w:p w14:paraId="053A52D8">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  质疑与投诉</w:t>
      </w:r>
    </w:p>
    <w:p w14:paraId="3C0822C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5.1 </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认为采购文件、采购过程、</w:t>
      </w:r>
      <w:r>
        <w:rPr>
          <w:rFonts w:hint="eastAsia" w:ascii="宋体" w:hAnsi="Times New Roman" w:eastAsia="宋体" w:cs="Times New Roman"/>
          <w:color w:val="auto"/>
          <w:sz w:val="22"/>
          <w:szCs w:val="22"/>
          <w:highlight w:val="none"/>
          <w:lang w:eastAsia="zh-CN"/>
        </w:rPr>
        <w:t>成交结果</w:t>
      </w:r>
      <w:r>
        <w:rPr>
          <w:rFonts w:hint="eastAsia" w:ascii="宋体" w:hAnsi="Times New Roman" w:eastAsia="宋体" w:cs="Times New Roman"/>
          <w:color w:val="auto"/>
          <w:sz w:val="22"/>
          <w:szCs w:val="22"/>
          <w:highlight w:val="none"/>
        </w:rPr>
        <w:t>使自己的合法权益受到损害的，可以在知道或应知其权益受到损害之日起七个工作日内以书面形式向采购人或采购代理机构提出质疑。本条中所规定的应知其权益受到损害之日，是指：</w:t>
      </w:r>
    </w:p>
    <w:p w14:paraId="60D707CA">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（1）对可以质疑的采购文件提出质疑的，为收到采购文件之日或者采购文件公告期限届满之日；</w:t>
      </w:r>
    </w:p>
    <w:p w14:paraId="193FA5C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（2）对采购过程提出质疑的，为各采购程序环节结束之日；</w:t>
      </w:r>
    </w:p>
    <w:p w14:paraId="77FCD7D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（3）对中标或者成交结果提出质疑的，为中标或者成交结果公告期限届满之日。</w:t>
      </w:r>
    </w:p>
    <w:p w14:paraId="53FE40E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5.2 采购人或采购代理机构在收到</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的书面质疑后七个工作日内作出答复，但答复的内容不得涉及商业秘密。质疑</w:t>
      </w:r>
      <w:r>
        <w:rPr>
          <w:rFonts w:hint="eastAsia" w:ascii="宋体" w:hAnsi="Times New Roman" w:eastAsia="宋体" w:cs="Times New Roman"/>
          <w:color w:val="auto"/>
          <w:sz w:val="22"/>
          <w:szCs w:val="22"/>
          <w:highlight w:val="none"/>
          <w:lang w:eastAsia="zh-CN"/>
        </w:rPr>
        <w:t>供应商</w:t>
      </w:r>
      <w:r>
        <w:rPr>
          <w:rFonts w:hint="eastAsia" w:ascii="宋体" w:hAnsi="Times New Roman" w:eastAsia="宋体" w:cs="Times New Roman"/>
          <w:color w:val="auto"/>
          <w:sz w:val="22"/>
          <w:szCs w:val="22"/>
          <w:highlight w:val="none"/>
        </w:rPr>
        <w:t>对采购人或采购代理机构的答复不满意，可以在答复期满后十五个工作日内向采购人的采购监督管理部门投诉。</w:t>
      </w:r>
    </w:p>
    <w:p w14:paraId="30C9D8C0">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5.3 投诉人投诉时，应提交投诉书，投诉书应当由本人或法定代表人签字盖公章，投诉书应说明具体的投诉事项及事实依据。投诉人对投诉书的真实性负责，恶意投诉将承当相应的法律和民事责任。</w:t>
      </w:r>
    </w:p>
    <w:p w14:paraId="54686285">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5.4 采购监督管理部门：</w:t>
      </w:r>
      <w:r>
        <w:rPr>
          <w:rFonts w:hint="eastAsia" w:ascii="宋体" w:cs="Times New Roman"/>
          <w:color w:val="auto"/>
          <w:sz w:val="22"/>
          <w:szCs w:val="22"/>
          <w:highlight w:val="none"/>
          <w:lang w:val="en-US" w:eastAsia="zh-CN"/>
        </w:rPr>
        <w:t>龙港市宏程小学</w:t>
      </w:r>
      <w:r>
        <w:rPr>
          <w:rFonts w:hint="eastAsia" w:ascii="宋体" w:hAnsi="Times New Roman" w:eastAsia="宋体" w:cs="Times New Roman"/>
          <w:color w:val="auto"/>
          <w:sz w:val="22"/>
          <w:szCs w:val="22"/>
          <w:highlight w:val="none"/>
        </w:rPr>
        <w:t>，电话：</w:t>
      </w:r>
      <w:r>
        <w:rPr>
          <w:rFonts w:hint="eastAsia" w:ascii="宋体" w:cs="宋体"/>
          <w:color w:val="auto"/>
          <w:sz w:val="22"/>
          <w:szCs w:val="22"/>
          <w:highlight w:val="none"/>
          <w:lang w:eastAsia="zh-CN"/>
        </w:rPr>
        <w:t>15869468531</w:t>
      </w:r>
      <w:r>
        <w:rPr>
          <w:rFonts w:hint="eastAsia" w:ascii="宋体" w:hAnsi="Times New Roman" w:eastAsia="宋体" w:cs="Times New Roman"/>
          <w:color w:val="auto"/>
          <w:sz w:val="22"/>
          <w:szCs w:val="22"/>
          <w:highlight w:val="none"/>
        </w:rPr>
        <w:t>。</w:t>
      </w:r>
    </w:p>
    <w:p w14:paraId="1AF64EC6">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5.5 供应商提出质疑应当提交质疑函和必要的证明材料。质疑函应当包括下列内容：</w:t>
      </w:r>
    </w:p>
    <w:p w14:paraId="289C2FF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（一）供应商的姓名或者名称、地址、邮编、联系人及联系电话；</w:t>
      </w:r>
    </w:p>
    <w:p w14:paraId="314058C2">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（二）质疑项目的名称、编号；</w:t>
      </w:r>
    </w:p>
    <w:p w14:paraId="7FB56836">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（三）具体、明确的质疑事项和与质疑事项相关的请求；</w:t>
      </w:r>
    </w:p>
    <w:p w14:paraId="4763291E">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（四）事实依据；</w:t>
      </w:r>
    </w:p>
    <w:p w14:paraId="08F3B15D">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（五）必要的法律依据；</w:t>
      </w:r>
    </w:p>
    <w:p w14:paraId="791CF640">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（六）提出质疑的日期。</w:t>
      </w:r>
    </w:p>
    <w:p w14:paraId="115A43C7">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5.6 供应商为自然人的，应当由本人签字；供应商为法人或者其他组织的，应当由法定代表人、主要负责人，或者其授权代表签字或者盖章，并加盖公章。 </w:t>
      </w:r>
    </w:p>
    <w:p w14:paraId="28393ED9">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6.  招标代理服务费</w:t>
      </w:r>
    </w:p>
    <w:p w14:paraId="6731D41F">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6.1  招标代理服务费按人民币</w:t>
      </w:r>
      <w:r>
        <w:rPr>
          <w:rFonts w:hint="eastAsia" w:ascii="宋体" w:cs="Times New Roman"/>
          <w:color w:val="auto"/>
          <w:sz w:val="22"/>
          <w:szCs w:val="22"/>
          <w:highlight w:val="none"/>
          <w:lang w:val="en-US" w:eastAsia="zh-CN"/>
        </w:rPr>
        <w:t>伍仟</w:t>
      </w:r>
      <w:r>
        <w:rPr>
          <w:rFonts w:hint="eastAsia" w:ascii="宋体" w:hAnsi="Times New Roman" w:eastAsia="宋体" w:cs="Times New Roman"/>
          <w:color w:val="auto"/>
          <w:sz w:val="22"/>
          <w:szCs w:val="22"/>
          <w:highlight w:val="none"/>
        </w:rPr>
        <w:t>元</w:t>
      </w:r>
      <w:r>
        <w:rPr>
          <w:rFonts w:hint="eastAsia" w:ascii="宋体" w:cs="Times New Roman"/>
          <w:color w:val="auto"/>
          <w:sz w:val="22"/>
          <w:szCs w:val="22"/>
          <w:highlight w:val="none"/>
          <w:lang w:eastAsia="zh-CN"/>
        </w:rPr>
        <w:t>整</w:t>
      </w:r>
      <w:r>
        <w:rPr>
          <w:rFonts w:hint="eastAsia" w:ascii="宋体" w:hAnsi="Times New Roman" w:eastAsia="宋体" w:cs="Times New Roman"/>
          <w:color w:val="auto"/>
          <w:sz w:val="22"/>
          <w:szCs w:val="22"/>
          <w:highlight w:val="none"/>
        </w:rPr>
        <w:t>（¥：</w:t>
      </w:r>
      <w:r>
        <w:rPr>
          <w:rFonts w:hint="eastAsia" w:ascii="宋体" w:cs="Times New Roman"/>
          <w:color w:val="auto"/>
          <w:sz w:val="22"/>
          <w:szCs w:val="22"/>
          <w:highlight w:val="none"/>
          <w:lang w:val="en-US" w:eastAsia="zh-CN"/>
        </w:rPr>
        <w:t>5000.00</w:t>
      </w:r>
      <w:r>
        <w:rPr>
          <w:rFonts w:hint="eastAsia" w:ascii="宋体" w:hAnsi="Times New Roman" w:eastAsia="宋体" w:cs="Times New Roman"/>
          <w:color w:val="auto"/>
          <w:sz w:val="22"/>
          <w:szCs w:val="22"/>
          <w:highlight w:val="none"/>
        </w:rPr>
        <w:t>元）计取，由</w:t>
      </w:r>
      <w:r>
        <w:rPr>
          <w:rFonts w:hint="eastAsia" w:ascii="宋体" w:hAnsi="Times New Roman" w:eastAsia="宋体" w:cs="Times New Roman"/>
          <w:color w:val="auto"/>
          <w:sz w:val="22"/>
          <w:szCs w:val="22"/>
          <w:highlight w:val="none"/>
          <w:lang w:eastAsia="zh-CN"/>
        </w:rPr>
        <w:t>成交供应商</w:t>
      </w:r>
      <w:r>
        <w:rPr>
          <w:rFonts w:hint="eastAsia" w:ascii="宋体" w:hAnsi="Times New Roman" w:eastAsia="宋体" w:cs="Times New Roman"/>
          <w:color w:val="auto"/>
          <w:sz w:val="22"/>
          <w:szCs w:val="22"/>
          <w:highlight w:val="none"/>
        </w:rPr>
        <w:t>在领取</w:t>
      </w:r>
      <w:r>
        <w:rPr>
          <w:rFonts w:hint="eastAsia" w:ascii="宋体" w:hAnsi="Times New Roman" w:eastAsia="宋体" w:cs="Times New Roman"/>
          <w:color w:val="auto"/>
          <w:sz w:val="22"/>
          <w:szCs w:val="22"/>
          <w:highlight w:val="none"/>
          <w:lang w:eastAsia="zh-CN"/>
        </w:rPr>
        <w:t>成交通知书</w:t>
      </w:r>
      <w:r>
        <w:rPr>
          <w:rFonts w:hint="eastAsia" w:ascii="宋体" w:hAnsi="Times New Roman" w:eastAsia="宋体" w:cs="Times New Roman"/>
          <w:color w:val="auto"/>
          <w:sz w:val="22"/>
          <w:szCs w:val="22"/>
          <w:highlight w:val="none"/>
        </w:rPr>
        <w:t>时支付，招标代理服务费计入投标报价中。</w:t>
      </w:r>
    </w:p>
    <w:p w14:paraId="64D37E44">
      <w:pPr>
        <w:pStyle w:val="11"/>
        <w:spacing w:line="460" w:lineRule="exact"/>
        <w:ind w:firstLine="440"/>
        <w:rPr>
          <w:rFonts w:hint="eastAsia" w:ascii="宋体" w:hAnsi="Times New Roman" w:eastAsia="宋体" w:cs="Times New Roman"/>
          <w:color w:val="auto"/>
          <w:sz w:val="22"/>
          <w:szCs w:val="22"/>
          <w:highlight w:val="none"/>
        </w:rPr>
      </w:pPr>
    </w:p>
    <w:p w14:paraId="52C2FDFC">
      <w:pPr>
        <w:pStyle w:val="11"/>
        <w:spacing w:line="460" w:lineRule="exact"/>
        <w:ind w:firstLine="440"/>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 xml:space="preserve">                                 </w:t>
      </w:r>
    </w:p>
    <w:p w14:paraId="5163AAAC">
      <w:pPr>
        <w:snapToGrid w:val="0"/>
        <w:spacing w:line="460" w:lineRule="atLeast"/>
        <w:jc w:val="center"/>
        <w:rPr>
          <w:rFonts w:ascii="宋体" w:hAnsi="宋体"/>
          <w:color w:val="auto"/>
          <w:sz w:val="36"/>
          <w:highlight w:val="none"/>
        </w:rPr>
      </w:pPr>
      <w:r>
        <w:rPr>
          <w:rFonts w:hint="eastAsia" w:ascii="宋体" w:hAnsi="Times New Roman" w:eastAsia="宋体" w:cs="Times New Roman"/>
          <w:color w:val="auto"/>
          <w:sz w:val="22"/>
          <w:szCs w:val="22"/>
          <w:highlight w:val="none"/>
        </w:rPr>
        <w:br w:type="page"/>
      </w:r>
      <w:r>
        <w:rPr>
          <w:rFonts w:hint="eastAsia" w:ascii="宋体" w:hAnsi="Times New Roman" w:eastAsia="宋体" w:cs="Times New Roman"/>
          <w:color w:val="auto"/>
          <w:sz w:val="22"/>
          <w:szCs w:val="22"/>
          <w:highlight w:val="none"/>
          <w:lang w:val="en-US" w:eastAsia="zh-CN"/>
        </w:rPr>
        <w:t xml:space="preserve">  </w:t>
      </w:r>
      <w:bookmarkStart w:id="8" w:name="_Toc19007697"/>
      <w:bookmarkStart w:id="9" w:name="_Toc21529896"/>
      <w:r>
        <w:rPr>
          <w:rFonts w:hint="eastAsia" w:ascii="宋体" w:hAnsi="宋体"/>
          <w:color w:val="auto"/>
          <w:sz w:val="36"/>
          <w:highlight w:val="none"/>
        </w:rPr>
        <w:t>第</w:t>
      </w:r>
      <w:r>
        <w:rPr>
          <w:rFonts w:hint="eastAsia" w:ascii="宋体" w:hAnsi="宋体"/>
          <w:color w:val="auto"/>
          <w:sz w:val="36"/>
          <w:highlight w:val="none"/>
          <w:lang w:val="en-US" w:eastAsia="zh-CN"/>
        </w:rPr>
        <w:t>四</w:t>
      </w:r>
      <w:r>
        <w:rPr>
          <w:rFonts w:hint="eastAsia" w:ascii="宋体" w:hAnsi="宋体"/>
          <w:color w:val="auto"/>
          <w:sz w:val="36"/>
          <w:highlight w:val="none"/>
        </w:rPr>
        <w:t>部分  合同主要条款</w:t>
      </w:r>
    </w:p>
    <w:bookmarkEnd w:id="8"/>
    <w:bookmarkEnd w:id="9"/>
    <w:p w14:paraId="538D726D">
      <w:pPr>
        <w:pStyle w:val="31"/>
        <w:spacing w:line="460" w:lineRule="exact"/>
        <w:ind w:left="0" w:leftChars="0"/>
        <w:rPr>
          <w:rFonts w:ascii="宋体"/>
          <w:bCs/>
          <w:color w:val="auto"/>
          <w:sz w:val="22"/>
          <w:szCs w:val="22"/>
          <w:highlight w:val="none"/>
        </w:rPr>
      </w:pPr>
      <w:r>
        <w:rPr>
          <w:rFonts w:hint="eastAsia" w:ascii="宋体"/>
          <w:color w:val="auto"/>
          <w:sz w:val="22"/>
          <w:szCs w:val="22"/>
          <w:highlight w:val="none"/>
        </w:rPr>
        <w:t>采购人：</w:t>
      </w:r>
      <w:r>
        <w:rPr>
          <w:rFonts w:hint="eastAsia"/>
          <w:bCs/>
          <w:color w:val="auto"/>
          <w:sz w:val="22"/>
          <w:szCs w:val="22"/>
          <w:highlight w:val="none"/>
          <w:u w:val="single"/>
          <w:lang w:eastAsia="zh-CN"/>
        </w:rPr>
        <w:t>苍南中工建设开发有限公司</w:t>
      </w:r>
      <w:r>
        <w:rPr>
          <w:rFonts w:hint="eastAsia" w:ascii="宋体"/>
          <w:bCs/>
          <w:color w:val="auto"/>
          <w:sz w:val="22"/>
          <w:szCs w:val="22"/>
          <w:highlight w:val="none"/>
        </w:rPr>
        <w:t xml:space="preserve">                                   （以下简称甲方）</w:t>
      </w:r>
    </w:p>
    <w:p w14:paraId="7EE63D46">
      <w:pPr>
        <w:pStyle w:val="31"/>
        <w:spacing w:line="460" w:lineRule="exact"/>
        <w:ind w:left="0" w:leftChars="0"/>
        <w:rPr>
          <w:rFonts w:ascii="宋体"/>
          <w:color w:val="auto"/>
          <w:sz w:val="22"/>
          <w:szCs w:val="22"/>
          <w:highlight w:val="none"/>
        </w:rPr>
      </w:pPr>
      <w:r>
        <w:rPr>
          <w:rFonts w:hint="eastAsia" w:ascii="宋体"/>
          <w:bCs/>
          <w:color w:val="auto"/>
          <w:sz w:val="22"/>
          <w:szCs w:val="22"/>
          <w:highlight w:val="none"/>
        </w:rPr>
        <w:t>成交供应商：</w:t>
      </w:r>
      <w:r>
        <w:rPr>
          <w:rFonts w:hint="eastAsia"/>
          <w:bCs/>
          <w:color w:val="auto"/>
          <w:sz w:val="22"/>
          <w:szCs w:val="22"/>
          <w:highlight w:val="none"/>
          <w:u w:val="single"/>
        </w:rPr>
        <w:t>本次采购成交供应商</w:t>
      </w:r>
      <w:r>
        <w:rPr>
          <w:rFonts w:hint="eastAsia" w:ascii="宋体"/>
          <w:color w:val="auto"/>
          <w:sz w:val="22"/>
          <w:szCs w:val="22"/>
          <w:highlight w:val="none"/>
        </w:rPr>
        <w:t xml:space="preserve">                                （以下简称乙方）</w:t>
      </w:r>
    </w:p>
    <w:p w14:paraId="1CA4015C">
      <w:pPr>
        <w:widowControl/>
        <w:autoSpaceDE w:val="0"/>
        <w:autoSpaceDN w:val="0"/>
        <w:adjustRightInd w:val="0"/>
        <w:spacing w:line="400" w:lineRule="exact"/>
        <w:ind w:left="2" w:leftChars="1" w:firstLine="440" w:firstLineChars="200"/>
        <w:rPr>
          <w:rFonts w:ascii="宋体" w:hAnsi="宋体"/>
          <w:bCs/>
          <w:color w:val="auto"/>
          <w:sz w:val="22"/>
          <w:szCs w:val="22"/>
          <w:highlight w:val="none"/>
        </w:rPr>
      </w:pPr>
      <w:r>
        <w:rPr>
          <w:rFonts w:hint="eastAsia" w:ascii="宋体" w:hAnsi="宋体"/>
          <w:color w:val="auto"/>
          <w:sz w:val="22"/>
          <w:szCs w:val="22"/>
          <w:highlight w:val="none"/>
        </w:rPr>
        <w:t>甲方采购的</w:t>
      </w:r>
      <w:r>
        <w:rPr>
          <w:rFonts w:hint="eastAsia" w:ascii="宋体" w:hAnsi="宋体"/>
          <w:color w:val="auto"/>
          <w:sz w:val="22"/>
          <w:szCs w:val="22"/>
          <w:highlight w:val="none"/>
          <w:u w:val="single"/>
        </w:rPr>
        <w:t xml:space="preserve">             （项目名称、编号）           </w:t>
      </w:r>
      <w:r>
        <w:rPr>
          <w:rFonts w:hint="eastAsia" w:ascii="宋体" w:hAnsi="宋体"/>
          <w:color w:val="auto"/>
          <w:sz w:val="22"/>
          <w:szCs w:val="22"/>
          <w:highlight w:val="none"/>
        </w:rPr>
        <w:t xml:space="preserve">在国内以竞争性谈判方式进行采购，并确定 </w:t>
      </w:r>
      <w:r>
        <w:rPr>
          <w:rFonts w:hint="eastAsia" w:ascii="宋体" w:hAnsi="宋体"/>
          <w:color w:val="auto"/>
          <w:sz w:val="22"/>
          <w:szCs w:val="22"/>
          <w:highlight w:val="none"/>
          <w:u w:val="single"/>
        </w:rPr>
        <w:t xml:space="preserve">        （成交供应商名称）          </w:t>
      </w:r>
      <w:r>
        <w:rPr>
          <w:rFonts w:hint="eastAsia" w:ascii="宋体" w:hAnsi="宋体"/>
          <w:color w:val="auto"/>
          <w:sz w:val="22"/>
          <w:szCs w:val="22"/>
          <w:highlight w:val="none"/>
        </w:rPr>
        <w:t>为本项目成交供应商。双方同意按照下面条款和条件，签署本合同。</w:t>
      </w:r>
    </w:p>
    <w:p w14:paraId="55B12171">
      <w:pPr>
        <w:widowControl/>
        <w:autoSpaceDE w:val="0"/>
        <w:autoSpaceDN w:val="0"/>
        <w:adjustRightInd w:val="0"/>
        <w:spacing w:line="400" w:lineRule="exact"/>
        <w:ind w:left="2" w:leftChars="1" w:firstLine="440" w:firstLineChars="20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第一条</w:t>
      </w:r>
      <w:r>
        <w:rPr>
          <w:rFonts w:hint="eastAsia" w:ascii="宋体" w:hAnsi="宋体" w:eastAsia="宋体" w:cs="Times New Roman"/>
          <w:color w:val="auto"/>
          <w:sz w:val="22"/>
          <w:szCs w:val="22"/>
          <w:highlight w:val="none"/>
        </w:rPr>
        <w:t>、采购商品清单及合同价格</w:t>
      </w:r>
    </w:p>
    <w:p w14:paraId="2FF1C195">
      <w:pPr>
        <w:widowControl/>
        <w:autoSpaceDE w:val="0"/>
        <w:autoSpaceDN w:val="0"/>
        <w:adjustRightInd w:val="0"/>
        <w:spacing w:line="400" w:lineRule="exact"/>
        <w:ind w:left="2" w:leftChars="1" w:firstLine="440" w:firstLineChars="20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合同暂定总金额为（大写）：_____________元（￥_______________）</w:t>
      </w:r>
    </w:p>
    <w:tbl>
      <w:tblPr>
        <w:tblStyle w:val="49"/>
        <w:tblW w:w="4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347"/>
        <w:gridCol w:w="1803"/>
        <w:gridCol w:w="1652"/>
      </w:tblGrid>
      <w:tr w14:paraId="17F1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0" w:type="pct"/>
            <w:vAlign w:val="center"/>
          </w:tcPr>
          <w:p w14:paraId="426A011D">
            <w:pPr>
              <w:tabs>
                <w:tab w:val="left" w:pos="5733"/>
              </w:tabs>
              <w:jc w:val="center"/>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序号</w:t>
            </w:r>
          </w:p>
        </w:tc>
        <w:tc>
          <w:tcPr>
            <w:tcW w:w="2120" w:type="pct"/>
            <w:vAlign w:val="center"/>
          </w:tcPr>
          <w:p w14:paraId="7C369B49">
            <w:pPr>
              <w:tabs>
                <w:tab w:val="left" w:pos="5733"/>
              </w:tabs>
              <w:jc w:val="center"/>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项目名称</w:t>
            </w:r>
          </w:p>
        </w:tc>
        <w:tc>
          <w:tcPr>
            <w:tcW w:w="1142" w:type="pct"/>
            <w:vAlign w:val="center"/>
          </w:tcPr>
          <w:p w14:paraId="447D08F4">
            <w:pPr>
              <w:tabs>
                <w:tab w:val="left" w:pos="5733"/>
              </w:tabs>
              <w:jc w:val="center"/>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lang w:eastAsia="zh-CN"/>
              </w:rPr>
              <w:t>投标报价</w:t>
            </w:r>
            <w:r>
              <w:rPr>
                <w:rFonts w:hint="eastAsia" w:ascii="新宋体" w:hAnsi="新宋体" w:eastAsia="新宋体" w:cs="新宋体"/>
                <w:b/>
                <w:color w:val="auto"/>
                <w:szCs w:val="21"/>
                <w:highlight w:val="none"/>
              </w:rPr>
              <w:t>（元）</w:t>
            </w:r>
          </w:p>
        </w:tc>
        <w:tc>
          <w:tcPr>
            <w:tcW w:w="1046" w:type="pct"/>
            <w:vAlign w:val="center"/>
          </w:tcPr>
          <w:p w14:paraId="3D5E232B">
            <w:pPr>
              <w:tabs>
                <w:tab w:val="left" w:pos="5733"/>
              </w:tabs>
              <w:jc w:val="center"/>
              <w:rPr>
                <w:rFonts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备注</w:t>
            </w:r>
          </w:p>
        </w:tc>
      </w:tr>
      <w:tr w14:paraId="21FD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0" w:type="pct"/>
            <w:vAlign w:val="center"/>
          </w:tcPr>
          <w:p w14:paraId="655A02D6">
            <w:pPr>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w:t>
            </w:r>
          </w:p>
        </w:tc>
        <w:tc>
          <w:tcPr>
            <w:tcW w:w="2120" w:type="pct"/>
            <w:vAlign w:val="center"/>
          </w:tcPr>
          <w:p w14:paraId="3C60B7E2">
            <w:pPr>
              <w:jc w:val="center"/>
              <w:rPr>
                <w:rFonts w:hint="eastAsia" w:ascii="新宋体" w:hAnsi="新宋体" w:eastAsia="新宋体" w:cs="新宋体"/>
                <w:color w:val="auto"/>
                <w:szCs w:val="21"/>
                <w:highlight w:val="none"/>
                <w:lang w:eastAsia="zh-CN"/>
              </w:rPr>
            </w:pPr>
            <w:r>
              <w:rPr>
                <w:rFonts w:hint="eastAsia" w:ascii="新宋体" w:hAnsi="新宋体" w:eastAsia="新宋体" w:cs="新宋体"/>
                <w:bCs/>
                <w:color w:val="auto"/>
                <w:szCs w:val="21"/>
                <w:highlight w:val="none"/>
                <w:lang w:eastAsia="zh-CN"/>
              </w:rPr>
              <w:t>龙港市宏程小学精品录播系统采购项目</w:t>
            </w:r>
          </w:p>
        </w:tc>
        <w:tc>
          <w:tcPr>
            <w:tcW w:w="1142" w:type="pct"/>
            <w:vAlign w:val="center"/>
          </w:tcPr>
          <w:p w14:paraId="41ADA53A">
            <w:pPr>
              <w:jc w:val="center"/>
              <w:rPr>
                <w:rFonts w:ascii="新宋体" w:hAnsi="新宋体" w:eastAsia="新宋体" w:cs="新宋体"/>
                <w:color w:val="auto"/>
                <w:szCs w:val="21"/>
                <w:highlight w:val="none"/>
              </w:rPr>
            </w:pPr>
          </w:p>
        </w:tc>
        <w:tc>
          <w:tcPr>
            <w:tcW w:w="1046" w:type="pct"/>
            <w:vAlign w:val="center"/>
          </w:tcPr>
          <w:p w14:paraId="0D97E174">
            <w:pPr>
              <w:jc w:val="center"/>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最高限价</w:t>
            </w:r>
            <w:r>
              <w:rPr>
                <w:rFonts w:hint="eastAsia" w:ascii="新宋体" w:hAnsi="新宋体" w:eastAsia="新宋体" w:cs="新宋体"/>
                <w:b/>
                <w:bCs/>
                <w:color w:val="auto"/>
                <w:szCs w:val="21"/>
                <w:highlight w:val="none"/>
                <w:lang w:val="en-US" w:eastAsia="zh-CN"/>
              </w:rPr>
              <w:t>200000</w:t>
            </w:r>
            <w:r>
              <w:rPr>
                <w:rFonts w:hint="eastAsia" w:ascii="新宋体" w:hAnsi="新宋体" w:eastAsia="新宋体" w:cs="新宋体"/>
                <w:b/>
                <w:bCs/>
                <w:color w:val="auto"/>
                <w:szCs w:val="21"/>
                <w:highlight w:val="none"/>
              </w:rPr>
              <w:t>元</w:t>
            </w:r>
            <w:r>
              <w:rPr>
                <w:rFonts w:hint="eastAsia" w:ascii="宋体" w:hAnsi="宋体" w:cs="宋体"/>
                <w:color w:val="auto"/>
                <w:kern w:val="0"/>
                <w:sz w:val="22"/>
                <w:szCs w:val="22"/>
                <w:highlight w:val="none"/>
                <w:lang w:val="en-US" w:eastAsia="zh-CN"/>
              </w:rPr>
              <w:t>（含税率13%）</w:t>
            </w:r>
          </w:p>
        </w:tc>
      </w:tr>
    </w:tbl>
    <w:p w14:paraId="2A84E7D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第二条：质量标准和要求</w:t>
      </w:r>
    </w:p>
    <w:p w14:paraId="6B40DA2B">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成交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0B5ABEE2">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 成交供应商所出售的货物还应符合国家和浙江省有关安全、环保、卫生之规定。</w:t>
      </w:r>
    </w:p>
    <w:p w14:paraId="26E8C68B">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第三条：权利瑕疵担保</w:t>
      </w:r>
    </w:p>
    <w:p w14:paraId="6A7A27C4">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1、成交供应商保证对其出售的货物享有合法的权利。</w:t>
      </w:r>
    </w:p>
    <w:p w14:paraId="7091F420">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2、成交供应商保证在其出售的货物上不存在任何未曾向采购人透露的担保物权，如抵押权、质押权、留置权等。</w:t>
      </w:r>
    </w:p>
    <w:p w14:paraId="0CFA2882">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3、成交供应商保证其所出售的货物没有侵犯任何第三人的知识产权和商业秘密等权利。</w:t>
      </w:r>
    </w:p>
    <w:p w14:paraId="6A2D5F98">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4、如采购人使用该货物构成上述侵权的，则由成交供应商承担全部责任。</w:t>
      </w:r>
    </w:p>
    <w:p w14:paraId="7A378A3E">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第四条：包装要求</w:t>
      </w:r>
    </w:p>
    <w:p w14:paraId="6672EB72">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1、成交供应商所出售的全部货物均应按标准保护措施进行包装，这类包装应适应于远距离运输、防潮、防震、防锈和防野蛮装卸等要求，以确保货物安全无损地运抵指定现场。</w:t>
      </w:r>
    </w:p>
    <w:p w14:paraId="6383765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2、每一个包装箱内应附一份详细装箱单、质量证书和保修保养证书。</w:t>
      </w:r>
    </w:p>
    <w:p w14:paraId="18B28D30">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第五条：供货期限</w:t>
      </w:r>
    </w:p>
    <w:p w14:paraId="2CB55D56">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成交供应商负责</w:t>
      </w:r>
      <w:r>
        <w:rPr>
          <w:rFonts w:hint="eastAsia" w:hAnsi="宋体"/>
          <w:color w:val="auto"/>
          <w:sz w:val="22"/>
          <w:szCs w:val="22"/>
          <w:highlight w:val="none"/>
          <w:lang w:val="en-US" w:eastAsia="zh-CN"/>
        </w:rPr>
        <w:t>2025</w:t>
      </w:r>
      <w:r>
        <w:rPr>
          <w:rFonts w:hint="eastAsia" w:hAnsi="宋体"/>
          <w:color w:val="auto"/>
          <w:sz w:val="22"/>
          <w:szCs w:val="22"/>
          <w:highlight w:val="none"/>
        </w:rPr>
        <w:t>年</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日前完成交货，</w:t>
      </w:r>
      <w:r>
        <w:rPr>
          <w:rFonts w:hint="eastAsia" w:hAnsi="宋体"/>
          <w:color w:val="auto"/>
          <w:sz w:val="22"/>
          <w:szCs w:val="22"/>
          <w:highlight w:val="none"/>
          <w:lang w:val="en-US" w:eastAsia="zh-CN"/>
        </w:rPr>
        <w:t>2025</w:t>
      </w:r>
      <w:r>
        <w:rPr>
          <w:rFonts w:hint="eastAsia" w:hAnsi="宋体"/>
          <w:color w:val="auto"/>
          <w:sz w:val="22"/>
          <w:szCs w:val="22"/>
          <w:highlight w:val="none"/>
        </w:rPr>
        <w:t>年</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月</w:t>
      </w:r>
      <w:r>
        <w:rPr>
          <w:rFonts w:hint="eastAsia" w:hAnsi="宋体"/>
          <w:color w:val="auto"/>
          <w:sz w:val="22"/>
          <w:szCs w:val="22"/>
          <w:highlight w:val="none"/>
          <w:lang w:val="en-US" w:eastAsia="zh-CN"/>
        </w:rPr>
        <w:t xml:space="preserve">  </w:t>
      </w:r>
      <w:r>
        <w:rPr>
          <w:rFonts w:hint="eastAsia" w:hAnsi="宋体"/>
          <w:color w:val="auto"/>
          <w:sz w:val="22"/>
          <w:szCs w:val="22"/>
          <w:highlight w:val="none"/>
        </w:rPr>
        <w:t>日前调试验收合格。</w:t>
      </w:r>
    </w:p>
    <w:p w14:paraId="20234491">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第六条：供货方式</w:t>
      </w:r>
    </w:p>
    <w:p w14:paraId="0F8AAD0D">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在供货期限内，成交供应商在与采购人签署合同后，保证在</w:t>
      </w:r>
      <w:r>
        <w:rPr>
          <w:rFonts w:hint="eastAsia" w:hAnsi="宋体"/>
          <w:color w:val="auto"/>
          <w:sz w:val="22"/>
          <w:szCs w:val="22"/>
          <w:highlight w:val="none"/>
          <w:u w:val="single"/>
        </w:rPr>
        <w:t xml:space="preserve"> </w:t>
      </w:r>
      <w:r>
        <w:rPr>
          <w:rFonts w:hint="eastAsia" w:hAnsi="宋体"/>
          <w:color w:val="auto"/>
          <w:sz w:val="22"/>
          <w:szCs w:val="22"/>
          <w:highlight w:val="none"/>
          <w:u w:val="single"/>
          <w:lang w:val="en-US" w:eastAsia="zh-CN"/>
        </w:rPr>
        <w:t>20</w:t>
      </w:r>
      <w:r>
        <w:rPr>
          <w:rFonts w:hint="eastAsia" w:hAnsi="宋体"/>
          <w:color w:val="auto"/>
          <w:sz w:val="22"/>
          <w:szCs w:val="22"/>
          <w:highlight w:val="none"/>
          <w:u w:val="single"/>
        </w:rPr>
        <w:t xml:space="preserve"> </w:t>
      </w:r>
      <w:r>
        <w:rPr>
          <w:rFonts w:hint="eastAsia" w:hAnsi="宋体"/>
          <w:color w:val="auto"/>
          <w:sz w:val="22"/>
          <w:szCs w:val="22"/>
          <w:highlight w:val="none"/>
        </w:rPr>
        <w:t>个日历天内派人送货至采购人指定地点。</w:t>
      </w:r>
    </w:p>
    <w:p w14:paraId="2FECF50D">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第七条：验收</w:t>
      </w:r>
    </w:p>
    <w:p w14:paraId="5D6D8762">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成交供应商送货至指定地点后，</w:t>
      </w:r>
      <w:r>
        <w:rPr>
          <w:rFonts w:hint="eastAsia" w:hAnsi="宋体"/>
          <w:color w:val="auto"/>
          <w:sz w:val="22"/>
          <w:szCs w:val="22"/>
          <w:highlight w:val="none"/>
          <w:lang w:eastAsia="zh-CN"/>
        </w:rPr>
        <w:t>由</w:t>
      </w:r>
      <w:r>
        <w:rPr>
          <w:rFonts w:hint="eastAsia" w:ascii="宋体" w:hAnsi="宋体" w:cs="宋体"/>
          <w:color w:val="auto"/>
          <w:sz w:val="22"/>
          <w:szCs w:val="22"/>
          <w:highlight w:val="none"/>
          <w:lang w:eastAsia="zh-CN"/>
        </w:rPr>
        <w:t>龙港市宏程小学</w:t>
      </w:r>
      <w:r>
        <w:rPr>
          <w:rFonts w:hint="eastAsia" w:hAnsi="宋体"/>
          <w:color w:val="auto"/>
          <w:sz w:val="22"/>
          <w:szCs w:val="22"/>
          <w:highlight w:val="none"/>
          <w:lang w:eastAsia="zh-CN"/>
        </w:rPr>
        <w:t>组织实施，根据货物的要求和标准，对货物进行检查验收。中标供应商应派专业的技术人员协助进行验收。</w:t>
      </w:r>
    </w:p>
    <w:p w14:paraId="4C0A4B9B">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货物的数量不足或表面瑕疵，</w:t>
      </w:r>
      <w:r>
        <w:rPr>
          <w:rFonts w:hint="eastAsia" w:ascii="宋体" w:hAnsi="宋体" w:cs="宋体"/>
          <w:color w:val="auto"/>
          <w:sz w:val="22"/>
          <w:szCs w:val="22"/>
          <w:highlight w:val="none"/>
          <w:lang w:eastAsia="zh-CN"/>
        </w:rPr>
        <w:t>龙港市宏程小学</w:t>
      </w:r>
      <w:r>
        <w:rPr>
          <w:rFonts w:hint="eastAsia" w:hAnsi="宋体"/>
          <w:color w:val="auto"/>
          <w:sz w:val="22"/>
          <w:szCs w:val="22"/>
          <w:highlight w:val="none"/>
        </w:rPr>
        <w:t>应在验收时当面提出；对质量问题有异议的应在就位调试后10个工作日内提出。</w:t>
      </w:r>
    </w:p>
    <w:p w14:paraId="5E3AFEFD">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在验收过程中发现数量不足或有质量、技术等问题，成交供应商应负责按照</w:t>
      </w:r>
      <w:r>
        <w:rPr>
          <w:rFonts w:hint="eastAsia" w:ascii="宋体" w:hAnsi="宋体" w:cs="宋体"/>
          <w:color w:val="auto"/>
          <w:sz w:val="22"/>
          <w:szCs w:val="22"/>
          <w:highlight w:val="none"/>
          <w:lang w:eastAsia="zh-CN"/>
        </w:rPr>
        <w:t>龙港市宏程小学</w:t>
      </w:r>
      <w:r>
        <w:rPr>
          <w:rFonts w:hint="eastAsia" w:hAnsi="宋体"/>
          <w:color w:val="auto"/>
          <w:sz w:val="22"/>
          <w:szCs w:val="22"/>
          <w:highlight w:val="none"/>
        </w:rPr>
        <w:t>的要求采取补足、更换或退货等处理措施，并承担由此发生的一切费用和损失。</w:t>
      </w:r>
    </w:p>
    <w:p w14:paraId="0BD72B14">
      <w:pPr>
        <w:pStyle w:val="28"/>
        <w:spacing w:line="440" w:lineRule="atLeast"/>
        <w:ind w:firstLine="570"/>
        <w:rPr>
          <w:rFonts w:hint="eastAsia" w:hAnsi="宋体"/>
          <w:color w:val="auto"/>
          <w:sz w:val="22"/>
          <w:szCs w:val="22"/>
          <w:highlight w:val="none"/>
        </w:rPr>
      </w:pPr>
      <w:r>
        <w:rPr>
          <w:rFonts w:hint="eastAsia" w:ascii="宋体" w:hAnsi="宋体" w:cs="宋体"/>
          <w:color w:val="auto"/>
          <w:sz w:val="22"/>
          <w:szCs w:val="22"/>
          <w:highlight w:val="none"/>
          <w:lang w:eastAsia="zh-CN"/>
        </w:rPr>
        <w:t>龙港市宏程小学</w:t>
      </w:r>
      <w:r>
        <w:rPr>
          <w:rFonts w:hint="eastAsia" w:hAnsi="宋体"/>
          <w:color w:val="auto"/>
          <w:sz w:val="22"/>
          <w:szCs w:val="22"/>
          <w:highlight w:val="none"/>
        </w:rPr>
        <w:t>在成交供应商按合同规定交货和就位、调试后，无正当理由而拖延接收、验收或拒绝接收、验收的，应承担由此而造成的成交供应商直接损失。</w:t>
      </w:r>
    </w:p>
    <w:p w14:paraId="5DC937CA">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第八条：售后服务</w:t>
      </w:r>
    </w:p>
    <w:p w14:paraId="35437E23">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成交供应商承诺售后服务按照投标时承诺的服务计划实施。</w:t>
      </w:r>
    </w:p>
    <w:p w14:paraId="45B7F818">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第九条：履约保证金</w:t>
      </w:r>
    </w:p>
    <w:p w14:paraId="49EEB67A">
      <w:pPr>
        <w:pStyle w:val="28"/>
        <w:spacing w:line="440" w:lineRule="atLeast"/>
        <w:ind w:firstLine="570"/>
        <w:rPr>
          <w:rFonts w:hint="eastAsia" w:hAnsi="宋体" w:eastAsia="宋体"/>
          <w:color w:val="auto"/>
          <w:sz w:val="22"/>
          <w:szCs w:val="22"/>
          <w:highlight w:val="none"/>
          <w:lang w:eastAsia="zh-CN"/>
        </w:rPr>
      </w:pPr>
      <w:r>
        <w:rPr>
          <w:rFonts w:hint="eastAsia" w:hAnsi="宋体"/>
          <w:color w:val="auto"/>
          <w:sz w:val="22"/>
          <w:szCs w:val="22"/>
          <w:highlight w:val="none"/>
        </w:rPr>
        <w:t>签订合同后中标供应商须提交合同总价的5%作为履约保证金至采购人指定的账户（转账或保函）</w:t>
      </w:r>
      <w:r>
        <w:rPr>
          <w:rFonts w:hint="eastAsia" w:hAnsi="宋体"/>
          <w:color w:val="auto"/>
          <w:sz w:val="22"/>
          <w:szCs w:val="22"/>
          <w:highlight w:val="none"/>
          <w:lang w:eastAsia="zh-CN"/>
        </w:rPr>
        <w:t>。</w:t>
      </w:r>
      <w:r>
        <w:rPr>
          <w:rFonts w:hint="eastAsia" w:hAnsi="宋体"/>
          <w:color w:val="auto"/>
          <w:sz w:val="22"/>
          <w:szCs w:val="22"/>
          <w:highlight w:val="none"/>
        </w:rPr>
        <w:t>自验收合格之日起，至12个月后无售后履约问题的，采购人在五个工作日内无息一次性退还履约保证金。</w:t>
      </w:r>
    </w:p>
    <w:p w14:paraId="01593BA5">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第九条：货款的支付</w:t>
      </w:r>
    </w:p>
    <w:p w14:paraId="40CED434">
      <w:pPr>
        <w:pStyle w:val="28"/>
        <w:spacing w:line="440" w:lineRule="atLeast"/>
        <w:ind w:firstLine="570"/>
        <w:rPr>
          <w:rFonts w:hint="eastAsia" w:hAnsi="宋体"/>
          <w:color w:val="auto"/>
          <w:sz w:val="22"/>
          <w:szCs w:val="22"/>
          <w:highlight w:val="none"/>
          <w:lang w:val="zh-CN" w:eastAsia="zh-CN"/>
        </w:rPr>
      </w:pPr>
      <w:r>
        <w:rPr>
          <w:rFonts w:hint="eastAsia" w:hAnsi="宋体"/>
          <w:color w:val="auto"/>
          <w:sz w:val="22"/>
          <w:szCs w:val="22"/>
          <w:highlight w:val="none"/>
          <w:lang w:val="zh-CN" w:eastAsia="zh-CN"/>
        </w:rPr>
        <w:t>（</w:t>
      </w:r>
      <w:r>
        <w:rPr>
          <w:rFonts w:hint="eastAsia" w:hAnsi="宋体"/>
          <w:color w:val="auto"/>
          <w:sz w:val="22"/>
          <w:szCs w:val="22"/>
          <w:highlight w:val="none"/>
          <w:lang w:val="en-US" w:eastAsia="zh-CN"/>
        </w:rPr>
        <w:t>1</w:t>
      </w:r>
      <w:r>
        <w:rPr>
          <w:rFonts w:hint="eastAsia" w:hAnsi="宋体"/>
          <w:color w:val="auto"/>
          <w:sz w:val="22"/>
          <w:szCs w:val="22"/>
          <w:highlight w:val="none"/>
          <w:lang w:val="zh-CN" w:eastAsia="zh-CN"/>
        </w:rPr>
        <w:t>）</w:t>
      </w:r>
      <w:r>
        <w:rPr>
          <w:rFonts w:hint="eastAsia" w:hAnsi="宋体"/>
          <w:color w:val="auto"/>
          <w:sz w:val="22"/>
          <w:szCs w:val="22"/>
          <w:highlight w:val="none"/>
          <w:lang w:val="en-US" w:eastAsia="zh-CN"/>
        </w:rPr>
        <w:t>中标</w:t>
      </w:r>
      <w:r>
        <w:rPr>
          <w:rFonts w:hint="eastAsia" w:hAnsi="宋体"/>
          <w:color w:val="auto"/>
          <w:sz w:val="22"/>
          <w:szCs w:val="22"/>
          <w:highlight w:val="none"/>
          <w:lang w:val="zh-CN" w:eastAsia="zh-CN"/>
        </w:rPr>
        <w:t>供应商设备到达现场7个工作日内采购人向供应商支付合同总价的30%作为预付款；</w:t>
      </w:r>
    </w:p>
    <w:p w14:paraId="1C1ED7E9">
      <w:pPr>
        <w:pStyle w:val="28"/>
        <w:spacing w:line="440" w:lineRule="atLeast"/>
        <w:ind w:firstLine="570"/>
        <w:rPr>
          <w:rFonts w:hint="eastAsia" w:hAnsi="宋体"/>
          <w:color w:val="auto"/>
          <w:sz w:val="22"/>
          <w:szCs w:val="22"/>
          <w:highlight w:val="none"/>
          <w:lang w:val="zh-CN" w:eastAsia="zh-CN"/>
        </w:rPr>
      </w:pPr>
      <w:r>
        <w:rPr>
          <w:rFonts w:hint="eastAsia" w:hAnsi="宋体"/>
          <w:color w:val="auto"/>
          <w:sz w:val="22"/>
          <w:szCs w:val="22"/>
          <w:highlight w:val="none"/>
          <w:lang w:val="zh-CN" w:eastAsia="zh-CN"/>
        </w:rPr>
        <w:t>（</w:t>
      </w:r>
      <w:r>
        <w:rPr>
          <w:rFonts w:hint="eastAsia" w:hAnsi="宋体"/>
          <w:color w:val="auto"/>
          <w:sz w:val="22"/>
          <w:szCs w:val="22"/>
          <w:highlight w:val="none"/>
          <w:lang w:val="en-US" w:eastAsia="zh-CN"/>
        </w:rPr>
        <w:t>2</w:t>
      </w:r>
      <w:r>
        <w:rPr>
          <w:rFonts w:hint="eastAsia" w:hAnsi="宋体"/>
          <w:color w:val="auto"/>
          <w:sz w:val="22"/>
          <w:szCs w:val="22"/>
          <w:highlight w:val="none"/>
          <w:lang w:val="zh-CN" w:eastAsia="zh-CN"/>
        </w:rPr>
        <w:t>）</w:t>
      </w:r>
      <w:r>
        <w:rPr>
          <w:rFonts w:hint="eastAsia" w:ascii="宋体" w:hAnsi="宋体" w:cs="宋体"/>
          <w:color w:val="auto"/>
          <w:sz w:val="22"/>
          <w:szCs w:val="22"/>
          <w:highlight w:val="none"/>
        </w:rPr>
        <w:t>中标供应商将所有设备及产品安装调试完成， 由</w:t>
      </w:r>
      <w:r>
        <w:rPr>
          <w:rFonts w:hint="eastAsia" w:ascii="宋体" w:hAnsi="宋体" w:cs="宋体"/>
          <w:color w:val="auto"/>
          <w:sz w:val="22"/>
          <w:szCs w:val="22"/>
          <w:highlight w:val="none"/>
          <w:lang w:eastAsia="zh-CN"/>
        </w:rPr>
        <w:t>龙港市宏程小学</w:t>
      </w:r>
      <w:r>
        <w:rPr>
          <w:rFonts w:hint="eastAsia" w:ascii="宋体" w:hAnsi="宋体" w:cs="宋体"/>
          <w:color w:val="auto"/>
          <w:sz w:val="22"/>
          <w:szCs w:val="22"/>
          <w:highlight w:val="none"/>
        </w:rPr>
        <w:t>组织验收合格后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中标供应商将向甲方提供相关付款资料并足额开具发票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%的增值税专用发票</w:t>
      </w:r>
      <w:r>
        <w:rPr>
          <w:rFonts w:hint="eastAsia" w:ascii="宋体" w:hAnsi="宋体" w:cs="宋体"/>
          <w:color w:val="auto"/>
          <w:sz w:val="22"/>
          <w:szCs w:val="22"/>
          <w:highlight w:val="none"/>
          <w:lang w:eastAsia="zh-CN"/>
        </w:rPr>
        <w:t>），且甲方收取政府付费后，</w:t>
      </w:r>
      <w:r>
        <w:rPr>
          <w:rFonts w:hint="eastAsia" w:ascii="宋体" w:hAnsi="宋体" w:cs="宋体"/>
          <w:color w:val="auto"/>
          <w:sz w:val="22"/>
          <w:szCs w:val="22"/>
          <w:highlight w:val="none"/>
        </w:rPr>
        <w:t>采购人向供应商支付至合同价款的</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0%</w:t>
      </w:r>
      <w:r>
        <w:rPr>
          <w:rFonts w:hint="eastAsia" w:ascii="宋体" w:hAnsi="宋体" w:cs="宋体"/>
          <w:color w:val="auto"/>
          <w:sz w:val="22"/>
          <w:szCs w:val="22"/>
          <w:highlight w:val="none"/>
          <w:lang w:eastAsia="zh-CN"/>
        </w:rPr>
        <w:t>（预计2026年1月支付）</w:t>
      </w:r>
      <w:r>
        <w:rPr>
          <w:rFonts w:hint="eastAsia"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留10%作为质保金，自验收合格之日起，至12个月后</w:t>
      </w:r>
      <w:r>
        <w:rPr>
          <w:rFonts w:hint="eastAsia" w:hAnsi="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一次性付清质保金</w:t>
      </w:r>
      <w:r>
        <w:rPr>
          <w:rFonts w:hint="eastAsia" w:hAnsi="宋体" w:cs="宋体"/>
          <w:color w:val="auto"/>
          <w:sz w:val="22"/>
          <w:szCs w:val="22"/>
          <w:highlight w:val="none"/>
          <w:lang w:val="en-US" w:eastAsia="zh-CN"/>
        </w:rPr>
        <w:t>。</w:t>
      </w:r>
    </w:p>
    <w:p w14:paraId="29939A18">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备注：采购人有权根据实际需求情况对部分产品的数量进行调整，货款结算时以实际数量为准，结算单价以中标供应商所报单价为准。</w:t>
      </w:r>
    </w:p>
    <w:p w14:paraId="25EB5083">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第十条：质量保证</w:t>
      </w:r>
    </w:p>
    <w:p w14:paraId="7A6525C0">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 xml:space="preserve">    成交供应商应保证所供货物是全新的、未使用过的，并完全符合合同规定的质量、规格和性能的要求。成交供应商应保证其货物在正确就位、正常使用和保养条件下，在其使用寿命期内应具有满意的性能。在货物最终交付验收后不少于</w:t>
      </w:r>
      <w:r>
        <w:rPr>
          <w:rFonts w:hint="eastAsia" w:hAnsi="宋体"/>
          <w:color w:val="auto"/>
          <w:sz w:val="22"/>
          <w:szCs w:val="22"/>
          <w:highlight w:val="none"/>
          <w:lang w:val="en-US" w:eastAsia="zh-CN"/>
        </w:rPr>
        <w:t>36</w:t>
      </w:r>
      <w:r>
        <w:rPr>
          <w:rFonts w:hint="eastAsia" w:hAnsi="宋体"/>
          <w:color w:val="auto"/>
          <w:sz w:val="22"/>
          <w:szCs w:val="22"/>
          <w:highlight w:val="none"/>
        </w:rPr>
        <w:t>个月的质量保证期内，成交供应商应对由于设计、工艺或材料的缺陷而产生的故障负责。</w:t>
      </w:r>
    </w:p>
    <w:p w14:paraId="55162A84">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在质量保证期内，如果货物的质量或规格与合同不符，或证实货物是有缺陷的，包括潜在的缺陷或使用不符合要求的材料等，采购人可以根据本合同第十一条规定以书面形式向成交供应商提出补救措施或索赔。</w:t>
      </w:r>
    </w:p>
    <w:p w14:paraId="2E698CF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成交供应商在约定的时间内未能弥补缺陷，采购人可采取必要的补救措施，但其风险和费用将由成交供应商承担，采购人根据合同规定对成交供应商行使的其他权利不受影响。</w:t>
      </w:r>
    </w:p>
    <w:p w14:paraId="4312A41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第十一条：补救措施和索赔</w:t>
      </w:r>
    </w:p>
    <w:p w14:paraId="6724D362">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1、采购人有权根据质量检测部门出具的检验报告向成交供应商提出索赔。</w:t>
      </w:r>
    </w:p>
    <w:p w14:paraId="5F609E91">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2、在质量保证期内，如果成交供应商对缺陷产品负有责任而采购人提出索赔，成交供应商应按照采购人同意的下列一种或多种方式解决索赔事宜，并且采购人可以收取成交供应商合同总价的20%违约金：</w:t>
      </w:r>
    </w:p>
    <w:p w14:paraId="623D1D2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 成交供应商退货并将货款退还给采购人，由此发生的一切费用和损失由成交供应商承担。</w:t>
      </w:r>
    </w:p>
    <w:p w14:paraId="7BC0E8FE">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 根据货物的质量状况以及采购人所遭受的损失，经过采购人与成交供应商商定降低货物的价格。</w:t>
      </w:r>
    </w:p>
    <w:p w14:paraId="6643CE54">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（3） 成交供应商应在接到采购人通知后七天内负责采用符合合同规定的规格、质量和性能要求的新零件、部件和设备来更换有缺陷的部分或修补缺陷部分，其费用由成交供应商负担。同时，成交供应商应在约定的质量保证期基础上相应延长修补和/或更换件的质量保证期。</w:t>
      </w:r>
    </w:p>
    <w:p w14:paraId="45E20E9A">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3、如果在采购人发出索赔通知后十天内成交供应商未作答复，上述索赔应视为已被成交供应商接受。如果成交供应商未能在采购人发出索赔通知后十天内或采购人同意延长的期限内，按照上述规定的任何一种方法采取补救措施，采购人有权从应付货款中扣除索赔金额，如不足以弥补采购人损失的，采购人有权进一步要求成交供应商赔偿。</w:t>
      </w:r>
    </w:p>
    <w:p w14:paraId="5BA6EF91">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第十二条：履约延误</w:t>
      </w:r>
    </w:p>
    <w:p w14:paraId="21BDE7A5">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 xml:space="preserve">    1、成交供应商应按照《合同》规定的时间、地点交货和提供服务。</w:t>
      </w:r>
    </w:p>
    <w:p w14:paraId="5DF32DC3">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 xml:space="preserve">    2、在履行《合同》过程中，如果成交供应商可能遇到妨碍按时交货和提供服务的情况时，应及时将拖延的事实、可能拖延的期限和理由通知采购人。采购人在收到成交供应商通知后，应尽快对情况进行评价，并确定是否同意延长交货时间或延期提供服务。</w:t>
      </w:r>
    </w:p>
    <w:p w14:paraId="03AF79DC">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3、如成交供应商无正当理由而拖延交货，经协商无效,采购人有权追究成交供应商的违约责任。延期交货违约责任按每延期一天支付违约金3000元处理，如果超出合同规定期限15天应不能供货，则采购人可以终止合同，并收取成交供应商合同总价20%的违约金。如造成损失超过违约金的，超过部分由成交供应商继续承担赔偿责任。</w:t>
      </w:r>
    </w:p>
    <w:p w14:paraId="2F9C1651">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第十三条：不可抗力</w:t>
      </w:r>
    </w:p>
    <w:p w14:paraId="1671B7C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 xml:space="preserve">    1、合同履行期内，如果合同各方因不可抗力而导致合同实施延误或不能履行合同义务的话，不应该承担误期赔偿或不能履行合同义务的责任。</w:t>
      </w:r>
    </w:p>
    <w:p w14:paraId="33CA17B6">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2BFB435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0DF5A1CE">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第十四条：争议的解决</w:t>
      </w:r>
    </w:p>
    <w:p w14:paraId="4B5479FE">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在发生所供商品的质量、售后服务等问题时，采购人有权直接向成交供应商索赔，签订必要的书面处理合同。双方在履行合同中所发生的一切争议，应通过协商解决，如协商不成，双方均同意提交温州仲裁委员会仲裁。</w:t>
      </w:r>
    </w:p>
    <w:p w14:paraId="3A7417EC">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第十五条：违约处理</w:t>
      </w:r>
    </w:p>
    <w:p w14:paraId="3FEF2F24">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1、在采购人对成交供应商违约而采取的任何补救措施不受影响的情况下，采购人可在下列情况下向成交供应商发出书面通知书，提出终止部分或全部合同。</w:t>
      </w:r>
    </w:p>
    <w:p w14:paraId="1CD80C55">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（1）成交供应商提供的产品质量、配置不符合国家规定和承诺的标准；</w:t>
      </w:r>
    </w:p>
    <w:p w14:paraId="3F71BC91">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（2）成交供应商没有按承诺的时间供货、维修或提供其他服务；</w:t>
      </w:r>
    </w:p>
    <w:p w14:paraId="326A250C">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（3）成交供应商没有按承诺的价格或优惠率签订合同并供货；</w:t>
      </w:r>
    </w:p>
    <w:p w14:paraId="630CF1C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如果采购人根据上述的规定，终止了全部或部分合同，采购人可以依其认为适当的条件和方法购买与未交货物类似的货物，成交供应商应对购买类似货物所超出的那部分费用负责。但是，成交供应商应继续执行合同中未终止的部分。</w:t>
      </w:r>
    </w:p>
    <w:p w14:paraId="270BC1F9">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第十六条：合同转让和分包</w:t>
      </w:r>
    </w:p>
    <w:p w14:paraId="0EE8E506">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 xml:space="preserve">    除采购人事先书面同意外，成交供应商不得转让和分包其应履行的合同义务。</w:t>
      </w:r>
    </w:p>
    <w:p w14:paraId="1176029A">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第十七条：合同生效</w:t>
      </w:r>
    </w:p>
    <w:p w14:paraId="4F72712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1、本合同经成交供应商和采购人法定代表人或其委托人签字并加盖双方公章后生效。</w:t>
      </w:r>
    </w:p>
    <w:p w14:paraId="0C04C99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2、本合同一式</w:t>
      </w:r>
      <w:r>
        <w:rPr>
          <w:rFonts w:hint="eastAsia" w:hAnsi="宋体"/>
          <w:color w:val="auto"/>
          <w:sz w:val="22"/>
          <w:szCs w:val="22"/>
          <w:highlight w:val="none"/>
          <w:lang w:eastAsia="zh-CN"/>
        </w:rPr>
        <w:t>肆</w:t>
      </w:r>
      <w:r>
        <w:rPr>
          <w:rFonts w:hint="eastAsia" w:hAnsi="宋体"/>
          <w:color w:val="auto"/>
          <w:sz w:val="22"/>
          <w:szCs w:val="22"/>
          <w:highlight w:val="none"/>
        </w:rPr>
        <w:t>份，采购人与成交供应商双方各贰份。</w:t>
      </w:r>
    </w:p>
    <w:p w14:paraId="2415C8E7">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第十八条：合同修改</w:t>
      </w:r>
    </w:p>
    <w:p w14:paraId="1E40B324">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除了双方签署书面修改合同，并成为本合同不可分割的一部分之外，本合同条件不得有任何变化或修改。</w:t>
      </w:r>
    </w:p>
    <w:p w14:paraId="3A07D732">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第十九条 合同附件</w:t>
      </w:r>
    </w:p>
    <w:p w14:paraId="3905037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 xml:space="preserve">    下列文件与本合同具有同等法律效力：</w:t>
      </w:r>
    </w:p>
    <w:p w14:paraId="7D937D1F">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1、采购人的采购文件与采购补充文件；</w:t>
      </w:r>
    </w:p>
    <w:p w14:paraId="019EED9B">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2、成交供应商投标文件；</w:t>
      </w:r>
    </w:p>
    <w:p w14:paraId="44920FFA">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3、询标纪要和承诺书；</w:t>
      </w:r>
    </w:p>
    <w:p w14:paraId="5D379C18">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4、成交通知书。</w:t>
      </w:r>
    </w:p>
    <w:p w14:paraId="3912EABB">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5、如上述文件与本合同有不符之处，以有利于采购人的为准。</w:t>
      </w:r>
    </w:p>
    <w:p w14:paraId="6A652F7E">
      <w:pPr>
        <w:pStyle w:val="29"/>
        <w:rPr>
          <w:rFonts w:hint="eastAsia" w:hAnsi="宋体"/>
          <w:color w:val="auto"/>
          <w:sz w:val="22"/>
          <w:szCs w:val="22"/>
          <w:highlight w:val="none"/>
        </w:rPr>
      </w:pPr>
    </w:p>
    <w:p w14:paraId="40587817">
      <w:pPr>
        <w:rPr>
          <w:rFonts w:hint="eastAsia"/>
          <w:color w:val="auto"/>
          <w:highlight w:val="none"/>
        </w:rPr>
      </w:pPr>
    </w:p>
    <w:p w14:paraId="1B218620">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采购人(盖章)：                             中标供应商（盖章）</w:t>
      </w:r>
    </w:p>
    <w:p w14:paraId="2BF82FC5">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法定代表人：                               法定代表人：</w:t>
      </w:r>
    </w:p>
    <w:p w14:paraId="4A853C81">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开户银行：                                 开户银行：</w:t>
      </w:r>
    </w:p>
    <w:p w14:paraId="5E9EDC6A">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开户名称：                                 开户名称：</w:t>
      </w:r>
    </w:p>
    <w:p w14:paraId="60E5FF35">
      <w:pPr>
        <w:pStyle w:val="28"/>
        <w:spacing w:line="440" w:lineRule="atLeast"/>
        <w:ind w:firstLine="570"/>
        <w:rPr>
          <w:rFonts w:hint="eastAsia" w:hAnsi="宋体"/>
          <w:color w:val="auto"/>
          <w:sz w:val="22"/>
          <w:szCs w:val="22"/>
          <w:highlight w:val="none"/>
        </w:rPr>
      </w:pPr>
      <w:r>
        <w:rPr>
          <w:rFonts w:hint="eastAsia" w:hAnsi="宋体"/>
          <w:color w:val="auto"/>
          <w:sz w:val="22"/>
          <w:szCs w:val="22"/>
          <w:highlight w:val="none"/>
        </w:rPr>
        <w:t>账号：                                     账号：</w:t>
      </w:r>
    </w:p>
    <w:p w14:paraId="1F2034B4">
      <w:pPr>
        <w:pStyle w:val="28"/>
        <w:spacing w:line="440" w:lineRule="atLeast"/>
        <w:ind w:firstLine="570"/>
        <w:rPr>
          <w:rFonts w:hint="eastAsia" w:hAnsi="宋体" w:eastAsia="宋体"/>
          <w:color w:val="auto"/>
          <w:sz w:val="22"/>
          <w:szCs w:val="22"/>
          <w:highlight w:val="none"/>
          <w:lang w:eastAsia="zh-CN"/>
        </w:rPr>
        <w:sectPr>
          <w:footerReference r:id="rId12" w:type="default"/>
          <w:footerReference r:id="rId13" w:type="even"/>
          <w:pgSz w:w="11906" w:h="16838"/>
          <w:pgMar w:top="1417" w:right="1417" w:bottom="1417" w:left="1417" w:header="851" w:footer="992" w:gutter="0"/>
          <w:cols w:space="0" w:num="1"/>
          <w:rtlGutter w:val="0"/>
          <w:docGrid w:linePitch="312" w:charSpace="0"/>
        </w:sectPr>
      </w:pPr>
      <w:r>
        <w:rPr>
          <w:rFonts w:hint="eastAsia" w:hAnsi="宋体"/>
          <w:color w:val="auto"/>
          <w:sz w:val="22"/>
          <w:szCs w:val="22"/>
          <w:highlight w:val="none"/>
        </w:rPr>
        <w:t>签约日期：</w:t>
      </w:r>
      <w:r>
        <w:rPr>
          <w:rFonts w:hint="eastAsia" w:hAnsi="宋体"/>
          <w:color w:val="auto"/>
          <w:sz w:val="22"/>
          <w:szCs w:val="22"/>
          <w:highlight w:val="none"/>
          <w:lang w:val="en-US" w:eastAsia="zh-CN"/>
        </w:rPr>
        <w:t>2025年  月   日</w:t>
      </w:r>
      <w:r>
        <w:rPr>
          <w:rFonts w:hint="eastAsia" w:hAnsi="宋体"/>
          <w:color w:val="auto"/>
          <w:sz w:val="22"/>
          <w:szCs w:val="22"/>
          <w:highlight w:val="none"/>
        </w:rPr>
        <w:t xml:space="preserve">                 签约地点：</w:t>
      </w:r>
      <w:r>
        <w:rPr>
          <w:rFonts w:hint="eastAsia" w:hAnsi="宋体"/>
          <w:color w:val="auto"/>
          <w:sz w:val="22"/>
          <w:szCs w:val="22"/>
          <w:highlight w:val="none"/>
          <w:lang w:eastAsia="zh-CN"/>
        </w:rPr>
        <w:t>苍南</w:t>
      </w:r>
    </w:p>
    <w:p w14:paraId="3431D81C">
      <w:pPr>
        <w:pStyle w:val="28"/>
        <w:adjustRightInd w:val="0"/>
        <w:snapToGrid w:val="0"/>
        <w:spacing w:afterLines="100" w:line="600" w:lineRule="atLeast"/>
        <w:jc w:val="center"/>
        <w:rPr>
          <w:rFonts w:hAnsi="宋体"/>
          <w:color w:val="auto"/>
          <w:sz w:val="36"/>
          <w:szCs w:val="36"/>
          <w:highlight w:val="none"/>
        </w:rPr>
      </w:pPr>
      <w:r>
        <w:rPr>
          <w:rFonts w:hint="eastAsia" w:hAnsi="宋体"/>
          <w:color w:val="auto"/>
          <w:sz w:val="36"/>
          <w:szCs w:val="36"/>
          <w:highlight w:val="none"/>
        </w:rPr>
        <w:t>第</w:t>
      </w:r>
      <w:r>
        <w:rPr>
          <w:rFonts w:hint="eastAsia" w:hAnsi="宋体"/>
          <w:color w:val="auto"/>
          <w:sz w:val="36"/>
          <w:szCs w:val="36"/>
          <w:highlight w:val="none"/>
          <w:lang w:val="en-US" w:eastAsia="zh-CN"/>
        </w:rPr>
        <w:t>五</w:t>
      </w:r>
      <w:r>
        <w:rPr>
          <w:rFonts w:hint="eastAsia" w:hAnsi="宋体"/>
          <w:color w:val="auto"/>
          <w:sz w:val="36"/>
          <w:szCs w:val="36"/>
          <w:highlight w:val="none"/>
        </w:rPr>
        <w:t>部分    附件——响应文件格式</w:t>
      </w:r>
    </w:p>
    <w:p w14:paraId="2C1E91A8">
      <w:pPr>
        <w:spacing w:line="360" w:lineRule="auto"/>
        <w:jc w:val="center"/>
        <w:outlineLvl w:val="0"/>
        <w:rPr>
          <w:rFonts w:hint="eastAsia" w:ascii="宋体" w:hAnsi="宋体"/>
          <w:b/>
          <w:bCs/>
          <w:color w:val="auto"/>
          <w:sz w:val="28"/>
          <w:szCs w:val="28"/>
          <w:highlight w:val="none"/>
        </w:rPr>
      </w:pPr>
      <w:r>
        <w:rPr>
          <w:rFonts w:hint="eastAsia" w:ascii="宋体" w:hAnsi="宋体"/>
          <w:b/>
          <w:bCs/>
          <w:color w:val="auto"/>
          <w:sz w:val="28"/>
          <w:szCs w:val="28"/>
          <w:highlight w:val="none"/>
        </w:rPr>
        <w:t>附件</w:t>
      </w:r>
    </w:p>
    <w:p w14:paraId="5960D941">
      <w:pPr>
        <w:spacing w:line="360" w:lineRule="auto"/>
        <w:rPr>
          <w:rFonts w:hint="eastAsia" w:ascii="宋体" w:hAnsi="宋体"/>
          <w:b/>
          <w:bCs/>
          <w:color w:val="auto"/>
          <w:szCs w:val="21"/>
          <w:highlight w:val="none"/>
        </w:rPr>
      </w:pPr>
      <w:r>
        <w:rPr>
          <w:rFonts w:hint="eastAsia" w:ascii="宋体" w:hAnsi="宋体"/>
          <w:b/>
          <w:bCs/>
          <w:color w:val="auto"/>
          <w:szCs w:val="21"/>
          <w:highlight w:val="none"/>
        </w:rPr>
        <w:t>附件一</w:t>
      </w:r>
    </w:p>
    <w:p w14:paraId="4AD20822">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报 价 函</w:t>
      </w:r>
    </w:p>
    <w:p w14:paraId="3706BCB6">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致： </w:t>
      </w:r>
    </w:p>
    <w:p w14:paraId="5CCB39E5">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项目（项目编号：</w:t>
      </w:r>
      <w:r>
        <w:rPr>
          <w:rFonts w:hint="eastAsia" w:ascii="宋体" w:hAnsi="宋体"/>
          <w:b/>
          <w:color w:val="auto"/>
          <w:sz w:val="22"/>
          <w:szCs w:val="22"/>
          <w:highlight w:val="none"/>
          <w:u w:val="single"/>
        </w:rPr>
        <w:t xml:space="preserve">              </w:t>
      </w:r>
      <w:r>
        <w:rPr>
          <w:rFonts w:hint="eastAsia" w:ascii="宋体" w:hAnsi="宋体"/>
          <w:color w:val="auto"/>
          <w:sz w:val="22"/>
          <w:szCs w:val="22"/>
          <w:highlight w:val="none"/>
        </w:rPr>
        <w:t>）的报价邀请，我方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r>
        <w:rPr>
          <w:rFonts w:hint="eastAsia" w:ascii="Arial" w:hAnsi="宋体" w:cs="Arial"/>
          <w:color w:val="auto"/>
          <w:sz w:val="22"/>
          <w:szCs w:val="22"/>
          <w:highlight w:val="none"/>
          <w:lang w:eastAsia="zh-CN"/>
        </w:rPr>
        <w:t>供应商</w:t>
      </w:r>
      <w:r>
        <w:rPr>
          <w:rFonts w:hint="eastAsia" w:ascii="宋体" w:hAnsi="宋体"/>
          <w:color w:val="auto"/>
          <w:sz w:val="22"/>
          <w:szCs w:val="22"/>
          <w:highlight w:val="none"/>
        </w:rPr>
        <w:t>名称）作为</w:t>
      </w:r>
      <w:r>
        <w:rPr>
          <w:rFonts w:hint="eastAsia" w:ascii="Arial" w:hAnsi="宋体" w:cs="Arial"/>
          <w:color w:val="auto"/>
          <w:sz w:val="22"/>
          <w:szCs w:val="22"/>
          <w:highlight w:val="none"/>
          <w:lang w:eastAsia="zh-CN"/>
        </w:rPr>
        <w:t>供应商</w:t>
      </w:r>
      <w:r>
        <w:rPr>
          <w:rFonts w:hint="eastAsia" w:ascii="宋体" w:hAnsi="宋体"/>
          <w:color w:val="auto"/>
          <w:sz w:val="22"/>
          <w:szCs w:val="22"/>
          <w:highlight w:val="none"/>
        </w:rPr>
        <w:t>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（授权代表全名，职务）代表我方处理有关本报价的一切事宜。</w:t>
      </w:r>
    </w:p>
    <w:p w14:paraId="72549247">
      <w:pPr>
        <w:pStyle w:val="11"/>
        <w:spacing w:line="360" w:lineRule="auto"/>
        <w:ind w:firstLine="440"/>
        <w:rPr>
          <w:rFonts w:hint="eastAsia" w:ascii="宋体" w:hAnsi="宋体"/>
          <w:color w:val="auto"/>
          <w:sz w:val="22"/>
          <w:szCs w:val="22"/>
          <w:highlight w:val="none"/>
        </w:rPr>
      </w:pPr>
      <w:r>
        <w:rPr>
          <w:rFonts w:hint="eastAsia" w:ascii="宋体" w:hAnsi="宋体"/>
          <w:color w:val="auto"/>
          <w:sz w:val="22"/>
          <w:szCs w:val="22"/>
          <w:highlight w:val="none"/>
        </w:rPr>
        <w:t>在此提交的报价文件中，包括如下内容，并已密封装袋：</w:t>
      </w:r>
    </w:p>
    <w:p w14:paraId="094132FF">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按“</w:t>
      </w:r>
      <w:r>
        <w:rPr>
          <w:rFonts w:hint="eastAsia" w:ascii="Arial" w:hAnsi="宋体" w:cs="Arial"/>
          <w:color w:val="auto"/>
          <w:sz w:val="22"/>
          <w:szCs w:val="22"/>
          <w:highlight w:val="none"/>
          <w:lang w:eastAsia="zh-CN"/>
        </w:rPr>
        <w:t>供应商</w:t>
      </w:r>
      <w:r>
        <w:rPr>
          <w:rFonts w:hint="eastAsia" w:ascii="宋体" w:hAnsi="宋体"/>
          <w:color w:val="auto"/>
          <w:sz w:val="22"/>
          <w:szCs w:val="22"/>
          <w:highlight w:val="none"/>
        </w:rPr>
        <w:t>须知”要求编制的报价文件【正本一份，副本三份】；</w:t>
      </w:r>
    </w:p>
    <w:p w14:paraId="2D887D3E">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我方己完全明白采购文件的所有条款要求，并重申以下几点：</w:t>
      </w:r>
    </w:p>
    <w:p w14:paraId="74E9FB5F">
      <w:pPr>
        <w:spacing w:line="360" w:lineRule="auto"/>
        <w:ind w:left="1019" w:leftChars="171" w:hanging="660" w:hangingChars="300"/>
        <w:rPr>
          <w:rFonts w:hint="eastAsia" w:ascii="宋体" w:hAnsi="宋体"/>
          <w:color w:val="auto"/>
          <w:sz w:val="22"/>
          <w:szCs w:val="22"/>
          <w:highlight w:val="none"/>
        </w:rPr>
      </w:pPr>
      <w:r>
        <w:rPr>
          <w:rFonts w:hint="eastAsia" w:ascii="宋体" w:hAnsi="宋体"/>
          <w:color w:val="auto"/>
          <w:sz w:val="22"/>
          <w:szCs w:val="22"/>
          <w:highlight w:val="none"/>
        </w:rPr>
        <w:t>（一）本报价文件的有效期自</w:t>
      </w:r>
      <w:r>
        <w:rPr>
          <w:rFonts w:hint="eastAsia" w:ascii="Arial" w:hAnsi="宋体" w:cs="Arial"/>
          <w:color w:val="auto"/>
          <w:sz w:val="22"/>
          <w:szCs w:val="22"/>
          <w:highlight w:val="none"/>
        </w:rPr>
        <w:t>报价</w:t>
      </w:r>
      <w:r>
        <w:rPr>
          <w:rFonts w:hint="eastAsia" w:ascii="宋体" w:hAnsi="宋体"/>
          <w:color w:val="auto"/>
          <w:sz w:val="22"/>
          <w:szCs w:val="22"/>
          <w:highlight w:val="none"/>
        </w:rPr>
        <w:t>截止日起</w:t>
      </w:r>
      <w:r>
        <w:rPr>
          <w:rFonts w:hint="eastAsia" w:ascii="宋体" w:hAnsi="宋体"/>
          <w:b/>
          <w:color w:val="auto"/>
          <w:sz w:val="22"/>
          <w:szCs w:val="22"/>
          <w:highlight w:val="none"/>
        </w:rPr>
        <w:t xml:space="preserve"> </w:t>
      </w:r>
      <w:r>
        <w:rPr>
          <w:rFonts w:hint="eastAsia" w:ascii="宋体" w:hAnsi="宋体"/>
          <w:b/>
          <w:color w:val="auto"/>
          <w:sz w:val="22"/>
          <w:szCs w:val="22"/>
          <w:highlight w:val="none"/>
          <w:u w:val="single"/>
        </w:rPr>
        <w:t xml:space="preserve"> </w:t>
      </w:r>
      <w:r>
        <w:rPr>
          <w:rFonts w:ascii="宋体" w:hAnsi="宋体" w:cs="Arial"/>
          <w:b/>
          <w:color w:val="auto"/>
          <w:sz w:val="22"/>
          <w:szCs w:val="22"/>
          <w:highlight w:val="none"/>
          <w:u w:val="single"/>
        </w:rPr>
        <w:t xml:space="preserve">90 </w:t>
      </w:r>
      <w:r>
        <w:rPr>
          <w:rFonts w:hint="eastAsia" w:ascii="宋体" w:hAnsi="宋体"/>
          <w:b/>
          <w:color w:val="auto"/>
          <w:sz w:val="22"/>
          <w:szCs w:val="22"/>
          <w:highlight w:val="none"/>
        </w:rPr>
        <w:t>天内</w:t>
      </w:r>
      <w:r>
        <w:rPr>
          <w:rFonts w:hint="eastAsia" w:ascii="宋体" w:hAnsi="宋体"/>
          <w:color w:val="auto"/>
          <w:sz w:val="22"/>
          <w:szCs w:val="22"/>
          <w:highlight w:val="none"/>
        </w:rPr>
        <w:t>有效，如中标，有效期将延至合同终止日为止；</w:t>
      </w:r>
    </w:p>
    <w:p w14:paraId="487FDE1F">
      <w:pPr>
        <w:spacing w:line="360" w:lineRule="auto"/>
        <w:ind w:left="1019" w:leftChars="171" w:hanging="660" w:hangingChars="300"/>
        <w:rPr>
          <w:rFonts w:hint="eastAsia" w:ascii="宋体" w:hAnsi="宋体"/>
          <w:color w:val="auto"/>
          <w:sz w:val="22"/>
          <w:szCs w:val="22"/>
          <w:highlight w:val="none"/>
        </w:rPr>
      </w:pPr>
      <w:r>
        <w:rPr>
          <w:rFonts w:hint="eastAsia" w:ascii="宋体" w:hAnsi="宋体"/>
          <w:color w:val="auto"/>
          <w:sz w:val="22"/>
          <w:szCs w:val="22"/>
          <w:highlight w:val="none"/>
        </w:rPr>
        <w:t>（二）我方已详细研究了采购文件的所有内容包括修改书（如有）和所有已提供的参考资料以及有关附件，我方完全理解并同意放弃在此方面提出含糊意见或误解的一切权力；</w:t>
      </w:r>
    </w:p>
    <w:p w14:paraId="14267AA4">
      <w:pPr>
        <w:spacing w:line="360" w:lineRule="auto"/>
        <w:ind w:left="1019" w:leftChars="171" w:hanging="660" w:hangingChars="300"/>
        <w:rPr>
          <w:rFonts w:hint="eastAsia" w:ascii="宋体" w:hAnsi="宋体"/>
          <w:color w:val="auto"/>
          <w:sz w:val="22"/>
          <w:szCs w:val="22"/>
          <w:highlight w:val="none"/>
        </w:rPr>
      </w:pPr>
      <w:r>
        <w:rPr>
          <w:rFonts w:hint="eastAsia" w:ascii="宋体" w:hAnsi="宋体"/>
          <w:color w:val="auto"/>
          <w:sz w:val="22"/>
          <w:szCs w:val="22"/>
          <w:highlight w:val="none"/>
        </w:rPr>
        <w:t>（三）我方明白并愿意在规定的开标时间之后，</w:t>
      </w:r>
      <w:r>
        <w:rPr>
          <w:rFonts w:hint="eastAsia" w:ascii="Arial" w:hAnsi="宋体" w:cs="Arial"/>
          <w:color w:val="auto"/>
          <w:sz w:val="22"/>
          <w:szCs w:val="22"/>
          <w:highlight w:val="none"/>
          <w:lang w:eastAsia="zh-CN"/>
        </w:rPr>
        <w:t>供应商</w:t>
      </w:r>
      <w:r>
        <w:rPr>
          <w:rFonts w:hint="eastAsia" w:ascii="宋体" w:hAnsi="宋体"/>
          <w:color w:val="auto"/>
          <w:sz w:val="22"/>
          <w:szCs w:val="22"/>
          <w:highlight w:val="none"/>
        </w:rPr>
        <w:t>在报价有效期内撤回报价，其</w:t>
      </w:r>
      <w:r>
        <w:rPr>
          <w:rFonts w:hint="eastAsia" w:ascii="宋体" w:hAnsi="宋体"/>
          <w:color w:val="auto"/>
          <w:sz w:val="22"/>
          <w:szCs w:val="22"/>
          <w:highlight w:val="none"/>
          <w:lang w:eastAsia="zh-CN"/>
        </w:rPr>
        <w:t>投标</w:t>
      </w:r>
      <w:r>
        <w:rPr>
          <w:rFonts w:hint="eastAsia" w:ascii="宋体" w:hAnsi="宋体"/>
          <w:color w:val="auto"/>
          <w:sz w:val="22"/>
          <w:szCs w:val="22"/>
          <w:highlight w:val="none"/>
        </w:rPr>
        <w:t>保证金将被贵方没收；</w:t>
      </w:r>
    </w:p>
    <w:p w14:paraId="133AB994">
      <w:pPr>
        <w:spacing w:line="360" w:lineRule="auto"/>
        <w:ind w:left="359" w:leftChars="171"/>
        <w:rPr>
          <w:rFonts w:hint="eastAsia" w:ascii="宋体" w:hAnsi="宋体"/>
          <w:color w:val="auto"/>
          <w:sz w:val="22"/>
          <w:szCs w:val="22"/>
          <w:highlight w:val="none"/>
        </w:rPr>
      </w:pPr>
      <w:r>
        <w:rPr>
          <w:rFonts w:hint="eastAsia" w:ascii="宋体" w:hAnsi="宋体"/>
          <w:color w:val="auto"/>
          <w:sz w:val="22"/>
          <w:szCs w:val="22"/>
          <w:highlight w:val="none"/>
        </w:rPr>
        <w:t>（四）我方同意提供按照贵方可能要求的与报价有关的一切数据或资料；</w:t>
      </w:r>
    </w:p>
    <w:p w14:paraId="722B162C">
      <w:pPr>
        <w:spacing w:line="360" w:lineRule="auto"/>
        <w:ind w:left="359" w:leftChars="171"/>
        <w:rPr>
          <w:rFonts w:hint="eastAsia" w:ascii="宋体" w:hAnsi="宋体"/>
          <w:color w:val="auto"/>
          <w:sz w:val="22"/>
          <w:szCs w:val="22"/>
          <w:highlight w:val="none"/>
        </w:rPr>
      </w:pPr>
      <w:r>
        <w:rPr>
          <w:rFonts w:hint="eastAsia" w:ascii="宋体" w:hAnsi="宋体"/>
          <w:color w:val="auto"/>
          <w:sz w:val="22"/>
          <w:szCs w:val="22"/>
          <w:highlight w:val="none"/>
        </w:rPr>
        <w:t>（五）我方理解贵方不一定接受最低报价。</w:t>
      </w:r>
    </w:p>
    <w:p w14:paraId="2B48C9F1">
      <w:pPr>
        <w:spacing w:line="360" w:lineRule="auto"/>
        <w:ind w:left="1019" w:leftChars="171" w:hanging="660" w:hangingChars="300"/>
        <w:rPr>
          <w:rFonts w:hint="eastAsia" w:ascii="宋体" w:hAnsi="宋体"/>
          <w:color w:val="auto"/>
          <w:sz w:val="22"/>
          <w:szCs w:val="22"/>
          <w:highlight w:val="none"/>
        </w:rPr>
      </w:pPr>
      <w:r>
        <w:rPr>
          <w:rFonts w:hint="eastAsia" w:ascii="宋体" w:hAnsi="宋体"/>
          <w:color w:val="auto"/>
          <w:sz w:val="22"/>
          <w:szCs w:val="22"/>
          <w:highlight w:val="none"/>
        </w:rPr>
        <w:t>（六）我方如果中标，将保证履行采购文件以及采购文件修改书（如有）中的全部责任和义务，按质、按量、按期完成《合同书》中的全部任务。</w:t>
      </w:r>
    </w:p>
    <w:p w14:paraId="08BB63FE">
      <w:pPr>
        <w:spacing w:line="360" w:lineRule="auto"/>
        <w:ind w:left="315"/>
        <w:rPr>
          <w:rFonts w:hint="eastAsia" w:ascii="宋体" w:hAnsi="宋体"/>
          <w:color w:val="auto"/>
          <w:sz w:val="22"/>
          <w:szCs w:val="22"/>
          <w:highlight w:val="none"/>
        </w:rPr>
      </w:pPr>
      <w:r>
        <w:rPr>
          <w:rFonts w:hint="eastAsia" w:ascii="宋体" w:hAnsi="宋体"/>
          <w:color w:val="auto"/>
          <w:sz w:val="22"/>
          <w:szCs w:val="22"/>
          <w:highlight w:val="none"/>
        </w:rPr>
        <w:t>（七）所有与本报价有关的函件请发往下列地址：</w:t>
      </w:r>
    </w:p>
    <w:p w14:paraId="505B0D29">
      <w:pPr>
        <w:spacing w:line="360" w:lineRule="auto"/>
        <w:ind w:firstLine="435"/>
        <w:rPr>
          <w:rFonts w:hint="eastAsia" w:ascii="宋体" w:hAnsi="宋体"/>
          <w:color w:val="auto"/>
          <w:sz w:val="22"/>
          <w:szCs w:val="22"/>
          <w:highlight w:val="none"/>
        </w:rPr>
      </w:pPr>
      <w:r>
        <w:rPr>
          <w:rFonts w:hint="eastAsia" w:ascii="宋体" w:hAnsi="宋体"/>
          <w:color w:val="auto"/>
          <w:sz w:val="22"/>
          <w:szCs w:val="22"/>
          <w:highlight w:val="none"/>
        </w:rPr>
        <w:t xml:space="preserve">   地址</w:t>
      </w:r>
      <w:r>
        <w:rPr>
          <w:rFonts w:hint="eastAsia" w:ascii="宋体" w:hAnsi="宋体"/>
          <w:color w:val="auto"/>
          <w:sz w:val="22"/>
          <w:szCs w:val="22"/>
          <w:highlight w:val="none"/>
          <w:u w:val="single"/>
        </w:rPr>
        <w:t xml:space="preserve">                           </w:t>
      </w:r>
    </w:p>
    <w:p w14:paraId="67130401">
      <w:pPr>
        <w:spacing w:line="360" w:lineRule="auto"/>
        <w:ind w:firstLine="435"/>
        <w:rPr>
          <w:rFonts w:hint="eastAsia" w:ascii="宋体" w:hAnsi="宋体"/>
          <w:color w:val="auto"/>
          <w:sz w:val="22"/>
          <w:szCs w:val="22"/>
          <w:highlight w:val="none"/>
        </w:rPr>
      </w:pPr>
      <w:r>
        <w:rPr>
          <w:rFonts w:hint="eastAsia" w:ascii="宋体" w:hAnsi="宋体"/>
          <w:color w:val="auto"/>
          <w:sz w:val="22"/>
          <w:szCs w:val="22"/>
          <w:highlight w:val="none"/>
        </w:rPr>
        <w:t xml:space="preserve">   电话</w:t>
      </w:r>
      <w:r>
        <w:rPr>
          <w:rFonts w:hint="eastAsia" w:ascii="宋体" w:hAnsi="宋体"/>
          <w:color w:val="auto"/>
          <w:sz w:val="22"/>
          <w:szCs w:val="22"/>
          <w:highlight w:val="none"/>
          <w:u w:val="single"/>
        </w:rPr>
        <w:t xml:space="preserve">                           </w:t>
      </w:r>
    </w:p>
    <w:p w14:paraId="14FA3A2B">
      <w:pPr>
        <w:spacing w:line="360" w:lineRule="auto"/>
        <w:ind w:firstLine="435"/>
        <w:rPr>
          <w:rFonts w:hint="eastAsia" w:ascii="宋体" w:hAnsi="宋体"/>
          <w:color w:val="auto"/>
          <w:sz w:val="22"/>
          <w:szCs w:val="22"/>
          <w:highlight w:val="none"/>
          <w:u w:val="single"/>
        </w:rPr>
      </w:pPr>
      <w:r>
        <w:rPr>
          <w:rFonts w:hint="eastAsia" w:ascii="宋体" w:hAnsi="宋体"/>
          <w:color w:val="auto"/>
          <w:sz w:val="22"/>
          <w:szCs w:val="22"/>
          <w:highlight w:val="none"/>
        </w:rPr>
        <w:t xml:space="preserve">   传真</w:t>
      </w:r>
      <w:r>
        <w:rPr>
          <w:rFonts w:hint="eastAsia" w:ascii="宋体" w:hAnsi="宋体"/>
          <w:color w:val="auto"/>
          <w:sz w:val="22"/>
          <w:szCs w:val="22"/>
          <w:highlight w:val="none"/>
          <w:u w:val="single"/>
        </w:rPr>
        <w:t xml:space="preserve">                           </w:t>
      </w:r>
    </w:p>
    <w:p w14:paraId="525AEE32">
      <w:pPr>
        <w:spacing w:line="360" w:lineRule="auto"/>
        <w:ind w:firstLine="770" w:firstLineChars="350"/>
        <w:rPr>
          <w:rFonts w:hint="eastAsia" w:ascii="宋体" w:hAnsi="宋体"/>
          <w:color w:val="auto"/>
          <w:sz w:val="22"/>
          <w:szCs w:val="22"/>
          <w:highlight w:val="none"/>
          <w:u w:val="single"/>
        </w:rPr>
      </w:pPr>
      <w:r>
        <w:rPr>
          <w:rFonts w:hint="eastAsia" w:ascii="宋体" w:hAnsi="宋体"/>
          <w:color w:val="auto"/>
          <w:sz w:val="22"/>
          <w:szCs w:val="22"/>
          <w:highlight w:val="none"/>
        </w:rPr>
        <w:t>电子邮件</w:t>
      </w:r>
      <w:r>
        <w:rPr>
          <w:rFonts w:hint="eastAsia" w:ascii="宋体" w:hAnsi="宋体"/>
          <w:color w:val="auto"/>
          <w:sz w:val="22"/>
          <w:szCs w:val="22"/>
          <w:highlight w:val="none"/>
          <w:u w:val="single"/>
        </w:rPr>
        <w:t xml:space="preserve">                       </w:t>
      </w:r>
    </w:p>
    <w:p w14:paraId="5312CD69">
      <w:pPr>
        <w:spacing w:line="360" w:lineRule="auto"/>
        <w:ind w:firstLine="435"/>
        <w:rPr>
          <w:rFonts w:hint="eastAsia" w:ascii="宋体" w:hAnsi="宋体"/>
          <w:color w:val="auto"/>
          <w:sz w:val="22"/>
          <w:szCs w:val="22"/>
          <w:highlight w:val="none"/>
        </w:rPr>
      </w:pPr>
    </w:p>
    <w:p w14:paraId="66FDCEAC">
      <w:pPr>
        <w:spacing w:line="360" w:lineRule="auto"/>
        <w:ind w:firstLine="435"/>
        <w:rPr>
          <w:rFonts w:hint="eastAsia"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Arial" w:hAnsi="宋体" w:cs="Arial"/>
          <w:color w:val="auto"/>
          <w:sz w:val="22"/>
          <w:szCs w:val="22"/>
          <w:highlight w:val="none"/>
          <w:lang w:eastAsia="zh-CN"/>
        </w:rPr>
        <w:t>供应商</w:t>
      </w:r>
      <w:r>
        <w:rPr>
          <w:rFonts w:hint="eastAsia" w:ascii="宋体" w:hAnsi="宋体"/>
          <w:color w:val="auto"/>
          <w:sz w:val="22"/>
          <w:szCs w:val="22"/>
          <w:highlight w:val="none"/>
        </w:rPr>
        <w:t>名称</w:t>
      </w:r>
      <w:r>
        <w:rPr>
          <w:rFonts w:hint="eastAsia" w:ascii="宋体" w:hAnsi="宋体"/>
          <w:color w:val="auto"/>
          <w:sz w:val="22"/>
          <w:szCs w:val="22"/>
          <w:highlight w:val="none"/>
          <w:u w:val="single"/>
        </w:rPr>
        <w:t xml:space="preserve">                              </w:t>
      </w:r>
    </w:p>
    <w:p w14:paraId="047D0144">
      <w:pPr>
        <w:spacing w:line="360" w:lineRule="auto"/>
        <w:ind w:firstLine="435"/>
        <w:rPr>
          <w:rFonts w:hint="eastAsia" w:ascii="宋体" w:hAnsi="宋体"/>
          <w:color w:val="auto"/>
          <w:sz w:val="22"/>
          <w:szCs w:val="22"/>
          <w:highlight w:val="none"/>
        </w:rPr>
      </w:pPr>
      <w:r>
        <w:rPr>
          <w:rFonts w:hint="eastAsia" w:ascii="宋体" w:hAnsi="宋体"/>
          <w:color w:val="auto"/>
          <w:sz w:val="22"/>
          <w:szCs w:val="22"/>
          <w:highlight w:val="none"/>
        </w:rPr>
        <w:t xml:space="preserve">                                   公章</w:t>
      </w:r>
      <w:r>
        <w:rPr>
          <w:rFonts w:hint="eastAsia" w:ascii="宋体" w:hAnsi="宋体"/>
          <w:color w:val="auto"/>
          <w:sz w:val="22"/>
          <w:szCs w:val="22"/>
          <w:highlight w:val="none"/>
          <w:u w:val="single"/>
        </w:rPr>
        <w:t xml:space="preserve">                                    </w:t>
      </w:r>
    </w:p>
    <w:p w14:paraId="55C164A5">
      <w:pPr>
        <w:spacing w:line="360" w:lineRule="auto"/>
        <w:ind w:firstLine="435"/>
        <w:rPr>
          <w:rFonts w:hint="eastAsia"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法定代表人或授权代表（签字或盖章）</w:t>
      </w:r>
      <w:r>
        <w:rPr>
          <w:rFonts w:hint="eastAsia" w:ascii="宋体" w:hAnsi="宋体"/>
          <w:color w:val="auto"/>
          <w:sz w:val="22"/>
          <w:szCs w:val="22"/>
          <w:highlight w:val="none"/>
          <w:u w:val="single"/>
        </w:rPr>
        <w:t xml:space="preserve">                        </w:t>
      </w:r>
    </w:p>
    <w:p w14:paraId="2C349C87">
      <w:pPr>
        <w:spacing w:line="360" w:lineRule="auto"/>
        <w:ind w:firstLine="435"/>
        <w:rPr>
          <w:rFonts w:ascii="宋体" w:hAnsi="宋体"/>
          <w:color w:val="auto"/>
          <w:sz w:val="22"/>
          <w:szCs w:val="22"/>
          <w:highlight w:val="none"/>
          <w:u w:val="single"/>
        </w:rPr>
      </w:pPr>
      <w:r>
        <w:rPr>
          <w:rFonts w:hint="eastAsia" w:ascii="宋体" w:hAnsi="宋体"/>
          <w:color w:val="auto"/>
          <w:sz w:val="22"/>
          <w:szCs w:val="22"/>
          <w:highlight w:val="none"/>
        </w:rPr>
        <w:t xml:space="preserve">                                   日期</w:t>
      </w:r>
      <w:r>
        <w:rPr>
          <w:rFonts w:hint="eastAsia" w:ascii="宋体" w:hAnsi="宋体"/>
          <w:color w:val="auto"/>
          <w:sz w:val="22"/>
          <w:szCs w:val="22"/>
          <w:highlight w:val="none"/>
          <w:u w:val="single"/>
        </w:rPr>
        <w:t xml:space="preserve">                                   </w:t>
      </w:r>
    </w:p>
    <w:p w14:paraId="40FA0185">
      <w:pPr>
        <w:spacing w:before="240" w:beforeLines="100" w:after="120" w:afterLines="50" w:line="360" w:lineRule="auto"/>
        <w:rPr>
          <w:rFonts w:hint="eastAsia" w:ascii="宋体" w:hAnsi="宋体"/>
          <w:color w:val="auto"/>
          <w:sz w:val="22"/>
          <w:szCs w:val="22"/>
          <w:highlight w:val="none"/>
          <w:u w:val="single"/>
        </w:rPr>
        <w:sectPr>
          <w:footerReference r:id="rId15" w:type="first"/>
          <w:footerReference r:id="rId14" w:type="default"/>
          <w:pgSz w:w="11906" w:h="16838"/>
          <w:pgMar w:top="1134" w:right="1304" w:bottom="1134" w:left="1304" w:header="851" w:footer="992" w:gutter="0"/>
          <w:pgNumType w:fmt="decimal"/>
          <w:cols w:space="720" w:num="1"/>
          <w:titlePg/>
          <w:docGrid w:linePitch="312" w:charSpace="0"/>
        </w:sectPr>
      </w:pPr>
    </w:p>
    <w:p w14:paraId="3E8D4A68">
      <w:pPr>
        <w:spacing w:line="38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附件二 </w:t>
      </w:r>
    </w:p>
    <w:p w14:paraId="144DDE32">
      <w:pPr>
        <w:spacing w:line="40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报价一览表</w:t>
      </w:r>
    </w:p>
    <w:p w14:paraId="0887EAEB">
      <w:pPr>
        <w:spacing w:line="380" w:lineRule="exact"/>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项目名称：                     （价格单位：人民币元）       项目编号：</w:t>
      </w:r>
    </w:p>
    <w:tbl>
      <w:tblPr>
        <w:tblStyle w:val="4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3286"/>
        <w:gridCol w:w="1843"/>
        <w:gridCol w:w="1333"/>
      </w:tblGrid>
      <w:tr w14:paraId="294D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773" w:type="dxa"/>
            <w:tcBorders>
              <w:top w:val="single" w:color="auto" w:sz="4" w:space="0"/>
              <w:left w:val="single" w:color="auto" w:sz="4" w:space="0"/>
              <w:bottom w:val="single" w:color="auto" w:sz="4" w:space="0"/>
              <w:right w:val="single" w:color="auto" w:sz="4" w:space="0"/>
            </w:tcBorders>
            <w:noWrap w:val="0"/>
            <w:vAlign w:val="center"/>
          </w:tcPr>
          <w:p w14:paraId="2C662A96">
            <w:pPr>
              <w:spacing w:line="4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项目名称</w:t>
            </w:r>
          </w:p>
        </w:tc>
        <w:tc>
          <w:tcPr>
            <w:tcW w:w="3286" w:type="dxa"/>
            <w:tcBorders>
              <w:top w:val="single" w:color="auto" w:sz="4" w:space="0"/>
              <w:left w:val="single" w:color="auto" w:sz="4" w:space="0"/>
              <w:bottom w:val="single" w:color="auto" w:sz="4" w:space="0"/>
              <w:right w:val="single" w:color="auto" w:sz="4" w:space="0"/>
            </w:tcBorders>
            <w:noWrap w:val="0"/>
            <w:vAlign w:val="center"/>
          </w:tcPr>
          <w:p w14:paraId="6C534284">
            <w:pPr>
              <w:spacing w:line="4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报价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04CBAC">
            <w:pPr>
              <w:spacing w:line="4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服务期</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6A5B492">
            <w:pPr>
              <w:spacing w:line="460" w:lineRule="exact"/>
              <w:jc w:val="center"/>
              <w:rPr>
                <w:rFonts w:hint="eastAsia" w:ascii="宋体" w:hAnsi="宋体"/>
                <w:b/>
                <w:color w:val="auto"/>
                <w:sz w:val="22"/>
                <w:szCs w:val="22"/>
                <w:highlight w:val="none"/>
              </w:rPr>
            </w:pPr>
            <w:r>
              <w:rPr>
                <w:rFonts w:hint="eastAsia" w:ascii="宋体" w:hAnsi="宋体"/>
                <w:b/>
                <w:color w:val="auto"/>
                <w:sz w:val="22"/>
                <w:szCs w:val="22"/>
                <w:highlight w:val="none"/>
              </w:rPr>
              <w:t>备注</w:t>
            </w:r>
          </w:p>
        </w:tc>
      </w:tr>
      <w:tr w14:paraId="4BDB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2773" w:type="dxa"/>
            <w:tcBorders>
              <w:top w:val="single" w:color="auto" w:sz="4" w:space="0"/>
              <w:left w:val="single" w:color="auto" w:sz="4" w:space="0"/>
              <w:bottom w:val="single" w:color="auto" w:sz="4" w:space="0"/>
              <w:right w:val="single" w:color="auto" w:sz="4" w:space="0"/>
            </w:tcBorders>
            <w:noWrap w:val="0"/>
            <w:vAlign w:val="center"/>
          </w:tcPr>
          <w:p w14:paraId="3CD759F0">
            <w:pPr>
              <w:spacing w:line="460" w:lineRule="exact"/>
              <w:jc w:val="center"/>
              <w:rPr>
                <w:rFonts w:hint="eastAsia" w:ascii="宋体" w:hAnsi="宋体"/>
                <w:b/>
                <w:color w:val="auto"/>
                <w:sz w:val="22"/>
                <w:szCs w:val="22"/>
                <w:highlight w:val="none"/>
              </w:rPr>
            </w:pPr>
          </w:p>
        </w:tc>
        <w:tc>
          <w:tcPr>
            <w:tcW w:w="3286" w:type="dxa"/>
            <w:tcBorders>
              <w:top w:val="single" w:color="auto" w:sz="4" w:space="0"/>
              <w:left w:val="single" w:color="auto" w:sz="4" w:space="0"/>
              <w:bottom w:val="single" w:color="auto" w:sz="4" w:space="0"/>
              <w:right w:val="single" w:color="auto" w:sz="4" w:space="0"/>
            </w:tcBorders>
            <w:noWrap w:val="0"/>
            <w:vAlign w:val="center"/>
          </w:tcPr>
          <w:p w14:paraId="2CDB02DC">
            <w:pPr>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小写：</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C89430">
            <w:pPr>
              <w:spacing w:line="460" w:lineRule="exact"/>
              <w:jc w:val="center"/>
              <w:rPr>
                <w:rFonts w:ascii="宋体" w:hAnsi="宋体"/>
                <w:b/>
                <w:color w:val="auto"/>
                <w:sz w:val="22"/>
                <w:szCs w:val="22"/>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D7C72D6">
            <w:pPr>
              <w:spacing w:line="460" w:lineRule="exact"/>
              <w:rPr>
                <w:rFonts w:hint="eastAsia" w:ascii="宋体" w:hAnsi="宋体"/>
                <w:b/>
                <w:color w:val="auto"/>
                <w:sz w:val="22"/>
                <w:szCs w:val="22"/>
                <w:highlight w:val="none"/>
              </w:rPr>
            </w:pPr>
          </w:p>
        </w:tc>
      </w:tr>
      <w:tr w14:paraId="62EE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235" w:type="dxa"/>
            <w:gridSpan w:val="4"/>
            <w:tcBorders>
              <w:top w:val="single" w:color="auto" w:sz="4" w:space="0"/>
              <w:left w:val="single" w:color="auto" w:sz="4" w:space="0"/>
              <w:bottom w:val="single" w:color="auto" w:sz="4" w:space="0"/>
              <w:right w:val="single" w:color="auto" w:sz="4" w:space="0"/>
            </w:tcBorders>
            <w:noWrap w:val="0"/>
            <w:vAlign w:val="center"/>
          </w:tcPr>
          <w:p w14:paraId="1700E18C">
            <w:pPr>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报价（大写）：</w:t>
            </w:r>
          </w:p>
        </w:tc>
      </w:tr>
    </w:tbl>
    <w:p w14:paraId="22DB8C06">
      <w:pPr>
        <w:spacing w:line="440" w:lineRule="exact"/>
        <w:ind w:left="531" w:leftChars="38" w:hanging="451" w:hangingChars="204"/>
        <w:rPr>
          <w:rFonts w:ascii="Arial" w:hAnsi="Arial" w:eastAsia="新宋体" w:cs="Arial"/>
          <w:b/>
          <w:color w:val="auto"/>
          <w:sz w:val="22"/>
          <w:szCs w:val="22"/>
          <w:highlight w:val="none"/>
          <w:u w:val="single"/>
        </w:rPr>
      </w:pPr>
      <w:r>
        <w:rPr>
          <w:rFonts w:hint="eastAsia" w:ascii="宋体" w:hAnsi="宋体"/>
          <w:b/>
          <w:bCs/>
          <w:color w:val="auto"/>
          <w:sz w:val="22"/>
          <w:szCs w:val="22"/>
          <w:highlight w:val="none"/>
        </w:rPr>
        <w:t>说明：1.</w:t>
      </w:r>
      <w:r>
        <w:rPr>
          <w:rFonts w:ascii="Arial" w:hAnsi="Arial" w:eastAsia="新宋体" w:cs="Arial"/>
          <w:b/>
          <w:color w:val="auto"/>
          <w:sz w:val="22"/>
          <w:szCs w:val="22"/>
          <w:highlight w:val="none"/>
          <w:u w:val="single"/>
        </w:rPr>
        <w:t>▲不提供报价一览表的报价文件将被视为未实质性响应</w:t>
      </w:r>
      <w:r>
        <w:rPr>
          <w:rFonts w:hint="eastAsia" w:ascii="Arial" w:hAnsi="Arial" w:eastAsia="新宋体" w:cs="Arial"/>
          <w:b/>
          <w:color w:val="auto"/>
          <w:sz w:val="22"/>
          <w:szCs w:val="22"/>
          <w:highlight w:val="none"/>
          <w:u w:val="single"/>
        </w:rPr>
        <w:t>采购</w:t>
      </w:r>
      <w:r>
        <w:rPr>
          <w:rFonts w:ascii="Arial" w:hAnsi="Arial" w:eastAsia="新宋体" w:cs="Arial"/>
          <w:b/>
          <w:color w:val="auto"/>
          <w:sz w:val="22"/>
          <w:szCs w:val="22"/>
          <w:highlight w:val="none"/>
          <w:u w:val="single"/>
        </w:rPr>
        <w:t>文件。</w:t>
      </w:r>
    </w:p>
    <w:p w14:paraId="74DB5F73">
      <w:pPr>
        <w:spacing w:line="440" w:lineRule="exact"/>
        <w:ind w:left="531" w:leftChars="38" w:hanging="451" w:hangingChars="204"/>
        <w:rPr>
          <w:rFonts w:hint="eastAsia" w:ascii="Arial" w:hAnsi="Arial" w:eastAsia="新宋体" w:cs="Arial"/>
          <w:b/>
          <w:color w:val="auto"/>
          <w:sz w:val="22"/>
          <w:szCs w:val="22"/>
          <w:highlight w:val="none"/>
          <w:u w:val="single"/>
        </w:rPr>
      </w:pPr>
      <w:r>
        <w:rPr>
          <w:rFonts w:hint="eastAsia" w:ascii="宋体" w:hAnsi="宋体" w:cs="宋体"/>
          <w:b/>
          <w:bCs/>
          <w:color w:val="auto"/>
          <w:sz w:val="22"/>
          <w:szCs w:val="22"/>
          <w:highlight w:val="none"/>
        </w:rPr>
        <w:t xml:space="preserve">      2.</w:t>
      </w:r>
      <w:r>
        <w:rPr>
          <w:rFonts w:hint="eastAsia" w:ascii="宋体" w:hAnsi="宋体" w:cs="宋体"/>
          <w:b/>
          <w:bCs/>
          <w:color w:val="auto"/>
          <w:sz w:val="22"/>
          <w:szCs w:val="22"/>
          <w:highlight w:val="none"/>
          <w:u w:val="single"/>
        </w:rPr>
        <w:t>报价包括采购代理服务费。</w:t>
      </w:r>
    </w:p>
    <w:p w14:paraId="5D050842">
      <w:pPr>
        <w:spacing w:line="380" w:lineRule="exact"/>
        <w:ind w:left="521" w:leftChars="248" w:firstLine="108" w:firstLineChars="49"/>
        <w:rPr>
          <w:rFonts w:hint="eastAsia" w:ascii="新宋体" w:hAnsi="新宋体" w:eastAsia="新宋体"/>
          <w:b/>
          <w:bCs/>
          <w:color w:val="auto"/>
          <w:sz w:val="22"/>
          <w:szCs w:val="22"/>
          <w:highlight w:val="none"/>
        </w:rPr>
      </w:pPr>
    </w:p>
    <w:p w14:paraId="16BAEEB9">
      <w:pPr>
        <w:spacing w:line="380" w:lineRule="exact"/>
        <w:rPr>
          <w:rFonts w:hint="eastAsia" w:ascii="新宋体" w:hAnsi="新宋体" w:eastAsia="新宋体"/>
          <w:color w:val="auto"/>
          <w:sz w:val="22"/>
          <w:szCs w:val="22"/>
          <w:highlight w:val="none"/>
        </w:rPr>
      </w:pPr>
    </w:p>
    <w:p w14:paraId="41BB6C33">
      <w:pPr>
        <w:spacing w:line="380" w:lineRule="exact"/>
        <w:rPr>
          <w:rFonts w:hint="eastAsia" w:ascii="新宋体" w:hAnsi="新宋体" w:eastAsia="新宋体"/>
          <w:color w:val="auto"/>
          <w:sz w:val="22"/>
          <w:szCs w:val="22"/>
          <w:highlight w:val="none"/>
        </w:rPr>
      </w:pPr>
    </w:p>
    <w:p w14:paraId="136CA43C">
      <w:pPr>
        <w:spacing w:line="3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供应商</w:t>
      </w:r>
      <w:r>
        <w:rPr>
          <w:rFonts w:hint="eastAsia" w:ascii="新宋体" w:hAnsi="新宋体" w:eastAsia="新宋体"/>
          <w:color w:val="auto"/>
          <w:sz w:val="22"/>
          <w:szCs w:val="22"/>
          <w:highlight w:val="none"/>
        </w:rPr>
        <w:t>全称（盖章）：</w:t>
      </w:r>
    </w:p>
    <w:p w14:paraId="7FFEF292">
      <w:pPr>
        <w:spacing w:line="380" w:lineRule="exact"/>
        <w:rPr>
          <w:rFonts w:hint="eastAsia" w:ascii="新宋体" w:hAnsi="新宋体" w:eastAsia="新宋体"/>
          <w:color w:val="auto"/>
          <w:sz w:val="22"/>
          <w:szCs w:val="22"/>
          <w:highlight w:val="none"/>
        </w:rPr>
      </w:pPr>
    </w:p>
    <w:p w14:paraId="2666EC49">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法定代表人或授权代表（签字或盖章）：</w:t>
      </w:r>
    </w:p>
    <w:p w14:paraId="05BE7D24">
      <w:pPr>
        <w:spacing w:line="360" w:lineRule="auto"/>
        <w:ind w:right="880"/>
        <w:rPr>
          <w:rFonts w:hint="eastAsia" w:ascii="新宋体" w:hAnsi="新宋体" w:eastAsia="新宋体"/>
          <w:color w:val="auto"/>
          <w:sz w:val="22"/>
          <w:szCs w:val="22"/>
          <w:highlight w:val="none"/>
        </w:rPr>
      </w:pPr>
    </w:p>
    <w:p w14:paraId="74520D1D">
      <w:pPr>
        <w:spacing w:line="360" w:lineRule="auto"/>
        <w:ind w:right="880"/>
        <w:rPr>
          <w:rFonts w:hint="eastAsia" w:ascii="宋体" w:hAnsi="宋体"/>
          <w:color w:val="auto"/>
          <w:szCs w:val="21"/>
          <w:highlight w:val="none"/>
        </w:rPr>
      </w:pPr>
      <w:r>
        <w:rPr>
          <w:rFonts w:hint="eastAsia" w:ascii="新宋体" w:hAnsi="新宋体" w:eastAsia="新宋体"/>
          <w:color w:val="auto"/>
          <w:sz w:val="22"/>
          <w:szCs w:val="22"/>
          <w:highlight w:val="none"/>
        </w:rPr>
        <w:t>日 期：  年  月  日</w:t>
      </w:r>
    </w:p>
    <w:p w14:paraId="18C09F21">
      <w:pPr>
        <w:spacing w:line="380" w:lineRule="exact"/>
        <w:rPr>
          <w:rFonts w:ascii="新宋体" w:hAnsi="新宋体" w:eastAsia="新宋体"/>
          <w:b/>
          <w:bCs/>
          <w:color w:val="auto"/>
          <w:sz w:val="22"/>
          <w:szCs w:val="22"/>
          <w:highlight w:val="none"/>
        </w:rPr>
      </w:pPr>
      <w:r>
        <w:rPr>
          <w:rFonts w:ascii="宋体" w:hAnsi="宋体" w:cs="Arial"/>
          <w:color w:val="auto"/>
          <w:szCs w:val="21"/>
          <w:highlight w:val="none"/>
        </w:rPr>
        <w:br w:type="page"/>
      </w:r>
      <w:r>
        <w:rPr>
          <w:rFonts w:hint="eastAsia" w:ascii="新宋体" w:hAnsi="新宋体" w:eastAsia="新宋体"/>
          <w:b/>
          <w:bCs/>
          <w:color w:val="auto"/>
          <w:sz w:val="22"/>
          <w:szCs w:val="22"/>
          <w:highlight w:val="none"/>
        </w:rPr>
        <w:t>附件三</w:t>
      </w:r>
    </w:p>
    <w:p w14:paraId="0D29CF8B">
      <w:pPr>
        <w:spacing w:line="46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分项报价表</w:t>
      </w:r>
    </w:p>
    <w:p w14:paraId="6041BD7C">
      <w:pPr>
        <w:spacing w:line="38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eastAsia="zh-CN"/>
        </w:rPr>
        <w:t>供应商</w:t>
      </w:r>
      <w:r>
        <w:rPr>
          <w:rFonts w:hint="eastAsia" w:ascii="新宋体" w:hAnsi="新宋体" w:eastAsia="新宋体"/>
          <w:b/>
          <w:bCs/>
          <w:color w:val="auto"/>
          <w:sz w:val="22"/>
          <w:szCs w:val="22"/>
          <w:highlight w:val="none"/>
        </w:rPr>
        <w:t xml:space="preserve">名称： </w:t>
      </w:r>
      <w:r>
        <w:rPr>
          <w:rFonts w:hint="eastAsia" w:ascii="新宋体" w:hAnsi="新宋体" w:eastAsia="新宋体"/>
          <w:color w:val="auto"/>
          <w:sz w:val="22"/>
          <w:szCs w:val="22"/>
          <w:highlight w:val="none"/>
        </w:rPr>
        <w:t xml:space="preserve">                        （价格单位：人民币元）     </w:t>
      </w:r>
      <w:r>
        <w:rPr>
          <w:rFonts w:hint="eastAsia" w:ascii="新宋体" w:hAnsi="新宋体" w:eastAsia="新宋体"/>
          <w:b/>
          <w:bCs/>
          <w:color w:val="auto"/>
          <w:sz w:val="22"/>
          <w:szCs w:val="22"/>
          <w:highlight w:val="none"/>
        </w:rPr>
        <w:t>项目编号：</w:t>
      </w:r>
    </w:p>
    <w:tbl>
      <w:tblPr>
        <w:tblStyle w:val="4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233"/>
        <w:gridCol w:w="1277"/>
        <w:gridCol w:w="1753"/>
      </w:tblGrid>
      <w:tr w14:paraId="42DE59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noWrap w:val="0"/>
            <w:vAlign w:val="center"/>
          </w:tcPr>
          <w:p w14:paraId="08AEB839">
            <w:pPr>
              <w:spacing w:line="380" w:lineRule="exact"/>
              <w:jc w:val="center"/>
              <w:rPr>
                <w:rFonts w:ascii="宋体" w:hAnsi="宋体" w:cs="hakuyoxingshu7000"/>
                <w:b/>
                <w:bCs/>
                <w:color w:val="auto"/>
                <w:sz w:val="22"/>
                <w:szCs w:val="22"/>
                <w:highlight w:val="none"/>
              </w:rPr>
            </w:pPr>
            <w:r>
              <w:rPr>
                <w:rFonts w:hint="eastAsia" w:ascii="宋体" w:hAnsi="宋体" w:cs="hakuyoxingshu7000"/>
                <w:b/>
                <w:bCs/>
                <w:color w:val="auto"/>
                <w:sz w:val="22"/>
                <w:szCs w:val="22"/>
                <w:highlight w:val="none"/>
              </w:rPr>
              <w:t>序号</w:t>
            </w:r>
          </w:p>
        </w:tc>
        <w:tc>
          <w:tcPr>
            <w:tcW w:w="3218" w:type="dxa"/>
            <w:noWrap w:val="0"/>
            <w:vAlign w:val="center"/>
          </w:tcPr>
          <w:p w14:paraId="719F34B2">
            <w:pPr>
              <w:spacing w:line="380" w:lineRule="exact"/>
              <w:jc w:val="center"/>
              <w:rPr>
                <w:rFonts w:ascii="宋体" w:hAnsi="宋体" w:cs="hakuyoxingshu7000"/>
                <w:b/>
                <w:bCs/>
                <w:color w:val="auto"/>
                <w:sz w:val="22"/>
                <w:szCs w:val="22"/>
                <w:highlight w:val="none"/>
              </w:rPr>
            </w:pPr>
            <w:r>
              <w:rPr>
                <w:rFonts w:hint="eastAsia" w:ascii="宋体" w:hAnsi="宋体" w:cs="hakuyoxingshu7000"/>
                <w:b/>
                <w:bCs/>
                <w:color w:val="auto"/>
                <w:sz w:val="22"/>
                <w:szCs w:val="22"/>
                <w:highlight w:val="none"/>
              </w:rPr>
              <w:t>项目内容</w:t>
            </w:r>
          </w:p>
        </w:tc>
        <w:tc>
          <w:tcPr>
            <w:tcW w:w="3510" w:type="dxa"/>
            <w:gridSpan w:val="2"/>
            <w:noWrap w:val="0"/>
            <w:vAlign w:val="center"/>
          </w:tcPr>
          <w:p w14:paraId="26461166">
            <w:pPr>
              <w:spacing w:line="380" w:lineRule="exact"/>
              <w:jc w:val="center"/>
              <w:rPr>
                <w:rFonts w:ascii="宋体" w:hAnsi="宋体" w:cs="hakuyoxingshu7000"/>
                <w:b/>
                <w:bCs/>
                <w:color w:val="auto"/>
                <w:sz w:val="22"/>
                <w:szCs w:val="22"/>
                <w:highlight w:val="none"/>
              </w:rPr>
            </w:pPr>
            <w:r>
              <w:rPr>
                <w:rFonts w:hint="eastAsia" w:ascii="宋体" w:hAnsi="宋体" w:cs="hakuyoxingshu7000"/>
                <w:b/>
                <w:bCs/>
                <w:color w:val="auto"/>
                <w:sz w:val="22"/>
                <w:szCs w:val="22"/>
                <w:highlight w:val="none"/>
              </w:rPr>
              <w:t>费用（元）</w:t>
            </w:r>
          </w:p>
        </w:tc>
        <w:tc>
          <w:tcPr>
            <w:tcW w:w="1753" w:type="dxa"/>
            <w:noWrap w:val="0"/>
            <w:vAlign w:val="center"/>
          </w:tcPr>
          <w:p w14:paraId="1F57A9A6">
            <w:pPr>
              <w:spacing w:line="380" w:lineRule="exact"/>
              <w:jc w:val="center"/>
              <w:rPr>
                <w:rFonts w:ascii="宋体" w:hAnsi="宋体" w:cs="hakuyoxingshu7000"/>
                <w:b/>
                <w:bCs/>
                <w:color w:val="auto"/>
                <w:sz w:val="22"/>
                <w:szCs w:val="22"/>
                <w:highlight w:val="none"/>
              </w:rPr>
            </w:pPr>
            <w:r>
              <w:rPr>
                <w:rFonts w:hint="eastAsia" w:ascii="宋体" w:hAnsi="宋体" w:cs="hakuyoxingshu7000"/>
                <w:b/>
                <w:bCs/>
                <w:color w:val="auto"/>
                <w:sz w:val="22"/>
                <w:szCs w:val="22"/>
                <w:highlight w:val="none"/>
              </w:rPr>
              <w:t>备注</w:t>
            </w:r>
          </w:p>
        </w:tc>
      </w:tr>
      <w:tr w14:paraId="51CF8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noWrap w:val="0"/>
            <w:vAlign w:val="center"/>
          </w:tcPr>
          <w:p w14:paraId="19310DE5">
            <w:pPr>
              <w:spacing w:line="380" w:lineRule="exact"/>
              <w:jc w:val="center"/>
              <w:rPr>
                <w:rFonts w:ascii="宋体" w:hAnsi="宋体" w:cs="hakuyoxingshu7000"/>
                <w:bCs/>
                <w:color w:val="auto"/>
                <w:sz w:val="22"/>
                <w:szCs w:val="22"/>
                <w:highlight w:val="none"/>
              </w:rPr>
            </w:pPr>
            <w:r>
              <w:rPr>
                <w:rFonts w:hint="eastAsia" w:ascii="宋体" w:hAnsi="宋体" w:cs="hakuyoxingshu7000"/>
                <w:bCs/>
                <w:color w:val="auto"/>
                <w:sz w:val="22"/>
                <w:szCs w:val="22"/>
                <w:highlight w:val="none"/>
              </w:rPr>
              <w:t>1</w:t>
            </w:r>
          </w:p>
        </w:tc>
        <w:tc>
          <w:tcPr>
            <w:tcW w:w="3218" w:type="dxa"/>
            <w:noWrap w:val="0"/>
            <w:vAlign w:val="center"/>
          </w:tcPr>
          <w:p w14:paraId="41E8E2DC">
            <w:pPr>
              <w:spacing w:line="380" w:lineRule="exact"/>
              <w:rPr>
                <w:rFonts w:ascii="宋体" w:hAnsi="宋体" w:cs="hakuyoxingshu7000"/>
                <w:bCs/>
                <w:color w:val="auto"/>
                <w:sz w:val="22"/>
                <w:szCs w:val="22"/>
                <w:highlight w:val="none"/>
              </w:rPr>
            </w:pPr>
          </w:p>
        </w:tc>
        <w:tc>
          <w:tcPr>
            <w:tcW w:w="3510" w:type="dxa"/>
            <w:gridSpan w:val="2"/>
            <w:noWrap w:val="0"/>
            <w:vAlign w:val="center"/>
          </w:tcPr>
          <w:p w14:paraId="0CA7E979">
            <w:pPr>
              <w:spacing w:line="380" w:lineRule="exact"/>
              <w:rPr>
                <w:rFonts w:ascii="宋体" w:hAnsi="宋体" w:cs="hakuyoxingshu7000"/>
                <w:bCs/>
                <w:color w:val="auto"/>
                <w:sz w:val="22"/>
                <w:szCs w:val="22"/>
                <w:highlight w:val="none"/>
              </w:rPr>
            </w:pPr>
          </w:p>
        </w:tc>
        <w:tc>
          <w:tcPr>
            <w:tcW w:w="1753" w:type="dxa"/>
            <w:noWrap w:val="0"/>
            <w:vAlign w:val="center"/>
          </w:tcPr>
          <w:p w14:paraId="50422DD4">
            <w:pPr>
              <w:spacing w:line="380" w:lineRule="exact"/>
              <w:rPr>
                <w:rFonts w:ascii="宋体" w:hAnsi="宋体" w:cs="hakuyoxingshu7000"/>
                <w:b/>
                <w:bCs/>
                <w:color w:val="auto"/>
                <w:sz w:val="22"/>
                <w:szCs w:val="22"/>
                <w:highlight w:val="none"/>
              </w:rPr>
            </w:pPr>
          </w:p>
        </w:tc>
      </w:tr>
      <w:tr w14:paraId="21E145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noWrap w:val="0"/>
            <w:vAlign w:val="center"/>
          </w:tcPr>
          <w:p w14:paraId="30F9D0A1">
            <w:pPr>
              <w:spacing w:line="380" w:lineRule="exact"/>
              <w:jc w:val="center"/>
              <w:rPr>
                <w:rFonts w:ascii="宋体" w:hAnsi="宋体" w:cs="hakuyoxingshu7000"/>
                <w:bCs/>
                <w:color w:val="auto"/>
                <w:sz w:val="22"/>
                <w:szCs w:val="22"/>
                <w:highlight w:val="none"/>
              </w:rPr>
            </w:pPr>
            <w:r>
              <w:rPr>
                <w:rFonts w:hint="eastAsia" w:ascii="宋体" w:hAnsi="宋体" w:cs="hakuyoxingshu7000"/>
                <w:bCs/>
                <w:color w:val="auto"/>
                <w:sz w:val="22"/>
                <w:szCs w:val="22"/>
                <w:highlight w:val="none"/>
              </w:rPr>
              <w:t>2</w:t>
            </w:r>
          </w:p>
        </w:tc>
        <w:tc>
          <w:tcPr>
            <w:tcW w:w="3218" w:type="dxa"/>
            <w:noWrap w:val="0"/>
            <w:vAlign w:val="center"/>
          </w:tcPr>
          <w:p w14:paraId="677F9FC9">
            <w:pPr>
              <w:spacing w:line="380" w:lineRule="exact"/>
              <w:rPr>
                <w:rFonts w:ascii="宋体" w:hAnsi="宋体" w:cs="hakuyoxingshu7000"/>
                <w:bCs/>
                <w:color w:val="auto"/>
                <w:sz w:val="22"/>
                <w:szCs w:val="22"/>
                <w:highlight w:val="none"/>
              </w:rPr>
            </w:pPr>
          </w:p>
        </w:tc>
        <w:tc>
          <w:tcPr>
            <w:tcW w:w="3510" w:type="dxa"/>
            <w:gridSpan w:val="2"/>
            <w:noWrap w:val="0"/>
            <w:vAlign w:val="center"/>
          </w:tcPr>
          <w:p w14:paraId="3B33AEF4">
            <w:pPr>
              <w:spacing w:line="380" w:lineRule="exact"/>
              <w:rPr>
                <w:rFonts w:ascii="宋体" w:hAnsi="宋体" w:cs="hakuyoxingshu7000"/>
                <w:bCs/>
                <w:color w:val="auto"/>
                <w:sz w:val="22"/>
                <w:szCs w:val="22"/>
                <w:highlight w:val="none"/>
              </w:rPr>
            </w:pPr>
          </w:p>
        </w:tc>
        <w:tc>
          <w:tcPr>
            <w:tcW w:w="1753" w:type="dxa"/>
            <w:noWrap w:val="0"/>
            <w:vAlign w:val="center"/>
          </w:tcPr>
          <w:p w14:paraId="00E9D905">
            <w:pPr>
              <w:spacing w:line="380" w:lineRule="exact"/>
              <w:rPr>
                <w:rFonts w:ascii="宋体" w:hAnsi="宋体" w:cs="hakuyoxingshu7000"/>
                <w:b/>
                <w:bCs/>
                <w:color w:val="auto"/>
                <w:sz w:val="22"/>
                <w:szCs w:val="22"/>
                <w:highlight w:val="none"/>
              </w:rPr>
            </w:pPr>
          </w:p>
        </w:tc>
      </w:tr>
      <w:tr w14:paraId="53257A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noWrap w:val="0"/>
            <w:vAlign w:val="center"/>
          </w:tcPr>
          <w:p w14:paraId="744C1AED">
            <w:pPr>
              <w:spacing w:line="380" w:lineRule="exact"/>
              <w:jc w:val="center"/>
              <w:rPr>
                <w:rFonts w:ascii="宋体" w:hAnsi="宋体" w:cs="hakuyoxingshu7000"/>
                <w:bCs/>
                <w:color w:val="auto"/>
                <w:sz w:val="22"/>
                <w:szCs w:val="22"/>
                <w:highlight w:val="none"/>
              </w:rPr>
            </w:pPr>
            <w:r>
              <w:rPr>
                <w:rFonts w:hint="eastAsia" w:ascii="宋体" w:hAnsi="宋体" w:cs="hakuyoxingshu7000"/>
                <w:bCs/>
                <w:color w:val="auto"/>
                <w:sz w:val="22"/>
                <w:szCs w:val="22"/>
                <w:highlight w:val="none"/>
              </w:rPr>
              <w:t>3</w:t>
            </w:r>
          </w:p>
        </w:tc>
        <w:tc>
          <w:tcPr>
            <w:tcW w:w="3218" w:type="dxa"/>
            <w:noWrap w:val="0"/>
            <w:vAlign w:val="center"/>
          </w:tcPr>
          <w:p w14:paraId="28133070">
            <w:pPr>
              <w:spacing w:line="380" w:lineRule="exact"/>
              <w:rPr>
                <w:rFonts w:ascii="宋体" w:hAnsi="宋体" w:cs="hakuyoxingshu7000"/>
                <w:bCs/>
                <w:color w:val="auto"/>
                <w:sz w:val="22"/>
                <w:szCs w:val="22"/>
                <w:highlight w:val="none"/>
              </w:rPr>
            </w:pPr>
          </w:p>
        </w:tc>
        <w:tc>
          <w:tcPr>
            <w:tcW w:w="3510" w:type="dxa"/>
            <w:gridSpan w:val="2"/>
            <w:noWrap w:val="0"/>
            <w:vAlign w:val="center"/>
          </w:tcPr>
          <w:p w14:paraId="1BF78A42">
            <w:pPr>
              <w:spacing w:line="380" w:lineRule="exact"/>
              <w:rPr>
                <w:rFonts w:ascii="宋体" w:hAnsi="宋体" w:cs="hakuyoxingshu7000"/>
                <w:bCs/>
                <w:color w:val="auto"/>
                <w:sz w:val="22"/>
                <w:szCs w:val="22"/>
                <w:highlight w:val="none"/>
              </w:rPr>
            </w:pPr>
          </w:p>
        </w:tc>
        <w:tc>
          <w:tcPr>
            <w:tcW w:w="1753" w:type="dxa"/>
            <w:noWrap w:val="0"/>
            <w:vAlign w:val="center"/>
          </w:tcPr>
          <w:p w14:paraId="7159810B">
            <w:pPr>
              <w:spacing w:line="380" w:lineRule="exact"/>
              <w:rPr>
                <w:rFonts w:ascii="宋体" w:hAnsi="宋体" w:cs="hakuyoxingshu7000"/>
                <w:b/>
                <w:bCs/>
                <w:color w:val="auto"/>
                <w:sz w:val="22"/>
                <w:szCs w:val="22"/>
                <w:highlight w:val="none"/>
              </w:rPr>
            </w:pPr>
          </w:p>
        </w:tc>
      </w:tr>
      <w:tr w14:paraId="54F08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noWrap w:val="0"/>
            <w:vAlign w:val="center"/>
          </w:tcPr>
          <w:p w14:paraId="1A1E3193">
            <w:pPr>
              <w:spacing w:line="380" w:lineRule="exact"/>
              <w:jc w:val="center"/>
              <w:rPr>
                <w:rFonts w:ascii="宋体" w:hAnsi="宋体" w:cs="hakuyoxingshu7000"/>
                <w:bCs/>
                <w:color w:val="auto"/>
                <w:sz w:val="22"/>
                <w:szCs w:val="22"/>
                <w:highlight w:val="none"/>
              </w:rPr>
            </w:pPr>
            <w:r>
              <w:rPr>
                <w:rFonts w:hint="eastAsia" w:ascii="宋体" w:hAnsi="宋体" w:cs="hakuyoxingshu7000"/>
                <w:bCs/>
                <w:color w:val="auto"/>
                <w:sz w:val="22"/>
                <w:szCs w:val="22"/>
                <w:highlight w:val="none"/>
              </w:rPr>
              <w:t>4</w:t>
            </w:r>
          </w:p>
        </w:tc>
        <w:tc>
          <w:tcPr>
            <w:tcW w:w="3218" w:type="dxa"/>
            <w:noWrap w:val="0"/>
            <w:vAlign w:val="center"/>
          </w:tcPr>
          <w:p w14:paraId="168D430E">
            <w:pPr>
              <w:spacing w:line="380" w:lineRule="exact"/>
              <w:rPr>
                <w:rFonts w:ascii="宋体" w:hAnsi="宋体" w:cs="hakuyoxingshu7000"/>
                <w:bCs/>
                <w:color w:val="auto"/>
                <w:sz w:val="22"/>
                <w:szCs w:val="22"/>
                <w:highlight w:val="none"/>
              </w:rPr>
            </w:pPr>
          </w:p>
        </w:tc>
        <w:tc>
          <w:tcPr>
            <w:tcW w:w="3510" w:type="dxa"/>
            <w:gridSpan w:val="2"/>
            <w:noWrap w:val="0"/>
            <w:vAlign w:val="center"/>
          </w:tcPr>
          <w:p w14:paraId="71F7A6A9">
            <w:pPr>
              <w:spacing w:line="380" w:lineRule="exact"/>
              <w:rPr>
                <w:rFonts w:ascii="宋体" w:hAnsi="宋体" w:cs="hakuyoxingshu7000"/>
                <w:bCs/>
                <w:color w:val="auto"/>
                <w:sz w:val="22"/>
                <w:szCs w:val="22"/>
                <w:highlight w:val="none"/>
              </w:rPr>
            </w:pPr>
          </w:p>
        </w:tc>
        <w:tc>
          <w:tcPr>
            <w:tcW w:w="1753" w:type="dxa"/>
            <w:noWrap w:val="0"/>
            <w:vAlign w:val="center"/>
          </w:tcPr>
          <w:p w14:paraId="1CC8000F">
            <w:pPr>
              <w:spacing w:line="380" w:lineRule="exact"/>
              <w:rPr>
                <w:rFonts w:ascii="宋体" w:hAnsi="宋体" w:cs="hakuyoxingshu7000"/>
                <w:b/>
                <w:bCs/>
                <w:color w:val="auto"/>
                <w:sz w:val="22"/>
                <w:szCs w:val="22"/>
                <w:highlight w:val="none"/>
              </w:rPr>
            </w:pPr>
          </w:p>
        </w:tc>
      </w:tr>
      <w:tr w14:paraId="62FCE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noWrap w:val="0"/>
            <w:vAlign w:val="center"/>
          </w:tcPr>
          <w:p w14:paraId="3233355A">
            <w:pPr>
              <w:spacing w:line="380" w:lineRule="exact"/>
              <w:jc w:val="center"/>
              <w:rPr>
                <w:rFonts w:ascii="宋体" w:hAnsi="宋体" w:cs="hakuyoxingshu7000"/>
                <w:bCs/>
                <w:color w:val="auto"/>
                <w:sz w:val="22"/>
                <w:szCs w:val="22"/>
                <w:highlight w:val="none"/>
              </w:rPr>
            </w:pPr>
            <w:r>
              <w:rPr>
                <w:rFonts w:hint="eastAsia" w:ascii="宋体" w:hAnsi="宋体" w:cs="hakuyoxingshu7000"/>
                <w:bCs/>
                <w:color w:val="auto"/>
                <w:sz w:val="22"/>
                <w:szCs w:val="22"/>
                <w:highlight w:val="none"/>
              </w:rPr>
              <w:t>5</w:t>
            </w:r>
          </w:p>
        </w:tc>
        <w:tc>
          <w:tcPr>
            <w:tcW w:w="3218" w:type="dxa"/>
            <w:noWrap w:val="0"/>
            <w:vAlign w:val="center"/>
          </w:tcPr>
          <w:p w14:paraId="05FDD03E">
            <w:pPr>
              <w:spacing w:line="380" w:lineRule="exact"/>
              <w:rPr>
                <w:rFonts w:ascii="宋体" w:hAnsi="宋体" w:cs="hakuyoxingshu7000"/>
                <w:bCs/>
                <w:color w:val="auto"/>
                <w:sz w:val="22"/>
                <w:szCs w:val="22"/>
                <w:highlight w:val="none"/>
              </w:rPr>
            </w:pPr>
          </w:p>
        </w:tc>
        <w:tc>
          <w:tcPr>
            <w:tcW w:w="3510" w:type="dxa"/>
            <w:gridSpan w:val="2"/>
            <w:noWrap w:val="0"/>
            <w:vAlign w:val="center"/>
          </w:tcPr>
          <w:p w14:paraId="3137FE08">
            <w:pPr>
              <w:spacing w:line="380" w:lineRule="exact"/>
              <w:rPr>
                <w:rFonts w:ascii="宋体" w:hAnsi="宋体" w:cs="hakuyoxingshu7000"/>
                <w:bCs/>
                <w:color w:val="auto"/>
                <w:sz w:val="22"/>
                <w:szCs w:val="22"/>
                <w:highlight w:val="none"/>
              </w:rPr>
            </w:pPr>
          </w:p>
        </w:tc>
        <w:tc>
          <w:tcPr>
            <w:tcW w:w="1753" w:type="dxa"/>
            <w:noWrap w:val="0"/>
            <w:vAlign w:val="center"/>
          </w:tcPr>
          <w:p w14:paraId="6EB9DA0D">
            <w:pPr>
              <w:spacing w:line="380" w:lineRule="exact"/>
              <w:rPr>
                <w:rFonts w:ascii="宋体" w:hAnsi="宋体" w:cs="hakuyoxingshu7000"/>
                <w:b/>
                <w:bCs/>
                <w:color w:val="auto"/>
                <w:sz w:val="22"/>
                <w:szCs w:val="22"/>
                <w:highlight w:val="none"/>
              </w:rPr>
            </w:pPr>
          </w:p>
        </w:tc>
      </w:tr>
      <w:tr w14:paraId="17979F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noWrap w:val="0"/>
            <w:vAlign w:val="center"/>
          </w:tcPr>
          <w:p w14:paraId="78C08E1A">
            <w:pPr>
              <w:spacing w:line="380" w:lineRule="exact"/>
              <w:jc w:val="center"/>
              <w:rPr>
                <w:rFonts w:ascii="宋体" w:hAnsi="宋体" w:cs="hakuyoxingshu7000"/>
                <w:bCs/>
                <w:color w:val="auto"/>
                <w:sz w:val="22"/>
                <w:szCs w:val="22"/>
                <w:highlight w:val="none"/>
              </w:rPr>
            </w:pPr>
            <w:r>
              <w:rPr>
                <w:rFonts w:hint="eastAsia" w:ascii="宋体" w:hAnsi="宋体" w:cs="hakuyoxingshu7000"/>
                <w:bCs/>
                <w:color w:val="auto"/>
                <w:sz w:val="22"/>
                <w:szCs w:val="22"/>
                <w:highlight w:val="none"/>
              </w:rPr>
              <w:t>6</w:t>
            </w:r>
          </w:p>
        </w:tc>
        <w:tc>
          <w:tcPr>
            <w:tcW w:w="3218" w:type="dxa"/>
            <w:noWrap w:val="0"/>
            <w:vAlign w:val="center"/>
          </w:tcPr>
          <w:p w14:paraId="713A43A8">
            <w:pPr>
              <w:spacing w:line="380" w:lineRule="exact"/>
              <w:rPr>
                <w:rFonts w:ascii="宋体" w:hAnsi="宋体" w:cs="hakuyoxingshu7000"/>
                <w:bCs/>
                <w:color w:val="auto"/>
                <w:sz w:val="22"/>
                <w:szCs w:val="22"/>
                <w:highlight w:val="none"/>
              </w:rPr>
            </w:pPr>
          </w:p>
        </w:tc>
        <w:tc>
          <w:tcPr>
            <w:tcW w:w="3510" w:type="dxa"/>
            <w:gridSpan w:val="2"/>
            <w:noWrap w:val="0"/>
            <w:vAlign w:val="center"/>
          </w:tcPr>
          <w:p w14:paraId="418154B0">
            <w:pPr>
              <w:spacing w:line="380" w:lineRule="exact"/>
              <w:rPr>
                <w:rFonts w:ascii="宋体" w:hAnsi="宋体" w:cs="hakuyoxingshu7000"/>
                <w:bCs/>
                <w:color w:val="auto"/>
                <w:sz w:val="22"/>
                <w:szCs w:val="22"/>
                <w:highlight w:val="none"/>
              </w:rPr>
            </w:pPr>
          </w:p>
        </w:tc>
        <w:tc>
          <w:tcPr>
            <w:tcW w:w="1753" w:type="dxa"/>
            <w:noWrap w:val="0"/>
            <w:vAlign w:val="center"/>
          </w:tcPr>
          <w:p w14:paraId="6CB2DE41">
            <w:pPr>
              <w:spacing w:line="380" w:lineRule="exact"/>
              <w:rPr>
                <w:rFonts w:ascii="宋体" w:hAnsi="宋体" w:cs="hakuyoxingshu7000"/>
                <w:b/>
                <w:bCs/>
                <w:color w:val="auto"/>
                <w:sz w:val="22"/>
                <w:szCs w:val="22"/>
                <w:highlight w:val="none"/>
              </w:rPr>
            </w:pPr>
          </w:p>
        </w:tc>
      </w:tr>
      <w:tr w14:paraId="76806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noWrap w:val="0"/>
            <w:vAlign w:val="center"/>
          </w:tcPr>
          <w:p w14:paraId="793B9593">
            <w:pPr>
              <w:spacing w:line="380" w:lineRule="exact"/>
              <w:jc w:val="center"/>
              <w:rPr>
                <w:rFonts w:ascii="宋体" w:hAnsi="宋体" w:cs="hakuyoxingshu7000"/>
                <w:bCs/>
                <w:color w:val="auto"/>
                <w:sz w:val="22"/>
                <w:szCs w:val="22"/>
                <w:highlight w:val="none"/>
              </w:rPr>
            </w:pPr>
            <w:r>
              <w:rPr>
                <w:rFonts w:hint="eastAsia" w:ascii="宋体" w:hAnsi="宋体" w:cs="hakuyoxingshu7000"/>
                <w:bCs/>
                <w:color w:val="auto"/>
                <w:sz w:val="22"/>
                <w:szCs w:val="22"/>
                <w:highlight w:val="none"/>
              </w:rPr>
              <w:t>7</w:t>
            </w:r>
          </w:p>
        </w:tc>
        <w:tc>
          <w:tcPr>
            <w:tcW w:w="3218" w:type="dxa"/>
            <w:noWrap w:val="0"/>
            <w:vAlign w:val="center"/>
          </w:tcPr>
          <w:p w14:paraId="67D31053">
            <w:pPr>
              <w:spacing w:line="380" w:lineRule="exact"/>
              <w:rPr>
                <w:rFonts w:ascii="宋体" w:hAnsi="宋体" w:cs="hakuyoxingshu7000"/>
                <w:bCs/>
                <w:color w:val="auto"/>
                <w:sz w:val="22"/>
                <w:szCs w:val="22"/>
                <w:highlight w:val="none"/>
              </w:rPr>
            </w:pPr>
          </w:p>
        </w:tc>
        <w:tc>
          <w:tcPr>
            <w:tcW w:w="3510" w:type="dxa"/>
            <w:gridSpan w:val="2"/>
            <w:noWrap w:val="0"/>
            <w:vAlign w:val="center"/>
          </w:tcPr>
          <w:p w14:paraId="574E24E3">
            <w:pPr>
              <w:spacing w:line="380" w:lineRule="exact"/>
              <w:rPr>
                <w:rFonts w:ascii="宋体" w:hAnsi="宋体" w:cs="hakuyoxingshu7000"/>
                <w:bCs/>
                <w:color w:val="auto"/>
                <w:sz w:val="22"/>
                <w:szCs w:val="22"/>
                <w:highlight w:val="none"/>
              </w:rPr>
            </w:pPr>
          </w:p>
        </w:tc>
        <w:tc>
          <w:tcPr>
            <w:tcW w:w="1753" w:type="dxa"/>
            <w:noWrap w:val="0"/>
            <w:vAlign w:val="center"/>
          </w:tcPr>
          <w:p w14:paraId="0C53C722">
            <w:pPr>
              <w:spacing w:line="380" w:lineRule="exact"/>
              <w:rPr>
                <w:rFonts w:ascii="宋体" w:hAnsi="宋体" w:cs="hakuyoxingshu7000"/>
                <w:b/>
                <w:bCs/>
                <w:color w:val="auto"/>
                <w:sz w:val="22"/>
                <w:szCs w:val="22"/>
                <w:highlight w:val="none"/>
              </w:rPr>
            </w:pPr>
          </w:p>
        </w:tc>
      </w:tr>
      <w:tr w14:paraId="522A2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noWrap w:val="0"/>
            <w:vAlign w:val="center"/>
          </w:tcPr>
          <w:p w14:paraId="5B0789D9">
            <w:pPr>
              <w:spacing w:line="380" w:lineRule="exact"/>
              <w:jc w:val="center"/>
              <w:rPr>
                <w:rFonts w:ascii="宋体" w:hAnsi="宋体" w:cs="hakuyoxingshu7000"/>
                <w:bCs/>
                <w:color w:val="auto"/>
                <w:sz w:val="22"/>
                <w:szCs w:val="22"/>
                <w:highlight w:val="none"/>
              </w:rPr>
            </w:pPr>
            <w:r>
              <w:rPr>
                <w:rFonts w:hint="eastAsia" w:ascii="宋体" w:hAnsi="宋体" w:cs="hakuyoxingshu7000"/>
                <w:bCs/>
                <w:color w:val="auto"/>
                <w:sz w:val="22"/>
                <w:szCs w:val="22"/>
                <w:highlight w:val="none"/>
              </w:rPr>
              <w:t>8</w:t>
            </w:r>
          </w:p>
        </w:tc>
        <w:tc>
          <w:tcPr>
            <w:tcW w:w="3218" w:type="dxa"/>
            <w:noWrap w:val="0"/>
            <w:vAlign w:val="center"/>
          </w:tcPr>
          <w:p w14:paraId="18653054">
            <w:pPr>
              <w:spacing w:line="380" w:lineRule="exact"/>
              <w:rPr>
                <w:rFonts w:ascii="宋体" w:hAnsi="宋体" w:cs="hakuyoxingshu7000"/>
                <w:bCs/>
                <w:color w:val="auto"/>
                <w:sz w:val="22"/>
                <w:szCs w:val="22"/>
                <w:highlight w:val="none"/>
              </w:rPr>
            </w:pPr>
          </w:p>
        </w:tc>
        <w:tc>
          <w:tcPr>
            <w:tcW w:w="3510" w:type="dxa"/>
            <w:gridSpan w:val="2"/>
            <w:noWrap w:val="0"/>
            <w:vAlign w:val="center"/>
          </w:tcPr>
          <w:p w14:paraId="05ED6A82">
            <w:pPr>
              <w:spacing w:line="380" w:lineRule="exact"/>
              <w:rPr>
                <w:rFonts w:ascii="宋体" w:hAnsi="宋体" w:cs="hakuyoxingshu7000"/>
                <w:bCs/>
                <w:color w:val="auto"/>
                <w:sz w:val="22"/>
                <w:szCs w:val="22"/>
                <w:highlight w:val="none"/>
              </w:rPr>
            </w:pPr>
          </w:p>
        </w:tc>
        <w:tc>
          <w:tcPr>
            <w:tcW w:w="1753" w:type="dxa"/>
            <w:noWrap w:val="0"/>
            <w:vAlign w:val="center"/>
          </w:tcPr>
          <w:p w14:paraId="37D0203F">
            <w:pPr>
              <w:spacing w:line="380" w:lineRule="exact"/>
              <w:rPr>
                <w:rFonts w:ascii="宋体" w:hAnsi="宋体" w:cs="hakuyoxingshu7000"/>
                <w:b/>
                <w:bCs/>
                <w:color w:val="auto"/>
                <w:sz w:val="22"/>
                <w:szCs w:val="22"/>
                <w:highlight w:val="none"/>
              </w:rPr>
            </w:pPr>
          </w:p>
        </w:tc>
      </w:tr>
      <w:tr w14:paraId="5FA54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208" w:type="dxa"/>
            <w:gridSpan w:val="3"/>
            <w:noWrap w:val="0"/>
            <w:vAlign w:val="center"/>
          </w:tcPr>
          <w:p w14:paraId="74EDD4CF">
            <w:pPr>
              <w:spacing w:line="380" w:lineRule="exact"/>
              <w:jc w:val="center"/>
              <w:rPr>
                <w:rFonts w:ascii="宋体" w:hAnsi="宋体" w:cs="hakuyoxingshu7000"/>
                <w:b/>
                <w:bCs/>
                <w:color w:val="auto"/>
                <w:sz w:val="22"/>
                <w:szCs w:val="22"/>
                <w:highlight w:val="none"/>
              </w:rPr>
            </w:pPr>
            <w:r>
              <w:rPr>
                <w:rFonts w:hint="eastAsia" w:ascii="宋体" w:hAnsi="宋体" w:cs="hakuyoxingshu7000"/>
                <w:b/>
                <w:bCs/>
                <w:color w:val="auto"/>
                <w:sz w:val="22"/>
                <w:szCs w:val="22"/>
                <w:highlight w:val="none"/>
              </w:rPr>
              <w:t>合计总价（大写）                元人民币</w:t>
            </w:r>
          </w:p>
        </w:tc>
        <w:tc>
          <w:tcPr>
            <w:tcW w:w="3030" w:type="dxa"/>
            <w:gridSpan w:val="2"/>
            <w:noWrap w:val="0"/>
            <w:vAlign w:val="center"/>
          </w:tcPr>
          <w:p w14:paraId="052F0DEC">
            <w:pPr>
              <w:spacing w:line="380" w:lineRule="exact"/>
              <w:rPr>
                <w:rFonts w:ascii="宋体" w:hAnsi="宋体" w:cs="hakuyoxingshu7000"/>
                <w:b/>
                <w:bCs/>
                <w:color w:val="auto"/>
                <w:sz w:val="22"/>
                <w:szCs w:val="22"/>
                <w:highlight w:val="none"/>
              </w:rPr>
            </w:pPr>
            <w:r>
              <w:rPr>
                <w:rFonts w:hint="eastAsia" w:ascii="宋体" w:hAnsi="宋体" w:cs="hakuyoxingshu7000"/>
                <w:b/>
                <w:bCs/>
                <w:color w:val="auto"/>
                <w:sz w:val="22"/>
                <w:szCs w:val="22"/>
                <w:highlight w:val="none"/>
              </w:rPr>
              <w:t>（小写）</w:t>
            </w:r>
          </w:p>
        </w:tc>
      </w:tr>
    </w:tbl>
    <w:p w14:paraId="0829F2C3">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说明：1.不提供详细分项报价将视为没有实质性响应采购文件。</w:t>
      </w:r>
    </w:p>
    <w:p w14:paraId="15B45B7A">
      <w:pPr>
        <w:spacing w:line="380" w:lineRule="exact"/>
        <w:ind w:firstLine="663" w:firstLineChars="30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2.此表的总计价应与附件二“报价一览表”相应的投标报价相一致。</w:t>
      </w:r>
    </w:p>
    <w:p w14:paraId="2E8C9CA4">
      <w:pPr>
        <w:spacing w:line="380" w:lineRule="exact"/>
        <w:ind w:firstLine="663" w:firstLineChars="300"/>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3.如果免费请在该备注栏内注明“免”，如果含在产品价格中则填“含”，如无此项内容则填“无”，不留空白。</w:t>
      </w:r>
    </w:p>
    <w:p w14:paraId="65FB1E10">
      <w:pPr>
        <w:spacing w:line="380" w:lineRule="exact"/>
        <w:rPr>
          <w:rFonts w:ascii="新宋体" w:hAnsi="新宋体" w:eastAsia="新宋体"/>
          <w:color w:val="auto"/>
          <w:sz w:val="22"/>
          <w:szCs w:val="22"/>
          <w:highlight w:val="none"/>
        </w:rPr>
      </w:pPr>
    </w:p>
    <w:p w14:paraId="7F9A5916">
      <w:pPr>
        <w:spacing w:line="3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14:paraId="678275A2">
      <w:pPr>
        <w:spacing w:line="3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供应商</w:t>
      </w:r>
      <w:r>
        <w:rPr>
          <w:rFonts w:hint="eastAsia" w:ascii="新宋体" w:hAnsi="新宋体" w:eastAsia="新宋体"/>
          <w:color w:val="auto"/>
          <w:sz w:val="22"/>
          <w:szCs w:val="22"/>
          <w:highlight w:val="none"/>
        </w:rPr>
        <w:t>全称（盖章）：</w:t>
      </w:r>
    </w:p>
    <w:p w14:paraId="019B36AF">
      <w:pPr>
        <w:spacing w:line="380" w:lineRule="exact"/>
        <w:rPr>
          <w:rFonts w:hint="eastAsia" w:ascii="新宋体" w:hAnsi="新宋体" w:eastAsia="新宋体"/>
          <w:color w:val="auto"/>
          <w:sz w:val="22"/>
          <w:szCs w:val="22"/>
          <w:highlight w:val="none"/>
        </w:rPr>
      </w:pPr>
    </w:p>
    <w:p w14:paraId="7701A890">
      <w:pPr>
        <w:spacing w:line="3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法定代表人或授权代表（签字或盖章）</w:t>
      </w:r>
      <w:r>
        <w:rPr>
          <w:rFonts w:hint="eastAsia" w:ascii="新宋体" w:hAnsi="新宋体" w:eastAsia="新宋体"/>
          <w:color w:val="auto"/>
          <w:sz w:val="22"/>
          <w:szCs w:val="22"/>
          <w:highlight w:val="none"/>
        </w:rPr>
        <w:t>：</w:t>
      </w:r>
    </w:p>
    <w:p w14:paraId="3135248F">
      <w:pPr>
        <w:spacing w:line="360" w:lineRule="auto"/>
        <w:ind w:right="880"/>
        <w:rPr>
          <w:rFonts w:hint="eastAsia" w:ascii="新宋体" w:hAnsi="新宋体" w:eastAsia="新宋体"/>
          <w:color w:val="auto"/>
          <w:sz w:val="22"/>
          <w:szCs w:val="22"/>
          <w:highlight w:val="none"/>
        </w:rPr>
      </w:pPr>
    </w:p>
    <w:p w14:paraId="39950E57">
      <w:pPr>
        <w:spacing w:line="360" w:lineRule="auto"/>
        <w:ind w:right="880"/>
        <w:rPr>
          <w:rFonts w:hint="eastAsia" w:ascii="宋体" w:hAnsi="宋体"/>
          <w:color w:val="auto"/>
          <w:szCs w:val="21"/>
          <w:highlight w:val="none"/>
        </w:rPr>
      </w:pPr>
      <w:r>
        <w:rPr>
          <w:rFonts w:hint="eastAsia" w:ascii="新宋体" w:hAnsi="新宋体" w:eastAsia="新宋体"/>
          <w:color w:val="auto"/>
          <w:sz w:val="22"/>
          <w:szCs w:val="22"/>
          <w:highlight w:val="none"/>
        </w:rPr>
        <w:t>日 期：  年  月  日</w:t>
      </w:r>
    </w:p>
    <w:p w14:paraId="12D74ECE">
      <w:pPr>
        <w:spacing w:before="240" w:beforeLines="100" w:after="120" w:afterLines="50" w:line="360" w:lineRule="auto"/>
        <w:ind w:firstLine="8580" w:firstLineChars="3900"/>
        <w:rPr>
          <w:rFonts w:hint="eastAsia" w:ascii="新宋体" w:hAnsi="新宋体" w:eastAsia="新宋体"/>
          <w:color w:val="auto"/>
          <w:sz w:val="22"/>
          <w:szCs w:val="22"/>
          <w:highlight w:val="none"/>
        </w:rPr>
      </w:pPr>
    </w:p>
    <w:p w14:paraId="67374CD0">
      <w:pPr>
        <w:spacing w:before="240" w:beforeLines="100" w:after="120" w:afterLines="50" w:line="360" w:lineRule="auto"/>
        <w:ind w:firstLine="8580" w:firstLineChars="3900"/>
        <w:rPr>
          <w:rFonts w:hint="eastAsia" w:ascii="新宋体" w:hAnsi="新宋体" w:eastAsia="新宋体"/>
          <w:color w:val="auto"/>
          <w:sz w:val="22"/>
          <w:szCs w:val="22"/>
          <w:highlight w:val="none"/>
        </w:rPr>
      </w:pPr>
    </w:p>
    <w:p w14:paraId="25EB6746">
      <w:pPr>
        <w:pStyle w:val="6"/>
        <w:spacing w:line="240" w:lineRule="auto"/>
        <w:rPr>
          <w:rFonts w:hint="eastAsia" w:ascii="宋体" w:hAnsi="宋体" w:eastAsia="宋体"/>
          <w:color w:val="auto"/>
          <w:sz w:val="24"/>
          <w:szCs w:val="24"/>
          <w:highlight w:val="none"/>
        </w:rPr>
      </w:pPr>
      <w:r>
        <w:rPr>
          <w:rFonts w:hAnsi="宋体" w:cs="Arial"/>
          <w:b w:val="0"/>
          <w:bCs w:val="0"/>
          <w:color w:val="auto"/>
          <w:szCs w:val="21"/>
          <w:highlight w:val="none"/>
        </w:rPr>
        <w:br w:type="page"/>
      </w:r>
      <w:bookmarkStart w:id="10" w:name="_Toc230773789"/>
      <w:bookmarkStart w:id="11" w:name="_Toc488150634"/>
      <w:r>
        <w:rPr>
          <w:rFonts w:hint="eastAsia" w:ascii="宋体" w:hAnsi="宋体" w:eastAsia="宋体"/>
          <w:color w:val="auto"/>
          <w:sz w:val="24"/>
          <w:szCs w:val="24"/>
          <w:highlight w:val="none"/>
        </w:rPr>
        <w:t xml:space="preserve">附件四 </w:t>
      </w:r>
      <w:bookmarkEnd w:id="10"/>
      <w:bookmarkEnd w:id="11"/>
    </w:p>
    <w:p w14:paraId="5D9C546E">
      <w:pPr>
        <w:jc w:val="center"/>
        <w:rPr>
          <w:rFonts w:hint="eastAsia" w:ascii="宋体" w:hAnsi="宋体"/>
          <w:b/>
          <w:color w:val="auto"/>
          <w:sz w:val="28"/>
          <w:szCs w:val="28"/>
          <w:highlight w:val="none"/>
        </w:rPr>
      </w:pPr>
      <w:r>
        <w:rPr>
          <w:rFonts w:hint="eastAsia" w:ascii="宋体" w:hAnsi="宋体"/>
          <w:b/>
          <w:color w:val="auto"/>
          <w:sz w:val="28"/>
          <w:szCs w:val="28"/>
          <w:highlight w:val="none"/>
        </w:rPr>
        <w:t>资格证明文件</w:t>
      </w:r>
    </w:p>
    <w:p w14:paraId="0FDEA120">
      <w:pPr>
        <w:spacing w:line="380" w:lineRule="exact"/>
        <w:jc w:val="center"/>
        <w:rPr>
          <w:rFonts w:ascii="宋体" w:hAnsi="宋体"/>
          <w:b/>
          <w:color w:val="auto"/>
          <w:sz w:val="24"/>
          <w:highlight w:val="none"/>
        </w:rPr>
      </w:pPr>
      <w:r>
        <w:rPr>
          <w:rFonts w:hint="eastAsia" w:ascii="宋体" w:hAnsi="宋体"/>
          <w:b/>
          <w:color w:val="auto"/>
          <w:sz w:val="24"/>
          <w:highlight w:val="none"/>
        </w:rPr>
        <w:t>（1）法定代表人身份证明</w:t>
      </w:r>
    </w:p>
    <w:p w14:paraId="2DA9211F">
      <w:pPr>
        <w:autoSpaceDE w:val="0"/>
        <w:autoSpaceDN w:val="0"/>
        <w:adjustRightInd w:val="0"/>
        <w:rPr>
          <w:rFonts w:hint="eastAsia" w:ascii="宋体" w:hAnsi="宋体" w:cs="黑体"/>
          <w:color w:val="auto"/>
          <w:kern w:val="0"/>
          <w:sz w:val="22"/>
          <w:szCs w:val="22"/>
          <w:highlight w:val="none"/>
        </w:rPr>
      </w:pPr>
    </w:p>
    <w:p w14:paraId="4A55CC75">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lang w:eastAsia="zh-CN"/>
        </w:rPr>
        <w:t>供应商</w:t>
      </w:r>
      <w:r>
        <w:rPr>
          <w:rFonts w:hint="eastAsia" w:ascii="宋体" w:hAnsi="宋体" w:cs="黑体"/>
          <w:color w:val="auto"/>
          <w:kern w:val="0"/>
          <w:sz w:val="22"/>
          <w:szCs w:val="22"/>
          <w:highlight w:val="none"/>
        </w:rPr>
        <w:t>名称：</w:t>
      </w:r>
      <w:r>
        <w:rPr>
          <w:rFonts w:hint="eastAsia" w:ascii="宋体" w:hAnsi="宋体" w:cs="黑体"/>
          <w:color w:val="auto"/>
          <w:kern w:val="0"/>
          <w:sz w:val="22"/>
          <w:szCs w:val="22"/>
          <w:highlight w:val="none"/>
          <w:u w:val="single"/>
        </w:rPr>
        <w:t xml:space="preserve">                            </w:t>
      </w:r>
    </w:p>
    <w:p w14:paraId="2CD1E124">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 xml:space="preserve">单位性质： </w:t>
      </w:r>
      <w:r>
        <w:rPr>
          <w:rFonts w:hint="eastAsia" w:ascii="宋体" w:hAnsi="宋体" w:cs="黑体"/>
          <w:color w:val="auto"/>
          <w:kern w:val="0"/>
          <w:sz w:val="22"/>
          <w:szCs w:val="22"/>
          <w:highlight w:val="none"/>
          <w:u w:val="single"/>
        </w:rPr>
        <w:t xml:space="preserve">                                 </w:t>
      </w:r>
    </w:p>
    <w:p w14:paraId="34EA662E">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地    址：</w:t>
      </w:r>
      <w:r>
        <w:rPr>
          <w:rFonts w:hint="eastAsia" w:ascii="宋体" w:hAnsi="宋体" w:cs="黑体"/>
          <w:color w:val="auto"/>
          <w:kern w:val="0"/>
          <w:sz w:val="22"/>
          <w:szCs w:val="22"/>
          <w:highlight w:val="none"/>
          <w:u w:val="single"/>
        </w:rPr>
        <w:t xml:space="preserve">                                  </w:t>
      </w:r>
    </w:p>
    <w:p w14:paraId="23E04350">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成立时间：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月</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日</w:t>
      </w:r>
      <w:r>
        <w:rPr>
          <w:rFonts w:hint="eastAsia" w:ascii="宋体" w:hAnsi="宋体" w:cs="黑体"/>
          <w:color w:val="auto"/>
          <w:kern w:val="0"/>
          <w:sz w:val="22"/>
          <w:szCs w:val="22"/>
          <w:highlight w:val="none"/>
        </w:rPr>
        <w:tab/>
      </w:r>
    </w:p>
    <w:p w14:paraId="11B7E05F">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经营期限：</w:t>
      </w:r>
      <w:r>
        <w:rPr>
          <w:rFonts w:hint="eastAsia" w:ascii="宋体" w:hAnsi="宋体" w:cs="黑体"/>
          <w:color w:val="auto"/>
          <w:kern w:val="0"/>
          <w:sz w:val="22"/>
          <w:szCs w:val="22"/>
          <w:highlight w:val="none"/>
          <w:u w:val="single"/>
        </w:rPr>
        <w:t xml:space="preserve">                                   </w:t>
      </w:r>
    </w:p>
    <w:p w14:paraId="66D071CC">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姓    名：</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 xml:space="preserve"> 性别：</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年龄：</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职务：</w:t>
      </w:r>
      <w:r>
        <w:rPr>
          <w:rFonts w:hint="eastAsia" w:ascii="宋体" w:hAnsi="宋体" w:cs="黑体"/>
          <w:color w:val="auto"/>
          <w:kern w:val="0"/>
          <w:sz w:val="22"/>
          <w:szCs w:val="22"/>
          <w:highlight w:val="none"/>
          <w:u w:val="single"/>
        </w:rPr>
        <w:t xml:space="preserve">         </w:t>
      </w:r>
    </w:p>
    <w:p w14:paraId="6B3B326B">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系：</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（投标</w:t>
      </w:r>
      <w:r>
        <w:rPr>
          <w:rFonts w:hint="eastAsia" w:ascii="宋体" w:hAnsi="宋体" w:cs="黑体"/>
          <w:color w:val="auto"/>
          <w:kern w:val="0"/>
          <w:sz w:val="22"/>
          <w:szCs w:val="22"/>
          <w:highlight w:val="none"/>
          <w:lang w:eastAsia="zh-CN"/>
        </w:rPr>
        <w:t>供应商</w:t>
      </w:r>
      <w:r>
        <w:rPr>
          <w:rFonts w:hint="eastAsia" w:ascii="宋体" w:hAnsi="宋体" w:cs="黑体"/>
          <w:color w:val="auto"/>
          <w:kern w:val="0"/>
          <w:sz w:val="22"/>
          <w:szCs w:val="22"/>
          <w:highlight w:val="none"/>
        </w:rPr>
        <w:t>名称）的法定代表人</w:t>
      </w:r>
    </w:p>
    <w:p w14:paraId="45FCD174">
      <w:pPr>
        <w:autoSpaceDE w:val="0"/>
        <w:autoSpaceDN w:val="0"/>
        <w:adjustRightInd w:val="0"/>
        <w:spacing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特此证明</w:t>
      </w:r>
    </w:p>
    <w:p w14:paraId="7093487C">
      <w:pPr>
        <w:autoSpaceDE w:val="0"/>
        <w:autoSpaceDN w:val="0"/>
        <w:adjustRightInd w:val="0"/>
        <w:spacing w:line="440" w:lineRule="exact"/>
        <w:rPr>
          <w:rFonts w:hint="eastAsia" w:ascii="宋体" w:hAnsi="宋体" w:cs="黑体"/>
          <w:color w:val="auto"/>
          <w:kern w:val="0"/>
          <w:sz w:val="22"/>
          <w:szCs w:val="22"/>
          <w:highlight w:val="none"/>
        </w:rPr>
      </w:pPr>
    </w:p>
    <w:p w14:paraId="4ADAACB5">
      <w:pPr>
        <w:autoSpaceDE w:val="0"/>
        <w:autoSpaceDN w:val="0"/>
        <w:adjustRightInd w:val="0"/>
        <w:spacing w:line="440" w:lineRule="exact"/>
        <w:rPr>
          <w:rFonts w:hint="eastAsia" w:ascii="宋体" w:hAnsi="宋体" w:cs="黑体"/>
          <w:color w:val="auto"/>
          <w:kern w:val="0"/>
          <w:sz w:val="22"/>
          <w:szCs w:val="22"/>
          <w:highlight w:val="none"/>
        </w:rPr>
      </w:pPr>
    </w:p>
    <w:p w14:paraId="4E9690B0">
      <w:pPr>
        <w:autoSpaceDE w:val="0"/>
        <w:autoSpaceDN w:val="0"/>
        <w:adjustRightInd w:val="0"/>
        <w:spacing w:line="440" w:lineRule="exact"/>
        <w:rPr>
          <w:rFonts w:ascii="宋体" w:hAnsi="宋体" w:cs="黑体"/>
          <w:color w:val="auto"/>
          <w:kern w:val="0"/>
          <w:sz w:val="22"/>
          <w:szCs w:val="22"/>
          <w:highlight w:val="none"/>
        </w:rPr>
      </w:pPr>
    </w:p>
    <w:p w14:paraId="63779A77">
      <w:pPr>
        <w:autoSpaceDE w:val="0"/>
        <w:autoSpaceDN w:val="0"/>
        <w:adjustRightInd w:val="0"/>
        <w:spacing w:line="440" w:lineRule="exact"/>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投标</w:t>
      </w:r>
      <w:r>
        <w:rPr>
          <w:rFonts w:hint="eastAsia" w:ascii="宋体" w:hAnsi="宋体" w:cs="黑体"/>
          <w:color w:val="auto"/>
          <w:kern w:val="0"/>
          <w:sz w:val="22"/>
          <w:szCs w:val="22"/>
          <w:highlight w:val="none"/>
          <w:lang w:eastAsia="zh-CN"/>
        </w:rPr>
        <w:t>供应商</w:t>
      </w:r>
      <w:r>
        <w:rPr>
          <w:rFonts w:hint="eastAsia" w:ascii="宋体" w:hAnsi="宋体" w:cs="黑体"/>
          <w:color w:val="auto"/>
          <w:kern w:val="0"/>
          <w:sz w:val="22"/>
          <w:szCs w:val="22"/>
          <w:highlight w:val="none"/>
        </w:rPr>
        <w:t>：</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（盖单位章）</w:t>
      </w:r>
    </w:p>
    <w:p w14:paraId="4A892417">
      <w:pPr>
        <w:wordWrap w:val="0"/>
        <w:autoSpaceDE w:val="0"/>
        <w:autoSpaceDN w:val="0"/>
        <w:adjustRightInd w:val="0"/>
        <w:spacing w:line="440" w:lineRule="exact"/>
        <w:ind w:firstLine="1650" w:firstLineChars="750"/>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日期：        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 xml:space="preserve">     月</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 xml:space="preserve">      日</w:t>
      </w:r>
    </w:p>
    <w:p w14:paraId="0155E4E1">
      <w:pPr>
        <w:autoSpaceDE w:val="0"/>
        <w:autoSpaceDN w:val="0"/>
        <w:adjustRightInd w:val="0"/>
        <w:jc w:val="left"/>
        <w:rPr>
          <w:rFonts w:hint="eastAsia" w:ascii="宋体" w:hAnsi="宋体" w:cs="黑体"/>
          <w:color w:val="auto"/>
          <w:kern w:val="0"/>
          <w:sz w:val="22"/>
          <w:szCs w:val="22"/>
          <w:highlight w:val="none"/>
        </w:rPr>
      </w:pPr>
    </w:p>
    <w:p w14:paraId="42F3C657">
      <w:pPr>
        <w:spacing w:line="380" w:lineRule="exact"/>
        <w:jc w:val="center"/>
        <w:rPr>
          <w:rFonts w:hint="eastAsia" w:ascii="宋体" w:hAnsi="宋体"/>
          <w:b/>
          <w:color w:val="auto"/>
          <w:sz w:val="24"/>
          <w:highlight w:val="none"/>
        </w:rPr>
      </w:pPr>
    </w:p>
    <w:p w14:paraId="2F5D71E1">
      <w:pPr>
        <w:spacing w:line="380" w:lineRule="exact"/>
        <w:rPr>
          <w:rFonts w:hint="eastAsia" w:ascii="宋体" w:hAnsi="宋体"/>
          <w:b/>
          <w:color w:val="auto"/>
          <w:sz w:val="24"/>
          <w:highlight w:val="none"/>
        </w:rPr>
      </w:pPr>
      <w:r>
        <w:rPr>
          <w:rFonts w:hint="eastAsia" w:ascii="宋体" w:hAnsi="宋体"/>
          <w:b/>
          <w:color w:val="auto"/>
          <w:sz w:val="24"/>
          <w:highlight w:val="none"/>
        </w:rPr>
        <w:t>附：法定代表人身份证明</w:t>
      </w:r>
    </w:p>
    <w:p w14:paraId="18F89E3D">
      <w:pPr>
        <w:spacing w:line="380" w:lineRule="exact"/>
        <w:rPr>
          <w:rFonts w:hint="eastAsia" w:ascii="宋体" w:hAnsi="宋体"/>
          <w:b/>
          <w:color w:val="auto"/>
          <w:sz w:val="24"/>
          <w:highlight w:val="none"/>
        </w:rPr>
      </w:pPr>
    </w:p>
    <w:tbl>
      <w:tblPr>
        <w:tblStyle w:val="49"/>
        <w:tblpPr w:leftFromText="180" w:rightFromText="180" w:vertAnchor="text" w:horzAnchor="margin" w:tblpXSpec="right" w:tblpY="1004"/>
        <w:tblW w:w="0" w:type="auto"/>
        <w:tblInd w:w="-4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7"/>
      </w:tblGrid>
      <w:tr w14:paraId="57C1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277" w:type="dxa"/>
            <w:noWrap w:val="0"/>
            <w:vAlign w:val="top"/>
          </w:tcPr>
          <w:p w14:paraId="323F9055">
            <w:pPr>
              <w:spacing w:line="440" w:lineRule="exact"/>
              <w:rPr>
                <w:rFonts w:hint="eastAsia" w:ascii="宋体" w:hAnsi="宋体"/>
                <w:color w:val="auto"/>
                <w:sz w:val="22"/>
                <w:szCs w:val="22"/>
                <w:highlight w:val="none"/>
              </w:rPr>
            </w:pPr>
          </w:p>
          <w:p w14:paraId="7721AAEE">
            <w:pPr>
              <w:spacing w:line="440" w:lineRule="exact"/>
              <w:rPr>
                <w:rFonts w:hint="eastAsia" w:ascii="宋体" w:hAnsi="宋体"/>
                <w:color w:val="auto"/>
                <w:sz w:val="22"/>
                <w:szCs w:val="22"/>
                <w:highlight w:val="none"/>
              </w:rPr>
            </w:pPr>
          </w:p>
          <w:p w14:paraId="6DEF0473">
            <w:pPr>
              <w:spacing w:line="440" w:lineRule="exact"/>
              <w:rPr>
                <w:rFonts w:hint="eastAsia" w:ascii="宋体" w:hAnsi="宋体"/>
                <w:color w:val="auto"/>
                <w:sz w:val="22"/>
                <w:szCs w:val="22"/>
                <w:highlight w:val="none"/>
              </w:rPr>
            </w:pPr>
          </w:p>
          <w:p w14:paraId="72A7CD7D">
            <w:pPr>
              <w:spacing w:line="440" w:lineRule="exact"/>
              <w:ind w:firstLine="3740" w:firstLineChars="1700"/>
              <w:rPr>
                <w:rFonts w:hint="eastAsia" w:ascii="宋体" w:hAnsi="宋体"/>
                <w:color w:val="auto"/>
                <w:sz w:val="22"/>
                <w:szCs w:val="22"/>
                <w:highlight w:val="none"/>
              </w:rPr>
            </w:pPr>
            <w:r>
              <w:rPr>
                <w:rFonts w:hint="eastAsia" w:ascii="宋体" w:hAnsi="宋体"/>
                <w:color w:val="auto"/>
                <w:sz w:val="22"/>
                <w:szCs w:val="22"/>
                <w:highlight w:val="none"/>
              </w:rPr>
              <w:t>法人代表身份证复印件</w:t>
            </w:r>
          </w:p>
          <w:p w14:paraId="1DBCF166">
            <w:pPr>
              <w:spacing w:line="440" w:lineRule="exact"/>
              <w:ind w:firstLine="4180" w:firstLineChars="1900"/>
              <w:rPr>
                <w:rFonts w:hint="eastAsia" w:ascii="宋体" w:hAnsi="宋体"/>
                <w:color w:val="auto"/>
                <w:sz w:val="22"/>
                <w:szCs w:val="22"/>
                <w:highlight w:val="none"/>
              </w:rPr>
            </w:pPr>
            <w:r>
              <w:rPr>
                <w:rFonts w:hint="eastAsia" w:ascii="宋体" w:hAnsi="宋体"/>
                <w:color w:val="auto"/>
                <w:sz w:val="22"/>
                <w:szCs w:val="22"/>
                <w:highlight w:val="none"/>
              </w:rPr>
              <w:t>（粘贴处）</w:t>
            </w:r>
          </w:p>
        </w:tc>
      </w:tr>
    </w:tbl>
    <w:p w14:paraId="0F1E67CC">
      <w:pPr>
        <w:spacing w:line="380" w:lineRule="exact"/>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（2）法定代表人授权书</w:t>
      </w:r>
    </w:p>
    <w:p w14:paraId="24FFD9C1">
      <w:pPr>
        <w:spacing w:line="460" w:lineRule="exact"/>
        <w:rPr>
          <w:rFonts w:hint="eastAsia" w:ascii="宋体" w:hAnsi="宋体"/>
          <w:color w:val="auto"/>
          <w:sz w:val="22"/>
          <w:szCs w:val="22"/>
          <w:highlight w:val="none"/>
        </w:rPr>
      </w:pPr>
    </w:p>
    <w:p w14:paraId="19046118">
      <w:pPr>
        <w:spacing w:line="460" w:lineRule="exact"/>
        <w:rPr>
          <w:rFonts w:hint="eastAsia" w:ascii="宋体" w:hAnsi="宋体"/>
          <w:b/>
          <w:color w:val="auto"/>
          <w:sz w:val="24"/>
          <w:highlight w:val="none"/>
        </w:rPr>
      </w:pPr>
      <w:r>
        <w:rPr>
          <w:rFonts w:hint="eastAsia" w:ascii="宋体" w:hAnsi="宋体"/>
          <w:b/>
          <w:color w:val="auto"/>
          <w:sz w:val="24"/>
          <w:highlight w:val="none"/>
          <w:lang w:eastAsia="zh-CN"/>
        </w:rPr>
        <w:t>苍南中工建设开发有限公司</w:t>
      </w:r>
      <w:r>
        <w:rPr>
          <w:rFonts w:hint="eastAsia" w:ascii="宋体" w:hAnsi="宋体"/>
          <w:b/>
          <w:color w:val="auto"/>
          <w:sz w:val="24"/>
          <w:highlight w:val="none"/>
        </w:rPr>
        <w:t>：</w:t>
      </w:r>
    </w:p>
    <w:p w14:paraId="1A77757D">
      <w:pPr>
        <w:spacing w:line="440" w:lineRule="exact"/>
        <w:rPr>
          <w:rFonts w:hint="eastAsia" w:ascii="宋体" w:hAnsi="宋体"/>
          <w:color w:val="auto"/>
          <w:sz w:val="22"/>
          <w:szCs w:val="22"/>
          <w:highlight w:val="none"/>
          <w:u w:val="single"/>
        </w:rPr>
      </w:pPr>
    </w:p>
    <w:p w14:paraId="182176CE">
      <w:pPr>
        <w:spacing w:line="440" w:lineRule="exact"/>
        <w:ind w:firstLine="550" w:firstLineChars="250"/>
        <w:rPr>
          <w:rFonts w:hint="eastAsia" w:ascii="宋体" w:hAnsi="宋体"/>
          <w:color w:val="auto"/>
          <w:sz w:val="22"/>
          <w:szCs w:val="22"/>
          <w:highlight w:val="none"/>
        </w:rPr>
      </w:pPr>
      <w:r>
        <w:rPr>
          <w:rFonts w:hint="eastAsia" w:ascii="宋体" w:hAnsi="宋体"/>
          <w:color w:val="auto"/>
          <w:sz w:val="22"/>
          <w:szCs w:val="22"/>
          <w:highlight w:val="none"/>
          <w:u w:val="single"/>
        </w:rPr>
        <w:t xml:space="preserve">本人       </w:t>
      </w:r>
      <w:r>
        <w:rPr>
          <w:rFonts w:hint="eastAsia" w:ascii="宋体" w:hAnsi="宋体"/>
          <w:color w:val="auto"/>
          <w:sz w:val="22"/>
          <w:szCs w:val="22"/>
          <w:highlight w:val="none"/>
        </w:rPr>
        <w:t>（姓名）系</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全称）的法定代表人，现委托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（全权代表姓名）为我方授权代表。代理人根据授权，以我方名义签署、澄清、说明、补正、递交、撤回、修改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（项目名称、编号）</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rPr>
        <w:t>文件、签订合同和处理有关事宜，其法律后果由我方承担。</w:t>
      </w:r>
    </w:p>
    <w:p w14:paraId="58568738">
      <w:pPr>
        <w:spacing w:line="440" w:lineRule="exact"/>
        <w:rPr>
          <w:rFonts w:hint="eastAsia" w:ascii="宋体" w:hAnsi="宋体"/>
          <w:color w:val="auto"/>
          <w:sz w:val="22"/>
          <w:szCs w:val="22"/>
          <w:highlight w:val="none"/>
          <w:u w:val="single"/>
        </w:rPr>
      </w:pPr>
      <w:r>
        <w:rPr>
          <w:rFonts w:hint="eastAsia" w:ascii="宋体" w:hAnsi="宋体"/>
          <w:color w:val="auto"/>
          <w:sz w:val="22"/>
          <w:szCs w:val="22"/>
          <w:highlight w:val="none"/>
        </w:rPr>
        <w:t xml:space="preserve">    委托期限：</w:t>
      </w:r>
      <w:r>
        <w:rPr>
          <w:rFonts w:hint="eastAsia" w:ascii="宋体" w:hAnsi="宋体"/>
          <w:color w:val="auto"/>
          <w:sz w:val="22"/>
          <w:szCs w:val="22"/>
          <w:highlight w:val="none"/>
          <w:u w:val="single"/>
        </w:rPr>
        <w:t xml:space="preserve">                                </w:t>
      </w:r>
    </w:p>
    <w:p w14:paraId="753472DA">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代理人无转委托权。</w:t>
      </w:r>
    </w:p>
    <w:p w14:paraId="7F82E23A">
      <w:pPr>
        <w:spacing w:line="44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w:t>
      </w:r>
    </w:p>
    <w:p w14:paraId="0EBB09AD">
      <w:pPr>
        <w:spacing w:line="440" w:lineRule="exact"/>
        <w:ind w:firstLine="4191" w:firstLineChars="1905"/>
        <w:rPr>
          <w:rFonts w:hint="eastAsia" w:ascii="宋体" w:hAnsi="宋体"/>
          <w:color w:val="auto"/>
          <w:sz w:val="22"/>
          <w:szCs w:val="22"/>
          <w:highlight w:val="none"/>
        </w:rPr>
      </w:pPr>
      <w:r>
        <w:rPr>
          <w:rFonts w:hint="eastAsia" w:ascii="宋体" w:hAnsi="宋体"/>
          <w:color w:val="auto"/>
          <w:sz w:val="22"/>
          <w:szCs w:val="22"/>
          <w:highlight w:val="none"/>
        </w:rPr>
        <w:t>法定代表人 (签字)：</w:t>
      </w:r>
    </w:p>
    <w:p w14:paraId="590305B5">
      <w:pPr>
        <w:spacing w:line="44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全称（公章）：</w:t>
      </w:r>
    </w:p>
    <w:p w14:paraId="6014BEA7">
      <w:pPr>
        <w:spacing w:line="44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日期：      年    月    日</w:t>
      </w:r>
    </w:p>
    <w:p w14:paraId="57CE3077">
      <w:pPr>
        <w:spacing w:line="440" w:lineRule="exact"/>
        <w:rPr>
          <w:rFonts w:hint="eastAsia" w:ascii="宋体" w:hAnsi="宋体"/>
          <w:color w:val="auto"/>
          <w:sz w:val="22"/>
          <w:szCs w:val="22"/>
          <w:highlight w:val="none"/>
        </w:rPr>
      </w:pPr>
    </w:p>
    <w:p w14:paraId="38F79783">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附：</w:t>
      </w:r>
    </w:p>
    <w:p w14:paraId="7049D6BA">
      <w:pPr>
        <w:spacing w:line="44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授权代表姓名（签字）：</w:t>
      </w:r>
    </w:p>
    <w:p w14:paraId="62C11284">
      <w:pPr>
        <w:spacing w:line="44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身份证号码：</w:t>
      </w:r>
    </w:p>
    <w:tbl>
      <w:tblPr>
        <w:tblStyle w:val="49"/>
        <w:tblpPr w:leftFromText="180" w:rightFromText="180" w:vertAnchor="text" w:horzAnchor="margin" w:tblpXSpec="right" w:tblpY="1004"/>
        <w:tblW w:w="0" w:type="auto"/>
        <w:tblInd w:w="-3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14:paraId="231A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827" w:type="dxa"/>
            <w:noWrap w:val="0"/>
            <w:vAlign w:val="top"/>
          </w:tcPr>
          <w:p w14:paraId="024A8281">
            <w:pPr>
              <w:spacing w:line="440" w:lineRule="exact"/>
              <w:rPr>
                <w:rFonts w:hint="eastAsia" w:ascii="宋体" w:hAnsi="宋体"/>
                <w:color w:val="auto"/>
                <w:sz w:val="22"/>
                <w:szCs w:val="22"/>
                <w:highlight w:val="none"/>
              </w:rPr>
            </w:pPr>
          </w:p>
          <w:p w14:paraId="464682B4">
            <w:pPr>
              <w:spacing w:line="440" w:lineRule="exact"/>
              <w:rPr>
                <w:rFonts w:hint="eastAsia" w:ascii="宋体" w:hAnsi="宋体"/>
                <w:color w:val="auto"/>
                <w:sz w:val="22"/>
                <w:szCs w:val="22"/>
                <w:highlight w:val="none"/>
              </w:rPr>
            </w:pPr>
          </w:p>
          <w:p w14:paraId="13FFD536">
            <w:pPr>
              <w:spacing w:line="440" w:lineRule="exact"/>
              <w:rPr>
                <w:rFonts w:hint="eastAsia" w:ascii="宋体" w:hAnsi="宋体"/>
                <w:color w:val="auto"/>
                <w:sz w:val="22"/>
                <w:szCs w:val="22"/>
                <w:highlight w:val="none"/>
              </w:rPr>
            </w:pPr>
          </w:p>
          <w:p w14:paraId="15126FCF">
            <w:pPr>
              <w:spacing w:line="440" w:lineRule="exact"/>
              <w:ind w:firstLine="1100" w:firstLineChars="500"/>
              <w:rPr>
                <w:rFonts w:hint="eastAsia" w:ascii="宋体" w:hAnsi="宋体"/>
                <w:color w:val="auto"/>
                <w:sz w:val="22"/>
                <w:szCs w:val="22"/>
                <w:highlight w:val="none"/>
              </w:rPr>
            </w:pPr>
            <w:r>
              <w:rPr>
                <w:rFonts w:hint="eastAsia" w:ascii="宋体" w:hAnsi="宋体"/>
                <w:color w:val="auto"/>
                <w:sz w:val="22"/>
                <w:szCs w:val="22"/>
                <w:highlight w:val="none"/>
              </w:rPr>
              <w:t>授权代表身份证复印件</w:t>
            </w:r>
          </w:p>
          <w:p w14:paraId="218B0692">
            <w:pPr>
              <w:spacing w:line="440" w:lineRule="exact"/>
              <w:ind w:firstLine="1760" w:firstLineChars="800"/>
              <w:rPr>
                <w:rFonts w:hint="eastAsia" w:ascii="宋体" w:hAnsi="宋体"/>
                <w:color w:val="auto"/>
                <w:sz w:val="22"/>
                <w:szCs w:val="22"/>
                <w:highlight w:val="none"/>
              </w:rPr>
            </w:pPr>
            <w:r>
              <w:rPr>
                <w:rFonts w:hint="eastAsia" w:ascii="宋体" w:hAnsi="宋体"/>
                <w:color w:val="auto"/>
                <w:sz w:val="22"/>
                <w:szCs w:val="22"/>
                <w:highlight w:val="none"/>
              </w:rPr>
              <w:t>（粘贴处）</w:t>
            </w:r>
          </w:p>
        </w:tc>
      </w:tr>
    </w:tbl>
    <w:p w14:paraId="1E7C3D40">
      <w:pPr>
        <w:spacing w:line="44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职务：</w:t>
      </w:r>
    </w:p>
    <w:p w14:paraId="3A27D8BA">
      <w:pPr>
        <w:spacing w:line="440" w:lineRule="exact"/>
        <w:rPr>
          <w:rFonts w:hint="eastAsia" w:ascii="宋体" w:hAnsi="宋体"/>
          <w:color w:val="auto"/>
          <w:sz w:val="22"/>
          <w:szCs w:val="22"/>
          <w:highlight w:val="none"/>
        </w:rPr>
      </w:pPr>
      <w:r>
        <w:rPr>
          <w:rFonts w:hint="eastAsia" w:ascii="宋体" w:hAnsi="宋体"/>
          <w:b/>
          <w:color w:val="auto"/>
          <w:sz w:val="24"/>
          <w:highlight w:val="none"/>
        </w:rPr>
        <w:t>附：授权代表身份证明</w:t>
      </w:r>
    </w:p>
    <w:p w14:paraId="4A1EDE16">
      <w:pPr>
        <w:spacing w:line="440" w:lineRule="exact"/>
        <w:rPr>
          <w:rFonts w:hint="eastAsia" w:ascii="宋体" w:hAnsi="宋体"/>
          <w:b/>
          <w:bCs/>
          <w:color w:val="auto"/>
          <w:sz w:val="22"/>
          <w:szCs w:val="22"/>
          <w:highlight w:val="none"/>
        </w:rPr>
      </w:pPr>
    </w:p>
    <w:p w14:paraId="49B44273">
      <w:pPr>
        <w:spacing w:line="440" w:lineRule="exact"/>
        <w:rPr>
          <w:rFonts w:hint="eastAsia" w:ascii="宋体" w:hAnsi="宋体"/>
          <w:b/>
          <w:bCs/>
          <w:color w:val="auto"/>
          <w:sz w:val="22"/>
          <w:szCs w:val="22"/>
          <w:highlight w:val="none"/>
        </w:rPr>
      </w:pPr>
    </w:p>
    <w:p w14:paraId="687A4BB3">
      <w:pPr>
        <w:spacing w:line="440" w:lineRule="exact"/>
        <w:rPr>
          <w:rFonts w:hint="eastAsia" w:ascii="宋体" w:hAnsi="宋体"/>
          <w:b/>
          <w:bCs/>
          <w:color w:val="auto"/>
          <w:sz w:val="22"/>
          <w:szCs w:val="22"/>
          <w:highlight w:val="none"/>
        </w:rPr>
      </w:pPr>
    </w:p>
    <w:p w14:paraId="1B01C040">
      <w:pPr>
        <w:spacing w:line="440" w:lineRule="exact"/>
        <w:rPr>
          <w:rFonts w:hint="eastAsia" w:ascii="宋体" w:hAnsi="宋体"/>
          <w:b/>
          <w:bCs/>
          <w:color w:val="auto"/>
          <w:sz w:val="22"/>
          <w:szCs w:val="22"/>
          <w:highlight w:val="none"/>
        </w:rPr>
      </w:pPr>
    </w:p>
    <w:p w14:paraId="45DFCCA2">
      <w:pPr>
        <w:spacing w:line="460" w:lineRule="exact"/>
        <w:rPr>
          <w:rFonts w:hint="eastAsia" w:ascii="宋体" w:hAnsi="宋体" w:cs="Arial"/>
          <w:b/>
          <w:bCs/>
          <w:color w:val="auto"/>
          <w:sz w:val="24"/>
          <w:szCs w:val="24"/>
          <w:highlight w:val="none"/>
        </w:rPr>
      </w:pPr>
      <w:r>
        <w:rPr>
          <w:rFonts w:ascii="宋体" w:hAnsi="宋体" w:cs="Arial"/>
          <w:b/>
          <w:bCs/>
          <w:color w:val="auto"/>
          <w:sz w:val="24"/>
          <w:szCs w:val="24"/>
          <w:highlight w:val="none"/>
        </w:rPr>
        <w:t>（</w:t>
      </w:r>
      <w:r>
        <w:rPr>
          <w:rFonts w:hint="eastAsia" w:ascii="宋体" w:hAnsi="宋体" w:cs="Arial"/>
          <w:b/>
          <w:bCs/>
          <w:color w:val="auto"/>
          <w:sz w:val="24"/>
          <w:szCs w:val="24"/>
          <w:highlight w:val="none"/>
        </w:rPr>
        <w:t>3</w:t>
      </w:r>
      <w:r>
        <w:rPr>
          <w:rFonts w:ascii="宋体" w:hAnsi="宋体" w:cs="Arial"/>
          <w:b/>
          <w:bCs/>
          <w:color w:val="auto"/>
          <w:sz w:val="24"/>
          <w:szCs w:val="24"/>
          <w:highlight w:val="none"/>
        </w:rPr>
        <w:t>）企业法人营业执照（复印件盖公章）</w:t>
      </w:r>
    </w:p>
    <w:p w14:paraId="6797DEDB">
      <w:pPr>
        <w:pStyle w:val="25"/>
        <w:numPr>
          <w:ilvl w:val="0"/>
          <w:numId w:val="0"/>
        </w:numPr>
        <w:spacing w:line="360" w:lineRule="auto"/>
        <w:ind w:right="1470" w:rightChars="700"/>
        <w:jc w:val="both"/>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参加采购、招投标等活动前三年内在经营活动中没有重大违法记</w:t>
      </w:r>
      <w:r>
        <w:rPr>
          <w:rFonts w:hint="eastAsia" w:ascii="宋体" w:hAnsi="宋体" w:cs="宋体"/>
          <w:b/>
          <w:color w:val="auto"/>
          <w:sz w:val="24"/>
          <w:szCs w:val="24"/>
          <w:highlight w:val="none"/>
          <w:lang w:eastAsia="zh-CN"/>
        </w:rPr>
        <w:t>录</w:t>
      </w:r>
      <w:r>
        <w:rPr>
          <w:rFonts w:hint="eastAsia" w:ascii="宋体" w:hAnsi="宋体" w:cs="宋体"/>
          <w:b/>
          <w:color w:val="auto"/>
          <w:sz w:val="24"/>
          <w:szCs w:val="24"/>
          <w:highlight w:val="none"/>
        </w:rPr>
        <w:t>的声明函</w:t>
      </w:r>
    </w:p>
    <w:p w14:paraId="1210013B">
      <w:pPr>
        <w:widowControl/>
        <w:adjustRightInd w:val="0"/>
        <w:snapToGrid w:val="0"/>
        <w:spacing w:line="360" w:lineRule="auto"/>
        <w:jc w:val="left"/>
        <w:rPr>
          <w:rFonts w:hint="eastAsia" w:ascii="宋体" w:hAnsi="宋体" w:cs="宋体"/>
          <w:bCs/>
          <w:color w:val="auto"/>
          <w:sz w:val="22"/>
          <w:szCs w:val="22"/>
          <w:highlight w:val="none"/>
        </w:rPr>
      </w:pP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rPr>
        <w:t>：</w:t>
      </w:r>
    </w:p>
    <w:p w14:paraId="4DA92D1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参加本次采购、招投标等活动前3年内（新成立不满三年的组织机构自成立之日起算）在经营活动中没有重大违法记录（没有因违法经营受到刑事处罚，没有被责令停产停业、被吊销许可证或者执照、被处以较大数额罚款等行政处罚，没有因违法经营被禁止参加采购活动的期限未满情形）。如有虚假，采购人可取消我方任何资格（投标/中标/签订合同），我方对此无任何异议。</w:t>
      </w:r>
    </w:p>
    <w:p w14:paraId="3611057D">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5397C89D">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70B9DD05">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78B90F6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49A5661">
      <w:pPr>
        <w:spacing w:before="120" w:beforeLines="50" w:after="120" w:afterLines="50"/>
        <w:jc w:val="center"/>
        <w:rPr>
          <w:rFonts w:hint="eastAsia" w:ascii="宋体" w:hAnsi="宋体" w:cs="宋体"/>
          <w:b/>
          <w:bCs/>
          <w:color w:val="auto"/>
          <w:sz w:val="24"/>
          <w:szCs w:val="24"/>
          <w:highlight w:val="none"/>
        </w:rPr>
      </w:pPr>
    </w:p>
    <w:p w14:paraId="5BA91ABF">
      <w:pPr>
        <w:spacing w:before="120" w:beforeLines="50" w:after="120" w:afterLines="50"/>
        <w:jc w:val="center"/>
        <w:rPr>
          <w:rFonts w:hint="eastAsia" w:ascii="宋体" w:hAnsi="宋体" w:cs="宋体"/>
          <w:b/>
          <w:bCs/>
          <w:color w:val="auto"/>
          <w:sz w:val="28"/>
          <w:szCs w:val="28"/>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 具有良好的商业信誉和健全的财务会计制度的承诺函</w:t>
      </w:r>
    </w:p>
    <w:p w14:paraId="5D80DDAB">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rPr>
        <w:t>：</w:t>
      </w:r>
    </w:p>
    <w:p w14:paraId="30AE33F9">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承诺良好的商业信誉和健全的财务会计制度的承诺函。如有虚假，采购人可取消我方任何资格（投标/中标/签订合同），我方对此无任何异议。</w:t>
      </w:r>
    </w:p>
    <w:p w14:paraId="4F303D64">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790B4BF">
      <w:pPr>
        <w:widowControl/>
        <w:adjustRightInd w:val="0"/>
        <w:snapToGrid w:val="0"/>
        <w:spacing w:line="360" w:lineRule="auto"/>
        <w:ind w:firstLine="420"/>
        <w:jc w:val="left"/>
        <w:rPr>
          <w:rFonts w:hint="eastAsia" w:ascii="宋体" w:hAnsi="宋体" w:cs="宋体"/>
          <w:color w:val="auto"/>
          <w:kern w:val="0"/>
          <w:sz w:val="22"/>
          <w:szCs w:val="22"/>
          <w:highlight w:val="none"/>
        </w:rPr>
      </w:pPr>
    </w:p>
    <w:p w14:paraId="30274609">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0C94EEBF">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6EBC49EF">
      <w:pPr>
        <w:widowControl/>
        <w:adjustRightInd w:val="0"/>
        <w:snapToGrid w:val="0"/>
        <w:spacing w:line="360" w:lineRule="exact"/>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F5EA73E">
      <w:pPr>
        <w:pStyle w:val="7"/>
        <w:spacing w:before="0" w:after="0" w:line="240" w:lineRule="auto"/>
        <w:jc w:val="center"/>
        <w:rPr>
          <w:rFonts w:hint="eastAsia" w:ascii="宋体" w:hAnsi="宋体" w:cs="宋体"/>
          <w:color w:val="auto"/>
          <w:sz w:val="22"/>
          <w:szCs w:val="22"/>
          <w:highlight w:val="none"/>
        </w:rPr>
      </w:pPr>
    </w:p>
    <w:p w14:paraId="0375FA62">
      <w:pPr>
        <w:spacing w:before="120" w:beforeLines="50" w:after="120" w:afterLines="50"/>
        <w:jc w:val="center"/>
        <w:rPr>
          <w:rFonts w:hint="eastAsia" w:ascii="宋体" w:hAnsi="宋体" w:cs="宋体"/>
          <w:b/>
          <w:bCs/>
          <w:color w:val="auto"/>
          <w:sz w:val="28"/>
          <w:szCs w:val="28"/>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 具有履行合同所必需的设备和专业技术、售后保障等能力的承诺函</w:t>
      </w:r>
    </w:p>
    <w:p w14:paraId="63BD43B7">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rPr>
        <w:t>：</w:t>
      </w:r>
    </w:p>
    <w:p w14:paraId="79ADA66E">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承诺具有履行合同所必需的设备和专业技术、售后保障等能力。如有虚假，采购人可取消我方任何资格（投标/中标/签订合同），我方对此无任何异议。</w:t>
      </w:r>
    </w:p>
    <w:p w14:paraId="667FF895">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5AD7AACC">
      <w:pPr>
        <w:widowControl/>
        <w:adjustRightInd w:val="0"/>
        <w:snapToGrid w:val="0"/>
        <w:spacing w:line="360" w:lineRule="auto"/>
        <w:ind w:firstLine="420"/>
        <w:jc w:val="left"/>
        <w:rPr>
          <w:rFonts w:hint="eastAsia" w:ascii="宋体" w:hAnsi="宋体" w:cs="宋体"/>
          <w:color w:val="auto"/>
          <w:kern w:val="0"/>
          <w:sz w:val="22"/>
          <w:szCs w:val="22"/>
          <w:highlight w:val="none"/>
        </w:rPr>
      </w:pPr>
    </w:p>
    <w:p w14:paraId="6EA3E0E8">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7DD0AE6D">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284EFC38">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40AD3A65">
      <w:pPr>
        <w:pStyle w:val="7"/>
        <w:spacing w:before="0" w:after="0" w:line="240" w:lineRule="auto"/>
        <w:jc w:val="both"/>
        <w:rPr>
          <w:rFonts w:hint="eastAsia" w:ascii="宋体" w:hAnsi="宋体" w:cs="宋体"/>
          <w:color w:val="auto"/>
          <w:sz w:val="22"/>
          <w:szCs w:val="22"/>
          <w:highlight w:val="none"/>
        </w:rPr>
      </w:pPr>
    </w:p>
    <w:p w14:paraId="2A03CFCB">
      <w:pPr>
        <w:spacing w:before="120" w:beforeLines="50" w:after="120" w:afterLines="5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具有依法缴纳税收和社会保障资金的良好记录的承诺函</w:t>
      </w:r>
    </w:p>
    <w:p w14:paraId="50B85969">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rPr>
        <w:t>：</w:t>
      </w:r>
    </w:p>
    <w:p w14:paraId="688B534A">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承诺具有</w:t>
      </w:r>
      <w:r>
        <w:rPr>
          <w:rFonts w:hint="eastAsia" w:ascii="宋体" w:hAnsi="宋体" w:cs="宋体"/>
          <w:color w:val="auto"/>
          <w:sz w:val="22"/>
          <w:szCs w:val="22"/>
          <w:highlight w:val="none"/>
        </w:rPr>
        <w:t>依法缴纳税收和社会保障资金的良好记录</w:t>
      </w:r>
      <w:r>
        <w:rPr>
          <w:rFonts w:hint="eastAsia" w:ascii="宋体" w:hAnsi="宋体" w:cs="宋体"/>
          <w:color w:val="auto"/>
          <w:kern w:val="0"/>
          <w:sz w:val="22"/>
          <w:szCs w:val="22"/>
          <w:highlight w:val="none"/>
        </w:rPr>
        <w:t>。如有虚假，采购人可取消我方任何资格（投标/中标/签订合同），我方对此无任何异议。</w:t>
      </w:r>
    </w:p>
    <w:p w14:paraId="0F1E386E">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77FB1F92">
      <w:pPr>
        <w:widowControl/>
        <w:adjustRightInd w:val="0"/>
        <w:snapToGrid w:val="0"/>
        <w:spacing w:line="360" w:lineRule="auto"/>
        <w:ind w:firstLine="420"/>
        <w:jc w:val="left"/>
        <w:rPr>
          <w:rFonts w:hint="eastAsia" w:ascii="宋体" w:hAnsi="宋体" w:cs="宋体"/>
          <w:color w:val="auto"/>
          <w:kern w:val="0"/>
          <w:sz w:val="22"/>
          <w:szCs w:val="22"/>
          <w:highlight w:val="none"/>
        </w:rPr>
      </w:pPr>
    </w:p>
    <w:p w14:paraId="76A0C207">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1447D0CD">
      <w:pPr>
        <w:widowControl/>
        <w:adjustRightInd w:val="0"/>
        <w:snapToGrid w:val="0"/>
        <w:spacing w:line="360" w:lineRule="auto"/>
        <w:ind w:firstLine="42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07FEA29E">
      <w:pPr>
        <w:widowControl/>
        <w:adjustRightInd w:val="0"/>
        <w:snapToGrid w:val="0"/>
        <w:spacing w:line="360" w:lineRule="auto"/>
        <w:ind w:firstLine="420"/>
        <w:jc w:val="left"/>
        <w:rPr>
          <w:rFonts w:hint="eastAsia" w:ascii="宋体" w:hAnsi="宋体" w:cs="宋体"/>
          <w:b/>
          <w:bCs/>
          <w:color w:val="auto"/>
          <w:sz w:val="24"/>
          <w:szCs w:val="24"/>
          <w:highlight w:val="none"/>
        </w:rPr>
      </w:pPr>
      <w:r>
        <w:rPr>
          <w:rFonts w:hint="eastAsia" w:ascii="宋体" w:hAnsi="宋体" w:cs="宋体"/>
          <w:color w:val="auto"/>
          <w:kern w:val="0"/>
          <w:sz w:val="22"/>
          <w:szCs w:val="22"/>
          <w:highlight w:val="none"/>
        </w:rPr>
        <w:t>日期：     年  月  日</w:t>
      </w:r>
    </w:p>
    <w:p w14:paraId="0B3C3848">
      <w:pPr>
        <w:tabs>
          <w:tab w:val="left" w:pos="0"/>
          <w:tab w:val="left" w:pos="600"/>
        </w:tabs>
        <w:spacing w:line="400" w:lineRule="exact"/>
        <w:jc w:val="center"/>
        <w:rPr>
          <w:rFonts w:ascii="新宋体" w:hAnsi="新宋体" w:eastAsia="新宋体"/>
          <w:b/>
          <w:color w:val="auto"/>
          <w:sz w:val="24"/>
          <w:szCs w:val="24"/>
          <w:highlight w:val="none"/>
        </w:rPr>
      </w:pPr>
      <w:r>
        <w:rPr>
          <w:rFonts w:hint="eastAsia" w:ascii="新宋体" w:hAnsi="新宋体" w:eastAsia="新宋体"/>
          <w:b/>
          <w:color w:val="auto"/>
          <w:sz w:val="24"/>
          <w:szCs w:val="24"/>
          <w:highlight w:val="none"/>
        </w:rPr>
        <w:t>（</w:t>
      </w:r>
      <w:r>
        <w:rPr>
          <w:rFonts w:hint="eastAsia" w:ascii="新宋体" w:hAnsi="新宋体" w:eastAsia="新宋体"/>
          <w:b/>
          <w:color w:val="auto"/>
          <w:sz w:val="24"/>
          <w:szCs w:val="24"/>
          <w:highlight w:val="none"/>
          <w:lang w:val="en-US" w:eastAsia="zh-CN"/>
        </w:rPr>
        <w:t>8</w:t>
      </w:r>
      <w:r>
        <w:rPr>
          <w:rFonts w:hint="eastAsia" w:ascii="新宋体" w:hAnsi="新宋体" w:eastAsia="新宋体"/>
          <w:b/>
          <w:color w:val="auto"/>
          <w:sz w:val="24"/>
          <w:szCs w:val="24"/>
          <w:highlight w:val="none"/>
        </w:rPr>
        <w:t>）信用记录查询结果</w:t>
      </w:r>
    </w:p>
    <w:p w14:paraId="76A03D11">
      <w:pPr>
        <w:tabs>
          <w:tab w:val="left" w:pos="0"/>
          <w:tab w:val="left" w:pos="600"/>
        </w:tabs>
        <w:spacing w:line="400" w:lineRule="exact"/>
        <w:rPr>
          <w:rFonts w:ascii="新宋体" w:hAnsi="新宋体" w:eastAsia="新宋体"/>
          <w:b/>
          <w:color w:val="auto"/>
          <w:sz w:val="22"/>
          <w:highlight w:val="none"/>
        </w:rPr>
      </w:pPr>
      <w:r>
        <w:rPr>
          <w:rFonts w:ascii="新宋体" w:hAnsi="新宋体" w:eastAsia="新宋体"/>
          <w:b/>
          <w:color w:val="auto"/>
          <w:sz w:val="22"/>
          <w:highlight w:val="none"/>
        </w:rPr>
        <w:t xml:space="preserve"> </w:t>
      </w:r>
    </w:p>
    <w:p w14:paraId="2BC876D6">
      <w:pPr>
        <w:pStyle w:val="28"/>
        <w:spacing w:line="360" w:lineRule="auto"/>
        <w:rPr>
          <w:rFonts w:ascii="新宋体" w:hAnsi="新宋体" w:eastAsia="新宋体" w:cs="Courier New"/>
          <w:color w:val="auto"/>
          <w:sz w:val="22"/>
          <w:szCs w:val="22"/>
          <w:highlight w:val="none"/>
        </w:rPr>
      </w:pPr>
      <w:r>
        <w:rPr>
          <w:rFonts w:hint="eastAsia" w:ascii="新宋体" w:hAnsi="新宋体" w:eastAsia="新宋体" w:cs="Courier New"/>
          <w:color w:val="auto"/>
          <w:sz w:val="22"/>
          <w:szCs w:val="22"/>
          <w:highlight w:val="none"/>
        </w:rPr>
        <w:t>苍南中工建设开发有限公司：</w:t>
      </w:r>
    </w:p>
    <w:p w14:paraId="74A67B73">
      <w:pPr>
        <w:pStyle w:val="28"/>
        <w:spacing w:line="360" w:lineRule="auto"/>
        <w:rPr>
          <w:rFonts w:ascii="新宋体" w:hAnsi="新宋体" w:eastAsia="新宋体" w:cs="Courier New"/>
          <w:color w:val="auto"/>
          <w:sz w:val="22"/>
          <w:szCs w:val="22"/>
          <w:highlight w:val="none"/>
        </w:rPr>
      </w:pPr>
      <w:r>
        <w:rPr>
          <w:rFonts w:hint="eastAsia" w:ascii="新宋体" w:hAnsi="新宋体" w:eastAsia="新宋体" w:cs="Courier New"/>
          <w:color w:val="auto"/>
          <w:sz w:val="22"/>
          <w:szCs w:val="22"/>
          <w:highlight w:val="none"/>
        </w:rPr>
        <w:t>温州市鼎信工程管理咨询有限公司：</w:t>
      </w:r>
    </w:p>
    <w:p w14:paraId="3A273222">
      <w:pPr>
        <w:spacing w:line="460" w:lineRule="exact"/>
        <w:ind w:firstLine="440" w:firstLineChars="200"/>
        <w:rPr>
          <w:rFonts w:ascii="新宋体" w:hAnsi="新宋体" w:eastAsia="新宋体" w:cs="Courier New"/>
          <w:color w:val="auto"/>
          <w:sz w:val="22"/>
          <w:szCs w:val="22"/>
          <w:highlight w:val="none"/>
        </w:rPr>
      </w:pPr>
      <w:r>
        <w:rPr>
          <w:rFonts w:hint="eastAsia" w:ascii="新宋体" w:hAnsi="新宋体" w:eastAsia="新宋体" w:cs="Courier New"/>
          <w:color w:val="auto"/>
          <w:sz w:val="22"/>
          <w:szCs w:val="22"/>
          <w:highlight w:val="none"/>
        </w:rPr>
        <w:t>现附上截至</w:t>
      </w:r>
      <w:r>
        <w:rPr>
          <w:rFonts w:hint="eastAsia" w:ascii="新宋体" w:hAnsi="新宋体" w:eastAsia="新宋体" w:cs="Courier New"/>
          <w:color w:val="auto"/>
          <w:sz w:val="22"/>
          <w:szCs w:val="22"/>
          <w:highlight w:val="none"/>
          <w:u w:val="single"/>
        </w:rPr>
        <w:t xml:space="preserve">    </w:t>
      </w:r>
      <w:r>
        <w:rPr>
          <w:rFonts w:hint="eastAsia" w:ascii="新宋体" w:hAnsi="新宋体" w:eastAsia="新宋体" w:cs="Courier New"/>
          <w:color w:val="auto"/>
          <w:sz w:val="22"/>
          <w:szCs w:val="22"/>
          <w:highlight w:val="none"/>
        </w:rPr>
        <w:t>年</w:t>
      </w:r>
      <w:r>
        <w:rPr>
          <w:rFonts w:hint="eastAsia" w:ascii="新宋体" w:hAnsi="新宋体" w:eastAsia="新宋体" w:cs="Courier New"/>
          <w:color w:val="auto"/>
          <w:sz w:val="22"/>
          <w:szCs w:val="22"/>
          <w:highlight w:val="none"/>
          <w:u w:val="single"/>
        </w:rPr>
        <w:t xml:space="preserve">   </w:t>
      </w:r>
      <w:r>
        <w:rPr>
          <w:rFonts w:hint="eastAsia" w:ascii="新宋体" w:hAnsi="新宋体" w:eastAsia="新宋体" w:cs="Courier New"/>
          <w:color w:val="auto"/>
          <w:sz w:val="22"/>
          <w:szCs w:val="22"/>
          <w:highlight w:val="none"/>
        </w:rPr>
        <w:t>月</w:t>
      </w:r>
      <w:r>
        <w:rPr>
          <w:rFonts w:hint="eastAsia" w:ascii="新宋体" w:hAnsi="新宋体" w:eastAsia="新宋体" w:cs="Courier New"/>
          <w:color w:val="auto"/>
          <w:sz w:val="22"/>
          <w:szCs w:val="22"/>
          <w:highlight w:val="none"/>
          <w:u w:val="single"/>
        </w:rPr>
        <w:t xml:space="preserve">   </w:t>
      </w:r>
      <w:r>
        <w:rPr>
          <w:rFonts w:hint="eastAsia" w:ascii="新宋体" w:hAnsi="新宋体" w:eastAsia="新宋体" w:cs="Courier New"/>
          <w:color w:val="auto"/>
          <w:sz w:val="22"/>
          <w:szCs w:val="22"/>
          <w:highlight w:val="none"/>
        </w:rPr>
        <w:t>日</w:t>
      </w:r>
      <w:r>
        <w:rPr>
          <w:rFonts w:hint="eastAsia" w:ascii="新宋体" w:hAnsi="新宋体" w:eastAsia="新宋体" w:cs="Courier New"/>
          <w:color w:val="auto"/>
          <w:sz w:val="22"/>
          <w:szCs w:val="22"/>
          <w:highlight w:val="none"/>
          <w:u w:val="single"/>
        </w:rPr>
        <w:t xml:space="preserve">   </w:t>
      </w:r>
      <w:r>
        <w:rPr>
          <w:rFonts w:hint="eastAsia" w:ascii="新宋体" w:hAnsi="新宋体" w:eastAsia="新宋体" w:cs="Courier New"/>
          <w:color w:val="auto"/>
          <w:sz w:val="22"/>
          <w:szCs w:val="22"/>
          <w:highlight w:val="none"/>
        </w:rPr>
        <w:t xml:space="preserve">时我方通过“信用中国”网站（www.creditchina.gov.cn）获取的我方信用信息查询结果 </w:t>
      </w:r>
      <w:r>
        <w:rPr>
          <w:rFonts w:hint="eastAsia" w:ascii="新宋体" w:hAnsi="新宋体" w:eastAsia="新宋体" w:cs="Courier New"/>
          <w:color w:val="auto"/>
          <w:sz w:val="22"/>
          <w:szCs w:val="22"/>
          <w:highlight w:val="none"/>
          <w:u w:val="single"/>
        </w:rPr>
        <w:t xml:space="preserve">（填写具体份数） </w:t>
      </w:r>
      <w:r>
        <w:rPr>
          <w:rFonts w:hint="eastAsia" w:ascii="新宋体" w:hAnsi="新宋体" w:eastAsia="新宋体" w:cs="Courier New"/>
          <w:color w:val="auto"/>
          <w:sz w:val="22"/>
          <w:szCs w:val="22"/>
          <w:highlight w:val="none"/>
        </w:rPr>
        <w:t xml:space="preserve">份、通过中国政府采购网（www.ccgp.gov.cn）获取的我方信用信息查询结果 </w:t>
      </w:r>
      <w:r>
        <w:rPr>
          <w:rFonts w:hint="eastAsia" w:ascii="新宋体" w:hAnsi="新宋体" w:eastAsia="新宋体" w:cs="Courier New"/>
          <w:color w:val="auto"/>
          <w:sz w:val="22"/>
          <w:szCs w:val="22"/>
          <w:highlight w:val="none"/>
          <w:u w:val="single"/>
        </w:rPr>
        <w:t>（填写具体份数）</w:t>
      </w:r>
      <w:r>
        <w:rPr>
          <w:rFonts w:hint="eastAsia" w:ascii="新宋体" w:hAnsi="新宋体" w:eastAsia="新宋体" w:cs="Courier New"/>
          <w:color w:val="auto"/>
          <w:sz w:val="22"/>
          <w:szCs w:val="22"/>
          <w:highlight w:val="none"/>
        </w:rPr>
        <w:t xml:space="preserve"> 份，上述信用信息查询结果真实有效，否则我方负全部责任。</w:t>
      </w:r>
    </w:p>
    <w:p w14:paraId="3A2C7533">
      <w:pPr>
        <w:spacing w:line="460" w:lineRule="exact"/>
        <w:ind w:firstLine="440" w:firstLineChars="200"/>
        <w:rPr>
          <w:rFonts w:ascii="新宋体" w:hAnsi="新宋体" w:eastAsia="新宋体" w:cs="Courier New"/>
          <w:color w:val="auto"/>
          <w:sz w:val="22"/>
          <w:szCs w:val="22"/>
          <w:highlight w:val="none"/>
        </w:rPr>
      </w:pPr>
    </w:p>
    <w:p w14:paraId="3B70CF82">
      <w:pPr>
        <w:spacing w:line="400" w:lineRule="exact"/>
        <w:ind w:left="221" w:hanging="221" w:hangingChars="1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说明：</w:t>
      </w:r>
    </w:p>
    <w:p w14:paraId="51268346">
      <w:pPr>
        <w:spacing w:line="400" w:lineRule="exact"/>
        <w:ind w:left="221" w:hanging="221" w:hangingChars="100"/>
        <w:rPr>
          <w:rFonts w:ascii="新宋体" w:hAnsi="新宋体" w:eastAsia="新宋体"/>
          <w:b/>
          <w:color w:val="auto"/>
          <w:sz w:val="22"/>
          <w:szCs w:val="22"/>
          <w:highlight w:val="none"/>
        </w:rPr>
      </w:pPr>
      <w:r>
        <w:rPr>
          <w:rFonts w:ascii="新宋体" w:hAnsi="新宋体" w:eastAsia="新宋体"/>
          <w:b/>
          <w:color w:val="auto"/>
          <w:sz w:val="22"/>
          <w:szCs w:val="22"/>
          <w:highlight w:val="none"/>
        </w:rPr>
        <w:t>1</w:t>
      </w:r>
      <w:r>
        <w:rPr>
          <w:rFonts w:hint="eastAsia" w:ascii="新宋体" w:hAnsi="新宋体" w:eastAsia="新宋体"/>
          <w:b/>
          <w:color w:val="auto"/>
          <w:sz w:val="22"/>
          <w:szCs w:val="22"/>
          <w:highlight w:val="none"/>
        </w:rPr>
        <w:t>、供应商信用信息查询截止时点：采购公告发布之日至投标截止时间前。</w:t>
      </w:r>
    </w:p>
    <w:p w14:paraId="28CD17DE">
      <w:pPr>
        <w:spacing w:line="400" w:lineRule="exact"/>
        <w:ind w:left="221" w:hanging="221" w:hangingChars="100"/>
        <w:rPr>
          <w:rFonts w:ascii="新宋体" w:hAnsi="新宋体" w:eastAsia="新宋体"/>
          <w:b/>
          <w:color w:val="auto"/>
          <w:sz w:val="22"/>
          <w:szCs w:val="22"/>
          <w:highlight w:val="none"/>
        </w:rPr>
      </w:pPr>
      <w:r>
        <w:rPr>
          <w:rFonts w:ascii="新宋体" w:hAnsi="新宋体" w:eastAsia="新宋体"/>
          <w:b/>
          <w:color w:val="auto"/>
          <w:sz w:val="22"/>
          <w:szCs w:val="22"/>
          <w:highlight w:val="none"/>
        </w:rPr>
        <w:t>2</w:t>
      </w:r>
      <w:r>
        <w:rPr>
          <w:rFonts w:hint="eastAsia" w:ascii="新宋体" w:hAnsi="新宋体" w:eastAsia="新宋体"/>
          <w:b/>
          <w:color w:val="auto"/>
          <w:sz w:val="22"/>
          <w:szCs w:val="22"/>
          <w:highlight w:val="none"/>
        </w:rPr>
        <w:t>、供应商信用信息查询记录和证据留存的具体方式：网页截图打印；</w:t>
      </w:r>
    </w:p>
    <w:p w14:paraId="6C73EDC0">
      <w:pPr>
        <w:spacing w:line="400" w:lineRule="exact"/>
        <w:ind w:left="221" w:hanging="221" w:hangingChars="100"/>
        <w:rPr>
          <w:rFonts w:ascii="新宋体" w:hAnsi="新宋体" w:eastAsia="新宋体"/>
          <w:b/>
          <w:color w:val="auto"/>
          <w:sz w:val="22"/>
          <w:szCs w:val="22"/>
          <w:highlight w:val="none"/>
        </w:rPr>
      </w:pPr>
      <w:r>
        <w:rPr>
          <w:rFonts w:ascii="新宋体" w:hAnsi="新宋体" w:eastAsia="新宋体"/>
          <w:b/>
          <w:color w:val="auto"/>
          <w:sz w:val="22"/>
          <w:szCs w:val="22"/>
          <w:highlight w:val="none"/>
        </w:rPr>
        <w:t>3</w:t>
      </w:r>
      <w:r>
        <w:rPr>
          <w:rFonts w:hint="eastAsia" w:ascii="新宋体" w:hAnsi="新宋体" w:eastAsia="新宋体"/>
          <w:b/>
          <w:color w:val="auto"/>
          <w:sz w:val="22"/>
          <w:szCs w:val="22"/>
          <w:highlight w:val="none"/>
        </w:rPr>
        <w:t>、</w:t>
      </w:r>
      <w:r>
        <w:rPr>
          <w:rFonts w:ascii="新宋体" w:hAnsi="新宋体" w:eastAsia="新宋体"/>
          <w:b/>
          <w:bCs/>
          <w:color w:val="auto"/>
          <w:sz w:val="22"/>
          <w:szCs w:val="22"/>
          <w:highlight w:val="none"/>
          <w:u w:val="single"/>
        </w:rPr>
        <w:t>▲</w:t>
      </w:r>
      <w:r>
        <w:rPr>
          <w:rFonts w:hint="eastAsia" w:ascii="新宋体" w:hAnsi="新宋体" w:eastAsia="新宋体"/>
          <w:b/>
          <w:color w:val="auto"/>
          <w:sz w:val="22"/>
          <w:szCs w:val="22"/>
          <w:highlight w:val="none"/>
          <w:u w:val="single"/>
        </w:rPr>
        <w:t>信用信息的使用规则： 被“信用中国”网站列入失信被执行人、重大税收违法案件当事人名单，或被“中国政府采购网”列入政府采购严重违法失信行为记录名单，其投标无效。</w:t>
      </w:r>
    </w:p>
    <w:p w14:paraId="46A2F65D">
      <w:pPr>
        <w:spacing w:line="400" w:lineRule="exact"/>
        <w:ind w:left="221" w:hanging="221" w:hangingChars="100"/>
        <w:rPr>
          <w:rFonts w:ascii="新宋体" w:hAnsi="新宋体" w:eastAsia="新宋体" w:cs="Courier New"/>
          <w:color w:val="auto"/>
          <w:sz w:val="22"/>
          <w:szCs w:val="22"/>
          <w:highlight w:val="none"/>
        </w:rPr>
      </w:pPr>
      <w:r>
        <w:rPr>
          <w:rFonts w:hint="eastAsia" w:ascii="新宋体" w:hAnsi="新宋体" w:eastAsia="新宋体"/>
          <w:b/>
          <w:color w:val="auto"/>
          <w:sz w:val="22"/>
          <w:szCs w:val="22"/>
          <w:highlight w:val="none"/>
        </w:rPr>
        <w:t>4、查询内容为“信用中国”(</w:t>
      </w:r>
      <w:r>
        <w:rPr>
          <w:color w:val="auto"/>
          <w:sz w:val="22"/>
          <w:szCs w:val="22"/>
          <w:highlight w:val="none"/>
        </w:rPr>
        <w:fldChar w:fldCharType="begin"/>
      </w:r>
      <w:r>
        <w:rPr>
          <w:color w:val="auto"/>
          <w:sz w:val="22"/>
          <w:szCs w:val="22"/>
          <w:highlight w:val="none"/>
        </w:rPr>
        <w:instrText xml:space="preserve"> HYPERLINK "http://www.creditchina.gov.cn" </w:instrText>
      </w:r>
      <w:r>
        <w:rPr>
          <w:color w:val="auto"/>
          <w:sz w:val="22"/>
          <w:szCs w:val="22"/>
          <w:highlight w:val="none"/>
        </w:rPr>
        <w:fldChar w:fldCharType="separate"/>
      </w:r>
      <w:r>
        <w:rPr>
          <w:rFonts w:hint="eastAsia" w:ascii="新宋体" w:hAnsi="新宋体" w:eastAsia="新宋体"/>
          <w:b/>
          <w:color w:val="auto"/>
          <w:sz w:val="22"/>
          <w:szCs w:val="22"/>
          <w:highlight w:val="none"/>
        </w:rPr>
        <w:t>www.creditchina.gov.cn</w:t>
      </w:r>
      <w:r>
        <w:rPr>
          <w:rFonts w:ascii="新宋体" w:hAnsi="新宋体" w:eastAsia="新宋体"/>
          <w:b/>
          <w:color w:val="auto"/>
          <w:sz w:val="22"/>
          <w:szCs w:val="22"/>
          <w:highlight w:val="none"/>
        </w:rPr>
        <w:fldChar w:fldCharType="end"/>
      </w:r>
      <w:r>
        <w:rPr>
          <w:rFonts w:hint="eastAsia" w:ascii="新宋体" w:hAnsi="新宋体" w:eastAsia="新宋体"/>
          <w:b/>
          <w:color w:val="auto"/>
          <w:sz w:val="22"/>
          <w:szCs w:val="22"/>
          <w:highlight w:val="none"/>
        </w:rPr>
        <w:t>)中“</w:t>
      </w:r>
      <w:r>
        <w:rPr>
          <w:rFonts w:ascii="新宋体" w:hAnsi="新宋体" w:eastAsia="新宋体"/>
          <w:b/>
          <w:color w:val="auto"/>
          <w:sz w:val="22"/>
          <w:szCs w:val="22"/>
          <w:highlight w:val="none"/>
        </w:rPr>
        <w:fldChar w:fldCharType="begin"/>
      </w:r>
      <w:r>
        <w:rPr>
          <w:rFonts w:ascii="新宋体" w:hAnsi="新宋体" w:eastAsia="新宋体"/>
          <w:b/>
          <w:color w:val="auto"/>
          <w:sz w:val="22"/>
          <w:szCs w:val="22"/>
          <w:highlight w:val="none"/>
        </w:rPr>
        <w:instrText xml:space="preserve"> </w:instrText>
      </w:r>
      <w:r>
        <w:rPr>
          <w:rFonts w:hint="eastAsia" w:ascii="新宋体" w:hAnsi="新宋体" w:eastAsia="新宋体"/>
          <w:b/>
          <w:color w:val="auto"/>
          <w:sz w:val="22"/>
          <w:szCs w:val="22"/>
          <w:highlight w:val="none"/>
        </w:rPr>
        <w:instrText xml:space="preserve">= 1 \* GB3</w:instrText>
      </w:r>
      <w:r>
        <w:rPr>
          <w:rFonts w:ascii="新宋体" w:hAnsi="新宋体" w:eastAsia="新宋体"/>
          <w:b/>
          <w:color w:val="auto"/>
          <w:sz w:val="22"/>
          <w:szCs w:val="22"/>
          <w:highlight w:val="none"/>
        </w:rPr>
        <w:instrText xml:space="preserve"> </w:instrText>
      </w:r>
      <w:r>
        <w:rPr>
          <w:rFonts w:ascii="新宋体" w:hAnsi="新宋体" w:eastAsia="新宋体"/>
          <w:b/>
          <w:color w:val="auto"/>
          <w:sz w:val="22"/>
          <w:szCs w:val="22"/>
          <w:highlight w:val="none"/>
        </w:rPr>
        <w:fldChar w:fldCharType="separate"/>
      </w:r>
      <w:r>
        <w:rPr>
          <w:rFonts w:hint="eastAsia" w:ascii="新宋体" w:hAnsi="新宋体" w:eastAsia="新宋体"/>
          <w:b/>
          <w:color w:val="auto"/>
          <w:sz w:val="22"/>
          <w:szCs w:val="22"/>
          <w:highlight w:val="none"/>
        </w:rPr>
        <w:t>①</w:t>
      </w:r>
      <w:r>
        <w:rPr>
          <w:rFonts w:ascii="新宋体" w:hAnsi="新宋体" w:eastAsia="新宋体"/>
          <w:b/>
          <w:color w:val="auto"/>
          <w:sz w:val="22"/>
          <w:szCs w:val="22"/>
          <w:highlight w:val="none"/>
        </w:rPr>
        <w:fldChar w:fldCharType="end"/>
      </w:r>
      <w:r>
        <w:rPr>
          <w:rFonts w:hint="eastAsia" w:ascii="新宋体" w:hAnsi="新宋体" w:eastAsia="新宋体"/>
          <w:b/>
          <w:color w:val="auto"/>
          <w:sz w:val="22"/>
          <w:szCs w:val="22"/>
          <w:highlight w:val="none"/>
        </w:rPr>
        <w:t>失信被执行人查询</w:t>
      </w:r>
      <w:r>
        <w:rPr>
          <w:rFonts w:ascii="新宋体" w:hAnsi="新宋体" w:eastAsia="新宋体"/>
          <w:b/>
          <w:color w:val="auto"/>
          <w:sz w:val="22"/>
          <w:szCs w:val="22"/>
          <w:highlight w:val="none"/>
        </w:rPr>
        <w:fldChar w:fldCharType="begin"/>
      </w:r>
      <w:r>
        <w:rPr>
          <w:rFonts w:ascii="新宋体" w:hAnsi="新宋体" w:eastAsia="新宋体"/>
          <w:b/>
          <w:color w:val="auto"/>
          <w:sz w:val="22"/>
          <w:szCs w:val="22"/>
          <w:highlight w:val="none"/>
        </w:rPr>
        <w:instrText xml:space="preserve"> </w:instrText>
      </w:r>
      <w:r>
        <w:rPr>
          <w:rFonts w:hint="eastAsia" w:ascii="新宋体" w:hAnsi="新宋体" w:eastAsia="新宋体"/>
          <w:b/>
          <w:color w:val="auto"/>
          <w:sz w:val="22"/>
          <w:szCs w:val="22"/>
          <w:highlight w:val="none"/>
        </w:rPr>
        <w:instrText xml:space="preserve">= 2 \* GB3</w:instrText>
      </w:r>
      <w:r>
        <w:rPr>
          <w:rFonts w:ascii="新宋体" w:hAnsi="新宋体" w:eastAsia="新宋体"/>
          <w:b/>
          <w:color w:val="auto"/>
          <w:sz w:val="22"/>
          <w:szCs w:val="22"/>
          <w:highlight w:val="none"/>
        </w:rPr>
        <w:instrText xml:space="preserve"> </w:instrText>
      </w:r>
      <w:r>
        <w:rPr>
          <w:rFonts w:ascii="新宋体" w:hAnsi="新宋体" w:eastAsia="新宋体"/>
          <w:b/>
          <w:color w:val="auto"/>
          <w:sz w:val="22"/>
          <w:szCs w:val="22"/>
          <w:highlight w:val="none"/>
        </w:rPr>
        <w:fldChar w:fldCharType="separate"/>
      </w:r>
      <w:r>
        <w:rPr>
          <w:rFonts w:hint="eastAsia" w:ascii="新宋体" w:hAnsi="新宋体" w:eastAsia="新宋体"/>
          <w:b/>
          <w:color w:val="auto"/>
          <w:sz w:val="22"/>
          <w:szCs w:val="22"/>
          <w:highlight w:val="none"/>
        </w:rPr>
        <w:t>②</w:t>
      </w:r>
      <w:r>
        <w:rPr>
          <w:rFonts w:ascii="新宋体" w:hAnsi="新宋体" w:eastAsia="新宋体"/>
          <w:b/>
          <w:color w:val="auto"/>
          <w:sz w:val="22"/>
          <w:szCs w:val="22"/>
          <w:highlight w:val="none"/>
        </w:rPr>
        <w:fldChar w:fldCharType="end"/>
      </w:r>
      <w:r>
        <w:rPr>
          <w:rFonts w:hint="eastAsia" w:ascii="新宋体" w:hAnsi="新宋体" w:eastAsia="新宋体"/>
          <w:b/>
          <w:color w:val="auto"/>
          <w:sz w:val="22"/>
          <w:szCs w:val="22"/>
          <w:highlight w:val="none"/>
        </w:rPr>
        <w:t>重大税收违法案件当事人名单”，“中国政府采购网”（www.ccgp.gov.cn）中“政府采购严重违法失信行为记录名单”。</w:t>
      </w:r>
    </w:p>
    <w:p w14:paraId="2E68ED41">
      <w:pPr>
        <w:spacing w:line="460" w:lineRule="exact"/>
        <w:rPr>
          <w:rFonts w:ascii="新宋体" w:hAnsi="新宋体" w:eastAsia="新宋体"/>
          <w:b/>
          <w:color w:val="auto"/>
          <w:sz w:val="22"/>
          <w:szCs w:val="22"/>
          <w:highlight w:val="none"/>
        </w:rPr>
      </w:pPr>
      <w:r>
        <w:rPr>
          <w:rFonts w:ascii="新宋体" w:hAnsi="新宋体" w:eastAsia="新宋体"/>
          <w:b/>
          <w:bCs/>
          <w:color w:val="auto"/>
          <w:sz w:val="22"/>
          <w:szCs w:val="22"/>
          <w:highlight w:val="none"/>
          <w:u w:val="single"/>
        </w:rPr>
        <w:t>▲</w:t>
      </w:r>
      <w:r>
        <w:rPr>
          <w:rFonts w:hint="eastAsia" w:ascii="新宋体" w:hAnsi="新宋体" w:eastAsia="新宋体"/>
          <w:b/>
          <w:bCs/>
          <w:color w:val="auto"/>
          <w:sz w:val="22"/>
          <w:szCs w:val="22"/>
          <w:highlight w:val="none"/>
          <w:u w:val="single"/>
        </w:rPr>
        <w:t>供应商应同时提供在采购文件要求的时间内通过上述2个网站获取的信用信息查询结果，信用信息查询结果应为从上述2个网站获取的查询结果原始页面的打印件或完整截图，否则投标无效。</w:t>
      </w:r>
    </w:p>
    <w:p w14:paraId="54A24963">
      <w:pPr>
        <w:tabs>
          <w:tab w:val="left" w:pos="0"/>
          <w:tab w:val="left" w:pos="600"/>
        </w:tabs>
        <w:spacing w:line="400" w:lineRule="exact"/>
        <w:rPr>
          <w:rFonts w:ascii="新宋体" w:hAnsi="新宋体" w:eastAsia="新宋体"/>
          <w:b/>
          <w:color w:val="auto"/>
          <w:sz w:val="22"/>
          <w:szCs w:val="22"/>
          <w:highlight w:val="none"/>
        </w:rPr>
      </w:pPr>
    </w:p>
    <w:p w14:paraId="72C9664E">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s="Courier New"/>
          <w:bCs/>
          <w:color w:val="auto"/>
          <w:sz w:val="22"/>
          <w:szCs w:val="22"/>
          <w:highlight w:val="none"/>
        </w:rPr>
        <w:t>供应商</w:t>
      </w:r>
      <w:r>
        <w:rPr>
          <w:rFonts w:hint="eastAsia" w:ascii="新宋体" w:hAnsi="新宋体" w:eastAsia="新宋体"/>
          <w:color w:val="auto"/>
          <w:sz w:val="22"/>
          <w:szCs w:val="22"/>
          <w:highlight w:val="none"/>
        </w:rPr>
        <w:t>全称（盖章）：</w:t>
      </w:r>
    </w:p>
    <w:p w14:paraId="59A3A6D4">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法定代表人或授权代表（签字）：</w:t>
      </w:r>
    </w:p>
    <w:p w14:paraId="0BCEB1BA">
      <w:pPr>
        <w:tabs>
          <w:tab w:val="left" w:pos="840"/>
        </w:tabs>
        <w:adjustRightInd w:val="0"/>
        <w:snapToGrid w:val="0"/>
        <w:spacing w:line="360" w:lineRule="auto"/>
        <w:ind w:left="420" w:leftChars="200" w:firstLine="330" w:firstLineChars="150"/>
        <w:rPr>
          <w:rFonts w:hint="eastAsia" w:ascii="宋体" w:hAnsi="宋体" w:cs="宋体"/>
          <w:b/>
          <w:bCs/>
          <w:color w:val="auto"/>
          <w:sz w:val="22"/>
          <w:szCs w:val="22"/>
          <w:highlight w:val="none"/>
        </w:rPr>
      </w:pPr>
      <w:r>
        <w:rPr>
          <w:rFonts w:hint="eastAsia" w:ascii="新宋体" w:hAnsi="新宋体" w:eastAsia="新宋体"/>
          <w:color w:val="auto"/>
          <w:sz w:val="22"/>
          <w:szCs w:val="22"/>
          <w:highlight w:val="none"/>
        </w:rPr>
        <w:t>日          期：  年  月  日</w:t>
      </w:r>
    </w:p>
    <w:p w14:paraId="5D9FFD28">
      <w:pPr>
        <w:spacing w:line="500" w:lineRule="exact"/>
        <w:rPr>
          <w:rFonts w:hint="eastAsia" w:ascii="宋体" w:hAnsi="宋体" w:cs="宋体"/>
          <w:b/>
          <w:bCs/>
          <w:color w:val="auto"/>
          <w:sz w:val="24"/>
          <w:szCs w:val="24"/>
          <w:highlight w:val="none"/>
        </w:rPr>
      </w:pPr>
      <w:r>
        <w:rPr>
          <w:rFonts w:hint="eastAsia" w:ascii="宋体" w:hAnsi="宋体" w:cs="宋体"/>
          <w:b/>
          <w:bCs/>
          <w:snapToGrid w:val="0"/>
          <w:color w:val="auto"/>
          <w:kern w:val="0"/>
          <w:sz w:val="24"/>
          <w:szCs w:val="24"/>
          <w:highlight w:val="none"/>
        </w:rPr>
        <w:t>（</w:t>
      </w:r>
      <w:r>
        <w:rPr>
          <w:rFonts w:hint="eastAsia" w:ascii="宋体" w:hAnsi="宋体" w:cs="宋体"/>
          <w:b/>
          <w:bCs/>
          <w:snapToGrid w:val="0"/>
          <w:color w:val="auto"/>
          <w:kern w:val="0"/>
          <w:sz w:val="24"/>
          <w:szCs w:val="24"/>
          <w:highlight w:val="none"/>
          <w:lang w:val="en-US" w:eastAsia="zh-CN"/>
        </w:rPr>
        <w:t>9</w:t>
      </w:r>
      <w:r>
        <w:rPr>
          <w:rFonts w:hint="eastAsia" w:ascii="宋体" w:hAnsi="宋体" w:cs="宋体"/>
          <w:b/>
          <w:bCs/>
          <w:snapToGrid w:val="0"/>
          <w:color w:val="auto"/>
          <w:kern w:val="0"/>
          <w:sz w:val="24"/>
          <w:szCs w:val="24"/>
          <w:highlight w:val="none"/>
        </w:rPr>
        <w:t>）其他资质、资信证明文件（如有，复印件加盖公章）</w:t>
      </w:r>
    </w:p>
    <w:p w14:paraId="2E6B10D3">
      <w:pPr>
        <w:spacing w:line="460" w:lineRule="exact"/>
        <w:jc w:val="center"/>
        <w:rPr>
          <w:rFonts w:hint="eastAsia" w:ascii="新宋体" w:hAnsi="新宋体" w:eastAsia="新宋体"/>
          <w:b/>
          <w:bCs/>
          <w:color w:val="auto"/>
          <w:sz w:val="28"/>
          <w:szCs w:val="28"/>
          <w:highlight w:val="none"/>
        </w:rPr>
      </w:pPr>
      <w:r>
        <w:rPr>
          <w:rFonts w:ascii="新宋体" w:hAnsi="新宋体" w:eastAsia="新宋体"/>
          <w:b/>
          <w:bCs/>
          <w:color w:val="auto"/>
          <w:sz w:val="28"/>
          <w:szCs w:val="28"/>
          <w:highlight w:val="none"/>
        </w:rPr>
        <w:br w:type="page"/>
      </w:r>
    </w:p>
    <w:p w14:paraId="45DF1E9A">
      <w:pPr>
        <w:rPr>
          <w:rFonts w:hint="eastAsia" w:ascii="宋体" w:hAnsi="宋体"/>
          <w:color w:val="auto"/>
          <w:sz w:val="22"/>
          <w:highlight w:val="none"/>
          <w:u w:val="single"/>
        </w:rPr>
      </w:pPr>
      <w:r>
        <w:rPr>
          <w:rFonts w:hint="eastAsia" w:ascii="宋体" w:hAnsi="宋体"/>
          <w:color w:val="auto"/>
          <w:highlight w:val="none"/>
        </w:rPr>
        <w:t xml:space="preserve"> </w:t>
      </w:r>
    </w:p>
    <w:p w14:paraId="5021F2FB">
      <w:pPr>
        <w:pStyle w:val="6"/>
        <w:spacing w:line="240" w:lineRule="auto"/>
        <w:rPr>
          <w:rFonts w:hint="eastAsia" w:ascii="宋体" w:hAnsi="宋体" w:eastAsia="宋体"/>
          <w:color w:val="auto"/>
          <w:sz w:val="24"/>
          <w:szCs w:val="24"/>
          <w:highlight w:val="none"/>
        </w:rPr>
      </w:pPr>
      <w:bookmarkStart w:id="12" w:name="_Toc475102899"/>
      <w:bookmarkStart w:id="13" w:name="_Toc488150638"/>
      <w:r>
        <w:rPr>
          <w:rFonts w:hint="eastAsia" w:ascii="宋体" w:hAnsi="宋体" w:eastAsia="宋体"/>
          <w:color w:val="auto"/>
          <w:sz w:val="24"/>
          <w:szCs w:val="24"/>
          <w:highlight w:val="none"/>
        </w:rPr>
        <w:t>附件</w:t>
      </w:r>
      <w:bookmarkEnd w:id="12"/>
      <w:bookmarkEnd w:id="13"/>
      <w:r>
        <w:rPr>
          <w:rFonts w:hint="eastAsia" w:ascii="宋体" w:hAnsi="宋体" w:eastAsia="宋体"/>
          <w:color w:val="auto"/>
          <w:sz w:val="24"/>
          <w:szCs w:val="24"/>
          <w:highlight w:val="none"/>
        </w:rPr>
        <w:t>七</w:t>
      </w:r>
    </w:p>
    <w:p w14:paraId="23381AEA">
      <w:pPr>
        <w:spacing w:line="440" w:lineRule="exact"/>
        <w:ind w:left="708" w:hanging="708" w:hangingChars="294"/>
        <w:jc w:val="center"/>
        <w:rPr>
          <w:rFonts w:hint="eastAsia" w:ascii="宋体" w:hAnsi="宋体"/>
          <w:b/>
          <w:color w:val="auto"/>
          <w:sz w:val="24"/>
          <w:highlight w:val="none"/>
        </w:rPr>
      </w:pPr>
      <w:r>
        <w:rPr>
          <w:rFonts w:hint="eastAsia" w:ascii="宋体" w:hAnsi="宋体"/>
          <w:b/>
          <w:color w:val="auto"/>
          <w:sz w:val="24"/>
          <w:highlight w:val="none"/>
        </w:rPr>
        <w:t>售后服务及优惠承诺</w:t>
      </w:r>
    </w:p>
    <w:p w14:paraId="7C6AE139">
      <w:pPr>
        <w:spacing w:line="4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49"/>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6"/>
      </w:tblGrid>
      <w:tr w14:paraId="6593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0" w:hRule="atLeast"/>
        </w:trPr>
        <w:tc>
          <w:tcPr>
            <w:tcW w:w="9226" w:type="dxa"/>
            <w:noWrap w:val="0"/>
            <w:vAlign w:val="top"/>
          </w:tcPr>
          <w:p w14:paraId="045F86DC">
            <w:pPr>
              <w:spacing w:line="380" w:lineRule="exact"/>
              <w:jc w:val="both"/>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内容自拟</w:t>
            </w:r>
            <w:r>
              <w:rPr>
                <w:rFonts w:hint="eastAsia" w:ascii="宋体" w:hAnsi="宋体"/>
                <w:b/>
                <w:bCs/>
                <w:color w:val="auto"/>
                <w:sz w:val="22"/>
                <w:szCs w:val="22"/>
                <w:highlight w:val="none"/>
                <w:lang w:eastAsia="zh-CN"/>
              </w:rPr>
              <w:t>）</w:t>
            </w:r>
          </w:p>
        </w:tc>
      </w:tr>
    </w:tbl>
    <w:p w14:paraId="60150C81">
      <w:pPr>
        <w:rPr>
          <w:rFonts w:hint="eastAsia" w:ascii="宋体" w:hAnsi="宋体"/>
          <w:color w:val="auto"/>
          <w:sz w:val="22"/>
          <w:highlight w:val="none"/>
          <w:u w:val="single"/>
        </w:rPr>
      </w:pPr>
    </w:p>
    <w:p w14:paraId="48F8F873">
      <w:pPr>
        <w:rPr>
          <w:rFonts w:hint="eastAsia" w:ascii="宋体" w:hAnsi="宋体"/>
          <w:color w:val="auto"/>
          <w:sz w:val="22"/>
          <w:highlight w:val="none"/>
          <w:u w:val="single"/>
        </w:rPr>
      </w:pPr>
    </w:p>
    <w:p w14:paraId="13943F01">
      <w:pPr>
        <w:spacing w:line="44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全称（盖章）：</w:t>
      </w:r>
    </w:p>
    <w:p w14:paraId="6229BD1A">
      <w:pPr>
        <w:spacing w:line="44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lang w:eastAsia="zh-CN"/>
        </w:rPr>
        <w:t>法定代表人或授权代表（签字或盖章）</w:t>
      </w:r>
      <w:r>
        <w:rPr>
          <w:rFonts w:hint="eastAsia" w:ascii="宋体" w:hAnsi="宋体"/>
          <w:color w:val="auto"/>
          <w:sz w:val="22"/>
          <w:szCs w:val="22"/>
          <w:highlight w:val="none"/>
        </w:rPr>
        <w:t>：</w:t>
      </w:r>
    </w:p>
    <w:p w14:paraId="4BF66EB7">
      <w:pPr>
        <w:spacing w:line="440" w:lineRule="exact"/>
        <w:ind w:firstLine="4400" w:firstLineChars="2000"/>
        <w:rPr>
          <w:rFonts w:hint="eastAsia" w:ascii="宋体" w:hAnsi="宋体"/>
          <w:b/>
          <w:color w:val="auto"/>
          <w:szCs w:val="21"/>
          <w:highlight w:val="none"/>
        </w:rPr>
      </w:pPr>
      <w:r>
        <w:rPr>
          <w:rFonts w:hint="eastAsia" w:ascii="宋体" w:hAnsi="宋体"/>
          <w:color w:val="auto"/>
          <w:sz w:val="22"/>
          <w:szCs w:val="22"/>
          <w:highlight w:val="none"/>
        </w:rPr>
        <w:t>日  期：       年    月    日</w:t>
      </w:r>
      <w:r>
        <w:rPr>
          <w:rFonts w:hint="eastAsia" w:ascii="宋体" w:hAnsi="宋体"/>
          <w:b/>
          <w:color w:val="auto"/>
          <w:szCs w:val="21"/>
          <w:highlight w:val="none"/>
        </w:rPr>
        <w:t xml:space="preserve"> </w:t>
      </w:r>
    </w:p>
    <w:p w14:paraId="04A0D5DF">
      <w:pPr>
        <w:spacing w:line="440" w:lineRule="exact"/>
        <w:ind w:firstLine="4216" w:firstLineChars="2000"/>
        <w:rPr>
          <w:rFonts w:ascii="宋体" w:hAnsi="宋体"/>
          <w:b/>
          <w:color w:val="auto"/>
          <w:szCs w:val="21"/>
          <w:highlight w:val="none"/>
        </w:rPr>
      </w:pPr>
    </w:p>
    <w:p w14:paraId="5CF41CC9">
      <w:pPr>
        <w:spacing w:line="360" w:lineRule="auto"/>
        <w:jc w:val="center"/>
        <w:outlineLvl w:val="0"/>
        <w:rPr>
          <w:rFonts w:hAnsi="宋体"/>
          <w:color w:val="auto"/>
          <w:sz w:val="32"/>
          <w:szCs w:val="32"/>
          <w:highlight w:val="none"/>
        </w:rPr>
      </w:pPr>
      <w:bookmarkStart w:id="14" w:name="_Toc230773792"/>
      <w:bookmarkStart w:id="15" w:name="_Toc488150640"/>
    </w:p>
    <w:p w14:paraId="1BBC1A7B">
      <w:pPr>
        <w:spacing w:line="360" w:lineRule="auto"/>
        <w:jc w:val="center"/>
        <w:outlineLvl w:val="0"/>
        <w:rPr>
          <w:rFonts w:hAnsi="宋体"/>
          <w:color w:val="auto"/>
          <w:sz w:val="32"/>
          <w:szCs w:val="32"/>
          <w:highlight w:val="none"/>
        </w:rPr>
      </w:pPr>
    </w:p>
    <w:bookmarkEnd w:id="14"/>
    <w:bookmarkEnd w:id="15"/>
    <w:p w14:paraId="3D546153">
      <w:pPr>
        <w:spacing w:beforeLines="50" w:afterLines="50" w:line="460" w:lineRule="atLeast"/>
        <w:ind w:right="-10"/>
        <w:jc w:val="center"/>
        <w:rPr>
          <w:rFonts w:ascii="宋体" w:hAnsi="宋体"/>
          <w:b/>
          <w:color w:val="auto"/>
          <w:sz w:val="36"/>
          <w:highlight w:val="none"/>
        </w:rPr>
      </w:pPr>
      <w:r>
        <w:rPr>
          <w:rFonts w:hint="eastAsia" w:ascii="宋体" w:hAnsi="宋体"/>
          <w:color w:val="auto"/>
          <w:sz w:val="36"/>
          <w:szCs w:val="36"/>
          <w:highlight w:val="none"/>
        </w:rPr>
        <w:t>第</w:t>
      </w:r>
      <w:r>
        <w:rPr>
          <w:rFonts w:hint="eastAsia" w:ascii="宋体" w:hAnsi="宋体"/>
          <w:color w:val="auto"/>
          <w:sz w:val="36"/>
          <w:szCs w:val="36"/>
          <w:highlight w:val="none"/>
          <w:lang w:val="en-US" w:eastAsia="zh-CN"/>
        </w:rPr>
        <w:t>六</w:t>
      </w:r>
      <w:r>
        <w:rPr>
          <w:rFonts w:hint="eastAsia" w:ascii="宋体" w:hAnsi="宋体"/>
          <w:color w:val="auto"/>
          <w:sz w:val="36"/>
          <w:szCs w:val="36"/>
          <w:highlight w:val="none"/>
        </w:rPr>
        <w:t>部分   评审办法</w:t>
      </w:r>
    </w:p>
    <w:p w14:paraId="4E6B1445">
      <w:pPr>
        <w:snapToGrid w:val="0"/>
        <w:spacing w:line="460" w:lineRule="exact"/>
        <w:ind w:firstLine="540"/>
        <w:rPr>
          <w:rFonts w:ascii="宋体" w:hAnsi="宋体"/>
          <w:color w:val="auto"/>
          <w:sz w:val="22"/>
          <w:szCs w:val="22"/>
          <w:highlight w:val="none"/>
        </w:rPr>
      </w:pPr>
      <w:r>
        <w:rPr>
          <w:rFonts w:hint="eastAsia" w:ascii="宋体" w:hAnsi="宋体"/>
          <w:color w:val="auto"/>
          <w:sz w:val="22"/>
          <w:szCs w:val="22"/>
          <w:highlight w:val="none"/>
        </w:rPr>
        <w:t>根据《中华人民共和国政府采购法》等有关政府采购法规，结合本次所要采购服务的实际，按照公平、公正、科学、择优的原则选择成交单位，特制定本评审办法。</w:t>
      </w:r>
    </w:p>
    <w:p w14:paraId="7B2DBCB1">
      <w:pPr>
        <w:spacing w:line="360" w:lineRule="auto"/>
        <w:rPr>
          <w:rFonts w:hint="eastAsia" w:ascii="宋体" w:hAnsi="宋体"/>
          <w:b/>
          <w:color w:val="auto"/>
          <w:szCs w:val="21"/>
          <w:highlight w:val="none"/>
        </w:rPr>
      </w:pPr>
      <w:r>
        <w:rPr>
          <w:rFonts w:hint="eastAsia" w:ascii="宋体" w:hAnsi="宋体"/>
          <w:b/>
          <w:color w:val="auto"/>
          <w:szCs w:val="21"/>
          <w:highlight w:val="none"/>
        </w:rPr>
        <w:t>一、总  则</w:t>
      </w:r>
    </w:p>
    <w:p w14:paraId="7FFB427A">
      <w:pPr>
        <w:spacing w:line="360" w:lineRule="auto"/>
        <w:ind w:left="439" w:leftChars="209"/>
        <w:rPr>
          <w:rFonts w:hint="eastAsia" w:ascii="宋体" w:hAnsi="宋体"/>
          <w:color w:val="auto"/>
          <w:szCs w:val="21"/>
          <w:highlight w:val="none"/>
        </w:rPr>
      </w:pPr>
      <w:r>
        <w:rPr>
          <w:rFonts w:hint="eastAsia" w:ascii="宋体" w:hAnsi="宋体"/>
          <w:color w:val="auto"/>
          <w:szCs w:val="21"/>
          <w:highlight w:val="none"/>
        </w:rPr>
        <w:t>评审工作遵循“公平、公正、科学、择优”原则和“诚实、信誉、效率”的服务原则。最大限度的保护采购人权益，严格按照</w:t>
      </w:r>
      <w:r>
        <w:rPr>
          <w:rFonts w:hint="eastAsia" w:ascii="宋体" w:hAnsi="宋体"/>
          <w:color w:val="auto"/>
          <w:szCs w:val="21"/>
          <w:highlight w:val="none"/>
          <w:lang w:eastAsia="zh-CN"/>
        </w:rPr>
        <w:t>采购文件</w:t>
      </w:r>
      <w:r>
        <w:rPr>
          <w:rFonts w:hint="eastAsia" w:ascii="宋体" w:hAnsi="宋体"/>
          <w:color w:val="auto"/>
          <w:szCs w:val="21"/>
          <w:highlight w:val="none"/>
        </w:rPr>
        <w:t>的要求，对报价文件进行综合评审。报价</w:t>
      </w:r>
      <w:r>
        <w:rPr>
          <w:rFonts w:hint="eastAsia" w:ascii="宋体" w:hAnsi="宋体"/>
          <w:color w:val="auto"/>
          <w:szCs w:val="21"/>
          <w:highlight w:val="none"/>
          <w:lang w:eastAsia="zh-CN"/>
        </w:rPr>
        <w:t>供应商</w:t>
      </w:r>
      <w:r>
        <w:rPr>
          <w:rFonts w:hint="eastAsia" w:ascii="宋体" w:hAnsi="宋体"/>
          <w:color w:val="auto"/>
          <w:szCs w:val="21"/>
          <w:highlight w:val="none"/>
        </w:rPr>
        <w:t>不得以任何方式干扰招投标工作的进行，一经发现其报价文件将被拒绝。</w:t>
      </w:r>
    </w:p>
    <w:p w14:paraId="3A4F8295">
      <w:pPr>
        <w:spacing w:line="360" w:lineRule="auto"/>
        <w:rPr>
          <w:rFonts w:hint="eastAsia" w:ascii="宋体" w:hAnsi="宋体"/>
          <w:b/>
          <w:color w:val="auto"/>
          <w:szCs w:val="21"/>
          <w:highlight w:val="none"/>
        </w:rPr>
      </w:pPr>
      <w:r>
        <w:rPr>
          <w:rFonts w:hint="eastAsia" w:ascii="宋体" w:hAnsi="宋体"/>
          <w:b/>
          <w:color w:val="auto"/>
          <w:szCs w:val="21"/>
          <w:highlight w:val="none"/>
        </w:rPr>
        <w:t>二、谈判程序</w:t>
      </w:r>
    </w:p>
    <w:p w14:paraId="4E2E7877">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1．采购人按照</w:t>
      </w:r>
      <w:r>
        <w:rPr>
          <w:rFonts w:hint="eastAsia" w:ascii="宋体" w:hAnsi="宋体"/>
          <w:color w:val="auto"/>
          <w:szCs w:val="21"/>
          <w:highlight w:val="none"/>
          <w:lang w:eastAsia="zh-CN"/>
        </w:rPr>
        <w:t>采购文件</w:t>
      </w:r>
      <w:r>
        <w:rPr>
          <w:rFonts w:hint="eastAsia" w:ascii="宋体" w:hAnsi="宋体"/>
          <w:color w:val="auto"/>
          <w:szCs w:val="21"/>
          <w:highlight w:val="none"/>
        </w:rPr>
        <w:t>规定的时间、地点准时进行谈判。</w:t>
      </w:r>
    </w:p>
    <w:p w14:paraId="2EE1A7D3">
      <w:pPr>
        <w:spacing w:line="360" w:lineRule="auto"/>
        <w:ind w:left="569" w:leftChars="171" w:hanging="210" w:hangingChars="100"/>
        <w:rPr>
          <w:rFonts w:hint="eastAsia" w:ascii="宋体" w:hAnsi="宋体"/>
          <w:color w:val="auto"/>
          <w:szCs w:val="21"/>
          <w:highlight w:val="none"/>
        </w:rPr>
      </w:pPr>
      <w:r>
        <w:rPr>
          <w:rFonts w:hint="eastAsia" w:ascii="宋体" w:hAnsi="宋体"/>
          <w:color w:val="auto"/>
          <w:szCs w:val="21"/>
          <w:highlight w:val="none"/>
        </w:rPr>
        <w:t>2．谈判开始，首先由谈判小组成员检验所有报价</w:t>
      </w:r>
      <w:r>
        <w:rPr>
          <w:rFonts w:hint="eastAsia" w:ascii="宋体" w:hAnsi="宋体"/>
          <w:color w:val="auto"/>
          <w:szCs w:val="21"/>
          <w:highlight w:val="none"/>
          <w:lang w:eastAsia="zh-CN"/>
        </w:rPr>
        <w:t>供应商</w:t>
      </w:r>
      <w:r>
        <w:rPr>
          <w:rFonts w:hint="eastAsia" w:ascii="宋体" w:hAnsi="宋体"/>
          <w:color w:val="auto"/>
          <w:szCs w:val="21"/>
          <w:highlight w:val="none"/>
        </w:rPr>
        <w:t>的法定代表人授权书报价</w:t>
      </w:r>
      <w:r>
        <w:rPr>
          <w:rFonts w:hint="eastAsia" w:ascii="宋体" w:hAnsi="宋体"/>
          <w:color w:val="auto"/>
          <w:szCs w:val="21"/>
          <w:highlight w:val="none"/>
          <w:lang w:eastAsia="zh-CN"/>
        </w:rPr>
        <w:t>供应商</w:t>
      </w:r>
      <w:r>
        <w:rPr>
          <w:rFonts w:hint="eastAsia" w:ascii="宋体" w:hAnsi="宋体"/>
          <w:color w:val="auto"/>
          <w:szCs w:val="21"/>
          <w:highlight w:val="none"/>
        </w:rPr>
        <w:t>代表有效身份证件和营业执照副本复印件（加盖报价</w:t>
      </w:r>
      <w:r>
        <w:rPr>
          <w:rFonts w:hint="eastAsia" w:ascii="宋体" w:hAnsi="宋体"/>
          <w:color w:val="auto"/>
          <w:szCs w:val="21"/>
          <w:highlight w:val="none"/>
          <w:lang w:eastAsia="zh-CN"/>
        </w:rPr>
        <w:t>供应商</w:t>
      </w:r>
      <w:r>
        <w:rPr>
          <w:rFonts w:hint="eastAsia" w:ascii="宋体" w:hAnsi="宋体"/>
          <w:color w:val="auto"/>
          <w:szCs w:val="21"/>
          <w:highlight w:val="none"/>
        </w:rPr>
        <w:t>公章），以确认其报价资格。</w:t>
      </w:r>
    </w:p>
    <w:p w14:paraId="2542056B">
      <w:pPr>
        <w:spacing w:line="360" w:lineRule="auto"/>
        <w:ind w:left="538" w:leftChars="156" w:hanging="210" w:hangingChars="100"/>
        <w:rPr>
          <w:rFonts w:hint="eastAsia" w:ascii="宋体" w:hAnsi="宋体"/>
          <w:color w:val="auto"/>
          <w:szCs w:val="21"/>
          <w:highlight w:val="none"/>
        </w:rPr>
      </w:pPr>
      <w:r>
        <w:rPr>
          <w:rFonts w:hint="eastAsia" w:ascii="宋体" w:hAnsi="宋体"/>
          <w:color w:val="auto"/>
          <w:szCs w:val="21"/>
          <w:highlight w:val="none"/>
        </w:rPr>
        <w:t>3．谈判小组根据</w:t>
      </w:r>
      <w:r>
        <w:rPr>
          <w:rFonts w:hint="eastAsia" w:ascii="宋体" w:hAnsi="宋体"/>
          <w:color w:val="auto"/>
          <w:szCs w:val="21"/>
          <w:highlight w:val="none"/>
          <w:lang w:eastAsia="zh-CN"/>
        </w:rPr>
        <w:t>采购文件</w:t>
      </w:r>
      <w:r>
        <w:rPr>
          <w:rFonts w:hint="eastAsia" w:ascii="宋体" w:hAnsi="宋体"/>
          <w:color w:val="auto"/>
          <w:szCs w:val="21"/>
          <w:highlight w:val="none"/>
        </w:rPr>
        <w:t>的规定，对报价文件的有效性、完整性和对</w:t>
      </w:r>
      <w:r>
        <w:rPr>
          <w:rFonts w:hint="eastAsia" w:ascii="宋体" w:hAnsi="宋体"/>
          <w:color w:val="auto"/>
          <w:szCs w:val="21"/>
          <w:highlight w:val="none"/>
          <w:lang w:eastAsia="zh-CN"/>
        </w:rPr>
        <w:t>采购文件</w:t>
      </w:r>
      <w:r>
        <w:rPr>
          <w:rFonts w:hint="eastAsia" w:ascii="宋体" w:hAnsi="宋体"/>
          <w:color w:val="auto"/>
          <w:szCs w:val="21"/>
          <w:highlight w:val="none"/>
        </w:rPr>
        <w:t>的响应程度进行审查，以确定其是否对</w:t>
      </w:r>
      <w:r>
        <w:rPr>
          <w:rFonts w:hint="eastAsia" w:ascii="宋体" w:hAnsi="宋体"/>
          <w:color w:val="auto"/>
          <w:szCs w:val="21"/>
          <w:highlight w:val="none"/>
          <w:lang w:eastAsia="zh-CN"/>
        </w:rPr>
        <w:t>采购文件</w:t>
      </w:r>
      <w:r>
        <w:rPr>
          <w:rFonts w:hint="eastAsia" w:ascii="宋体" w:hAnsi="宋体"/>
          <w:color w:val="auto"/>
          <w:szCs w:val="21"/>
          <w:highlight w:val="none"/>
        </w:rPr>
        <w:t>作出了实质性响应</w:t>
      </w:r>
      <w:r>
        <w:rPr>
          <w:rFonts w:hint="eastAsia" w:ascii="宋体" w:hAnsi="宋体"/>
          <w:color w:val="auto"/>
          <w:szCs w:val="21"/>
          <w:highlight w:val="none"/>
          <w:lang w:eastAsia="zh-CN"/>
        </w:rPr>
        <w:t>，</w:t>
      </w:r>
      <w:r>
        <w:rPr>
          <w:rFonts w:hint="eastAsia"/>
          <w:color w:val="auto"/>
          <w:sz w:val="21"/>
          <w:szCs w:val="21"/>
          <w:highlight w:val="none"/>
        </w:rPr>
        <w:t>响应文件必须满足产品中</w:t>
      </w:r>
      <w:r>
        <w:rPr>
          <w:rFonts w:hint="eastAsia"/>
          <w:b w:val="0"/>
          <w:bCs w:val="0"/>
          <w:color w:val="auto"/>
          <w:sz w:val="21"/>
          <w:szCs w:val="21"/>
          <w:highlight w:val="none"/>
        </w:rPr>
        <w:t>带⭐参数</w:t>
      </w:r>
      <w:r>
        <w:rPr>
          <w:rFonts w:hint="eastAsia"/>
          <w:color w:val="auto"/>
          <w:sz w:val="21"/>
          <w:szCs w:val="21"/>
          <w:highlight w:val="none"/>
        </w:rPr>
        <w:t>要求，不能满足产品所有参数视为</w:t>
      </w:r>
      <w:r>
        <w:rPr>
          <w:rFonts w:hint="eastAsia"/>
          <w:color w:val="auto"/>
          <w:sz w:val="21"/>
          <w:szCs w:val="21"/>
          <w:highlight w:val="none"/>
          <w:lang w:val="en-US" w:eastAsia="zh-CN"/>
        </w:rPr>
        <w:t>废</w:t>
      </w:r>
      <w:r>
        <w:rPr>
          <w:rFonts w:hint="eastAsia"/>
          <w:color w:val="auto"/>
          <w:sz w:val="21"/>
          <w:szCs w:val="21"/>
          <w:highlight w:val="none"/>
        </w:rPr>
        <w:t>标</w:t>
      </w:r>
      <w:r>
        <w:rPr>
          <w:rFonts w:hint="eastAsia" w:ascii="宋体" w:hAnsi="宋体"/>
          <w:color w:val="auto"/>
          <w:sz w:val="21"/>
          <w:szCs w:val="21"/>
          <w:highlight w:val="none"/>
        </w:rPr>
        <w:t>。</w:t>
      </w:r>
      <w:r>
        <w:rPr>
          <w:rFonts w:hint="eastAsia" w:ascii="宋体" w:hAnsi="宋体"/>
          <w:color w:val="auto"/>
          <w:szCs w:val="21"/>
          <w:highlight w:val="none"/>
        </w:rPr>
        <w:t>实质上没有响应</w:t>
      </w:r>
      <w:r>
        <w:rPr>
          <w:rFonts w:hint="eastAsia" w:ascii="宋体" w:hAnsi="宋体"/>
          <w:color w:val="auto"/>
          <w:szCs w:val="21"/>
          <w:highlight w:val="none"/>
          <w:lang w:eastAsia="zh-CN"/>
        </w:rPr>
        <w:t>采购文件</w:t>
      </w:r>
      <w:r>
        <w:rPr>
          <w:rFonts w:hint="eastAsia" w:ascii="宋体" w:hAnsi="宋体"/>
          <w:color w:val="auto"/>
          <w:szCs w:val="21"/>
          <w:highlight w:val="none"/>
        </w:rPr>
        <w:t>要求的报价将被拒绝。谈判小组对报价文件是否实质上响应</w:t>
      </w:r>
      <w:r>
        <w:rPr>
          <w:rFonts w:hint="eastAsia" w:ascii="宋体" w:hAnsi="宋体"/>
          <w:color w:val="auto"/>
          <w:szCs w:val="21"/>
          <w:highlight w:val="none"/>
          <w:lang w:eastAsia="zh-CN"/>
        </w:rPr>
        <w:t>采购文件</w:t>
      </w:r>
      <w:r>
        <w:rPr>
          <w:rFonts w:hint="eastAsia" w:ascii="宋体" w:hAnsi="宋体"/>
          <w:color w:val="auto"/>
          <w:szCs w:val="21"/>
          <w:highlight w:val="none"/>
        </w:rPr>
        <w:t>的要求是根据报价文件本书而不是依据外部证明。</w:t>
      </w:r>
    </w:p>
    <w:p w14:paraId="4F50086A">
      <w:pPr>
        <w:snapToGrid w:val="0"/>
        <w:spacing w:line="360" w:lineRule="auto"/>
        <w:ind w:left="643" w:leftChars="156" w:hanging="315" w:hangingChars="150"/>
        <w:textAlignment w:val="bottom"/>
        <w:rPr>
          <w:rFonts w:hint="eastAsia" w:ascii="宋体" w:hAnsi="宋体"/>
          <w:color w:val="auto"/>
          <w:szCs w:val="21"/>
          <w:highlight w:val="none"/>
        </w:rPr>
      </w:pPr>
      <w:r>
        <w:rPr>
          <w:rFonts w:hint="eastAsia" w:ascii="宋体" w:hAnsi="宋体"/>
          <w:color w:val="auto"/>
          <w:szCs w:val="21"/>
          <w:highlight w:val="none"/>
        </w:rPr>
        <w:t>4．谈判小组将对通过初审的报价文件进行评审，评审时，所有谈判小组成员与单一</w:t>
      </w:r>
      <w:r>
        <w:rPr>
          <w:rFonts w:hint="eastAsia" w:ascii="宋体" w:hAnsi="宋体"/>
          <w:color w:val="auto"/>
          <w:szCs w:val="21"/>
          <w:highlight w:val="none"/>
          <w:lang w:eastAsia="zh-CN"/>
        </w:rPr>
        <w:t>供应商</w:t>
      </w:r>
      <w:r>
        <w:rPr>
          <w:rFonts w:hint="eastAsia" w:ascii="宋体" w:hAnsi="宋体"/>
          <w:color w:val="auto"/>
          <w:szCs w:val="21"/>
          <w:highlight w:val="none"/>
        </w:rPr>
        <w:t>进行封闭式谈判，谈判内容主要包括报价</w:t>
      </w:r>
      <w:r>
        <w:rPr>
          <w:rFonts w:hint="eastAsia" w:ascii="宋体" w:hAnsi="宋体"/>
          <w:color w:val="auto"/>
          <w:szCs w:val="21"/>
          <w:highlight w:val="none"/>
          <w:lang w:eastAsia="zh-CN"/>
        </w:rPr>
        <w:t>供应商</w:t>
      </w:r>
      <w:r>
        <w:rPr>
          <w:rFonts w:hint="eastAsia" w:ascii="宋体" w:hAnsi="宋体"/>
          <w:color w:val="auto"/>
          <w:szCs w:val="21"/>
          <w:highlight w:val="none"/>
        </w:rPr>
        <w:t>提供服务的价格、技术性能、质量水平和保证措施、实施方案、售后服务及承诺、培训计划、履约能力、付款方式等方面进行谈判和综合分析考评，然后根据谈判的结果对报价文件进行综合评审。在谈判过程中，谈判的任何一方不得透露与谈判有关的其他谈判</w:t>
      </w:r>
      <w:r>
        <w:rPr>
          <w:rFonts w:hint="eastAsia" w:ascii="宋体" w:hAnsi="宋体"/>
          <w:color w:val="auto"/>
          <w:szCs w:val="21"/>
          <w:highlight w:val="none"/>
          <w:lang w:eastAsia="zh-CN"/>
        </w:rPr>
        <w:t>供应商</w:t>
      </w:r>
      <w:r>
        <w:rPr>
          <w:rFonts w:hint="eastAsia" w:ascii="宋体" w:hAnsi="宋体"/>
          <w:color w:val="auto"/>
          <w:szCs w:val="21"/>
          <w:highlight w:val="none"/>
        </w:rPr>
        <w:t>的技术资料、价格和其他括信息。</w:t>
      </w:r>
    </w:p>
    <w:p w14:paraId="72B229C9">
      <w:pPr>
        <w:snapToGrid w:val="0"/>
        <w:spacing w:line="360" w:lineRule="auto"/>
        <w:ind w:left="538" w:leftChars="156" w:hanging="210" w:hangingChars="100"/>
        <w:textAlignment w:val="bottom"/>
        <w:rPr>
          <w:rFonts w:hint="eastAsia" w:ascii="宋体" w:hAnsi="宋体"/>
          <w:color w:val="auto"/>
          <w:szCs w:val="21"/>
          <w:highlight w:val="none"/>
        </w:rPr>
      </w:pPr>
      <w:r>
        <w:rPr>
          <w:rFonts w:hint="eastAsia" w:ascii="宋体" w:hAnsi="宋体"/>
          <w:color w:val="auto"/>
          <w:szCs w:val="21"/>
          <w:highlight w:val="none"/>
        </w:rPr>
        <w:t>5．评审过程中报价</w:t>
      </w:r>
      <w:r>
        <w:rPr>
          <w:rFonts w:hint="eastAsia" w:ascii="宋体" w:hAnsi="宋体"/>
          <w:color w:val="auto"/>
          <w:szCs w:val="21"/>
          <w:highlight w:val="none"/>
          <w:lang w:eastAsia="zh-CN"/>
        </w:rPr>
        <w:t>供应商</w:t>
      </w:r>
      <w:r>
        <w:rPr>
          <w:rFonts w:hint="eastAsia" w:ascii="宋体" w:hAnsi="宋体"/>
          <w:color w:val="auto"/>
          <w:szCs w:val="21"/>
          <w:highlight w:val="none"/>
        </w:rPr>
        <w:t>有义务对谈判小组提出就报价文件中含义不明确、同类问题表述不一致或者有明显的文字和计算错误的内容进行澄清、说明、或者纠正。并在谈判结束前，对澄清、说明或者纠正的相关内容以书面形式进行最终确认承诺，并由报价</w:t>
      </w:r>
      <w:r>
        <w:rPr>
          <w:rFonts w:hint="eastAsia" w:ascii="宋体" w:hAnsi="宋体"/>
          <w:color w:val="auto"/>
          <w:szCs w:val="21"/>
          <w:highlight w:val="none"/>
          <w:lang w:eastAsia="zh-CN"/>
        </w:rPr>
        <w:t>供应商</w:t>
      </w:r>
      <w:r>
        <w:rPr>
          <w:rFonts w:hint="eastAsia" w:ascii="宋体" w:hAnsi="宋体"/>
          <w:color w:val="auto"/>
          <w:szCs w:val="21"/>
          <w:highlight w:val="none"/>
        </w:rPr>
        <w:t>代表签字，但不得改变报价文件的实质性内容。</w:t>
      </w:r>
    </w:p>
    <w:p w14:paraId="383912A2">
      <w:pPr>
        <w:snapToGrid w:val="0"/>
        <w:spacing w:line="360" w:lineRule="auto"/>
        <w:ind w:left="643" w:leftChars="156" w:hanging="315" w:hangingChars="150"/>
        <w:textAlignment w:val="bottom"/>
        <w:rPr>
          <w:rFonts w:hint="eastAsia" w:ascii="宋体" w:hAnsi="宋体"/>
          <w:color w:val="auto"/>
          <w:szCs w:val="21"/>
          <w:highlight w:val="none"/>
        </w:rPr>
      </w:pPr>
      <w:r>
        <w:rPr>
          <w:rFonts w:hint="eastAsia" w:ascii="宋体" w:hAnsi="宋体"/>
          <w:color w:val="auto"/>
          <w:szCs w:val="21"/>
          <w:highlight w:val="none"/>
        </w:rPr>
        <w:t>6．在谈判过程中，报价</w:t>
      </w:r>
      <w:r>
        <w:rPr>
          <w:rFonts w:hint="eastAsia" w:ascii="宋体" w:hAnsi="宋体"/>
          <w:color w:val="auto"/>
          <w:szCs w:val="21"/>
          <w:highlight w:val="none"/>
          <w:lang w:eastAsia="zh-CN"/>
        </w:rPr>
        <w:t>供应商</w:t>
      </w:r>
      <w:r>
        <w:rPr>
          <w:rFonts w:hint="eastAsia" w:ascii="宋体" w:hAnsi="宋体"/>
          <w:color w:val="auto"/>
          <w:szCs w:val="21"/>
          <w:highlight w:val="none"/>
        </w:rPr>
        <w:t>不得向谈判小组成员询问谈判情况，不得进行旨在影响谈判结果的活动，否则将取消其谈判资格，不予退还</w:t>
      </w:r>
      <w:r>
        <w:rPr>
          <w:rFonts w:hint="eastAsia" w:ascii="宋体" w:hAnsi="宋体"/>
          <w:color w:val="auto"/>
          <w:szCs w:val="21"/>
          <w:highlight w:val="none"/>
          <w:lang w:eastAsia="zh-CN"/>
        </w:rPr>
        <w:t>投标</w:t>
      </w:r>
      <w:r>
        <w:rPr>
          <w:rFonts w:hint="eastAsia" w:ascii="宋体" w:hAnsi="宋体"/>
          <w:color w:val="auto"/>
          <w:szCs w:val="21"/>
          <w:highlight w:val="none"/>
        </w:rPr>
        <w:t>保证金。</w:t>
      </w:r>
    </w:p>
    <w:p w14:paraId="48A0AEE5">
      <w:pPr>
        <w:snapToGrid w:val="0"/>
        <w:spacing w:line="360" w:lineRule="auto"/>
        <w:ind w:left="643" w:leftChars="156" w:hanging="315" w:hangingChars="150"/>
        <w:textAlignment w:val="bottom"/>
        <w:rPr>
          <w:rFonts w:hint="eastAsia" w:ascii="宋体" w:hAnsi="宋体"/>
          <w:color w:val="auto"/>
          <w:szCs w:val="21"/>
          <w:highlight w:val="none"/>
        </w:rPr>
      </w:pPr>
      <w:r>
        <w:rPr>
          <w:rFonts w:hint="eastAsia" w:ascii="宋体" w:hAnsi="宋体"/>
          <w:color w:val="auto"/>
          <w:szCs w:val="21"/>
          <w:highlight w:val="none"/>
        </w:rPr>
        <w:t>7．在谈判过程中，谈判小组成员不得与报价</w:t>
      </w:r>
      <w:r>
        <w:rPr>
          <w:rFonts w:hint="eastAsia" w:ascii="宋体" w:hAnsi="宋体"/>
          <w:color w:val="auto"/>
          <w:szCs w:val="21"/>
          <w:highlight w:val="none"/>
          <w:lang w:eastAsia="zh-CN"/>
        </w:rPr>
        <w:t>供应商</w:t>
      </w:r>
      <w:r>
        <w:rPr>
          <w:rFonts w:hint="eastAsia" w:ascii="宋体" w:hAnsi="宋体"/>
          <w:color w:val="auto"/>
          <w:szCs w:val="21"/>
          <w:highlight w:val="none"/>
        </w:rPr>
        <w:t>私下交换意见，在竞争性谈判结束后，凡与谈判情况有接触的人不得将谈判情况扩散出谈判小组成员外。</w:t>
      </w:r>
    </w:p>
    <w:p w14:paraId="20A76D9A">
      <w:pPr>
        <w:snapToGrid w:val="0"/>
        <w:spacing w:line="360" w:lineRule="auto"/>
        <w:ind w:left="643" w:leftChars="156" w:hanging="315" w:hangingChars="150"/>
        <w:textAlignment w:val="bottom"/>
        <w:rPr>
          <w:rFonts w:hint="eastAsia" w:ascii="宋体" w:hAnsi="宋体"/>
          <w:color w:val="auto"/>
          <w:szCs w:val="21"/>
          <w:highlight w:val="none"/>
        </w:rPr>
      </w:pPr>
      <w:r>
        <w:rPr>
          <w:rFonts w:hint="eastAsia" w:ascii="宋体" w:hAnsi="宋体"/>
          <w:color w:val="auto"/>
          <w:szCs w:val="21"/>
          <w:highlight w:val="none"/>
        </w:rPr>
        <w:t>8．全部谈判结束后，谈判小组应要求所有参加谈判的</w:t>
      </w:r>
      <w:r>
        <w:rPr>
          <w:rFonts w:hint="eastAsia" w:ascii="宋体" w:hAnsi="宋体"/>
          <w:color w:val="auto"/>
          <w:szCs w:val="21"/>
          <w:highlight w:val="none"/>
          <w:lang w:eastAsia="zh-CN"/>
        </w:rPr>
        <w:t>供应商</w:t>
      </w:r>
      <w:r>
        <w:rPr>
          <w:rFonts w:hint="eastAsia" w:ascii="宋体" w:hAnsi="宋体"/>
          <w:color w:val="auto"/>
          <w:szCs w:val="21"/>
          <w:highlight w:val="none"/>
        </w:rPr>
        <w:t>在规定的时间内背靠背进行最后报价。</w:t>
      </w:r>
    </w:p>
    <w:p w14:paraId="05D0F268">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9．宣布最终报价</w:t>
      </w:r>
    </w:p>
    <w:p w14:paraId="15E8D49D">
      <w:pPr>
        <w:snapToGrid w:val="0"/>
        <w:spacing w:line="360" w:lineRule="auto"/>
        <w:ind w:left="643" w:leftChars="306"/>
        <w:textAlignment w:val="bottom"/>
        <w:rPr>
          <w:rFonts w:hint="eastAsia" w:ascii="宋体" w:hAnsi="宋体"/>
          <w:color w:val="auto"/>
          <w:szCs w:val="21"/>
          <w:highlight w:val="none"/>
        </w:rPr>
      </w:pPr>
      <w:r>
        <w:rPr>
          <w:rFonts w:hint="eastAsia" w:ascii="宋体" w:hAnsi="宋体"/>
          <w:color w:val="auto"/>
          <w:szCs w:val="21"/>
          <w:highlight w:val="none"/>
        </w:rPr>
        <w:t>宣布最终报价时邀请所有谈判</w:t>
      </w:r>
      <w:r>
        <w:rPr>
          <w:rFonts w:hint="eastAsia" w:ascii="宋体" w:hAnsi="宋体"/>
          <w:color w:val="auto"/>
          <w:szCs w:val="21"/>
          <w:highlight w:val="none"/>
          <w:lang w:eastAsia="zh-CN"/>
        </w:rPr>
        <w:t>供应商</w:t>
      </w:r>
      <w:r>
        <w:rPr>
          <w:rFonts w:hint="eastAsia" w:ascii="宋体" w:hAnsi="宋体"/>
          <w:color w:val="auto"/>
          <w:szCs w:val="21"/>
          <w:highlight w:val="none"/>
        </w:rPr>
        <w:t>代表参加，参加的代表应准时出席并签名报到以证明其出席。谈判</w:t>
      </w:r>
      <w:r>
        <w:rPr>
          <w:rFonts w:hint="eastAsia" w:ascii="宋体" w:hAnsi="宋体"/>
          <w:color w:val="auto"/>
          <w:szCs w:val="21"/>
          <w:highlight w:val="none"/>
          <w:lang w:eastAsia="zh-CN"/>
        </w:rPr>
        <w:t>供应商</w:t>
      </w:r>
      <w:r>
        <w:rPr>
          <w:rFonts w:hint="eastAsia" w:ascii="宋体" w:hAnsi="宋体"/>
          <w:color w:val="auto"/>
          <w:szCs w:val="21"/>
          <w:highlight w:val="none"/>
        </w:rPr>
        <w:t>代表未参加开标会的，事后不得对谈判结果提出异议。谈判</w:t>
      </w:r>
      <w:r>
        <w:rPr>
          <w:rFonts w:hint="eastAsia" w:ascii="宋体" w:hAnsi="宋体"/>
          <w:color w:val="auto"/>
          <w:szCs w:val="21"/>
          <w:highlight w:val="none"/>
          <w:lang w:eastAsia="zh-CN"/>
        </w:rPr>
        <w:t>供应商</w:t>
      </w:r>
      <w:r>
        <w:rPr>
          <w:rFonts w:hint="eastAsia" w:ascii="宋体" w:hAnsi="宋体"/>
          <w:color w:val="auto"/>
          <w:szCs w:val="21"/>
          <w:highlight w:val="none"/>
        </w:rPr>
        <w:t>代表应对最终报价的内容及记录结果当场进行校核和签字确认，如有异议应当场提出，否则视为默许同意。</w:t>
      </w:r>
    </w:p>
    <w:p w14:paraId="3FCA7726">
      <w:pPr>
        <w:spacing w:line="360" w:lineRule="auto"/>
        <w:ind w:left="632" w:hanging="632" w:hangingChars="300"/>
        <w:rPr>
          <w:rFonts w:hint="eastAsia" w:ascii="宋体" w:hAnsi="宋体"/>
          <w:b/>
          <w:color w:val="auto"/>
          <w:szCs w:val="21"/>
          <w:highlight w:val="none"/>
        </w:rPr>
      </w:pPr>
      <w:r>
        <w:rPr>
          <w:rFonts w:hint="eastAsia" w:ascii="宋体" w:hAnsi="宋体"/>
          <w:b/>
          <w:color w:val="auto"/>
          <w:szCs w:val="21"/>
          <w:highlight w:val="none"/>
        </w:rPr>
        <w:t>三、成交</w:t>
      </w:r>
      <w:r>
        <w:rPr>
          <w:rFonts w:hint="eastAsia" w:ascii="宋体" w:hAnsi="宋体"/>
          <w:b/>
          <w:color w:val="auto"/>
          <w:szCs w:val="21"/>
          <w:highlight w:val="none"/>
          <w:lang w:eastAsia="zh-CN"/>
        </w:rPr>
        <w:t>供应商</w:t>
      </w:r>
      <w:r>
        <w:rPr>
          <w:rFonts w:hint="eastAsia" w:ascii="宋体" w:hAnsi="宋体"/>
          <w:b/>
          <w:color w:val="auto"/>
          <w:szCs w:val="21"/>
          <w:highlight w:val="none"/>
        </w:rPr>
        <w:t>确定原则</w:t>
      </w:r>
    </w:p>
    <w:p w14:paraId="31BF1386">
      <w:pPr>
        <w:spacing w:line="360" w:lineRule="auto"/>
        <w:ind w:left="420" w:leftChars="200"/>
        <w:rPr>
          <w:rFonts w:hint="eastAsia" w:ascii="宋体" w:hAnsi="宋体"/>
          <w:color w:val="auto"/>
          <w:szCs w:val="21"/>
          <w:highlight w:val="none"/>
        </w:rPr>
      </w:pPr>
      <w:r>
        <w:rPr>
          <w:rFonts w:hint="eastAsia" w:ascii="宋体" w:hAnsi="宋体"/>
          <w:color w:val="auto"/>
          <w:szCs w:val="21"/>
          <w:highlight w:val="none"/>
        </w:rPr>
        <w:t>谈判小组根据符合采购需求、质量和服务相等且报价最低的原则向采购人推荐成交</w:t>
      </w:r>
      <w:r>
        <w:rPr>
          <w:rFonts w:hint="eastAsia" w:ascii="宋体" w:hAnsi="宋体"/>
          <w:color w:val="auto"/>
          <w:szCs w:val="21"/>
          <w:highlight w:val="none"/>
          <w:lang w:eastAsia="zh-CN"/>
        </w:rPr>
        <w:t>供应商</w:t>
      </w:r>
      <w:r>
        <w:rPr>
          <w:rFonts w:hint="eastAsia" w:ascii="宋体" w:hAnsi="宋体"/>
          <w:color w:val="auto"/>
          <w:szCs w:val="21"/>
          <w:highlight w:val="none"/>
        </w:rPr>
        <w:t>。排名前两名的报价</w:t>
      </w:r>
      <w:r>
        <w:rPr>
          <w:rFonts w:hint="eastAsia" w:ascii="宋体" w:hAnsi="宋体"/>
          <w:color w:val="auto"/>
          <w:szCs w:val="21"/>
          <w:highlight w:val="none"/>
          <w:lang w:eastAsia="zh-CN"/>
        </w:rPr>
        <w:t>供应商</w:t>
      </w:r>
      <w:r>
        <w:rPr>
          <w:rFonts w:hint="eastAsia" w:ascii="宋体" w:hAnsi="宋体"/>
          <w:color w:val="auto"/>
          <w:szCs w:val="21"/>
          <w:highlight w:val="none"/>
        </w:rPr>
        <w:t>依次作为该项目的第一成交候选</w:t>
      </w:r>
      <w:r>
        <w:rPr>
          <w:rFonts w:hint="eastAsia" w:ascii="宋体" w:hAnsi="宋体"/>
          <w:color w:val="auto"/>
          <w:szCs w:val="21"/>
          <w:highlight w:val="none"/>
          <w:lang w:eastAsia="zh-CN"/>
        </w:rPr>
        <w:t>供应商</w:t>
      </w:r>
      <w:r>
        <w:rPr>
          <w:rFonts w:hint="eastAsia" w:ascii="宋体" w:hAnsi="宋体"/>
          <w:color w:val="auto"/>
          <w:szCs w:val="21"/>
          <w:highlight w:val="none"/>
        </w:rPr>
        <w:t>和第二成交候选</w:t>
      </w:r>
      <w:r>
        <w:rPr>
          <w:rFonts w:hint="eastAsia" w:ascii="宋体" w:hAnsi="宋体"/>
          <w:color w:val="auto"/>
          <w:szCs w:val="21"/>
          <w:highlight w:val="none"/>
          <w:lang w:eastAsia="zh-CN"/>
        </w:rPr>
        <w:t>供应商</w:t>
      </w:r>
      <w:r>
        <w:rPr>
          <w:rFonts w:hint="eastAsia" w:ascii="宋体" w:hAnsi="宋体"/>
          <w:color w:val="auto"/>
          <w:szCs w:val="21"/>
          <w:highlight w:val="none"/>
        </w:rPr>
        <w:t>，并提交评审报告。</w:t>
      </w:r>
    </w:p>
    <w:p w14:paraId="49BECB09">
      <w:pPr>
        <w:spacing w:line="360" w:lineRule="auto"/>
        <w:ind w:left="632" w:hanging="632" w:hangingChars="300"/>
        <w:rPr>
          <w:rFonts w:hint="eastAsia" w:ascii="宋体" w:hAnsi="宋体"/>
          <w:b/>
          <w:color w:val="auto"/>
          <w:szCs w:val="21"/>
          <w:highlight w:val="none"/>
        </w:rPr>
      </w:pPr>
      <w:r>
        <w:rPr>
          <w:rFonts w:hint="eastAsia" w:ascii="宋体" w:hAnsi="宋体"/>
          <w:b/>
          <w:color w:val="auto"/>
          <w:szCs w:val="21"/>
          <w:highlight w:val="none"/>
        </w:rPr>
        <w:t>四、定标办法</w:t>
      </w:r>
    </w:p>
    <w:p w14:paraId="592189EF">
      <w:pPr>
        <w:spacing w:line="360" w:lineRule="auto"/>
        <w:ind w:left="439" w:leftChars="209"/>
        <w:rPr>
          <w:rFonts w:hint="eastAsia" w:ascii="宋体" w:hAnsi="宋体"/>
          <w:color w:val="auto"/>
          <w:szCs w:val="21"/>
          <w:highlight w:val="none"/>
        </w:rPr>
      </w:pPr>
      <w:r>
        <w:rPr>
          <w:rFonts w:hint="eastAsia" w:ascii="宋体" w:hAnsi="宋体"/>
          <w:color w:val="auto"/>
          <w:szCs w:val="21"/>
          <w:highlight w:val="none"/>
        </w:rPr>
        <w:t>本次采购由谈判小组成员直接确定成交</w:t>
      </w:r>
      <w:r>
        <w:rPr>
          <w:rFonts w:hint="eastAsia" w:ascii="宋体" w:hAnsi="宋体"/>
          <w:color w:val="auto"/>
          <w:szCs w:val="21"/>
          <w:highlight w:val="none"/>
          <w:lang w:eastAsia="zh-CN"/>
        </w:rPr>
        <w:t>供应商</w:t>
      </w:r>
      <w:r>
        <w:rPr>
          <w:rFonts w:ascii="宋体" w:hAnsi="宋体"/>
          <w:color w:val="auto"/>
          <w:szCs w:val="21"/>
          <w:highlight w:val="none"/>
        </w:rPr>
        <w:t>。</w:t>
      </w:r>
    </w:p>
    <w:p w14:paraId="4D06ADF6">
      <w:pPr>
        <w:spacing w:line="360" w:lineRule="auto"/>
        <w:ind w:left="439"/>
        <w:rPr>
          <w:rFonts w:hint="eastAsia" w:ascii="宋体" w:hAnsi="宋体"/>
          <w:color w:val="auto"/>
          <w:szCs w:val="21"/>
          <w:highlight w:val="none"/>
        </w:rPr>
      </w:pPr>
      <w:r>
        <w:rPr>
          <w:rFonts w:hint="eastAsia" w:ascii="宋体" w:hAnsi="宋体"/>
          <w:color w:val="auto"/>
          <w:szCs w:val="21"/>
          <w:highlight w:val="none"/>
        </w:rPr>
        <w:t>排名第一的成交候选人放弃成交或因不可抗力提出不能履行合同；或者</w:t>
      </w:r>
      <w:r>
        <w:rPr>
          <w:rFonts w:hint="eastAsia" w:ascii="宋体" w:hAnsi="宋体"/>
          <w:color w:val="auto"/>
          <w:szCs w:val="21"/>
          <w:highlight w:val="none"/>
          <w:lang w:eastAsia="zh-CN"/>
        </w:rPr>
        <w:t>采购文件</w:t>
      </w:r>
      <w:r>
        <w:rPr>
          <w:rFonts w:hint="eastAsia" w:ascii="宋体" w:hAnsi="宋体"/>
          <w:color w:val="auto"/>
          <w:szCs w:val="21"/>
          <w:highlight w:val="none"/>
        </w:rPr>
        <w:t>规定应当提交履约保证金而在规定的期限内未能提交的；或未能在规定时间内与采购单位签订合同的；或者经质疑，建设单位审查后，确认因排名第一的候选人在本次采购活动中存在违法违规行为或其他原因使质疑成立的，建设单位可以直接确定排名第二的成交候选人为成交</w:t>
      </w:r>
      <w:r>
        <w:rPr>
          <w:rFonts w:hint="eastAsia" w:ascii="宋体" w:hAnsi="宋体"/>
          <w:color w:val="auto"/>
          <w:szCs w:val="21"/>
          <w:highlight w:val="none"/>
          <w:lang w:eastAsia="zh-CN"/>
        </w:rPr>
        <w:t>供应商</w:t>
      </w:r>
      <w:r>
        <w:rPr>
          <w:rFonts w:hint="eastAsia" w:ascii="宋体" w:hAnsi="宋体"/>
          <w:color w:val="auto"/>
          <w:szCs w:val="21"/>
          <w:highlight w:val="none"/>
        </w:rPr>
        <w:t>。</w:t>
      </w:r>
    </w:p>
    <w:p w14:paraId="37285407">
      <w:pPr>
        <w:pStyle w:val="2"/>
        <w:tabs>
          <w:tab w:val="left" w:pos="2115"/>
        </w:tabs>
        <w:adjustRightInd w:val="0"/>
        <w:snapToGrid w:val="0"/>
        <w:spacing w:line="360" w:lineRule="auto"/>
        <w:rPr>
          <w:rFonts w:hint="eastAsia" w:ascii="宋体" w:hAnsi="宋体" w:eastAsia="宋体"/>
          <w:b/>
          <w:color w:val="auto"/>
          <w:szCs w:val="21"/>
          <w:highlight w:val="none"/>
          <w:lang w:eastAsia="zh-CN"/>
        </w:rPr>
      </w:pPr>
      <w:r>
        <w:rPr>
          <w:rFonts w:hint="eastAsia" w:ascii="宋体" w:hAnsi="宋体"/>
          <w:b/>
          <w:color w:val="auto"/>
          <w:szCs w:val="21"/>
          <w:highlight w:val="none"/>
        </w:rPr>
        <w:t>五、确定成交</w:t>
      </w:r>
      <w:r>
        <w:rPr>
          <w:rFonts w:hint="eastAsia" w:ascii="宋体" w:hAnsi="宋体"/>
          <w:b/>
          <w:color w:val="auto"/>
          <w:szCs w:val="21"/>
          <w:highlight w:val="none"/>
          <w:lang w:eastAsia="zh-CN"/>
        </w:rPr>
        <w:t>供应商</w:t>
      </w:r>
    </w:p>
    <w:p w14:paraId="41E8AB99">
      <w:pPr>
        <w:spacing w:line="360" w:lineRule="auto"/>
        <w:ind w:left="439" w:leftChars="209"/>
        <w:rPr>
          <w:rFonts w:hint="eastAsia" w:ascii="宋体" w:hAnsi="宋体"/>
          <w:color w:val="auto"/>
          <w:szCs w:val="21"/>
          <w:highlight w:val="none"/>
        </w:rPr>
      </w:pPr>
      <w:r>
        <w:rPr>
          <w:rFonts w:hint="eastAsia" w:ascii="宋体" w:hAnsi="宋体"/>
          <w:color w:val="auto"/>
          <w:szCs w:val="21"/>
          <w:highlight w:val="none"/>
        </w:rPr>
        <w:t>谈判结束后，</w:t>
      </w:r>
      <w:r>
        <w:rPr>
          <w:rFonts w:hint="eastAsia" w:ascii="宋体" w:hAnsi="宋体"/>
          <w:color w:val="auto"/>
          <w:szCs w:val="21"/>
          <w:highlight w:val="none"/>
          <w:lang w:val="en-US" w:eastAsia="zh-CN"/>
        </w:rPr>
        <w:t>采购人向成交供应商发出成交通知书，</w:t>
      </w:r>
      <w:r>
        <w:rPr>
          <w:rFonts w:hint="eastAsia" w:ascii="宋体" w:hAnsi="宋体"/>
          <w:color w:val="auto"/>
          <w:szCs w:val="21"/>
          <w:highlight w:val="none"/>
          <w:lang w:eastAsia="zh-CN"/>
        </w:rPr>
        <w:t>成交通知书</w:t>
      </w:r>
      <w:r>
        <w:rPr>
          <w:rFonts w:hint="eastAsia" w:ascii="宋体" w:hAnsi="宋体"/>
          <w:color w:val="auto"/>
          <w:szCs w:val="21"/>
          <w:highlight w:val="none"/>
        </w:rPr>
        <w:t>对采购人和</w:t>
      </w:r>
      <w:r>
        <w:rPr>
          <w:rFonts w:hint="eastAsia" w:ascii="宋体" w:hAnsi="宋体"/>
          <w:color w:val="auto"/>
          <w:szCs w:val="21"/>
          <w:highlight w:val="none"/>
          <w:lang w:eastAsia="zh-CN"/>
        </w:rPr>
        <w:t>成交供应商</w:t>
      </w:r>
      <w:r>
        <w:rPr>
          <w:rFonts w:hint="eastAsia" w:ascii="宋体" w:hAnsi="宋体"/>
          <w:color w:val="auto"/>
          <w:szCs w:val="21"/>
          <w:highlight w:val="none"/>
        </w:rPr>
        <w:t>具有同等法律效力。</w:t>
      </w:r>
    </w:p>
    <w:p w14:paraId="36FBC5E8">
      <w:pPr>
        <w:pStyle w:val="2"/>
        <w:adjustRightInd w:val="0"/>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六、报价</w:t>
      </w:r>
      <w:r>
        <w:rPr>
          <w:rFonts w:hint="eastAsia" w:ascii="宋体" w:hAnsi="宋体"/>
          <w:b/>
          <w:color w:val="auto"/>
          <w:szCs w:val="21"/>
          <w:highlight w:val="none"/>
          <w:lang w:eastAsia="zh-CN"/>
        </w:rPr>
        <w:t>供应商</w:t>
      </w:r>
      <w:r>
        <w:rPr>
          <w:rFonts w:hint="eastAsia" w:ascii="宋体" w:hAnsi="宋体"/>
          <w:b/>
          <w:color w:val="auto"/>
          <w:szCs w:val="21"/>
          <w:highlight w:val="none"/>
        </w:rPr>
        <w:t>的义务</w:t>
      </w:r>
    </w:p>
    <w:p w14:paraId="765FB27B">
      <w:pPr>
        <w:spacing w:line="360" w:lineRule="auto"/>
        <w:ind w:left="439" w:leftChars="209"/>
        <w:rPr>
          <w:rFonts w:hint="eastAsia" w:ascii="宋体" w:hAnsi="宋体"/>
          <w:color w:val="auto"/>
          <w:szCs w:val="21"/>
          <w:highlight w:val="none"/>
        </w:rPr>
      </w:pPr>
      <w:r>
        <w:rPr>
          <w:rFonts w:hint="eastAsia" w:ascii="宋体" w:hAnsi="宋体"/>
          <w:color w:val="auto"/>
          <w:szCs w:val="21"/>
          <w:highlight w:val="none"/>
        </w:rPr>
        <w:t>报价</w:t>
      </w:r>
      <w:r>
        <w:rPr>
          <w:rFonts w:hint="eastAsia" w:ascii="宋体" w:hAnsi="宋体"/>
          <w:color w:val="auto"/>
          <w:szCs w:val="21"/>
          <w:highlight w:val="none"/>
          <w:lang w:eastAsia="zh-CN"/>
        </w:rPr>
        <w:t>供应商</w:t>
      </w:r>
      <w:r>
        <w:rPr>
          <w:rFonts w:hint="eastAsia" w:ascii="宋体" w:hAnsi="宋体"/>
          <w:color w:val="auto"/>
          <w:szCs w:val="21"/>
          <w:highlight w:val="none"/>
        </w:rPr>
        <w:t>应随时接受谈判小组成员的询标，解答包括有关的技术问题等。</w:t>
      </w:r>
    </w:p>
    <w:p w14:paraId="27118E69">
      <w:pPr>
        <w:pStyle w:val="11"/>
        <w:ind w:firstLine="0" w:firstLineChars="0"/>
        <w:rPr>
          <w:rFonts w:ascii="宋体" w:hAnsi="宋体" w:cs="Arial"/>
          <w:color w:val="auto"/>
          <w:sz w:val="22"/>
          <w:szCs w:val="22"/>
          <w:highlight w:val="none"/>
        </w:rPr>
      </w:pPr>
    </w:p>
    <w:sectPr>
      <w:headerReference r:id="rId16" w:type="default"/>
      <w:footerReference r:id="rId17" w:type="default"/>
      <w:pgSz w:w="11907" w:h="16840"/>
      <w:pgMar w:top="1417" w:right="1417" w:bottom="1417" w:left="141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159B">
    <w:pPr>
      <w:pStyle w:val="34"/>
      <w:jc w:val="both"/>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DA513">
    <w:pPr>
      <w:pStyle w:val="34"/>
      <w:ind w:right="360" w:firstLine="4410" w:firstLineChars="245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1A4AB">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14:paraId="3961A4AB">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9B7F3">
    <w:pPr>
      <w:pStyle w:val="3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749799">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7B749799">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3C29">
    <w:pPr>
      <w:pStyle w:val="34"/>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72264C">
                          <w:pPr>
                            <w:pStyle w:val="3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372264C">
                    <w:pPr>
                      <w:pStyle w:val="3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4DCB">
    <w:pPr>
      <w:pStyle w:val="34"/>
      <w:framePr w:wrap="around" w:vAnchor="text" w:hAnchor="margin" w:xAlign="center" w:y="1"/>
      <w:rPr>
        <w:rStyle w:val="53"/>
      </w:rPr>
    </w:pPr>
    <w:r>
      <w:fldChar w:fldCharType="begin"/>
    </w:r>
    <w:r>
      <w:rPr>
        <w:rStyle w:val="53"/>
      </w:rPr>
      <w:instrText xml:space="preserve">PAGE  </w:instrText>
    </w:r>
    <w:r>
      <w:fldChar w:fldCharType="end"/>
    </w:r>
  </w:p>
  <w:p w14:paraId="70F90EAA">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23A3">
    <w:pPr>
      <w:pStyle w:val="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57DC">
    <w:pPr>
      <w:pStyle w:val="34"/>
      <w:jc w:val="both"/>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2790A">
                          <w:pPr>
                            <w:pStyle w:val="3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02790A">
                    <w:pPr>
                      <w:pStyle w:val="3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6339">
    <w:pPr>
      <w:pStyle w:val="3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3A0B2">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F3A0B2">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5D31">
    <w:pPr>
      <w:pStyle w:val="34"/>
      <w:jc w:val="both"/>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6C6F2D">
                          <w:pPr>
                            <w:pStyle w:val="3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F6C6F2D">
                    <w:pPr>
                      <w:pStyle w:val="3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E5D5">
    <w:pPr>
      <w:pStyle w:val="3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2DB823">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C2DB823">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BEA7">
    <w:pPr>
      <w:pStyle w:val="34"/>
      <w:jc w:val="center"/>
    </w:pPr>
    <w:r>
      <w:fldChar w:fldCharType="begin"/>
    </w:r>
    <w:r>
      <w:instrText xml:space="preserve"> PAGE   \* MERGEFORMAT </w:instrText>
    </w:r>
    <w:r>
      <w:fldChar w:fldCharType="separate"/>
    </w:r>
    <w:r>
      <w:rPr>
        <w:lang w:val="zh-CN"/>
      </w:rPr>
      <w:t>91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B681">
    <w:pPr>
      <w:pStyle w:val="34"/>
      <w:jc w:val="center"/>
    </w:pPr>
    <w:r>
      <w:fldChar w:fldCharType="begin"/>
    </w:r>
    <w:r>
      <w:instrText xml:space="preserve"> PAGE   \* MERGEFORMAT </w:instrText>
    </w:r>
    <w:r>
      <w:fldChar w:fldCharType="separate"/>
    </w:r>
    <w:r>
      <w:rPr>
        <w:lang w:val="zh-CN"/>
      </w:rPr>
      <w:t>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CD92">
    <w:pPr>
      <w:pStyle w:val="35"/>
      <w:pBdr>
        <w:bottom w:val="none" w:color="auto" w:sz="0" w:space="1"/>
      </w:pBdr>
      <w:ind w:firstLine="360" w:firstLineChars="200"/>
      <w:jc w:val="both"/>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B516">
    <w:pPr>
      <w:pStyle w:val="35"/>
      <w:pBdr>
        <w:bottom w:val="none" w:color="auto" w:sz="0" w:space="1"/>
      </w:pBdr>
      <w:ind w:firstLine="1260" w:firstLineChars="600"/>
      <w:jc w:val="both"/>
    </w:pPr>
    <w:r>
      <w:rPr>
        <w:rFonts w:hint="eastAsia"/>
        <w:sz w:val="21"/>
        <w:szCs w:val="21"/>
      </w:rPr>
      <w:t xml:space="preserve">               </w:t>
    </w:r>
  </w:p>
  <w:p w14:paraId="57A9FF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A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EADCD"/>
    <w:multiLevelType w:val="singleLevel"/>
    <w:tmpl w:val="D41EADCD"/>
    <w:lvl w:ilvl="0" w:tentative="0">
      <w:start w:val="1"/>
      <w:numFmt w:val="decimal"/>
      <w:suff w:val="nothing"/>
      <w:lvlText w:val="（%1）"/>
      <w:lvlJc w:val="left"/>
      <w:pPr>
        <w:ind w:left="-10"/>
      </w:pPr>
    </w:lvl>
  </w:abstractNum>
  <w:abstractNum w:abstractNumId="1">
    <w:nsid w:val="F33897B1"/>
    <w:multiLevelType w:val="singleLevel"/>
    <w:tmpl w:val="F33897B1"/>
    <w:lvl w:ilvl="0" w:tentative="0">
      <w:start w:val="1"/>
      <w:numFmt w:val="decimal"/>
      <w:suff w:val="nothing"/>
      <w:lvlText w:val="%1、"/>
      <w:lvlJc w:val="left"/>
    </w:lvl>
  </w:abstractNum>
  <w:abstractNum w:abstractNumId="2">
    <w:nsid w:val="0596CFEB"/>
    <w:multiLevelType w:val="singleLevel"/>
    <w:tmpl w:val="0596CFEB"/>
    <w:lvl w:ilvl="0" w:tentative="0">
      <w:start w:val="1"/>
      <w:numFmt w:val="decimal"/>
      <w:suff w:val="nothing"/>
      <w:lvlText w:val="%1、"/>
      <w:lvlJc w:val="left"/>
    </w:lvl>
  </w:abstractNum>
  <w:abstractNum w:abstractNumId="3">
    <w:nsid w:val="5538D65C"/>
    <w:multiLevelType w:val="singleLevel"/>
    <w:tmpl w:val="5538D65C"/>
    <w:lvl w:ilvl="0" w:tentative="0">
      <w:start w:val="1"/>
      <w:numFmt w:val="decimal"/>
      <w:suff w:val="nothing"/>
      <w:lvlText w:val="%1．"/>
      <w:lvlJc w:val="left"/>
      <w:pPr>
        <w:widowControl/>
        <w:ind w:left="593" w:firstLine="400"/>
        <w:textAlignment w:val="baseline"/>
      </w:pPr>
    </w:lvl>
  </w:abstractNum>
  <w:abstractNum w:abstractNumId="4">
    <w:nsid w:val="771B1688"/>
    <w:multiLevelType w:val="singleLevel"/>
    <w:tmpl w:val="771B1688"/>
    <w:lvl w:ilvl="0" w:tentative="0">
      <w:start w:val="2"/>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DFlZTdkYjQ4ZGEzYjNkYmEzZGE1NTFmNjBjMDcifQ=="/>
  </w:docVars>
  <w:rsids>
    <w:rsidRoot w:val="000C44DD"/>
    <w:rsid w:val="00000170"/>
    <w:rsid w:val="000002D7"/>
    <w:rsid w:val="000003B1"/>
    <w:rsid w:val="0000134D"/>
    <w:rsid w:val="000020CE"/>
    <w:rsid w:val="00002FE4"/>
    <w:rsid w:val="00003A05"/>
    <w:rsid w:val="00003DF6"/>
    <w:rsid w:val="00003E64"/>
    <w:rsid w:val="0000441B"/>
    <w:rsid w:val="000044EC"/>
    <w:rsid w:val="00004B15"/>
    <w:rsid w:val="000051FA"/>
    <w:rsid w:val="000052DB"/>
    <w:rsid w:val="0000754C"/>
    <w:rsid w:val="00010A6E"/>
    <w:rsid w:val="00010D50"/>
    <w:rsid w:val="0001273A"/>
    <w:rsid w:val="000129C3"/>
    <w:rsid w:val="00012E11"/>
    <w:rsid w:val="000136A1"/>
    <w:rsid w:val="00013CA4"/>
    <w:rsid w:val="00013D4A"/>
    <w:rsid w:val="000142CB"/>
    <w:rsid w:val="00014AC9"/>
    <w:rsid w:val="000157E5"/>
    <w:rsid w:val="00015BAC"/>
    <w:rsid w:val="000161B6"/>
    <w:rsid w:val="000162DC"/>
    <w:rsid w:val="00016639"/>
    <w:rsid w:val="00016FCC"/>
    <w:rsid w:val="00017446"/>
    <w:rsid w:val="000209C5"/>
    <w:rsid w:val="0002168F"/>
    <w:rsid w:val="00021FA1"/>
    <w:rsid w:val="000221C8"/>
    <w:rsid w:val="000228EC"/>
    <w:rsid w:val="0002368B"/>
    <w:rsid w:val="000242C5"/>
    <w:rsid w:val="00024552"/>
    <w:rsid w:val="00024D2C"/>
    <w:rsid w:val="00025300"/>
    <w:rsid w:val="00025365"/>
    <w:rsid w:val="000257F8"/>
    <w:rsid w:val="00025C73"/>
    <w:rsid w:val="00026129"/>
    <w:rsid w:val="00026D7D"/>
    <w:rsid w:val="00026E26"/>
    <w:rsid w:val="00027834"/>
    <w:rsid w:val="00027CD3"/>
    <w:rsid w:val="0003010B"/>
    <w:rsid w:val="0003082A"/>
    <w:rsid w:val="0003094F"/>
    <w:rsid w:val="00031282"/>
    <w:rsid w:val="000313EA"/>
    <w:rsid w:val="0003200E"/>
    <w:rsid w:val="00032847"/>
    <w:rsid w:val="00033E77"/>
    <w:rsid w:val="00034241"/>
    <w:rsid w:val="000345CC"/>
    <w:rsid w:val="00034722"/>
    <w:rsid w:val="00034E79"/>
    <w:rsid w:val="00035909"/>
    <w:rsid w:val="00035E48"/>
    <w:rsid w:val="00035F1A"/>
    <w:rsid w:val="000362E9"/>
    <w:rsid w:val="0003663D"/>
    <w:rsid w:val="000367D8"/>
    <w:rsid w:val="00037136"/>
    <w:rsid w:val="000374D7"/>
    <w:rsid w:val="000377B6"/>
    <w:rsid w:val="00037BB6"/>
    <w:rsid w:val="000400CD"/>
    <w:rsid w:val="0004025F"/>
    <w:rsid w:val="00040737"/>
    <w:rsid w:val="00040C69"/>
    <w:rsid w:val="00040CC1"/>
    <w:rsid w:val="00040E62"/>
    <w:rsid w:val="0004254A"/>
    <w:rsid w:val="0004282D"/>
    <w:rsid w:val="000429C8"/>
    <w:rsid w:val="00042EF3"/>
    <w:rsid w:val="00043801"/>
    <w:rsid w:val="00043B8E"/>
    <w:rsid w:val="00043B8F"/>
    <w:rsid w:val="00043D37"/>
    <w:rsid w:val="00043EC9"/>
    <w:rsid w:val="00043F7F"/>
    <w:rsid w:val="000442AE"/>
    <w:rsid w:val="000455C9"/>
    <w:rsid w:val="0004595C"/>
    <w:rsid w:val="00045CF1"/>
    <w:rsid w:val="00046344"/>
    <w:rsid w:val="00046F00"/>
    <w:rsid w:val="00051E33"/>
    <w:rsid w:val="00051FBE"/>
    <w:rsid w:val="000521ED"/>
    <w:rsid w:val="000526E2"/>
    <w:rsid w:val="00052F6C"/>
    <w:rsid w:val="00053166"/>
    <w:rsid w:val="00053961"/>
    <w:rsid w:val="000541CD"/>
    <w:rsid w:val="000542BF"/>
    <w:rsid w:val="0005494A"/>
    <w:rsid w:val="0005680C"/>
    <w:rsid w:val="000579AE"/>
    <w:rsid w:val="00057E3E"/>
    <w:rsid w:val="00060786"/>
    <w:rsid w:val="00060B32"/>
    <w:rsid w:val="0006121B"/>
    <w:rsid w:val="00061393"/>
    <w:rsid w:val="00061E81"/>
    <w:rsid w:val="00061FD8"/>
    <w:rsid w:val="00061FEA"/>
    <w:rsid w:val="0006205B"/>
    <w:rsid w:val="000623A3"/>
    <w:rsid w:val="00062415"/>
    <w:rsid w:val="0006285A"/>
    <w:rsid w:val="00062E44"/>
    <w:rsid w:val="00064EB5"/>
    <w:rsid w:val="00064F1E"/>
    <w:rsid w:val="00065DBA"/>
    <w:rsid w:val="0006675C"/>
    <w:rsid w:val="00067869"/>
    <w:rsid w:val="00067CA8"/>
    <w:rsid w:val="00070EFE"/>
    <w:rsid w:val="00071460"/>
    <w:rsid w:val="00071702"/>
    <w:rsid w:val="00071C1E"/>
    <w:rsid w:val="00072255"/>
    <w:rsid w:val="0007286B"/>
    <w:rsid w:val="0007340C"/>
    <w:rsid w:val="000735C8"/>
    <w:rsid w:val="0007449C"/>
    <w:rsid w:val="000746ED"/>
    <w:rsid w:val="00075916"/>
    <w:rsid w:val="00075DDA"/>
    <w:rsid w:val="00076505"/>
    <w:rsid w:val="0007707C"/>
    <w:rsid w:val="00077C79"/>
    <w:rsid w:val="00080110"/>
    <w:rsid w:val="000807BC"/>
    <w:rsid w:val="0008142C"/>
    <w:rsid w:val="00081B79"/>
    <w:rsid w:val="0008382C"/>
    <w:rsid w:val="000844CA"/>
    <w:rsid w:val="00086A41"/>
    <w:rsid w:val="0008719C"/>
    <w:rsid w:val="00087385"/>
    <w:rsid w:val="000877E6"/>
    <w:rsid w:val="0009013E"/>
    <w:rsid w:val="00090952"/>
    <w:rsid w:val="000913F0"/>
    <w:rsid w:val="00091E40"/>
    <w:rsid w:val="00091FA2"/>
    <w:rsid w:val="00092DA2"/>
    <w:rsid w:val="00094123"/>
    <w:rsid w:val="000944EA"/>
    <w:rsid w:val="00095843"/>
    <w:rsid w:val="00096269"/>
    <w:rsid w:val="0009639C"/>
    <w:rsid w:val="000963A7"/>
    <w:rsid w:val="0009658E"/>
    <w:rsid w:val="00096CA9"/>
    <w:rsid w:val="000972AF"/>
    <w:rsid w:val="000974D8"/>
    <w:rsid w:val="00097800"/>
    <w:rsid w:val="000A01F0"/>
    <w:rsid w:val="000A03CB"/>
    <w:rsid w:val="000A08B7"/>
    <w:rsid w:val="000A1D6D"/>
    <w:rsid w:val="000A220F"/>
    <w:rsid w:val="000A25D9"/>
    <w:rsid w:val="000A2AE8"/>
    <w:rsid w:val="000A472B"/>
    <w:rsid w:val="000A5ACA"/>
    <w:rsid w:val="000A5C1D"/>
    <w:rsid w:val="000A69DC"/>
    <w:rsid w:val="000A6D17"/>
    <w:rsid w:val="000A7286"/>
    <w:rsid w:val="000A7524"/>
    <w:rsid w:val="000A7C29"/>
    <w:rsid w:val="000A7FA8"/>
    <w:rsid w:val="000B0AFB"/>
    <w:rsid w:val="000B0DDF"/>
    <w:rsid w:val="000B3199"/>
    <w:rsid w:val="000B3B17"/>
    <w:rsid w:val="000B3FB5"/>
    <w:rsid w:val="000B4027"/>
    <w:rsid w:val="000B48D1"/>
    <w:rsid w:val="000B524E"/>
    <w:rsid w:val="000B55C0"/>
    <w:rsid w:val="000C08A2"/>
    <w:rsid w:val="000C13A8"/>
    <w:rsid w:val="000C1CBF"/>
    <w:rsid w:val="000C230E"/>
    <w:rsid w:val="000C299B"/>
    <w:rsid w:val="000C2E04"/>
    <w:rsid w:val="000C3E37"/>
    <w:rsid w:val="000C3F56"/>
    <w:rsid w:val="000C4221"/>
    <w:rsid w:val="000C42A7"/>
    <w:rsid w:val="000C44DD"/>
    <w:rsid w:val="000C4764"/>
    <w:rsid w:val="000C47F7"/>
    <w:rsid w:val="000C4F21"/>
    <w:rsid w:val="000C55A9"/>
    <w:rsid w:val="000C628C"/>
    <w:rsid w:val="000C66CA"/>
    <w:rsid w:val="000C66E4"/>
    <w:rsid w:val="000D04A8"/>
    <w:rsid w:val="000D09D3"/>
    <w:rsid w:val="000D0E0D"/>
    <w:rsid w:val="000D2676"/>
    <w:rsid w:val="000D27D9"/>
    <w:rsid w:val="000D316E"/>
    <w:rsid w:val="000D31B2"/>
    <w:rsid w:val="000D4DDB"/>
    <w:rsid w:val="000D5A02"/>
    <w:rsid w:val="000D5BAF"/>
    <w:rsid w:val="000D5CA5"/>
    <w:rsid w:val="000D5DB7"/>
    <w:rsid w:val="000D5F2A"/>
    <w:rsid w:val="000D6164"/>
    <w:rsid w:val="000D7339"/>
    <w:rsid w:val="000D7460"/>
    <w:rsid w:val="000D74D0"/>
    <w:rsid w:val="000D7759"/>
    <w:rsid w:val="000E045E"/>
    <w:rsid w:val="000E0920"/>
    <w:rsid w:val="000E0D53"/>
    <w:rsid w:val="000E1594"/>
    <w:rsid w:val="000E16DB"/>
    <w:rsid w:val="000E1A36"/>
    <w:rsid w:val="000E1ABD"/>
    <w:rsid w:val="000E1E75"/>
    <w:rsid w:val="000E22C0"/>
    <w:rsid w:val="000E2E1E"/>
    <w:rsid w:val="000E3285"/>
    <w:rsid w:val="000E3480"/>
    <w:rsid w:val="000E399C"/>
    <w:rsid w:val="000E3C2A"/>
    <w:rsid w:val="000E484B"/>
    <w:rsid w:val="000E4CEC"/>
    <w:rsid w:val="000E5135"/>
    <w:rsid w:val="000E542C"/>
    <w:rsid w:val="000E5544"/>
    <w:rsid w:val="000E610D"/>
    <w:rsid w:val="000F0779"/>
    <w:rsid w:val="000F15E3"/>
    <w:rsid w:val="000F187E"/>
    <w:rsid w:val="000F249B"/>
    <w:rsid w:val="000F2546"/>
    <w:rsid w:val="000F2B51"/>
    <w:rsid w:val="000F439A"/>
    <w:rsid w:val="000F567D"/>
    <w:rsid w:val="000F5CEA"/>
    <w:rsid w:val="000F780A"/>
    <w:rsid w:val="00100337"/>
    <w:rsid w:val="00100B91"/>
    <w:rsid w:val="001010B5"/>
    <w:rsid w:val="0010138A"/>
    <w:rsid w:val="00101C9A"/>
    <w:rsid w:val="00101EF5"/>
    <w:rsid w:val="00101F79"/>
    <w:rsid w:val="00102E51"/>
    <w:rsid w:val="001036E2"/>
    <w:rsid w:val="001040E7"/>
    <w:rsid w:val="00104EF6"/>
    <w:rsid w:val="001051EF"/>
    <w:rsid w:val="00105F01"/>
    <w:rsid w:val="00106CED"/>
    <w:rsid w:val="00106E47"/>
    <w:rsid w:val="00107291"/>
    <w:rsid w:val="00107651"/>
    <w:rsid w:val="00110131"/>
    <w:rsid w:val="00110587"/>
    <w:rsid w:val="001110A3"/>
    <w:rsid w:val="001116E6"/>
    <w:rsid w:val="0011190E"/>
    <w:rsid w:val="00112739"/>
    <w:rsid w:val="00112798"/>
    <w:rsid w:val="00112908"/>
    <w:rsid w:val="00112BE1"/>
    <w:rsid w:val="00112FC4"/>
    <w:rsid w:val="001134E6"/>
    <w:rsid w:val="00113C49"/>
    <w:rsid w:val="00114001"/>
    <w:rsid w:val="001145AF"/>
    <w:rsid w:val="001145D2"/>
    <w:rsid w:val="001169E8"/>
    <w:rsid w:val="00117088"/>
    <w:rsid w:val="001175E4"/>
    <w:rsid w:val="0011797D"/>
    <w:rsid w:val="00121809"/>
    <w:rsid w:val="00121931"/>
    <w:rsid w:val="001219CE"/>
    <w:rsid w:val="00121AA9"/>
    <w:rsid w:val="00124086"/>
    <w:rsid w:val="001244BB"/>
    <w:rsid w:val="00124A3D"/>
    <w:rsid w:val="00125270"/>
    <w:rsid w:val="00126026"/>
    <w:rsid w:val="00126074"/>
    <w:rsid w:val="001262E7"/>
    <w:rsid w:val="00126ACF"/>
    <w:rsid w:val="00126D87"/>
    <w:rsid w:val="00126DB2"/>
    <w:rsid w:val="00127032"/>
    <w:rsid w:val="001273D6"/>
    <w:rsid w:val="00127790"/>
    <w:rsid w:val="00130BDA"/>
    <w:rsid w:val="001313B2"/>
    <w:rsid w:val="00132BD7"/>
    <w:rsid w:val="00133761"/>
    <w:rsid w:val="001351C5"/>
    <w:rsid w:val="001356CC"/>
    <w:rsid w:val="00136762"/>
    <w:rsid w:val="00137782"/>
    <w:rsid w:val="00137C56"/>
    <w:rsid w:val="00137CEA"/>
    <w:rsid w:val="001412C6"/>
    <w:rsid w:val="00141579"/>
    <w:rsid w:val="001421D0"/>
    <w:rsid w:val="00142643"/>
    <w:rsid w:val="0014294B"/>
    <w:rsid w:val="001429DF"/>
    <w:rsid w:val="0014358D"/>
    <w:rsid w:val="00143A56"/>
    <w:rsid w:val="00143B1B"/>
    <w:rsid w:val="00143B51"/>
    <w:rsid w:val="0014459C"/>
    <w:rsid w:val="00144760"/>
    <w:rsid w:val="001448DC"/>
    <w:rsid w:val="001448F7"/>
    <w:rsid w:val="00145848"/>
    <w:rsid w:val="00145C6F"/>
    <w:rsid w:val="0014628D"/>
    <w:rsid w:val="001464D8"/>
    <w:rsid w:val="00146584"/>
    <w:rsid w:val="0014752A"/>
    <w:rsid w:val="001500A6"/>
    <w:rsid w:val="001516E7"/>
    <w:rsid w:val="001525FA"/>
    <w:rsid w:val="00152C33"/>
    <w:rsid w:val="001540BE"/>
    <w:rsid w:val="0015449D"/>
    <w:rsid w:val="00154982"/>
    <w:rsid w:val="0015683D"/>
    <w:rsid w:val="00156DD2"/>
    <w:rsid w:val="001579AD"/>
    <w:rsid w:val="00157CD1"/>
    <w:rsid w:val="00157E3D"/>
    <w:rsid w:val="0016051A"/>
    <w:rsid w:val="00160B08"/>
    <w:rsid w:val="001612AA"/>
    <w:rsid w:val="001612DA"/>
    <w:rsid w:val="001614AF"/>
    <w:rsid w:val="00162A54"/>
    <w:rsid w:val="00164F49"/>
    <w:rsid w:val="001652BF"/>
    <w:rsid w:val="00165836"/>
    <w:rsid w:val="00165855"/>
    <w:rsid w:val="00165D54"/>
    <w:rsid w:val="00167217"/>
    <w:rsid w:val="001678BE"/>
    <w:rsid w:val="00170D89"/>
    <w:rsid w:val="001713F6"/>
    <w:rsid w:val="00172049"/>
    <w:rsid w:val="00172CC6"/>
    <w:rsid w:val="00172E4B"/>
    <w:rsid w:val="0017397B"/>
    <w:rsid w:val="00173CA7"/>
    <w:rsid w:val="00174A98"/>
    <w:rsid w:val="00174B6F"/>
    <w:rsid w:val="00175836"/>
    <w:rsid w:val="0017590D"/>
    <w:rsid w:val="00175E8B"/>
    <w:rsid w:val="001764D0"/>
    <w:rsid w:val="00176B7F"/>
    <w:rsid w:val="00176C15"/>
    <w:rsid w:val="00176E0E"/>
    <w:rsid w:val="001776D3"/>
    <w:rsid w:val="00177CB0"/>
    <w:rsid w:val="0018010F"/>
    <w:rsid w:val="001808C8"/>
    <w:rsid w:val="001812B2"/>
    <w:rsid w:val="001814E7"/>
    <w:rsid w:val="00181816"/>
    <w:rsid w:val="00182A7B"/>
    <w:rsid w:val="00182AF0"/>
    <w:rsid w:val="00183575"/>
    <w:rsid w:val="00183A06"/>
    <w:rsid w:val="00183BCA"/>
    <w:rsid w:val="00183E52"/>
    <w:rsid w:val="0018415F"/>
    <w:rsid w:val="001841E0"/>
    <w:rsid w:val="00184929"/>
    <w:rsid w:val="00185DEA"/>
    <w:rsid w:val="00186E61"/>
    <w:rsid w:val="0018710F"/>
    <w:rsid w:val="00190A4A"/>
    <w:rsid w:val="00190DB4"/>
    <w:rsid w:val="00190E31"/>
    <w:rsid w:val="00190F5D"/>
    <w:rsid w:val="00191A62"/>
    <w:rsid w:val="0019279E"/>
    <w:rsid w:val="00192BFB"/>
    <w:rsid w:val="0019366E"/>
    <w:rsid w:val="00193934"/>
    <w:rsid w:val="00193C48"/>
    <w:rsid w:val="001944B8"/>
    <w:rsid w:val="001947D2"/>
    <w:rsid w:val="001971C5"/>
    <w:rsid w:val="00197868"/>
    <w:rsid w:val="001979C1"/>
    <w:rsid w:val="00197D68"/>
    <w:rsid w:val="001A0309"/>
    <w:rsid w:val="001A16A0"/>
    <w:rsid w:val="001A22D9"/>
    <w:rsid w:val="001A28E9"/>
    <w:rsid w:val="001A3EC5"/>
    <w:rsid w:val="001A488C"/>
    <w:rsid w:val="001A4DE0"/>
    <w:rsid w:val="001A4F02"/>
    <w:rsid w:val="001A5A7D"/>
    <w:rsid w:val="001A657D"/>
    <w:rsid w:val="001A72D4"/>
    <w:rsid w:val="001A73A5"/>
    <w:rsid w:val="001A7766"/>
    <w:rsid w:val="001B0D29"/>
    <w:rsid w:val="001B0D34"/>
    <w:rsid w:val="001B16D1"/>
    <w:rsid w:val="001B1B22"/>
    <w:rsid w:val="001B1ECF"/>
    <w:rsid w:val="001B26C6"/>
    <w:rsid w:val="001B2C14"/>
    <w:rsid w:val="001B651B"/>
    <w:rsid w:val="001B6683"/>
    <w:rsid w:val="001B67DD"/>
    <w:rsid w:val="001B6854"/>
    <w:rsid w:val="001B6C98"/>
    <w:rsid w:val="001C06A6"/>
    <w:rsid w:val="001C0914"/>
    <w:rsid w:val="001C0BCE"/>
    <w:rsid w:val="001C2481"/>
    <w:rsid w:val="001C26F6"/>
    <w:rsid w:val="001C2952"/>
    <w:rsid w:val="001C3B22"/>
    <w:rsid w:val="001C4279"/>
    <w:rsid w:val="001C4E22"/>
    <w:rsid w:val="001C518B"/>
    <w:rsid w:val="001C5AFC"/>
    <w:rsid w:val="001C5E8A"/>
    <w:rsid w:val="001C6138"/>
    <w:rsid w:val="001C7219"/>
    <w:rsid w:val="001D0C9B"/>
    <w:rsid w:val="001D1933"/>
    <w:rsid w:val="001D2B81"/>
    <w:rsid w:val="001D309E"/>
    <w:rsid w:val="001D4670"/>
    <w:rsid w:val="001D4855"/>
    <w:rsid w:val="001D4A57"/>
    <w:rsid w:val="001D4D54"/>
    <w:rsid w:val="001D5065"/>
    <w:rsid w:val="001D525D"/>
    <w:rsid w:val="001D5A18"/>
    <w:rsid w:val="001D7587"/>
    <w:rsid w:val="001D77E0"/>
    <w:rsid w:val="001D7933"/>
    <w:rsid w:val="001E05D6"/>
    <w:rsid w:val="001E0748"/>
    <w:rsid w:val="001E1708"/>
    <w:rsid w:val="001E19F2"/>
    <w:rsid w:val="001E1CE1"/>
    <w:rsid w:val="001E3272"/>
    <w:rsid w:val="001E4986"/>
    <w:rsid w:val="001E50BF"/>
    <w:rsid w:val="001E63C7"/>
    <w:rsid w:val="001E6702"/>
    <w:rsid w:val="001E6838"/>
    <w:rsid w:val="001E6941"/>
    <w:rsid w:val="001E72F6"/>
    <w:rsid w:val="001E7CFD"/>
    <w:rsid w:val="001E7E03"/>
    <w:rsid w:val="001F0DE0"/>
    <w:rsid w:val="001F1042"/>
    <w:rsid w:val="001F2178"/>
    <w:rsid w:val="001F26E5"/>
    <w:rsid w:val="001F2DE3"/>
    <w:rsid w:val="001F314A"/>
    <w:rsid w:val="001F5369"/>
    <w:rsid w:val="001F5456"/>
    <w:rsid w:val="001F60B3"/>
    <w:rsid w:val="001F712D"/>
    <w:rsid w:val="001F7360"/>
    <w:rsid w:val="001F7898"/>
    <w:rsid w:val="00200DC5"/>
    <w:rsid w:val="00201434"/>
    <w:rsid w:val="002027C8"/>
    <w:rsid w:val="002037EA"/>
    <w:rsid w:val="0020686D"/>
    <w:rsid w:val="00206DAE"/>
    <w:rsid w:val="00207DF8"/>
    <w:rsid w:val="002103A9"/>
    <w:rsid w:val="00210828"/>
    <w:rsid w:val="002110CC"/>
    <w:rsid w:val="00211686"/>
    <w:rsid w:val="00211727"/>
    <w:rsid w:val="00211EE4"/>
    <w:rsid w:val="002121B9"/>
    <w:rsid w:val="00212823"/>
    <w:rsid w:val="00212EFF"/>
    <w:rsid w:val="00213047"/>
    <w:rsid w:val="0021386E"/>
    <w:rsid w:val="00214B83"/>
    <w:rsid w:val="00214FFB"/>
    <w:rsid w:val="00215E76"/>
    <w:rsid w:val="00215EF8"/>
    <w:rsid w:val="00216239"/>
    <w:rsid w:val="002162C1"/>
    <w:rsid w:val="00216837"/>
    <w:rsid w:val="002169E0"/>
    <w:rsid w:val="00216F04"/>
    <w:rsid w:val="00220671"/>
    <w:rsid w:val="00220791"/>
    <w:rsid w:val="002208C4"/>
    <w:rsid w:val="0022101E"/>
    <w:rsid w:val="002218AE"/>
    <w:rsid w:val="002229CF"/>
    <w:rsid w:val="00223CA2"/>
    <w:rsid w:val="00224174"/>
    <w:rsid w:val="00224612"/>
    <w:rsid w:val="002251E5"/>
    <w:rsid w:val="00225370"/>
    <w:rsid w:val="00225B44"/>
    <w:rsid w:val="002260A0"/>
    <w:rsid w:val="002260CA"/>
    <w:rsid w:val="00226592"/>
    <w:rsid w:val="0022691E"/>
    <w:rsid w:val="002269C2"/>
    <w:rsid w:val="0022789E"/>
    <w:rsid w:val="00231B8A"/>
    <w:rsid w:val="00231BE7"/>
    <w:rsid w:val="00231ECE"/>
    <w:rsid w:val="00231F97"/>
    <w:rsid w:val="002320CF"/>
    <w:rsid w:val="00232D54"/>
    <w:rsid w:val="002335E0"/>
    <w:rsid w:val="0023374B"/>
    <w:rsid w:val="0023444B"/>
    <w:rsid w:val="00234F46"/>
    <w:rsid w:val="00235EF7"/>
    <w:rsid w:val="00236F96"/>
    <w:rsid w:val="00237B9B"/>
    <w:rsid w:val="002405ED"/>
    <w:rsid w:val="00240D52"/>
    <w:rsid w:val="00241EE2"/>
    <w:rsid w:val="002425BF"/>
    <w:rsid w:val="0024313D"/>
    <w:rsid w:val="00243EF9"/>
    <w:rsid w:val="0024496D"/>
    <w:rsid w:val="00244B2C"/>
    <w:rsid w:val="002459C2"/>
    <w:rsid w:val="00246832"/>
    <w:rsid w:val="00246E77"/>
    <w:rsid w:val="00247308"/>
    <w:rsid w:val="00250615"/>
    <w:rsid w:val="00251566"/>
    <w:rsid w:val="002526D4"/>
    <w:rsid w:val="002526E3"/>
    <w:rsid w:val="00252BE4"/>
    <w:rsid w:val="00252C9B"/>
    <w:rsid w:val="00252E5E"/>
    <w:rsid w:val="002541BD"/>
    <w:rsid w:val="00254604"/>
    <w:rsid w:val="002547DB"/>
    <w:rsid w:val="00255450"/>
    <w:rsid w:val="002554F9"/>
    <w:rsid w:val="00256FBE"/>
    <w:rsid w:val="002575E4"/>
    <w:rsid w:val="0026015D"/>
    <w:rsid w:val="00261174"/>
    <w:rsid w:val="002616DA"/>
    <w:rsid w:val="0026255A"/>
    <w:rsid w:val="00263907"/>
    <w:rsid w:val="0026499D"/>
    <w:rsid w:val="002670F1"/>
    <w:rsid w:val="0026787D"/>
    <w:rsid w:val="0026788E"/>
    <w:rsid w:val="00267949"/>
    <w:rsid w:val="00273857"/>
    <w:rsid w:val="002741A1"/>
    <w:rsid w:val="0027478E"/>
    <w:rsid w:val="00274870"/>
    <w:rsid w:val="00275071"/>
    <w:rsid w:val="002751B8"/>
    <w:rsid w:val="00275848"/>
    <w:rsid w:val="0027603F"/>
    <w:rsid w:val="002764E1"/>
    <w:rsid w:val="00276D72"/>
    <w:rsid w:val="002773CA"/>
    <w:rsid w:val="0028025C"/>
    <w:rsid w:val="00280322"/>
    <w:rsid w:val="0028067B"/>
    <w:rsid w:val="00280B77"/>
    <w:rsid w:val="00280C0B"/>
    <w:rsid w:val="00281576"/>
    <w:rsid w:val="0028163F"/>
    <w:rsid w:val="00281A64"/>
    <w:rsid w:val="00281CA3"/>
    <w:rsid w:val="00281CDD"/>
    <w:rsid w:val="00282788"/>
    <w:rsid w:val="00282976"/>
    <w:rsid w:val="00282F1C"/>
    <w:rsid w:val="00283FD8"/>
    <w:rsid w:val="00284ABA"/>
    <w:rsid w:val="002851AD"/>
    <w:rsid w:val="00285E72"/>
    <w:rsid w:val="002903A6"/>
    <w:rsid w:val="00290572"/>
    <w:rsid w:val="002930B9"/>
    <w:rsid w:val="002931ED"/>
    <w:rsid w:val="00293CC6"/>
    <w:rsid w:val="00293F0C"/>
    <w:rsid w:val="002940AA"/>
    <w:rsid w:val="00295BA6"/>
    <w:rsid w:val="00297680"/>
    <w:rsid w:val="00297DF4"/>
    <w:rsid w:val="002A0B03"/>
    <w:rsid w:val="002A0BDA"/>
    <w:rsid w:val="002A1E20"/>
    <w:rsid w:val="002A210E"/>
    <w:rsid w:val="002A3966"/>
    <w:rsid w:val="002A4D14"/>
    <w:rsid w:val="002A5BDB"/>
    <w:rsid w:val="002A6645"/>
    <w:rsid w:val="002A6BEA"/>
    <w:rsid w:val="002A746E"/>
    <w:rsid w:val="002A7862"/>
    <w:rsid w:val="002A7AED"/>
    <w:rsid w:val="002B00A9"/>
    <w:rsid w:val="002B171F"/>
    <w:rsid w:val="002B1C28"/>
    <w:rsid w:val="002B1CB3"/>
    <w:rsid w:val="002B2776"/>
    <w:rsid w:val="002B3659"/>
    <w:rsid w:val="002B39C3"/>
    <w:rsid w:val="002B3DB8"/>
    <w:rsid w:val="002B4D7B"/>
    <w:rsid w:val="002B50C9"/>
    <w:rsid w:val="002B5105"/>
    <w:rsid w:val="002B5B44"/>
    <w:rsid w:val="002B6178"/>
    <w:rsid w:val="002B61F1"/>
    <w:rsid w:val="002B6AEC"/>
    <w:rsid w:val="002B6C5C"/>
    <w:rsid w:val="002C0025"/>
    <w:rsid w:val="002C0ED2"/>
    <w:rsid w:val="002C12C8"/>
    <w:rsid w:val="002C153C"/>
    <w:rsid w:val="002C1E43"/>
    <w:rsid w:val="002C21EC"/>
    <w:rsid w:val="002C2D38"/>
    <w:rsid w:val="002C3551"/>
    <w:rsid w:val="002C5466"/>
    <w:rsid w:val="002C5689"/>
    <w:rsid w:val="002C5A66"/>
    <w:rsid w:val="002C5C6D"/>
    <w:rsid w:val="002C670F"/>
    <w:rsid w:val="002C6761"/>
    <w:rsid w:val="002C68D2"/>
    <w:rsid w:val="002C779F"/>
    <w:rsid w:val="002D0D85"/>
    <w:rsid w:val="002D0DE6"/>
    <w:rsid w:val="002D0DF6"/>
    <w:rsid w:val="002D21E0"/>
    <w:rsid w:val="002D23F4"/>
    <w:rsid w:val="002D2403"/>
    <w:rsid w:val="002D2479"/>
    <w:rsid w:val="002D24D4"/>
    <w:rsid w:val="002D2876"/>
    <w:rsid w:val="002D28A8"/>
    <w:rsid w:val="002D28D1"/>
    <w:rsid w:val="002D2EA7"/>
    <w:rsid w:val="002D3143"/>
    <w:rsid w:val="002D423B"/>
    <w:rsid w:val="002D4B54"/>
    <w:rsid w:val="002D4FDB"/>
    <w:rsid w:val="002D5216"/>
    <w:rsid w:val="002D5327"/>
    <w:rsid w:val="002D58B3"/>
    <w:rsid w:val="002D5DC8"/>
    <w:rsid w:val="002D6AFC"/>
    <w:rsid w:val="002D7E2E"/>
    <w:rsid w:val="002E020A"/>
    <w:rsid w:val="002E03CD"/>
    <w:rsid w:val="002E05D1"/>
    <w:rsid w:val="002E0E30"/>
    <w:rsid w:val="002E13A0"/>
    <w:rsid w:val="002E32C5"/>
    <w:rsid w:val="002E3394"/>
    <w:rsid w:val="002E4486"/>
    <w:rsid w:val="002E4A94"/>
    <w:rsid w:val="002E4D3E"/>
    <w:rsid w:val="002E6143"/>
    <w:rsid w:val="002E6F2D"/>
    <w:rsid w:val="002E734C"/>
    <w:rsid w:val="002E7BD2"/>
    <w:rsid w:val="002F08B5"/>
    <w:rsid w:val="002F1809"/>
    <w:rsid w:val="002F1942"/>
    <w:rsid w:val="002F1D4E"/>
    <w:rsid w:val="002F2946"/>
    <w:rsid w:val="002F2953"/>
    <w:rsid w:val="002F4A66"/>
    <w:rsid w:val="002F4E34"/>
    <w:rsid w:val="002F5F29"/>
    <w:rsid w:val="002F619C"/>
    <w:rsid w:val="002F6453"/>
    <w:rsid w:val="002F68ED"/>
    <w:rsid w:val="002F6D1E"/>
    <w:rsid w:val="002F6DF2"/>
    <w:rsid w:val="002F7222"/>
    <w:rsid w:val="002F7EC0"/>
    <w:rsid w:val="0030030D"/>
    <w:rsid w:val="00300848"/>
    <w:rsid w:val="0030094F"/>
    <w:rsid w:val="0030271D"/>
    <w:rsid w:val="00303241"/>
    <w:rsid w:val="00303D46"/>
    <w:rsid w:val="0030423B"/>
    <w:rsid w:val="003053C8"/>
    <w:rsid w:val="00305DC5"/>
    <w:rsid w:val="00305E41"/>
    <w:rsid w:val="00306AFB"/>
    <w:rsid w:val="003072D5"/>
    <w:rsid w:val="00307606"/>
    <w:rsid w:val="00307BB7"/>
    <w:rsid w:val="00310096"/>
    <w:rsid w:val="003102BD"/>
    <w:rsid w:val="00310CFA"/>
    <w:rsid w:val="003114FE"/>
    <w:rsid w:val="00311ACA"/>
    <w:rsid w:val="00311E9A"/>
    <w:rsid w:val="00312093"/>
    <w:rsid w:val="00312B25"/>
    <w:rsid w:val="0031311A"/>
    <w:rsid w:val="00313D6E"/>
    <w:rsid w:val="00314129"/>
    <w:rsid w:val="00314482"/>
    <w:rsid w:val="00314F04"/>
    <w:rsid w:val="0031527E"/>
    <w:rsid w:val="00315D2D"/>
    <w:rsid w:val="0031625B"/>
    <w:rsid w:val="0031629E"/>
    <w:rsid w:val="00316B8F"/>
    <w:rsid w:val="0031714B"/>
    <w:rsid w:val="003171B3"/>
    <w:rsid w:val="00317C89"/>
    <w:rsid w:val="00317D66"/>
    <w:rsid w:val="00320BF3"/>
    <w:rsid w:val="0032271F"/>
    <w:rsid w:val="00322A26"/>
    <w:rsid w:val="00322D14"/>
    <w:rsid w:val="003235BD"/>
    <w:rsid w:val="00323755"/>
    <w:rsid w:val="00323D3A"/>
    <w:rsid w:val="00324025"/>
    <w:rsid w:val="00324161"/>
    <w:rsid w:val="0032462C"/>
    <w:rsid w:val="00324BE7"/>
    <w:rsid w:val="00325745"/>
    <w:rsid w:val="00325A10"/>
    <w:rsid w:val="00326583"/>
    <w:rsid w:val="00326A4F"/>
    <w:rsid w:val="00326C02"/>
    <w:rsid w:val="00327E99"/>
    <w:rsid w:val="00330636"/>
    <w:rsid w:val="00330813"/>
    <w:rsid w:val="00331320"/>
    <w:rsid w:val="00331B8F"/>
    <w:rsid w:val="0033297A"/>
    <w:rsid w:val="00332EEC"/>
    <w:rsid w:val="003333D5"/>
    <w:rsid w:val="003339CC"/>
    <w:rsid w:val="00333C9A"/>
    <w:rsid w:val="00335620"/>
    <w:rsid w:val="00335C83"/>
    <w:rsid w:val="003362B8"/>
    <w:rsid w:val="00336A04"/>
    <w:rsid w:val="00337AC7"/>
    <w:rsid w:val="00337CEA"/>
    <w:rsid w:val="0034103C"/>
    <w:rsid w:val="00342174"/>
    <w:rsid w:val="003428A3"/>
    <w:rsid w:val="003435A2"/>
    <w:rsid w:val="00343789"/>
    <w:rsid w:val="00343869"/>
    <w:rsid w:val="00343930"/>
    <w:rsid w:val="0034519A"/>
    <w:rsid w:val="00345BB3"/>
    <w:rsid w:val="00345D6F"/>
    <w:rsid w:val="00345E06"/>
    <w:rsid w:val="00345E85"/>
    <w:rsid w:val="0034668C"/>
    <w:rsid w:val="00346C04"/>
    <w:rsid w:val="00347637"/>
    <w:rsid w:val="00347D4B"/>
    <w:rsid w:val="00353E0A"/>
    <w:rsid w:val="0035419D"/>
    <w:rsid w:val="00355270"/>
    <w:rsid w:val="003557AB"/>
    <w:rsid w:val="00356118"/>
    <w:rsid w:val="003569A6"/>
    <w:rsid w:val="00356FE6"/>
    <w:rsid w:val="00361918"/>
    <w:rsid w:val="00361D92"/>
    <w:rsid w:val="00361E24"/>
    <w:rsid w:val="003629F2"/>
    <w:rsid w:val="00364E0A"/>
    <w:rsid w:val="00364EA7"/>
    <w:rsid w:val="003658F6"/>
    <w:rsid w:val="00366C20"/>
    <w:rsid w:val="00366EA8"/>
    <w:rsid w:val="00367344"/>
    <w:rsid w:val="00367407"/>
    <w:rsid w:val="00367A0A"/>
    <w:rsid w:val="00372493"/>
    <w:rsid w:val="003726A0"/>
    <w:rsid w:val="00372E49"/>
    <w:rsid w:val="0037476E"/>
    <w:rsid w:val="003748BB"/>
    <w:rsid w:val="00374B55"/>
    <w:rsid w:val="0037517C"/>
    <w:rsid w:val="003752AF"/>
    <w:rsid w:val="003759EB"/>
    <w:rsid w:val="00375FFA"/>
    <w:rsid w:val="00376050"/>
    <w:rsid w:val="003763FE"/>
    <w:rsid w:val="0037650B"/>
    <w:rsid w:val="0038002A"/>
    <w:rsid w:val="00380060"/>
    <w:rsid w:val="0038007F"/>
    <w:rsid w:val="0038009E"/>
    <w:rsid w:val="00380340"/>
    <w:rsid w:val="00381618"/>
    <w:rsid w:val="003817D5"/>
    <w:rsid w:val="003821DF"/>
    <w:rsid w:val="00383048"/>
    <w:rsid w:val="00383A37"/>
    <w:rsid w:val="003848AB"/>
    <w:rsid w:val="003855EE"/>
    <w:rsid w:val="003856A4"/>
    <w:rsid w:val="003856A9"/>
    <w:rsid w:val="00385BF0"/>
    <w:rsid w:val="003865F6"/>
    <w:rsid w:val="00387345"/>
    <w:rsid w:val="00387BF4"/>
    <w:rsid w:val="00387E47"/>
    <w:rsid w:val="00390090"/>
    <w:rsid w:val="0039061D"/>
    <w:rsid w:val="0039089C"/>
    <w:rsid w:val="0039093A"/>
    <w:rsid w:val="00391F8C"/>
    <w:rsid w:val="00392BF2"/>
    <w:rsid w:val="003938E7"/>
    <w:rsid w:val="0039409A"/>
    <w:rsid w:val="00394289"/>
    <w:rsid w:val="00394CD6"/>
    <w:rsid w:val="00395BCD"/>
    <w:rsid w:val="00395D6F"/>
    <w:rsid w:val="00396096"/>
    <w:rsid w:val="00396759"/>
    <w:rsid w:val="00396BE3"/>
    <w:rsid w:val="0039743E"/>
    <w:rsid w:val="00397FAD"/>
    <w:rsid w:val="003A0A0C"/>
    <w:rsid w:val="003A0A95"/>
    <w:rsid w:val="003A1813"/>
    <w:rsid w:val="003A1FF4"/>
    <w:rsid w:val="003A2318"/>
    <w:rsid w:val="003A253D"/>
    <w:rsid w:val="003A29B0"/>
    <w:rsid w:val="003A434A"/>
    <w:rsid w:val="003A5B88"/>
    <w:rsid w:val="003A6387"/>
    <w:rsid w:val="003A6DE7"/>
    <w:rsid w:val="003A763C"/>
    <w:rsid w:val="003A7830"/>
    <w:rsid w:val="003A7E02"/>
    <w:rsid w:val="003B0A61"/>
    <w:rsid w:val="003B165E"/>
    <w:rsid w:val="003B1C0C"/>
    <w:rsid w:val="003B1FDC"/>
    <w:rsid w:val="003B2BF9"/>
    <w:rsid w:val="003B2DA8"/>
    <w:rsid w:val="003B349B"/>
    <w:rsid w:val="003B3955"/>
    <w:rsid w:val="003B4165"/>
    <w:rsid w:val="003B432D"/>
    <w:rsid w:val="003B487D"/>
    <w:rsid w:val="003B4FC2"/>
    <w:rsid w:val="003B55BA"/>
    <w:rsid w:val="003B5CB5"/>
    <w:rsid w:val="003B67CB"/>
    <w:rsid w:val="003B6EDD"/>
    <w:rsid w:val="003B7197"/>
    <w:rsid w:val="003B7871"/>
    <w:rsid w:val="003C04ED"/>
    <w:rsid w:val="003C197D"/>
    <w:rsid w:val="003C222F"/>
    <w:rsid w:val="003C2231"/>
    <w:rsid w:val="003C244E"/>
    <w:rsid w:val="003C3390"/>
    <w:rsid w:val="003C4A15"/>
    <w:rsid w:val="003C4F66"/>
    <w:rsid w:val="003C521C"/>
    <w:rsid w:val="003C5A70"/>
    <w:rsid w:val="003C5BB3"/>
    <w:rsid w:val="003C680E"/>
    <w:rsid w:val="003C68B7"/>
    <w:rsid w:val="003C6A89"/>
    <w:rsid w:val="003C6E8A"/>
    <w:rsid w:val="003C7677"/>
    <w:rsid w:val="003C7B6A"/>
    <w:rsid w:val="003D0E6E"/>
    <w:rsid w:val="003D101C"/>
    <w:rsid w:val="003D147A"/>
    <w:rsid w:val="003D2490"/>
    <w:rsid w:val="003D249E"/>
    <w:rsid w:val="003D2B43"/>
    <w:rsid w:val="003D3A11"/>
    <w:rsid w:val="003D4557"/>
    <w:rsid w:val="003D520C"/>
    <w:rsid w:val="003D5351"/>
    <w:rsid w:val="003D5610"/>
    <w:rsid w:val="003D5714"/>
    <w:rsid w:val="003D58A5"/>
    <w:rsid w:val="003D5E37"/>
    <w:rsid w:val="003D64B3"/>
    <w:rsid w:val="003D665C"/>
    <w:rsid w:val="003D6C22"/>
    <w:rsid w:val="003D6FA3"/>
    <w:rsid w:val="003E0002"/>
    <w:rsid w:val="003E0778"/>
    <w:rsid w:val="003E0998"/>
    <w:rsid w:val="003E0C17"/>
    <w:rsid w:val="003E1CB8"/>
    <w:rsid w:val="003E28DB"/>
    <w:rsid w:val="003E2AC9"/>
    <w:rsid w:val="003E2BA7"/>
    <w:rsid w:val="003E30F3"/>
    <w:rsid w:val="003E382B"/>
    <w:rsid w:val="003E3B66"/>
    <w:rsid w:val="003E3C60"/>
    <w:rsid w:val="003E3CC0"/>
    <w:rsid w:val="003E4157"/>
    <w:rsid w:val="003E4196"/>
    <w:rsid w:val="003E43BC"/>
    <w:rsid w:val="003E4F66"/>
    <w:rsid w:val="003E5121"/>
    <w:rsid w:val="003E5EC4"/>
    <w:rsid w:val="003E61B3"/>
    <w:rsid w:val="003E7996"/>
    <w:rsid w:val="003E7BD0"/>
    <w:rsid w:val="003F03DB"/>
    <w:rsid w:val="003F13D1"/>
    <w:rsid w:val="003F1FAD"/>
    <w:rsid w:val="003F207B"/>
    <w:rsid w:val="003F3E74"/>
    <w:rsid w:val="003F3FF3"/>
    <w:rsid w:val="003F4B02"/>
    <w:rsid w:val="003F4EF2"/>
    <w:rsid w:val="003F562E"/>
    <w:rsid w:val="003F58D9"/>
    <w:rsid w:val="003F5F41"/>
    <w:rsid w:val="003F707D"/>
    <w:rsid w:val="003F7212"/>
    <w:rsid w:val="003F727B"/>
    <w:rsid w:val="003F7380"/>
    <w:rsid w:val="003F74DF"/>
    <w:rsid w:val="003F7723"/>
    <w:rsid w:val="003F7983"/>
    <w:rsid w:val="0040184D"/>
    <w:rsid w:val="00401D34"/>
    <w:rsid w:val="00402623"/>
    <w:rsid w:val="00402B1F"/>
    <w:rsid w:val="004035BB"/>
    <w:rsid w:val="00403EA6"/>
    <w:rsid w:val="00404036"/>
    <w:rsid w:val="00404140"/>
    <w:rsid w:val="00404FDF"/>
    <w:rsid w:val="0040527B"/>
    <w:rsid w:val="0040582E"/>
    <w:rsid w:val="00406759"/>
    <w:rsid w:val="0040697A"/>
    <w:rsid w:val="00406D11"/>
    <w:rsid w:val="00407070"/>
    <w:rsid w:val="00407D2C"/>
    <w:rsid w:val="0041076A"/>
    <w:rsid w:val="00410960"/>
    <w:rsid w:val="00410AD3"/>
    <w:rsid w:val="00410B3B"/>
    <w:rsid w:val="0041143B"/>
    <w:rsid w:val="00411C8E"/>
    <w:rsid w:val="00411EDC"/>
    <w:rsid w:val="0041257F"/>
    <w:rsid w:val="00412AAE"/>
    <w:rsid w:val="004135E4"/>
    <w:rsid w:val="00413F29"/>
    <w:rsid w:val="004156E9"/>
    <w:rsid w:val="004157B2"/>
    <w:rsid w:val="00415B5F"/>
    <w:rsid w:val="00416288"/>
    <w:rsid w:val="00417413"/>
    <w:rsid w:val="00417521"/>
    <w:rsid w:val="004177B1"/>
    <w:rsid w:val="00417E6E"/>
    <w:rsid w:val="00420AB6"/>
    <w:rsid w:val="0042299A"/>
    <w:rsid w:val="00422AF9"/>
    <w:rsid w:val="00423EB0"/>
    <w:rsid w:val="004251DC"/>
    <w:rsid w:val="00425217"/>
    <w:rsid w:val="00425E69"/>
    <w:rsid w:val="00426E45"/>
    <w:rsid w:val="004304CC"/>
    <w:rsid w:val="00430932"/>
    <w:rsid w:val="0043113C"/>
    <w:rsid w:val="004311AA"/>
    <w:rsid w:val="00432719"/>
    <w:rsid w:val="004329F4"/>
    <w:rsid w:val="00432E81"/>
    <w:rsid w:val="00433ED4"/>
    <w:rsid w:val="00433F53"/>
    <w:rsid w:val="004340C1"/>
    <w:rsid w:val="00434147"/>
    <w:rsid w:val="0043534D"/>
    <w:rsid w:val="0043656C"/>
    <w:rsid w:val="0043656D"/>
    <w:rsid w:val="004366A9"/>
    <w:rsid w:val="00437569"/>
    <w:rsid w:val="00440D1E"/>
    <w:rsid w:val="00440D82"/>
    <w:rsid w:val="00440E95"/>
    <w:rsid w:val="00440FB1"/>
    <w:rsid w:val="004414CF"/>
    <w:rsid w:val="00441756"/>
    <w:rsid w:val="00441796"/>
    <w:rsid w:val="00441C77"/>
    <w:rsid w:val="00444AD8"/>
    <w:rsid w:val="00445145"/>
    <w:rsid w:val="00445F9C"/>
    <w:rsid w:val="00446309"/>
    <w:rsid w:val="00446651"/>
    <w:rsid w:val="00446BE2"/>
    <w:rsid w:val="0044726F"/>
    <w:rsid w:val="00450964"/>
    <w:rsid w:val="004518DC"/>
    <w:rsid w:val="00451A25"/>
    <w:rsid w:val="00452650"/>
    <w:rsid w:val="00454365"/>
    <w:rsid w:val="0045456E"/>
    <w:rsid w:val="004549AC"/>
    <w:rsid w:val="00454A4D"/>
    <w:rsid w:val="00454B83"/>
    <w:rsid w:val="0045616B"/>
    <w:rsid w:val="004562DD"/>
    <w:rsid w:val="00456954"/>
    <w:rsid w:val="0045769C"/>
    <w:rsid w:val="0046005D"/>
    <w:rsid w:val="00460147"/>
    <w:rsid w:val="00461070"/>
    <w:rsid w:val="00461720"/>
    <w:rsid w:val="004626FC"/>
    <w:rsid w:val="00462FC8"/>
    <w:rsid w:val="00463096"/>
    <w:rsid w:val="00463205"/>
    <w:rsid w:val="0046338C"/>
    <w:rsid w:val="0046354F"/>
    <w:rsid w:val="00463B9A"/>
    <w:rsid w:val="0046645C"/>
    <w:rsid w:val="00466718"/>
    <w:rsid w:val="00470AC8"/>
    <w:rsid w:val="00471D19"/>
    <w:rsid w:val="00471E47"/>
    <w:rsid w:val="00472D8A"/>
    <w:rsid w:val="0047417A"/>
    <w:rsid w:val="00474C8F"/>
    <w:rsid w:val="00476472"/>
    <w:rsid w:val="004769FD"/>
    <w:rsid w:val="00476AFF"/>
    <w:rsid w:val="00477E04"/>
    <w:rsid w:val="0048061D"/>
    <w:rsid w:val="00481080"/>
    <w:rsid w:val="004813CA"/>
    <w:rsid w:val="0048202A"/>
    <w:rsid w:val="004829F0"/>
    <w:rsid w:val="00483907"/>
    <w:rsid w:val="004852C2"/>
    <w:rsid w:val="00485521"/>
    <w:rsid w:val="004858F2"/>
    <w:rsid w:val="00486E0A"/>
    <w:rsid w:val="0048735C"/>
    <w:rsid w:val="004875C3"/>
    <w:rsid w:val="00490F19"/>
    <w:rsid w:val="00491513"/>
    <w:rsid w:val="00491C60"/>
    <w:rsid w:val="0049308C"/>
    <w:rsid w:val="004930C1"/>
    <w:rsid w:val="004931E0"/>
    <w:rsid w:val="00493419"/>
    <w:rsid w:val="0049370C"/>
    <w:rsid w:val="004942A5"/>
    <w:rsid w:val="00494674"/>
    <w:rsid w:val="0049568D"/>
    <w:rsid w:val="004957EF"/>
    <w:rsid w:val="004958A3"/>
    <w:rsid w:val="00495B02"/>
    <w:rsid w:val="00496071"/>
    <w:rsid w:val="00496F33"/>
    <w:rsid w:val="004970ED"/>
    <w:rsid w:val="004978A3"/>
    <w:rsid w:val="004A1142"/>
    <w:rsid w:val="004A1432"/>
    <w:rsid w:val="004A1870"/>
    <w:rsid w:val="004A1ACD"/>
    <w:rsid w:val="004A1FA3"/>
    <w:rsid w:val="004A2251"/>
    <w:rsid w:val="004A42FA"/>
    <w:rsid w:val="004A4D97"/>
    <w:rsid w:val="004A53E9"/>
    <w:rsid w:val="004A6023"/>
    <w:rsid w:val="004A60D4"/>
    <w:rsid w:val="004A63E7"/>
    <w:rsid w:val="004A7920"/>
    <w:rsid w:val="004A7C29"/>
    <w:rsid w:val="004B15A2"/>
    <w:rsid w:val="004B1D1F"/>
    <w:rsid w:val="004B1D35"/>
    <w:rsid w:val="004B22DE"/>
    <w:rsid w:val="004B3452"/>
    <w:rsid w:val="004B5C5B"/>
    <w:rsid w:val="004B5F76"/>
    <w:rsid w:val="004B695E"/>
    <w:rsid w:val="004C0036"/>
    <w:rsid w:val="004C0986"/>
    <w:rsid w:val="004C0E95"/>
    <w:rsid w:val="004C0F44"/>
    <w:rsid w:val="004C0FD5"/>
    <w:rsid w:val="004C1B61"/>
    <w:rsid w:val="004C208D"/>
    <w:rsid w:val="004C24EB"/>
    <w:rsid w:val="004C28CE"/>
    <w:rsid w:val="004C31AA"/>
    <w:rsid w:val="004C3374"/>
    <w:rsid w:val="004C3659"/>
    <w:rsid w:val="004C3AF0"/>
    <w:rsid w:val="004C3FBC"/>
    <w:rsid w:val="004C514B"/>
    <w:rsid w:val="004C54AF"/>
    <w:rsid w:val="004C5678"/>
    <w:rsid w:val="004C5728"/>
    <w:rsid w:val="004C5EE3"/>
    <w:rsid w:val="004C5FF3"/>
    <w:rsid w:val="004C67F4"/>
    <w:rsid w:val="004D02F5"/>
    <w:rsid w:val="004D17EC"/>
    <w:rsid w:val="004D3084"/>
    <w:rsid w:val="004D3982"/>
    <w:rsid w:val="004D3F22"/>
    <w:rsid w:val="004D455D"/>
    <w:rsid w:val="004D4899"/>
    <w:rsid w:val="004D54AE"/>
    <w:rsid w:val="004D57EA"/>
    <w:rsid w:val="004D57F1"/>
    <w:rsid w:val="004D6476"/>
    <w:rsid w:val="004D6AB5"/>
    <w:rsid w:val="004E006F"/>
    <w:rsid w:val="004E0175"/>
    <w:rsid w:val="004E0C32"/>
    <w:rsid w:val="004E0E04"/>
    <w:rsid w:val="004E1843"/>
    <w:rsid w:val="004E1C3F"/>
    <w:rsid w:val="004E3658"/>
    <w:rsid w:val="004E3B0B"/>
    <w:rsid w:val="004E3D35"/>
    <w:rsid w:val="004E4C60"/>
    <w:rsid w:val="004E4D1F"/>
    <w:rsid w:val="004E54EE"/>
    <w:rsid w:val="004E5970"/>
    <w:rsid w:val="004E5B24"/>
    <w:rsid w:val="004E6C77"/>
    <w:rsid w:val="004E7A83"/>
    <w:rsid w:val="004E7F42"/>
    <w:rsid w:val="004F08F7"/>
    <w:rsid w:val="004F11A4"/>
    <w:rsid w:val="004F20FF"/>
    <w:rsid w:val="004F26DF"/>
    <w:rsid w:val="004F28E2"/>
    <w:rsid w:val="004F3457"/>
    <w:rsid w:val="004F43F2"/>
    <w:rsid w:val="004F5502"/>
    <w:rsid w:val="004F61C8"/>
    <w:rsid w:val="004F64E5"/>
    <w:rsid w:val="004F6B0F"/>
    <w:rsid w:val="004F6E31"/>
    <w:rsid w:val="004F7424"/>
    <w:rsid w:val="004F76BB"/>
    <w:rsid w:val="00500376"/>
    <w:rsid w:val="0050215D"/>
    <w:rsid w:val="00502AC0"/>
    <w:rsid w:val="00503030"/>
    <w:rsid w:val="00503444"/>
    <w:rsid w:val="00503F2D"/>
    <w:rsid w:val="00504FD6"/>
    <w:rsid w:val="005050EF"/>
    <w:rsid w:val="00507A96"/>
    <w:rsid w:val="00507B4E"/>
    <w:rsid w:val="005120DA"/>
    <w:rsid w:val="00513F34"/>
    <w:rsid w:val="00513F62"/>
    <w:rsid w:val="005158E8"/>
    <w:rsid w:val="00515E77"/>
    <w:rsid w:val="0051614E"/>
    <w:rsid w:val="0051622B"/>
    <w:rsid w:val="005164BB"/>
    <w:rsid w:val="005167E4"/>
    <w:rsid w:val="00516832"/>
    <w:rsid w:val="00516AB2"/>
    <w:rsid w:val="00516FFC"/>
    <w:rsid w:val="00517013"/>
    <w:rsid w:val="0051741F"/>
    <w:rsid w:val="00520B86"/>
    <w:rsid w:val="00520E32"/>
    <w:rsid w:val="005211D9"/>
    <w:rsid w:val="00522493"/>
    <w:rsid w:val="0052266C"/>
    <w:rsid w:val="005227F8"/>
    <w:rsid w:val="00523D25"/>
    <w:rsid w:val="005240CC"/>
    <w:rsid w:val="00524337"/>
    <w:rsid w:val="005253FD"/>
    <w:rsid w:val="00525DEE"/>
    <w:rsid w:val="00526B56"/>
    <w:rsid w:val="00526C22"/>
    <w:rsid w:val="00527E91"/>
    <w:rsid w:val="00530300"/>
    <w:rsid w:val="0053032A"/>
    <w:rsid w:val="005307A9"/>
    <w:rsid w:val="00532D1D"/>
    <w:rsid w:val="00532D95"/>
    <w:rsid w:val="00533903"/>
    <w:rsid w:val="005349CD"/>
    <w:rsid w:val="00535EE8"/>
    <w:rsid w:val="00537381"/>
    <w:rsid w:val="00540D19"/>
    <w:rsid w:val="00541CCA"/>
    <w:rsid w:val="00541D32"/>
    <w:rsid w:val="00542471"/>
    <w:rsid w:val="00543148"/>
    <w:rsid w:val="00543CC4"/>
    <w:rsid w:val="00544D16"/>
    <w:rsid w:val="005454B5"/>
    <w:rsid w:val="005454D2"/>
    <w:rsid w:val="00545A8F"/>
    <w:rsid w:val="005475A9"/>
    <w:rsid w:val="00547647"/>
    <w:rsid w:val="00547BA0"/>
    <w:rsid w:val="005502D7"/>
    <w:rsid w:val="00550C82"/>
    <w:rsid w:val="00551023"/>
    <w:rsid w:val="005512FC"/>
    <w:rsid w:val="005518AB"/>
    <w:rsid w:val="00552220"/>
    <w:rsid w:val="005535A8"/>
    <w:rsid w:val="005540DD"/>
    <w:rsid w:val="00554175"/>
    <w:rsid w:val="005545FE"/>
    <w:rsid w:val="00554BE4"/>
    <w:rsid w:val="00554EE3"/>
    <w:rsid w:val="00554F20"/>
    <w:rsid w:val="00555024"/>
    <w:rsid w:val="005552F0"/>
    <w:rsid w:val="00556E09"/>
    <w:rsid w:val="005577B3"/>
    <w:rsid w:val="00560A71"/>
    <w:rsid w:val="00561073"/>
    <w:rsid w:val="0056131E"/>
    <w:rsid w:val="00561473"/>
    <w:rsid w:val="005614E2"/>
    <w:rsid w:val="00561698"/>
    <w:rsid w:val="0056177F"/>
    <w:rsid w:val="00562A0F"/>
    <w:rsid w:val="00562B4A"/>
    <w:rsid w:val="00562BD5"/>
    <w:rsid w:val="00562E20"/>
    <w:rsid w:val="00563796"/>
    <w:rsid w:val="00563D3E"/>
    <w:rsid w:val="0056405F"/>
    <w:rsid w:val="005652D9"/>
    <w:rsid w:val="005662B3"/>
    <w:rsid w:val="005672D3"/>
    <w:rsid w:val="005676C3"/>
    <w:rsid w:val="00567A9B"/>
    <w:rsid w:val="00570705"/>
    <w:rsid w:val="005707FC"/>
    <w:rsid w:val="00570AA2"/>
    <w:rsid w:val="00570B77"/>
    <w:rsid w:val="00571272"/>
    <w:rsid w:val="00572A9D"/>
    <w:rsid w:val="00573667"/>
    <w:rsid w:val="00573821"/>
    <w:rsid w:val="00573B3F"/>
    <w:rsid w:val="00573CD3"/>
    <w:rsid w:val="00573D31"/>
    <w:rsid w:val="00573F17"/>
    <w:rsid w:val="00574325"/>
    <w:rsid w:val="005745D3"/>
    <w:rsid w:val="005756DA"/>
    <w:rsid w:val="005766BE"/>
    <w:rsid w:val="00576D1C"/>
    <w:rsid w:val="005776B9"/>
    <w:rsid w:val="00577F44"/>
    <w:rsid w:val="00580778"/>
    <w:rsid w:val="00580919"/>
    <w:rsid w:val="00580E2F"/>
    <w:rsid w:val="00581380"/>
    <w:rsid w:val="00581EB4"/>
    <w:rsid w:val="00581EEF"/>
    <w:rsid w:val="00582DDF"/>
    <w:rsid w:val="0058344B"/>
    <w:rsid w:val="00583EBA"/>
    <w:rsid w:val="00584005"/>
    <w:rsid w:val="00584E2F"/>
    <w:rsid w:val="005855A0"/>
    <w:rsid w:val="00585FFC"/>
    <w:rsid w:val="0058670C"/>
    <w:rsid w:val="0058688C"/>
    <w:rsid w:val="00586B8C"/>
    <w:rsid w:val="00587D98"/>
    <w:rsid w:val="00592143"/>
    <w:rsid w:val="0059286F"/>
    <w:rsid w:val="00592C99"/>
    <w:rsid w:val="005930FD"/>
    <w:rsid w:val="005934C9"/>
    <w:rsid w:val="005935F5"/>
    <w:rsid w:val="00593F63"/>
    <w:rsid w:val="00594C31"/>
    <w:rsid w:val="00595CE7"/>
    <w:rsid w:val="0059652D"/>
    <w:rsid w:val="00596880"/>
    <w:rsid w:val="00596AF2"/>
    <w:rsid w:val="00596B0B"/>
    <w:rsid w:val="00596D3B"/>
    <w:rsid w:val="00596E33"/>
    <w:rsid w:val="005A1EB3"/>
    <w:rsid w:val="005A1F42"/>
    <w:rsid w:val="005A21E6"/>
    <w:rsid w:val="005A2BBE"/>
    <w:rsid w:val="005A39EA"/>
    <w:rsid w:val="005A3F8C"/>
    <w:rsid w:val="005A5200"/>
    <w:rsid w:val="005A5E14"/>
    <w:rsid w:val="005A6CB8"/>
    <w:rsid w:val="005A6CE1"/>
    <w:rsid w:val="005A7E14"/>
    <w:rsid w:val="005B0583"/>
    <w:rsid w:val="005B1323"/>
    <w:rsid w:val="005B32CF"/>
    <w:rsid w:val="005B4626"/>
    <w:rsid w:val="005B4C74"/>
    <w:rsid w:val="005B4CFB"/>
    <w:rsid w:val="005B6C7F"/>
    <w:rsid w:val="005B7C99"/>
    <w:rsid w:val="005C07D8"/>
    <w:rsid w:val="005C07F4"/>
    <w:rsid w:val="005C13D0"/>
    <w:rsid w:val="005C22A6"/>
    <w:rsid w:val="005C2EDD"/>
    <w:rsid w:val="005C3908"/>
    <w:rsid w:val="005C3B3B"/>
    <w:rsid w:val="005C3CC6"/>
    <w:rsid w:val="005C3EC7"/>
    <w:rsid w:val="005C40AB"/>
    <w:rsid w:val="005C4C07"/>
    <w:rsid w:val="005C5309"/>
    <w:rsid w:val="005C7FC1"/>
    <w:rsid w:val="005D0003"/>
    <w:rsid w:val="005D1F33"/>
    <w:rsid w:val="005D1F56"/>
    <w:rsid w:val="005D2909"/>
    <w:rsid w:val="005D2941"/>
    <w:rsid w:val="005D2957"/>
    <w:rsid w:val="005D3D0B"/>
    <w:rsid w:val="005D4624"/>
    <w:rsid w:val="005D4CE2"/>
    <w:rsid w:val="005D5784"/>
    <w:rsid w:val="005D5E92"/>
    <w:rsid w:val="005D60BF"/>
    <w:rsid w:val="005D724A"/>
    <w:rsid w:val="005D727E"/>
    <w:rsid w:val="005D76A7"/>
    <w:rsid w:val="005E1946"/>
    <w:rsid w:val="005E1E78"/>
    <w:rsid w:val="005E20CB"/>
    <w:rsid w:val="005E211B"/>
    <w:rsid w:val="005E2BAB"/>
    <w:rsid w:val="005E2C0B"/>
    <w:rsid w:val="005E3C43"/>
    <w:rsid w:val="005E4483"/>
    <w:rsid w:val="005E56AD"/>
    <w:rsid w:val="005E5BD1"/>
    <w:rsid w:val="005E5F7B"/>
    <w:rsid w:val="005E622D"/>
    <w:rsid w:val="005E62C1"/>
    <w:rsid w:val="005E65E3"/>
    <w:rsid w:val="005E6BD3"/>
    <w:rsid w:val="005E6D98"/>
    <w:rsid w:val="005E730F"/>
    <w:rsid w:val="005F0522"/>
    <w:rsid w:val="005F1252"/>
    <w:rsid w:val="005F2E98"/>
    <w:rsid w:val="005F2F94"/>
    <w:rsid w:val="005F4169"/>
    <w:rsid w:val="005F4224"/>
    <w:rsid w:val="005F542A"/>
    <w:rsid w:val="005F5920"/>
    <w:rsid w:val="005F5C5F"/>
    <w:rsid w:val="005F64FD"/>
    <w:rsid w:val="005F770D"/>
    <w:rsid w:val="0060041A"/>
    <w:rsid w:val="0060161E"/>
    <w:rsid w:val="00601E0D"/>
    <w:rsid w:val="00602631"/>
    <w:rsid w:val="00602BB5"/>
    <w:rsid w:val="00603508"/>
    <w:rsid w:val="006036A7"/>
    <w:rsid w:val="00604119"/>
    <w:rsid w:val="006043C9"/>
    <w:rsid w:val="006047BF"/>
    <w:rsid w:val="00604B34"/>
    <w:rsid w:val="00604E3B"/>
    <w:rsid w:val="006050D4"/>
    <w:rsid w:val="006057D1"/>
    <w:rsid w:val="0060639A"/>
    <w:rsid w:val="00610F39"/>
    <w:rsid w:val="00611275"/>
    <w:rsid w:val="006116D3"/>
    <w:rsid w:val="006119C2"/>
    <w:rsid w:val="00612479"/>
    <w:rsid w:val="00613E05"/>
    <w:rsid w:val="006144A7"/>
    <w:rsid w:val="00615048"/>
    <w:rsid w:val="006160E9"/>
    <w:rsid w:val="00616862"/>
    <w:rsid w:val="00617194"/>
    <w:rsid w:val="006176B0"/>
    <w:rsid w:val="00620202"/>
    <w:rsid w:val="0062070E"/>
    <w:rsid w:val="00620ED4"/>
    <w:rsid w:val="00621B9A"/>
    <w:rsid w:val="0062224A"/>
    <w:rsid w:val="0062229B"/>
    <w:rsid w:val="00622CEC"/>
    <w:rsid w:val="00623E4D"/>
    <w:rsid w:val="006244BE"/>
    <w:rsid w:val="00624944"/>
    <w:rsid w:val="00626100"/>
    <w:rsid w:val="0062633A"/>
    <w:rsid w:val="00626DB0"/>
    <w:rsid w:val="00626E6C"/>
    <w:rsid w:val="00627684"/>
    <w:rsid w:val="00627D0E"/>
    <w:rsid w:val="00630442"/>
    <w:rsid w:val="0063112D"/>
    <w:rsid w:val="00632DED"/>
    <w:rsid w:val="00633DD9"/>
    <w:rsid w:val="00634214"/>
    <w:rsid w:val="006344AB"/>
    <w:rsid w:val="0063497C"/>
    <w:rsid w:val="0063594C"/>
    <w:rsid w:val="00635D70"/>
    <w:rsid w:val="0063644E"/>
    <w:rsid w:val="006377EE"/>
    <w:rsid w:val="006378B0"/>
    <w:rsid w:val="00640097"/>
    <w:rsid w:val="00640116"/>
    <w:rsid w:val="0064064C"/>
    <w:rsid w:val="006406BD"/>
    <w:rsid w:val="006416AD"/>
    <w:rsid w:val="006417AB"/>
    <w:rsid w:val="00642073"/>
    <w:rsid w:val="00642C52"/>
    <w:rsid w:val="00642D26"/>
    <w:rsid w:val="00643106"/>
    <w:rsid w:val="006444FE"/>
    <w:rsid w:val="00645842"/>
    <w:rsid w:val="0064585D"/>
    <w:rsid w:val="00645A6E"/>
    <w:rsid w:val="00645EFE"/>
    <w:rsid w:val="00645F21"/>
    <w:rsid w:val="00646108"/>
    <w:rsid w:val="00646286"/>
    <w:rsid w:val="006462EF"/>
    <w:rsid w:val="0064679F"/>
    <w:rsid w:val="0064699B"/>
    <w:rsid w:val="00646B86"/>
    <w:rsid w:val="006475A1"/>
    <w:rsid w:val="00647AD7"/>
    <w:rsid w:val="00647B48"/>
    <w:rsid w:val="0065023B"/>
    <w:rsid w:val="0065067B"/>
    <w:rsid w:val="00651AFF"/>
    <w:rsid w:val="00651C5E"/>
    <w:rsid w:val="00653CFE"/>
    <w:rsid w:val="00655472"/>
    <w:rsid w:val="006555DA"/>
    <w:rsid w:val="006559D7"/>
    <w:rsid w:val="006560A5"/>
    <w:rsid w:val="006560C5"/>
    <w:rsid w:val="00656A55"/>
    <w:rsid w:val="00656C9F"/>
    <w:rsid w:val="00656FAF"/>
    <w:rsid w:val="00657CC7"/>
    <w:rsid w:val="00657D18"/>
    <w:rsid w:val="006605B0"/>
    <w:rsid w:val="00660896"/>
    <w:rsid w:val="006609CC"/>
    <w:rsid w:val="00660A70"/>
    <w:rsid w:val="006617A5"/>
    <w:rsid w:val="00661F98"/>
    <w:rsid w:val="006620F1"/>
    <w:rsid w:val="00662995"/>
    <w:rsid w:val="00662D0C"/>
    <w:rsid w:val="00664749"/>
    <w:rsid w:val="00664968"/>
    <w:rsid w:val="006649C8"/>
    <w:rsid w:val="00664ED5"/>
    <w:rsid w:val="00665CE0"/>
    <w:rsid w:val="00666890"/>
    <w:rsid w:val="006668C7"/>
    <w:rsid w:val="006668EA"/>
    <w:rsid w:val="00666DEA"/>
    <w:rsid w:val="0066704B"/>
    <w:rsid w:val="0066711A"/>
    <w:rsid w:val="00670DE7"/>
    <w:rsid w:val="00671AE4"/>
    <w:rsid w:val="006721EF"/>
    <w:rsid w:val="00672670"/>
    <w:rsid w:val="00673484"/>
    <w:rsid w:val="00673855"/>
    <w:rsid w:val="0067389E"/>
    <w:rsid w:val="00673F2D"/>
    <w:rsid w:val="006744AD"/>
    <w:rsid w:val="006747B0"/>
    <w:rsid w:val="00674DA0"/>
    <w:rsid w:val="0068061D"/>
    <w:rsid w:val="00680814"/>
    <w:rsid w:val="00681715"/>
    <w:rsid w:val="0068177C"/>
    <w:rsid w:val="00681EB1"/>
    <w:rsid w:val="00682D03"/>
    <w:rsid w:val="00682E9A"/>
    <w:rsid w:val="006830C5"/>
    <w:rsid w:val="0068354E"/>
    <w:rsid w:val="0068444D"/>
    <w:rsid w:val="006845B8"/>
    <w:rsid w:val="00684877"/>
    <w:rsid w:val="00684B3F"/>
    <w:rsid w:val="006851E3"/>
    <w:rsid w:val="00685707"/>
    <w:rsid w:val="006866AE"/>
    <w:rsid w:val="00686CF9"/>
    <w:rsid w:val="00686CFB"/>
    <w:rsid w:val="00687074"/>
    <w:rsid w:val="00687077"/>
    <w:rsid w:val="00687183"/>
    <w:rsid w:val="006871EE"/>
    <w:rsid w:val="0069079E"/>
    <w:rsid w:val="006909AC"/>
    <w:rsid w:val="00691741"/>
    <w:rsid w:val="006920D6"/>
    <w:rsid w:val="00692165"/>
    <w:rsid w:val="00693A85"/>
    <w:rsid w:val="00696EBB"/>
    <w:rsid w:val="006971F5"/>
    <w:rsid w:val="0069737A"/>
    <w:rsid w:val="006975B4"/>
    <w:rsid w:val="0069772A"/>
    <w:rsid w:val="00697D77"/>
    <w:rsid w:val="00697E17"/>
    <w:rsid w:val="00697E52"/>
    <w:rsid w:val="006A0164"/>
    <w:rsid w:val="006A0684"/>
    <w:rsid w:val="006A166E"/>
    <w:rsid w:val="006A1E4A"/>
    <w:rsid w:val="006A2D82"/>
    <w:rsid w:val="006A3218"/>
    <w:rsid w:val="006A36C1"/>
    <w:rsid w:val="006A442B"/>
    <w:rsid w:val="006A4EE9"/>
    <w:rsid w:val="006A6A4B"/>
    <w:rsid w:val="006A6E29"/>
    <w:rsid w:val="006A6FE5"/>
    <w:rsid w:val="006A72AB"/>
    <w:rsid w:val="006B08C2"/>
    <w:rsid w:val="006B0F34"/>
    <w:rsid w:val="006B172D"/>
    <w:rsid w:val="006B1863"/>
    <w:rsid w:val="006B2DEE"/>
    <w:rsid w:val="006B34F1"/>
    <w:rsid w:val="006B3AF4"/>
    <w:rsid w:val="006B3BF3"/>
    <w:rsid w:val="006B4675"/>
    <w:rsid w:val="006B4D60"/>
    <w:rsid w:val="006B5735"/>
    <w:rsid w:val="006B59AF"/>
    <w:rsid w:val="006B603F"/>
    <w:rsid w:val="006B6E7C"/>
    <w:rsid w:val="006B75AD"/>
    <w:rsid w:val="006B76B3"/>
    <w:rsid w:val="006B781D"/>
    <w:rsid w:val="006B7895"/>
    <w:rsid w:val="006B79D5"/>
    <w:rsid w:val="006B7CBF"/>
    <w:rsid w:val="006C0211"/>
    <w:rsid w:val="006C02A4"/>
    <w:rsid w:val="006C1DFB"/>
    <w:rsid w:val="006C409B"/>
    <w:rsid w:val="006C4C7B"/>
    <w:rsid w:val="006C4D2D"/>
    <w:rsid w:val="006C5962"/>
    <w:rsid w:val="006C5D31"/>
    <w:rsid w:val="006C69A9"/>
    <w:rsid w:val="006C6CA2"/>
    <w:rsid w:val="006C6FCF"/>
    <w:rsid w:val="006C76E9"/>
    <w:rsid w:val="006D0145"/>
    <w:rsid w:val="006D0B12"/>
    <w:rsid w:val="006D0CA7"/>
    <w:rsid w:val="006D113F"/>
    <w:rsid w:val="006D14AF"/>
    <w:rsid w:val="006D2180"/>
    <w:rsid w:val="006D2489"/>
    <w:rsid w:val="006D3086"/>
    <w:rsid w:val="006D30E6"/>
    <w:rsid w:val="006D4832"/>
    <w:rsid w:val="006D4B3A"/>
    <w:rsid w:val="006D595F"/>
    <w:rsid w:val="006D5EB2"/>
    <w:rsid w:val="006D6AF8"/>
    <w:rsid w:val="006D7616"/>
    <w:rsid w:val="006E0259"/>
    <w:rsid w:val="006E0610"/>
    <w:rsid w:val="006E0EE5"/>
    <w:rsid w:val="006E12FE"/>
    <w:rsid w:val="006E14EF"/>
    <w:rsid w:val="006E2326"/>
    <w:rsid w:val="006E3C20"/>
    <w:rsid w:val="006E43FC"/>
    <w:rsid w:val="006E4632"/>
    <w:rsid w:val="006E491F"/>
    <w:rsid w:val="006E57FD"/>
    <w:rsid w:val="006E6B36"/>
    <w:rsid w:val="006E7F84"/>
    <w:rsid w:val="006F0DFA"/>
    <w:rsid w:val="006F11A2"/>
    <w:rsid w:val="006F11F0"/>
    <w:rsid w:val="006F176F"/>
    <w:rsid w:val="006F1E6C"/>
    <w:rsid w:val="006F2E47"/>
    <w:rsid w:val="006F2E72"/>
    <w:rsid w:val="006F3AF2"/>
    <w:rsid w:val="006F41F3"/>
    <w:rsid w:val="006F4923"/>
    <w:rsid w:val="006F4BF0"/>
    <w:rsid w:val="006F6DB0"/>
    <w:rsid w:val="006F79FA"/>
    <w:rsid w:val="006F7A2D"/>
    <w:rsid w:val="006F7BDE"/>
    <w:rsid w:val="006F7E7F"/>
    <w:rsid w:val="0070019E"/>
    <w:rsid w:val="00701203"/>
    <w:rsid w:val="00701958"/>
    <w:rsid w:val="00701B95"/>
    <w:rsid w:val="00702FD8"/>
    <w:rsid w:val="007031DC"/>
    <w:rsid w:val="007033FD"/>
    <w:rsid w:val="00703841"/>
    <w:rsid w:val="00703898"/>
    <w:rsid w:val="00706A63"/>
    <w:rsid w:val="00706AB3"/>
    <w:rsid w:val="00707562"/>
    <w:rsid w:val="00707D65"/>
    <w:rsid w:val="00711A11"/>
    <w:rsid w:val="00712E47"/>
    <w:rsid w:val="0071314F"/>
    <w:rsid w:val="00713C72"/>
    <w:rsid w:val="00713CC7"/>
    <w:rsid w:val="007140CB"/>
    <w:rsid w:val="00715983"/>
    <w:rsid w:val="00715FEE"/>
    <w:rsid w:val="007173F5"/>
    <w:rsid w:val="00717E92"/>
    <w:rsid w:val="0072089D"/>
    <w:rsid w:val="00720DCE"/>
    <w:rsid w:val="00721367"/>
    <w:rsid w:val="00721C64"/>
    <w:rsid w:val="00721FDC"/>
    <w:rsid w:val="00722032"/>
    <w:rsid w:val="00722ECE"/>
    <w:rsid w:val="007231DF"/>
    <w:rsid w:val="0072330C"/>
    <w:rsid w:val="0072361D"/>
    <w:rsid w:val="00723EF6"/>
    <w:rsid w:val="007243BA"/>
    <w:rsid w:val="007245C2"/>
    <w:rsid w:val="00724959"/>
    <w:rsid w:val="0072571D"/>
    <w:rsid w:val="0072599D"/>
    <w:rsid w:val="007259C9"/>
    <w:rsid w:val="00725B31"/>
    <w:rsid w:val="00726FB8"/>
    <w:rsid w:val="00730650"/>
    <w:rsid w:val="00730804"/>
    <w:rsid w:val="00730BA0"/>
    <w:rsid w:val="007323E6"/>
    <w:rsid w:val="007323F0"/>
    <w:rsid w:val="0073259E"/>
    <w:rsid w:val="00732C53"/>
    <w:rsid w:val="007332B5"/>
    <w:rsid w:val="00733A3D"/>
    <w:rsid w:val="00735064"/>
    <w:rsid w:val="0073530C"/>
    <w:rsid w:val="00735B36"/>
    <w:rsid w:val="00735FB5"/>
    <w:rsid w:val="00736B25"/>
    <w:rsid w:val="007375AE"/>
    <w:rsid w:val="0074000F"/>
    <w:rsid w:val="00740F7F"/>
    <w:rsid w:val="00741065"/>
    <w:rsid w:val="0074186C"/>
    <w:rsid w:val="007418A8"/>
    <w:rsid w:val="00742223"/>
    <w:rsid w:val="0074300F"/>
    <w:rsid w:val="00743FAE"/>
    <w:rsid w:val="007449C2"/>
    <w:rsid w:val="00745EC2"/>
    <w:rsid w:val="0074666B"/>
    <w:rsid w:val="00746911"/>
    <w:rsid w:val="00746B02"/>
    <w:rsid w:val="00747A0E"/>
    <w:rsid w:val="007505DB"/>
    <w:rsid w:val="00750BC7"/>
    <w:rsid w:val="0075137B"/>
    <w:rsid w:val="00751892"/>
    <w:rsid w:val="0075239D"/>
    <w:rsid w:val="00752412"/>
    <w:rsid w:val="0075259C"/>
    <w:rsid w:val="0075282A"/>
    <w:rsid w:val="00753BF2"/>
    <w:rsid w:val="007544E4"/>
    <w:rsid w:val="00754A40"/>
    <w:rsid w:val="00754C1E"/>
    <w:rsid w:val="00755DB1"/>
    <w:rsid w:val="00757155"/>
    <w:rsid w:val="007603F6"/>
    <w:rsid w:val="00760AA4"/>
    <w:rsid w:val="007616B9"/>
    <w:rsid w:val="0076229D"/>
    <w:rsid w:val="007624E8"/>
    <w:rsid w:val="007628FC"/>
    <w:rsid w:val="00762F9D"/>
    <w:rsid w:val="007631F4"/>
    <w:rsid w:val="00763B2B"/>
    <w:rsid w:val="00763E56"/>
    <w:rsid w:val="0076476E"/>
    <w:rsid w:val="0076497A"/>
    <w:rsid w:val="00764EAF"/>
    <w:rsid w:val="00765D9C"/>
    <w:rsid w:val="00766743"/>
    <w:rsid w:val="007675EA"/>
    <w:rsid w:val="00770842"/>
    <w:rsid w:val="00770985"/>
    <w:rsid w:val="00770B41"/>
    <w:rsid w:val="00771FAB"/>
    <w:rsid w:val="00772147"/>
    <w:rsid w:val="007729D9"/>
    <w:rsid w:val="0077381E"/>
    <w:rsid w:val="00773E56"/>
    <w:rsid w:val="00774742"/>
    <w:rsid w:val="00774C24"/>
    <w:rsid w:val="00774DA1"/>
    <w:rsid w:val="00775825"/>
    <w:rsid w:val="00776052"/>
    <w:rsid w:val="00776184"/>
    <w:rsid w:val="00777812"/>
    <w:rsid w:val="00777C68"/>
    <w:rsid w:val="007809A9"/>
    <w:rsid w:val="00780C2D"/>
    <w:rsid w:val="00780CE1"/>
    <w:rsid w:val="0078126D"/>
    <w:rsid w:val="007812CA"/>
    <w:rsid w:val="007825EC"/>
    <w:rsid w:val="00782669"/>
    <w:rsid w:val="00782A99"/>
    <w:rsid w:val="00783C7E"/>
    <w:rsid w:val="00784462"/>
    <w:rsid w:val="00784D55"/>
    <w:rsid w:val="0078552D"/>
    <w:rsid w:val="0078557D"/>
    <w:rsid w:val="00785B23"/>
    <w:rsid w:val="0078682A"/>
    <w:rsid w:val="00787030"/>
    <w:rsid w:val="007904C1"/>
    <w:rsid w:val="0079084E"/>
    <w:rsid w:val="007920C9"/>
    <w:rsid w:val="0079308B"/>
    <w:rsid w:val="00793D1A"/>
    <w:rsid w:val="0079466E"/>
    <w:rsid w:val="007950E4"/>
    <w:rsid w:val="007966CD"/>
    <w:rsid w:val="00797456"/>
    <w:rsid w:val="00797D7E"/>
    <w:rsid w:val="007A04A9"/>
    <w:rsid w:val="007A0E1A"/>
    <w:rsid w:val="007A100D"/>
    <w:rsid w:val="007A108C"/>
    <w:rsid w:val="007A1A69"/>
    <w:rsid w:val="007A1A92"/>
    <w:rsid w:val="007A225C"/>
    <w:rsid w:val="007A35D2"/>
    <w:rsid w:val="007A38F0"/>
    <w:rsid w:val="007A3EE4"/>
    <w:rsid w:val="007A46D5"/>
    <w:rsid w:val="007A5268"/>
    <w:rsid w:val="007A5FB8"/>
    <w:rsid w:val="007A5FFE"/>
    <w:rsid w:val="007A647C"/>
    <w:rsid w:val="007A66B7"/>
    <w:rsid w:val="007A6BCA"/>
    <w:rsid w:val="007A6EE2"/>
    <w:rsid w:val="007A7362"/>
    <w:rsid w:val="007A7A66"/>
    <w:rsid w:val="007A7B18"/>
    <w:rsid w:val="007A7C5E"/>
    <w:rsid w:val="007A7F7B"/>
    <w:rsid w:val="007B0CF3"/>
    <w:rsid w:val="007B3085"/>
    <w:rsid w:val="007B313E"/>
    <w:rsid w:val="007B32A4"/>
    <w:rsid w:val="007B3355"/>
    <w:rsid w:val="007B3850"/>
    <w:rsid w:val="007B3AE7"/>
    <w:rsid w:val="007B3F09"/>
    <w:rsid w:val="007B4051"/>
    <w:rsid w:val="007B459B"/>
    <w:rsid w:val="007B4811"/>
    <w:rsid w:val="007B4E6C"/>
    <w:rsid w:val="007B6245"/>
    <w:rsid w:val="007B64DB"/>
    <w:rsid w:val="007B69EC"/>
    <w:rsid w:val="007B6EF8"/>
    <w:rsid w:val="007C04CA"/>
    <w:rsid w:val="007C1135"/>
    <w:rsid w:val="007C196F"/>
    <w:rsid w:val="007C1B9D"/>
    <w:rsid w:val="007C2860"/>
    <w:rsid w:val="007C2A90"/>
    <w:rsid w:val="007C2F4F"/>
    <w:rsid w:val="007C3BC6"/>
    <w:rsid w:val="007C42BE"/>
    <w:rsid w:val="007C47DC"/>
    <w:rsid w:val="007C483A"/>
    <w:rsid w:val="007C4B6E"/>
    <w:rsid w:val="007C4C06"/>
    <w:rsid w:val="007C51C1"/>
    <w:rsid w:val="007C5E4F"/>
    <w:rsid w:val="007C7277"/>
    <w:rsid w:val="007C77B8"/>
    <w:rsid w:val="007C79A9"/>
    <w:rsid w:val="007C7B38"/>
    <w:rsid w:val="007D05CC"/>
    <w:rsid w:val="007D0918"/>
    <w:rsid w:val="007D17A5"/>
    <w:rsid w:val="007D1BE3"/>
    <w:rsid w:val="007D1E14"/>
    <w:rsid w:val="007D1F64"/>
    <w:rsid w:val="007D3111"/>
    <w:rsid w:val="007D3C7A"/>
    <w:rsid w:val="007D45F3"/>
    <w:rsid w:val="007D48AB"/>
    <w:rsid w:val="007D4A27"/>
    <w:rsid w:val="007D50D5"/>
    <w:rsid w:val="007D52AD"/>
    <w:rsid w:val="007D52F4"/>
    <w:rsid w:val="007D62F4"/>
    <w:rsid w:val="007D638E"/>
    <w:rsid w:val="007D7B6B"/>
    <w:rsid w:val="007D7B96"/>
    <w:rsid w:val="007E0531"/>
    <w:rsid w:val="007E06C7"/>
    <w:rsid w:val="007E0D8B"/>
    <w:rsid w:val="007E0DD4"/>
    <w:rsid w:val="007E0ED6"/>
    <w:rsid w:val="007E1338"/>
    <w:rsid w:val="007E1D27"/>
    <w:rsid w:val="007E2842"/>
    <w:rsid w:val="007E2908"/>
    <w:rsid w:val="007E3114"/>
    <w:rsid w:val="007E3FC3"/>
    <w:rsid w:val="007E467D"/>
    <w:rsid w:val="007E4B85"/>
    <w:rsid w:val="007E4C8E"/>
    <w:rsid w:val="007E4F9A"/>
    <w:rsid w:val="007E52F1"/>
    <w:rsid w:val="007E5AC6"/>
    <w:rsid w:val="007E5FCE"/>
    <w:rsid w:val="007E76E3"/>
    <w:rsid w:val="007F0252"/>
    <w:rsid w:val="007F0D97"/>
    <w:rsid w:val="007F1076"/>
    <w:rsid w:val="007F12D2"/>
    <w:rsid w:val="007F1D32"/>
    <w:rsid w:val="007F2625"/>
    <w:rsid w:val="007F2753"/>
    <w:rsid w:val="007F27E6"/>
    <w:rsid w:val="007F3C09"/>
    <w:rsid w:val="007F4B19"/>
    <w:rsid w:val="007F5D57"/>
    <w:rsid w:val="007F60BD"/>
    <w:rsid w:val="007F7FEF"/>
    <w:rsid w:val="008003F0"/>
    <w:rsid w:val="0080093C"/>
    <w:rsid w:val="00800CB7"/>
    <w:rsid w:val="00800E7A"/>
    <w:rsid w:val="00801C9C"/>
    <w:rsid w:val="00802AC8"/>
    <w:rsid w:val="00802BF6"/>
    <w:rsid w:val="0080340B"/>
    <w:rsid w:val="00803B54"/>
    <w:rsid w:val="0080418B"/>
    <w:rsid w:val="00804A0C"/>
    <w:rsid w:val="00804AD5"/>
    <w:rsid w:val="008052BC"/>
    <w:rsid w:val="00805336"/>
    <w:rsid w:val="008057F1"/>
    <w:rsid w:val="00806409"/>
    <w:rsid w:val="0080640B"/>
    <w:rsid w:val="008065A7"/>
    <w:rsid w:val="00806F1F"/>
    <w:rsid w:val="008118D7"/>
    <w:rsid w:val="008123E8"/>
    <w:rsid w:val="00812994"/>
    <w:rsid w:val="00812CF2"/>
    <w:rsid w:val="00813BCF"/>
    <w:rsid w:val="0081506D"/>
    <w:rsid w:val="00815E4D"/>
    <w:rsid w:val="00820142"/>
    <w:rsid w:val="008208AB"/>
    <w:rsid w:val="00820F92"/>
    <w:rsid w:val="00821B1A"/>
    <w:rsid w:val="00822C20"/>
    <w:rsid w:val="0082374B"/>
    <w:rsid w:val="00823CF9"/>
    <w:rsid w:val="00823DC4"/>
    <w:rsid w:val="00824419"/>
    <w:rsid w:val="0082475E"/>
    <w:rsid w:val="00825CE7"/>
    <w:rsid w:val="00825F42"/>
    <w:rsid w:val="00827AC8"/>
    <w:rsid w:val="008303F4"/>
    <w:rsid w:val="008304D8"/>
    <w:rsid w:val="00830A2F"/>
    <w:rsid w:val="00830A44"/>
    <w:rsid w:val="00830C15"/>
    <w:rsid w:val="008312E6"/>
    <w:rsid w:val="008315B5"/>
    <w:rsid w:val="0083285D"/>
    <w:rsid w:val="00832E3E"/>
    <w:rsid w:val="008332A7"/>
    <w:rsid w:val="00833464"/>
    <w:rsid w:val="00836EF0"/>
    <w:rsid w:val="00837810"/>
    <w:rsid w:val="0084028F"/>
    <w:rsid w:val="00840433"/>
    <w:rsid w:val="008405E6"/>
    <w:rsid w:val="00840FA8"/>
    <w:rsid w:val="00841C43"/>
    <w:rsid w:val="00842A84"/>
    <w:rsid w:val="00842A90"/>
    <w:rsid w:val="0084333E"/>
    <w:rsid w:val="008436ED"/>
    <w:rsid w:val="0084382A"/>
    <w:rsid w:val="00843846"/>
    <w:rsid w:val="00843CED"/>
    <w:rsid w:val="008441DC"/>
    <w:rsid w:val="00844746"/>
    <w:rsid w:val="00844DA1"/>
    <w:rsid w:val="00845410"/>
    <w:rsid w:val="00845764"/>
    <w:rsid w:val="00846030"/>
    <w:rsid w:val="008466D2"/>
    <w:rsid w:val="00846A9B"/>
    <w:rsid w:val="00847046"/>
    <w:rsid w:val="00850D84"/>
    <w:rsid w:val="00851158"/>
    <w:rsid w:val="008524BF"/>
    <w:rsid w:val="0085333D"/>
    <w:rsid w:val="008539DA"/>
    <w:rsid w:val="00854D22"/>
    <w:rsid w:val="00855417"/>
    <w:rsid w:val="00855AEF"/>
    <w:rsid w:val="00856851"/>
    <w:rsid w:val="00856A15"/>
    <w:rsid w:val="0085732D"/>
    <w:rsid w:val="00857762"/>
    <w:rsid w:val="00860108"/>
    <w:rsid w:val="00860912"/>
    <w:rsid w:val="00860CF3"/>
    <w:rsid w:val="00861464"/>
    <w:rsid w:val="0086197D"/>
    <w:rsid w:val="0086213F"/>
    <w:rsid w:val="0086259A"/>
    <w:rsid w:val="00862A0F"/>
    <w:rsid w:val="00862F59"/>
    <w:rsid w:val="008630E1"/>
    <w:rsid w:val="00863497"/>
    <w:rsid w:val="008636E2"/>
    <w:rsid w:val="00863839"/>
    <w:rsid w:val="00863C1A"/>
    <w:rsid w:val="00863C34"/>
    <w:rsid w:val="008647E1"/>
    <w:rsid w:val="008648C5"/>
    <w:rsid w:val="00864E4F"/>
    <w:rsid w:val="0086510D"/>
    <w:rsid w:val="00866094"/>
    <w:rsid w:val="008661E0"/>
    <w:rsid w:val="008662F5"/>
    <w:rsid w:val="008664BB"/>
    <w:rsid w:val="00866A88"/>
    <w:rsid w:val="00866B73"/>
    <w:rsid w:val="00866E5D"/>
    <w:rsid w:val="008672CF"/>
    <w:rsid w:val="008675CB"/>
    <w:rsid w:val="00867C51"/>
    <w:rsid w:val="00867D88"/>
    <w:rsid w:val="00867E7D"/>
    <w:rsid w:val="00870D82"/>
    <w:rsid w:val="00871E31"/>
    <w:rsid w:val="008727BE"/>
    <w:rsid w:val="00873656"/>
    <w:rsid w:val="00873A85"/>
    <w:rsid w:val="00874050"/>
    <w:rsid w:val="00874AC5"/>
    <w:rsid w:val="0087547F"/>
    <w:rsid w:val="00875758"/>
    <w:rsid w:val="00875870"/>
    <w:rsid w:val="00875B37"/>
    <w:rsid w:val="00876461"/>
    <w:rsid w:val="008765BD"/>
    <w:rsid w:val="00876B7C"/>
    <w:rsid w:val="00877813"/>
    <w:rsid w:val="00877B42"/>
    <w:rsid w:val="00880EF3"/>
    <w:rsid w:val="0088140D"/>
    <w:rsid w:val="00881B7F"/>
    <w:rsid w:val="00882A59"/>
    <w:rsid w:val="00882BBE"/>
    <w:rsid w:val="00882BE3"/>
    <w:rsid w:val="0088308B"/>
    <w:rsid w:val="00883507"/>
    <w:rsid w:val="0088383E"/>
    <w:rsid w:val="00883F84"/>
    <w:rsid w:val="00884D62"/>
    <w:rsid w:val="00885C92"/>
    <w:rsid w:val="008864BA"/>
    <w:rsid w:val="0088664C"/>
    <w:rsid w:val="0088720F"/>
    <w:rsid w:val="00887977"/>
    <w:rsid w:val="008900DB"/>
    <w:rsid w:val="008908D0"/>
    <w:rsid w:val="00890A8B"/>
    <w:rsid w:val="00891AC5"/>
    <w:rsid w:val="00892886"/>
    <w:rsid w:val="00892956"/>
    <w:rsid w:val="00892C3C"/>
    <w:rsid w:val="00892E8C"/>
    <w:rsid w:val="00893109"/>
    <w:rsid w:val="00893944"/>
    <w:rsid w:val="00893C53"/>
    <w:rsid w:val="008943AC"/>
    <w:rsid w:val="0089557C"/>
    <w:rsid w:val="00896D93"/>
    <w:rsid w:val="00897D53"/>
    <w:rsid w:val="008A091E"/>
    <w:rsid w:val="008A144E"/>
    <w:rsid w:val="008A15B0"/>
    <w:rsid w:val="008A1F21"/>
    <w:rsid w:val="008A263E"/>
    <w:rsid w:val="008A2BC1"/>
    <w:rsid w:val="008A2ED2"/>
    <w:rsid w:val="008A432A"/>
    <w:rsid w:val="008A4864"/>
    <w:rsid w:val="008A4BCC"/>
    <w:rsid w:val="008A4E6F"/>
    <w:rsid w:val="008A7635"/>
    <w:rsid w:val="008A777C"/>
    <w:rsid w:val="008B09E6"/>
    <w:rsid w:val="008B0E1D"/>
    <w:rsid w:val="008B2159"/>
    <w:rsid w:val="008B2208"/>
    <w:rsid w:val="008B2338"/>
    <w:rsid w:val="008B2485"/>
    <w:rsid w:val="008B2E2D"/>
    <w:rsid w:val="008B30B6"/>
    <w:rsid w:val="008B30F0"/>
    <w:rsid w:val="008B30FC"/>
    <w:rsid w:val="008B3C2F"/>
    <w:rsid w:val="008B3EF1"/>
    <w:rsid w:val="008B63DA"/>
    <w:rsid w:val="008B64C7"/>
    <w:rsid w:val="008B66DE"/>
    <w:rsid w:val="008B6D69"/>
    <w:rsid w:val="008B6F46"/>
    <w:rsid w:val="008B7935"/>
    <w:rsid w:val="008B79EF"/>
    <w:rsid w:val="008B7FB5"/>
    <w:rsid w:val="008C098F"/>
    <w:rsid w:val="008C0B7A"/>
    <w:rsid w:val="008C12CC"/>
    <w:rsid w:val="008C1315"/>
    <w:rsid w:val="008C14EB"/>
    <w:rsid w:val="008C183D"/>
    <w:rsid w:val="008C2381"/>
    <w:rsid w:val="008C3874"/>
    <w:rsid w:val="008C4493"/>
    <w:rsid w:val="008C5003"/>
    <w:rsid w:val="008C53E6"/>
    <w:rsid w:val="008C5456"/>
    <w:rsid w:val="008C5744"/>
    <w:rsid w:val="008C5828"/>
    <w:rsid w:val="008C58B2"/>
    <w:rsid w:val="008C5BDA"/>
    <w:rsid w:val="008C674F"/>
    <w:rsid w:val="008C6D0D"/>
    <w:rsid w:val="008C6E68"/>
    <w:rsid w:val="008C75ED"/>
    <w:rsid w:val="008C761A"/>
    <w:rsid w:val="008D00A9"/>
    <w:rsid w:val="008D00AF"/>
    <w:rsid w:val="008D0290"/>
    <w:rsid w:val="008D03AA"/>
    <w:rsid w:val="008D041C"/>
    <w:rsid w:val="008D11FE"/>
    <w:rsid w:val="008D1963"/>
    <w:rsid w:val="008D19E0"/>
    <w:rsid w:val="008D19E7"/>
    <w:rsid w:val="008D2DA4"/>
    <w:rsid w:val="008D5B4C"/>
    <w:rsid w:val="008D5D09"/>
    <w:rsid w:val="008D613D"/>
    <w:rsid w:val="008D6A9C"/>
    <w:rsid w:val="008E0DEA"/>
    <w:rsid w:val="008E2F3E"/>
    <w:rsid w:val="008E38DA"/>
    <w:rsid w:val="008E3C2E"/>
    <w:rsid w:val="008E3F4F"/>
    <w:rsid w:val="008E42DF"/>
    <w:rsid w:val="008E4CAD"/>
    <w:rsid w:val="008E531A"/>
    <w:rsid w:val="008E661B"/>
    <w:rsid w:val="008E66D2"/>
    <w:rsid w:val="008E7C71"/>
    <w:rsid w:val="008F0A48"/>
    <w:rsid w:val="008F14C2"/>
    <w:rsid w:val="008F2B2F"/>
    <w:rsid w:val="008F3312"/>
    <w:rsid w:val="008F337F"/>
    <w:rsid w:val="008F3B9B"/>
    <w:rsid w:val="008F4561"/>
    <w:rsid w:val="008F4900"/>
    <w:rsid w:val="008F5624"/>
    <w:rsid w:val="008F57D5"/>
    <w:rsid w:val="008F65B0"/>
    <w:rsid w:val="008F677B"/>
    <w:rsid w:val="008F7B4A"/>
    <w:rsid w:val="008F7BB4"/>
    <w:rsid w:val="00900296"/>
    <w:rsid w:val="00900840"/>
    <w:rsid w:val="00900A58"/>
    <w:rsid w:val="00901DE6"/>
    <w:rsid w:val="00903192"/>
    <w:rsid w:val="00903F8B"/>
    <w:rsid w:val="00904E54"/>
    <w:rsid w:val="00906BF2"/>
    <w:rsid w:val="00907822"/>
    <w:rsid w:val="00907A6A"/>
    <w:rsid w:val="00907A8F"/>
    <w:rsid w:val="00907B92"/>
    <w:rsid w:val="00907CB3"/>
    <w:rsid w:val="00907EBF"/>
    <w:rsid w:val="00907F91"/>
    <w:rsid w:val="009102A5"/>
    <w:rsid w:val="00910589"/>
    <w:rsid w:val="00910714"/>
    <w:rsid w:val="00911024"/>
    <w:rsid w:val="0091136F"/>
    <w:rsid w:val="0091137E"/>
    <w:rsid w:val="00911D43"/>
    <w:rsid w:val="00912A09"/>
    <w:rsid w:val="00912F20"/>
    <w:rsid w:val="009134CB"/>
    <w:rsid w:val="00913F23"/>
    <w:rsid w:val="00913F8F"/>
    <w:rsid w:val="00914D39"/>
    <w:rsid w:val="00915B7C"/>
    <w:rsid w:val="00915ECF"/>
    <w:rsid w:val="009162C8"/>
    <w:rsid w:val="0091713C"/>
    <w:rsid w:val="00917992"/>
    <w:rsid w:val="00917CEC"/>
    <w:rsid w:val="0092155E"/>
    <w:rsid w:val="00921A3E"/>
    <w:rsid w:val="009222F2"/>
    <w:rsid w:val="009225AD"/>
    <w:rsid w:val="00922DF2"/>
    <w:rsid w:val="00922F3B"/>
    <w:rsid w:val="00924015"/>
    <w:rsid w:val="0092455E"/>
    <w:rsid w:val="00924DBE"/>
    <w:rsid w:val="009275B2"/>
    <w:rsid w:val="00931570"/>
    <w:rsid w:val="00931921"/>
    <w:rsid w:val="009333CF"/>
    <w:rsid w:val="009336F0"/>
    <w:rsid w:val="00933C18"/>
    <w:rsid w:val="009343CC"/>
    <w:rsid w:val="00934EBE"/>
    <w:rsid w:val="00934FAA"/>
    <w:rsid w:val="009350E5"/>
    <w:rsid w:val="0093535E"/>
    <w:rsid w:val="0093552B"/>
    <w:rsid w:val="00936D25"/>
    <w:rsid w:val="00937197"/>
    <w:rsid w:val="009374E2"/>
    <w:rsid w:val="00937BA6"/>
    <w:rsid w:val="009403E2"/>
    <w:rsid w:val="009409E4"/>
    <w:rsid w:val="00940D60"/>
    <w:rsid w:val="0094170F"/>
    <w:rsid w:val="00941BB3"/>
    <w:rsid w:val="00941BC1"/>
    <w:rsid w:val="00941C1C"/>
    <w:rsid w:val="009422BE"/>
    <w:rsid w:val="00943793"/>
    <w:rsid w:val="00944173"/>
    <w:rsid w:val="00944622"/>
    <w:rsid w:val="0094483D"/>
    <w:rsid w:val="00945611"/>
    <w:rsid w:val="00945954"/>
    <w:rsid w:val="00946C0D"/>
    <w:rsid w:val="00947D53"/>
    <w:rsid w:val="0095013E"/>
    <w:rsid w:val="00950566"/>
    <w:rsid w:val="0095082E"/>
    <w:rsid w:val="00950AB8"/>
    <w:rsid w:val="0095136B"/>
    <w:rsid w:val="009514BB"/>
    <w:rsid w:val="009519ED"/>
    <w:rsid w:val="00952301"/>
    <w:rsid w:val="00953555"/>
    <w:rsid w:val="009538FA"/>
    <w:rsid w:val="00954635"/>
    <w:rsid w:val="00954716"/>
    <w:rsid w:val="00954FF3"/>
    <w:rsid w:val="00955805"/>
    <w:rsid w:val="00955A17"/>
    <w:rsid w:val="00955AA6"/>
    <w:rsid w:val="00956713"/>
    <w:rsid w:val="0095783B"/>
    <w:rsid w:val="00957852"/>
    <w:rsid w:val="00957C14"/>
    <w:rsid w:val="009602E5"/>
    <w:rsid w:val="0096058A"/>
    <w:rsid w:val="0096153F"/>
    <w:rsid w:val="0096169F"/>
    <w:rsid w:val="00962782"/>
    <w:rsid w:val="00963083"/>
    <w:rsid w:val="009630C6"/>
    <w:rsid w:val="00963C39"/>
    <w:rsid w:val="009657EB"/>
    <w:rsid w:val="00966553"/>
    <w:rsid w:val="009669F3"/>
    <w:rsid w:val="00967187"/>
    <w:rsid w:val="0096745F"/>
    <w:rsid w:val="00967A08"/>
    <w:rsid w:val="00967FE1"/>
    <w:rsid w:val="009708E6"/>
    <w:rsid w:val="00970C71"/>
    <w:rsid w:val="009710ED"/>
    <w:rsid w:val="009716C9"/>
    <w:rsid w:val="00971999"/>
    <w:rsid w:val="009730C7"/>
    <w:rsid w:val="00973343"/>
    <w:rsid w:val="00976307"/>
    <w:rsid w:val="00976623"/>
    <w:rsid w:val="00977C94"/>
    <w:rsid w:val="00977E0A"/>
    <w:rsid w:val="00977E15"/>
    <w:rsid w:val="00980E73"/>
    <w:rsid w:val="009810B0"/>
    <w:rsid w:val="009816D4"/>
    <w:rsid w:val="00981D8D"/>
    <w:rsid w:val="00981DA7"/>
    <w:rsid w:val="0098231F"/>
    <w:rsid w:val="00982633"/>
    <w:rsid w:val="0098289E"/>
    <w:rsid w:val="009829D6"/>
    <w:rsid w:val="00982EDD"/>
    <w:rsid w:val="00984130"/>
    <w:rsid w:val="009849F6"/>
    <w:rsid w:val="00984AE9"/>
    <w:rsid w:val="00985FC5"/>
    <w:rsid w:val="009860BA"/>
    <w:rsid w:val="009865AD"/>
    <w:rsid w:val="009867F3"/>
    <w:rsid w:val="00987295"/>
    <w:rsid w:val="00987360"/>
    <w:rsid w:val="009874B7"/>
    <w:rsid w:val="00987F5B"/>
    <w:rsid w:val="00991CF4"/>
    <w:rsid w:val="00991D42"/>
    <w:rsid w:val="00991D55"/>
    <w:rsid w:val="0099248D"/>
    <w:rsid w:val="0099382F"/>
    <w:rsid w:val="00994682"/>
    <w:rsid w:val="009946E7"/>
    <w:rsid w:val="009955C0"/>
    <w:rsid w:val="009955FF"/>
    <w:rsid w:val="00996787"/>
    <w:rsid w:val="00996C57"/>
    <w:rsid w:val="00997458"/>
    <w:rsid w:val="009A070F"/>
    <w:rsid w:val="009A0728"/>
    <w:rsid w:val="009A14A2"/>
    <w:rsid w:val="009A20EE"/>
    <w:rsid w:val="009A3186"/>
    <w:rsid w:val="009A32EA"/>
    <w:rsid w:val="009A3A4D"/>
    <w:rsid w:val="009A5141"/>
    <w:rsid w:val="009A5147"/>
    <w:rsid w:val="009A5998"/>
    <w:rsid w:val="009A5C0F"/>
    <w:rsid w:val="009A5D44"/>
    <w:rsid w:val="009A7361"/>
    <w:rsid w:val="009B0D29"/>
    <w:rsid w:val="009B168C"/>
    <w:rsid w:val="009B1C1A"/>
    <w:rsid w:val="009B1C95"/>
    <w:rsid w:val="009B1DED"/>
    <w:rsid w:val="009B239C"/>
    <w:rsid w:val="009B36BD"/>
    <w:rsid w:val="009B43DF"/>
    <w:rsid w:val="009B4586"/>
    <w:rsid w:val="009B4712"/>
    <w:rsid w:val="009B4B87"/>
    <w:rsid w:val="009B4DBD"/>
    <w:rsid w:val="009B5296"/>
    <w:rsid w:val="009B553C"/>
    <w:rsid w:val="009B5E0F"/>
    <w:rsid w:val="009B6492"/>
    <w:rsid w:val="009C07BD"/>
    <w:rsid w:val="009C0941"/>
    <w:rsid w:val="009C20F5"/>
    <w:rsid w:val="009C20FF"/>
    <w:rsid w:val="009C29AB"/>
    <w:rsid w:val="009C2A07"/>
    <w:rsid w:val="009C2C56"/>
    <w:rsid w:val="009C35E8"/>
    <w:rsid w:val="009C46E0"/>
    <w:rsid w:val="009C4C97"/>
    <w:rsid w:val="009C5233"/>
    <w:rsid w:val="009C54C3"/>
    <w:rsid w:val="009C5D4A"/>
    <w:rsid w:val="009C6547"/>
    <w:rsid w:val="009C6BDF"/>
    <w:rsid w:val="009C6E83"/>
    <w:rsid w:val="009C7971"/>
    <w:rsid w:val="009D000C"/>
    <w:rsid w:val="009D00AE"/>
    <w:rsid w:val="009D0F48"/>
    <w:rsid w:val="009D192B"/>
    <w:rsid w:val="009D212E"/>
    <w:rsid w:val="009D22E9"/>
    <w:rsid w:val="009D34BF"/>
    <w:rsid w:val="009D4324"/>
    <w:rsid w:val="009D46B2"/>
    <w:rsid w:val="009D4AC9"/>
    <w:rsid w:val="009D643E"/>
    <w:rsid w:val="009D65DA"/>
    <w:rsid w:val="009D70FB"/>
    <w:rsid w:val="009E31F7"/>
    <w:rsid w:val="009E3A44"/>
    <w:rsid w:val="009E3BB9"/>
    <w:rsid w:val="009E4658"/>
    <w:rsid w:val="009E4E36"/>
    <w:rsid w:val="009E5264"/>
    <w:rsid w:val="009E5B22"/>
    <w:rsid w:val="009E65DF"/>
    <w:rsid w:val="009E6C64"/>
    <w:rsid w:val="009F20E6"/>
    <w:rsid w:val="009F22F5"/>
    <w:rsid w:val="009F2969"/>
    <w:rsid w:val="009F3258"/>
    <w:rsid w:val="009F490B"/>
    <w:rsid w:val="009F4AB4"/>
    <w:rsid w:val="009F5B3F"/>
    <w:rsid w:val="009F6129"/>
    <w:rsid w:val="009F6139"/>
    <w:rsid w:val="009F664E"/>
    <w:rsid w:val="009F6A6F"/>
    <w:rsid w:val="009F6C7A"/>
    <w:rsid w:val="009F7210"/>
    <w:rsid w:val="009F7E6B"/>
    <w:rsid w:val="009F7F23"/>
    <w:rsid w:val="00A00B43"/>
    <w:rsid w:val="00A01269"/>
    <w:rsid w:val="00A019A0"/>
    <w:rsid w:val="00A01D2E"/>
    <w:rsid w:val="00A025C2"/>
    <w:rsid w:val="00A0289C"/>
    <w:rsid w:val="00A0293A"/>
    <w:rsid w:val="00A0464B"/>
    <w:rsid w:val="00A04B49"/>
    <w:rsid w:val="00A04EE2"/>
    <w:rsid w:val="00A050B6"/>
    <w:rsid w:val="00A063AA"/>
    <w:rsid w:val="00A06696"/>
    <w:rsid w:val="00A06716"/>
    <w:rsid w:val="00A06C49"/>
    <w:rsid w:val="00A070A9"/>
    <w:rsid w:val="00A11037"/>
    <w:rsid w:val="00A12763"/>
    <w:rsid w:val="00A132B6"/>
    <w:rsid w:val="00A148E9"/>
    <w:rsid w:val="00A15C41"/>
    <w:rsid w:val="00A160A1"/>
    <w:rsid w:val="00A163AF"/>
    <w:rsid w:val="00A16882"/>
    <w:rsid w:val="00A16D1E"/>
    <w:rsid w:val="00A16DBB"/>
    <w:rsid w:val="00A17225"/>
    <w:rsid w:val="00A175C6"/>
    <w:rsid w:val="00A175CF"/>
    <w:rsid w:val="00A17610"/>
    <w:rsid w:val="00A17874"/>
    <w:rsid w:val="00A201B5"/>
    <w:rsid w:val="00A205B2"/>
    <w:rsid w:val="00A20AAF"/>
    <w:rsid w:val="00A21FA5"/>
    <w:rsid w:val="00A2253C"/>
    <w:rsid w:val="00A230D4"/>
    <w:rsid w:val="00A23376"/>
    <w:rsid w:val="00A234AC"/>
    <w:rsid w:val="00A23FB0"/>
    <w:rsid w:val="00A242C2"/>
    <w:rsid w:val="00A24605"/>
    <w:rsid w:val="00A2461A"/>
    <w:rsid w:val="00A2505A"/>
    <w:rsid w:val="00A25724"/>
    <w:rsid w:val="00A25C83"/>
    <w:rsid w:val="00A26683"/>
    <w:rsid w:val="00A26B87"/>
    <w:rsid w:val="00A26CD8"/>
    <w:rsid w:val="00A26D3E"/>
    <w:rsid w:val="00A302D2"/>
    <w:rsid w:val="00A30F45"/>
    <w:rsid w:val="00A321EC"/>
    <w:rsid w:val="00A32540"/>
    <w:rsid w:val="00A32D9D"/>
    <w:rsid w:val="00A33178"/>
    <w:rsid w:val="00A339CB"/>
    <w:rsid w:val="00A3433B"/>
    <w:rsid w:val="00A345A5"/>
    <w:rsid w:val="00A34C1B"/>
    <w:rsid w:val="00A3522F"/>
    <w:rsid w:val="00A357F9"/>
    <w:rsid w:val="00A36909"/>
    <w:rsid w:val="00A37233"/>
    <w:rsid w:val="00A372AD"/>
    <w:rsid w:val="00A40692"/>
    <w:rsid w:val="00A40887"/>
    <w:rsid w:val="00A42859"/>
    <w:rsid w:val="00A42C53"/>
    <w:rsid w:val="00A4357B"/>
    <w:rsid w:val="00A43A12"/>
    <w:rsid w:val="00A43D95"/>
    <w:rsid w:val="00A4500D"/>
    <w:rsid w:val="00A45173"/>
    <w:rsid w:val="00A452E9"/>
    <w:rsid w:val="00A45540"/>
    <w:rsid w:val="00A45716"/>
    <w:rsid w:val="00A4610E"/>
    <w:rsid w:val="00A46274"/>
    <w:rsid w:val="00A4644D"/>
    <w:rsid w:val="00A464CF"/>
    <w:rsid w:val="00A467C6"/>
    <w:rsid w:val="00A470DF"/>
    <w:rsid w:val="00A47535"/>
    <w:rsid w:val="00A47D75"/>
    <w:rsid w:val="00A47ECE"/>
    <w:rsid w:val="00A5047E"/>
    <w:rsid w:val="00A50D21"/>
    <w:rsid w:val="00A51F67"/>
    <w:rsid w:val="00A52729"/>
    <w:rsid w:val="00A53AA0"/>
    <w:rsid w:val="00A53D56"/>
    <w:rsid w:val="00A53E1B"/>
    <w:rsid w:val="00A542A8"/>
    <w:rsid w:val="00A545E8"/>
    <w:rsid w:val="00A545F8"/>
    <w:rsid w:val="00A54C87"/>
    <w:rsid w:val="00A55158"/>
    <w:rsid w:val="00A55304"/>
    <w:rsid w:val="00A5566C"/>
    <w:rsid w:val="00A55A6C"/>
    <w:rsid w:val="00A55F53"/>
    <w:rsid w:val="00A56816"/>
    <w:rsid w:val="00A56DFA"/>
    <w:rsid w:val="00A571C6"/>
    <w:rsid w:val="00A575E8"/>
    <w:rsid w:val="00A60110"/>
    <w:rsid w:val="00A60F46"/>
    <w:rsid w:val="00A61356"/>
    <w:rsid w:val="00A624E0"/>
    <w:rsid w:val="00A626E7"/>
    <w:rsid w:val="00A629D5"/>
    <w:rsid w:val="00A62F5A"/>
    <w:rsid w:val="00A63FAC"/>
    <w:rsid w:val="00A67D1A"/>
    <w:rsid w:val="00A70118"/>
    <w:rsid w:val="00A70411"/>
    <w:rsid w:val="00A7139E"/>
    <w:rsid w:val="00A718D1"/>
    <w:rsid w:val="00A7195F"/>
    <w:rsid w:val="00A71FA5"/>
    <w:rsid w:val="00A72800"/>
    <w:rsid w:val="00A72F11"/>
    <w:rsid w:val="00A73394"/>
    <w:rsid w:val="00A73587"/>
    <w:rsid w:val="00A739EC"/>
    <w:rsid w:val="00A73A68"/>
    <w:rsid w:val="00A73F4D"/>
    <w:rsid w:val="00A74B3E"/>
    <w:rsid w:val="00A7564F"/>
    <w:rsid w:val="00A75D17"/>
    <w:rsid w:val="00A75EC3"/>
    <w:rsid w:val="00A76197"/>
    <w:rsid w:val="00A76260"/>
    <w:rsid w:val="00A765D9"/>
    <w:rsid w:val="00A803B6"/>
    <w:rsid w:val="00A805B9"/>
    <w:rsid w:val="00A80DE8"/>
    <w:rsid w:val="00A816E0"/>
    <w:rsid w:val="00A819BA"/>
    <w:rsid w:val="00A81E20"/>
    <w:rsid w:val="00A8228E"/>
    <w:rsid w:val="00A82AD0"/>
    <w:rsid w:val="00A833D5"/>
    <w:rsid w:val="00A83567"/>
    <w:rsid w:val="00A83B4B"/>
    <w:rsid w:val="00A83F24"/>
    <w:rsid w:val="00A840BB"/>
    <w:rsid w:val="00A844F5"/>
    <w:rsid w:val="00A846DB"/>
    <w:rsid w:val="00A84F69"/>
    <w:rsid w:val="00A8539F"/>
    <w:rsid w:val="00A859B5"/>
    <w:rsid w:val="00A85F39"/>
    <w:rsid w:val="00A86A17"/>
    <w:rsid w:val="00A86AA1"/>
    <w:rsid w:val="00A87069"/>
    <w:rsid w:val="00A87EA5"/>
    <w:rsid w:val="00A90020"/>
    <w:rsid w:val="00A93FD1"/>
    <w:rsid w:val="00A955F0"/>
    <w:rsid w:val="00A962A6"/>
    <w:rsid w:val="00A962EC"/>
    <w:rsid w:val="00A972D2"/>
    <w:rsid w:val="00A97DD8"/>
    <w:rsid w:val="00AA104F"/>
    <w:rsid w:val="00AA1CCD"/>
    <w:rsid w:val="00AA2457"/>
    <w:rsid w:val="00AA3381"/>
    <w:rsid w:val="00AA34DE"/>
    <w:rsid w:val="00AA41D8"/>
    <w:rsid w:val="00AA645C"/>
    <w:rsid w:val="00AA79A4"/>
    <w:rsid w:val="00AA7E5B"/>
    <w:rsid w:val="00AA7F10"/>
    <w:rsid w:val="00AB1D77"/>
    <w:rsid w:val="00AB2532"/>
    <w:rsid w:val="00AB2617"/>
    <w:rsid w:val="00AB3A49"/>
    <w:rsid w:val="00AB614A"/>
    <w:rsid w:val="00AB6850"/>
    <w:rsid w:val="00AB7DE0"/>
    <w:rsid w:val="00AC0450"/>
    <w:rsid w:val="00AC049C"/>
    <w:rsid w:val="00AC04F9"/>
    <w:rsid w:val="00AC26F0"/>
    <w:rsid w:val="00AC2AEB"/>
    <w:rsid w:val="00AC3A9D"/>
    <w:rsid w:val="00AC3F10"/>
    <w:rsid w:val="00AC449C"/>
    <w:rsid w:val="00AC4D2C"/>
    <w:rsid w:val="00AC4E3D"/>
    <w:rsid w:val="00AC5692"/>
    <w:rsid w:val="00AC593D"/>
    <w:rsid w:val="00AC5C11"/>
    <w:rsid w:val="00AC621F"/>
    <w:rsid w:val="00AC64FA"/>
    <w:rsid w:val="00AC6C65"/>
    <w:rsid w:val="00AC7024"/>
    <w:rsid w:val="00AC74BA"/>
    <w:rsid w:val="00AC78E2"/>
    <w:rsid w:val="00AC7F59"/>
    <w:rsid w:val="00AD13BF"/>
    <w:rsid w:val="00AD1DB1"/>
    <w:rsid w:val="00AD1ED8"/>
    <w:rsid w:val="00AD2798"/>
    <w:rsid w:val="00AD3262"/>
    <w:rsid w:val="00AD3EAD"/>
    <w:rsid w:val="00AD3F4E"/>
    <w:rsid w:val="00AD5004"/>
    <w:rsid w:val="00AD51F6"/>
    <w:rsid w:val="00AD580C"/>
    <w:rsid w:val="00AD6B1E"/>
    <w:rsid w:val="00AD7399"/>
    <w:rsid w:val="00AD73A3"/>
    <w:rsid w:val="00AD7EC4"/>
    <w:rsid w:val="00AE1654"/>
    <w:rsid w:val="00AE18D5"/>
    <w:rsid w:val="00AE2897"/>
    <w:rsid w:val="00AE334F"/>
    <w:rsid w:val="00AE3727"/>
    <w:rsid w:val="00AE3994"/>
    <w:rsid w:val="00AE3A0E"/>
    <w:rsid w:val="00AE4151"/>
    <w:rsid w:val="00AE4307"/>
    <w:rsid w:val="00AE485B"/>
    <w:rsid w:val="00AE4D2C"/>
    <w:rsid w:val="00AE5526"/>
    <w:rsid w:val="00AE58BC"/>
    <w:rsid w:val="00AE679D"/>
    <w:rsid w:val="00AE679E"/>
    <w:rsid w:val="00AE73D8"/>
    <w:rsid w:val="00AE7817"/>
    <w:rsid w:val="00AE7D83"/>
    <w:rsid w:val="00AF0A08"/>
    <w:rsid w:val="00AF1096"/>
    <w:rsid w:val="00AF14A8"/>
    <w:rsid w:val="00AF1E64"/>
    <w:rsid w:val="00AF21BA"/>
    <w:rsid w:val="00AF28F7"/>
    <w:rsid w:val="00AF2CA4"/>
    <w:rsid w:val="00AF2DFA"/>
    <w:rsid w:val="00AF42DD"/>
    <w:rsid w:val="00AF495A"/>
    <w:rsid w:val="00AF4B26"/>
    <w:rsid w:val="00AF75C8"/>
    <w:rsid w:val="00B00C57"/>
    <w:rsid w:val="00B00C95"/>
    <w:rsid w:val="00B014EB"/>
    <w:rsid w:val="00B01716"/>
    <w:rsid w:val="00B0197C"/>
    <w:rsid w:val="00B02710"/>
    <w:rsid w:val="00B02F48"/>
    <w:rsid w:val="00B0365B"/>
    <w:rsid w:val="00B03C4D"/>
    <w:rsid w:val="00B0464B"/>
    <w:rsid w:val="00B04E48"/>
    <w:rsid w:val="00B050C6"/>
    <w:rsid w:val="00B05789"/>
    <w:rsid w:val="00B0578F"/>
    <w:rsid w:val="00B07996"/>
    <w:rsid w:val="00B07D32"/>
    <w:rsid w:val="00B105EE"/>
    <w:rsid w:val="00B11AB2"/>
    <w:rsid w:val="00B129DA"/>
    <w:rsid w:val="00B12A68"/>
    <w:rsid w:val="00B13524"/>
    <w:rsid w:val="00B14353"/>
    <w:rsid w:val="00B143D5"/>
    <w:rsid w:val="00B152BD"/>
    <w:rsid w:val="00B153A5"/>
    <w:rsid w:val="00B157F9"/>
    <w:rsid w:val="00B15B10"/>
    <w:rsid w:val="00B17504"/>
    <w:rsid w:val="00B175B1"/>
    <w:rsid w:val="00B17A47"/>
    <w:rsid w:val="00B217F9"/>
    <w:rsid w:val="00B21A8C"/>
    <w:rsid w:val="00B221E1"/>
    <w:rsid w:val="00B2290F"/>
    <w:rsid w:val="00B2376E"/>
    <w:rsid w:val="00B24A9D"/>
    <w:rsid w:val="00B24BCB"/>
    <w:rsid w:val="00B25753"/>
    <w:rsid w:val="00B25FCA"/>
    <w:rsid w:val="00B2648F"/>
    <w:rsid w:val="00B264B9"/>
    <w:rsid w:val="00B26957"/>
    <w:rsid w:val="00B304BA"/>
    <w:rsid w:val="00B31E82"/>
    <w:rsid w:val="00B325DF"/>
    <w:rsid w:val="00B32E2D"/>
    <w:rsid w:val="00B3346C"/>
    <w:rsid w:val="00B336A4"/>
    <w:rsid w:val="00B34276"/>
    <w:rsid w:val="00B3464F"/>
    <w:rsid w:val="00B3465B"/>
    <w:rsid w:val="00B34B35"/>
    <w:rsid w:val="00B357DF"/>
    <w:rsid w:val="00B36138"/>
    <w:rsid w:val="00B3635D"/>
    <w:rsid w:val="00B364B1"/>
    <w:rsid w:val="00B36575"/>
    <w:rsid w:val="00B3689E"/>
    <w:rsid w:val="00B36CCD"/>
    <w:rsid w:val="00B36F99"/>
    <w:rsid w:val="00B37C1E"/>
    <w:rsid w:val="00B407B9"/>
    <w:rsid w:val="00B417FD"/>
    <w:rsid w:val="00B41C7B"/>
    <w:rsid w:val="00B41DE1"/>
    <w:rsid w:val="00B41FCA"/>
    <w:rsid w:val="00B430BB"/>
    <w:rsid w:val="00B436B6"/>
    <w:rsid w:val="00B437F9"/>
    <w:rsid w:val="00B43FD4"/>
    <w:rsid w:val="00B4503E"/>
    <w:rsid w:val="00B45926"/>
    <w:rsid w:val="00B46009"/>
    <w:rsid w:val="00B4629A"/>
    <w:rsid w:val="00B46C16"/>
    <w:rsid w:val="00B47B2A"/>
    <w:rsid w:val="00B47E9F"/>
    <w:rsid w:val="00B50F7E"/>
    <w:rsid w:val="00B513A7"/>
    <w:rsid w:val="00B53D13"/>
    <w:rsid w:val="00B53DA1"/>
    <w:rsid w:val="00B53DB8"/>
    <w:rsid w:val="00B54126"/>
    <w:rsid w:val="00B54B86"/>
    <w:rsid w:val="00B54FA9"/>
    <w:rsid w:val="00B55001"/>
    <w:rsid w:val="00B55DC4"/>
    <w:rsid w:val="00B55EAC"/>
    <w:rsid w:val="00B55F92"/>
    <w:rsid w:val="00B55F9B"/>
    <w:rsid w:val="00B5604E"/>
    <w:rsid w:val="00B612C2"/>
    <w:rsid w:val="00B61E77"/>
    <w:rsid w:val="00B649CA"/>
    <w:rsid w:val="00B64C20"/>
    <w:rsid w:val="00B65934"/>
    <w:rsid w:val="00B65D44"/>
    <w:rsid w:val="00B65E67"/>
    <w:rsid w:val="00B65FCC"/>
    <w:rsid w:val="00B67152"/>
    <w:rsid w:val="00B67D3C"/>
    <w:rsid w:val="00B70D96"/>
    <w:rsid w:val="00B710C0"/>
    <w:rsid w:val="00B7128D"/>
    <w:rsid w:val="00B712FB"/>
    <w:rsid w:val="00B71354"/>
    <w:rsid w:val="00B72699"/>
    <w:rsid w:val="00B7395F"/>
    <w:rsid w:val="00B74753"/>
    <w:rsid w:val="00B74B59"/>
    <w:rsid w:val="00B74B7B"/>
    <w:rsid w:val="00B75976"/>
    <w:rsid w:val="00B75993"/>
    <w:rsid w:val="00B75BAD"/>
    <w:rsid w:val="00B7676C"/>
    <w:rsid w:val="00B76813"/>
    <w:rsid w:val="00B76816"/>
    <w:rsid w:val="00B821F0"/>
    <w:rsid w:val="00B82E6A"/>
    <w:rsid w:val="00B849A3"/>
    <w:rsid w:val="00B8574A"/>
    <w:rsid w:val="00B861C6"/>
    <w:rsid w:val="00B8656F"/>
    <w:rsid w:val="00B86CF5"/>
    <w:rsid w:val="00B86FAE"/>
    <w:rsid w:val="00B87070"/>
    <w:rsid w:val="00B87E9A"/>
    <w:rsid w:val="00B87F0F"/>
    <w:rsid w:val="00B902CF"/>
    <w:rsid w:val="00B904CD"/>
    <w:rsid w:val="00B90CA3"/>
    <w:rsid w:val="00B90F86"/>
    <w:rsid w:val="00B912E4"/>
    <w:rsid w:val="00B91BCF"/>
    <w:rsid w:val="00B93BE0"/>
    <w:rsid w:val="00B9414C"/>
    <w:rsid w:val="00B94E9E"/>
    <w:rsid w:val="00B95D4C"/>
    <w:rsid w:val="00B95EEB"/>
    <w:rsid w:val="00B9709A"/>
    <w:rsid w:val="00B9724D"/>
    <w:rsid w:val="00B97C9D"/>
    <w:rsid w:val="00BA0247"/>
    <w:rsid w:val="00BA095E"/>
    <w:rsid w:val="00BA0C77"/>
    <w:rsid w:val="00BA1D79"/>
    <w:rsid w:val="00BA291A"/>
    <w:rsid w:val="00BA2BD2"/>
    <w:rsid w:val="00BA4214"/>
    <w:rsid w:val="00BA457D"/>
    <w:rsid w:val="00BA5A33"/>
    <w:rsid w:val="00BA5E15"/>
    <w:rsid w:val="00BA5EE9"/>
    <w:rsid w:val="00BA6AC0"/>
    <w:rsid w:val="00BA7570"/>
    <w:rsid w:val="00BA79A9"/>
    <w:rsid w:val="00BA79F5"/>
    <w:rsid w:val="00BB00E3"/>
    <w:rsid w:val="00BB077B"/>
    <w:rsid w:val="00BB126E"/>
    <w:rsid w:val="00BB13DD"/>
    <w:rsid w:val="00BB1FD1"/>
    <w:rsid w:val="00BB250D"/>
    <w:rsid w:val="00BB2613"/>
    <w:rsid w:val="00BB378F"/>
    <w:rsid w:val="00BB3806"/>
    <w:rsid w:val="00BB4EC0"/>
    <w:rsid w:val="00BB5683"/>
    <w:rsid w:val="00BB7C34"/>
    <w:rsid w:val="00BB7FAD"/>
    <w:rsid w:val="00BC0494"/>
    <w:rsid w:val="00BC152C"/>
    <w:rsid w:val="00BC2202"/>
    <w:rsid w:val="00BC28DD"/>
    <w:rsid w:val="00BC2C0C"/>
    <w:rsid w:val="00BC2DB8"/>
    <w:rsid w:val="00BC4461"/>
    <w:rsid w:val="00BC4F11"/>
    <w:rsid w:val="00BC567E"/>
    <w:rsid w:val="00BC56EC"/>
    <w:rsid w:val="00BC6B4D"/>
    <w:rsid w:val="00BC71E9"/>
    <w:rsid w:val="00BC72CC"/>
    <w:rsid w:val="00BC72ED"/>
    <w:rsid w:val="00BD0E0E"/>
    <w:rsid w:val="00BD12C9"/>
    <w:rsid w:val="00BD137C"/>
    <w:rsid w:val="00BD1FFB"/>
    <w:rsid w:val="00BD2324"/>
    <w:rsid w:val="00BD2704"/>
    <w:rsid w:val="00BD28EA"/>
    <w:rsid w:val="00BD2FF2"/>
    <w:rsid w:val="00BD3063"/>
    <w:rsid w:val="00BD3271"/>
    <w:rsid w:val="00BD34D7"/>
    <w:rsid w:val="00BD3570"/>
    <w:rsid w:val="00BD37E8"/>
    <w:rsid w:val="00BD40E2"/>
    <w:rsid w:val="00BD536B"/>
    <w:rsid w:val="00BD5667"/>
    <w:rsid w:val="00BD5E42"/>
    <w:rsid w:val="00BD5EEB"/>
    <w:rsid w:val="00BD6D85"/>
    <w:rsid w:val="00BD6D89"/>
    <w:rsid w:val="00BD761A"/>
    <w:rsid w:val="00BD7623"/>
    <w:rsid w:val="00BE09BF"/>
    <w:rsid w:val="00BE0A31"/>
    <w:rsid w:val="00BE0CCF"/>
    <w:rsid w:val="00BE1E31"/>
    <w:rsid w:val="00BE2A2A"/>
    <w:rsid w:val="00BE455F"/>
    <w:rsid w:val="00BE4851"/>
    <w:rsid w:val="00BE5287"/>
    <w:rsid w:val="00BE5D49"/>
    <w:rsid w:val="00BE5D84"/>
    <w:rsid w:val="00BE6222"/>
    <w:rsid w:val="00BE6242"/>
    <w:rsid w:val="00BE662B"/>
    <w:rsid w:val="00BE6744"/>
    <w:rsid w:val="00BE75CD"/>
    <w:rsid w:val="00BE78AD"/>
    <w:rsid w:val="00BF0359"/>
    <w:rsid w:val="00BF076E"/>
    <w:rsid w:val="00BF07CC"/>
    <w:rsid w:val="00BF08F6"/>
    <w:rsid w:val="00BF0C24"/>
    <w:rsid w:val="00BF0F65"/>
    <w:rsid w:val="00BF131E"/>
    <w:rsid w:val="00BF173B"/>
    <w:rsid w:val="00BF1EDF"/>
    <w:rsid w:val="00BF22FA"/>
    <w:rsid w:val="00BF3CE9"/>
    <w:rsid w:val="00BF4AFB"/>
    <w:rsid w:val="00BF7807"/>
    <w:rsid w:val="00BF796A"/>
    <w:rsid w:val="00BF7E22"/>
    <w:rsid w:val="00C00CA9"/>
    <w:rsid w:val="00C00D5A"/>
    <w:rsid w:val="00C00E2E"/>
    <w:rsid w:val="00C01370"/>
    <w:rsid w:val="00C015DB"/>
    <w:rsid w:val="00C0193F"/>
    <w:rsid w:val="00C01D86"/>
    <w:rsid w:val="00C033AC"/>
    <w:rsid w:val="00C03539"/>
    <w:rsid w:val="00C03C62"/>
    <w:rsid w:val="00C05B2D"/>
    <w:rsid w:val="00C0655E"/>
    <w:rsid w:val="00C076E0"/>
    <w:rsid w:val="00C07A8E"/>
    <w:rsid w:val="00C07B72"/>
    <w:rsid w:val="00C07E24"/>
    <w:rsid w:val="00C1045F"/>
    <w:rsid w:val="00C1079B"/>
    <w:rsid w:val="00C11A28"/>
    <w:rsid w:val="00C11F9A"/>
    <w:rsid w:val="00C12B6A"/>
    <w:rsid w:val="00C135B7"/>
    <w:rsid w:val="00C13F02"/>
    <w:rsid w:val="00C14D11"/>
    <w:rsid w:val="00C14F82"/>
    <w:rsid w:val="00C1562A"/>
    <w:rsid w:val="00C15C6E"/>
    <w:rsid w:val="00C15E8B"/>
    <w:rsid w:val="00C167CC"/>
    <w:rsid w:val="00C167F6"/>
    <w:rsid w:val="00C1731A"/>
    <w:rsid w:val="00C1735A"/>
    <w:rsid w:val="00C20237"/>
    <w:rsid w:val="00C220E5"/>
    <w:rsid w:val="00C222FA"/>
    <w:rsid w:val="00C2276A"/>
    <w:rsid w:val="00C23601"/>
    <w:rsid w:val="00C249DB"/>
    <w:rsid w:val="00C24ABD"/>
    <w:rsid w:val="00C24C95"/>
    <w:rsid w:val="00C252F3"/>
    <w:rsid w:val="00C258BE"/>
    <w:rsid w:val="00C30737"/>
    <w:rsid w:val="00C31491"/>
    <w:rsid w:val="00C319FA"/>
    <w:rsid w:val="00C31DEA"/>
    <w:rsid w:val="00C32045"/>
    <w:rsid w:val="00C3215E"/>
    <w:rsid w:val="00C32657"/>
    <w:rsid w:val="00C330C0"/>
    <w:rsid w:val="00C33E12"/>
    <w:rsid w:val="00C34264"/>
    <w:rsid w:val="00C346BA"/>
    <w:rsid w:val="00C34769"/>
    <w:rsid w:val="00C353F7"/>
    <w:rsid w:val="00C355D4"/>
    <w:rsid w:val="00C36431"/>
    <w:rsid w:val="00C3703B"/>
    <w:rsid w:val="00C3747B"/>
    <w:rsid w:val="00C4020C"/>
    <w:rsid w:val="00C4094E"/>
    <w:rsid w:val="00C410FE"/>
    <w:rsid w:val="00C4232B"/>
    <w:rsid w:val="00C4281B"/>
    <w:rsid w:val="00C4303C"/>
    <w:rsid w:val="00C430EC"/>
    <w:rsid w:val="00C43786"/>
    <w:rsid w:val="00C43A54"/>
    <w:rsid w:val="00C44F32"/>
    <w:rsid w:val="00C4588F"/>
    <w:rsid w:val="00C46751"/>
    <w:rsid w:val="00C46F42"/>
    <w:rsid w:val="00C47334"/>
    <w:rsid w:val="00C47C76"/>
    <w:rsid w:val="00C47D62"/>
    <w:rsid w:val="00C50855"/>
    <w:rsid w:val="00C50856"/>
    <w:rsid w:val="00C50E40"/>
    <w:rsid w:val="00C533E7"/>
    <w:rsid w:val="00C535B8"/>
    <w:rsid w:val="00C54926"/>
    <w:rsid w:val="00C54966"/>
    <w:rsid w:val="00C56F97"/>
    <w:rsid w:val="00C571EB"/>
    <w:rsid w:val="00C60561"/>
    <w:rsid w:val="00C61014"/>
    <w:rsid w:val="00C61AD8"/>
    <w:rsid w:val="00C61CB5"/>
    <w:rsid w:val="00C623EA"/>
    <w:rsid w:val="00C62D30"/>
    <w:rsid w:val="00C63900"/>
    <w:rsid w:val="00C64115"/>
    <w:rsid w:val="00C6502E"/>
    <w:rsid w:val="00C66EEB"/>
    <w:rsid w:val="00C67371"/>
    <w:rsid w:val="00C72166"/>
    <w:rsid w:val="00C729B0"/>
    <w:rsid w:val="00C72D54"/>
    <w:rsid w:val="00C73330"/>
    <w:rsid w:val="00C74AB6"/>
    <w:rsid w:val="00C752A5"/>
    <w:rsid w:val="00C75723"/>
    <w:rsid w:val="00C77209"/>
    <w:rsid w:val="00C77451"/>
    <w:rsid w:val="00C77CDC"/>
    <w:rsid w:val="00C8083C"/>
    <w:rsid w:val="00C821F1"/>
    <w:rsid w:val="00C822B4"/>
    <w:rsid w:val="00C82958"/>
    <w:rsid w:val="00C82A6E"/>
    <w:rsid w:val="00C82FCB"/>
    <w:rsid w:val="00C830D2"/>
    <w:rsid w:val="00C8385A"/>
    <w:rsid w:val="00C83F84"/>
    <w:rsid w:val="00C84036"/>
    <w:rsid w:val="00C8412C"/>
    <w:rsid w:val="00C842DF"/>
    <w:rsid w:val="00C845BA"/>
    <w:rsid w:val="00C85883"/>
    <w:rsid w:val="00C85B81"/>
    <w:rsid w:val="00C85ED2"/>
    <w:rsid w:val="00C86C31"/>
    <w:rsid w:val="00C87537"/>
    <w:rsid w:val="00C878E8"/>
    <w:rsid w:val="00C87DDC"/>
    <w:rsid w:val="00C902BC"/>
    <w:rsid w:val="00C90E96"/>
    <w:rsid w:val="00C90FB4"/>
    <w:rsid w:val="00C914B5"/>
    <w:rsid w:val="00C92082"/>
    <w:rsid w:val="00C928DD"/>
    <w:rsid w:val="00C9447F"/>
    <w:rsid w:val="00C95001"/>
    <w:rsid w:val="00C966DB"/>
    <w:rsid w:val="00C97B20"/>
    <w:rsid w:val="00CA0AB6"/>
    <w:rsid w:val="00CA0BD1"/>
    <w:rsid w:val="00CA116A"/>
    <w:rsid w:val="00CA141B"/>
    <w:rsid w:val="00CA14F0"/>
    <w:rsid w:val="00CA22CA"/>
    <w:rsid w:val="00CA372E"/>
    <w:rsid w:val="00CA3FD1"/>
    <w:rsid w:val="00CA6471"/>
    <w:rsid w:val="00CA730F"/>
    <w:rsid w:val="00CA7AD6"/>
    <w:rsid w:val="00CB0237"/>
    <w:rsid w:val="00CB039A"/>
    <w:rsid w:val="00CB0FA1"/>
    <w:rsid w:val="00CB171A"/>
    <w:rsid w:val="00CB2067"/>
    <w:rsid w:val="00CB215F"/>
    <w:rsid w:val="00CB25C5"/>
    <w:rsid w:val="00CB271D"/>
    <w:rsid w:val="00CB2C54"/>
    <w:rsid w:val="00CB3556"/>
    <w:rsid w:val="00CB3EA6"/>
    <w:rsid w:val="00CB48AF"/>
    <w:rsid w:val="00CB4EDE"/>
    <w:rsid w:val="00CB5436"/>
    <w:rsid w:val="00CB61CA"/>
    <w:rsid w:val="00CB6B31"/>
    <w:rsid w:val="00CB70B2"/>
    <w:rsid w:val="00CB77C1"/>
    <w:rsid w:val="00CB7F8C"/>
    <w:rsid w:val="00CC0862"/>
    <w:rsid w:val="00CC14C1"/>
    <w:rsid w:val="00CC15F9"/>
    <w:rsid w:val="00CC1A5B"/>
    <w:rsid w:val="00CC1B4E"/>
    <w:rsid w:val="00CC1C73"/>
    <w:rsid w:val="00CC1D35"/>
    <w:rsid w:val="00CC23DF"/>
    <w:rsid w:val="00CC253B"/>
    <w:rsid w:val="00CC27DD"/>
    <w:rsid w:val="00CC30F0"/>
    <w:rsid w:val="00CC3790"/>
    <w:rsid w:val="00CC3968"/>
    <w:rsid w:val="00CC42A3"/>
    <w:rsid w:val="00CC688B"/>
    <w:rsid w:val="00CC6BFE"/>
    <w:rsid w:val="00CC6DEC"/>
    <w:rsid w:val="00CC7B7A"/>
    <w:rsid w:val="00CC7BAC"/>
    <w:rsid w:val="00CD02D8"/>
    <w:rsid w:val="00CD050F"/>
    <w:rsid w:val="00CD0D20"/>
    <w:rsid w:val="00CD10E9"/>
    <w:rsid w:val="00CD215E"/>
    <w:rsid w:val="00CD233F"/>
    <w:rsid w:val="00CD2D60"/>
    <w:rsid w:val="00CD3088"/>
    <w:rsid w:val="00CD3C72"/>
    <w:rsid w:val="00CD4289"/>
    <w:rsid w:val="00CD5432"/>
    <w:rsid w:val="00CD5F3B"/>
    <w:rsid w:val="00CD6373"/>
    <w:rsid w:val="00CD7DFC"/>
    <w:rsid w:val="00CD7FA8"/>
    <w:rsid w:val="00CE08A6"/>
    <w:rsid w:val="00CE092B"/>
    <w:rsid w:val="00CE0F22"/>
    <w:rsid w:val="00CE19A4"/>
    <w:rsid w:val="00CE1E15"/>
    <w:rsid w:val="00CE292B"/>
    <w:rsid w:val="00CE2EC8"/>
    <w:rsid w:val="00CE41BA"/>
    <w:rsid w:val="00CE5814"/>
    <w:rsid w:val="00CE5950"/>
    <w:rsid w:val="00CE63D8"/>
    <w:rsid w:val="00CE6BAC"/>
    <w:rsid w:val="00CE6E47"/>
    <w:rsid w:val="00CE7BB9"/>
    <w:rsid w:val="00CF00E9"/>
    <w:rsid w:val="00CF1574"/>
    <w:rsid w:val="00CF2764"/>
    <w:rsid w:val="00CF2982"/>
    <w:rsid w:val="00CF2A82"/>
    <w:rsid w:val="00CF3019"/>
    <w:rsid w:val="00CF3164"/>
    <w:rsid w:val="00CF3335"/>
    <w:rsid w:val="00CF5AF9"/>
    <w:rsid w:val="00CF600B"/>
    <w:rsid w:val="00CF63DB"/>
    <w:rsid w:val="00CF6F8D"/>
    <w:rsid w:val="00CF7430"/>
    <w:rsid w:val="00CF7B6B"/>
    <w:rsid w:val="00CF7F72"/>
    <w:rsid w:val="00D00754"/>
    <w:rsid w:val="00D00BFC"/>
    <w:rsid w:val="00D012B8"/>
    <w:rsid w:val="00D015B1"/>
    <w:rsid w:val="00D023E5"/>
    <w:rsid w:val="00D025C5"/>
    <w:rsid w:val="00D02A63"/>
    <w:rsid w:val="00D02F57"/>
    <w:rsid w:val="00D04E92"/>
    <w:rsid w:val="00D05381"/>
    <w:rsid w:val="00D05412"/>
    <w:rsid w:val="00D05727"/>
    <w:rsid w:val="00D0641C"/>
    <w:rsid w:val="00D06954"/>
    <w:rsid w:val="00D0718B"/>
    <w:rsid w:val="00D07E35"/>
    <w:rsid w:val="00D111DE"/>
    <w:rsid w:val="00D124B5"/>
    <w:rsid w:val="00D1329C"/>
    <w:rsid w:val="00D1455A"/>
    <w:rsid w:val="00D14577"/>
    <w:rsid w:val="00D14FFA"/>
    <w:rsid w:val="00D161D3"/>
    <w:rsid w:val="00D164C5"/>
    <w:rsid w:val="00D16A7F"/>
    <w:rsid w:val="00D16B79"/>
    <w:rsid w:val="00D17701"/>
    <w:rsid w:val="00D20341"/>
    <w:rsid w:val="00D20819"/>
    <w:rsid w:val="00D20AD5"/>
    <w:rsid w:val="00D21537"/>
    <w:rsid w:val="00D216E5"/>
    <w:rsid w:val="00D22096"/>
    <w:rsid w:val="00D2213E"/>
    <w:rsid w:val="00D2275B"/>
    <w:rsid w:val="00D23551"/>
    <w:rsid w:val="00D23C67"/>
    <w:rsid w:val="00D240C1"/>
    <w:rsid w:val="00D24599"/>
    <w:rsid w:val="00D24634"/>
    <w:rsid w:val="00D25747"/>
    <w:rsid w:val="00D2576B"/>
    <w:rsid w:val="00D25EAC"/>
    <w:rsid w:val="00D27A3B"/>
    <w:rsid w:val="00D27DDB"/>
    <w:rsid w:val="00D30610"/>
    <w:rsid w:val="00D307E5"/>
    <w:rsid w:val="00D30BF9"/>
    <w:rsid w:val="00D3114B"/>
    <w:rsid w:val="00D31185"/>
    <w:rsid w:val="00D312FA"/>
    <w:rsid w:val="00D32113"/>
    <w:rsid w:val="00D3238F"/>
    <w:rsid w:val="00D323A7"/>
    <w:rsid w:val="00D32545"/>
    <w:rsid w:val="00D32963"/>
    <w:rsid w:val="00D32BDD"/>
    <w:rsid w:val="00D33322"/>
    <w:rsid w:val="00D33EFD"/>
    <w:rsid w:val="00D34922"/>
    <w:rsid w:val="00D34DC7"/>
    <w:rsid w:val="00D3539C"/>
    <w:rsid w:val="00D402D2"/>
    <w:rsid w:val="00D40767"/>
    <w:rsid w:val="00D40BC4"/>
    <w:rsid w:val="00D41649"/>
    <w:rsid w:val="00D41773"/>
    <w:rsid w:val="00D420CA"/>
    <w:rsid w:val="00D43C31"/>
    <w:rsid w:val="00D443BF"/>
    <w:rsid w:val="00D45DE2"/>
    <w:rsid w:val="00D466AF"/>
    <w:rsid w:val="00D46C47"/>
    <w:rsid w:val="00D47544"/>
    <w:rsid w:val="00D47621"/>
    <w:rsid w:val="00D476EF"/>
    <w:rsid w:val="00D50B48"/>
    <w:rsid w:val="00D50C6B"/>
    <w:rsid w:val="00D51648"/>
    <w:rsid w:val="00D51AD7"/>
    <w:rsid w:val="00D51DFA"/>
    <w:rsid w:val="00D52449"/>
    <w:rsid w:val="00D53490"/>
    <w:rsid w:val="00D54338"/>
    <w:rsid w:val="00D5463D"/>
    <w:rsid w:val="00D54982"/>
    <w:rsid w:val="00D55AB4"/>
    <w:rsid w:val="00D56376"/>
    <w:rsid w:val="00D567B8"/>
    <w:rsid w:val="00D56E3D"/>
    <w:rsid w:val="00D5727D"/>
    <w:rsid w:val="00D5765C"/>
    <w:rsid w:val="00D60803"/>
    <w:rsid w:val="00D60E2B"/>
    <w:rsid w:val="00D612A0"/>
    <w:rsid w:val="00D61692"/>
    <w:rsid w:val="00D617C0"/>
    <w:rsid w:val="00D628C9"/>
    <w:rsid w:val="00D62CF9"/>
    <w:rsid w:val="00D638DB"/>
    <w:rsid w:val="00D6412F"/>
    <w:rsid w:val="00D64D67"/>
    <w:rsid w:val="00D65C93"/>
    <w:rsid w:val="00D66326"/>
    <w:rsid w:val="00D6658E"/>
    <w:rsid w:val="00D67755"/>
    <w:rsid w:val="00D67884"/>
    <w:rsid w:val="00D679A3"/>
    <w:rsid w:val="00D67CF4"/>
    <w:rsid w:val="00D707DA"/>
    <w:rsid w:val="00D70959"/>
    <w:rsid w:val="00D70D78"/>
    <w:rsid w:val="00D71604"/>
    <w:rsid w:val="00D71993"/>
    <w:rsid w:val="00D72693"/>
    <w:rsid w:val="00D7375F"/>
    <w:rsid w:val="00D73FA9"/>
    <w:rsid w:val="00D742EE"/>
    <w:rsid w:val="00D75659"/>
    <w:rsid w:val="00D75B41"/>
    <w:rsid w:val="00D75DD4"/>
    <w:rsid w:val="00D75F83"/>
    <w:rsid w:val="00D77240"/>
    <w:rsid w:val="00D7738F"/>
    <w:rsid w:val="00D7746D"/>
    <w:rsid w:val="00D77C4C"/>
    <w:rsid w:val="00D77DD3"/>
    <w:rsid w:val="00D80C56"/>
    <w:rsid w:val="00D80F20"/>
    <w:rsid w:val="00D816FF"/>
    <w:rsid w:val="00D81CFB"/>
    <w:rsid w:val="00D81DA9"/>
    <w:rsid w:val="00D8377F"/>
    <w:rsid w:val="00D8407B"/>
    <w:rsid w:val="00D84423"/>
    <w:rsid w:val="00D8489F"/>
    <w:rsid w:val="00D84BF7"/>
    <w:rsid w:val="00D85B3E"/>
    <w:rsid w:val="00D86893"/>
    <w:rsid w:val="00D8698D"/>
    <w:rsid w:val="00D86EEB"/>
    <w:rsid w:val="00D87091"/>
    <w:rsid w:val="00D8732E"/>
    <w:rsid w:val="00D87C9D"/>
    <w:rsid w:val="00D909D8"/>
    <w:rsid w:val="00D91674"/>
    <w:rsid w:val="00D91A76"/>
    <w:rsid w:val="00D929AA"/>
    <w:rsid w:val="00D92C4F"/>
    <w:rsid w:val="00D92DCB"/>
    <w:rsid w:val="00D9317D"/>
    <w:rsid w:val="00D932F8"/>
    <w:rsid w:val="00D93790"/>
    <w:rsid w:val="00D93FF5"/>
    <w:rsid w:val="00D94607"/>
    <w:rsid w:val="00D94729"/>
    <w:rsid w:val="00D96944"/>
    <w:rsid w:val="00D9708F"/>
    <w:rsid w:val="00D97938"/>
    <w:rsid w:val="00D97E8B"/>
    <w:rsid w:val="00D97FE8"/>
    <w:rsid w:val="00DA04CF"/>
    <w:rsid w:val="00DA04FB"/>
    <w:rsid w:val="00DA0687"/>
    <w:rsid w:val="00DA0AAD"/>
    <w:rsid w:val="00DA10F9"/>
    <w:rsid w:val="00DA1106"/>
    <w:rsid w:val="00DA19DB"/>
    <w:rsid w:val="00DA21F6"/>
    <w:rsid w:val="00DA2B0B"/>
    <w:rsid w:val="00DA3911"/>
    <w:rsid w:val="00DA433C"/>
    <w:rsid w:val="00DA4AD2"/>
    <w:rsid w:val="00DA5841"/>
    <w:rsid w:val="00DA5858"/>
    <w:rsid w:val="00DA603A"/>
    <w:rsid w:val="00DA62A7"/>
    <w:rsid w:val="00DA69EE"/>
    <w:rsid w:val="00DA6F65"/>
    <w:rsid w:val="00DA6F9A"/>
    <w:rsid w:val="00DB0127"/>
    <w:rsid w:val="00DB032F"/>
    <w:rsid w:val="00DB0A33"/>
    <w:rsid w:val="00DB0C1B"/>
    <w:rsid w:val="00DB0D4B"/>
    <w:rsid w:val="00DB1A9E"/>
    <w:rsid w:val="00DB2667"/>
    <w:rsid w:val="00DB396A"/>
    <w:rsid w:val="00DB414E"/>
    <w:rsid w:val="00DB4F36"/>
    <w:rsid w:val="00DB5F37"/>
    <w:rsid w:val="00DB688E"/>
    <w:rsid w:val="00DB6DCC"/>
    <w:rsid w:val="00DC0226"/>
    <w:rsid w:val="00DC041F"/>
    <w:rsid w:val="00DC08D7"/>
    <w:rsid w:val="00DC0CB8"/>
    <w:rsid w:val="00DC1755"/>
    <w:rsid w:val="00DC1A35"/>
    <w:rsid w:val="00DC1B0D"/>
    <w:rsid w:val="00DC1F90"/>
    <w:rsid w:val="00DC25EB"/>
    <w:rsid w:val="00DC2B06"/>
    <w:rsid w:val="00DC47BB"/>
    <w:rsid w:val="00DC483A"/>
    <w:rsid w:val="00DC4952"/>
    <w:rsid w:val="00DC4BA5"/>
    <w:rsid w:val="00DC5CF1"/>
    <w:rsid w:val="00DC6080"/>
    <w:rsid w:val="00DC64FF"/>
    <w:rsid w:val="00DC66AF"/>
    <w:rsid w:val="00DC67C6"/>
    <w:rsid w:val="00DC749A"/>
    <w:rsid w:val="00DC7871"/>
    <w:rsid w:val="00DC7D89"/>
    <w:rsid w:val="00DC7FAF"/>
    <w:rsid w:val="00DD0076"/>
    <w:rsid w:val="00DD0DA9"/>
    <w:rsid w:val="00DD2B6E"/>
    <w:rsid w:val="00DD349F"/>
    <w:rsid w:val="00DD49C4"/>
    <w:rsid w:val="00DD4A96"/>
    <w:rsid w:val="00DD526D"/>
    <w:rsid w:val="00DD5342"/>
    <w:rsid w:val="00DD5AA0"/>
    <w:rsid w:val="00DD5D7D"/>
    <w:rsid w:val="00DD5D89"/>
    <w:rsid w:val="00DD662B"/>
    <w:rsid w:val="00DD682A"/>
    <w:rsid w:val="00DD6BFD"/>
    <w:rsid w:val="00DD6D1F"/>
    <w:rsid w:val="00DD7710"/>
    <w:rsid w:val="00DD782C"/>
    <w:rsid w:val="00DD7994"/>
    <w:rsid w:val="00DD79BA"/>
    <w:rsid w:val="00DE0312"/>
    <w:rsid w:val="00DE0630"/>
    <w:rsid w:val="00DE0827"/>
    <w:rsid w:val="00DE0B6C"/>
    <w:rsid w:val="00DE0BB4"/>
    <w:rsid w:val="00DE1A94"/>
    <w:rsid w:val="00DE1DB4"/>
    <w:rsid w:val="00DE2137"/>
    <w:rsid w:val="00DE2935"/>
    <w:rsid w:val="00DE2B87"/>
    <w:rsid w:val="00DE3C04"/>
    <w:rsid w:val="00DE4045"/>
    <w:rsid w:val="00DE451D"/>
    <w:rsid w:val="00DE48CC"/>
    <w:rsid w:val="00DE4945"/>
    <w:rsid w:val="00DE574D"/>
    <w:rsid w:val="00DE5795"/>
    <w:rsid w:val="00DE5A26"/>
    <w:rsid w:val="00DE5EE7"/>
    <w:rsid w:val="00DE6A71"/>
    <w:rsid w:val="00DE76DE"/>
    <w:rsid w:val="00DF0123"/>
    <w:rsid w:val="00DF2B0D"/>
    <w:rsid w:val="00DF2B15"/>
    <w:rsid w:val="00DF40D2"/>
    <w:rsid w:val="00DF442D"/>
    <w:rsid w:val="00DF4688"/>
    <w:rsid w:val="00DF5B6D"/>
    <w:rsid w:val="00DF6229"/>
    <w:rsid w:val="00DF6258"/>
    <w:rsid w:val="00DF63A0"/>
    <w:rsid w:val="00DF6E64"/>
    <w:rsid w:val="00DF7342"/>
    <w:rsid w:val="00DF7C00"/>
    <w:rsid w:val="00E01285"/>
    <w:rsid w:val="00E01DB6"/>
    <w:rsid w:val="00E01F97"/>
    <w:rsid w:val="00E023B9"/>
    <w:rsid w:val="00E02809"/>
    <w:rsid w:val="00E02BD3"/>
    <w:rsid w:val="00E02ED7"/>
    <w:rsid w:val="00E03E32"/>
    <w:rsid w:val="00E05800"/>
    <w:rsid w:val="00E07410"/>
    <w:rsid w:val="00E10A34"/>
    <w:rsid w:val="00E112F0"/>
    <w:rsid w:val="00E12ABC"/>
    <w:rsid w:val="00E13076"/>
    <w:rsid w:val="00E132AE"/>
    <w:rsid w:val="00E132E9"/>
    <w:rsid w:val="00E14015"/>
    <w:rsid w:val="00E1530F"/>
    <w:rsid w:val="00E15BBF"/>
    <w:rsid w:val="00E168A0"/>
    <w:rsid w:val="00E17DAC"/>
    <w:rsid w:val="00E20E3E"/>
    <w:rsid w:val="00E215FC"/>
    <w:rsid w:val="00E2180C"/>
    <w:rsid w:val="00E21E40"/>
    <w:rsid w:val="00E228D1"/>
    <w:rsid w:val="00E22A3C"/>
    <w:rsid w:val="00E22F0B"/>
    <w:rsid w:val="00E231F3"/>
    <w:rsid w:val="00E233D1"/>
    <w:rsid w:val="00E23882"/>
    <w:rsid w:val="00E23BE7"/>
    <w:rsid w:val="00E23EC3"/>
    <w:rsid w:val="00E248C5"/>
    <w:rsid w:val="00E25268"/>
    <w:rsid w:val="00E26116"/>
    <w:rsid w:val="00E26C2A"/>
    <w:rsid w:val="00E27900"/>
    <w:rsid w:val="00E302D8"/>
    <w:rsid w:val="00E30569"/>
    <w:rsid w:val="00E3072F"/>
    <w:rsid w:val="00E309AE"/>
    <w:rsid w:val="00E31CC1"/>
    <w:rsid w:val="00E3245A"/>
    <w:rsid w:val="00E3258E"/>
    <w:rsid w:val="00E3266A"/>
    <w:rsid w:val="00E32D6B"/>
    <w:rsid w:val="00E3354E"/>
    <w:rsid w:val="00E343D4"/>
    <w:rsid w:val="00E34893"/>
    <w:rsid w:val="00E34E91"/>
    <w:rsid w:val="00E359D6"/>
    <w:rsid w:val="00E35DCE"/>
    <w:rsid w:val="00E3666B"/>
    <w:rsid w:val="00E36BDD"/>
    <w:rsid w:val="00E36C46"/>
    <w:rsid w:val="00E371FD"/>
    <w:rsid w:val="00E37B45"/>
    <w:rsid w:val="00E37F37"/>
    <w:rsid w:val="00E4145B"/>
    <w:rsid w:val="00E4162D"/>
    <w:rsid w:val="00E418CF"/>
    <w:rsid w:val="00E426C9"/>
    <w:rsid w:val="00E42F97"/>
    <w:rsid w:val="00E43415"/>
    <w:rsid w:val="00E43471"/>
    <w:rsid w:val="00E4388D"/>
    <w:rsid w:val="00E45921"/>
    <w:rsid w:val="00E45947"/>
    <w:rsid w:val="00E45AB4"/>
    <w:rsid w:val="00E45ACA"/>
    <w:rsid w:val="00E46C2F"/>
    <w:rsid w:val="00E47790"/>
    <w:rsid w:val="00E47894"/>
    <w:rsid w:val="00E47EC6"/>
    <w:rsid w:val="00E50214"/>
    <w:rsid w:val="00E50457"/>
    <w:rsid w:val="00E50EAC"/>
    <w:rsid w:val="00E52A40"/>
    <w:rsid w:val="00E52DD1"/>
    <w:rsid w:val="00E5319E"/>
    <w:rsid w:val="00E5333F"/>
    <w:rsid w:val="00E534E2"/>
    <w:rsid w:val="00E5359F"/>
    <w:rsid w:val="00E543BA"/>
    <w:rsid w:val="00E54A54"/>
    <w:rsid w:val="00E55CFB"/>
    <w:rsid w:val="00E561B6"/>
    <w:rsid w:val="00E56864"/>
    <w:rsid w:val="00E5686E"/>
    <w:rsid w:val="00E57470"/>
    <w:rsid w:val="00E57843"/>
    <w:rsid w:val="00E57B00"/>
    <w:rsid w:val="00E609D9"/>
    <w:rsid w:val="00E60EC9"/>
    <w:rsid w:val="00E62E41"/>
    <w:rsid w:val="00E62EF2"/>
    <w:rsid w:val="00E63B18"/>
    <w:rsid w:val="00E63CF5"/>
    <w:rsid w:val="00E640BA"/>
    <w:rsid w:val="00E64E3E"/>
    <w:rsid w:val="00E6529F"/>
    <w:rsid w:val="00E65616"/>
    <w:rsid w:val="00E657C9"/>
    <w:rsid w:val="00E66CCC"/>
    <w:rsid w:val="00E700CE"/>
    <w:rsid w:val="00E712FC"/>
    <w:rsid w:val="00E723FE"/>
    <w:rsid w:val="00E73E8B"/>
    <w:rsid w:val="00E73E91"/>
    <w:rsid w:val="00E73F8B"/>
    <w:rsid w:val="00E741BA"/>
    <w:rsid w:val="00E74A13"/>
    <w:rsid w:val="00E74B8F"/>
    <w:rsid w:val="00E75CAD"/>
    <w:rsid w:val="00E7661B"/>
    <w:rsid w:val="00E76CD3"/>
    <w:rsid w:val="00E76DA1"/>
    <w:rsid w:val="00E7721C"/>
    <w:rsid w:val="00E801A5"/>
    <w:rsid w:val="00E80AD4"/>
    <w:rsid w:val="00E815DA"/>
    <w:rsid w:val="00E819AC"/>
    <w:rsid w:val="00E83187"/>
    <w:rsid w:val="00E832D7"/>
    <w:rsid w:val="00E832F5"/>
    <w:rsid w:val="00E83510"/>
    <w:rsid w:val="00E8458C"/>
    <w:rsid w:val="00E85012"/>
    <w:rsid w:val="00E850B7"/>
    <w:rsid w:val="00E853C9"/>
    <w:rsid w:val="00E8676D"/>
    <w:rsid w:val="00E86792"/>
    <w:rsid w:val="00E87746"/>
    <w:rsid w:val="00E90041"/>
    <w:rsid w:val="00E9010C"/>
    <w:rsid w:val="00E90D22"/>
    <w:rsid w:val="00E91029"/>
    <w:rsid w:val="00E91598"/>
    <w:rsid w:val="00E92A4E"/>
    <w:rsid w:val="00E92F73"/>
    <w:rsid w:val="00E9320F"/>
    <w:rsid w:val="00E933E0"/>
    <w:rsid w:val="00E9696E"/>
    <w:rsid w:val="00E96C60"/>
    <w:rsid w:val="00EA0186"/>
    <w:rsid w:val="00EA0966"/>
    <w:rsid w:val="00EA0A1C"/>
    <w:rsid w:val="00EA13F3"/>
    <w:rsid w:val="00EA165F"/>
    <w:rsid w:val="00EA1813"/>
    <w:rsid w:val="00EA1DC0"/>
    <w:rsid w:val="00EA1FE1"/>
    <w:rsid w:val="00EA25CD"/>
    <w:rsid w:val="00EA273D"/>
    <w:rsid w:val="00EA3FF7"/>
    <w:rsid w:val="00EA4A2A"/>
    <w:rsid w:val="00EA5CF5"/>
    <w:rsid w:val="00EA5DD9"/>
    <w:rsid w:val="00EA7DCA"/>
    <w:rsid w:val="00EB0036"/>
    <w:rsid w:val="00EB074A"/>
    <w:rsid w:val="00EB1572"/>
    <w:rsid w:val="00EB1F6C"/>
    <w:rsid w:val="00EB20FD"/>
    <w:rsid w:val="00EB2357"/>
    <w:rsid w:val="00EB2EB4"/>
    <w:rsid w:val="00EB3004"/>
    <w:rsid w:val="00EB3917"/>
    <w:rsid w:val="00EB5B26"/>
    <w:rsid w:val="00EB5C09"/>
    <w:rsid w:val="00EB61BC"/>
    <w:rsid w:val="00EB61FE"/>
    <w:rsid w:val="00EB63E4"/>
    <w:rsid w:val="00EB64AA"/>
    <w:rsid w:val="00EB652A"/>
    <w:rsid w:val="00EB6FA3"/>
    <w:rsid w:val="00EB7038"/>
    <w:rsid w:val="00EB78BE"/>
    <w:rsid w:val="00EB7DBD"/>
    <w:rsid w:val="00EC05CC"/>
    <w:rsid w:val="00EC0DAD"/>
    <w:rsid w:val="00EC130B"/>
    <w:rsid w:val="00EC15F7"/>
    <w:rsid w:val="00EC23F3"/>
    <w:rsid w:val="00EC25FE"/>
    <w:rsid w:val="00EC2E8D"/>
    <w:rsid w:val="00EC3506"/>
    <w:rsid w:val="00EC3A40"/>
    <w:rsid w:val="00EC3B5E"/>
    <w:rsid w:val="00EC3ED4"/>
    <w:rsid w:val="00EC42ED"/>
    <w:rsid w:val="00EC4A77"/>
    <w:rsid w:val="00EC4BE7"/>
    <w:rsid w:val="00EC4C13"/>
    <w:rsid w:val="00EC5C20"/>
    <w:rsid w:val="00EC6084"/>
    <w:rsid w:val="00EC614C"/>
    <w:rsid w:val="00EC706A"/>
    <w:rsid w:val="00EC7A58"/>
    <w:rsid w:val="00ED06F4"/>
    <w:rsid w:val="00ED0EEB"/>
    <w:rsid w:val="00ED1808"/>
    <w:rsid w:val="00ED1F40"/>
    <w:rsid w:val="00ED2435"/>
    <w:rsid w:val="00ED254C"/>
    <w:rsid w:val="00ED278F"/>
    <w:rsid w:val="00ED283E"/>
    <w:rsid w:val="00ED3147"/>
    <w:rsid w:val="00ED351A"/>
    <w:rsid w:val="00ED38B0"/>
    <w:rsid w:val="00ED3AE1"/>
    <w:rsid w:val="00ED3B12"/>
    <w:rsid w:val="00ED3C71"/>
    <w:rsid w:val="00ED4041"/>
    <w:rsid w:val="00ED4D57"/>
    <w:rsid w:val="00EE0C7A"/>
    <w:rsid w:val="00EE13CA"/>
    <w:rsid w:val="00EE1889"/>
    <w:rsid w:val="00EE19AB"/>
    <w:rsid w:val="00EE19B3"/>
    <w:rsid w:val="00EE3428"/>
    <w:rsid w:val="00EE3524"/>
    <w:rsid w:val="00EE3B33"/>
    <w:rsid w:val="00EE3EBE"/>
    <w:rsid w:val="00EE4ABE"/>
    <w:rsid w:val="00EE4DB3"/>
    <w:rsid w:val="00EE504A"/>
    <w:rsid w:val="00EE554E"/>
    <w:rsid w:val="00EE7458"/>
    <w:rsid w:val="00EF0944"/>
    <w:rsid w:val="00EF1288"/>
    <w:rsid w:val="00EF14B5"/>
    <w:rsid w:val="00EF1931"/>
    <w:rsid w:val="00EF19AD"/>
    <w:rsid w:val="00EF1A02"/>
    <w:rsid w:val="00EF1D60"/>
    <w:rsid w:val="00EF2178"/>
    <w:rsid w:val="00EF294E"/>
    <w:rsid w:val="00EF36FB"/>
    <w:rsid w:val="00EF39F8"/>
    <w:rsid w:val="00EF3FE4"/>
    <w:rsid w:val="00EF4433"/>
    <w:rsid w:val="00EF4565"/>
    <w:rsid w:val="00EF49A7"/>
    <w:rsid w:val="00EF4CCE"/>
    <w:rsid w:val="00EF668C"/>
    <w:rsid w:val="00EF6C54"/>
    <w:rsid w:val="00EF7876"/>
    <w:rsid w:val="00EF7F4A"/>
    <w:rsid w:val="00F006D8"/>
    <w:rsid w:val="00F00FE1"/>
    <w:rsid w:val="00F010F5"/>
    <w:rsid w:val="00F013A1"/>
    <w:rsid w:val="00F02436"/>
    <w:rsid w:val="00F025F8"/>
    <w:rsid w:val="00F02ED3"/>
    <w:rsid w:val="00F03627"/>
    <w:rsid w:val="00F0367C"/>
    <w:rsid w:val="00F0399F"/>
    <w:rsid w:val="00F03A69"/>
    <w:rsid w:val="00F03FCF"/>
    <w:rsid w:val="00F04E58"/>
    <w:rsid w:val="00F05857"/>
    <w:rsid w:val="00F05AF8"/>
    <w:rsid w:val="00F0616A"/>
    <w:rsid w:val="00F064B5"/>
    <w:rsid w:val="00F06BF7"/>
    <w:rsid w:val="00F07200"/>
    <w:rsid w:val="00F10A1D"/>
    <w:rsid w:val="00F115E1"/>
    <w:rsid w:val="00F121AD"/>
    <w:rsid w:val="00F12F83"/>
    <w:rsid w:val="00F131AD"/>
    <w:rsid w:val="00F142FF"/>
    <w:rsid w:val="00F1436B"/>
    <w:rsid w:val="00F14A12"/>
    <w:rsid w:val="00F14A42"/>
    <w:rsid w:val="00F14A77"/>
    <w:rsid w:val="00F17B7B"/>
    <w:rsid w:val="00F21AE2"/>
    <w:rsid w:val="00F21BD9"/>
    <w:rsid w:val="00F2209A"/>
    <w:rsid w:val="00F22F7D"/>
    <w:rsid w:val="00F23239"/>
    <w:rsid w:val="00F235EF"/>
    <w:rsid w:val="00F23A65"/>
    <w:rsid w:val="00F24925"/>
    <w:rsid w:val="00F252D8"/>
    <w:rsid w:val="00F25514"/>
    <w:rsid w:val="00F25874"/>
    <w:rsid w:val="00F25912"/>
    <w:rsid w:val="00F2616B"/>
    <w:rsid w:val="00F26595"/>
    <w:rsid w:val="00F268A2"/>
    <w:rsid w:val="00F268BD"/>
    <w:rsid w:val="00F26DEF"/>
    <w:rsid w:val="00F274FF"/>
    <w:rsid w:val="00F2753B"/>
    <w:rsid w:val="00F2754A"/>
    <w:rsid w:val="00F27FE1"/>
    <w:rsid w:val="00F300CC"/>
    <w:rsid w:val="00F3080C"/>
    <w:rsid w:val="00F31C7F"/>
    <w:rsid w:val="00F32181"/>
    <w:rsid w:val="00F324E2"/>
    <w:rsid w:val="00F32907"/>
    <w:rsid w:val="00F33EEB"/>
    <w:rsid w:val="00F3469B"/>
    <w:rsid w:val="00F34B76"/>
    <w:rsid w:val="00F36339"/>
    <w:rsid w:val="00F40377"/>
    <w:rsid w:val="00F40BE9"/>
    <w:rsid w:val="00F41150"/>
    <w:rsid w:val="00F41205"/>
    <w:rsid w:val="00F41780"/>
    <w:rsid w:val="00F41C42"/>
    <w:rsid w:val="00F42210"/>
    <w:rsid w:val="00F42DF0"/>
    <w:rsid w:val="00F42FD5"/>
    <w:rsid w:val="00F431E8"/>
    <w:rsid w:val="00F43A59"/>
    <w:rsid w:val="00F4413F"/>
    <w:rsid w:val="00F44405"/>
    <w:rsid w:val="00F4451B"/>
    <w:rsid w:val="00F44B36"/>
    <w:rsid w:val="00F46976"/>
    <w:rsid w:val="00F46A02"/>
    <w:rsid w:val="00F47A1A"/>
    <w:rsid w:val="00F50C5E"/>
    <w:rsid w:val="00F50E93"/>
    <w:rsid w:val="00F51025"/>
    <w:rsid w:val="00F512EC"/>
    <w:rsid w:val="00F52073"/>
    <w:rsid w:val="00F52F12"/>
    <w:rsid w:val="00F538F3"/>
    <w:rsid w:val="00F5403D"/>
    <w:rsid w:val="00F5439E"/>
    <w:rsid w:val="00F553BB"/>
    <w:rsid w:val="00F55DD5"/>
    <w:rsid w:val="00F576AF"/>
    <w:rsid w:val="00F576C9"/>
    <w:rsid w:val="00F57CA5"/>
    <w:rsid w:val="00F57F03"/>
    <w:rsid w:val="00F6007C"/>
    <w:rsid w:val="00F60F57"/>
    <w:rsid w:val="00F6154B"/>
    <w:rsid w:val="00F621ED"/>
    <w:rsid w:val="00F63480"/>
    <w:rsid w:val="00F63F8E"/>
    <w:rsid w:val="00F64BB4"/>
    <w:rsid w:val="00F65788"/>
    <w:rsid w:val="00F661B6"/>
    <w:rsid w:val="00F67AF4"/>
    <w:rsid w:val="00F707B0"/>
    <w:rsid w:val="00F70CEB"/>
    <w:rsid w:val="00F7124C"/>
    <w:rsid w:val="00F71514"/>
    <w:rsid w:val="00F72333"/>
    <w:rsid w:val="00F736A1"/>
    <w:rsid w:val="00F748C3"/>
    <w:rsid w:val="00F74B7D"/>
    <w:rsid w:val="00F757F7"/>
    <w:rsid w:val="00F75DCF"/>
    <w:rsid w:val="00F75EFF"/>
    <w:rsid w:val="00F767ED"/>
    <w:rsid w:val="00F76CA1"/>
    <w:rsid w:val="00F77206"/>
    <w:rsid w:val="00F779F6"/>
    <w:rsid w:val="00F806D0"/>
    <w:rsid w:val="00F8090E"/>
    <w:rsid w:val="00F80970"/>
    <w:rsid w:val="00F80E93"/>
    <w:rsid w:val="00F8113D"/>
    <w:rsid w:val="00F811CD"/>
    <w:rsid w:val="00F83BA9"/>
    <w:rsid w:val="00F84921"/>
    <w:rsid w:val="00F84AFF"/>
    <w:rsid w:val="00F85BC4"/>
    <w:rsid w:val="00F8680A"/>
    <w:rsid w:val="00F86F42"/>
    <w:rsid w:val="00F8714C"/>
    <w:rsid w:val="00F871DD"/>
    <w:rsid w:val="00F87219"/>
    <w:rsid w:val="00F901C4"/>
    <w:rsid w:val="00F91615"/>
    <w:rsid w:val="00F916A0"/>
    <w:rsid w:val="00F91859"/>
    <w:rsid w:val="00F91A53"/>
    <w:rsid w:val="00F92079"/>
    <w:rsid w:val="00F93DC2"/>
    <w:rsid w:val="00F942DD"/>
    <w:rsid w:val="00F948B4"/>
    <w:rsid w:val="00F948FC"/>
    <w:rsid w:val="00F94DED"/>
    <w:rsid w:val="00F95024"/>
    <w:rsid w:val="00F953EE"/>
    <w:rsid w:val="00F95511"/>
    <w:rsid w:val="00F95772"/>
    <w:rsid w:val="00F95BDF"/>
    <w:rsid w:val="00F95EBC"/>
    <w:rsid w:val="00F96737"/>
    <w:rsid w:val="00F96CFB"/>
    <w:rsid w:val="00F96D1B"/>
    <w:rsid w:val="00F97AC1"/>
    <w:rsid w:val="00FA10BD"/>
    <w:rsid w:val="00FA14B0"/>
    <w:rsid w:val="00FA1562"/>
    <w:rsid w:val="00FA19BC"/>
    <w:rsid w:val="00FA1E85"/>
    <w:rsid w:val="00FA24A1"/>
    <w:rsid w:val="00FA24AE"/>
    <w:rsid w:val="00FA2D1E"/>
    <w:rsid w:val="00FA30D6"/>
    <w:rsid w:val="00FA3B22"/>
    <w:rsid w:val="00FA47AF"/>
    <w:rsid w:val="00FA4E3F"/>
    <w:rsid w:val="00FA5030"/>
    <w:rsid w:val="00FA588D"/>
    <w:rsid w:val="00FA6848"/>
    <w:rsid w:val="00FA68A3"/>
    <w:rsid w:val="00FA6E6E"/>
    <w:rsid w:val="00FA72A8"/>
    <w:rsid w:val="00FA780F"/>
    <w:rsid w:val="00FA7DFD"/>
    <w:rsid w:val="00FB022C"/>
    <w:rsid w:val="00FB0829"/>
    <w:rsid w:val="00FB14AE"/>
    <w:rsid w:val="00FB299F"/>
    <w:rsid w:val="00FB3C9C"/>
    <w:rsid w:val="00FB41B9"/>
    <w:rsid w:val="00FB425A"/>
    <w:rsid w:val="00FB4763"/>
    <w:rsid w:val="00FB4964"/>
    <w:rsid w:val="00FB52CB"/>
    <w:rsid w:val="00FB5329"/>
    <w:rsid w:val="00FB62E6"/>
    <w:rsid w:val="00FB670D"/>
    <w:rsid w:val="00FB793E"/>
    <w:rsid w:val="00FB7D89"/>
    <w:rsid w:val="00FC041F"/>
    <w:rsid w:val="00FC1715"/>
    <w:rsid w:val="00FC1C20"/>
    <w:rsid w:val="00FC1F3A"/>
    <w:rsid w:val="00FC2069"/>
    <w:rsid w:val="00FC322A"/>
    <w:rsid w:val="00FC3B74"/>
    <w:rsid w:val="00FC3F2F"/>
    <w:rsid w:val="00FC46A5"/>
    <w:rsid w:val="00FC5404"/>
    <w:rsid w:val="00FC57CE"/>
    <w:rsid w:val="00FC5A2A"/>
    <w:rsid w:val="00FC5BBE"/>
    <w:rsid w:val="00FC5D33"/>
    <w:rsid w:val="00FC5EE5"/>
    <w:rsid w:val="00FC7073"/>
    <w:rsid w:val="00FC7A58"/>
    <w:rsid w:val="00FD066B"/>
    <w:rsid w:val="00FD08BE"/>
    <w:rsid w:val="00FD0CFE"/>
    <w:rsid w:val="00FD0F88"/>
    <w:rsid w:val="00FD1D50"/>
    <w:rsid w:val="00FD2840"/>
    <w:rsid w:val="00FD3E99"/>
    <w:rsid w:val="00FD5CEE"/>
    <w:rsid w:val="00FD688F"/>
    <w:rsid w:val="00FD7B5F"/>
    <w:rsid w:val="00FD7FA1"/>
    <w:rsid w:val="00FD7FE7"/>
    <w:rsid w:val="00FE0634"/>
    <w:rsid w:val="00FE0A72"/>
    <w:rsid w:val="00FE1B4A"/>
    <w:rsid w:val="00FE1B9A"/>
    <w:rsid w:val="00FE2019"/>
    <w:rsid w:val="00FE29B8"/>
    <w:rsid w:val="00FE29DD"/>
    <w:rsid w:val="00FE33B9"/>
    <w:rsid w:val="00FE37C6"/>
    <w:rsid w:val="00FE4824"/>
    <w:rsid w:val="00FE6BD2"/>
    <w:rsid w:val="00FE6C2D"/>
    <w:rsid w:val="00FE6E7E"/>
    <w:rsid w:val="00FE7B03"/>
    <w:rsid w:val="00FF0041"/>
    <w:rsid w:val="00FF0631"/>
    <w:rsid w:val="00FF06B9"/>
    <w:rsid w:val="00FF1134"/>
    <w:rsid w:val="00FF2E17"/>
    <w:rsid w:val="00FF31EB"/>
    <w:rsid w:val="00FF42C1"/>
    <w:rsid w:val="00FF4AC8"/>
    <w:rsid w:val="00FF4B52"/>
    <w:rsid w:val="00FF566E"/>
    <w:rsid w:val="00FF6149"/>
    <w:rsid w:val="00FF759B"/>
    <w:rsid w:val="00FF7A3A"/>
    <w:rsid w:val="01043DC7"/>
    <w:rsid w:val="02911099"/>
    <w:rsid w:val="02EB478E"/>
    <w:rsid w:val="03221FB2"/>
    <w:rsid w:val="036E4C45"/>
    <w:rsid w:val="040F1216"/>
    <w:rsid w:val="04375A32"/>
    <w:rsid w:val="048F7E64"/>
    <w:rsid w:val="057A4A8F"/>
    <w:rsid w:val="05E51371"/>
    <w:rsid w:val="063F3B40"/>
    <w:rsid w:val="07006559"/>
    <w:rsid w:val="0733646D"/>
    <w:rsid w:val="07744468"/>
    <w:rsid w:val="087F7E62"/>
    <w:rsid w:val="08E94E83"/>
    <w:rsid w:val="09A9132B"/>
    <w:rsid w:val="0A4F3C0E"/>
    <w:rsid w:val="0AE622D1"/>
    <w:rsid w:val="0C7F52CF"/>
    <w:rsid w:val="0C8739CD"/>
    <w:rsid w:val="0CF549E9"/>
    <w:rsid w:val="0E4D1921"/>
    <w:rsid w:val="0ED3604E"/>
    <w:rsid w:val="0F832030"/>
    <w:rsid w:val="0FD22258"/>
    <w:rsid w:val="105C4474"/>
    <w:rsid w:val="1245108E"/>
    <w:rsid w:val="13661298"/>
    <w:rsid w:val="138466D8"/>
    <w:rsid w:val="13966E30"/>
    <w:rsid w:val="14C569D7"/>
    <w:rsid w:val="14D24986"/>
    <w:rsid w:val="15033499"/>
    <w:rsid w:val="156F03CC"/>
    <w:rsid w:val="176B0EEF"/>
    <w:rsid w:val="181E0A22"/>
    <w:rsid w:val="183323C1"/>
    <w:rsid w:val="189B0BAE"/>
    <w:rsid w:val="19083599"/>
    <w:rsid w:val="19180897"/>
    <w:rsid w:val="194E29F7"/>
    <w:rsid w:val="196A2A35"/>
    <w:rsid w:val="1AC82CE8"/>
    <w:rsid w:val="1B6A1D18"/>
    <w:rsid w:val="1C0623F2"/>
    <w:rsid w:val="1C2528F3"/>
    <w:rsid w:val="1CDE1501"/>
    <w:rsid w:val="1D4D472E"/>
    <w:rsid w:val="1F1E6AC9"/>
    <w:rsid w:val="1F5605D6"/>
    <w:rsid w:val="1F9D6919"/>
    <w:rsid w:val="1FED1773"/>
    <w:rsid w:val="206732FC"/>
    <w:rsid w:val="22325497"/>
    <w:rsid w:val="24183669"/>
    <w:rsid w:val="25956C62"/>
    <w:rsid w:val="261C1E90"/>
    <w:rsid w:val="26CE0B6F"/>
    <w:rsid w:val="26EE3E7D"/>
    <w:rsid w:val="27402D07"/>
    <w:rsid w:val="27F474E2"/>
    <w:rsid w:val="282F3238"/>
    <w:rsid w:val="29954CEF"/>
    <w:rsid w:val="2A3B0315"/>
    <w:rsid w:val="2A3F0E28"/>
    <w:rsid w:val="2A51009F"/>
    <w:rsid w:val="2EC91870"/>
    <w:rsid w:val="2FCA028F"/>
    <w:rsid w:val="30904600"/>
    <w:rsid w:val="30A00064"/>
    <w:rsid w:val="30E14826"/>
    <w:rsid w:val="31332C23"/>
    <w:rsid w:val="324E6527"/>
    <w:rsid w:val="32C06B5E"/>
    <w:rsid w:val="33574200"/>
    <w:rsid w:val="340824FC"/>
    <w:rsid w:val="34BF62D9"/>
    <w:rsid w:val="352F670A"/>
    <w:rsid w:val="38224E5F"/>
    <w:rsid w:val="39223EDE"/>
    <w:rsid w:val="39557A89"/>
    <w:rsid w:val="3965038F"/>
    <w:rsid w:val="399C6621"/>
    <w:rsid w:val="3B467944"/>
    <w:rsid w:val="3D311A98"/>
    <w:rsid w:val="3D81227B"/>
    <w:rsid w:val="3E4D32BE"/>
    <w:rsid w:val="3E730055"/>
    <w:rsid w:val="3F3A5190"/>
    <w:rsid w:val="3F6E725C"/>
    <w:rsid w:val="3FBD23EC"/>
    <w:rsid w:val="41473BB1"/>
    <w:rsid w:val="416E51C6"/>
    <w:rsid w:val="43633C24"/>
    <w:rsid w:val="43EE29E4"/>
    <w:rsid w:val="44ED1D8C"/>
    <w:rsid w:val="44FA6480"/>
    <w:rsid w:val="45C832BA"/>
    <w:rsid w:val="46071F35"/>
    <w:rsid w:val="460A0012"/>
    <w:rsid w:val="4743410F"/>
    <w:rsid w:val="48DB0CCB"/>
    <w:rsid w:val="49311153"/>
    <w:rsid w:val="49AE4BE4"/>
    <w:rsid w:val="4A3D1000"/>
    <w:rsid w:val="4A6B349B"/>
    <w:rsid w:val="4B5923A4"/>
    <w:rsid w:val="4C5E355D"/>
    <w:rsid w:val="4CE65D3F"/>
    <w:rsid w:val="4D0F7ED5"/>
    <w:rsid w:val="4D550AB0"/>
    <w:rsid w:val="4ED72DB0"/>
    <w:rsid w:val="4F597547"/>
    <w:rsid w:val="50A11725"/>
    <w:rsid w:val="51876820"/>
    <w:rsid w:val="528B7604"/>
    <w:rsid w:val="52F3639F"/>
    <w:rsid w:val="531C5568"/>
    <w:rsid w:val="533252E0"/>
    <w:rsid w:val="53365D4E"/>
    <w:rsid w:val="541F4ACD"/>
    <w:rsid w:val="55A21D13"/>
    <w:rsid w:val="55EC14BF"/>
    <w:rsid w:val="55F06DB4"/>
    <w:rsid w:val="56163610"/>
    <w:rsid w:val="566718B7"/>
    <w:rsid w:val="57F910F6"/>
    <w:rsid w:val="58040BF9"/>
    <w:rsid w:val="589D30BA"/>
    <w:rsid w:val="58B31B93"/>
    <w:rsid w:val="58D6030E"/>
    <w:rsid w:val="58FB666B"/>
    <w:rsid w:val="59A858A1"/>
    <w:rsid w:val="59D050E7"/>
    <w:rsid w:val="5B0109F3"/>
    <w:rsid w:val="5B052822"/>
    <w:rsid w:val="5B77013B"/>
    <w:rsid w:val="5C443583"/>
    <w:rsid w:val="5D4B42FE"/>
    <w:rsid w:val="5F73513A"/>
    <w:rsid w:val="60953464"/>
    <w:rsid w:val="61115D67"/>
    <w:rsid w:val="619A3A24"/>
    <w:rsid w:val="62044E16"/>
    <w:rsid w:val="62FB2FF2"/>
    <w:rsid w:val="634513ED"/>
    <w:rsid w:val="647904E2"/>
    <w:rsid w:val="64BB0EE1"/>
    <w:rsid w:val="6523576A"/>
    <w:rsid w:val="65404856"/>
    <w:rsid w:val="65EE3AB5"/>
    <w:rsid w:val="672369C3"/>
    <w:rsid w:val="67D4591D"/>
    <w:rsid w:val="680554E6"/>
    <w:rsid w:val="683A7744"/>
    <w:rsid w:val="68A73DB6"/>
    <w:rsid w:val="69662EE5"/>
    <w:rsid w:val="6A053976"/>
    <w:rsid w:val="6A9570BD"/>
    <w:rsid w:val="6B641200"/>
    <w:rsid w:val="6C061239"/>
    <w:rsid w:val="6C471ECB"/>
    <w:rsid w:val="6CC170C2"/>
    <w:rsid w:val="6CD02C5E"/>
    <w:rsid w:val="6D090170"/>
    <w:rsid w:val="6D9815F1"/>
    <w:rsid w:val="6F342601"/>
    <w:rsid w:val="6F795292"/>
    <w:rsid w:val="6FDB7B10"/>
    <w:rsid w:val="700F680E"/>
    <w:rsid w:val="70F66AA3"/>
    <w:rsid w:val="717A0624"/>
    <w:rsid w:val="71CB4D8E"/>
    <w:rsid w:val="71D25875"/>
    <w:rsid w:val="721601C6"/>
    <w:rsid w:val="73BC28B8"/>
    <w:rsid w:val="74F32068"/>
    <w:rsid w:val="751F6651"/>
    <w:rsid w:val="7604198C"/>
    <w:rsid w:val="78747B4C"/>
    <w:rsid w:val="78EC315B"/>
    <w:rsid w:val="79BD65B8"/>
    <w:rsid w:val="7A1E4736"/>
    <w:rsid w:val="7A7B6317"/>
    <w:rsid w:val="7B07439A"/>
    <w:rsid w:val="7B406639"/>
    <w:rsid w:val="7C896BD7"/>
    <w:rsid w:val="7C8B4568"/>
    <w:rsid w:val="7CEE3E73"/>
    <w:rsid w:val="7D1763BE"/>
    <w:rsid w:val="7DB35B50"/>
    <w:rsid w:val="7DB90AD7"/>
    <w:rsid w:val="7DE23946"/>
    <w:rsid w:val="7DE53690"/>
    <w:rsid w:val="7E9C04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link w:val="114"/>
    <w:qFormat/>
    <w:uiPriority w:val="0"/>
    <w:pPr>
      <w:keepNext/>
      <w:jc w:val="center"/>
      <w:outlineLvl w:val="0"/>
    </w:pPr>
    <w:rPr>
      <w:sz w:val="28"/>
    </w:rPr>
  </w:style>
  <w:style w:type="paragraph" w:styleId="6">
    <w:name w:val="heading 2"/>
    <w:basedOn w:val="1"/>
    <w:next w:val="1"/>
    <w:link w:val="101"/>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86"/>
    <w:qFormat/>
    <w:uiPriority w:val="0"/>
    <w:pPr>
      <w:keepNext/>
      <w:keepLines/>
      <w:spacing w:before="260" w:after="260" w:line="416" w:lineRule="auto"/>
      <w:outlineLvl w:val="2"/>
    </w:pPr>
    <w:rPr>
      <w:b/>
      <w:bCs/>
      <w:sz w:val="32"/>
      <w:szCs w:val="32"/>
    </w:rPr>
  </w:style>
  <w:style w:type="paragraph" w:styleId="8">
    <w:name w:val="heading 4"/>
    <w:basedOn w:val="1"/>
    <w:next w:val="1"/>
    <w:link w:val="12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26"/>
    <w:qFormat/>
    <w:uiPriority w:val="0"/>
    <w:pPr>
      <w:keepNext/>
      <w:keepLines/>
      <w:spacing w:before="280" w:after="290" w:line="376" w:lineRule="auto"/>
      <w:outlineLvl w:val="4"/>
    </w:pPr>
    <w:rPr>
      <w:b/>
      <w:bCs/>
      <w:sz w:val="28"/>
      <w:szCs w:val="28"/>
    </w:rPr>
  </w:style>
  <w:style w:type="paragraph" w:styleId="10">
    <w:name w:val="heading 6"/>
    <w:basedOn w:val="1"/>
    <w:next w:val="11"/>
    <w:link w:val="122"/>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12">
    <w:name w:val="heading 7"/>
    <w:basedOn w:val="1"/>
    <w:next w:val="11"/>
    <w:link w:val="103"/>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3">
    <w:name w:val="heading 8"/>
    <w:basedOn w:val="1"/>
    <w:next w:val="11"/>
    <w:link w:val="111"/>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4">
    <w:name w:val="heading 9"/>
    <w:basedOn w:val="1"/>
    <w:next w:val="11"/>
    <w:link w:val="62"/>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rPr>
      <w:rFonts w:ascii="Arial" w:hAnsi="Arial"/>
      <w:bCs/>
      <w:sz w:val="24"/>
    </w:rPr>
  </w:style>
  <w:style w:type="paragraph" w:styleId="3">
    <w:name w:val="toc 4"/>
    <w:basedOn w:val="1"/>
    <w:next w:val="1"/>
    <w:semiHidden/>
    <w:qFormat/>
    <w:uiPriority w:val="0"/>
    <w:pPr>
      <w:ind w:left="630"/>
      <w:jc w:val="left"/>
    </w:pPr>
    <w:rPr>
      <w:sz w:val="18"/>
      <w:szCs w:val="18"/>
    </w:rPr>
  </w:style>
  <w:style w:type="paragraph" w:styleId="4">
    <w:name w:val="macro"/>
    <w:link w:val="238"/>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1">
    <w:name w:val="Normal Indent"/>
    <w:basedOn w:val="1"/>
    <w:link w:val="82"/>
    <w:qFormat/>
    <w:uiPriority w:val="0"/>
    <w:pPr>
      <w:spacing w:after="50"/>
      <w:ind w:firstLine="200" w:firstLineChars="200"/>
    </w:pPr>
    <w:rPr>
      <w:sz w:val="24"/>
      <w:szCs w:val="20"/>
    </w:rPr>
  </w:style>
  <w:style w:type="paragraph" w:styleId="15">
    <w:name w:val="List 3"/>
    <w:basedOn w:val="1"/>
    <w:qFormat/>
    <w:uiPriority w:val="0"/>
    <w:pPr>
      <w:ind w:left="100" w:leftChars="400" w:hanging="200" w:hangingChars="200"/>
    </w:pPr>
  </w:style>
  <w:style w:type="paragraph" w:styleId="16">
    <w:name w:val="toc 7"/>
    <w:basedOn w:val="1"/>
    <w:next w:val="1"/>
    <w:semiHidden/>
    <w:qFormat/>
    <w:uiPriority w:val="0"/>
    <w:pPr>
      <w:ind w:left="1260"/>
      <w:jc w:val="left"/>
    </w:pPr>
    <w:rPr>
      <w:sz w:val="18"/>
      <w:szCs w:val="18"/>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113"/>
    <w:qFormat/>
    <w:uiPriority w:val="0"/>
    <w:pPr>
      <w:shd w:val="clear" w:color="auto" w:fill="000080"/>
    </w:pPr>
  </w:style>
  <w:style w:type="paragraph" w:styleId="19">
    <w:name w:val="toa heading"/>
    <w:basedOn w:val="1"/>
    <w:next w:val="1"/>
    <w:semiHidden/>
    <w:qFormat/>
    <w:uiPriority w:val="0"/>
    <w:pPr>
      <w:spacing w:before="120"/>
    </w:pPr>
    <w:rPr>
      <w:rFonts w:ascii="Arial" w:hAnsi="Arial" w:cs="Arial"/>
      <w:sz w:val="24"/>
    </w:rPr>
  </w:style>
  <w:style w:type="paragraph" w:styleId="20">
    <w:name w:val="annotation text"/>
    <w:basedOn w:val="1"/>
    <w:link w:val="67"/>
    <w:qFormat/>
    <w:uiPriority w:val="99"/>
    <w:pPr>
      <w:jc w:val="left"/>
    </w:pPr>
  </w:style>
  <w:style w:type="paragraph" w:styleId="21">
    <w:name w:val="Body Text 3"/>
    <w:basedOn w:val="1"/>
    <w:link w:val="105"/>
    <w:qFormat/>
    <w:uiPriority w:val="0"/>
    <w:pPr>
      <w:spacing w:beforeLines="100" w:afterLines="100" w:line="400" w:lineRule="exact"/>
    </w:pPr>
    <w:rPr>
      <w:rFonts w:ascii="宋体" w:hAnsi="宋体"/>
      <w:sz w:val="24"/>
    </w:rPr>
  </w:style>
  <w:style w:type="paragraph" w:styleId="22">
    <w:name w:val="Body Text Indent"/>
    <w:basedOn w:val="1"/>
    <w:next w:val="1"/>
    <w:link w:val="104"/>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3">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4">
    <w:name w:val="List 2"/>
    <w:basedOn w:val="1"/>
    <w:qFormat/>
    <w:uiPriority w:val="0"/>
    <w:pPr>
      <w:ind w:left="100" w:leftChars="200" w:hanging="200" w:hangingChars="200"/>
    </w:pPr>
    <w:rPr>
      <w:rFonts w:ascii="Calibri" w:hAnsi="Calibri"/>
      <w:szCs w:val="22"/>
    </w:rPr>
  </w:style>
  <w:style w:type="paragraph" w:styleId="25">
    <w:name w:val="Block Text"/>
    <w:basedOn w:val="1"/>
    <w:qFormat/>
    <w:uiPriority w:val="99"/>
    <w:pPr>
      <w:spacing w:after="120"/>
      <w:ind w:left="1440" w:leftChars="700" w:right="1440" w:rightChars="700"/>
    </w:pPr>
    <w:rPr>
      <w:szCs w:val="22"/>
    </w:rPr>
  </w:style>
  <w:style w:type="paragraph" w:styleId="26">
    <w:name w:val="toc 5"/>
    <w:basedOn w:val="1"/>
    <w:next w:val="1"/>
    <w:semiHidden/>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next w:val="29"/>
    <w:link w:val="74"/>
    <w:qFormat/>
    <w:uiPriority w:val="0"/>
    <w:rPr>
      <w:rFonts w:ascii="宋体" w:hAnsi="Courier New"/>
      <w:szCs w:val="20"/>
    </w:rPr>
  </w:style>
  <w:style w:type="paragraph" w:styleId="29">
    <w:name w:val="toc 2"/>
    <w:basedOn w:val="1"/>
    <w:next w:val="1"/>
    <w:qFormat/>
    <w:uiPriority w:val="39"/>
    <w:pPr>
      <w:ind w:left="420" w:leftChars="200"/>
    </w:pPr>
  </w:style>
  <w:style w:type="paragraph" w:styleId="30">
    <w:name w:val="toc 8"/>
    <w:basedOn w:val="1"/>
    <w:next w:val="1"/>
    <w:semiHidden/>
    <w:qFormat/>
    <w:uiPriority w:val="0"/>
    <w:pPr>
      <w:ind w:left="1470"/>
      <w:jc w:val="left"/>
    </w:pPr>
    <w:rPr>
      <w:sz w:val="18"/>
      <w:szCs w:val="18"/>
    </w:rPr>
  </w:style>
  <w:style w:type="paragraph" w:styleId="31">
    <w:name w:val="Date"/>
    <w:basedOn w:val="1"/>
    <w:next w:val="1"/>
    <w:link w:val="115"/>
    <w:qFormat/>
    <w:uiPriority w:val="0"/>
    <w:pPr>
      <w:ind w:left="100" w:leftChars="2500"/>
    </w:pPr>
    <w:rPr>
      <w:color w:val="000000"/>
      <w:sz w:val="24"/>
    </w:rPr>
  </w:style>
  <w:style w:type="paragraph" w:styleId="32">
    <w:name w:val="Body Text Indent 2"/>
    <w:basedOn w:val="1"/>
    <w:link w:val="93"/>
    <w:qFormat/>
    <w:uiPriority w:val="0"/>
    <w:pPr>
      <w:widowControl/>
      <w:spacing w:line="480" w:lineRule="atLeast"/>
      <w:ind w:firstLine="480"/>
    </w:pPr>
    <w:rPr>
      <w:rFonts w:ascii="宋体"/>
      <w:kern w:val="0"/>
      <w:sz w:val="24"/>
      <w:szCs w:val="20"/>
    </w:rPr>
  </w:style>
  <w:style w:type="paragraph" w:styleId="33">
    <w:name w:val="Balloon Text"/>
    <w:basedOn w:val="1"/>
    <w:link w:val="97"/>
    <w:qFormat/>
    <w:uiPriority w:val="0"/>
    <w:rPr>
      <w:sz w:val="18"/>
      <w:szCs w:val="18"/>
    </w:rPr>
  </w:style>
  <w:style w:type="paragraph" w:styleId="34">
    <w:name w:val="footer"/>
    <w:basedOn w:val="1"/>
    <w:link w:val="110"/>
    <w:qFormat/>
    <w:uiPriority w:val="99"/>
    <w:pPr>
      <w:tabs>
        <w:tab w:val="center" w:pos="4153"/>
        <w:tab w:val="right" w:pos="8306"/>
      </w:tabs>
      <w:snapToGrid w:val="0"/>
      <w:jc w:val="left"/>
    </w:pPr>
    <w:rPr>
      <w:sz w:val="18"/>
      <w:szCs w:val="18"/>
    </w:rPr>
  </w:style>
  <w:style w:type="paragraph" w:styleId="35">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rPr>
      <w:rFonts w:ascii="宋体" w:hAnsi="宋体"/>
      <w:b/>
      <w:sz w:val="24"/>
    </w:rPr>
  </w:style>
  <w:style w:type="paragraph" w:styleId="37">
    <w:name w:val="footnote text"/>
    <w:basedOn w:val="1"/>
    <w:link w:val="223"/>
    <w:qFormat/>
    <w:uiPriority w:val="0"/>
    <w:pPr>
      <w:snapToGrid w:val="0"/>
      <w:jc w:val="left"/>
    </w:pPr>
    <w:rPr>
      <w:sz w:val="18"/>
    </w:rPr>
  </w:style>
  <w:style w:type="paragraph" w:styleId="38">
    <w:name w:val="toc 6"/>
    <w:basedOn w:val="1"/>
    <w:next w:val="1"/>
    <w:semiHidden/>
    <w:qFormat/>
    <w:uiPriority w:val="0"/>
    <w:pPr>
      <w:ind w:left="1050"/>
      <w:jc w:val="left"/>
    </w:pPr>
    <w:rPr>
      <w:sz w:val="18"/>
      <w:szCs w:val="18"/>
    </w:rPr>
  </w:style>
  <w:style w:type="paragraph" w:styleId="39">
    <w:name w:val="Body Text Indent 3"/>
    <w:basedOn w:val="1"/>
    <w:link w:val="71"/>
    <w:qFormat/>
    <w:uiPriority w:val="0"/>
    <w:pPr>
      <w:autoSpaceDE w:val="0"/>
      <w:autoSpaceDN w:val="0"/>
      <w:spacing w:line="400" w:lineRule="atLeast"/>
      <w:ind w:firstLine="443" w:firstLineChars="200"/>
      <w:textAlignment w:val="bottom"/>
    </w:pPr>
    <w:rPr>
      <w:rFonts w:eastAsia="黑体"/>
      <w:color w:val="000000"/>
      <w:sz w:val="24"/>
    </w:rPr>
  </w:style>
  <w:style w:type="paragraph" w:styleId="40">
    <w:name w:val="table of figures"/>
    <w:basedOn w:val="1"/>
    <w:next w:val="1"/>
    <w:qFormat/>
    <w:uiPriority w:val="0"/>
    <w:pPr>
      <w:widowControl/>
      <w:ind w:left="840" w:leftChars="200" w:hanging="420" w:hangingChars="200"/>
      <w:jc w:val="left"/>
    </w:pPr>
    <w:rPr>
      <w:kern w:val="0"/>
      <w:szCs w:val="20"/>
    </w:rPr>
  </w:style>
  <w:style w:type="paragraph" w:styleId="41">
    <w:name w:val="toc 9"/>
    <w:basedOn w:val="1"/>
    <w:next w:val="1"/>
    <w:semiHidden/>
    <w:qFormat/>
    <w:uiPriority w:val="0"/>
    <w:pPr>
      <w:ind w:left="1680"/>
      <w:jc w:val="left"/>
    </w:pPr>
    <w:rPr>
      <w:sz w:val="18"/>
      <w:szCs w:val="18"/>
    </w:rPr>
  </w:style>
  <w:style w:type="paragraph" w:styleId="42">
    <w:name w:val="Body Text 2"/>
    <w:basedOn w:val="1"/>
    <w:link w:val="125"/>
    <w:qFormat/>
    <w:uiPriority w:val="0"/>
    <w:pPr>
      <w:spacing w:after="120" w:line="480" w:lineRule="auto"/>
    </w:p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116"/>
    <w:qFormat/>
    <w:uiPriority w:val="0"/>
    <w:pPr>
      <w:spacing w:before="240" w:after="60"/>
      <w:jc w:val="center"/>
      <w:outlineLvl w:val="0"/>
    </w:pPr>
    <w:rPr>
      <w:rFonts w:ascii="Arial" w:hAnsi="Arial"/>
      <w:b/>
      <w:bCs/>
      <w:sz w:val="32"/>
      <w:szCs w:val="32"/>
    </w:rPr>
  </w:style>
  <w:style w:type="paragraph" w:styleId="46">
    <w:name w:val="annotation subject"/>
    <w:basedOn w:val="20"/>
    <w:next w:val="20"/>
    <w:link w:val="78"/>
    <w:qFormat/>
    <w:uiPriority w:val="0"/>
    <w:rPr>
      <w:b/>
      <w:bCs/>
    </w:rPr>
  </w:style>
  <w:style w:type="paragraph" w:styleId="47">
    <w:name w:val="Body Text First Indent"/>
    <w:basedOn w:val="2"/>
    <w:next w:val="38"/>
    <w:link w:val="81"/>
    <w:qFormat/>
    <w:uiPriority w:val="0"/>
    <w:pPr>
      <w:spacing w:after="120"/>
      <w:ind w:firstLine="420" w:firstLineChars="100"/>
    </w:pPr>
    <w:rPr>
      <w:rFonts w:ascii="Times New Roman" w:hAnsi="Times New Roman"/>
      <w:bCs w:val="0"/>
      <w:sz w:val="21"/>
    </w:rPr>
  </w:style>
  <w:style w:type="paragraph" w:styleId="48">
    <w:name w:val="Body Text First Indent 2"/>
    <w:basedOn w:val="22"/>
    <w:link w:val="230"/>
    <w:qFormat/>
    <w:uiPriority w:val="0"/>
    <w:pPr>
      <w:autoSpaceDE/>
      <w:autoSpaceDN/>
      <w:adjustRightInd/>
      <w:snapToGrid/>
      <w:spacing w:after="120" w:line="240" w:lineRule="auto"/>
      <w:ind w:left="420" w:leftChars="200" w:firstLine="420" w:firstLineChars="200"/>
      <w:textAlignment w:val="auto"/>
    </w:pPr>
    <w:rPr>
      <w:rFonts w:ascii="Times New Roman" w:eastAsia="宋体"/>
      <w:b w:val="0"/>
      <w:bCs w:val="0"/>
      <w:color w:val="auto"/>
      <w:sz w:val="21"/>
    </w:rPr>
  </w:style>
  <w:style w:type="table" w:styleId="50">
    <w:name w:val="Table Grid"/>
    <w:basedOn w:val="4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0"/>
    <w:rPr>
      <w:rFonts w:eastAsia="宋体"/>
      <w:color w:val="800080"/>
      <w:kern w:val="2"/>
      <w:sz w:val="24"/>
      <w:szCs w:val="24"/>
      <w:u w:val="single"/>
      <w:lang w:val="en-US" w:eastAsia="zh-CN" w:bidi="ar-SA"/>
    </w:rPr>
  </w:style>
  <w:style w:type="character" w:styleId="55">
    <w:name w:val="Emphasis"/>
    <w:qFormat/>
    <w:uiPriority w:val="20"/>
    <w:rPr>
      <w:rFonts w:eastAsia="宋体"/>
      <w:color w:val="CC0033"/>
      <w:kern w:val="2"/>
      <w:sz w:val="24"/>
      <w:szCs w:val="24"/>
      <w:lang w:val="en-US" w:eastAsia="zh-CN" w:bidi="ar-SA"/>
    </w:rPr>
  </w:style>
  <w:style w:type="character" w:styleId="56">
    <w:name w:val="Hyperlink"/>
    <w:qFormat/>
    <w:uiPriority w:val="99"/>
    <w:rPr>
      <w:color w:val="0000FF"/>
      <w:u w:val="single"/>
    </w:rPr>
  </w:style>
  <w:style w:type="character" w:styleId="57">
    <w:name w:val="annotation reference"/>
    <w:qFormat/>
    <w:uiPriority w:val="0"/>
    <w:rPr>
      <w:rFonts w:eastAsia="宋体"/>
      <w:kern w:val="2"/>
      <w:sz w:val="21"/>
      <w:szCs w:val="21"/>
      <w:lang w:val="en-US" w:eastAsia="zh-CN" w:bidi="ar-SA"/>
    </w:rPr>
  </w:style>
  <w:style w:type="character" w:customStyle="1" w:styleId="58">
    <w:name w:val="Char Char7"/>
    <w:qFormat/>
    <w:uiPriority w:val="0"/>
    <w:rPr>
      <w:rFonts w:ascii="Cambria" w:hAnsi="Cambria" w:eastAsia="宋体"/>
      <w:b/>
      <w:bCs/>
      <w:sz w:val="32"/>
      <w:szCs w:val="32"/>
      <w:lang w:val="en-US" w:eastAsia="zh-CN" w:bidi="ar-SA"/>
    </w:rPr>
  </w:style>
  <w:style w:type="character" w:customStyle="1" w:styleId="59">
    <w:name w:val="biaoti-red"/>
    <w:basedOn w:val="51"/>
    <w:qFormat/>
    <w:uiPriority w:val="0"/>
  </w:style>
  <w:style w:type="character" w:customStyle="1" w:styleId="60">
    <w:name w:val="Default 1"/>
    <w:qFormat/>
    <w:uiPriority w:val="0"/>
    <w:rPr>
      <w:rFonts w:cs="Verdana"/>
      <w:sz w:val="16"/>
      <w:szCs w:val="16"/>
    </w:rPr>
  </w:style>
  <w:style w:type="character" w:customStyle="1" w:styleId="61">
    <w:name w:val="页眉 Char1"/>
    <w:qFormat/>
    <w:uiPriority w:val="0"/>
    <w:rPr>
      <w:sz w:val="18"/>
    </w:rPr>
  </w:style>
  <w:style w:type="character" w:customStyle="1" w:styleId="62">
    <w:name w:val="标题 9 Char"/>
    <w:link w:val="14"/>
    <w:qFormat/>
    <w:uiPriority w:val="0"/>
    <w:rPr>
      <w:rFonts w:ascii="Arial" w:hAnsi="Arial" w:eastAsia="黑体"/>
      <w:spacing w:val="6"/>
      <w:kern w:val="2"/>
      <w:sz w:val="24"/>
      <w:szCs w:val="24"/>
    </w:rPr>
  </w:style>
  <w:style w:type="character" w:customStyle="1" w:styleId="63">
    <w:name w:val="z-窗体底端 Char"/>
    <w:link w:val="64"/>
    <w:qFormat/>
    <w:uiPriority w:val="0"/>
    <w:rPr>
      <w:rFonts w:ascii="Arial" w:hAnsi="Arial" w:cs="Arial"/>
      <w:vanish/>
      <w:sz w:val="16"/>
      <w:szCs w:val="16"/>
    </w:rPr>
  </w:style>
  <w:style w:type="paragraph" w:customStyle="1" w:styleId="64">
    <w:name w:val="z-窗体底端1"/>
    <w:basedOn w:val="1"/>
    <w:next w:val="1"/>
    <w:link w:val="63"/>
    <w:qFormat/>
    <w:uiPriority w:val="0"/>
    <w:pPr>
      <w:widowControl/>
      <w:pBdr>
        <w:top w:val="single" w:color="auto" w:sz="6" w:space="1"/>
      </w:pBdr>
      <w:jc w:val="center"/>
    </w:pPr>
    <w:rPr>
      <w:rFonts w:ascii="Arial" w:hAnsi="Arial"/>
      <w:vanish/>
      <w:kern w:val="0"/>
      <w:sz w:val="16"/>
      <w:szCs w:val="16"/>
    </w:rPr>
  </w:style>
  <w:style w:type="character" w:customStyle="1" w:styleId="65">
    <w:name w:val="Footer-Even Char Char"/>
    <w:qFormat/>
    <w:uiPriority w:val="0"/>
    <w:rPr>
      <w:rFonts w:ascii="Times New Roman" w:hAnsi="Times New Roman" w:eastAsia="宋体" w:cs="Times New Roman"/>
      <w:kern w:val="0"/>
      <w:sz w:val="18"/>
      <w:szCs w:val="20"/>
    </w:rPr>
  </w:style>
  <w:style w:type="character" w:customStyle="1" w:styleId="66">
    <w:name w:val="普通文字 Char Char Char Char1"/>
    <w:qFormat/>
    <w:uiPriority w:val="0"/>
    <w:rPr>
      <w:rFonts w:ascii="宋体" w:hAnsi="Courier New" w:eastAsia="仿宋_GB2312"/>
      <w:b/>
      <w:color w:val="000000"/>
      <w:sz w:val="21"/>
    </w:rPr>
  </w:style>
  <w:style w:type="character" w:customStyle="1" w:styleId="67">
    <w:name w:val="批注文字 Char"/>
    <w:link w:val="20"/>
    <w:qFormat/>
    <w:uiPriority w:val="99"/>
    <w:rPr>
      <w:kern w:val="2"/>
      <w:sz w:val="21"/>
      <w:szCs w:val="24"/>
    </w:rPr>
  </w:style>
  <w:style w:type="character" w:customStyle="1" w:styleId="68">
    <w:name w:val="正文文字首行缩进 Char"/>
    <w:qFormat/>
    <w:uiPriority w:val="0"/>
    <w:rPr>
      <w:rFonts w:ascii="Times New Roman" w:hAnsi="Times New Roman"/>
      <w:sz w:val="21"/>
    </w:rPr>
  </w:style>
  <w:style w:type="character" w:customStyle="1" w:styleId="69">
    <w:name w:val="段 Char"/>
    <w:link w:val="70"/>
    <w:qFormat/>
    <w:uiPriority w:val="0"/>
    <w:rPr>
      <w:rFonts w:ascii="宋体"/>
      <w:lang w:val="en-US" w:eastAsia="zh-CN" w:bidi="ar-SA"/>
    </w:rPr>
  </w:style>
  <w:style w:type="paragraph" w:customStyle="1" w:styleId="70">
    <w:name w:val="段"/>
    <w:link w:val="6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71">
    <w:name w:val="正文文本缩进 3 Char"/>
    <w:link w:val="39"/>
    <w:qFormat/>
    <w:uiPriority w:val="0"/>
    <w:rPr>
      <w:rFonts w:eastAsia="黑体"/>
      <w:color w:val="000000"/>
      <w:kern w:val="2"/>
      <w:sz w:val="24"/>
      <w:szCs w:val="24"/>
    </w:rPr>
  </w:style>
  <w:style w:type="character" w:customStyle="1" w:styleId="72">
    <w:name w:val="标题 1 Char Char"/>
    <w:qFormat/>
    <w:uiPriority w:val="0"/>
    <w:rPr>
      <w:rFonts w:eastAsia="宋体"/>
      <w:b/>
      <w:spacing w:val="-2"/>
      <w:sz w:val="24"/>
      <w:lang w:val="en-US" w:eastAsia="zh-CN" w:bidi="ar-SA"/>
    </w:rPr>
  </w:style>
  <w:style w:type="character" w:customStyle="1" w:styleId="73">
    <w:name w:val="grame"/>
    <w:qFormat/>
    <w:uiPriority w:val="0"/>
  </w:style>
  <w:style w:type="character" w:customStyle="1" w:styleId="74">
    <w:name w:val="纯文本 Char"/>
    <w:link w:val="28"/>
    <w:qFormat/>
    <w:uiPriority w:val="0"/>
    <w:rPr>
      <w:rFonts w:ascii="宋体" w:hAnsi="Courier New" w:eastAsia="宋体"/>
      <w:kern w:val="2"/>
      <w:sz w:val="21"/>
      <w:lang w:val="en-US" w:eastAsia="zh-CN" w:bidi="ar-SA"/>
    </w:rPr>
  </w:style>
  <w:style w:type="character" w:customStyle="1" w:styleId="75">
    <w:name w:val="Char Char2"/>
    <w:semiHidden/>
    <w:qFormat/>
    <w:uiPriority w:val="0"/>
    <w:rPr>
      <w:rFonts w:eastAsia="宋体"/>
      <w:kern w:val="2"/>
      <w:sz w:val="18"/>
      <w:szCs w:val="18"/>
      <w:lang w:val="en-US" w:eastAsia="zh-CN" w:bidi="ar-SA"/>
    </w:rPr>
  </w:style>
  <w:style w:type="character" w:customStyle="1" w:styleId="76">
    <w:name w:val="页眉 Char"/>
    <w:link w:val="35"/>
    <w:qFormat/>
    <w:uiPriority w:val="0"/>
    <w:rPr>
      <w:rFonts w:eastAsia="宋体"/>
      <w:kern w:val="2"/>
      <w:sz w:val="18"/>
      <w:szCs w:val="18"/>
      <w:lang w:val="en-US" w:eastAsia="zh-CN" w:bidi="ar-SA"/>
    </w:rPr>
  </w:style>
  <w:style w:type="character" w:customStyle="1" w:styleId="77">
    <w:name w:val="text1"/>
    <w:qFormat/>
    <w:uiPriority w:val="0"/>
    <w:rPr>
      <w:rFonts w:hint="default"/>
      <w:color w:val="666666"/>
      <w:sz w:val="18"/>
      <w:szCs w:val="18"/>
      <w:u w:val="none"/>
    </w:rPr>
  </w:style>
  <w:style w:type="character" w:customStyle="1" w:styleId="78">
    <w:name w:val="批注主题 Char"/>
    <w:link w:val="46"/>
    <w:qFormat/>
    <w:uiPriority w:val="0"/>
    <w:rPr>
      <w:b/>
      <w:bCs/>
      <w:kern w:val="2"/>
      <w:sz w:val="21"/>
      <w:szCs w:val="24"/>
    </w:rPr>
  </w:style>
  <w:style w:type="character" w:customStyle="1" w:styleId="79">
    <w:name w:val="unnamed51"/>
    <w:qFormat/>
    <w:uiPriority w:val="0"/>
    <w:rPr>
      <w:sz w:val="22"/>
      <w:szCs w:val="22"/>
    </w:rPr>
  </w:style>
  <w:style w:type="character" w:customStyle="1" w:styleId="80">
    <w:name w:val="Char Char12"/>
    <w:qFormat/>
    <w:uiPriority w:val="0"/>
    <w:rPr>
      <w:rFonts w:eastAsia="宋体"/>
      <w:kern w:val="2"/>
      <w:sz w:val="18"/>
      <w:szCs w:val="18"/>
      <w:lang w:val="en-US" w:eastAsia="zh-CN" w:bidi="ar-SA"/>
    </w:rPr>
  </w:style>
  <w:style w:type="character" w:customStyle="1" w:styleId="81">
    <w:name w:val="正文首行缩进 Char"/>
    <w:link w:val="47"/>
    <w:qFormat/>
    <w:uiPriority w:val="0"/>
    <w:rPr>
      <w:kern w:val="2"/>
      <w:sz w:val="21"/>
      <w:szCs w:val="24"/>
    </w:rPr>
  </w:style>
  <w:style w:type="character" w:customStyle="1" w:styleId="82">
    <w:name w:val="正文缩进 Char"/>
    <w:link w:val="11"/>
    <w:qFormat/>
    <w:uiPriority w:val="0"/>
    <w:rPr>
      <w:rFonts w:eastAsia="宋体"/>
      <w:kern w:val="2"/>
      <w:sz w:val="24"/>
      <w:lang w:val="en-US" w:eastAsia="zh-CN" w:bidi="ar-SA"/>
    </w:rPr>
  </w:style>
  <w:style w:type="character" w:customStyle="1" w:styleId="83">
    <w:name w:val="op-map-singlepoint-info-right1"/>
    <w:qFormat/>
    <w:uiPriority w:val="0"/>
  </w:style>
  <w:style w:type="character" w:customStyle="1" w:styleId="84">
    <w:name w:val="contentheaderrev1"/>
    <w:qFormat/>
    <w:uiPriority w:val="0"/>
    <w:rPr>
      <w:rFonts w:hint="default" w:ascii="Arial" w:hAnsi="Arial" w:cs="Arial"/>
      <w:b/>
      <w:bCs/>
      <w:color w:val="FFFFFF"/>
      <w:sz w:val="24"/>
      <w:szCs w:val="24"/>
      <w:u w:val="none"/>
    </w:rPr>
  </w:style>
  <w:style w:type="character" w:customStyle="1" w:styleId="85">
    <w:name w:val="Char Char6"/>
    <w:qFormat/>
    <w:uiPriority w:val="0"/>
    <w:rPr>
      <w:rFonts w:ascii="宋体" w:eastAsia="宋体"/>
      <w:b/>
      <w:kern w:val="44"/>
      <w:sz w:val="24"/>
      <w:lang w:val="en-US" w:eastAsia="zh-CN" w:bidi="ar-SA"/>
    </w:rPr>
  </w:style>
  <w:style w:type="character" w:customStyle="1" w:styleId="86">
    <w:name w:val="标题 3 Char"/>
    <w:link w:val="7"/>
    <w:qFormat/>
    <w:uiPriority w:val="0"/>
    <w:rPr>
      <w:b/>
      <w:bCs/>
      <w:kern w:val="2"/>
      <w:sz w:val="32"/>
      <w:szCs w:val="32"/>
    </w:rPr>
  </w:style>
  <w:style w:type="character" w:customStyle="1" w:styleId="87">
    <w:name w:val="纯文本字符"/>
    <w:qFormat/>
    <w:uiPriority w:val="0"/>
    <w:rPr>
      <w:rFonts w:ascii="宋体" w:hAnsi="Courier New"/>
      <w:kern w:val="2"/>
      <w:sz w:val="24"/>
      <w:szCs w:val="24"/>
      <w:lang w:bidi="ar-SA"/>
    </w:rPr>
  </w:style>
  <w:style w:type="character" w:customStyle="1" w:styleId="88">
    <w:name w:val="z-窗体顶端 Char"/>
    <w:link w:val="89"/>
    <w:qFormat/>
    <w:uiPriority w:val="0"/>
    <w:rPr>
      <w:rFonts w:ascii="Arial" w:hAnsi="Arial" w:cs="Arial"/>
      <w:vanish/>
      <w:sz w:val="16"/>
      <w:szCs w:val="16"/>
    </w:rPr>
  </w:style>
  <w:style w:type="paragraph" w:customStyle="1" w:styleId="89">
    <w:name w:val="z-窗体顶端1"/>
    <w:basedOn w:val="1"/>
    <w:next w:val="1"/>
    <w:link w:val="88"/>
    <w:qFormat/>
    <w:uiPriority w:val="0"/>
    <w:pPr>
      <w:widowControl/>
      <w:pBdr>
        <w:bottom w:val="single" w:color="auto" w:sz="6" w:space="1"/>
      </w:pBdr>
      <w:jc w:val="center"/>
    </w:pPr>
    <w:rPr>
      <w:rFonts w:ascii="Arial" w:hAnsi="Arial"/>
      <w:vanish/>
      <w:kern w:val="0"/>
      <w:sz w:val="16"/>
      <w:szCs w:val="16"/>
    </w:rPr>
  </w:style>
  <w:style w:type="character" w:customStyle="1" w:styleId="90">
    <w:name w:val="wj1"/>
    <w:qFormat/>
    <w:uiPriority w:val="0"/>
    <w:rPr>
      <w:color w:val="000000"/>
      <w:sz w:val="18"/>
      <w:szCs w:val="18"/>
      <w:u w:val="none"/>
    </w:rPr>
  </w:style>
  <w:style w:type="character" w:customStyle="1" w:styleId="91">
    <w:name w:val="纯文本 Char Char Char"/>
    <w:qFormat/>
    <w:uiPriority w:val="0"/>
    <w:rPr>
      <w:rFonts w:ascii="宋体" w:hAnsi="Courier New" w:eastAsia="宋体"/>
      <w:kern w:val="2"/>
      <w:sz w:val="21"/>
      <w:lang w:val="en-US" w:eastAsia="zh-CN" w:bidi="ar-SA"/>
    </w:rPr>
  </w:style>
  <w:style w:type="character" w:customStyle="1" w:styleId="92">
    <w:name w:val="z-窗体底端 Char1"/>
    <w:qFormat/>
    <w:uiPriority w:val="0"/>
    <w:rPr>
      <w:rFonts w:ascii="Arial" w:hAnsi="Arial" w:cs="Arial"/>
      <w:vanish/>
      <w:kern w:val="2"/>
      <w:sz w:val="16"/>
      <w:szCs w:val="16"/>
    </w:rPr>
  </w:style>
  <w:style w:type="character" w:customStyle="1" w:styleId="93">
    <w:name w:val="正文文本缩进 2 Char"/>
    <w:link w:val="32"/>
    <w:qFormat/>
    <w:uiPriority w:val="0"/>
    <w:rPr>
      <w:rFonts w:ascii="宋体"/>
      <w:sz w:val="24"/>
    </w:rPr>
  </w:style>
  <w:style w:type="character" w:customStyle="1" w:styleId="94">
    <w:name w:val="12blk1"/>
    <w:qFormat/>
    <w:uiPriority w:val="0"/>
    <w:rPr>
      <w:rFonts w:hint="default"/>
      <w:color w:val="000000"/>
      <w:sz w:val="24"/>
      <w:szCs w:val="24"/>
      <w:u w:val="none"/>
    </w:rPr>
  </w:style>
  <w:style w:type="character" w:customStyle="1" w:styleId="95">
    <w:name w:val="标题2 Char1"/>
    <w:qFormat/>
    <w:uiPriority w:val="0"/>
    <w:rPr>
      <w:rFonts w:ascii="Cambria" w:hAnsi="Cambria" w:eastAsia="宋体" w:cs="Times New Roman"/>
      <w:b/>
      <w:bCs/>
      <w:sz w:val="32"/>
      <w:szCs w:val="32"/>
    </w:rPr>
  </w:style>
  <w:style w:type="character" w:customStyle="1" w:styleId="96">
    <w:name w:val="para"/>
    <w:qFormat/>
    <w:uiPriority w:val="0"/>
    <w:rPr>
      <w:rFonts w:eastAsia="宋体"/>
      <w:kern w:val="2"/>
      <w:sz w:val="24"/>
      <w:szCs w:val="24"/>
      <w:lang w:val="en-US" w:eastAsia="zh-CN" w:bidi="ar-SA"/>
    </w:rPr>
  </w:style>
  <w:style w:type="character" w:customStyle="1" w:styleId="97">
    <w:name w:val="批注框文本 Char"/>
    <w:link w:val="33"/>
    <w:qFormat/>
    <w:uiPriority w:val="0"/>
    <w:rPr>
      <w:kern w:val="2"/>
      <w:sz w:val="18"/>
      <w:szCs w:val="18"/>
    </w:rPr>
  </w:style>
  <w:style w:type="character" w:customStyle="1" w:styleId="98">
    <w:name w:val="正文文本 Char"/>
    <w:link w:val="2"/>
    <w:qFormat/>
    <w:uiPriority w:val="0"/>
    <w:rPr>
      <w:rFonts w:ascii="Arial" w:hAnsi="Arial"/>
      <w:bCs/>
      <w:kern w:val="2"/>
      <w:sz w:val="24"/>
      <w:szCs w:val="24"/>
    </w:rPr>
  </w:style>
  <w:style w:type="character" w:customStyle="1" w:styleId="99">
    <w:name w:val="Char Char8"/>
    <w:qFormat/>
    <w:uiPriority w:val="0"/>
    <w:rPr>
      <w:rFonts w:ascii="Cambria" w:hAnsi="Cambria" w:eastAsia="宋体" w:cs="Times New Roman"/>
      <w:b/>
      <w:bCs/>
      <w:sz w:val="32"/>
      <w:szCs w:val="32"/>
    </w:rPr>
  </w:style>
  <w:style w:type="character" w:customStyle="1" w:styleId="100">
    <w:name w:val="small"/>
    <w:qFormat/>
    <w:uiPriority w:val="0"/>
    <w:rPr>
      <w:rFonts w:eastAsia="宋体"/>
      <w:kern w:val="2"/>
      <w:sz w:val="24"/>
      <w:szCs w:val="24"/>
      <w:lang w:val="en-US" w:eastAsia="zh-CN" w:bidi="ar-SA"/>
    </w:rPr>
  </w:style>
  <w:style w:type="character" w:customStyle="1" w:styleId="101">
    <w:name w:val="标题 2 Char"/>
    <w:link w:val="6"/>
    <w:qFormat/>
    <w:uiPriority w:val="9"/>
    <w:rPr>
      <w:rFonts w:ascii="Arial" w:hAnsi="Arial" w:eastAsia="黑体"/>
      <w:b/>
      <w:bCs/>
      <w:kern w:val="2"/>
      <w:sz w:val="32"/>
      <w:szCs w:val="32"/>
      <w:lang w:val="en-US" w:eastAsia="zh-CN" w:bidi="ar-SA"/>
    </w:rPr>
  </w:style>
  <w:style w:type="character" w:customStyle="1" w:styleId="102">
    <w:name w:val="纯文本 字符1"/>
    <w:qFormat/>
    <w:uiPriority w:val="0"/>
    <w:rPr>
      <w:rFonts w:hint="eastAsia" w:ascii="宋体" w:hAnsi="Courier New" w:eastAsia="仿宋_GB2312" w:cs="宋体"/>
      <w:b/>
      <w:color w:val="000000"/>
      <w:kern w:val="0"/>
      <w:szCs w:val="21"/>
    </w:rPr>
  </w:style>
  <w:style w:type="character" w:customStyle="1" w:styleId="103">
    <w:name w:val="标题 7 Char"/>
    <w:link w:val="12"/>
    <w:qFormat/>
    <w:uiPriority w:val="0"/>
    <w:rPr>
      <w:b/>
      <w:bCs/>
      <w:spacing w:val="6"/>
      <w:kern w:val="2"/>
      <w:sz w:val="24"/>
      <w:szCs w:val="24"/>
    </w:rPr>
  </w:style>
  <w:style w:type="character" w:customStyle="1" w:styleId="104">
    <w:name w:val="正文文本缩进 Char"/>
    <w:link w:val="22"/>
    <w:qFormat/>
    <w:uiPriority w:val="0"/>
    <w:rPr>
      <w:rFonts w:ascii="仿宋_GB2312" w:eastAsia="仿宋_GB2312"/>
      <w:b/>
      <w:bCs/>
      <w:color w:val="000000"/>
      <w:kern w:val="2"/>
      <w:sz w:val="24"/>
      <w:szCs w:val="24"/>
    </w:rPr>
  </w:style>
  <w:style w:type="character" w:customStyle="1" w:styleId="105">
    <w:name w:val="正文文本 3 Char"/>
    <w:link w:val="21"/>
    <w:qFormat/>
    <w:uiPriority w:val="0"/>
    <w:rPr>
      <w:rFonts w:ascii="宋体" w:hAnsi="宋体"/>
      <w:kern w:val="2"/>
      <w:sz w:val="24"/>
      <w:szCs w:val="24"/>
    </w:rPr>
  </w:style>
  <w:style w:type="character" w:customStyle="1" w:styleId="106">
    <w:name w:val="Char Char17"/>
    <w:qFormat/>
    <w:uiPriority w:val="0"/>
    <w:rPr>
      <w:rFonts w:ascii="宋体" w:eastAsia="宋体"/>
      <w:b/>
      <w:kern w:val="44"/>
      <w:sz w:val="24"/>
      <w:lang w:val="en-US" w:eastAsia="zh-CN" w:bidi="ar-SA"/>
    </w:rPr>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自定义正文 Char Char"/>
    <w:link w:val="109"/>
    <w:qFormat/>
    <w:uiPriority w:val="0"/>
    <w:rPr>
      <w:kern w:val="2"/>
      <w:sz w:val="24"/>
    </w:rPr>
  </w:style>
  <w:style w:type="paragraph" w:customStyle="1" w:styleId="109">
    <w:name w:val="自定义正文"/>
    <w:basedOn w:val="1"/>
    <w:link w:val="108"/>
    <w:qFormat/>
    <w:uiPriority w:val="0"/>
    <w:pPr>
      <w:spacing w:afterLines="50" w:line="360" w:lineRule="auto"/>
      <w:ind w:firstLine="200" w:firstLineChars="200"/>
      <w:jc w:val="left"/>
    </w:pPr>
    <w:rPr>
      <w:sz w:val="24"/>
      <w:szCs w:val="20"/>
    </w:rPr>
  </w:style>
  <w:style w:type="character" w:customStyle="1" w:styleId="110">
    <w:name w:val="页脚 Char"/>
    <w:link w:val="34"/>
    <w:qFormat/>
    <w:uiPriority w:val="99"/>
    <w:rPr>
      <w:kern w:val="2"/>
      <w:sz w:val="18"/>
      <w:szCs w:val="18"/>
    </w:rPr>
  </w:style>
  <w:style w:type="character" w:customStyle="1" w:styleId="111">
    <w:name w:val="标题 8 Char"/>
    <w:link w:val="13"/>
    <w:qFormat/>
    <w:uiPriority w:val="0"/>
    <w:rPr>
      <w:rFonts w:ascii="Arial" w:hAnsi="Arial" w:eastAsia="黑体"/>
      <w:spacing w:val="6"/>
      <w:kern w:val="2"/>
      <w:sz w:val="24"/>
      <w:szCs w:val="24"/>
    </w:rPr>
  </w:style>
  <w:style w:type="character" w:customStyle="1" w:styleId="112">
    <w:name w:val="标题 2 Char1"/>
    <w:qFormat/>
    <w:uiPriority w:val="9"/>
    <w:rPr>
      <w:rFonts w:ascii="Cambria" w:hAnsi="Cambria"/>
      <w:b/>
      <w:bCs/>
      <w:sz w:val="32"/>
      <w:szCs w:val="32"/>
    </w:rPr>
  </w:style>
  <w:style w:type="character" w:customStyle="1" w:styleId="113">
    <w:name w:val="文档结构图 Char"/>
    <w:link w:val="18"/>
    <w:qFormat/>
    <w:uiPriority w:val="0"/>
    <w:rPr>
      <w:kern w:val="2"/>
      <w:sz w:val="21"/>
      <w:szCs w:val="24"/>
      <w:shd w:val="clear" w:color="auto" w:fill="000080"/>
    </w:rPr>
  </w:style>
  <w:style w:type="character" w:customStyle="1" w:styleId="114">
    <w:name w:val="标题 1 Char"/>
    <w:link w:val="5"/>
    <w:qFormat/>
    <w:uiPriority w:val="0"/>
    <w:rPr>
      <w:rFonts w:eastAsia="宋体"/>
      <w:kern w:val="2"/>
      <w:sz w:val="28"/>
      <w:szCs w:val="24"/>
      <w:lang w:val="en-US" w:eastAsia="zh-CN" w:bidi="ar-SA"/>
    </w:rPr>
  </w:style>
  <w:style w:type="character" w:customStyle="1" w:styleId="115">
    <w:name w:val="日期 Char"/>
    <w:link w:val="31"/>
    <w:qFormat/>
    <w:uiPriority w:val="0"/>
    <w:rPr>
      <w:rFonts w:eastAsia="宋体"/>
      <w:color w:val="000000"/>
      <w:kern w:val="2"/>
      <w:sz w:val="24"/>
      <w:szCs w:val="24"/>
      <w:lang w:val="en-US" w:eastAsia="zh-CN" w:bidi="ar-SA"/>
    </w:rPr>
  </w:style>
  <w:style w:type="character" w:customStyle="1" w:styleId="116">
    <w:name w:val="标题 Char"/>
    <w:link w:val="45"/>
    <w:qFormat/>
    <w:uiPriority w:val="0"/>
    <w:rPr>
      <w:rFonts w:ascii="Arial" w:hAnsi="Arial" w:cs="Arial"/>
      <w:b/>
      <w:bCs/>
      <w:kern w:val="2"/>
      <w:sz w:val="32"/>
      <w:szCs w:val="32"/>
    </w:rPr>
  </w:style>
  <w:style w:type="character" w:customStyle="1" w:styleId="117">
    <w:name w:val="z-窗体顶端 Char1"/>
    <w:qFormat/>
    <w:uiPriority w:val="0"/>
    <w:rPr>
      <w:rFonts w:ascii="Arial" w:hAnsi="Arial" w:cs="Arial"/>
      <w:vanish/>
      <w:kern w:val="2"/>
      <w:sz w:val="16"/>
      <w:szCs w:val="16"/>
    </w:rPr>
  </w:style>
  <w:style w:type="character" w:customStyle="1" w:styleId="118">
    <w:name w:val="v151"/>
    <w:qFormat/>
    <w:uiPriority w:val="0"/>
    <w:rPr>
      <w:rFonts w:eastAsia="宋体"/>
      <w:kern w:val="2"/>
      <w:sz w:val="18"/>
      <w:szCs w:val="18"/>
      <w:lang w:val="en-US" w:eastAsia="zh-CN" w:bidi="ar-SA"/>
    </w:rPr>
  </w:style>
  <w:style w:type="character" w:customStyle="1" w:styleId="119">
    <w:name w:val="themebody1"/>
    <w:qFormat/>
    <w:uiPriority w:val="0"/>
    <w:rPr>
      <w:rFonts w:eastAsia="宋体"/>
      <w:color w:val="FFFFFF"/>
      <w:kern w:val="2"/>
      <w:sz w:val="24"/>
      <w:szCs w:val="24"/>
      <w:lang w:val="en-US" w:eastAsia="zh-CN" w:bidi="ar-SA"/>
    </w:rPr>
  </w:style>
  <w:style w:type="character" w:customStyle="1" w:styleId="120">
    <w:name w:val="ft"/>
    <w:qFormat/>
    <w:uiPriority w:val="0"/>
  </w:style>
  <w:style w:type="character" w:customStyle="1" w:styleId="121">
    <w:name w:val="标题 4 Char"/>
    <w:link w:val="8"/>
    <w:qFormat/>
    <w:uiPriority w:val="0"/>
    <w:rPr>
      <w:rFonts w:ascii="Arial" w:hAnsi="Arial" w:eastAsia="黑体"/>
      <w:b/>
      <w:bCs/>
      <w:kern w:val="2"/>
      <w:sz w:val="28"/>
      <w:szCs w:val="28"/>
    </w:rPr>
  </w:style>
  <w:style w:type="character" w:customStyle="1" w:styleId="122">
    <w:name w:val="标题 6 Char"/>
    <w:link w:val="10"/>
    <w:qFormat/>
    <w:uiPriority w:val="0"/>
    <w:rPr>
      <w:rFonts w:ascii="Arial" w:hAnsi="Arial" w:eastAsia="黑体"/>
      <w:b/>
      <w:bCs/>
      <w:spacing w:val="6"/>
      <w:kern w:val="2"/>
      <w:sz w:val="24"/>
      <w:szCs w:val="24"/>
    </w:rPr>
  </w:style>
  <w:style w:type="character" w:customStyle="1" w:styleId="123">
    <w:name w:val="列出段落 Char"/>
    <w:link w:val="124"/>
    <w:qFormat/>
    <w:uiPriority w:val="34"/>
    <w:rPr>
      <w:rFonts w:ascii="Calibri" w:hAnsi="Calibri"/>
      <w:kern w:val="2"/>
      <w:sz w:val="21"/>
      <w:szCs w:val="22"/>
    </w:rPr>
  </w:style>
  <w:style w:type="paragraph" w:styleId="124">
    <w:name w:val="List Paragraph"/>
    <w:basedOn w:val="1"/>
    <w:link w:val="123"/>
    <w:qFormat/>
    <w:uiPriority w:val="34"/>
    <w:pPr>
      <w:ind w:firstLine="420" w:firstLineChars="200"/>
    </w:pPr>
    <w:rPr>
      <w:rFonts w:ascii="Calibri" w:hAnsi="Calibri"/>
      <w:szCs w:val="22"/>
    </w:rPr>
  </w:style>
  <w:style w:type="character" w:customStyle="1" w:styleId="125">
    <w:name w:val="正文文本 2 Char"/>
    <w:link w:val="42"/>
    <w:qFormat/>
    <w:uiPriority w:val="0"/>
    <w:rPr>
      <w:kern w:val="2"/>
      <w:sz w:val="21"/>
      <w:szCs w:val="24"/>
    </w:rPr>
  </w:style>
  <w:style w:type="character" w:customStyle="1" w:styleId="126">
    <w:name w:val="标题 5 Char"/>
    <w:link w:val="9"/>
    <w:qFormat/>
    <w:uiPriority w:val="0"/>
    <w:rPr>
      <w:b/>
      <w:bCs/>
      <w:kern w:val="2"/>
      <w:sz w:val="28"/>
      <w:szCs w:val="28"/>
    </w:rPr>
  </w:style>
  <w:style w:type="character" w:customStyle="1" w:styleId="127">
    <w:name w:val="纯文本 Char2"/>
    <w:qFormat/>
    <w:uiPriority w:val="0"/>
    <w:rPr>
      <w:rFonts w:hint="eastAsia" w:ascii="宋体" w:hAnsi="Courier New" w:eastAsia="仿宋_GB2312" w:cs="宋体"/>
      <w:b/>
      <w:color w:val="000000"/>
      <w:kern w:val="0"/>
      <w:szCs w:val="21"/>
    </w:rPr>
  </w:style>
  <w:style w:type="paragraph" w:customStyle="1" w:styleId="128">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29">
    <w:name w:val="正文格式"/>
    <w:basedOn w:val="1"/>
    <w:link w:val="225"/>
    <w:qFormat/>
    <w:uiPriority w:val="0"/>
    <w:pPr>
      <w:spacing w:before="120" w:after="120" w:line="360" w:lineRule="auto"/>
      <w:ind w:firstLine="482"/>
      <w:jc w:val="left"/>
    </w:pPr>
    <w:rPr>
      <w:sz w:val="24"/>
      <w:szCs w:val="20"/>
    </w:rPr>
  </w:style>
  <w:style w:type="paragraph" w:customStyle="1" w:styleId="130">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31">
    <w:name w:val="Char Char"/>
    <w:basedOn w:val="1"/>
    <w:qFormat/>
    <w:uiPriority w:val="0"/>
    <w:rPr>
      <w:rFonts w:ascii="Tahoma" w:hAnsi="Tahoma"/>
      <w:sz w:val="24"/>
      <w:szCs w:val="20"/>
    </w:rPr>
  </w:style>
  <w:style w:type="paragraph" w:customStyle="1" w:styleId="132">
    <w:name w:val="纯文本1"/>
    <w:basedOn w:val="1"/>
    <w:qFormat/>
    <w:uiPriority w:val="0"/>
    <w:pPr>
      <w:widowControl/>
      <w:spacing w:before="100" w:beforeAutospacing="1" w:after="100" w:afterAutospacing="1"/>
      <w:jc w:val="left"/>
    </w:pPr>
    <w:rPr>
      <w:rFonts w:ascii="宋体" w:hAnsi="宋体"/>
      <w:sz w:val="24"/>
    </w:rPr>
  </w:style>
  <w:style w:type="paragraph" w:customStyle="1" w:styleId="133">
    <w:name w:val="正文段"/>
    <w:basedOn w:val="1"/>
    <w:qFormat/>
    <w:uiPriority w:val="0"/>
    <w:pPr>
      <w:widowControl/>
      <w:snapToGrid w:val="0"/>
      <w:spacing w:after="50"/>
      <w:ind w:firstLine="200" w:firstLineChars="200"/>
    </w:pPr>
    <w:rPr>
      <w:kern w:val="0"/>
      <w:sz w:val="24"/>
      <w:szCs w:val="20"/>
    </w:rPr>
  </w:style>
  <w:style w:type="paragraph" w:customStyle="1" w:styleId="134">
    <w:name w:val="列出段落1"/>
    <w:basedOn w:val="1"/>
    <w:qFormat/>
    <w:uiPriority w:val="0"/>
    <w:pPr>
      <w:widowControl/>
      <w:ind w:firstLine="420" w:firstLineChars="200"/>
      <w:jc w:val="left"/>
    </w:pPr>
    <w:rPr>
      <w:kern w:val="0"/>
      <w:sz w:val="24"/>
      <w:szCs w:val="20"/>
    </w:rPr>
  </w:style>
  <w:style w:type="paragraph" w:customStyle="1" w:styleId="13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Char"/>
    <w:basedOn w:val="1"/>
    <w:qFormat/>
    <w:uiPriority w:val="0"/>
    <w:rPr>
      <w:rFonts w:ascii="仿宋_GB2312" w:eastAsia="仿宋_GB2312"/>
      <w:b/>
      <w:sz w:val="32"/>
      <w:szCs w:val="32"/>
    </w:rPr>
  </w:style>
  <w:style w:type="paragraph" w:customStyle="1" w:styleId="137">
    <w:name w:val="Char Char1"/>
    <w:basedOn w:val="1"/>
    <w:qFormat/>
    <w:uiPriority w:val="0"/>
    <w:rPr>
      <w:rFonts w:ascii="Tahoma" w:hAnsi="Tahoma"/>
      <w:sz w:val="24"/>
      <w:szCs w:val="20"/>
    </w:rPr>
  </w:style>
  <w:style w:type="paragraph" w:customStyle="1" w:styleId="138">
    <w:name w:val="Char Char9"/>
    <w:basedOn w:val="1"/>
    <w:qFormat/>
    <w:uiPriority w:val="0"/>
    <w:rPr>
      <w:rFonts w:ascii="宋体" w:hAnsi="宋体" w:cs="宋体"/>
      <w:b/>
      <w:bCs/>
      <w:color w:val="000000"/>
      <w:sz w:val="22"/>
      <w:szCs w:val="22"/>
    </w:rPr>
  </w:style>
  <w:style w:type="paragraph" w:customStyle="1" w:styleId="139">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40">
    <w:name w:val="列出段落11"/>
    <w:basedOn w:val="1"/>
    <w:qFormat/>
    <w:uiPriority w:val="0"/>
    <w:pPr>
      <w:ind w:firstLine="420" w:firstLineChars="200"/>
    </w:pPr>
    <w:rPr>
      <w:szCs w:val="20"/>
    </w:rPr>
  </w:style>
  <w:style w:type="paragraph" w:customStyle="1" w:styleId="141">
    <w:name w:val="小点说明"/>
    <w:basedOn w:val="1"/>
    <w:qFormat/>
    <w:uiPriority w:val="0"/>
    <w:pPr>
      <w:adjustRightInd w:val="0"/>
      <w:snapToGrid w:val="0"/>
    </w:pPr>
    <w:rPr>
      <w:rFonts w:ascii="仿宋_GB2312" w:eastAsia="仿宋_GB2312"/>
      <w:color w:val="000000"/>
      <w:szCs w:val="18"/>
    </w:rPr>
  </w:style>
  <w:style w:type="paragraph" w:customStyle="1" w:styleId="142">
    <w:name w:val="Fließtext"/>
    <w:basedOn w:val="1"/>
    <w:qFormat/>
    <w:uiPriority w:val="0"/>
    <w:pPr>
      <w:widowControl/>
      <w:overflowPunct w:val="0"/>
      <w:autoSpaceDE w:val="0"/>
      <w:autoSpaceDN w:val="0"/>
      <w:adjustRightInd w:val="0"/>
      <w:jc w:val="left"/>
      <w:textAlignment w:val="baseline"/>
    </w:pPr>
    <w:rPr>
      <w:kern w:val="28"/>
      <w:szCs w:val="20"/>
    </w:rPr>
  </w:style>
  <w:style w:type="paragraph" w:customStyle="1" w:styleId="143">
    <w:name w:val="正文2"/>
    <w:basedOn w:val="1"/>
    <w:qFormat/>
    <w:uiPriority w:val="0"/>
    <w:pPr>
      <w:spacing w:before="156" w:line="360" w:lineRule="auto"/>
      <w:ind w:firstLine="510" w:firstLineChars="200"/>
    </w:pPr>
    <w:rPr>
      <w:sz w:val="24"/>
      <w:szCs w:val="20"/>
    </w:rPr>
  </w:style>
  <w:style w:type="paragraph" w:customStyle="1" w:styleId="144">
    <w:name w:val="标题1"/>
    <w:basedOn w:val="1"/>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145">
    <w:name w:val="Char Char Char Char Char Char Char"/>
    <w:basedOn w:val="1"/>
    <w:qFormat/>
    <w:uiPriority w:val="0"/>
    <w:rPr>
      <w:rFonts w:ascii="仿宋_GB2312" w:eastAsia="仿宋_GB2312"/>
      <w:b/>
      <w:sz w:val="32"/>
      <w:szCs w:val="32"/>
    </w:rPr>
  </w:style>
  <w:style w:type="paragraph" w:customStyle="1" w:styleId="146">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7">
    <w:name w:val="1.1.1B"/>
    <w:basedOn w:val="7"/>
    <w:qFormat/>
    <w:uiPriority w:val="0"/>
    <w:pPr>
      <w:tabs>
        <w:tab w:val="left" w:pos="567"/>
      </w:tabs>
      <w:spacing w:before="240" w:after="240" w:line="240" w:lineRule="auto"/>
      <w:ind w:left="567" w:hanging="567"/>
    </w:pPr>
    <w:rPr>
      <w:sz w:val="24"/>
    </w:rPr>
  </w:style>
  <w:style w:type="paragraph" w:customStyle="1" w:styleId="148">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151">
    <w:name w:val="Char3"/>
    <w:basedOn w:val="1"/>
    <w:qFormat/>
    <w:uiPriority w:val="0"/>
    <w:rPr>
      <w:rFonts w:ascii="仿宋_GB2312" w:eastAsia="仿宋_GB2312"/>
      <w:b/>
      <w:sz w:val="32"/>
      <w:szCs w:val="32"/>
    </w:rPr>
  </w:style>
  <w:style w:type="paragraph" w:customStyle="1" w:styleId="152">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153">
    <w:name w:val="p0"/>
    <w:basedOn w:val="1"/>
    <w:qFormat/>
    <w:uiPriority w:val="0"/>
    <w:pPr>
      <w:widowControl/>
    </w:pPr>
    <w:rPr>
      <w:rFonts w:ascii="Calibri" w:hAnsi="Calibri" w:cs="宋体"/>
      <w:kern w:val="0"/>
      <w:szCs w:val="21"/>
    </w:rPr>
  </w:style>
  <w:style w:type="paragraph" w:customStyle="1" w:styleId="154">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155">
    <w:name w:val="中等深浅网格 1 - 强调文字颜色 21"/>
    <w:basedOn w:val="1"/>
    <w:qFormat/>
    <w:uiPriority w:val="34"/>
    <w:pPr>
      <w:widowControl/>
      <w:ind w:firstLine="420" w:firstLineChars="200"/>
      <w:jc w:val="left"/>
    </w:pPr>
    <w:rPr>
      <w:kern w:val="0"/>
      <w:szCs w:val="20"/>
    </w:rPr>
  </w:style>
  <w:style w:type="paragraph" w:customStyle="1" w:styleId="156">
    <w:name w:val="样式1"/>
    <w:basedOn w:val="8"/>
    <w:qFormat/>
    <w:uiPriority w:val="0"/>
    <w:pPr>
      <w:spacing w:line="374" w:lineRule="auto"/>
    </w:pPr>
  </w:style>
  <w:style w:type="paragraph" w:customStyle="1" w:styleId="157">
    <w:name w:val="b5-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58">
    <w:name w:val="Figure Desription Char"/>
    <w:basedOn w:val="1"/>
    <w:qFormat/>
    <w:uiPriority w:val="0"/>
  </w:style>
  <w:style w:type="paragraph" w:customStyle="1" w:styleId="159">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60">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16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6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4">
    <w:name w:val="Char1"/>
    <w:basedOn w:val="1"/>
    <w:qFormat/>
    <w:uiPriority w:val="0"/>
    <w:rPr>
      <w:rFonts w:ascii="Tahoma" w:hAnsi="Tahoma"/>
      <w:sz w:val="24"/>
      <w:szCs w:val="20"/>
    </w:rPr>
  </w:style>
  <w:style w:type="paragraph" w:customStyle="1" w:styleId="16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6">
    <w:name w:val="px12l140"/>
    <w:basedOn w:val="1"/>
    <w:qFormat/>
    <w:uiPriority w:val="0"/>
    <w:pPr>
      <w:widowControl/>
      <w:spacing w:before="100" w:beforeAutospacing="1" w:after="100" w:afterAutospacing="1" w:line="336" w:lineRule="auto"/>
      <w:jc w:val="left"/>
    </w:pPr>
    <w:rPr>
      <w:kern w:val="0"/>
      <w:sz w:val="20"/>
      <w:szCs w:val="20"/>
    </w:rPr>
  </w:style>
  <w:style w:type="paragraph" w:customStyle="1" w:styleId="167">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8">
    <w:name w:val="附件"/>
    <w:basedOn w:val="5"/>
    <w:qFormat/>
    <w:uiPriority w:val="0"/>
    <w:pPr>
      <w:keepNext w:val="0"/>
      <w:pageBreakBefore/>
      <w:tabs>
        <w:tab w:val="left" w:pos="840"/>
      </w:tabs>
      <w:adjustRightInd w:val="0"/>
      <w:snapToGrid w:val="0"/>
      <w:spacing w:beforeLines="100" w:afterLines="100"/>
    </w:pPr>
    <w:rPr>
      <w:rFonts w:ascii="宋体" w:hAnsi="宋体"/>
      <w:b/>
      <w:kern w:val="44"/>
      <w:szCs w:val="36"/>
    </w:rPr>
  </w:style>
  <w:style w:type="paragraph" w:customStyle="1" w:styleId="169">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70">
    <w:name w:val="Char Char4"/>
    <w:basedOn w:val="1"/>
    <w:qFormat/>
    <w:uiPriority w:val="0"/>
    <w:rPr>
      <w:rFonts w:ascii="Tahoma" w:hAnsi="Tahoma"/>
      <w:sz w:val="24"/>
      <w:szCs w:val="20"/>
    </w:rPr>
  </w:style>
  <w:style w:type="paragraph" w:customStyle="1" w:styleId="171">
    <w:name w:val="Char Char1 Char Char"/>
    <w:basedOn w:val="1"/>
    <w:qFormat/>
    <w:uiPriority w:val="0"/>
    <w:pPr>
      <w:ind w:left="100" w:leftChars="100" w:right="100" w:rightChars="100"/>
      <w:jc w:val="left"/>
    </w:pPr>
    <w:rPr>
      <w:rFonts w:ascii="Tahoma" w:hAnsi="Tahoma"/>
      <w:sz w:val="24"/>
      <w:szCs w:val="20"/>
    </w:rPr>
  </w:style>
  <w:style w:type="paragraph" w:customStyle="1" w:styleId="172">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73">
    <w:name w:val="Char Char3"/>
    <w:basedOn w:val="1"/>
    <w:qFormat/>
    <w:uiPriority w:val="0"/>
    <w:rPr>
      <w:rFonts w:ascii="仿宋_GB2312" w:eastAsia="仿宋_GB2312"/>
      <w:b/>
      <w:sz w:val="32"/>
      <w:szCs w:val="32"/>
    </w:rPr>
  </w:style>
  <w:style w:type="paragraph" w:customStyle="1" w:styleId="174">
    <w:name w:val="样式2"/>
    <w:basedOn w:val="8"/>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175">
    <w:name w:val="Char11"/>
    <w:basedOn w:val="1"/>
    <w:qFormat/>
    <w:uiPriority w:val="0"/>
    <w:rPr>
      <w:rFonts w:ascii="仿宋_GB2312" w:eastAsia="仿宋_GB2312"/>
      <w:b/>
      <w:sz w:val="32"/>
      <w:szCs w:val="32"/>
    </w:rPr>
  </w:style>
  <w:style w:type="paragraph" w:customStyle="1" w:styleId="176">
    <w:name w:val="标题 1 + 仿宋_GB2312"/>
    <w:basedOn w:val="5"/>
    <w:qFormat/>
    <w:uiPriority w:val="0"/>
    <w:pPr>
      <w:keepLines/>
      <w:spacing w:before="340" w:after="330" w:line="578" w:lineRule="auto"/>
      <w:jc w:val="both"/>
    </w:pPr>
    <w:rPr>
      <w:rFonts w:ascii="仿宋_GB2312" w:eastAsia="仿宋_GB2312"/>
      <w:b/>
      <w:bCs/>
      <w:kern w:val="44"/>
      <w:sz w:val="32"/>
      <w:szCs w:val="32"/>
    </w:rPr>
  </w:style>
  <w:style w:type="paragraph" w:customStyle="1" w:styleId="177">
    <w:name w:val="Char Char Char Char1"/>
    <w:basedOn w:val="1"/>
    <w:qFormat/>
    <w:uiPriority w:val="0"/>
    <w:rPr>
      <w:rFonts w:ascii="Tahoma" w:hAnsi="Tahoma"/>
      <w:sz w:val="24"/>
      <w:szCs w:val="20"/>
    </w:rPr>
  </w:style>
  <w:style w:type="paragraph" w:customStyle="1" w:styleId="178">
    <w:name w:val="Char Char Char"/>
    <w:basedOn w:val="1"/>
    <w:qFormat/>
    <w:uiPriority w:val="0"/>
    <w:rPr>
      <w:rFonts w:ascii="Tahoma" w:hAnsi="Tahoma"/>
      <w:sz w:val="24"/>
      <w:szCs w:val="20"/>
    </w:rPr>
  </w:style>
  <w:style w:type="paragraph" w:customStyle="1" w:styleId="179">
    <w:name w:val="标题 61"/>
    <w:basedOn w:val="1"/>
    <w:qFormat/>
    <w:uiPriority w:val="0"/>
    <w:pPr>
      <w:widowControl/>
      <w:jc w:val="left"/>
      <w:outlineLvl w:val="6"/>
    </w:pPr>
    <w:rPr>
      <w:rFonts w:ascii="宋体" w:hAnsi="宋体" w:cs="宋体"/>
      <w:color w:val="00569B"/>
      <w:kern w:val="0"/>
      <w:sz w:val="17"/>
      <w:szCs w:val="17"/>
    </w:rPr>
  </w:style>
  <w:style w:type="paragraph" w:customStyle="1" w:styleId="180">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81">
    <w:name w:val="Char Char Char Char1 Char Char Char Char"/>
    <w:basedOn w:val="18"/>
    <w:qFormat/>
    <w:uiPriority w:val="0"/>
    <w:rPr>
      <w:szCs w:val="20"/>
    </w:rPr>
  </w:style>
  <w:style w:type="paragraph" w:customStyle="1" w:styleId="182">
    <w:name w:val="Char Char Char Char"/>
    <w:basedOn w:val="18"/>
    <w:qFormat/>
    <w:uiPriority w:val="0"/>
    <w:rPr>
      <w:rFonts w:ascii="Tahoma" w:hAnsi="Tahoma"/>
      <w:sz w:val="24"/>
    </w:rPr>
  </w:style>
  <w:style w:type="paragraph" w:customStyle="1" w:styleId="183">
    <w:name w:val="Char1 Char Char Char"/>
    <w:basedOn w:val="1"/>
    <w:qFormat/>
    <w:uiPriority w:val="0"/>
    <w:rPr>
      <w:rFonts w:ascii="Tahoma" w:hAnsi="Tahoma"/>
      <w:sz w:val="24"/>
      <w:szCs w:val="20"/>
    </w:rPr>
  </w:style>
  <w:style w:type="paragraph" w:customStyle="1" w:styleId="184">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8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zoey楷体正文"/>
    <w:basedOn w:val="5"/>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87">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188">
    <w:name w:val="表格文字"/>
    <w:basedOn w:val="28"/>
    <w:next w:val="2"/>
    <w:qFormat/>
    <w:uiPriority w:val="0"/>
    <w:pPr>
      <w:widowControl/>
      <w:adjustRightInd w:val="0"/>
      <w:spacing w:line="420" w:lineRule="atLeast"/>
      <w:jc w:val="left"/>
      <w:textAlignment w:val="baseline"/>
    </w:pPr>
    <w:rPr>
      <w:kern w:val="0"/>
    </w:rPr>
  </w:style>
  <w:style w:type="paragraph" w:customStyle="1" w:styleId="189">
    <w:name w:val="正文文字表格居中"/>
    <w:basedOn w:val="1"/>
    <w:next w:val="42"/>
    <w:qFormat/>
    <w:uiPriority w:val="0"/>
    <w:pPr>
      <w:spacing w:line="400" w:lineRule="exact"/>
      <w:jc w:val="center"/>
    </w:pPr>
    <w:rPr>
      <w:b/>
      <w:bCs/>
      <w:sz w:val="24"/>
    </w:rPr>
  </w:style>
  <w:style w:type="paragraph" w:customStyle="1" w:styleId="190">
    <w:name w:val="正文－恩普"/>
    <w:basedOn w:val="11"/>
    <w:qFormat/>
    <w:uiPriority w:val="0"/>
    <w:pPr>
      <w:framePr w:wrap="around" w:vAnchor="text" w:hAnchor="text" w:y="1"/>
      <w:spacing w:after="0" w:line="360" w:lineRule="auto"/>
    </w:pPr>
    <w:rPr>
      <w:szCs w:val="24"/>
    </w:rPr>
  </w:style>
  <w:style w:type="paragraph" w:customStyle="1" w:styleId="191">
    <w:name w:val="font2"/>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192">
    <w:name w:val="默认段落字体 Para Char Char Char Char"/>
    <w:basedOn w:val="1"/>
    <w:qFormat/>
    <w:uiPriority w:val="0"/>
    <w:rPr>
      <w:szCs w:val="20"/>
    </w:rPr>
  </w:style>
  <w:style w:type="paragraph" w:customStyle="1" w:styleId="193">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94">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95">
    <w:name w:val="模板正文缩进"/>
    <w:basedOn w:val="1"/>
    <w:qFormat/>
    <w:uiPriority w:val="0"/>
    <w:pPr>
      <w:spacing w:beforeLines="50" w:afterLines="50" w:line="520" w:lineRule="exact"/>
      <w:ind w:left="1049" w:hanging="420"/>
    </w:pPr>
    <w:rPr>
      <w:rFonts w:ascii="宋体" w:hAnsi="宋体"/>
      <w:kern w:val="0"/>
      <w:sz w:val="24"/>
    </w:rPr>
  </w:style>
  <w:style w:type="paragraph" w:customStyle="1" w:styleId="196">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197">
    <w:name w:val="Char Char Char Char Char Char Char Char Char Char"/>
    <w:basedOn w:val="18"/>
    <w:qFormat/>
    <w:uiPriority w:val="0"/>
  </w:style>
  <w:style w:type="paragraph" w:customStyle="1" w:styleId="198">
    <w:name w:val="表内文字"/>
    <w:basedOn w:val="1"/>
    <w:qFormat/>
    <w:uiPriority w:val="0"/>
    <w:pPr>
      <w:jc w:val="center"/>
    </w:pPr>
    <w:rPr>
      <w:rFonts w:ascii="仿宋_GB2312" w:eastAsia="仿宋_GB2312"/>
      <w:sz w:val="24"/>
    </w:rPr>
  </w:style>
  <w:style w:type="paragraph" w:customStyle="1" w:styleId="199">
    <w:name w:val="Char Char Char Char11"/>
    <w:basedOn w:val="18"/>
    <w:qFormat/>
    <w:uiPriority w:val="0"/>
    <w:rPr>
      <w:szCs w:val="20"/>
    </w:rPr>
  </w:style>
  <w:style w:type="paragraph" w:customStyle="1" w:styleId="200">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201">
    <w:name w:val="Char2"/>
    <w:basedOn w:val="1"/>
    <w:qFormat/>
    <w:uiPriority w:val="0"/>
    <w:rPr>
      <w:rFonts w:ascii="仿宋_GB2312" w:eastAsia="仿宋_GB2312"/>
      <w:b/>
      <w:sz w:val="32"/>
      <w:szCs w:val="32"/>
    </w:rPr>
  </w:style>
  <w:style w:type="paragraph" w:customStyle="1" w:styleId="20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3">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204">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205">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206">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207">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208">
    <w:name w:val="_Style 70"/>
    <w:basedOn w:val="1"/>
    <w:qFormat/>
    <w:uiPriority w:val="0"/>
    <w:rPr>
      <w:szCs w:val="20"/>
    </w:rPr>
  </w:style>
  <w:style w:type="paragraph" w:customStyle="1" w:styleId="209">
    <w:name w:val="默认段落字体 Para Char Char Char Char Char Char Char"/>
    <w:basedOn w:val="1"/>
    <w:qFormat/>
    <w:uiPriority w:val="0"/>
    <w:rPr>
      <w:rFonts w:ascii="Tahoma" w:hAnsi="Tahoma"/>
      <w:sz w:val="24"/>
      <w:szCs w:val="20"/>
    </w:rPr>
  </w:style>
  <w:style w:type="paragraph" w:customStyle="1" w:styleId="210">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211">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212">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13">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14">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215">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216">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217">
    <w:name w:val="_Style 50"/>
    <w:next w:val="1"/>
    <w:qFormat/>
    <w:uiPriority w:val="0"/>
    <w:rPr>
      <w:rFonts w:ascii="Times New Roman" w:hAnsi="Times New Roman" w:eastAsia="宋体" w:cs="Times New Roman"/>
      <w:sz w:val="21"/>
      <w:lang w:val="en-US" w:eastAsia="zh-CN" w:bidi="ar-SA"/>
    </w:rPr>
  </w:style>
  <w:style w:type="paragraph" w:customStyle="1" w:styleId="218">
    <w:name w:val="_Style 4"/>
    <w:basedOn w:val="1"/>
    <w:qFormat/>
    <w:uiPriority w:val="0"/>
    <w:pPr>
      <w:widowControl/>
      <w:ind w:firstLine="420" w:firstLineChars="200"/>
      <w:jc w:val="left"/>
    </w:pPr>
    <w:rPr>
      <w:rFonts w:ascii="Calibri" w:hAnsi="Calibri"/>
    </w:rPr>
  </w:style>
  <w:style w:type="paragraph" w:customStyle="1" w:styleId="219">
    <w:name w:val="_Style 211"/>
    <w:basedOn w:val="1"/>
    <w:next w:val="124"/>
    <w:qFormat/>
    <w:uiPriority w:val="99"/>
    <w:pPr>
      <w:widowControl/>
      <w:ind w:firstLine="420" w:firstLineChars="200"/>
      <w:jc w:val="left"/>
    </w:pPr>
  </w:style>
  <w:style w:type="character" w:customStyle="1" w:styleId="220">
    <w:name w:val="正文缩进 字符"/>
    <w:qFormat/>
    <w:uiPriority w:val="0"/>
    <w:rPr>
      <w:rFonts w:ascii="Times New Roman" w:hAnsi="Times New Roman"/>
      <w:sz w:val="21"/>
    </w:rPr>
  </w:style>
  <w:style w:type="paragraph" w:customStyle="1" w:styleId="2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2">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223">
    <w:name w:val="脚注文本 Char"/>
    <w:link w:val="37"/>
    <w:qFormat/>
    <w:uiPriority w:val="0"/>
    <w:rPr>
      <w:kern w:val="2"/>
      <w:sz w:val="18"/>
      <w:szCs w:val="24"/>
    </w:rPr>
  </w:style>
  <w:style w:type="character" w:customStyle="1" w:styleId="224">
    <w:name w:val="bookmark-item"/>
    <w:basedOn w:val="51"/>
    <w:qFormat/>
    <w:uiPriority w:val="0"/>
  </w:style>
  <w:style w:type="character" w:customStyle="1" w:styleId="225">
    <w:name w:val="正文格式 Char"/>
    <w:link w:val="129"/>
    <w:qFormat/>
    <w:uiPriority w:val="0"/>
    <w:rPr>
      <w:kern w:val="2"/>
      <w:sz w:val="24"/>
    </w:rPr>
  </w:style>
  <w:style w:type="paragraph" w:customStyle="1" w:styleId="226">
    <w:name w:val="正文缩进1"/>
    <w:basedOn w:val="1"/>
    <w:qFormat/>
    <w:uiPriority w:val="0"/>
    <w:pPr>
      <w:widowControl/>
      <w:ind w:firstLine="420"/>
      <w:jc w:val="left"/>
    </w:pPr>
    <w:rPr>
      <w:rFonts w:eastAsia="仿宋_GB2312"/>
      <w:b/>
      <w:color w:val="000000"/>
      <w:kern w:val="0"/>
      <w:szCs w:val="20"/>
    </w:rPr>
  </w:style>
  <w:style w:type="paragraph" w:customStyle="1" w:styleId="227">
    <w:name w:val="金保标题2"/>
    <w:basedOn w:val="6"/>
    <w:next w:val="1"/>
    <w:link w:val="228"/>
    <w:qFormat/>
    <w:uiPriority w:val="0"/>
    <w:pPr>
      <w:tabs>
        <w:tab w:val="left" w:pos="576"/>
      </w:tabs>
      <w:spacing w:line="360" w:lineRule="auto"/>
      <w:ind w:left="576" w:hanging="576"/>
    </w:pPr>
    <w:rPr>
      <w:rFonts w:ascii="Times New Roman" w:hAnsi="Times New Roman"/>
      <w:sz w:val="28"/>
      <w:szCs w:val="28"/>
    </w:rPr>
  </w:style>
  <w:style w:type="character" w:customStyle="1" w:styleId="228">
    <w:name w:val="金保标题2 Char"/>
    <w:link w:val="227"/>
    <w:qFormat/>
    <w:uiPriority w:val="0"/>
    <w:rPr>
      <w:rFonts w:eastAsia="黑体"/>
      <w:b/>
      <w:bCs/>
      <w:kern w:val="2"/>
      <w:sz w:val="28"/>
      <w:szCs w:val="28"/>
    </w:rPr>
  </w:style>
  <w:style w:type="paragraph" w:customStyle="1" w:styleId="229">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character" w:customStyle="1" w:styleId="230">
    <w:name w:val="正文首行缩进 2 Char"/>
    <w:basedOn w:val="104"/>
    <w:link w:val="48"/>
    <w:qFormat/>
    <w:uiPriority w:val="0"/>
    <w:rPr>
      <w:rFonts w:ascii="仿宋_GB2312" w:eastAsia="仿宋_GB2312"/>
      <w:color w:val="000000"/>
      <w:kern w:val="2"/>
      <w:sz w:val="21"/>
      <w:szCs w:val="24"/>
    </w:rPr>
  </w:style>
  <w:style w:type="character" w:customStyle="1" w:styleId="231">
    <w:name w:val="z-窗体顶端 字符"/>
    <w:link w:val="232"/>
    <w:qFormat/>
    <w:uiPriority w:val="0"/>
    <w:rPr>
      <w:rFonts w:ascii="Arial" w:hAnsi="Arial" w:cs="Arial"/>
      <w:vanish/>
      <w:sz w:val="16"/>
      <w:szCs w:val="16"/>
    </w:rPr>
  </w:style>
  <w:style w:type="paragraph" w:customStyle="1" w:styleId="232">
    <w:name w:val="z-窗体顶端11"/>
    <w:basedOn w:val="1"/>
    <w:next w:val="1"/>
    <w:link w:val="231"/>
    <w:qFormat/>
    <w:uiPriority w:val="0"/>
    <w:pPr>
      <w:widowControl/>
      <w:pBdr>
        <w:bottom w:val="single" w:color="auto" w:sz="6" w:space="1"/>
      </w:pBdr>
      <w:jc w:val="center"/>
    </w:pPr>
    <w:rPr>
      <w:rFonts w:ascii="Arial" w:hAnsi="Arial"/>
      <w:vanish/>
      <w:kern w:val="0"/>
      <w:sz w:val="16"/>
      <w:szCs w:val="16"/>
    </w:rPr>
  </w:style>
  <w:style w:type="character" w:customStyle="1" w:styleId="233">
    <w:name w:val="NormalCharacter"/>
    <w:semiHidden/>
    <w:qFormat/>
    <w:uiPriority w:val="0"/>
    <w:rPr>
      <w:kern w:val="2"/>
      <w:sz w:val="21"/>
      <w:szCs w:val="22"/>
      <w:lang w:val="en-US" w:eastAsia="zh-CN" w:bidi="ar-SA"/>
    </w:rPr>
  </w:style>
  <w:style w:type="paragraph" w:customStyle="1" w:styleId="234">
    <w:name w:val="正文缩进2"/>
    <w:basedOn w:val="1"/>
    <w:qFormat/>
    <w:uiPriority w:val="0"/>
    <w:pPr>
      <w:widowControl/>
      <w:ind w:firstLine="420"/>
      <w:jc w:val="left"/>
    </w:pPr>
    <w:rPr>
      <w:rFonts w:eastAsia="仿宋_GB2312"/>
      <w:b/>
      <w:color w:val="000000"/>
      <w:kern w:val="0"/>
      <w:szCs w:val="20"/>
    </w:rPr>
  </w:style>
  <w:style w:type="paragraph" w:customStyle="1" w:styleId="235">
    <w:name w:val="Char31"/>
    <w:basedOn w:val="18"/>
    <w:qFormat/>
    <w:uiPriority w:val="0"/>
    <w:rPr>
      <w:rFonts w:ascii="Tahoma" w:hAnsi="Tahoma"/>
      <w:sz w:val="24"/>
    </w:rPr>
  </w:style>
  <w:style w:type="character" w:customStyle="1" w:styleId="236">
    <w:name w:val="日期 Char1"/>
    <w:qFormat/>
    <w:uiPriority w:val="0"/>
    <w:rPr>
      <w:rFonts w:ascii="仿宋_GB2312" w:hAnsi="宋体" w:eastAsia="仿宋_GB2312"/>
      <w:b/>
      <w:color w:val="000000"/>
      <w:sz w:val="24"/>
    </w:rPr>
  </w:style>
  <w:style w:type="character" w:customStyle="1" w:styleId="237">
    <w:name w:val="宏文本 Char"/>
    <w:qFormat/>
    <w:uiPriority w:val="0"/>
    <w:rPr>
      <w:rFonts w:ascii="Courier New" w:hAnsi="Courier New"/>
      <w:lang w:val="en-US" w:eastAsia="zh-CN" w:bidi="ar-SA"/>
    </w:rPr>
  </w:style>
  <w:style w:type="character" w:customStyle="1" w:styleId="238">
    <w:name w:val="宏文本 Char1"/>
    <w:basedOn w:val="51"/>
    <w:link w:val="4"/>
    <w:qFormat/>
    <w:uiPriority w:val="0"/>
    <w:rPr>
      <w:rFonts w:ascii="Courier New" w:hAnsi="Courier New"/>
      <w:lang w:val="en-US" w:eastAsia="zh-CN" w:bidi="ar-SA"/>
    </w:rPr>
  </w:style>
  <w:style w:type="paragraph" w:customStyle="1" w:styleId="239">
    <w:name w:val="Table Paragraph"/>
    <w:basedOn w:val="1"/>
    <w:qFormat/>
    <w:uiPriority w:val="1"/>
    <w:rPr>
      <w:rFonts w:ascii="宋体" w:hAnsi="宋体" w:cs="宋体"/>
      <w:lang w:val="zh-CN" w:bidi="zh-CN"/>
    </w:rPr>
  </w:style>
  <w:style w:type="paragraph" w:customStyle="1" w:styleId="240">
    <w:name w:val="BodyText"/>
    <w:basedOn w:val="1"/>
    <w:next w:val="241"/>
    <w:qFormat/>
    <w:uiPriority w:val="0"/>
    <w:pPr>
      <w:spacing w:after="120"/>
    </w:pPr>
  </w:style>
  <w:style w:type="paragraph" w:customStyle="1" w:styleId="241">
    <w:name w:val="BodyText1I"/>
    <w:basedOn w:val="240"/>
    <w:next w:val="242"/>
    <w:qFormat/>
    <w:uiPriority w:val="0"/>
    <w:pPr>
      <w:ind w:firstLine="420" w:firstLineChars="100"/>
    </w:pPr>
    <w:rPr>
      <w:rFonts w:ascii="Calibri" w:hAnsi="Calibri"/>
      <w:szCs w:val="24"/>
    </w:rPr>
  </w:style>
  <w:style w:type="paragraph" w:customStyle="1" w:styleId="242">
    <w:name w:val="TOC6"/>
    <w:basedOn w:val="1"/>
    <w:next w:val="1"/>
    <w:qFormat/>
    <w:uiPriority w:val="0"/>
    <w:pPr>
      <w:spacing w:line="360" w:lineRule="auto"/>
      <w:ind w:left="1200" w:firstLine="200" w:firstLineChars="200"/>
      <w:jc w:val="left"/>
    </w:pPr>
    <w:rPr>
      <w:rFonts w:ascii="Calibri" w:hAnsi="Calibri"/>
      <w:sz w:val="18"/>
      <w:szCs w:val="18"/>
    </w:rPr>
  </w:style>
  <w:style w:type="paragraph" w:customStyle="1" w:styleId="243">
    <w:name w:val="UserStyle_78"/>
    <w:basedOn w:val="1"/>
    <w:qFormat/>
    <w:uiPriority w:val="0"/>
    <w:pPr>
      <w:ind w:firstLine="200" w:firstLineChars="200"/>
    </w:pPr>
    <w:rPr>
      <w:rFonts w:ascii="Calibri" w:hAnsi="Calibri"/>
    </w:rPr>
  </w:style>
  <w:style w:type="paragraph" w:customStyle="1" w:styleId="244">
    <w:name w:val="UserStyle_70"/>
    <w:basedOn w:val="245"/>
    <w:next w:val="240"/>
    <w:qFormat/>
    <w:uiPriority w:val="0"/>
    <w:pPr>
      <w:spacing w:line="420" w:lineRule="atLeast"/>
      <w:jc w:val="left"/>
    </w:pPr>
    <w:rPr>
      <w:kern w:val="0"/>
    </w:rPr>
  </w:style>
  <w:style w:type="paragraph" w:customStyle="1" w:styleId="245">
    <w:name w:val="PlainText"/>
    <w:basedOn w:val="1"/>
    <w:next w:val="246"/>
    <w:qFormat/>
    <w:uiPriority w:val="0"/>
    <w:rPr>
      <w:rFonts w:ascii="宋体" w:hAnsi="Courier New"/>
    </w:rPr>
  </w:style>
  <w:style w:type="paragraph" w:customStyle="1" w:styleId="246">
    <w:name w:val="TOC2"/>
    <w:basedOn w:val="1"/>
    <w:next w:val="1"/>
    <w:semiHidden/>
    <w:qFormat/>
    <w:uiPriority w:val="0"/>
    <w:pPr>
      <w:ind w:left="420" w:leftChars="200"/>
    </w:pPr>
    <w:rPr>
      <w:szCs w:val="24"/>
    </w:rPr>
  </w:style>
  <w:style w:type="paragraph" w:customStyle="1" w:styleId="247">
    <w:name w:val="HtmlNormal"/>
    <w:basedOn w:val="1"/>
    <w:qFormat/>
    <w:uiPriority w:val="0"/>
    <w:pPr>
      <w:spacing w:after="50"/>
      <w:jc w:val="left"/>
    </w:pPr>
    <w:rPr>
      <w:kern w:val="0"/>
      <w:sz w:val="24"/>
      <w:szCs w:val="24"/>
    </w:rPr>
  </w:style>
  <w:style w:type="paragraph" w:customStyle="1" w:styleId="248">
    <w:name w:val="TOAHeading"/>
    <w:basedOn w:val="1"/>
    <w:next w:val="1"/>
    <w:qFormat/>
    <w:uiPriority w:val="0"/>
    <w:pPr>
      <w:spacing w:before="120"/>
    </w:pPr>
    <w:rPr>
      <w:rFonts w:ascii="Arial" w:hAnsi="Arial"/>
      <w:sz w:val="24"/>
    </w:rPr>
  </w:style>
  <w:style w:type="paragraph" w:customStyle="1" w:styleId="249">
    <w:name w:val="Heading1"/>
    <w:basedOn w:val="1"/>
    <w:next w:val="250"/>
    <w:qFormat/>
    <w:uiPriority w:val="0"/>
    <w:pPr>
      <w:keepNext/>
      <w:keepLines/>
      <w:tabs>
        <w:tab w:val="left" w:pos="432"/>
      </w:tabs>
      <w:spacing w:before="360" w:after="360" w:line="360" w:lineRule="auto"/>
      <w:jc w:val="left"/>
    </w:pPr>
    <w:rPr>
      <w:rFonts w:ascii="黑体" w:eastAsia="黑体"/>
      <w:spacing w:val="24"/>
      <w:kern w:val="44"/>
      <w:sz w:val="32"/>
    </w:rPr>
  </w:style>
  <w:style w:type="paragraph" w:customStyle="1" w:styleId="250">
    <w:name w:val="NormalIndent"/>
    <w:basedOn w:val="1"/>
    <w:qFormat/>
    <w:uiPriority w:val="0"/>
    <w:pPr>
      <w:ind w:firstLine="420" w:firstLineChars="200"/>
    </w:pPr>
  </w:style>
  <w:style w:type="character" w:customStyle="1" w:styleId="251">
    <w:name w:val="font11"/>
    <w:basedOn w:val="51"/>
    <w:qFormat/>
    <w:uiPriority w:val="0"/>
    <w:rPr>
      <w:rFonts w:hint="eastAsia" w:ascii="宋体" w:hAnsi="宋体" w:eastAsia="宋体" w:cs="宋体"/>
      <w:color w:val="000000"/>
      <w:sz w:val="22"/>
      <w:szCs w:val="22"/>
      <w:u w:val="none"/>
    </w:rPr>
  </w:style>
  <w:style w:type="character" w:customStyle="1" w:styleId="252">
    <w:name w:val="font81"/>
    <w:basedOn w:val="51"/>
    <w:qFormat/>
    <w:uiPriority w:val="0"/>
    <w:rPr>
      <w:rFonts w:ascii="Calibri" w:hAnsi="Calibri" w:cs="Calibri"/>
      <w:color w:val="000000"/>
      <w:sz w:val="22"/>
      <w:szCs w:val="22"/>
      <w:u w:val="none"/>
    </w:rPr>
  </w:style>
  <w:style w:type="character" w:customStyle="1" w:styleId="253">
    <w:name w:val="font01"/>
    <w:basedOn w:val="51"/>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FF1C0-7576-42DA-8887-3611F2F135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23499</Words>
  <Characters>26080</Characters>
  <Lines>41</Lines>
  <Paragraphs>65</Paragraphs>
  <TotalTime>132</TotalTime>
  <ScaleCrop>false</ScaleCrop>
  <LinksUpToDate>false</LinksUpToDate>
  <CharactersWithSpaces>26820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2021-08-30T01:50:00Z</dcterms:created>
  <dc:creator>zhang</dc:creator>
  <cp:lastModifiedBy>陈德旭</cp:lastModifiedBy>
  <cp:lastPrinted>2022-07-25T01:02:00Z</cp:lastPrinted>
  <dcterms:modified xsi:type="dcterms:W3CDTF">2025-06-26T09:04:26Z</dcterms:modified>
  <dc:title>乐清市公共资源交易中心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F9E2CFC7E0F4417FA86F35E2AC0BB3E5_13</vt:lpwstr>
  </property>
  <property fmtid="{D5CDD505-2E9C-101B-9397-08002B2CF9AE}" pid="4" name="KSOTemplateDocerSaveRecord">
    <vt:lpwstr>eyJoZGlkIjoiMmM2MTNmZGE5NmQ4NTMwYjMzNWQ4NDUyMDM1MjI4MzAiLCJ1c2VySWQiOiI0MTgxODE3MDkifQ==</vt:lpwstr>
  </property>
</Properties>
</file>