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48"/>
          <w:szCs w:val="48"/>
          <w:highlight w:val="none"/>
          <w:u w:val="single"/>
        </w:rPr>
      </w:pPr>
    </w:p>
    <w:p>
      <w:pPr>
        <w:spacing w:line="360" w:lineRule="auto"/>
        <w:jc w:val="center"/>
        <w:rPr>
          <w:rFonts w:ascii="宋体" w:hAnsi="宋体" w:cs="宋体"/>
          <w:b/>
          <w:color w:val="auto"/>
          <w:sz w:val="40"/>
          <w:szCs w:val="40"/>
          <w:highlight w:val="none"/>
        </w:rPr>
      </w:pPr>
    </w:p>
    <w:p>
      <w:pPr>
        <w:spacing w:line="360" w:lineRule="auto"/>
        <w:ind w:firstLine="420"/>
        <w:jc w:val="center"/>
        <w:rPr>
          <w:rFonts w:ascii="宋体" w:hAnsi="宋体" w:cs="宋体"/>
          <w:b/>
          <w:color w:val="auto"/>
          <w:sz w:val="56"/>
          <w:szCs w:val="56"/>
          <w:highlight w:val="none"/>
        </w:rPr>
      </w:pPr>
      <w:r>
        <w:rPr>
          <w:rFonts w:hint="eastAsia" w:ascii="宋体" w:hAnsi="宋体" w:cs="宋体"/>
          <w:b/>
          <w:color w:val="auto"/>
          <w:sz w:val="40"/>
          <w:szCs w:val="40"/>
          <w:highlight w:val="none"/>
        </w:rPr>
        <w:t>2023-2024年度杭州湾上虞经济技术开发区道路、绿化带保洁服务项目</w:t>
      </w:r>
    </w:p>
    <w:p>
      <w:pPr>
        <w:spacing w:line="360" w:lineRule="auto"/>
        <w:jc w:val="center"/>
        <w:rPr>
          <w:rFonts w:ascii="宋体" w:hAnsi="宋体" w:cs="宋体"/>
          <w:b/>
          <w:color w:val="auto"/>
          <w:sz w:val="56"/>
          <w:szCs w:val="56"/>
          <w:highlight w:val="none"/>
        </w:rPr>
      </w:pPr>
    </w:p>
    <w:p>
      <w:pPr>
        <w:spacing w:line="360" w:lineRule="auto"/>
        <w:jc w:val="center"/>
        <w:rPr>
          <w:rFonts w:ascii="宋体" w:hAnsi="宋体" w:cs="宋体"/>
          <w:b/>
          <w:color w:val="auto"/>
          <w:sz w:val="56"/>
          <w:szCs w:val="56"/>
          <w:highlight w:val="none"/>
        </w:rPr>
      </w:pPr>
      <w:r>
        <w:rPr>
          <w:rFonts w:hint="eastAsia" w:ascii="宋体" w:hAnsi="宋体" w:cs="宋体"/>
          <w:b/>
          <w:color w:val="auto"/>
          <w:sz w:val="56"/>
          <w:szCs w:val="56"/>
          <w:highlight w:val="none"/>
        </w:rPr>
        <w:t>招标文件</w:t>
      </w:r>
    </w:p>
    <w:p>
      <w:pPr>
        <w:spacing w:line="360" w:lineRule="auto"/>
        <w:jc w:val="center"/>
        <w:rPr>
          <w:rFonts w:ascii="宋体" w:hAnsi="宋体" w:cs="宋体"/>
          <w:b/>
          <w:color w:val="auto"/>
          <w:sz w:val="24"/>
          <w:highlight w:val="none"/>
        </w:rPr>
      </w:pPr>
    </w:p>
    <w:p>
      <w:pPr>
        <w:snapToGrid w:val="0"/>
        <w:spacing w:line="360" w:lineRule="auto"/>
        <w:jc w:val="center"/>
        <w:rPr>
          <w:rFonts w:hint="default" w:ascii="宋体" w:hAnsi="宋体" w:eastAsia="宋体" w:cs="宋体"/>
          <w:color w:val="auto"/>
          <w:sz w:val="30"/>
          <w:szCs w:val="30"/>
          <w:highlight w:val="none"/>
          <w:u w:val="single"/>
          <w:lang w:val="en-US" w:eastAsia="zh-CN"/>
        </w:rPr>
      </w:pPr>
      <w:r>
        <w:rPr>
          <w:rFonts w:hint="eastAsia" w:ascii="宋体" w:hAnsi="宋体" w:cs="宋体"/>
          <w:color w:val="auto"/>
          <w:sz w:val="30"/>
          <w:szCs w:val="30"/>
          <w:highlight w:val="none"/>
        </w:rPr>
        <w:t>招标编号：</w:t>
      </w:r>
      <w:r>
        <w:rPr>
          <w:rFonts w:hint="eastAsia" w:ascii="宋体" w:hAnsi="宋体" w:cs="宋体"/>
          <w:color w:val="auto"/>
          <w:sz w:val="30"/>
          <w:szCs w:val="30"/>
          <w:highlight w:val="none"/>
          <w:lang w:val="en-US" w:eastAsia="zh-CN"/>
        </w:rPr>
        <w:t>ZJJC2023036</w:t>
      </w:r>
    </w:p>
    <w:p>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采购方式：公开招标</w:t>
      </w:r>
    </w:p>
    <w:p>
      <w:pPr>
        <w:spacing w:line="360" w:lineRule="auto"/>
        <w:rPr>
          <w:rFonts w:ascii="宋体" w:hAnsi="宋体" w:cs="宋体"/>
          <w:color w:val="auto"/>
          <w:sz w:val="28"/>
          <w:szCs w:val="20"/>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pStyle w:val="29"/>
        <w:ind w:firstLine="480"/>
        <w:rPr>
          <w:rFonts w:ascii="宋体" w:hAnsi="宋体" w:cs="宋体"/>
          <w:color w:val="auto"/>
          <w:sz w:val="24"/>
          <w:highlight w:val="none"/>
        </w:rPr>
      </w:pPr>
    </w:p>
    <w:p>
      <w:pPr>
        <w:pStyle w:val="29"/>
        <w:ind w:firstLine="480"/>
        <w:rPr>
          <w:rFonts w:ascii="宋体" w:hAnsi="宋体" w:cs="宋体"/>
          <w:color w:val="auto"/>
          <w:sz w:val="24"/>
          <w:highlight w:val="none"/>
        </w:rPr>
      </w:pPr>
    </w:p>
    <w:p>
      <w:pPr>
        <w:pStyle w:val="29"/>
        <w:ind w:firstLine="480"/>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highlight w:val="none"/>
          <w:u w:val="single"/>
        </w:rPr>
      </w:pPr>
      <w:r>
        <w:rPr>
          <w:rFonts w:hint="eastAsia" w:ascii="宋体" w:hAnsi="宋体" w:cs="宋体"/>
          <w:color w:val="auto"/>
          <w:sz w:val="30"/>
          <w:highlight w:val="none"/>
        </w:rPr>
        <w:t>采购人：绍兴市上虞区虞发市政工程有限公司</w:t>
      </w:r>
    </w:p>
    <w:p>
      <w:pPr>
        <w:snapToGrid w:val="0"/>
        <w:spacing w:line="360" w:lineRule="auto"/>
        <w:jc w:val="center"/>
        <w:rPr>
          <w:rFonts w:ascii="宋体" w:hAnsi="宋体" w:cs="宋体"/>
          <w:bCs/>
          <w:color w:val="auto"/>
          <w:sz w:val="32"/>
          <w:szCs w:val="32"/>
          <w:highlight w:val="none"/>
        </w:rPr>
      </w:pPr>
      <w:r>
        <w:rPr>
          <w:rFonts w:hint="eastAsia" w:ascii="宋体" w:hAnsi="宋体" w:cs="宋体"/>
          <w:color w:val="auto"/>
          <w:sz w:val="30"/>
          <w:highlight w:val="none"/>
        </w:rPr>
        <w:t>采购代理机构：浙江建诚工程管理咨询有限公司</w:t>
      </w:r>
    </w:p>
    <w:p>
      <w:pPr>
        <w:spacing w:line="360" w:lineRule="auto"/>
        <w:jc w:val="center"/>
        <w:rPr>
          <w:rFonts w:ascii="宋体" w:hAnsi="宋体" w:cs="宋体"/>
          <w:color w:val="auto"/>
          <w:sz w:val="24"/>
          <w:highlight w:val="none"/>
        </w:rPr>
        <w:sectPr>
          <w:headerReference r:id="rId3" w:type="default"/>
          <w:footerReference r:id="rId4" w:type="default"/>
          <w:pgSz w:w="11906" w:h="16838"/>
          <w:pgMar w:top="1440" w:right="1558" w:bottom="1440" w:left="1800" w:header="851" w:footer="992" w:gutter="0"/>
          <w:cols w:space="720" w:num="1"/>
          <w:docGrid w:type="lines" w:linePitch="312" w:charSpace="0"/>
        </w:sectPr>
      </w:pPr>
      <w:bookmarkStart w:id="0" w:name="_Hlt67893495"/>
      <w:bookmarkEnd w:id="0"/>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pStyle w:val="21"/>
        <w:tabs>
          <w:tab w:val="right" w:leader="dot" w:pos="8306"/>
        </w:tabs>
        <w:spacing w:line="360" w:lineRule="auto"/>
        <w:rPr>
          <w:color w:val="auto"/>
          <w:sz w:val="24"/>
          <w:highlight w:val="none"/>
        </w:rPr>
      </w:pPr>
      <w:bookmarkStart w:id="1" w:name="_Hlt91233176"/>
      <w:bookmarkEnd w:id="1"/>
      <w:bookmarkStart w:id="2" w:name="_Toc91899869"/>
      <w:r>
        <w:rPr>
          <w:rFonts w:hint="eastAsia" w:ascii="宋体" w:hAnsi="宋体" w:cs="宋体"/>
          <w:b/>
          <w:snapToGrid w:val="0"/>
          <w:color w:val="auto"/>
          <w:kern w:val="0"/>
          <w:sz w:val="24"/>
          <w:highlight w:val="none"/>
        </w:rPr>
        <w:fldChar w:fldCharType="begin"/>
      </w:r>
      <w:r>
        <w:rPr>
          <w:rFonts w:hint="eastAsia" w:ascii="宋体" w:hAnsi="宋体" w:cs="宋体"/>
          <w:b/>
          <w:snapToGrid w:val="0"/>
          <w:color w:val="auto"/>
          <w:kern w:val="0"/>
          <w:sz w:val="24"/>
          <w:highlight w:val="none"/>
        </w:rPr>
        <w:instrText xml:space="preserve"> TOC \o "1-1" \h \z \u </w:instrText>
      </w:r>
      <w:r>
        <w:rPr>
          <w:rFonts w:hint="eastAsia" w:ascii="宋体" w:hAnsi="宋体" w:cs="宋体"/>
          <w:b/>
          <w:snapToGrid w:val="0"/>
          <w:color w:val="auto"/>
          <w:kern w:val="0"/>
          <w:sz w:val="24"/>
          <w:highlight w:val="none"/>
        </w:rPr>
        <w:fldChar w:fldCharType="separate"/>
      </w:r>
      <w:r>
        <w:rPr>
          <w:color w:val="auto"/>
          <w:highlight w:val="none"/>
        </w:rPr>
        <w:fldChar w:fldCharType="begin"/>
      </w:r>
      <w:r>
        <w:rPr>
          <w:color w:val="auto"/>
          <w:highlight w:val="none"/>
        </w:rPr>
        <w:instrText xml:space="preserve"> HYPERLINK \l "_Toc30081" </w:instrText>
      </w:r>
      <w:r>
        <w:rPr>
          <w:color w:val="auto"/>
          <w:highlight w:val="none"/>
        </w:rPr>
        <w:fldChar w:fldCharType="separate"/>
      </w:r>
      <w:r>
        <w:rPr>
          <w:rFonts w:hint="eastAsia" w:ascii="宋体" w:hAnsi="宋体" w:cs="宋体"/>
          <w:color w:val="auto"/>
          <w:sz w:val="24"/>
          <w:highlight w:val="none"/>
        </w:rPr>
        <w:t>第一部分 招标公告</w:t>
      </w:r>
      <w:r>
        <w:rPr>
          <w:color w:val="auto"/>
          <w:sz w:val="24"/>
          <w:highlight w:val="none"/>
        </w:rPr>
        <w:tab/>
      </w:r>
      <w:r>
        <w:rPr>
          <w:color w:val="auto"/>
          <w:sz w:val="24"/>
          <w:highlight w:val="none"/>
        </w:rPr>
        <w:fldChar w:fldCharType="begin"/>
      </w:r>
      <w:r>
        <w:rPr>
          <w:color w:val="auto"/>
          <w:sz w:val="24"/>
          <w:highlight w:val="none"/>
        </w:rPr>
        <w:instrText xml:space="preserve"> PAGEREF _Toc30081 \h </w:instrText>
      </w:r>
      <w:r>
        <w:rPr>
          <w:color w:val="auto"/>
          <w:sz w:val="24"/>
          <w:highlight w:val="none"/>
        </w:rPr>
        <w:fldChar w:fldCharType="separate"/>
      </w:r>
      <w:r>
        <w:rPr>
          <w:color w:val="auto"/>
          <w:sz w:val="24"/>
          <w:highlight w:val="none"/>
        </w:rPr>
        <w:t>2</w:t>
      </w:r>
      <w:r>
        <w:rPr>
          <w:color w:val="auto"/>
          <w:sz w:val="24"/>
          <w:highlight w:val="none"/>
        </w:rPr>
        <w:fldChar w:fldCharType="end"/>
      </w:r>
      <w:r>
        <w:rPr>
          <w:color w:val="auto"/>
          <w:sz w:val="24"/>
          <w:highlight w:val="none"/>
        </w:rPr>
        <w:fldChar w:fldCharType="end"/>
      </w:r>
    </w:p>
    <w:p>
      <w:pPr>
        <w:pStyle w:val="21"/>
        <w:tabs>
          <w:tab w:val="right" w:leader="dot" w:pos="8306"/>
        </w:tabs>
        <w:spacing w:line="360" w:lineRule="auto"/>
        <w:rPr>
          <w:color w:val="auto"/>
          <w:sz w:val="24"/>
          <w:highlight w:val="none"/>
        </w:rPr>
      </w:pPr>
      <w:r>
        <w:rPr>
          <w:color w:val="auto"/>
          <w:highlight w:val="none"/>
        </w:rPr>
        <w:fldChar w:fldCharType="begin"/>
      </w:r>
      <w:r>
        <w:rPr>
          <w:color w:val="auto"/>
          <w:highlight w:val="none"/>
        </w:rPr>
        <w:instrText xml:space="preserve"> HYPERLINK \l "_Toc18671" </w:instrText>
      </w:r>
      <w:r>
        <w:rPr>
          <w:color w:val="auto"/>
          <w:highlight w:val="none"/>
        </w:rPr>
        <w:fldChar w:fldCharType="separate"/>
      </w:r>
      <w:r>
        <w:rPr>
          <w:rFonts w:hint="eastAsia" w:ascii="宋体" w:hAnsi="宋体" w:cs="宋体"/>
          <w:color w:val="auto"/>
          <w:sz w:val="24"/>
          <w:highlight w:val="none"/>
        </w:rPr>
        <w:t>第二部分 投标须知</w:t>
      </w:r>
      <w:r>
        <w:rPr>
          <w:color w:val="auto"/>
          <w:sz w:val="24"/>
          <w:highlight w:val="none"/>
        </w:rPr>
        <w:tab/>
      </w:r>
      <w:r>
        <w:rPr>
          <w:color w:val="auto"/>
          <w:sz w:val="24"/>
          <w:highlight w:val="none"/>
        </w:rPr>
        <w:fldChar w:fldCharType="begin"/>
      </w:r>
      <w:r>
        <w:rPr>
          <w:color w:val="auto"/>
          <w:sz w:val="24"/>
          <w:highlight w:val="none"/>
        </w:rPr>
        <w:instrText xml:space="preserve"> PAGEREF _Toc18671 \h </w:instrText>
      </w:r>
      <w:r>
        <w:rPr>
          <w:color w:val="auto"/>
          <w:sz w:val="24"/>
          <w:highlight w:val="none"/>
        </w:rPr>
        <w:fldChar w:fldCharType="separate"/>
      </w:r>
      <w:r>
        <w:rPr>
          <w:color w:val="auto"/>
          <w:sz w:val="24"/>
          <w:highlight w:val="none"/>
        </w:rPr>
        <w:t>6</w:t>
      </w:r>
      <w:r>
        <w:rPr>
          <w:color w:val="auto"/>
          <w:sz w:val="24"/>
          <w:highlight w:val="none"/>
        </w:rPr>
        <w:fldChar w:fldCharType="end"/>
      </w:r>
      <w:r>
        <w:rPr>
          <w:color w:val="auto"/>
          <w:sz w:val="24"/>
          <w:highlight w:val="none"/>
        </w:rPr>
        <w:fldChar w:fldCharType="end"/>
      </w:r>
    </w:p>
    <w:p>
      <w:pPr>
        <w:pStyle w:val="21"/>
        <w:tabs>
          <w:tab w:val="right" w:leader="dot" w:pos="8306"/>
        </w:tabs>
        <w:spacing w:line="360" w:lineRule="auto"/>
        <w:ind w:firstLine="420" w:firstLineChars="200"/>
        <w:rPr>
          <w:color w:val="auto"/>
          <w:sz w:val="24"/>
          <w:highlight w:val="none"/>
        </w:rPr>
      </w:pPr>
      <w:r>
        <w:rPr>
          <w:color w:val="auto"/>
          <w:highlight w:val="none"/>
        </w:rPr>
        <w:fldChar w:fldCharType="begin"/>
      </w:r>
      <w:r>
        <w:rPr>
          <w:color w:val="auto"/>
          <w:highlight w:val="none"/>
        </w:rPr>
        <w:instrText xml:space="preserve"> HYPERLINK \l "_Toc10661" </w:instrText>
      </w:r>
      <w:r>
        <w:rPr>
          <w:color w:val="auto"/>
          <w:highlight w:val="none"/>
        </w:rPr>
        <w:fldChar w:fldCharType="separate"/>
      </w:r>
      <w:r>
        <w:rPr>
          <w:rFonts w:hint="eastAsia" w:ascii="宋体" w:hAnsi="宋体" w:cs="宋体"/>
          <w:color w:val="auto"/>
          <w:sz w:val="24"/>
          <w:highlight w:val="none"/>
        </w:rPr>
        <w:t>一、总则</w:t>
      </w:r>
      <w:r>
        <w:rPr>
          <w:color w:val="auto"/>
          <w:sz w:val="24"/>
          <w:highlight w:val="none"/>
        </w:rPr>
        <w:tab/>
      </w:r>
      <w:r>
        <w:rPr>
          <w:color w:val="auto"/>
          <w:sz w:val="24"/>
          <w:highlight w:val="none"/>
        </w:rPr>
        <w:fldChar w:fldCharType="begin"/>
      </w:r>
      <w:r>
        <w:rPr>
          <w:color w:val="auto"/>
          <w:sz w:val="24"/>
          <w:highlight w:val="none"/>
        </w:rPr>
        <w:instrText xml:space="preserve"> PAGEREF _Toc10661 \h </w:instrText>
      </w:r>
      <w:r>
        <w:rPr>
          <w:color w:val="auto"/>
          <w:sz w:val="24"/>
          <w:highlight w:val="none"/>
        </w:rPr>
        <w:fldChar w:fldCharType="separate"/>
      </w:r>
      <w:r>
        <w:rPr>
          <w:color w:val="auto"/>
          <w:sz w:val="24"/>
          <w:highlight w:val="none"/>
        </w:rPr>
        <w:t>9</w:t>
      </w:r>
      <w:r>
        <w:rPr>
          <w:color w:val="auto"/>
          <w:sz w:val="24"/>
          <w:highlight w:val="none"/>
        </w:rPr>
        <w:fldChar w:fldCharType="end"/>
      </w:r>
      <w:r>
        <w:rPr>
          <w:color w:val="auto"/>
          <w:sz w:val="24"/>
          <w:highlight w:val="none"/>
        </w:rPr>
        <w:fldChar w:fldCharType="end"/>
      </w:r>
    </w:p>
    <w:p>
      <w:pPr>
        <w:pStyle w:val="21"/>
        <w:tabs>
          <w:tab w:val="right" w:leader="dot" w:pos="8306"/>
        </w:tabs>
        <w:spacing w:line="360" w:lineRule="auto"/>
        <w:ind w:firstLine="420" w:firstLineChars="200"/>
        <w:rPr>
          <w:color w:val="auto"/>
          <w:sz w:val="24"/>
          <w:highlight w:val="none"/>
        </w:rPr>
      </w:pPr>
      <w:r>
        <w:rPr>
          <w:color w:val="auto"/>
          <w:highlight w:val="none"/>
        </w:rPr>
        <w:fldChar w:fldCharType="begin"/>
      </w:r>
      <w:r>
        <w:rPr>
          <w:color w:val="auto"/>
          <w:highlight w:val="none"/>
        </w:rPr>
        <w:instrText xml:space="preserve"> HYPERLINK \l "_Toc22966" </w:instrText>
      </w:r>
      <w:r>
        <w:rPr>
          <w:color w:val="auto"/>
          <w:highlight w:val="none"/>
        </w:rPr>
        <w:fldChar w:fldCharType="separate"/>
      </w:r>
      <w:r>
        <w:rPr>
          <w:rFonts w:hint="eastAsia" w:ascii="宋体" w:hAnsi="宋体" w:cs="宋体"/>
          <w:color w:val="auto"/>
          <w:sz w:val="24"/>
          <w:highlight w:val="none"/>
        </w:rPr>
        <w:t>二、招标文件</w:t>
      </w:r>
      <w:r>
        <w:rPr>
          <w:color w:val="auto"/>
          <w:sz w:val="24"/>
          <w:highlight w:val="none"/>
        </w:rPr>
        <w:tab/>
      </w:r>
      <w:r>
        <w:rPr>
          <w:color w:val="auto"/>
          <w:sz w:val="24"/>
          <w:highlight w:val="none"/>
        </w:rPr>
        <w:fldChar w:fldCharType="begin"/>
      </w:r>
      <w:r>
        <w:rPr>
          <w:color w:val="auto"/>
          <w:sz w:val="24"/>
          <w:highlight w:val="none"/>
        </w:rPr>
        <w:instrText xml:space="preserve"> PAGEREF _Toc22966 \h </w:instrText>
      </w:r>
      <w:r>
        <w:rPr>
          <w:color w:val="auto"/>
          <w:sz w:val="24"/>
          <w:highlight w:val="none"/>
        </w:rPr>
        <w:fldChar w:fldCharType="separate"/>
      </w:r>
      <w:r>
        <w:rPr>
          <w:color w:val="auto"/>
          <w:sz w:val="24"/>
          <w:highlight w:val="none"/>
        </w:rPr>
        <w:t>9</w:t>
      </w:r>
      <w:r>
        <w:rPr>
          <w:color w:val="auto"/>
          <w:sz w:val="24"/>
          <w:highlight w:val="none"/>
        </w:rPr>
        <w:fldChar w:fldCharType="end"/>
      </w:r>
      <w:r>
        <w:rPr>
          <w:color w:val="auto"/>
          <w:sz w:val="24"/>
          <w:highlight w:val="none"/>
        </w:rPr>
        <w:fldChar w:fldCharType="end"/>
      </w:r>
    </w:p>
    <w:p>
      <w:pPr>
        <w:pStyle w:val="21"/>
        <w:tabs>
          <w:tab w:val="right" w:leader="dot" w:pos="8306"/>
        </w:tabs>
        <w:spacing w:line="360" w:lineRule="auto"/>
        <w:ind w:firstLine="420" w:firstLineChars="200"/>
        <w:rPr>
          <w:color w:val="auto"/>
          <w:sz w:val="24"/>
          <w:highlight w:val="none"/>
        </w:rPr>
      </w:pPr>
      <w:r>
        <w:rPr>
          <w:color w:val="auto"/>
          <w:highlight w:val="none"/>
        </w:rPr>
        <w:fldChar w:fldCharType="begin"/>
      </w:r>
      <w:r>
        <w:rPr>
          <w:color w:val="auto"/>
          <w:highlight w:val="none"/>
        </w:rPr>
        <w:instrText xml:space="preserve"> HYPERLINK \l "_Toc26969" </w:instrText>
      </w:r>
      <w:r>
        <w:rPr>
          <w:color w:val="auto"/>
          <w:highlight w:val="none"/>
        </w:rPr>
        <w:fldChar w:fldCharType="separate"/>
      </w:r>
      <w:r>
        <w:rPr>
          <w:rFonts w:hint="eastAsia" w:ascii="宋体" w:hAnsi="宋体" w:cs="宋体"/>
          <w:color w:val="auto"/>
          <w:sz w:val="24"/>
          <w:highlight w:val="none"/>
        </w:rPr>
        <w:t>三、投标文件的编制</w:t>
      </w:r>
      <w:r>
        <w:rPr>
          <w:color w:val="auto"/>
          <w:sz w:val="24"/>
          <w:highlight w:val="none"/>
        </w:rPr>
        <w:tab/>
      </w:r>
      <w:r>
        <w:rPr>
          <w:color w:val="auto"/>
          <w:sz w:val="24"/>
          <w:highlight w:val="none"/>
        </w:rPr>
        <w:fldChar w:fldCharType="begin"/>
      </w:r>
      <w:r>
        <w:rPr>
          <w:color w:val="auto"/>
          <w:sz w:val="24"/>
          <w:highlight w:val="none"/>
        </w:rPr>
        <w:instrText xml:space="preserve"> PAGEREF _Toc26969 \h </w:instrText>
      </w:r>
      <w:r>
        <w:rPr>
          <w:color w:val="auto"/>
          <w:sz w:val="24"/>
          <w:highlight w:val="none"/>
        </w:rPr>
        <w:fldChar w:fldCharType="separate"/>
      </w:r>
      <w:r>
        <w:rPr>
          <w:color w:val="auto"/>
          <w:sz w:val="24"/>
          <w:highlight w:val="none"/>
        </w:rPr>
        <w:t>11</w:t>
      </w:r>
      <w:r>
        <w:rPr>
          <w:color w:val="auto"/>
          <w:sz w:val="24"/>
          <w:highlight w:val="none"/>
        </w:rPr>
        <w:fldChar w:fldCharType="end"/>
      </w:r>
      <w:r>
        <w:rPr>
          <w:color w:val="auto"/>
          <w:sz w:val="24"/>
          <w:highlight w:val="none"/>
        </w:rPr>
        <w:fldChar w:fldCharType="end"/>
      </w:r>
    </w:p>
    <w:p>
      <w:pPr>
        <w:pStyle w:val="21"/>
        <w:tabs>
          <w:tab w:val="right" w:leader="dot" w:pos="8306"/>
        </w:tabs>
        <w:spacing w:line="360" w:lineRule="auto"/>
        <w:ind w:firstLine="420" w:firstLineChars="200"/>
        <w:rPr>
          <w:color w:val="auto"/>
          <w:sz w:val="24"/>
          <w:highlight w:val="none"/>
        </w:rPr>
      </w:pPr>
      <w:r>
        <w:rPr>
          <w:color w:val="auto"/>
          <w:highlight w:val="none"/>
        </w:rPr>
        <w:fldChar w:fldCharType="begin"/>
      </w:r>
      <w:r>
        <w:rPr>
          <w:color w:val="auto"/>
          <w:highlight w:val="none"/>
        </w:rPr>
        <w:instrText xml:space="preserve"> HYPERLINK \l "_Toc22425" </w:instrText>
      </w:r>
      <w:r>
        <w:rPr>
          <w:color w:val="auto"/>
          <w:highlight w:val="none"/>
        </w:rPr>
        <w:fldChar w:fldCharType="separate"/>
      </w:r>
      <w:r>
        <w:rPr>
          <w:rFonts w:hint="eastAsia" w:ascii="宋体" w:hAnsi="宋体" w:cs="宋体"/>
          <w:color w:val="auto"/>
          <w:sz w:val="24"/>
          <w:highlight w:val="none"/>
        </w:rPr>
        <w:t>四、投标文件的递交</w:t>
      </w:r>
      <w:r>
        <w:rPr>
          <w:color w:val="auto"/>
          <w:sz w:val="24"/>
          <w:highlight w:val="none"/>
        </w:rPr>
        <w:tab/>
      </w:r>
      <w:r>
        <w:rPr>
          <w:color w:val="auto"/>
          <w:sz w:val="24"/>
          <w:highlight w:val="none"/>
        </w:rPr>
        <w:fldChar w:fldCharType="begin"/>
      </w:r>
      <w:r>
        <w:rPr>
          <w:color w:val="auto"/>
          <w:sz w:val="24"/>
          <w:highlight w:val="none"/>
        </w:rPr>
        <w:instrText xml:space="preserve"> PAGEREF _Toc22425 \h </w:instrText>
      </w:r>
      <w:r>
        <w:rPr>
          <w:color w:val="auto"/>
          <w:sz w:val="24"/>
          <w:highlight w:val="none"/>
        </w:rPr>
        <w:fldChar w:fldCharType="separate"/>
      </w:r>
      <w:r>
        <w:rPr>
          <w:color w:val="auto"/>
          <w:sz w:val="24"/>
          <w:highlight w:val="none"/>
        </w:rPr>
        <w:t>14</w:t>
      </w:r>
      <w:r>
        <w:rPr>
          <w:color w:val="auto"/>
          <w:sz w:val="24"/>
          <w:highlight w:val="none"/>
        </w:rPr>
        <w:fldChar w:fldCharType="end"/>
      </w:r>
      <w:r>
        <w:rPr>
          <w:color w:val="auto"/>
          <w:sz w:val="24"/>
          <w:highlight w:val="none"/>
        </w:rPr>
        <w:fldChar w:fldCharType="end"/>
      </w:r>
    </w:p>
    <w:p>
      <w:pPr>
        <w:pStyle w:val="21"/>
        <w:tabs>
          <w:tab w:val="right" w:leader="dot" w:pos="8306"/>
        </w:tabs>
        <w:spacing w:line="360" w:lineRule="auto"/>
        <w:ind w:firstLine="420" w:firstLineChars="200"/>
        <w:rPr>
          <w:color w:val="auto"/>
          <w:sz w:val="24"/>
          <w:highlight w:val="none"/>
        </w:rPr>
      </w:pPr>
      <w:r>
        <w:rPr>
          <w:color w:val="auto"/>
          <w:highlight w:val="none"/>
        </w:rPr>
        <w:fldChar w:fldCharType="begin"/>
      </w:r>
      <w:r>
        <w:rPr>
          <w:color w:val="auto"/>
          <w:highlight w:val="none"/>
        </w:rPr>
        <w:instrText xml:space="preserve"> HYPERLINK \l "_Toc32589" </w:instrText>
      </w:r>
      <w:r>
        <w:rPr>
          <w:color w:val="auto"/>
          <w:highlight w:val="none"/>
        </w:rPr>
        <w:fldChar w:fldCharType="separate"/>
      </w:r>
      <w:r>
        <w:rPr>
          <w:rFonts w:hint="eastAsia" w:ascii="宋体" w:hAnsi="宋体" w:cs="宋体"/>
          <w:color w:val="auto"/>
          <w:sz w:val="24"/>
          <w:highlight w:val="none"/>
        </w:rPr>
        <w:t>五、开标</w:t>
      </w:r>
      <w:r>
        <w:rPr>
          <w:color w:val="auto"/>
          <w:sz w:val="24"/>
          <w:highlight w:val="none"/>
        </w:rPr>
        <w:tab/>
      </w:r>
      <w:r>
        <w:rPr>
          <w:color w:val="auto"/>
          <w:sz w:val="24"/>
          <w:highlight w:val="none"/>
        </w:rPr>
        <w:fldChar w:fldCharType="begin"/>
      </w:r>
      <w:r>
        <w:rPr>
          <w:color w:val="auto"/>
          <w:sz w:val="24"/>
          <w:highlight w:val="none"/>
        </w:rPr>
        <w:instrText xml:space="preserve"> PAGEREF _Toc32589 \h </w:instrText>
      </w:r>
      <w:r>
        <w:rPr>
          <w:color w:val="auto"/>
          <w:sz w:val="24"/>
          <w:highlight w:val="none"/>
        </w:rPr>
        <w:fldChar w:fldCharType="separate"/>
      </w:r>
      <w:r>
        <w:rPr>
          <w:color w:val="auto"/>
          <w:sz w:val="24"/>
          <w:highlight w:val="none"/>
        </w:rPr>
        <w:t>14</w:t>
      </w:r>
      <w:r>
        <w:rPr>
          <w:color w:val="auto"/>
          <w:sz w:val="24"/>
          <w:highlight w:val="none"/>
        </w:rPr>
        <w:fldChar w:fldCharType="end"/>
      </w:r>
      <w:r>
        <w:rPr>
          <w:color w:val="auto"/>
          <w:sz w:val="24"/>
          <w:highlight w:val="none"/>
        </w:rPr>
        <w:fldChar w:fldCharType="end"/>
      </w:r>
    </w:p>
    <w:p>
      <w:pPr>
        <w:pStyle w:val="21"/>
        <w:tabs>
          <w:tab w:val="right" w:leader="dot" w:pos="8306"/>
        </w:tabs>
        <w:spacing w:line="360" w:lineRule="auto"/>
        <w:ind w:firstLine="420" w:firstLineChars="200"/>
        <w:rPr>
          <w:color w:val="auto"/>
          <w:sz w:val="24"/>
          <w:highlight w:val="none"/>
        </w:rPr>
      </w:pPr>
      <w:r>
        <w:rPr>
          <w:color w:val="auto"/>
          <w:highlight w:val="none"/>
        </w:rPr>
        <w:fldChar w:fldCharType="begin"/>
      </w:r>
      <w:r>
        <w:rPr>
          <w:color w:val="auto"/>
          <w:highlight w:val="none"/>
        </w:rPr>
        <w:instrText xml:space="preserve"> HYPERLINK \l "_Toc4872" </w:instrText>
      </w:r>
      <w:r>
        <w:rPr>
          <w:color w:val="auto"/>
          <w:highlight w:val="none"/>
        </w:rPr>
        <w:fldChar w:fldCharType="separate"/>
      </w:r>
      <w:r>
        <w:rPr>
          <w:rFonts w:hint="eastAsia" w:ascii="宋体" w:hAnsi="宋体" w:cs="宋体"/>
          <w:color w:val="auto"/>
          <w:sz w:val="24"/>
          <w:highlight w:val="none"/>
        </w:rPr>
        <w:t>六、资格审查</w:t>
      </w:r>
      <w:r>
        <w:rPr>
          <w:color w:val="auto"/>
          <w:sz w:val="24"/>
          <w:highlight w:val="none"/>
        </w:rPr>
        <w:tab/>
      </w:r>
      <w:r>
        <w:rPr>
          <w:color w:val="auto"/>
          <w:sz w:val="24"/>
          <w:highlight w:val="none"/>
        </w:rPr>
        <w:fldChar w:fldCharType="begin"/>
      </w:r>
      <w:r>
        <w:rPr>
          <w:color w:val="auto"/>
          <w:sz w:val="24"/>
          <w:highlight w:val="none"/>
        </w:rPr>
        <w:instrText xml:space="preserve"> PAGEREF _Toc4872 \h </w:instrText>
      </w:r>
      <w:r>
        <w:rPr>
          <w:color w:val="auto"/>
          <w:sz w:val="24"/>
          <w:highlight w:val="none"/>
        </w:rPr>
        <w:fldChar w:fldCharType="separate"/>
      </w:r>
      <w:r>
        <w:rPr>
          <w:color w:val="auto"/>
          <w:sz w:val="24"/>
          <w:highlight w:val="none"/>
        </w:rPr>
        <w:t>15</w:t>
      </w:r>
      <w:r>
        <w:rPr>
          <w:color w:val="auto"/>
          <w:sz w:val="24"/>
          <w:highlight w:val="none"/>
        </w:rPr>
        <w:fldChar w:fldCharType="end"/>
      </w:r>
      <w:r>
        <w:rPr>
          <w:color w:val="auto"/>
          <w:sz w:val="24"/>
          <w:highlight w:val="none"/>
        </w:rPr>
        <w:fldChar w:fldCharType="end"/>
      </w:r>
    </w:p>
    <w:p>
      <w:pPr>
        <w:pStyle w:val="21"/>
        <w:tabs>
          <w:tab w:val="right" w:leader="dot" w:pos="8306"/>
        </w:tabs>
        <w:spacing w:line="360" w:lineRule="auto"/>
        <w:ind w:firstLine="420" w:firstLineChars="200"/>
        <w:rPr>
          <w:color w:val="auto"/>
          <w:sz w:val="24"/>
          <w:highlight w:val="none"/>
        </w:rPr>
      </w:pPr>
      <w:r>
        <w:rPr>
          <w:color w:val="auto"/>
          <w:highlight w:val="none"/>
        </w:rPr>
        <w:fldChar w:fldCharType="begin"/>
      </w:r>
      <w:r>
        <w:rPr>
          <w:color w:val="auto"/>
          <w:highlight w:val="none"/>
        </w:rPr>
        <w:instrText xml:space="preserve"> HYPERLINK \l "_Toc20672" </w:instrText>
      </w:r>
      <w:r>
        <w:rPr>
          <w:color w:val="auto"/>
          <w:highlight w:val="none"/>
        </w:rPr>
        <w:fldChar w:fldCharType="separate"/>
      </w:r>
      <w:r>
        <w:rPr>
          <w:rFonts w:hint="eastAsia" w:ascii="宋体" w:hAnsi="宋体" w:cs="宋体"/>
          <w:color w:val="auto"/>
          <w:sz w:val="24"/>
          <w:highlight w:val="none"/>
        </w:rPr>
        <w:t>七、评标</w:t>
      </w:r>
      <w:r>
        <w:rPr>
          <w:color w:val="auto"/>
          <w:sz w:val="24"/>
          <w:highlight w:val="none"/>
        </w:rPr>
        <w:tab/>
      </w:r>
      <w:r>
        <w:rPr>
          <w:color w:val="auto"/>
          <w:sz w:val="24"/>
          <w:highlight w:val="none"/>
        </w:rPr>
        <w:fldChar w:fldCharType="begin"/>
      </w:r>
      <w:r>
        <w:rPr>
          <w:color w:val="auto"/>
          <w:sz w:val="24"/>
          <w:highlight w:val="none"/>
        </w:rPr>
        <w:instrText xml:space="preserve"> PAGEREF _Toc20672 \h </w:instrText>
      </w:r>
      <w:r>
        <w:rPr>
          <w:color w:val="auto"/>
          <w:sz w:val="24"/>
          <w:highlight w:val="none"/>
        </w:rPr>
        <w:fldChar w:fldCharType="separate"/>
      </w:r>
      <w:r>
        <w:rPr>
          <w:color w:val="auto"/>
          <w:sz w:val="24"/>
          <w:highlight w:val="none"/>
        </w:rPr>
        <w:t>16</w:t>
      </w:r>
      <w:r>
        <w:rPr>
          <w:color w:val="auto"/>
          <w:sz w:val="24"/>
          <w:highlight w:val="none"/>
        </w:rPr>
        <w:fldChar w:fldCharType="end"/>
      </w:r>
      <w:r>
        <w:rPr>
          <w:color w:val="auto"/>
          <w:sz w:val="24"/>
          <w:highlight w:val="none"/>
        </w:rPr>
        <w:fldChar w:fldCharType="end"/>
      </w:r>
    </w:p>
    <w:p>
      <w:pPr>
        <w:pStyle w:val="21"/>
        <w:tabs>
          <w:tab w:val="right" w:leader="dot" w:pos="8306"/>
        </w:tabs>
        <w:spacing w:line="360" w:lineRule="auto"/>
        <w:ind w:firstLine="420" w:firstLineChars="200"/>
        <w:rPr>
          <w:color w:val="auto"/>
          <w:sz w:val="24"/>
          <w:highlight w:val="none"/>
        </w:rPr>
      </w:pPr>
      <w:r>
        <w:rPr>
          <w:color w:val="auto"/>
          <w:highlight w:val="none"/>
        </w:rPr>
        <w:fldChar w:fldCharType="begin"/>
      </w:r>
      <w:r>
        <w:rPr>
          <w:color w:val="auto"/>
          <w:highlight w:val="none"/>
        </w:rPr>
        <w:instrText xml:space="preserve"> HYPERLINK \l "_Toc8332" </w:instrText>
      </w:r>
      <w:r>
        <w:rPr>
          <w:color w:val="auto"/>
          <w:highlight w:val="none"/>
        </w:rPr>
        <w:fldChar w:fldCharType="separate"/>
      </w:r>
      <w:r>
        <w:rPr>
          <w:rFonts w:hint="eastAsia" w:ascii="宋体" w:hAnsi="宋体" w:cs="宋体"/>
          <w:color w:val="auto"/>
          <w:sz w:val="24"/>
          <w:highlight w:val="none"/>
        </w:rPr>
        <w:t>八、定 标</w:t>
      </w:r>
      <w:r>
        <w:rPr>
          <w:color w:val="auto"/>
          <w:sz w:val="24"/>
          <w:highlight w:val="none"/>
        </w:rPr>
        <w:tab/>
      </w:r>
      <w:r>
        <w:rPr>
          <w:color w:val="auto"/>
          <w:sz w:val="24"/>
          <w:highlight w:val="none"/>
        </w:rPr>
        <w:fldChar w:fldCharType="begin"/>
      </w:r>
      <w:r>
        <w:rPr>
          <w:color w:val="auto"/>
          <w:sz w:val="24"/>
          <w:highlight w:val="none"/>
        </w:rPr>
        <w:instrText xml:space="preserve"> PAGEREF _Toc8332 \h </w:instrText>
      </w:r>
      <w:r>
        <w:rPr>
          <w:color w:val="auto"/>
          <w:sz w:val="24"/>
          <w:highlight w:val="none"/>
        </w:rPr>
        <w:fldChar w:fldCharType="separate"/>
      </w:r>
      <w:r>
        <w:rPr>
          <w:color w:val="auto"/>
          <w:sz w:val="24"/>
          <w:highlight w:val="none"/>
        </w:rPr>
        <w:t>20</w:t>
      </w:r>
      <w:r>
        <w:rPr>
          <w:color w:val="auto"/>
          <w:sz w:val="24"/>
          <w:highlight w:val="none"/>
        </w:rPr>
        <w:fldChar w:fldCharType="end"/>
      </w:r>
      <w:r>
        <w:rPr>
          <w:color w:val="auto"/>
          <w:sz w:val="24"/>
          <w:highlight w:val="none"/>
        </w:rPr>
        <w:fldChar w:fldCharType="end"/>
      </w:r>
    </w:p>
    <w:p>
      <w:pPr>
        <w:pStyle w:val="21"/>
        <w:tabs>
          <w:tab w:val="right" w:leader="dot" w:pos="8306"/>
        </w:tabs>
        <w:spacing w:line="360" w:lineRule="auto"/>
        <w:ind w:firstLine="420" w:firstLineChars="200"/>
        <w:rPr>
          <w:color w:val="auto"/>
          <w:sz w:val="24"/>
          <w:highlight w:val="none"/>
        </w:rPr>
      </w:pPr>
      <w:r>
        <w:rPr>
          <w:color w:val="auto"/>
          <w:highlight w:val="none"/>
        </w:rPr>
        <w:fldChar w:fldCharType="begin"/>
      </w:r>
      <w:r>
        <w:rPr>
          <w:color w:val="auto"/>
          <w:highlight w:val="none"/>
        </w:rPr>
        <w:instrText xml:space="preserve"> HYPERLINK \l "_Toc31548" </w:instrText>
      </w:r>
      <w:r>
        <w:rPr>
          <w:color w:val="auto"/>
          <w:highlight w:val="none"/>
        </w:rPr>
        <w:fldChar w:fldCharType="separate"/>
      </w:r>
      <w:r>
        <w:rPr>
          <w:rFonts w:hint="eastAsia" w:ascii="宋体" w:hAnsi="宋体" w:cs="宋体"/>
          <w:color w:val="auto"/>
          <w:sz w:val="24"/>
          <w:highlight w:val="none"/>
        </w:rPr>
        <w:t>九、合同签订及其他</w:t>
      </w:r>
      <w:r>
        <w:rPr>
          <w:color w:val="auto"/>
          <w:sz w:val="24"/>
          <w:highlight w:val="none"/>
        </w:rPr>
        <w:tab/>
      </w:r>
      <w:r>
        <w:rPr>
          <w:color w:val="auto"/>
          <w:sz w:val="24"/>
          <w:highlight w:val="none"/>
        </w:rPr>
        <w:fldChar w:fldCharType="begin"/>
      </w:r>
      <w:r>
        <w:rPr>
          <w:color w:val="auto"/>
          <w:sz w:val="24"/>
          <w:highlight w:val="none"/>
        </w:rPr>
        <w:instrText xml:space="preserve"> PAGEREF _Toc31548 \h </w:instrText>
      </w:r>
      <w:r>
        <w:rPr>
          <w:color w:val="auto"/>
          <w:sz w:val="24"/>
          <w:highlight w:val="none"/>
        </w:rPr>
        <w:fldChar w:fldCharType="separate"/>
      </w:r>
      <w:r>
        <w:rPr>
          <w:color w:val="auto"/>
          <w:sz w:val="24"/>
          <w:highlight w:val="none"/>
        </w:rPr>
        <w:t>20</w:t>
      </w:r>
      <w:r>
        <w:rPr>
          <w:color w:val="auto"/>
          <w:sz w:val="24"/>
          <w:highlight w:val="none"/>
        </w:rPr>
        <w:fldChar w:fldCharType="end"/>
      </w:r>
      <w:r>
        <w:rPr>
          <w:color w:val="auto"/>
          <w:sz w:val="24"/>
          <w:highlight w:val="none"/>
        </w:rPr>
        <w:fldChar w:fldCharType="end"/>
      </w:r>
    </w:p>
    <w:p>
      <w:pPr>
        <w:pStyle w:val="21"/>
        <w:tabs>
          <w:tab w:val="right" w:leader="dot" w:pos="8306"/>
        </w:tabs>
        <w:spacing w:line="360" w:lineRule="auto"/>
        <w:ind w:firstLine="420" w:firstLineChars="200"/>
        <w:rPr>
          <w:color w:val="auto"/>
          <w:sz w:val="24"/>
          <w:highlight w:val="none"/>
        </w:rPr>
      </w:pPr>
      <w:r>
        <w:rPr>
          <w:color w:val="auto"/>
          <w:highlight w:val="none"/>
        </w:rPr>
        <w:fldChar w:fldCharType="begin"/>
      </w:r>
      <w:r>
        <w:rPr>
          <w:color w:val="auto"/>
          <w:highlight w:val="none"/>
        </w:rPr>
        <w:instrText xml:space="preserve"> HYPERLINK \l "_Toc7716" </w:instrText>
      </w:r>
      <w:r>
        <w:rPr>
          <w:color w:val="auto"/>
          <w:highlight w:val="none"/>
        </w:rPr>
        <w:fldChar w:fldCharType="separate"/>
      </w:r>
      <w:r>
        <w:rPr>
          <w:rFonts w:hint="eastAsia" w:ascii="宋体" w:hAnsi="宋体" w:cs="宋体"/>
          <w:color w:val="auto"/>
          <w:sz w:val="24"/>
          <w:highlight w:val="none"/>
        </w:rPr>
        <w:t>十、质疑与投诉</w:t>
      </w:r>
      <w:r>
        <w:rPr>
          <w:color w:val="auto"/>
          <w:sz w:val="24"/>
          <w:highlight w:val="none"/>
        </w:rPr>
        <w:tab/>
      </w:r>
      <w:r>
        <w:rPr>
          <w:color w:val="auto"/>
          <w:sz w:val="24"/>
          <w:highlight w:val="none"/>
        </w:rPr>
        <w:fldChar w:fldCharType="begin"/>
      </w:r>
      <w:r>
        <w:rPr>
          <w:color w:val="auto"/>
          <w:sz w:val="24"/>
          <w:highlight w:val="none"/>
        </w:rPr>
        <w:instrText xml:space="preserve"> PAGEREF _Toc7716 \h </w:instrText>
      </w:r>
      <w:r>
        <w:rPr>
          <w:color w:val="auto"/>
          <w:sz w:val="24"/>
          <w:highlight w:val="none"/>
        </w:rPr>
        <w:fldChar w:fldCharType="separate"/>
      </w:r>
      <w:r>
        <w:rPr>
          <w:color w:val="auto"/>
          <w:sz w:val="24"/>
          <w:highlight w:val="none"/>
        </w:rPr>
        <w:t>21</w:t>
      </w:r>
      <w:r>
        <w:rPr>
          <w:color w:val="auto"/>
          <w:sz w:val="24"/>
          <w:highlight w:val="none"/>
        </w:rPr>
        <w:fldChar w:fldCharType="end"/>
      </w:r>
      <w:r>
        <w:rPr>
          <w:color w:val="auto"/>
          <w:sz w:val="24"/>
          <w:highlight w:val="none"/>
        </w:rPr>
        <w:fldChar w:fldCharType="end"/>
      </w:r>
    </w:p>
    <w:p>
      <w:pPr>
        <w:pStyle w:val="21"/>
        <w:tabs>
          <w:tab w:val="right" w:leader="dot" w:pos="8306"/>
        </w:tabs>
        <w:spacing w:line="360" w:lineRule="auto"/>
        <w:rPr>
          <w:color w:val="auto"/>
          <w:sz w:val="24"/>
          <w:highlight w:val="none"/>
        </w:rPr>
      </w:pPr>
      <w:r>
        <w:rPr>
          <w:color w:val="auto"/>
          <w:highlight w:val="none"/>
        </w:rPr>
        <w:fldChar w:fldCharType="begin"/>
      </w:r>
      <w:r>
        <w:rPr>
          <w:color w:val="auto"/>
          <w:highlight w:val="none"/>
        </w:rPr>
        <w:instrText xml:space="preserve"> HYPERLINK \l "_Toc10484" </w:instrText>
      </w:r>
      <w:r>
        <w:rPr>
          <w:color w:val="auto"/>
          <w:highlight w:val="none"/>
        </w:rPr>
        <w:fldChar w:fldCharType="separate"/>
      </w:r>
      <w:r>
        <w:rPr>
          <w:rFonts w:hint="eastAsia" w:ascii="宋体" w:hAnsi="宋体" w:cs="宋体"/>
          <w:color w:val="auto"/>
          <w:sz w:val="24"/>
          <w:highlight w:val="none"/>
        </w:rPr>
        <w:t>第三部分 评标办法及评分标准</w:t>
      </w:r>
      <w:r>
        <w:rPr>
          <w:color w:val="auto"/>
          <w:sz w:val="24"/>
          <w:highlight w:val="none"/>
        </w:rPr>
        <w:tab/>
      </w:r>
      <w:r>
        <w:rPr>
          <w:color w:val="auto"/>
          <w:sz w:val="24"/>
          <w:highlight w:val="none"/>
        </w:rPr>
        <w:fldChar w:fldCharType="begin"/>
      </w:r>
      <w:r>
        <w:rPr>
          <w:color w:val="auto"/>
          <w:sz w:val="24"/>
          <w:highlight w:val="none"/>
        </w:rPr>
        <w:instrText xml:space="preserve"> PAGEREF _Toc10484 \h </w:instrText>
      </w:r>
      <w:r>
        <w:rPr>
          <w:color w:val="auto"/>
          <w:sz w:val="24"/>
          <w:highlight w:val="none"/>
        </w:rPr>
        <w:fldChar w:fldCharType="separate"/>
      </w:r>
      <w:r>
        <w:rPr>
          <w:color w:val="auto"/>
          <w:sz w:val="24"/>
          <w:highlight w:val="none"/>
        </w:rPr>
        <w:t>24</w:t>
      </w:r>
      <w:r>
        <w:rPr>
          <w:color w:val="auto"/>
          <w:sz w:val="24"/>
          <w:highlight w:val="none"/>
        </w:rPr>
        <w:fldChar w:fldCharType="end"/>
      </w:r>
      <w:r>
        <w:rPr>
          <w:color w:val="auto"/>
          <w:sz w:val="24"/>
          <w:highlight w:val="none"/>
        </w:rPr>
        <w:fldChar w:fldCharType="end"/>
      </w:r>
    </w:p>
    <w:p>
      <w:pPr>
        <w:pStyle w:val="21"/>
        <w:tabs>
          <w:tab w:val="right" w:leader="dot" w:pos="8306"/>
        </w:tabs>
        <w:spacing w:line="360" w:lineRule="auto"/>
        <w:rPr>
          <w:color w:val="auto"/>
          <w:sz w:val="24"/>
          <w:highlight w:val="none"/>
        </w:rPr>
      </w:pPr>
      <w:r>
        <w:rPr>
          <w:color w:val="auto"/>
          <w:highlight w:val="none"/>
        </w:rPr>
        <w:fldChar w:fldCharType="begin"/>
      </w:r>
      <w:r>
        <w:rPr>
          <w:color w:val="auto"/>
          <w:highlight w:val="none"/>
        </w:rPr>
        <w:instrText xml:space="preserve"> HYPERLINK \l "_Toc18590" </w:instrText>
      </w:r>
      <w:r>
        <w:rPr>
          <w:color w:val="auto"/>
          <w:highlight w:val="none"/>
        </w:rPr>
        <w:fldChar w:fldCharType="separate"/>
      </w:r>
      <w:r>
        <w:rPr>
          <w:rFonts w:hint="eastAsia" w:ascii="宋体" w:hAnsi="宋体" w:cs="宋体"/>
          <w:color w:val="auto"/>
          <w:sz w:val="24"/>
          <w:highlight w:val="none"/>
        </w:rPr>
        <w:t>第四部分 采购需求</w:t>
      </w:r>
      <w:r>
        <w:rPr>
          <w:color w:val="auto"/>
          <w:sz w:val="24"/>
          <w:highlight w:val="none"/>
        </w:rPr>
        <w:tab/>
      </w:r>
      <w:r>
        <w:rPr>
          <w:color w:val="auto"/>
          <w:sz w:val="24"/>
          <w:highlight w:val="none"/>
        </w:rPr>
        <w:fldChar w:fldCharType="begin"/>
      </w:r>
      <w:r>
        <w:rPr>
          <w:color w:val="auto"/>
          <w:sz w:val="24"/>
          <w:highlight w:val="none"/>
        </w:rPr>
        <w:instrText xml:space="preserve"> PAGEREF _Toc18590 \h </w:instrText>
      </w:r>
      <w:r>
        <w:rPr>
          <w:color w:val="auto"/>
          <w:sz w:val="24"/>
          <w:highlight w:val="none"/>
        </w:rPr>
        <w:fldChar w:fldCharType="separate"/>
      </w:r>
      <w:r>
        <w:rPr>
          <w:color w:val="auto"/>
          <w:sz w:val="24"/>
          <w:highlight w:val="none"/>
        </w:rPr>
        <w:t>30</w:t>
      </w:r>
      <w:r>
        <w:rPr>
          <w:color w:val="auto"/>
          <w:sz w:val="24"/>
          <w:highlight w:val="none"/>
        </w:rPr>
        <w:fldChar w:fldCharType="end"/>
      </w:r>
      <w:r>
        <w:rPr>
          <w:color w:val="auto"/>
          <w:sz w:val="24"/>
          <w:highlight w:val="none"/>
        </w:rPr>
        <w:fldChar w:fldCharType="end"/>
      </w:r>
    </w:p>
    <w:p>
      <w:pPr>
        <w:pStyle w:val="21"/>
        <w:tabs>
          <w:tab w:val="right" w:leader="dot" w:pos="8306"/>
        </w:tabs>
        <w:spacing w:line="360" w:lineRule="auto"/>
        <w:rPr>
          <w:color w:val="auto"/>
          <w:sz w:val="24"/>
          <w:highlight w:val="none"/>
        </w:rPr>
      </w:pPr>
      <w:r>
        <w:rPr>
          <w:color w:val="auto"/>
          <w:highlight w:val="none"/>
        </w:rPr>
        <w:fldChar w:fldCharType="begin"/>
      </w:r>
      <w:r>
        <w:rPr>
          <w:color w:val="auto"/>
          <w:highlight w:val="none"/>
        </w:rPr>
        <w:instrText xml:space="preserve"> HYPERLINK \l "_Toc6463" </w:instrText>
      </w:r>
      <w:r>
        <w:rPr>
          <w:color w:val="auto"/>
          <w:highlight w:val="none"/>
        </w:rPr>
        <w:fldChar w:fldCharType="separate"/>
      </w:r>
      <w:r>
        <w:rPr>
          <w:rFonts w:hint="eastAsia" w:ascii="宋体" w:hAnsi="宋体" w:cs="宋体"/>
          <w:color w:val="auto"/>
          <w:sz w:val="24"/>
          <w:highlight w:val="none"/>
        </w:rPr>
        <w:t>第五部分 采购合同</w:t>
      </w:r>
      <w:r>
        <w:rPr>
          <w:color w:val="auto"/>
          <w:sz w:val="24"/>
          <w:highlight w:val="none"/>
        </w:rPr>
        <w:tab/>
      </w:r>
      <w:r>
        <w:rPr>
          <w:color w:val="auto"/>
          <w:sz w:val="24"/>
          <w:highlight w:val="none"/>
        </w:rPr>
        <w:fldChar w:fldCharType="begin"/>
      </w:r>
      <w:r>
        <w:rPr>
          <w:color w:val="auto"/>
          <w:sz w:val="24"/>
          <w:highlight w:val="none"/>
        </w:rPr>
        <w:instrText xml:space="preserve"> PAGEREF _Toc6463 \h </w:instrText>
      </w:r>
      <w:r>
        <w:rPr>
          <w:color w:val="auto"/>
          <w:sz w:val="24"/>
          <w:highlight w:val="none"/>
        </w:rPr>
        <w:fldChar w:fldCharType="separate"/>
      </w:r>
      <w:r>
        <w:rPr>
          <w:color w:val="auto"/>
          <w:sz w:val="24"/>
          <w:highlight w:val="none"/>
        </w:rPr>
        <w:t>50</w:t>
      </w:r>
      <w:r>
        <w:rPr>
          <w:color w:val="auto"/>
          <w:sz w:val="24"/>
          <w:highlight w:val="none"/>
        </w:rPr>
        <w:fldChar w:fldCharType="end"/>
      </w:r>
      <w:r>
        <w:rPr>
          <w:color w:val="auto"/>
          <w:sz w:val="24"/>
          <w:highlight w:val="none"/>
        </w:rPr>
        <w:fldChar w:fldCharType="end"/>
      </w:r>
    </w:p>
    <w:p>
      <w:pPr>
        <w:pStyle w:val="21"/>
        <w:tabs>
          <w:tab w:val="right" w:leader="dot" w:pos="8306"/>
        </w:tabs>
        <w:spacing w:line="360" w:lineRule="auto"/>
        <w:rPr>
          <w:color w:val="auto"/>
          <w:sz w:val="24"/>
          <w:highlight w:val="none"/>
        </w:rPr>
      </w:pPr>
      <w:r>
        <w:rPr>
          <w:color w:val="auto"/>
          <w:highlight w:val="none"/>
        </w:rPr>
        <w:fldChar w:fldCharType="begin"/>
      </w:r>
      <w:r>
        <w:rPr>
          <w:color w:val="auto"/>
          <w:highlight w:val="none"/>
        </w:rPr>
        <w:instrText xml:space="preserve"> HYPERLINK \l "_Toc2226" </w:instrText>
      </w:r>
      <w:r>
        <w:rPr>
          <w:color w:val="auto"/>
          <w:highlight w:val="none"/>
        </w:rPr>
        <w:fldChar w:fldCharType="separate"/>
      </w:r>
      <w:r>
        <w:rPr>
          <w:rFonts w:hint="eastAsia" w:ascii="宋体" w:hAnsi="宋体" w:cs="宋体"/>
          <w:color w:val="auto"/>
          <w:sz w:val="24"/>
          <w:highlight w:val="none"/>
        </w:rPr>
        <w:t>第六部分 应提交的有关格式范例</w:t>
      </w:r>
      <w:r>
        <w:rPr>
          <w:color w:val="auto"/>
          <w:sz w:val="24"/>
          <w:highlight w:val="none"/>
        </w:rPr>
        <w:tab/>
      </w:r>
      <w:r>
        <w:rPr>
          <w:color w:val="auto"/>
          <w:sz w:val="24"/>
          <w:highlight w:val="none"/>
        </w:rPr>
        <w:fldChar w:fldCharType="begin"/>
      </w:r>
      <w:r>
        <w:rPr>
          <w:color w:val="auto"/>
          <w:sz w:val="24"/>
          <w:highlight w:val="none"/>
        </w:rPr>
        <w:instrText xml:space="preserve"> PAGEREF _Toc2226 \h </w:instrText>
      </w:r>
      <w:r>
        <w:rPr>
          <w:color w:val="auto"/>
          <w:sz w:val="24"/>
          <w:highlight w:val="none"/>
        </w:rPr>
        <w:fldChar w:fldCharType="separate"/>
      </w:r>
      <w:r>
        <w:rPr>
          <w:color w:val="auto"/>
          <w:sz w:val="24"/>
          <w:highlight w:val="none"/>
        </w:rPr>
        <w:t>58</w:t>
      </w:r>
      <w:r>
        <w:rPr>
          <w:color w:val="auto"/>
          <w:sz w:val="24"/>
          <w:highlight w:val="none"/>
        </w:rPr>
        <w:fldChar w:fldCharType="end"/>
      </w:r>
      <w:r>
        <w:rPr>
          <w:color w:val="auto"/>
          <w:sz w:val="24"/>
          <w:highlight w:val="none"/>
        </w:rPr>
        <w:fldChar w:fldCharType="end"/>
      </w:r>
    </w:p>
    <w:p>
      <w:pPr>
        <w:spacing w:line="360" w:lineRule="auto"/>
        <w:ind w:firstLine="549" w:firstLineChars="229"/>
        <w:rPr>
          <w:rFonts w:ascii="宋体" w:hAnsi="宋体" w:cs="宋体"/>
          <w:color w:val="auto"/>
          <w:sz w:val="24"/>
          <w:highlight w:val="none"/>
        </w:rPr>
      </w:pPr>
      <w:r>
        <w:rPr>
          <w:rFonts w:hint="eastAsia" w:ascii="宋体" w:hAnsi="宋体" w:cs="宋体"/>
          <w:snapToGrid w:val="0"/>
          <w:color w:val="auto"/>
          <w:kern w:val="0"/>
          <w:sz w:val="24"/>
          <w:highlight w:val="none"/>
        </w:rPr>
        <w:fldChar w:fldCharType="end"/>
      </w: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bookmarkEnd w:id="2"/>
    <w:p>
      <w:pPr>
        <w:spacing w:line="360" w:lineRule="auto"/>
        <w:jc w:val="center"/>
        <w:outlineLvl w:val="0"/>
        <w:rPr>
          <w:rFonts w:ascii="宋体" w:hAnsi="宋体" w:cs="宋体"/>
          <w:b/>
          <w:color w:val="auto"/>
          <w:sz w:val="36"/>
          <w:szCs w:val="20"/>
          <w:highlight w:val="none"/>
        </w:rPr>
        <w:sectPr>
          <w:footerReference r:id="rId5" w:type="default"/>
          <w:pgSz w:w="11906" w:h="16838"/>
          <w:pgMar w:top="1440" w:right="1800" w:bottom="1440" w:left="1800" w:header="851" w:footer="992" w:gutter="0"/>
          <w:pgNumType w:start="1"/>
          <w:cols w:space="720" w:num="1"/>
          <w:docGrid w:type="lines" w:linePitch="312" w:charSpace="0"/>
        </w:sectPr>
      </w:pPr>
      <w:bookmarkStart w:id="3" w:name="_Hlt74728647"/>
      <w:bookmarkEnd w:id="3"/>
      <w:bookmarkStart w:id="4" w:name="_Hlt74707423"/>
      <w:bookmarkEnd w:id="4"/>
      <w:bookmarkStart w:id="5" w:name="_Hlt74649545"/>
      <w:bookmarkEnd w:id="5"/>
      <w:bookmarkStart w:id="6" w:name="_Hlt74729822"/>
      <w:bookmarkEnd w:id="6"/>
      <w:bookmarkStart w:id="7" w:name="第二部分"/>
      <w:bookmarkStart w:id="8" w:name="_Toc91899870"/>
      <w:bookmarkStart w:id="9" w:name="_Toc91899871"/>
    </w:p>
    <w:p>
      <w:pPr>
        <w:spacing w:line="360" w:lineRule="auto"/>
        <w:jc w:val="center"/>
        <w:outlineLvl w:val="0"/>
        <w:rPr>
          <w:rFonts w:ascii="宋体" w:hAnsi="宋体" w:cs="宋体"/>
          <w:b/>
          <w:color w:val="auto"/>
          <w:sz w:val="36"/>
          <w:szCs w:val="20"/>
          <w:highlight w:val="none"/>
        </w:rPr>
      </w:pPr>
      <w:bookmarkStart w:id="10" w:name="_Toc30081"/>
      <w:r>
        <w:rPr>
          <w:rFonts w:hint="eastAsia" w:ascii="宋体" w:hAnsi="宋体" w:cs="宋体"/>
          <w:b/>
          <w:color w:val="auto"/>
          <w:sz w:val="36"/>
          <w:szCs w:val="20"/>
          <w:highlight w:val="none"/>
        </w:rPr>
        <w:t>第一部分 招标公告</w:t>
      </w:r>
      <w:bookmarkEnd w:id="10"/>
    </w:p>
    <w:p>
      <w:pPr>
        <w:adjustRightInd w:val="0"/>
        <w:spacing w:line="360" w:lineRule="auto"/>
        <w:jc w:val="center"/>
        <w:rPr>
          <w:rFonts w:ascii="宋体" w:hAnsi="宋体" w:cs="宋体"/>
          <w:color w:val="auto"/>
          <w:sz w:val="30"/>
          <w:highlight w:val="none"/>
        </w:rPr>
      </w:pPr>
      <w:bookmarkStart w:id="11" w:name="OLE_LINK1"/>
      <w:r>
        <w:rPr>
          <w:rFonts w:hint="eastAsia" w:ascii="宋体" w:hAnsi="宋体" w:cs="宋体"/>
          <w:color w:val="auto"/>
          <w:sz w:val="30"/>
          <w:highlight w:val="none"/>
        </w:rPr>
        <w:t>浙江建诚工程管理咨询有限公司</w:t>
      </w:r>
      <w:r>
        <w:rPr>
          <w:rFonts w:hint="eastAsia" w:ascii="宋体" w:hAnsi="宋体" w:cs="宋体"/>
          <w:color w:val="auto"/>
          <w:sz w:val="28"/>
          <w:szCs w:val="28"/>
          <w:highlight w:val="none"/>
        </w:rPr>
        <w:t>关于</w:t>
      </w:r>
      <w:r>
        <w:rPr>
          <w:rFonts w:hint="eastAsia" w:ascii="宋体" w:hAnsi="宋体" w:cs="宋体"/>
          <w:color w:val="auto"/>
          <w:sz w:val="30"/>
          <w:highlight w:val="none"/>
        </w:rPr>
        <w:t>绍兴市上虞区虞发市政工程有限公司2023-2024年度杭州湾上虞经济技术开发区道路、绿化带保洁服务项目的招标公告</w:t>
      </w:r>
    </w:p>
    <w:p>
      <w:pPr>
        <w:adjustRightInd w:val="0"/>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公告日期：2023年 月 日</w:t>
      </w:r>
    </w:p>
    <w:p>
      <w:p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按照《上虞区区属国有企业货物和服务采购管理办法》等有关规定，浙江建诚工程管理咨询有限公司受绍兴市上虞区虞发市政工程有限公司委托，现就2023-2024年度杭州湾上虞经济技术开发区道路、绿化带保洁服务项目进行公开招标，欢迎国内合格的供应商前来投标。</w:t>
      </w:r>
    </w:p>
    <w:p>
      <w:pPr>
        <w:adjustRightIn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 xml:space="preserve">一、招标项目编号： </w:t>
      </w:r>
      <w:r>
        <w:rPr>
          <w:rFonts w:hint="eastAsia" w:ascii="宋体" w:hAnsi="宋体" w:cs="宋体"/>
          <w:color w:val="auto"/>
          <w:sz w:val="24"/>
          <w:highlight w:val="none"/>
          <w:lang w:val="en-US" w:eastAsia="zh-CN"/>
        </w:rPr>
        <w:t>ZJJC2023036</w:t>
      </w:r>
    </w:p>
    <w:p>
      <w:p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二、采购组织类型：</w:t>
      </w:r>
      <w:r>
        <w:rPr>
          <w:rFonts w:hint="eastAsia" w:ascii="宋体" w:hAnsi="宋体" w:cs="宋体"/>
          <w:color w:val="auto"/>
          <w:sz w:val="24"/>
          <w:highlight w:val="none"/>
          <w:u w:val="single"/>
        </w:rPr>
        <w:t xml:space="preserve"> 国企采购-公开招标 </w:t>
      </w:r>
    </w:p>
    <w:p>
      <w:p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三、招标项目概况:</w:t>
      </w:r>
    </w:p>
    <w:tbl>
      <w:tblPr>
        <w:tblStyle w:val="30"/>
        <w:tblW w:w="8375" w:type="dxa"/>
        <w:jc w:val="center"/>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Layout w:type="fixed"/>
        <w:tblCellMar>
          <w:top w:w="0" w:type="dxa"/>
          <w:left w:w="108" w:type="dxa"/>
          <w:bottom w:w="0" w:type="dxa"/>
          <w:right w:w="108" w:type="dxa"/>
        </w:tblCellMar>
      </w:tblPr>
      <w:tblGrid>
        <w:gridCol w:w="346"/>
        <w:gridCol w:w="1365"/>
        <w:gridCol w:w="464"/>
        <w:gridCol w:w="480"/>
        <w:gridCol w:w="1320"/>
        <w:gridCol w:w="1455"/>
        <w:gridCol w:w="1065"/>
        <w:gridCol w:w="1227"/>
        <w:gridCol w:w="653"/>
      </w:tblGrid>
      <w:tr>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trHeight w:val="1784" w:hRule="atLeast"/>
          <w:jc w:val="center"/>
        </w:trPr>
        <w:tc>
          <w:tcPr>
            <w:tcW w:w="346" w:type="dxa"/>
            <w:vAlign w:val="center"/>
          </w:tcPr>
          <w:p>
            <w:pPr>
              <w:adjustRightIn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序号</w:t>
            </w:r>
          </w:p>
        </w:tc>
        <w:tc>
          <w:tcPr>
            <w:tcW w:w="1365" w:type="dxa"/>
            <w:vAlign w:val="center"/>
          </w:tcPr>
          <w:p>
            <w:pPr>
              <w:adjustRightIn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项目名称</w:t>
            </w:r>
          </w:p>
        </w:tc>
        <w:tc>
          <w:tcPr>
            <w:tcW w:w="464" w:type="dxa"/>
            <w:vAlign w:val="center"/>
          </w:tcPr>
          <w:p>
            <w:pPr>
              <w:adjustRightIn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数量</w:t>
            </w:r>
          </w:p>
        </w:tc>
        <w:tc>
          <w:tcPr>
            <w:tcW w:w="480" w:type="dxa"/>
            <w:vAlign w:val="center"/>
          </w:tcPr>
          <w:p>
            <w:pPr>
              <w:adjustRightIn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单位</w:t>
            </w:r>
          </w:p>
        </w:tc>
        <w:tc>
          <w:tcPr>
            <w:tcW w:w="1320" w:type="dxa"/>
            <w:tcBorders>
              <w:bottom w:val="single" w:color="auto" w:sz="4" w:space="0"/>
            </w:tcBorders>
            <w:vAlign w:val="center"/>
          </w:tcPr>
          <w:p>
            <w:pPr>
              <w:pStyle w:val="10"/>
              <w:ind w:firstLine="0" w:firstLineChars="0"/>
              <w:jc w:val="center"/>
              <w:rPr>
                <w:rFonts w:hAnsi="宋体" w:cs="宋体"/>
                <w:color w:val="auto"/>
                <w:sz w:val="21"/>
                <w:szCs w:val="21"/>
                <w:highlight w:val="none"/>
              </w:rPr>
            </w:pPr>
            <w:r>
              <w:rPr>
                <w:rFonts w:hint="eastAsia" w:hAnsi="宋体" w:cs="宋体"/>
                <w:color w:val="auto"/>
                <w:sz w:val="21"/>
                <w:szCs w:val="21"/>
                <w:highlight w:val="none"/>
              </w:rPr>
              <w:t>面积（平方米）</w:t>
            </w:r>
          </w:p>
        </w:tc>
        <w:tc>
          <w:tcPr>
            <w:tcW w:w="2520" w:type="dxa"/>
            <w:gridSpan w:val="2"/>
            <w:tcBorders>
              <w:bottom w:val="single" w:color="auto" w:sz="4" w:space="0"/>
            </w:tcBorders>
            <w:vAlign w:val="center"/>
          </w:tcPr>
          <w:p>
            <w:pPr>
              <w:adjustRightInd w:val="0"/>
              <w:spacing w:line="360" w:lineRule="auto"/>
              <w:jc w:val="center"/>
              <w:rPr>
                <w:color w:val="auto"/>
                <w:sz w:val="21"/>
                <w:szCs w:val="21"/>
                <w:highlight w:val="none"/>
              </w:rPr>
            </w:pPr>
            <w:r>
              <w:rPr>
                <w:rFonts w:hint="eastAsia"/>
                <w:color w:val="auto"/>
                <w:sz w:val="21"/>
                <w:szCs w:val="21"/>
                <w:highlight w:val="none"/>
              </w:rPr>
              <w:t>预算金额</w:t>
            </w:r>
            <w:r>
              <w:rPr>
                <w:rFonts w:hint="eastAsia" w:hAnsi="宋体" w:cs="宋体"/>
                <w:color w:val="auto"/>
                <w:sz w:val="21"/>
                <w:szCs w:val="21"/>
                <w:highlight w:val="none"/>
              </w:rPr>
              <w:t>（元）</w:t>
            </w:r>
          </w:p>
        </w:tc>
        <w:tc>
          <w:tcPr>
            <w:tcW w:w="1227" w:type="dxa"/>
            <w:vAlign w:val="center"/>
          </w:tcPr>
          <w:p>
            <w:pPr>
              <w:adjustRightIn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简要规格描述或标项基本概况介绍</w:t>
            </w:r>
          </w:p>
        </w:tc>
        <w:tc>
          <w:tcPr>
            <w:tcW w:w="653" w:type="dxa"/>
            <w:vAlign w:val="center"/>
          </w:tcPr>
          <w:p>
            <w:pPr>
              <w:adjustRightIn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trHeight w:val="1064" w:hRule="atLeast"/>
          <w:jc w:val="center"/>
        </w:trPr>
        <w:tc>
          <w:tcPr>
            <w:tcW w:w="346" w:type="dxa"/>
            <w:vMerge w:val="restart"/>
            <w:vAlign w:val="center"/>
          </w:tcPr>
          <w:p>
            <w:pPr>
              <w:adjustRightIn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365" w:type="dxa"/>
            <w:vMerge w:val="restart"/>
            <w:vAlign w:val="center"/>
          </w:tcPr>
          <w:p>
            <w:pPr>
              <w:adjustRightIn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2023-2024年度杭州湾上虞经济技术开发区道路、绿化带保洁服务项目-I标</w:t>
            </w:r>
          </w:p>
        </w:tc>
        <w:tc>
          <w:tcPr>
            <w:tcW w:w="464" w:type="dxa"/>
            <w:vMerge w:val="restart"/>
            <w:vAlign w:val="center"/>
          </w:tcPr>
          <w:p>
            <w:pPr>
              <w:widowControl/>
              <w:spacing w:before="100" w:after="100"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480" w:type="dxa"/>
            <w:vMerge w:val="restart"/>
            <w:vAlign w:val="center"/>
          </w:tcPr>
          <w:p>
            <w:pPr>
              <w:widowControl/>
              <w:spacing w:before="100" w:after="100"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项</w:t>
            </w:r>
          </w:p>
        </w:tc>
        <w:tc>
          <w:tcPr>
            <w:tcW w:w="1320" w:type="dxa"/>
            <w:tcBorders>
              <w:bottom w:val="single" w:color="auto" w:sz="4" w:space="0"/>
            </w:tcBorders>
            <w:vAlign w:val="center"/>
          </w:tcPr>
          <w:p>
            <w:pPr>
              <w:widowControl/>
              <w:jc w:val="center"/>
              <w:rPr>
                <w:rFonts w:ascii="宋体" w:hAnsi="宋体"/>
                <w:color w:val="auto"/>
                <w:kern w:val="0"/>
                <w:sz w:val="21"/>
                <w:szCs w:val="21"/>
                <w:highlight w:val="none"/>
              </w:rPr>
            </w:pPr>
            <w:r>
              <w:rPr>
                <w:rFonts w:hint="eastAsia"/>
                <w:color w:val="auto"/>
                <w:sz w:val="21"/>
                <w:szCs w:val="21"/>
                <w:highlight w:val="none"/>
              </w:rPr>
              <w:t xml:space="preserve">1000095.04 </w:t>
            </w:r>
          </w:p>
          <w:p>
            <w:pPr>
              <w:adjustRightIn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（道路）</w:t>
            </w:r>
          </w:p>
        </w:tc>
        <w:tc>
          <w:tcPr>
            <w:tcW w:w="1455" w:type="dxa"/>
            <w:tcBorders>
              <w:bottom w:val="single" w:color="auto" w:sz="4" w:space="0"/>
              <w:right w:val="single" w:color="auto" w:sz="4" w:space="0"/>
            </w:tcBorders>
            <w:vAlign w:val="center"/>
          </w:tcPr>
          <w:p>
            <w:pPr>
              <w:adjustRightInd w:val="0"/>
              <w:spacing w:line="360" w:lineRule="auto"/>
              <w:jc w:val="center"/>
              <w:rPr>
                <w:rFonts w:ascii="宋体" w:hAnsi="宋体" w:cs="宋体"/>
                <w:color w:val="auto"/>
                <w:sz w:val="21"/>
                <w:szCs w:val="21"/>
                <w:highlight w:val="none"/>
              </w:rPr>
            </w:pPr>
            <w:r>
              <w:rPr>
                <w:rFonts w:ascii="宋体" w:hAnsi="宋体" w:cs="宋体"/>
                <w:color w:val="auto"/>
                <w:sz w:val="21"/>
                <w:szCs w:val="21"/>
                <w:highlight w:val="none"/>
              </w:rPr>
              <w:t>19001805.76</w:t>
            </w:r>
          </w:p>
        </w:tc>
        <w:tc>
          <w:tcPr>
            <w:tcW w:w="1065" w:type="dxa"/>
            <w:vMerge w:val="restart"/>
            <w:tcBorders>
              <w:left w:val="single" w:color="auto" w:sz="4" w:space="0"/>
            </w:tcBorders>
            <w:vAlign w:val="center"/>
          </w:tcPr>
          <w:p>
            <w:pPr>
              <w:adjustRightInd w:val="0"/>
              <w:spacing w:line="360" w:lineRule="auto"/>
              <w:jc w:val="center"/>
              <w:rPr>
                <w:rFonts w:ascii="宋体" w:hAnsi="宋体" w:cs="宋体"/>
                <w:color w:val="auto"/>
                <w:sz w:val="21"/>
                <w:szCs w:val="21"/>
                <w:highlight w:val="none"/>
              </w:rPr>
            </w:pPr>
            <w:r>
              <w:rPr>
                <w:rFonts w:ascii="宋体" w:hAnsi="宋体" w:cs="宋体"/>
                <w:color w:val="auto"/>
                <w:sz w:val="21"/>
                <w:szCs w:val="21"/>
                <w:highlight w:val="none"/>
              </w:rPr>
              <w:t>24062231</w:t>
            </w:r>
          </w:p>
        </w:tc>
        <w:tc>
          <w:tcPr>
            <w:tcW w:w="1227" w:type="dxa"/>
            <w:vMerge w:val="restart"/>
            <w:vAlign w:val="center"/>
          </w:tcPr>
          <w:p>
            <w:pPr>
              <w:adjustRightIn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建成东区、建成西区、提升区；道路、绿化带保洁等。</w:t>
            </w:r>
          </w:p>
        </w:tc>
        <w:tc>
          <w:tcPr>
            <w:tcW w:w="653" w:type="dxa"/>
            <w:vMerge w:val="restart"/>
            <w:vAlign w:val="center"/>
          </w:tcPr>
          <w:p>
            <w:pPr>
              <w:adjustRightIn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二年</w:t>
            </w:r>
          </w:p>
        </w:tc>
      </w:tr>
      <w:tr>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trHeight w:val="2052" w:hRule="atLeast"/>
          <w:jc w:val="center"/>
        </w:trPr>
        <w:tc>
          <w:tcPr>
            <w:tcW w:w="346" w:type="dxa"/>
            <w:vMerge w:val="continue"/>
            <w:vAlign w:val="center"/>
          </w:tcPr>
          <w:p>
            <w:pPr>
              <w:adjustRightInd w:val="0"/>
              <w:spacing w:line="360" w:lineRule="auto"/>
              <w:jc w:val="center"/>
              <w:rPr>
                <w:rFonts w:ascii="宋体" w:hAnsi="宋体" w:cs="宋体"/>
                <w:color w:val="auto"/>
                <w:sz w:val="21"/>
                <w:szCs w:val="21"/>
                <w:highlight w:val="none"/>
              </w:rPr>
            </w:pPr>
          </w:p>
        </w:tc>
        <w:tc>
          <w:tcPr>
            <w:tcW w:w="1365" w:type="dxa"/>
            <w:vMerge w:val="continue"/>
            <w:vAlign w:val="center"/>
          </w:tcPr>
          <w:p>
            <w:pPr>
              <w:adjustRightInd w:val="0"/>
              <w:spacing w:line="360" w:lineRule="auto"/>
              <w:jc w:val="center"/>
              <w:rPr>
                <w:rFonts w:ascii="宋体" w:hAnsi="宋体" w:cs="宋体"/>
                <w:color w:val="auto"/>
                <w:sz w:val="21"/>
                <w:szCs w:val="21"/>
                <w:highlight w:val="none"/>
              </w:rPr>
            </w:pPr>
          </w:p>
        </w:tc>
        <w:tc>
          <w:tcPr>
            <w:tcW w:w="464" w:type="dxa"/>
            <w:vMerge w:val="continue"/>
            <w:vAlign w:val="center"/>
          </w:tcPr>
          <w:p>
            <w:pPr>
              <w:widowControl/>
              <w:spacing w:before="100" w:after="100" w:line="360" w:lineRule="auto"/>
              <w:jc w:val="center"/>
              <w:rPr>
                <w:rFonts w:ascii="宋体" w:hAnsi="宋体" w:cs="宋体"/>
                <w:color w:val="auto"/>
                <w:sz w:val="21"/>
                <w:szCs w:val="21"/>
                <w:highlight w:val="none"/>
              </w:rPr>
            </w:pPr>
          </w:p>
        </w:tc>
        <w:tc>
          <w:tcPr>
            <w:tcW w:w="480" w:type="dxa"/>
            <w:vMerge w:val="continue"/>
            <w:vAlign w:val="center"/>
          </w:tcPr>
          <w:p>
            <w:pPr>
              <w:widowControl/>
              <w:spacing w:before="100" w:after="100" w:line="360" w:lineRule="auto"/>
              <w:jc w:val="center"/>
              <w:rPr>
                <w:rFonts w:ascii="宋体" w:hAnsi="宋体" w:cs="宋体"/>
                <w:color w:val="auto"/>
                <w:sz w:val="21"/>
                <w:szCs w:val="21"/>
                <w:highlight w:val="none"/>
              </w:rPr>
            </w:pPr>
          </w:p>
        </w:tc>
        <w:tc>
          <w:tcPr>
            <w:tcW w:w="1320" w:type="dxa"/>
            <w:tcBorders>
              <w:top w:val="single" w:color="auto" w:sz="4" w:space="0"/>
              <w:bottom w:val="single" w:color="auto" w:sz="4" w:space="0"/>
            </w:tcBorders>
            <w:vAlign w:val="center"/>
          </w:tcPr>
          <w:p>
            <w:pPr>
              <w:widowControl/>
              <w:jc w:val="center"/>
              <w:rPr>
                <w:rFonts w:ascii="宋体" w:hAnsi="宋体"/>
                <w:color w:val="auto"/>
                <w:kern w:val="0"/>
                <w:sz w:val="21"/>
                <w:szCs w:val="21"/>
                <w:highlight w:val="none"/>
              </w:rPr>
            </w:pPr>
            <w:r>
              <w:rPr>
                <w:rFonts w:hint="eastAsia"/>
                <w:color w:val="auto"/>
                <w:sz w:val="21"/>
                <w:szCs w:val="21"/>
                <w:highlight w:val="none"/>
              </w:rPr>
              <w:t>1265106.5</w:t>
            </w:r>
          </w:p>
          <w:p>
            <w:pPr>
              <w:adjustRightIn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（绿化带）</w:t>
            </w:r>
          </w:p>
        </w:tc>
        <w:tc>
          <w:tcPr>
            <w:tcW w:w="1455" w:type="dxa"/>
            <w:tcBorders>
              <w:top w:val="single" w:color="auto" w:sz="4" w:space="0"/>
              <w:bottom w:val="single" w:color="auto" w:sz="4" w:space="0"/>
              <w:right w:val="single" w:color="auto" w:sz="4" w:space="0"/>
            </w:tcBorders>
            <w:vAlign w:val="center"/>
          </w:tcPr>
          <w:p>
            <w:pPr>
              <w:adjustRightInd w:val="0"/>
              <w:spacing w:line="360" w:lineRule="auto"/>
              <w:jc w:val="center"/>
              <w:rPr>
                <w:rFonts w:ascii="宋体" w:hAnsi="宋体" w:cs="宋体"/>
                <w:color w:val="auto"/>
                <w:sz w:val="21"/>
                <w:szCs w:val="21"/>
                <w:highlight w:val="none"/>
              </w:rPr>
            </w:pPr>
            <w:r>
              <w:rPr>
                <w:rFonts w:ascii="宋体" w:hAnsi="宋体" w:cs="宋体"/>
                <w:color w:val="auto"/>
                <w:sz w:val="21"/>
                <w:szCs w:val="21"/>
                <w:highlight w:val="none"/>
              </w:rPr>
              <w:t>5060426</w:t>
            </w:r>
          </w:p>
        </w:tc>
        <w:tc>
          <w:tcPr>
            <w:tcW w:w="1065" w:type="dxa"/>
            <w:vMerge w:val="continue"/>
            <w:tcBorders>
              <w:left w:val="single" w:color="auto" w:sz="4" w:space="0"/>
            </w:tcBorders>
            <w:vAlign w:val="center"/>
          </w:tcPr>
          <w:p>
            <w:pPr>
              <w:adjustRightInd w:val="0"/>
              <w:spacing w:line="360" w:lineRule="auto"/>
              <w:jc w:val="center"/>
              <w:rPr>
                <w:rFonts w:ascii="宋体" w:hAnsi="宋体" w:cs="宋体"/>
                <w:color w:val="auto"/>
                <w:sz w:val="21"/>
                <w:szCs w:val="21"/>
                <w:highlight w:val="none"/>
              </w:rPr>
            </w:pPr>
          </w:p>
        </w:tc>
        <w:tc>
          <w:tcPr>
            <w:tcW w:w="1227" w:type="dxa"/>
            <w:vMerge w:val="continue"/>
            <w:vAlign w:val="center"/>
          </w:tcPr>
          <w:p>
            <w:pPr>
              <w:adjustRightInd w:val="0"/>
              <w:spacing w:line="360" w:lineRule="auto"/>
              <w:jc w:val="center"/>
              <w:rPr>
                <w:rFonts w:ascii="宋体" w:hAnsi="宋体" w:cs="宋体"/>
                <w:color w:val="auto"/>
                <w:sz w:val="21"/>
                <w:szCs w:val="21"/>
                <w:highlight w:val="none"/>
              </w:rPr>
            </w:pPr>
          </w:p>
        </w:tc>
        <w:tc>
          <w:tcPr>
            <w:tcW w:w="653" w:type="dxa"/>
            <w:vMerge w:val="continue"/>
            <w:vAlign w:val="center"/>
          </w:tcPr>
          <w:p>
            <w:pPr>
              <w:adjustRightInd w:val="0"/>
              <w:spacing w:line="360" w:lineRule="auto"/>
              <w:jc w:val="center"/>
              <w:rPr>
                <w:rFonts w:ascii="宋体" w:hAnsi="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trHeight w:val="1045" w:hRule="atLeast"/>
          <w:jc w:val="center"/>
        </w:trPr>
        <w:tc>
          <w:tcPr>
            <w:tcW w:w="346" w:type="dxa"/>
            <w:vMerge w:val="restart"/>
            <w:vAlign w:val="center"/>
          </w:tcPr>
          <w:p>
            <w:pPr>
              <w:adjustRightIn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1365" w:type="dxa"/>
            <w:vMerge w:val="restart"/>
            <w:vAlign w:val="center"/>
          </w:tcPr>
          <w:p>
            <w:pPr>
              <w:adjustRightIn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2023-2024年度杭州湾上虞经济技术开发区道路、绿化带保洁服务项目-II标</w:t>
            </w:r>
          </w:p>
        </w:tc>
        <w:tc>
          <w:tcPr>
            <w:tcW w:w="464" w:type="dxa"/>
            <w:vMerge w:val="restart"/>
            <w:vAlign w:val="center"/>
          </w:tcPr>
          <w:p>
            <w:pPr>
              <w:widowControl/>
              <w:spacing w:before="100" w:after="100"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480" w:type="dxa"/>
            <w:vMerge w:val="restart"/>
            <w:vAlign w:val="center"/>
          </w:tcPr>
          <w:p>
            <w:pPr>
              <w:widowControl/>
              <w:spacing w:before="100" w:after="100"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项</w:t>
            </w:r>
          </w:p>
        </w:tc>
        <w:tc>
          <w:tcPr>
            <w:tcW w:w="1320" w:type="dxa"/>
            <w:tcBorders>
              <w:bottom w:val="single" w:color="auto" w:sz="4" w:space="0"/>
            </w:tcBorders>
            <w:vAlign w:val="center"/>
          </w:tcPr>
          <w:p>
            <w:pPr>
              <w:widowControl/>
              <w:jc w:val="center"/>
              <w:rPr>
                <w:rFonts w:ascii="宋体" w:hAnsi="宋体"/>
                <w:color w:val="auto"/>
                <w:kern w:val="0"/>
                <w:sz w:val="21"/>
                <w:szCs w:val="21"/>
                <w:highlight w:val="none"/>
              </w:rPr>
            </w:pPr>
            <w:r>
              <w:rPr>
                <w:rFonts w:hint="eastAsia"/>
                <w:color w:val="auto"/>
                <w:sz w:val="21"/>
                <w:szCs w:val="21"/>
                <w:highlight w:val="none"/>
              </w:rPr>
              <w:t xml:space="preserve">1098311.98 </w:t>
            </w:r>
          </w:p>
          <w:p>
            <w:pPr>
              <w:adjustRightIn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（道路）</w:t>
            </w:r>
          </w:p>
        </w:tc>
        <w:tc>
          <w:tcPr>
            <w:tcW w:w="1455" w:type="dxa"/>
            <w:tcBorders>
              <w:bottom w:val="single" w:color="auto" w:sz="4" w:space="0"/>
              <w:right w:val="single" w:color="auto" w:sz="4" w:space="0"/>
            </w:tcBorders>
            <w:vAlign w:val="center"/>
          </w:tcPr>
          <w:p>
            <w:pPr>
              <w:adjustRightInd w:val="0"/>
              <w:spacing w:line="360" w:lineRule="auto"/>
              <w:jc w:val="center"/>
              <w:rPr>
                <w:rFonts w:ascii="宋体" w:hAnsi="宋体" w:cs="宋体"/>
                <w:color w:val="auto"/>
                <w:sz w:val="21"/>
                <w:szCs w:val="21"/>
                <w:highlight w:val="none"/>
              </w:rPr>
            </w:pPr>
            <w:r>
              <w:rPr>
                <w:rFonts w:ascii="宋体" w:hAnsi="宋体" w:cs="宋体"/>
                <w:color w:val="auto"/>
                <w:sz w:val="21"/>
                <w:szCs w:val="21"/>
                <w:highlight w:val="none"/>
              </w:rPr>
              <w:t>20867927.62</w:t>
            </w:r>
          </w:p>
        </w:tc>
        <w:tc>
          <w:tcPr>
            <w:tcW w:w="1065" w:type="dxa"/>
            <w:vMerge w:val="restart"/>
            <w:tcBorders>
              <w:left w:val="single" w:color="auto" w:sz="4" w:space="0"/>
            </w:tcBorders>
            <w:vAlign w:val="center"/>
          </w:tcPr>
          <w:p>
            <w:pPr>
              <w:adjustRightIn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2</w:t>
            </w:r>
            <w:r>
              <w:rPr>
                <w:rFonts w:ascii="宋体" w:hAnsi="宋体" w:cs="宋体"/>
                <w:color w:val="auto"/>
                <w:sz w:val="21"/>
                <w:szCs w:val="21"/>
                <w:highlight w:val="none"/>
              </w:rPr>
              <w:t>3589904</w:t>
            </w:r>
          </w:p>
        </w:tc>
        <w:tc>
          <w:tcPr>
            <w:tcW w:w="1227" w:type="dxa"/>
            <w:vMerge w:val="restart"/>
            <w:vAlign w:val="center"/>
          </w:tcPr>
          <w:p>
            <w:pPr>
              <w:adjustRightIn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东一区、东二区未来小城；道路、绿化带保洁等。</w:t>
            </w:r>
          </w:p>
        </w:tc>
        <w:tc>
          <w:tcPr>
            <w:tcW w:w="653" w:type="dxa"/>
            <w:vMerge w:val="restart"/>
            <w:vAlign w:val="center"/>
          </w:tcPr>
          <w:p>
            <w:pPr>
              <w:adjustRightIn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二年</w:t>
            </w:r>
          </w:p>
        </w:tc>
      </w:tr>
      <w:tr>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trHeight w:val="2237" w:hRule="atLeast"/>
          <w:jc w:val="center"/>
        </w:trPr>
        <w:tc>
          <w:tcPr>
            <w:tcW w:w="346" w:type="dxa"/>
            <w:vMerge w:val="continue"/>
            <w:vAlign w:val="center"/>
          </w:tcPr>
          <w:p>
            <w:pPr>
              <w:adjustRightInd w:val="0"/>
              <w:spacing w:line="360" w:lineRule="auto"/>
              <w:jc w:val="center"/>
              <w:rPr>
                <w:rFonts w:ascii="宋体" w:hAnsi="宋体" w:cs="宋体"/>
                <w:color w:val="auto"/>
                <w:sz w:val="21"/>
                <w:szCs w:val="21"/>
                <w:highlight w:val="none"/>
              </w:rPr>
            </w:pPr>
          </w:p>
        </w:tc>
        <w:tc>
          <w:tcPr>
            <w:tcW w:w="1365" w:type="dxa"/>
            <w:vMerge w:val="continue"/>
            <w:vAlign w:val="center"/>
          </w:tcPr>
          <w:p>
            <w:pPr>
              <w:adjustRightInd w:val="0"/>
              <w:spacing w:line="360" w:lineRule="auto"/>
              <w:jc w:val="center"/>
              <w:rPr>
                <w:rFonts w:ascii="宋体" w:hAnsi="宋体" w:cs="宋体"/>
                <w:color w:val="auto"/>
                <w:sz w:val="21"/>
                <w:szCs w:val="21"/>
                <w:highlight w:val="none"/>
              </w:rPr>
            </w:pPr>
          </w:p>
        </w:tc>
        <w:tc>
          <w:tcPr>
            <w:tcW w:w="464" w:type="dxa"/>
            <w:vMerge w:val="continue"/>
            <w:vAlign w:val="center"/>
          </w:tcPr>
          <w:p>
            <w:pPr>
              <w:widowControl/>
              <w:spacing w:before="100" w:after="100" w:line="360" w:lineRule="auto"/>
              <w:jc w:val="center"/>
              <w:rPr>
                <w:rFonts w:ascii="宋体" w:hAnsi="宋体" w:cs="宋体"/>
                <w:color w:val="auto"/>
                <w:sz w:val="21"/>
                <w:szCs w:val="21"/>
                <w:highlight w:val="none"/>
              </w:rPr>
            </w:pPr>
          </w:p>
        </w:tc>
        <w:tc>
          <w:tcPr>
            <w:tcW w:w="480" w:type="dxa"/>
            <w:vMerge w:val="continue"/>
            <w:vAlign w:val="center"/>
          </w:tcPr>
          <w:p>
            <w:pPr>
              <w:widowControl/>
              <w:spacing w:before="100" w:after="100" w:line="360" w:lineRule="auto"/>
              <w:jc w:val="center"/>
              <w:rPr>
                <w:rFonts w:ascii="宋体" w:hAnsi="宋体" w:cs="宋体"/>
                <w:color w:val="auto"/>
                <w:sz w:val="21"/>
                <w:szCs w:val="21"/>
                <w:highlight w:val="none"/>
              </w:rPr>
            </w:pPr>
          </w:p>
        </w:tc>
        <w:tc>
          <w:tcPr>
            <w:tcW w:w="1320" w:type="dxa"/>
            <w:tcBorders>
              <w:top w:val="single" w:color="auto" w:sz="4" w:space="0"/>
            </w:tcBorders>
            <w:vAlign w:val="center"/>
          </w:tcPr>
          <w:p>
            <w:pPr>
              <w:widowControl/>
              <w:jc w:val="center"/>
              <w:rPr>
                <w:rFonts w:ascii="宋体" w:hAnsi="宋体"/>
                <w:color w:val="auto"/>
                <w:kern w:val="0"/>
                <w:sz w:val="21"/>
                <w:szCs w:val="21"/>
                <w:highlight w:val="none"/>
              </w:rPr>
            </w:pPr>
            <w:r>
              <w:rPr>
                <w:rFonts w:hint="eastAsia"/>
                <w:color w:val="auto"/>
                <w:sz w:val="21"/>
                <w:szCs w:val="21"/>
                <w:highlight w:val="none"/>
              </w:rPr>
              <w:t>680494.19</w:t>
            </w:r>
          </w:p>
          <w:p>
            <w:pPr>
              <w:adjustRightIn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（绿化带）</w:t>
            </w:r>
          </w:p>
        </w:tc>
        <w:tc>
          <w:tcPr>
            <w:tcW w:w="1455" w:type="dxa"/>
            <w:tcBorders>
              <w:top w:val="single" w:color="auto" w:sz="4" w:space="0"/>
              <w:right w:val="single" w:color="auto" w:sz="4" w:space="0"/>
            </w:tcBorders>
            <w:vAlign w:val="center"/>
          </w:tcPr>
          <w:p>
            <w:pPr>
              <w:adjustRightInd w:val="0"/>
              <w:spacing w:line="360" w:lineRule="auto"/>
              <w:jc w:val="center"/>
              <w:rPr>
                <w:rFonts w:ascii="宋体" w:hAnsi="宋体" w:cs="宋体"/>
                <w:color w:val="auto"/>
                <w:sz w:val="21"/>
                <w:szCs w:val="21"/>
                <w:highlight w:val="none"/>
              </w:rPr>
            </w:pPr>
            <w:r>
              <w:rPr>
                <w:rFonts w:ascii="宋体" w:hAnsi="宋体" w:cs="宋体"/>
                <w:color w:val="auto"/>
                <w:sz w:val="21"/>
                <w:szCs w:val="21"/>
                <w:highlight w:val="none"/>
              </w:rPr>
              <w:t>2721976.76</w:t>
            </w:r>
          </w:p>
        </w:tc>
        <w:tc>
          <w:tcPr>
            <w:tcW w:w="1065" w:type="dxa"/>
            <w:vMerge w:val="continue"/>
            <w:tcBorders>
              <w:left w:val="single" w:color="auto" w:sz="4" w:space="0"/>
            </w:tcBorders>
            <w:vAlign w:val="center"/>
          </w:tcPr>
          <w:p>
            <w:pPr>
              <w:adjustRightInd w:val="0"/>
              <w:spacing w:line="360" w:lineRule="auto"/>
              <w:jc w:val="center"/>
              <w:rPr>
                <w:rFonts w:ascii="宋体" w:hAnsi="宋体" w:cs="宋体"/>
                <w:color w:val="auto"/>
                <w:sz w:val="21"/>
                <w:szCs w:val="21"/>
                <w:highlight w:val="none"/>
              </w:rPr>
            </w:pPr>
          </w:p>
        </w:tc>
        <w:tc>
          <w:tcPr>
            <w:tcW w:w="1227" w:type="dxa"/>
            <w:vMerge w:val="continue"/>
            <w:vAlign w:val="center"/>
          </w:tcPr>
          <w:p>
            <w:pPr>
              <w:adjustRightInd w:val="0"/>
              <w:spacing w:line="360" w:lineRule="auto"/>
              <w:rPr>
                <w:rFonts w:ascii="宋体" w:hAnsi="宋体" w:cs="宋体"/>
                <w:color w:val="auto"/>
                <w:sz w:val="21"/>
                <w:szCs w:val="21"/>
                <w:highlight w:val="none"/>
              </w:rPr>
            </w:pPr>
          </w:p>
        </w:tc>
        <w:tc>
          <w:tcPr>
            <w:tcW w:w="653" w:type="dxa"/>
            <w:vMerge w:val="continue"/>
            <w:vAlign w:val="center"/>
          </w:tcPr>
          <w:p>
            <w:pPr>
              <w:adjustRightInd w:val="0"/>
              <w:spacing w:line="360" w:lineRule="auto"/>
              <w:jc w:val="center"/>
              <w:rPr>
                <w:rFonts w:ascii="宋体" w:hAnsi="宋体" w:cs="宋体"/>
                <w:color w:val="auto"/>
                <w:sz w:val="21"/>
                <w:szCs w:val="21"/>
                <w:highlight w:val="none"/>
              </w:rPr>
            </w:pPr>
          </w:p>
        </w:tc>
      </w:tr>
    </w:tbl>
    <w:p>
      <w:pPr>
        <w:pStyle w:val="29"/>
        <w:spacing w:line="400" w:lineRule="exact"/>
        <w:ind w:left="0" w:leftChars="0" w:firstLine="422"/>
        <w:jc w:val="left"/>
        <w:rPr>
          <w:rFonts w:ascii="宋体" w:hAnsi="宋体" w:cs="宋体"/>
          <w:b/>
          <w:color w:val="auto"/>
          <w:szCs w:val="21"/>
          <w:highlight w:val="none"/>
        </w:rPr>
      </w:pPr>
      <w:r>
        <w:rPr>
          <w:rFonts w:hint="eastAsia" w:ascii="宋体" w:hAnsi="宋体" w:cs="宋体"/>
          <w:b/>
          <w:color w:val="auto"/>
          <w:szCs w:val="21"/>
          <w:highlight w:val="none"/>
        </w:rPr>
        <w:t>注：潜在供应商可同时对本项目的二个标项进行投标，但一个投标人只能中一个标项。</w:t>
      </w:r>
      <w:r>
        <w:rPr>
          <w:rFonts w:hint="eastAsia" w:ascii="宋体" w:hAnsi="宋体" w:cs="宋体"/>
          <w:b/>
          <w:color w:val="FF0000"/>
          <w:szCs w:val="21"/>
          <w:highlight w:val="none"/>
          <w:lang w:val="en-US" w:eastAsia="zh-CN"/>
        </w:rPr>
        <w:t>例如</w:t>
      </w:r>
      <w:r>
        <w:rPr>
          <w:rFonts w:hint="eastAsia" w:ascii="宋体" w:hAnsi="宋体" w:cs="宋体"/>
          <w:b/>
          <w:color w:val="auto"/>
          <w:szCs w:val="21"/>
          <w:highlight w:val="none"/>
        </w:rPr>
        <w:t>Ⅰ标的投标人在另一个标上的排名也为第一时，另一个标则由第二名递补中标。开评标顺序为先开Ⅰ标，后开Ⅱ标。</w:t>
      </w:r>
    </w:p>
    <w:p>
      <w:pPr>
        <w:adjustRightInd w:val="0"/>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四、投标供应商资格要求:</w:t>
      </w:r>
    </w:p>
    <w:p>
      <w:pPr>
        <w:adjustRightInd w:val="0"/>
        <w:spacing w:line="360" w:lineRule="auto"/>
        <w:ind w:left="420" w:leftChars="200"/>
        <w:rPr>
          <w:rFonts w:ascii="宋体" w:hAnsi="宋体" w:cs="宋体"/>
          <w:color w:val="auto"/>
          <w:sz w:val="24"/>
          <w:highlight w:val="none"/>
        </w:rPr>
      </w:pPr>
      <w:bookmarkStart w:id="12" w:name="_Hlk89265864"/>
      <w:r>
        <w:rPr>
          <w:rFonts w:hint="eastAsia" w:ascii="宋体" w:hAnsi="宋体" w:cs="宋体"/>
          <w:color w:val="auto"/>
          <w:sz w:val="24"/>
          <w:highlight w:val="none"/>
        </w:rPr>
        <w:t>1、符合《虞国资委〔2021〕42 号》第十八条</w:t>
      </w:r>
    </w:p>
    <w:p>
      <w:pPr>
        <w:adjustRightInd w:val="0"/>
        <w:spacing w:line="360" w:lineRule="auto"/>
        <w:ind w:left="420" w:leftChars="200"/>
        <w:rPr>
          <w:rFonts w:ascii="宋体" w:hAnsi="宋体" w:cs="宋体"/>
          <w:color w:val="auto"/>
          <w:sz w:val="24"/>
          <w:highlight w:val="none"/>
        </w:rPr>
      </w:pPr>
      <w:r>
        <w:rPr>
          <w:rFonts w:hint="eastAsia" w:ascii="宋体" w:hAnsi="宋体" w:cs="宋体"/>
          <w:color w:val="auto"/>
          <w:sz w:val="24"/>
          <w:highlight w:val="none"/>
        </w:rPr>
        <w:t>（1）具有独立承担民事责任能力；</w:t>
      </w:r>
    </w:p>
    <w:p>
      <w:pPr>
        <w:adjustRightInd w:val="0"/>
        <w:spacing w:line="360" w:lineRule="auto"/>
        <w:ind w:left="420" w:leftChars="200"/>
        <w:rPr>
          <w:rFonts w:ascii="宋体" w:hAnsi="宋体" w:cs="宋体"/>
          <w:color w:val="auto"/>
          <w:sz w:val="24"/>
          <w:highlight w:val="none"/>
        </w:rPr>
      </w:pPr>
      <w:r>
        <w:rPr>
          <w:rFonts w:hint="eastAsia" w:ascii="宋体" w:hAnsi="宋体" w:cs="宋体"/>
          <w:color w:val="auto"/>
          <w:sz w:val="24"/>
          <w:highlight w:val="none"/>
        </w:rPr>
        <w:t>（2）具有良好的商业信誉；</w:t>
      </w:r>
    </w:p>
    <w:p>
      <w:pPr>
        <w:adjustRightInd w:val="0"/>
        <w:spacing w:line="360" w:lineRule="auto"/>
        <w:ind w:left="420" w:left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（3）具有履行合同所必需的设备和专业技术、售后保障等能力；</w:t>
      </w:r>
    </w:p>
    <w:p>
      <w:pPr>
        <w:adjustRightInd w:val="0"/>
        <w:spacing w:line="360" w:lineRule="auto"/>
        <w:ind w:left="420" w:left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adjustRightInd w:val="0"/>
        <w:spacing w:line="360" w:lineRule="auto"/>
        <w:ind w:left="420" w:leftChars="200"/>
        <w:rPr>
          <w:rFonts w:ascii="宋体" w:hAnsi="宋体" w:cs="宋体"/>
          <w:color w:val="auto"/>
          <w:sz w:val="24"/>
          <w:highlight w:val="none"/>
        </w:rPr>
      </w:pPr>
      <w:r>
        <w:rPr>
          <w:rFonts w:hint="eastAsia" w:ascii="宋体" w:hAnsi="宋体" w:cs="宋体"/>
          <w:color w:val="auto"/>
          <w:sz w:val="24"/>
          <w:highlight w:val="none"/>
        </w:rPr>
        <w:t>（5）参加采购活动前三年内，没有重大违法记录、严重失信行为和行贿记录；</w:t>
      </w:r>
    </w:p>
    <w:p>
      <w:pPr>
        <w:adjustRightInd w:val="0"/>
        <w:spacing w:line="360" w:lineRule="auto"/>
        <w:ind w:left="420" w:leftChars="200"/>
        <w:rPr>
          <w:rFonts w:ascii="宋体" w:hAnsi="宋体" w:cs="宋体"/>
          <w:color w:val="auto"/>
          <w:sz w:val="24"/>
          <w:highlight w:val="none"/>
        </w:rPr>
      </w:pPr>
      <w:r>
        <w:rPr>
          <w:rFonts w:hint="eastAsia" w:ascii="宋体" w:hAnsi="宋体" w:cs="宋体"/>
          <w:color w:val="auto"/>
          <w:sz w:val="24"/>
          <w:highlight w:val="none"/>
        </w:rPr>
        <w:t>（6）法律、行政法规规定的其他条件；</w:t>
      </w:r>
    </w:p>
    <w:p>
      <w:pPr>
        <w:adjustRightInd w:val="0"/>
        <w:spacing w:line="360" w:lineRule="auto"/>
        <w:ind w:left="420" w:leftChars="200"/>
        <w:rPr>
          <w:rFonts w:ascii="宋体" w:hAnsi="宋体" w:cs="宋体"/>
          <w:color w:val="auto"/>
          <w:sz w:val="24"/>
          <w:highlight w:val="none"/>
        </w:rPr>
      </w:pPr>
      <w:r>
        <w:rPr>
          <w:rFonts w:hint="eastAsia" w:ascii="宋体" w:hAnsi="宋体" w:cs="宋体"/>
          <w:color w:val="auto"/>
          <w:sz w:val="24"/>
          <w:highlight w:val="none"/>
        </w:rPr>
        <w:t>2.不允许联合体投标；</w:t>
      </w:r>
    </w:p>
    <w:p>
      <w:pPr>
        <w:adjustRightInd w:val="0"/>
        <w:spacing w:line="360" w:lineRule="auto"/>
        <w:ind w:left="420" w:leftChars="200"/>
        <w:rPr>
          <w:rFonts w:ascii="宋体" w:hAnsi="宋体" w:cs="宋体"/>
          <w:color w:val="auto"/>
          <w:sz w:val="24"/>
          <w:highlight w:val="none"/>
        </w:rPr>
      </w:pPr>
      <w:r>
        <w:rPr>
          <w:rFonts w:hint="eastAsia" w:ascii="宋体" w:hAnsi="宋体" w:cs="宋体"/>
          <w:color w:val="auto"/>
          <w:sz w:val="24"/>
          <w:highlight w:val="none"/>
        </w:rPr>
        <w:t>3.本次招标采用资格后审的审查方式，由采购人负责审查。</w:t>
      </w:r>
    </w:p>
    <w:bookmarkEnd w:id="12"/>
    <w:p>
      <w:p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五、投标获取采购文件</w:t>
      </w:r>
    </w:p>
    <w:p>
      <w:pPr>
        <w:numPr>
          <w:ilvl w:val="0"/>
          <w:numId w:val="3"/>
        </w:numPr>
        <w:adjustRightInd w:val="0"/>
        <w:spacing w:line="360" w:lineRule="auto"/>
        <w:ind w:firstLine="482" w:firstLineChars="200"/>
        <w:rPr>
          <w:rFonts w:ascii="宋体" w:hAnsi="宋体" w:cs="宋体"/>
          <w:b/>
          <w:bCs/>
          <w:color w:val="auto"/>
          <w:sz w:val="24"/>
          <w:highlight w:val="none"/>
        </w:rPr>
      </w:pPr>
      <w:bookmarkStart w:id="13" w:name="报名开始时间1"/>
      <w:r>
        <w:rPr>
          <w:rFonts w:hint="eastAsia" w:ascii="宋体" w:hAnsi="宋体" w:cs="宋体"/>
          <w:b/>
          <w:bCs/>
          <w:color w:val="auto"/>
          <w:sz w:val="24"/>
          <w:highlight w:val="none"/>
        </w:rPr>
        <w:t>获取采购文件时间:</w:t>
      </w:r>
      <w:bookmarkEnd w:id="13"/>
      <w:r>
        <w:rPr>
          <w:rFonts w:hint="eastAsia" w:ascii="宋体" w:hAnsi="宋体" w:cs="宋体"/>
          <w:b/>
          <w:bCs/>
          <w:color w:val="auto"/>
          <w:sz w:val="24"/>
          <w:highlight w:val="none"/>
        </w:rPr>
        <w:t>2023年  月  日09:30之前获取。</w:t>
      </w:r>
    </w:p>
    <w:p>
      <w:pPr>
        <w:numPr>
          <w:ilvl w:val="0"/>
          <w:numId w:val="3"/>
        </w:numPr>
        <w:wordWrap w:val="0"/>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获取采购文件方式：供应商登陆政采云平台https://www.zhengcaiyun.cn/，在线申请获取采购文件（进入“项目采购”应用，在获取采购文件菜单中选择项目，申请获取采购文件）。</w:t>
      </w:r>
    </w:p>
    <w:p>
      <w:pPr>
        <w:numPr>
          <w:ilvl w:val="0"/>
          <w:numId w:val="3"/>
        </w:num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提示：</w:t>
      </w:r>
    </w:p>
    <w:p>
      <w:pPr>
        <w:numPr>
          <w:ilvl w:val="0"/>
          <w:numId w:val="4"/>
        </w:num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将拒绝接受未获取采购文件供应商的投标文件。</w:t>
      </w:r>
    </w:p>
    <w:p>
      <w:pPr>
        <w:numPr>
          <w:ilvl w:val="0"/>
          <w:numId w:val="4"/>
        </w:num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招标文件及更正补充公告请自行登录浙江政府采购网或绍兴市上虞区公共资源交易中心网站，在采购公告页面中下载。</w:t>
      </w:r>
    </w:p>
    <w:p>
      <w:p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六、投标与开标注意事项：</w:t>
      </w:r>
    </w:p>
    <w:p>
      <w:pPr>
        <w:numPr>
          <w:ilvl w:val="0"/>
          <w:numId w:val="5"/>
        </w:num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本项目实行</w:t>
      </w:r>
      <w:r>
        <w:rPr>
          <w:rFonts w:hint="eastAsia" w:ascii="宋体" w:hAnsi="宋体" w:cs="宋体"/>
          <w:b/>
          <w:bCs/>
          <w:color w:val="auto"/>
          <w:sz w:val="24"/>
          <w:highlight w:val="none"/>
        </w:rPr>
        <w:t>网上投标</w:t>
      </w:r>
      <w:r>
        <w:rPr>
          <w:rFonts w:hint="eastAsia" w:ascii="宋体" w:hAnsi="宋体" w:cs="宋体"/>
          <w:color w:val="auto"/>
          <w:sz w:val="24"/>
          <w:highlight w:val="none"/>
        </w:rPr>
        <w:t>，采用电子投标文件，若供应商参与投标，自行承担投标一切费用。</w:t>
      </w:r>
    </w:p>
    <w:p>
      <w:pPr>
        <w:numPr>
          <w:ilvl w:val="0"/>
          <w:numId w:val="5"/>
        </w:numPr>
        <w:wordWrap w:val="0"/>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标前准备：各供应商应在开标前应确保成为浙江省政府采购网正式注册入库供应商，并完成CA数字证书办理。因未注册入库、未办理CA数字证书等原因造成无法投标或投标失败等后果由供应商自行承担。</w:t>
      </w:r>
    </w:p>
    <w:p>
      <w:pPr>
        <w:autoSpaceDE w:val="0"/>
        <w:autoSpaceDN w:val="0"/>
        <w:spacing w:line="360" w:lineRule="auto"/>
        <w:ind w:firstLine="480" w:firstLineChars="200"/>
        <w:textAlignment w:val="bottom"/>
        <w:rPr>
          <w:rFonts w:ascii="宋体" w:hAnsi="宋体" w:cs="宋体"/>
          <w:color w:val="auto"/>
          <w:sz w:val="24"/>
          <w:szCs w:val="21"/>
          <w:highlight w:val="none"/>
        </w:rPr>
      </w:pPr>
      <w:r>
        <w:rPr>
          <w:rFonts w:hint="eastAsia" w:ascii="宋体" w:hAnsi="宋体" w:cs="宋体"/>
          <w:color w:val="auto"/>
          <w:sz w:val="24"/>
          <w:szCs w:val="21"/>
          <w:highlight w:val="none"/>
        </w:rPr>
        <w:t>供应商将政采云电子交易客户端下载、安装完成后，可通过账号密码或CA登录客户端进行投标文件制作。在使用政采云投标客户端时，建议使用WIN7及以上操作系统。</w:t>
      </w:r>
    </w:p>
    <w:p>
      <w:pPr>
        <w:autoSpaceDE w:val="0"/>
        <w:autoSpaceDN w:val="0"/>
        <w:spacing w:line="360" w:lineRule="auto"/>
        <w:ind w:firstLine="480" w:firstLineChars="200"/>
        <w:textAlignment w:val="bottom"/>
        <w:rPr>
          <w:rFonts w:ascii="宋体" w:hAnsi="宋体" w:cs="宋体"/>
          <w:color w:val="auto"/>
          <w:sz w:val="24"/>
          <w:szCs w:val="21"/>
          <w:highlight w:val="none"/>
        </w:rPr>
      </w:pPr>
      <w:r>
        <w:rPr>
          <w:rFonts w:hint="eastAsia" w:ascii="宋体" w:hAnsi="宋体" w:cs="宋体"/>
          <w:color w:val="auto"/>
          <w:sz w:val="24"/>
          <w:szCs w:val="21"/>
          <w:highlight w:val="none"/>
        </w:rPr>
        <w:t>注：供应商先要申领CA，取得CA后需要在政采云平台进行绑定，CA相关操作可参考《CA管理学习专题》。完成CA数字证书办理在资料齐全的情况下预计7个工作日左右，建议供应商获取招标文件后立即办理。</w:t>
      </w:r>
    </w:p>
    <w:p>
      <w:pPr>
        <w:adjustRightInd w:val="0"/>
        <w:spacing w:line="360" w:lineRule="auto"/>
        <w:ind w:left="420" w:leftChars="200"/>
        <w:rPr>
          <w:rFonts w:ascii="宋体" w:hAnsi="宋体" w:cs="宋体"/>
          <w:color w:val="auto"/>
          <w:sz w:val="24"/>
          <w:szCs w:val="21"/>
          <w:highlight w:val="none"/>
        </w:rPr>
      </w:pPr>
      <w:r>
        <w:rPr>
          <w:rFonts w:hint="eastAsia" w:ascii="宋体" w:hAnsi="宋体" w:cs="宋体"/>
          <w:color w:val="auto"/>
          <w:sz w:val="24"/>
          <w:szCs w:val="21"/>
          <w:highlight w:val="none"/>
        </w:rPr>
        <w:t>《CA管理学习专题》：</w:t>
      </w:r>
    </w:p>
    <w:p>
      <w:pPr>
        <w:adjustRightInd w:val="0"/>
        <w:spacing w:line="360" w:lineRule="auto"/>
        <w:ind w:left="420" w:leftChars="200"/>
        <w:rPr>
          <w:rFonts w:ascii="宋体" w:hAnsi="宋体" w:cs="宋体"/>
          <w:color w:val="auto"/>
          <w:sz w:val="24"/>
          <w:szCs w:val="21"/>
          <w:highlight w:val="none"/>
        </w:rPr>
      </w:pPr>
      <w:r>
        <w:rPr>
          <w:rFonts w:hint="eastAsia" w:ascii="宋体" w:hAnsi="宋体" w:cs="宋体"/>
          <w:color w:val="auto"/>
          <w:sz w:val="24"/>
          <w:szCs w:val="21"/>
          <w:highlight w:val="none"/>
        </w:rPr>
        <w:t>https://edu.zcygov.cn/luban/ca?utm=web-government-front.380aac0a.0.0.fc2b6aa0b6e211ebbdb0dd007730dd44</w:t>
      </w:r>
    </w:p>
    <w:p>
      <w:pPr>
        <w:adjustRightInd w:val="0"/>
        <w:spacing w:line="360" w:lineRule="auto"/>
        <w:ind w:left="420" w:leftChars="200"/>
        <w:rPr>
          <w:rFonts w:ascii="宋体" w:hAnsi="宋体" w:cs="宋体"/>
          <w:color w:val="auto"/>
          <w:sz w:val="24"/>
          <w:szCs w:val="21"/>
          <w:highlight w:val="none"/>
        </w:rPr>
      </w:pPr>
      <w:r>
        <w:rPr>
          <w:rFonts w:hint="eastAsia" w:ascii="宋体" w:hAnsi="宋体" w:cs="宋体"/>
          <w:color w:val="auto"/>
          <w:sz w:val="24"/>
          <w:szCs w:val="21"/>
          <w:highlight w:val="none"/>
        </w:rPr>
        <w:t>《CA驱动和申领流程》:</w:t>
      </w:r>
    </w:p>
    <w:p>
      <w:pPr>
        <w:adjustRightInd w:val="0"/>
        <w:spacing w:line="360" w:lineRule="auto"/>
        <w:ind w:left="420" w:leftChars="200"/>
        <w:rPr>
          <w:rFonts w:ascii="宋体" w:hAnsi="宋体" w:cs="宋体"/>
          <w:color w:val="auto"/>
          <w:sz w:val="24"/>
          <w:highlight w:val="none"/>
        </w:rPr>
      </w:pPr>
      <w:r>
        <w:rPr>
          <w:color w:val="auto"/>
          <w:highlight w:val="none"/>
        </w:rPr>
        <w:fldChar w:fldCharType="begin"/>
      </w:r>
      <w:r>
        <w:rPr>
          <w:color w:val="auto"/>
          <w:highlight w:val="none"/>
        </w:rPr>
        <w:instrText xml:space="preserve"> HYPERLINK "http://zfcg.czt.zj.gov.cn/bidClientTemplate/2019-05-27/12945.html" </w:instrText>
      </w:r>
      <w:r>
        <w:rPr>
          <w:color w:val="auto"/>
          <w:highlight w:val="none"/>
        </w:rPr>
        <w:fldChar w:fldCharType="separate"/>
      </w:r>
      <w:r>
        <w:rPr>
          <w:rFonts w:hint="eastAsia" w:ascii="宋体" w:hAnsi="宋体" w:cs="宋体"/>
          <w:color w:val="auto"/>
          <w:sz w:val="24"/>
          <w:szCs w:val="21"/>
          <w:highlight w:val="none"/>
        </w:rPr>
        <w:t>http://zfcg.czt.zj.gov.cn/bidClientTemplate/2019-05-27/12945.html</w:t>
      </w:r>
      <w:r>
        <w:rPr>
          <w:rFonts w:hint="eastAsia" w:ascii="宋体" w:hAnsi="宋体" w:cs="宋体"/>
          <w:color w:val="auto"/>
          <w:sz w:val="24"/>
          <w:szCs w:val="21"/>
          <w:highlight w:val="none"/>
        </w:rPr>
        <w:fldChar w:fldCharType="end"/>
      </w:r>
    </w:p>
    <w:p>
      <w:pPr>
        <w:numPr>
          <w:ilvl w:val="0"/>
          <w:numId w:val="5"/>
        </w:num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投标文件制作：</w:t>
      </w:r>
    </w:p>
    <w:p>
      <w:pPr>
        <w:numPr>
          <w:ilvl w:val="0"/>
          <w:numId w:val="6"/>
        </w:num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应按照本项目招标文件和政采云平台的要求编制、加密并递交投标文件。供应商在使用系统进行投标的过程中遇到涉及平台使用的任何问题，可致电政采云平台技术支持热线咨询，联系方式：400-881-7190。</w:t>
      </w:r>
    </w:p>
    <w:p>
      <w:pPr>
        <w:numPr>
          <w:ilvl w:val="0"/>
          <w:numId w:val="6"/>
        </w:numPr>
        <w:wordWrap w:val="0"/>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投标人通过“政采云”平台电子投标工具制作投标文件。</w:t>
      </w:r>
    </w:p>
    <w:p>
      <w:pPr>
        <w:adjustRightIn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《电子投标工具》：</w:t>
      </w:r>
    </w:p>
    <w:p>
      <w:pPr>
        <w:adjustRightInd w:val="0"/>
        <w:spacing w:line="360" w:lineRule="auto"/>
        <w:ind w:firstLine="420" w:firstLineChars="200"/>
        <w:jc w:val="left"/>
        <w:rPr>
          <w:rFonts w:ascii="宋体" w:hAnsi="宋体" w:cs="宋体"/>
          <w:color w:val="auto"/>
          <w:sz w:val="24"/>
          <w:highlight w:val="none"/>
        </w:rPr>
      </w:pPr>
      <w:r>
        <w:rPr>
          <w:color w:val="auto"/>
          <w:highlight w:val="none"/>
        </w:rPr>
        <w:fldChar w:fldCharType="begin"/>
      </w:r>
      <w:r>
        <w:rPr>
          <w:color w:val="auto"/>
          <w:highlight w:val="none"/>
        </w:rPr>
        <w:instrText xml:space="preserve"> HYPERLINK "http://zfcg.czt.zj.gov.cn/bidClientTemplate/2019-09-24/12975.html" </w:instrText>
      </w:r>
      <w:r>
        <w:rPr>
          <w:color w:val="auto"/>
          <w:highlight w:val="none"/>
        </w:rPr>
        <w:fldChar w:fldCharType="separate"/>
      </w:r>
      <w:r>
        <w:rPr>
          <w:rFonts w:hint="eastAsia" w:ascii="宋体" w:hAnsi="宋体" w:cs="宋体"/>
          <w:color w:val="auto"/>
          <w:sz w:val="24"/>
          <w:highlight w:val="none"/>
        </w:rPr>
        <w:t>http://zfcg.czt.zj.gov.cn/bidClientTemplate/2019-09-24/12975.html</w:t>
      </w:r>
      <w:r>
        <w:rPr>
          <w:rFonts w:hint="eastAsia" w:ascii="宋体" w:hAnsi="宋体" w:cs="宋体"/>
          <w:color w:val="auto"/>
          <w:sz w:val="24"/>
          <w:highlight w:val="none"/>
        </w:rPr>
        <w:fldChar w:fldCharType="end"/>
      </w:r>
    </w:p>
    <w:p>
      <w:pPr>
        <w:adjustRightIn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《供应商-国企采购项目电子交易操作指南》：(需登录账号后查看)</w:t>
      </w:r>
    </w:p>
    <w:p>
      <w:pPr>
        <w:adjustRightInd w:val="0"/>
        <w:spacing w:line="360" w:lineRule="auto"/>
        <w:ind w:firstLine="420" w:firstLineChars="200"/>
        <w:jc w:val="left"/>
        <w:rPr>
          <w:rFonts w:ascii="宋体" w:hAnsi="宋体" w:cs="宋体"/>
          <w:color w:val="auto"/>
          <w:sz w:val="24"/>
          <w:highlight w:val="none"/>
        </w:rPr>
      </w:pPr>
      <w:r>
        <w:rPr>
          <w:color w:val="auto"/>
          <w:highlight w:val="none"/>
        </w:rPr>
        <w:fldChar w:fldCharType="begin"/>
      </w:r>
      <w:r>
        <w:rPr>
          <w:color w:val="auto"/>
          <w:highlight w:val="none"/>
        </w:rPr>
        <w:instrText xml:space="preserve"> HYPERLINK "https://service.zcygov.cn/" \l "/knowledges/tree?tag=AG1DtGwBFdiHxlNdhY0r" </w:instrText>
      </w:r>
      <w:r>
        <w:rPr>
          <w:color w:val="auto"/>
          <w:highlight w:val="none"/>
        </w:rPr>
        <w:fldChar w:fldCharType="separate"/>
      </w:r>
      <w:r>
        <w:rPr>
          <w:rFonts w:hint="eastAsia" w:ascii="宋体" w:hAnsi="宋体" w:cs="宋体"/>
          <w:color w:val="auto"/>
          <w:sz w:val="24"/>
          <w:highlight w:val="none"/>
        </w:rPr>
        <w:t>https://service.zcygov.cn/#/knowledges/tree?tag=AG1DtGwBFdiHxlNdhY0r</w:t>
      </w:r>
      <w:r>
        <w:rPr>
          <w:rFonts w:hint="eastAsia" w:ascii="宋体" w:hAnsi="宋体" w:cs="宋体"/>
          <w:color w:val="auto"/>
          <w:sz w:val="24"/>
          <w:highlight w:val="none"/>
        </w:rPr>
        <w:fldChar w:fldCharType="end"/>
      </w:r>
    </w:p>
    <w:p>
      <w:pPr>
        <w:adjustRightInd w:val="0"/>
        <w:spacing w:line="360" w:lineRule="auto"/>
        <w:ind w:left="420" w:leftChars="200"/>
        <w:rPr>
          <w:rFonts w:ascii="宋体" w:hAnsi="宋体" w:cs="宋体"/>
          <w:color w:val="auto"/>
          <w:sz w:val="24"/>
          <w:highlight w:val="none"/>
        </w:rPr>
      </w:pPr>
      <w:r>
        <w:rPr>
          <w:rFonts w:hint="eastAsia" w:ascii="宋体" w:hAnsi="宋体" w:cs="宋体"/>
          <w:color w:val="auto"/>
          <w:sz w:val="24"/>
          <w:highlight w:val="none"/>
        </w:rPr>
        <w:t>4.供应商在法定质疑期内应一次性提出针对同一采购程序环节的质疑。否则质疑将不予受理。</w:t>
      </w:r>
    </w:p>
    <w:p>
      <w:pPr>
        <w:adjustRightInd w:val="0"/>
        <w:spacing w:line="360" w:lineRule="auto"/>
        <w:ind w:left="420" w:leftChars="200"/>
        <w:rPr>
          <w:rFonts w:ascii="宋体" w:hAnsi="宋体" w:cs="宋体"/>
          <w:color w:val="auto"/>
          <w:sz w:val="24"/>
          <w:highlight w:val="none"/>
        </w:rPr>
      </w:pPr>
      <w:r>
        <w:rPr>
          <w:rFonts w:hint="eastAsia" w:ascii="宋体" w:hAnsi="宋体" w:cs="宋体"/>
          <w:color w:val="auto"/>
          <w:sz w:val="24"/>
          <w:highlight w:val="none"/>
        </w:rPr>
        <w:t>5.投标人可指派授权代表递交备份文件，授权代表递交备份文件需携带法定代表人授权书原件，于投标截止时间前到达开标地点递交。</w:t>
      </w:r>
    </w:p>
    <w:p>
      <w:pPr>
        <w:adjustRightInd w:val="0"/>
        <w:spacing w:line="360" w:lineRule="auto"/>
        <w:ind w:left="420" w:leftChars="200"/>
        <w:rPr>
          <w:rFonts w:ascii="宋体" w:hAnsi="宋体" w:cs="宋体"/>
          <w:color w:val="auto"/>
          <w:sz w:val="24"/>
          <w:highlight w:val="none"/>
        </w:rPr>
      </w:pPr>
      <w:r>
        <w:rPr>
          <w:rFonts w:hint="eastAsia" w:ascii="宋体" w:hAnsi="宋体" w:cs="宋体"/>
          <w:color w:val="auto"/>
          <w:sz w:val="24"/>
          <w:highlight w:val="none"/>
        </w:rPr>
        <w:t>6.特别提醒</w:t>
      </w:r>
    </w:p>
    <w:p>
      <w:pPr>
        <w:numPr>
          <w:ilvl w:val="0"/>
          <w:numId w:val="7"/>
        </w:numPr>
        <w:wordWrap w:val="0"/>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单位负责人为同一人或者存在直接控股、管理关系的不同供应商，不得参加同一合同项下的采购活动。</w:t>
      </w:r>
    </w:p>
    <w:p>
      <w:pPr>
        <w:numPr>
          <w:ilvl w:val="0"/>
          <w:numId w:val="7"/>
        </w:numPr>
        <w:wordWrap w:val="0"/>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除单一来源采购项目外，为采购项目提供整体设计、规范编制或者项目管理、监理、检测等服务的供应商，不得再参加该采购项目的其他采购活动。</w:t>
      </w:r>
    </w:p>
    <w:p>
      <w:pPr>
        <w:adjustRightInd w:val="0"/>
        <w:spacing w:line="360" w:lineRule="auto"/>
        <w:ind w:firstLine="482" w:firstLineChars="200"/>
        <w:jc w:val="left"/>
        <w:rPr>
          <w:rFonts w:ascii="宋体" w:hAnsi="宋体" w:cs="宋体"/>
          <w:color w:val="auto"/>
          <w:sz w:val="24"/>
          <w:highlight w:val="none"/>
        </w:rPr>
      </w:pPr>
      <w:r>
        <w:rPr>
          <w:rFonts w:hint="eastAsia" w:ascii="宋体" w:hAnsi="宋体" w:cs="宋体"/>
          <w:b/>
          <w:color w:val="auto"/>
          <w:sz w:val="24"/>
          <w:highlight w:val="none"/>
        </w:rPr>
        <w:t>七、投标截止时间及要求：</w:t>
      </w:r>
      <w:r>
        <w:rPr>
          <w:rFonts w:hint="eastAsia" w:ascii="宋体" w:hAnsi="宋体" w:cs="宋体"/>
          <w:color w:val="auto"/>
          <w:sz w:val="24"/>
          <w:highlight w:val="none"/>
          <w:u w:val="single"/>
        </w:rPr>
        <w:t xml:space="preserve"> 2023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日上午</w:t>
      </w:r>
      <w:r>
        <w:rPr>
          <w:rFonts w:hint="eastAsia" w:ascii="宋体" w:hAnsi="宋体" w:cs="宋体"/>
          <w:color w:val="auto"/>
          <w:sz w:val="24"/>
          <w:highlight w:val="none"/>
          <w:u w:val="single"/>
        </w:rPr>
        <w:t xml:space="preserve"> 09 </w:t>
      </w:r>
      <w:r>
        <w:rPr>
          <w:rFonts w:hint="eastAsia" w:ascii="宋体" w:hAnsi="宋体" w:cs="宋体"/>
          <w:color w:val="auto"/>
          <w:sz w:val="24"/>
          <w:highlight w:val="none"/>
        </w:rPr>
        <w:t>时</w:t>
      </w:r>
      <w:r>
        <w:rPr>
          <w:rFonts w:hint="eastAsia" w:ascii="宋体" w:hAnsi="宋体" w:cs="宋体"/>
          <w:color w:val="auto"/>
          <w:sz w:val="24"/>
          <w:highlight w:val="none"/>
          <w:u w:val="single"/>
        </w:rPr>
        <w:t xml:space="preserve"> 30 </w:t>
      </w:r>
      <w:r>
        <w:rPr>
          <w:rFonts w:hint="eastAsia" w:ascii="宋体" w:hAnsi="宋体" w:cs="宋体"/>
          <w:color w:val="auto"/>
          <w:sz w:val="24"/>
          <w:highlight w:val="none"/>
        </w:rPr>
        <w:t>分整</w:t>
      </w:r>
      <w:r>
        <w:rPr>
          <w:rFonts w:hint="eastAsia" w:ascii="宋体" w:hAnsi="宋体" w:cs="宋体"/>
          <w:bCs/>
          <w:color w:val="auto"/>
          <w:kern w:val="0"/>
          <w:sz w:val="24"/>
          <w:highlight w:val="none"/>
        </w:rPr>
        <w:t>之前将电子投标文件上传到“政采云”平台。</w:t>
      </w:r>
    </w:p>
    <w:p>
      <w:pPr>
        <w:adjustRightInd w:val="0"/>
        <w:spacing w:line="360" w:lineRule="auto"/>
        <w:ind w:firstLine="482" w:firstLineChars="200"/>
        <w:jc w:val="left"/>
        <w:rPr>
          <w:rFonts w:ascii="宋体" w:hAnsi="宋体" w:cs="宋体"/>
          <w:color w:val="auto"/>
          <w:sz w:val="24"/>
          <w:highlight w:val="none"/>
        </w:rPr>
      </w:pPr>
      <w:r>
        <w:rPr>
          <w:rFonts w:hint="eastAsia" w:ascii="宋体" w:hAnsi="宋体" w:cs="宋体"/>
          <w:b/>
          <w:color w:val="auto"/>
          <w:sz w:val="24"/>
          <w:highlight w:val="none"/>
        </w:rPr>
        <w:t>八、开标时间及地点：</w:t>
      </w:r>
      <w:r>
        <w:rPr>
          <w:rFonts w:hint="eastAsia" w:ascii="宋体" w:hAnsi="宋体" w:cs="宋体"/>
          <w:color w:val="auto"/>
          <w:sz w:val="24"/>
          <w:highlight w:val="none"/>
          <w:u w:val="single"/>
        </w:rPr>
        <w:t xml:space="preserve"> 2023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 上午</w:t>
      </w:r>
      <w:r>
        <w:rPr>
          <w:rFonts w:hint="eastAsia" w:ascii="宋体" w:hAnsi="宋体" w:cs="宋体"/>
          <w:color w:val="auto"/>
          <w:sz w:val="24"/>
          <w:highlight w:val="none"/>
          <w:u w:val="single"/>
        </w:rPr>
        <w:t>09</w:t>
      </w:r>
      <w:r>
        <w:rPr>
          <w:rFonts w:hint="eastAsia" w:ascii="宋体" w:hAnsi="宋体" w:cs="宋体"/>
          <w:color w:val="auto"/>
          <w:sz w:val="24"/>
          <w:highlight w:val="none"/>
        </w:rPr>
        <w:t>时</w:t>
      </w:r>
      <w:r>
        <w:rPr>
          <w:rFonts w:hint="eastAsia" w:ascii="宋体" w:hAnsi="宋体" w:cs="宋体"/>
          <w:color w:val="auto"/>
          <w:sz w:val="24"/>
          <w:highlight w:val="none"/>
          <w:u w:val="single"/>
        </w:rPr>
        <w:t xml:space="preserve"> 30</w:t>
      </w:r>
      <w:r>
        <w:rPr>
          <w:rFonts w:hint="eastAsia" w:ascii="宋体" w:hAnsi="宋体" w:cs="宋体"/>
          <w:color w:val="auto"/>
          <w:sz w:val="24"/>
          <w:highlight w:val="none"/>
        </w:rPr>
        <w:t>分</w:t>
      </w:r>
      <w:bookmarkStart w:id="14" w:name="B30_开标地点"/>
      <w:r>
        <w:rPr>
          <w:rFonts w:hint="eastAsia" w:ascii="宋体" w:hAnsi="宋体" w:cs="宋体"/>
          <w:color w:val="auto"/>
          <w:sz w:val="24"/>
          <w:highlight w:val="none"/>
        </w:rPr>
        <w:t>整在上虞区公共资源交易中心三楼开标室。</w:t>
      </w:r>
      <w:bookmarkEnd w:id="14"/>
    </w:p>
    <w:p>
      <w:p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开标时间后30分钟内（当日 10 : 00 前）供应商可以登录“政采云”平台，用“项目采购-开标评标”功能进行解密投标文件。若供应商在规定时间内（当日 10 : 00 前）解密失败，则由采购代理机构工作人员上传投标人提供的备份文件。备份文件</w:t>
      </w:r>
      <w:r>
        <w:rPr>
          <w:rFonts w:hint="eastAsia" w:hAnsi="宋体" w:cs="宋体"/>
          <w:color w:val="auto"/>
          <w:sz w:val="24"/>
          <w:highlight w:val="none"/>
        </w:rPr>
        <w:t>（后缀名为</w:t>
      </w:r>
      <w:r>
        <w:rPr>
          <w:rFonts w:hint="eastAsia" w:ascii="宋体" w:hAnsi="宋体" w:cs="宋体"/>
          <w:color w:val="auto"/>
          <w:sz w:val="24"/>
          <w:highlight w:val="none"/>
        </w:rPr>
        <w:t>.bfbs</w:t>
      </w:r>
      <w:r>
        <w:rPr>
          <w:rFonts w:hint="eastAsia" w:hAnsi="宋体" w:cs="宋体"/>
          <w:color w:val="auto"/>
          <w:sz w:val="24"/>
          <w:highlight w:val="none"/>
        </w:rPr>
        <w:t>）</w:t>
      </w:r>
      <w:r>
        <w:rPr>
          <w:rFonts w:hint="eastAsia" w:ascii="宋体" w:hAnsi="宋体" w:cs="宋体"/>
          <w:color w:val="auto"/>
          <w:sz w:val="24"/>
          <w:highlight w:val="none"/>
        </w:rPr>
        <w:t>须存储在U盘中，与上传的电子投标文件一致，用信封进行密封并盖章</w:t>
      </w:r>
      <w:r>
        <w:rPr>
          <w:rFonts w:hint="eastAsia" w:hAnsi="宋体" w:cs="宋体"/>
          <w:color w:val="auto"/>
          <w:sz w:val="24"/>
          <w:highlight w:val="none"/>
        </w:rPr>
        <w:t>，由授权代表在投标截止时间前递交至开标地点。</w:t>
      </w:r>
      <w:r>
        <w:rPr>
          <w:rFonts w:hint="eastAsia" w:ascii="宋体" w:hAnsi="宋体" w:cs="宋体"/>
          <w:color w:val="auto"/>
          <w:sz w:val="24"/>
          <w:highlight w:val="none"/>
        </w:rPr>
        <w:t>若电子投标文件正常解锁，则U盘退还给供应商；若解锁失败，则由采购代理机构将U盘中的备份文件上传，该U盘将由采购代理机构保存。</w:t>
      </w:r>
    </w:p>
    <w:p>
      <w:pPr>
        <w:adjustRightInd w:val="0"/>
        <w:spacing w:line="360" w:lineRule="auto"/>
        <w:ind w:firstLine="480" w:firstLineChars="200"/>
        <w:rPr>
          <w:rFonts w:ascii="宋体" w:hAnsi="宋体" w:cs="宋体"/>
          <w:bCs/>
          <w:color w:val="auto"/>
          <w:kern w:val="0"/>
          <w:sz w:val="24"/>
          <w:highlight w:val="none"/>
        </w:rPr>
      </w:pPr>
      <w:r>
        <w:rPr>
          <w:rFonts w:hint="eastAsia" w:ascii="宋体" w:hAnsi="宋体" w:cs="宋体"/>
          <w:color w:val="auto"/>
          <w:sz w:val="24"/>
          <w:highlight w:val="none"/>
        </w:rPr>
        <w:t>本次开标（不）提供现场视频。</w:t>
      </w:r>
    </w:p>
    <w:p>
      <w:p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九、投标保证金：I标人民币肆拾捌万元整（小写：480000元）、II标人民币肆拾柒万元整（小写：470000元）</w:t>
      </w:r>
    </w:p>
    <w:p>
      <w:p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十、公告期限：5个工作日</w:t>
      </w:r>
    </w:p>
    <w:p>
      <w:p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十</w:t>
      </w:r>
      <w:r>
        <w:rPr>
          <w:rFonts w:hint="eastAsia" w:ascii="宋体" w:hAnsi="宋体" w:cs="宋体"/>
          <w:color w:val="auto"/>
          <w:sz w:val="24"/>
          <w:highlight w:val="none"/>
          <w:lang w:val="en-US" w:eastAsia="zh-CN"/>
        </w:rPr>
        <w:t>一</w:t>
      </w:r>
      <w:r>
        <w:rPr>
          <w:rFonts w:hint="eastAsia" w:ascii="宋体" w:hAnsi="宋体" w:cs="宋体"/>
          <w:color w:val="auto"/>
          <w:sz w:val="24"/>
          <w:highlight w:val="none"/>
        </w:rPr>
        <w:t>、联系方式：</w:t>
      </w:r>
    </w:p>
    <w:p>
      <w:p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1、采购代理机构名称：浙江建诚工程管理咨询有限公司</w:t>
      </w:r>
    </w:p>
    <w:p>
      <w:p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联系人：郦栋斌</w:t>
      </w:r>
    </w:p>
    <w:p>
      <w:p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联系电话：15958545311</w:t>
      </w:r>
    </w:p>
    <w:p>
      <w:p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2、采购人名称：绍兴市上虞区虞发市政工程有限公司</w:t>
      </w:r>
    </w:p>
    <w:p>
      <w:p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联系人：沈华东</w:t>
      </w:r>
    </w:p>
    <w:p>
      <w:p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联系电话：</w:t>
      </w:r>
      <w:bookmarkStart w:id="453" w:name="_GoBack"/>
      <w:r>
        <w:rPr>
          <w:rFonts w:hint="eastAsia" w:ascii="宋体" w:hAnsi="宋体" w:cs="宋体"/>
          <w:color w:val="auto"/>
          <w:sz w:val="24"/>
          <w:highlight w:val="none"/>
        </w:rPr>
        <w:t>13758539666</w:t>
      </w:r>
      <w:bookmarkEnd w:id="453"/>
    </w:p>
    <w:p>
      <w:pPr>
        <w:pStyle w:val="29"/>
        <w:ind w:left="0" w:leftChars="0"/>
        <w:rPr>
          <w:color w:val="auto"/>
          <w:highlight w:val="none"/>
        </w:rPr>
      </w:pPr>
    </w:p>
    <w:bookmarkEnd w:id="11"/>
    <w:p>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br w:type="page"/>
      </w:r>
      <w:bookmarkStart w:id="15" w:name="_Toc18671"/>
      <w:r>
        <w:rPr>
          <w:rFonts w:hint="eastAsia" w:ascii="宋体" w:hAnsi="宋体" w:cs="宋体"/>
          <w:b/>
          <w:color w:val="auto"/>
          <w:sz w:val="36"/>
          <w:szCs w:val="20"/>
          <w:highlight w:val="none"/>
        </w:rPr>
        <w:t>第二部分</w:t>
      </w:r>
      <w:bookmarkEnd w:id="7"/>
      <w:bookmarkEnd w:id="8"/>
      <w:r>
        <w:rPr>
          <w:rFonts w:hint="eastAsia" w:ascii="宋体" w:hAnsi="宋体" w:cs="宋体"/>
          <w:b/>
          <w:color w:val="auto"/>
          <w:sz w:val="36"/>
          <w:szCs w:val="20"/>
          <w:highlight w:val="none"/>
        </w:rPr>
        <w:t>投标须知</w:t>
      </w:r>
      <w:bookmarkEnd w:id="15"/>
    </w:p>
    <w:p>
      <w:pPr>
        <w:widowControl/>
        <w:adjustRightInd w:val="0"/>
        <w:snapToGrid w:val="0"/>
        <w:spacing w:line="360" w:lineRule="auto"/>
        <w:jc w:val="center"/>
        <w:rPr>
          <w:rFonts w:ascii="宋体" w:hAnsi="宋体" w:cs="宋体"/>
          <w:b/>
          <w:snapToGrid w:val="0"/>
          <w:color w:val="auto"/>
          <w:kern w:val="0"/>
          <w:sz w:val="32"/>
          <w:szCs w:val="32"/>
          <w:highlight w:val="none"/>
        </w:rPr>
      </w:pPr>
      <w:r>
        <w:rPr>
          <w:rFonts w:hint="eastAsia" w:ascii="宋体" w:hAnsi="宋体" w:cs="宋体"/>
          <w:b/>
          <w:snapToGrid w:val="0"/>
          <w:color w:val="auto"/>
          <w:kern w:val="0"/>
          <w:sz w:val="30"/>
          <w:szCs w:val="30"/>
          <w:highlight w:val="none"/>
        </w:rPr>
        <w:t>前附表</w:t>
      </w:r>
    </w:p>
    <w:tbl>
      <w:tblPr>
        <w:tblStyle w:val="30"/>
        <w:tblW w:w="913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1655"/>
        <w:gridCol w:w="682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tblHeader/>
          <w:jc w:val="center"/>
        </w:trPr>
        <w:tc>
          <w:tcPr>
            <w:tcW w:w="648" w:type="dxa"/>
            <w:noWrap/>
            <w:vAlign w:val="center"/>
          </w:tcPr>
          <w:p>
            <w:pPr>
              <w:snapToGrid w:val="0"/>
              <w:spacing w:line="360" w:lineRule="exact"/>
              <w:jc w:val="center"/>
              <w:rPr>
                <w:rFonts w:ascii="宋体" w:hAnsi="宋体" w:cs="宋体"/>
                <w:b/>
                <w:bCs/>
                <w:snapToGrid w:val="0"/>
                <w:color w:val="auto"/>
                <w:kern w:val="0"/>
                <w:szCs w:val="21"/>
                <w:highlight w:val="none"/>
              </w:rPr>
            </w:pPr>
            <w:r>
              <w:rPr>
                <w:rFonts w:hint="eastAsia" w:ascii="宋体" w:hAnsi="宋体" w:cs="宋体"/>
                <w:b/>
                <w:bCs/>
                <w:snapToGrid w:val="0"/>
                <w:color w:val="auto"/>
                <w:kern w:val="0"/>
                <w:szCs w:val="21"/>
                <w:highlight w:val="none"/>
              </w:rPr>
              <w:t>序号</w:t>
            </w:r>
          </w:p>
        </w:tc>
        <w:tc>
          <w:tcPr>
            <w:tcW w:w="1655" w:type="dxa"/>
            <w:noWrap/>
            <w:vAlign w:val="center"/>
          </w:tcPr>
          <w:p>
            <w:pPr>
              <w:snapToGrid w:val="0"/>
              <w:spacing w:line="360" w:lineRule="exact"/>
              <w:jc w:val="center"/>
              <w:rPr>
                <w:rFonts w:ascii="宋体" w:hAnsi="宋体" w:cs="宋体"/>
                <w:b/>
                <w:bCs/>
                <w:snapToGrid w:val="0"/>
                <w:color w:val="auto"/>
                <w:kern w:val="0"/>
                <w:szCs w:val="21"/>
                <w:highlight w:val="none"/>
              </w:rPr>
            </w:pPr>
            <w:r>
              <w:rPr>
                <w:rFonts w:hint="eastAsia" w:ascii="宋体" w:hAnsi="宋体" w:cs="宋体"/>
                <w:b/>
                <w:bCs/>
                <w:snapToGrid w:val="0"/>
                <w:color w:val="auto"/>
                <w:kern w:val="0"/>
                <w:szCs w:val="21"/>
                <w:highlight w:val="none"/>
              </w:rPr>
              <w:t>项目</w:t>
            </w:r>
          </w:p>
        </w:tc>
        <w:tc>
          <w:tcPr>
            <w:tcW w:w="6827" w:type="dxa"/>
            <w:noWrap/>
            <w:vAlign w:val="center"/>
          </w:tcPr>
          <w:p>
            <w:pPr>
              <w:snapToGrid w:val="0"/>
              <w:spacing w:line="360" w:lineRule="exact"/>
              <w:jc w:val="center"/>
              <w:rPr>
                <w:rFonts w:ascii="宋体" w:hAnsi="宋体" w:cs="宋体"/>
                <w:b/>
                <w:bCs/>
                <w:snapToGrid w:val="0"/>
                <w:color w:val="auto"/>
                <w:kern w:val="0"/>
                <w:szCs w:val="21"/>
                <w:highlight w:val="none"/>
              </w:rPr>
            </w:pPr>
            <w:r>
              <w:rPr>
                <w:rFonts w:hint="eastAsia" w:ascii="宋体" w:hAnsi="宋体" w:cs="宋体"/>
                <w:b/>
                <w:bCs/>
                <w:snapToGrid w:val="0"/>
                <w:color w:val="auto"/>
                <w:kern w:val="0"/>
                <w:szCs w:val="21"/>
                <w:highlight w:val="none"/>
              </w:rPr>
              <w:t>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ign w:val="center"/>
          </w:tcPr>
          <w:p>
            <w:pPr>
              <w:snapToGrid w:val="0"/>
              <w:spacing w:line="360" w:lineRule="exact"/>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w:t>
            </w:r>
          </w:p>
        </w:tc>
        <w:tc>
          <w:tcPr>
            <w:tcW w:w="1655" w:type="dxa"/>
            <w:noWrap/>
            <w:vAlign w:val="center"/>
          </w:tcPr>
          <w:p>
            <w:pPr>
              <w:snapToGrid w:val="0"/>
              <w:spacing w:line="360" w:lineRule="exact"/>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项目名称</w:t>
            </w:r>
          </w:p>
        </w:tc>
        <w:tc>
          <w:tcPr>
            <w:tcW w:w="6827" w:type="dxa"/>
            <w:noWrap/>
            <w:vAlign w:val="center"/>
          </w:tcPr>
          <w:p>
            <w:pPr>
              <w:snapToGrid w:val="0"/>
              <w:spacing w:line="360" w:lineRule="exact"/>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2023-2024年度杭州湾上虞经济技术开发区道路、绿化带保洁服务项目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ign w:val="center"/>
          </w:tcPr>
          <w:p>
            <w:pPr>
              <w:snapToGrid w:val="0"/>
              <w:spacing w:line="360" w:lineRule="exact"/>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w:t>
            </w:r>
          </w:p>
        </w:tc>
        <w:tc>
          <w:tcPr>
            <w:tcW w:w="1655" w:type="dxa"/>
            <w:noWrap/>
            <w:vAlign w:val="center"/>
          </w:tcPr>
          <w:p>
            <w:pPr>
              <w:snapToGrid w:val="0"/>
              <w:spacing w:line="360" w:lineRule="exact"/>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项目实施时间</w:t>
            </w:r>
          </w:p>
        </w:tc>
        <w:tc>
          <w:tcPr>
            <w:tcW w:w="6827" w:type="dxa"/>
            <w:noWrap/>
            <w:vAlign w:val="center"/>
          </w:tcPr>
          <w:p>
            <w:pPr>
              <w:ind w:firstLine="420" w:firstLineChars="200"/>
              <w:rPr>
                <w:rFonts w:ascii="宋体" w:hAnsi="宋体" w:cs="宋体"/>
                <w:color w:val="auto"/>
                <w:szCs w:val="21"/>
                <w:highlight w:val="none"/>
              </w:rPr>
            </w:pPr>
            <w:r>
              <w:rPr>
                <w:rFonts w:hint="eastAsia" w:ascii="宋体" w:hAnsi="宋体" w:cs="宋体"/>
                <w:color w:val="auto"/>
                <w:szCs w:val="21"/>
                <w:highlight w:val="none"/>
              </w:rPr>
              <w:t>本项目服务期限为 2年（24个月），时间以甲方开具开工报告为准。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9" w:hRule="atLeast"/>
          <w:jc w:val="center"/>
        </w:trPr>
        <w:tc>
          <w:tcPr>
            <w:tcW w:w="648" w:type="dxa"/>
            <w:noWrap/>
            <w:vAlign w:val="center"/>
          </w:tcPr>
          <w:p>
            <w:pPr>
              <w:snapToGrid w:val="0"/>
              <w:spacing w:line="360" w:lineRule="exact"/>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w:t>
            </w:r>
          </w:p>
        </w:tc>
        <w:tc>
          <w:tcPr>
            <w:tcW w:w="1655" w:type="dxa"/>
            <w:noWrap/>
            <w:vAlign w:val="center"/>
          </w:tcPr>
          <w:p>
            <w:pPr>
              <w:snapToGrid w:val="0"/>
              <w:spacing w:line="360" w:lineRule="exact"/>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最高限价</w:t>
            </w:r>
          </w:p>
        </w:tc>
        <w:tc>
          <w:tcPr>
            <w:tcW w:w="6827" w:type="dxa"/>
            <w:noWrap/>
            <w:vAlign w:val="center"/>
          </w:tcPr>
          <w:p>
            <w:pPr>
              <w:snapToGrid w:val="0"/>
              <w:spacing w:line="360" w:lineRule="exact"/>
              <w:ind w:firstLine="420" w:firstLineChars="200"/>
              <w:rPr>
                <w:rFonts w:ascii="宋体" w:hAnsi="宋体" w:cs="宋体"/>
                <w:snapToGrid w:val="0"/>
                <w:color w:val="auto"/>
                <w:kern w:val="0"/>
                <w:szCs w:val="21"/>
                <w:highlight w:val="none"/>
              </w:rPr>
            </w:pPr>
            <w:r>
              <w:rPr>
                <w:rFonts w:hint="eastAsia" w:ascii="宋体" w:hAnsi="宋体" w:cs="宋体"/>
                <w:color w:val="auto"/>
                <w:szCs w:val="21"/>
                <w:highlight w:val="none"/>
              </w:rPr>
              <w:t>本项目最高限价（I标：人民币24062231元、II标：人民币23589904币元）。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ign w:val="center"/>
          </w:tcPr>
          <w:p>
            <w:pPr>
              <w:snapToGrid w:val="0"/>
              <w:spacing w:line="360" w:lineRule="exact"/>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xml:space="preserve">                                                                                                   4</w:t>
            </w:r>
          </w:p>
        </w:tc>
        <w:tc>
          <w:tcPr>
            <w:tcW w:w="1655" w:type="dxa"/>
            <w:noWrap/>
            <w:vAlign w:val="center"/>
          </w:tcPr>
          <w:p>
            <w:pPr>
              <w:snapToGrid w:val="0"/>
              <w:spacing w:line="360" w:lineRule="exact"/>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资格审查方式</w:t>
            </w:r>
          </w:p>
        </w:tc>
        <w:tc>
          <w:tcPr>
            <w:tcW w:w="6827" w:type="dxa"/>
            <w:noWrap/>
            <w:vAlign w:val="center"/>
          </w:tcPr>
          <w:p>
            <w:pPr>
              <w:snapToGrid w:val="0"/>
              <w:spacing w:line="360" w:lineRule="exact"/>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资格审查是指开标后，采购人或采购代理机构将依据法律法规和招标文件的规定对投标人的资格进行审查。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ign w:val="center"/>
          </w:tcPr>
          <w:p>
            <w:pPr>
              <w:snapToGrid w:val="0"/>
              <w:spacing w:line="360" w:lineRule="exact"/>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5</w:t>
            </w:r>
          </w:p>
        </w:tc>
        <w:tc>
          <w:tcPr>
            <w:tcW w:w="1655" w:type="dxa"/>
            <w:noWrap/>
            <w:vAlign w:val="center"/>
          </w:tcPr>
          <w:p>
            <w:pPr>
              <w:snapToGrid w:val="0"/>
              <w:spacing w:line="360" w:lineRule="exact"/>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踏勘现场</w:t>
            </w:r>
          </w:p>
        </w:tc>
        <w:tc>
          <w:tcPr>
            <w:tcW w:w="6827" w:type="dxa"/>
            <w:noWrap/>
            <w:vAlign w:val="center"/>
          </w:tcPr>
          <w:p>
            <w:pPr>
              <w:snapToGrid w:val="0"/>
              <w:spacing w:line="360" w:lineRule="exact"/>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本项目不组织现场踏勘</w:t>
            </w:r>
            <w:r>
              <w:rPr>
                <w:rFonts w:ascii="宋体" w:hAnsi="宋体" w:cs="宋体"/>
                <w:snapToGrid w:val="0"/>
                <w:color w:val="auto"/>
                <w:kern w:val="0"/>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ign w:val="center"/>
          </w:tcPr>
          <w:p>
            <w:pPr>
              <w:snapToGrid w:val="0"/>
              <w:spacing w:line="360" w:lineRule="exact"/>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6</w:t>
            </w:r>
          </w:p>
        </w:tc>
        <w:tc>
          <w:tcPr>
            <w:tcW w:w="1655" w:type="dxa"/>
            <w:noWrap/>
            <w:vAlign w:val="center"/>
          </w:tcPr>
          <w:p>
            <w:pPr>
              <w:snapToGrid w:val="0"/>
              <w:spacing w:line="360" w:lineRule="exact"/>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询问</w:t>
            </w:r>
          </w:p>
        </w:tc>
        <w:tc>
          <w:tcPr>
            <w:tcW w:w="6827" w:type="dxa"/>
            <w:noWrap/>
            <w:vAlign w:val="center"/>
          </w:tcPr>
          <w:p>
            <w:pPr>
              <w:snapToGrid w:val="0"/>
              <w:spacing w:line="360" w:lineRule="exact"/>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供应商对国企采购活动事项有疑问的，可以向采购机构提出询问，采购人或者招标代理机构应当在3个工作日内对供应商依法提出的询问作出答复，但答复的内容不得涉及商业秘密。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ign w:val="center"/>
          </w:tcPr>
          <w:p>
            <w:pPr>
              <w:snapToGrid w:val="0"/>
              <w:spacing w:line="360" w:lineRule="exact"/>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7</w:t>
            </w:r>
          </w:p>
        </w:tc>
        <w:tc>
          <w:tcPr>
            <w:tcW w:w="1655" w:type="dxa"/>
            <w:noWrap/>
            <w:vAlign w:val="center"/>
          </w:tcPr>
          <w:p>
            <w:pPr>
              <w:snapToGrid w:val="0"/>
              <w:spacing w:line="360" w:lineRule="exact"/>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招标文件的澄清与修改</w:t>
            </w:r>
          </w:p>
        </w:tc>
        <w:tc>
          <w:tcPr>
            <w:tcW w:w="6827" w:type="dxa"/>
            <w:noWrap/>
            <w:vAlign w:val="center"/>
          </w:tcPr>
          <w:p>
            <w:pPr>
              <w:snapToGrid w:val="0"/>
              <w:spacing w:line="360" w:lineRule="exact"/>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招标采购单位可以对已发出的招标文件进行必要澄清或者修改，澄清或者修改的内容可能影响投标文件编制的，应当在招标文件要求提交投标文件截止时间十五日前，在招标公告发布的媒体上发布更正公告，该澄清或者修改的内容为招标文件的组成部分。本项目招标文件和补充（答疑、澄清）、修改文件等请自行登录浙江政府采购网或绍兴市上虞区公共资源交易中心网站查看。</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ign w:val="center"/>
          </w:tcPr>
          <w:p>
            <w:pPr>
              <w:snapToGrid w:val="0"/>
              <w:spacing w:line="360" w:lineRule="exact"/>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8</w:t>
            </w:r>
          </w:p>
        </w:tc>
        <w:tc>
          <w:tcPr>
            <w:tcW w:w="1655" w:type="dxa"/>
            <w:noWrap/>
            <w:vAlign w:val="center"/>
          </w:tcPr>
          <w:p>
            <w:pPr>
              <w:snapToGrid w:val="0"/>
              <w:spacing w:line="360" w:lineRule="exact"/>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投标文件组成</w:t>
            </w:r>
          </w:p>
        </w:tc>
        <w:tc>
          <w:tcPr>
            <w:tcW w:w="6827" w:type="dxa"/>
            <w:noWrap/>
            <w:vAlign w:val="center"/>
          </w:tcPr>
          <w:p>
            <w:pPr>
              <w:snapToGrid w:val="0"/>
              <w:spacing w:line="360" w:lineRule="exact"/>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投标人向采购人递交的投标文件由资格文件、商务技术文件、报价文件三部分组成。</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ign w:val="center"/>
          </w:tcPr>
          <w:p>
            <w:pPr>
              <w:snapToGrid w:val="0"/>
              <w:spacing w:line="360" w:lineRule="exact"/>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9</w:t>
            </w:r>
          </w:p>
        </w:tc>
        <w:tc>
          <w:tcPr>
            <w:tcW w:w="1655" w:type="dxa"/>
            <w:noWrap/>
            <w:vAlign w:val="center"/>
          </w:tcPr>
          <w:p>
            <w:pPr>
              <w:snapToGrid w:val="0"/>
              <w:spacing w:line="360" w:lineRule="exact"/>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评标办法</w:t>
            </w:r>
          </w:p>
        </w:tc>
        <w:tc>
          <w:tcPr>
            <w:tcW w:w="6827" w:type="dxa"/>
            <w:noWrap/>
            <w:vAlign w:val="center"/>
          </w:tcPr>
          <w:p>
            <w:pPr>
              <w:snapToGrid w:val="0"/>
              <w:spacing w:line="360" w:lineRule="exact"/>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ign w:val="center"/>
          </w:tcPr>
          <w:p>
            <w:pPr>
              <w:snapToGrid w:val="0"/>
              <w:spacing w:line="360" w:lineRule="exact"/>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10</w:t>
            </w:r>
          </w:p>
        </w:tc>
        <w:tc>
          <w:tcPr>
            <w:tcW w:w="1655" w:type="dxa"/>
            <w:noWrap/>
            <w:vAlign w:val="center"/>
          </w:tcPr>
          <w:p>
            <w:pPr>
              <w:snapToGrid w:val="0"/>
              <w:spacing w:line="360" w:lineRule="exact"/>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投标文件递交地址及截止时间</w:t>
            </w:r>
          </w:p>
        </w:tc>
        <w:tc>
          <w:tcPr>
            <w:tcW w:w="6827" w:type="dxa"/>
            <w:noWrap/>
            <w:vAlign w:val="center"/>
          </w:tcPr>
          <w:p>
            <w:pPr>
              <w:snapToGrid w:val="0"/>
              <w:spacing w:line="360" w:lineRule="exact"/>
              <w:ind w:firstLine="420" w:firstLineChars="200"/>
              <w:rPr>
                <w:rFonts w:ascii="宋体" w:hAnsi="宋体" w:cs="宋体"/>
                <w:color w:val="auto"/>
                <w:kern w:val="0"/>
                <w:szCs w:val="21"/>
                <w:highlight w:val="none"/>
              </w:rPr>
            </w:pPr>
            <w:r>
              <w:rPr>
                <w:rFonts w:hint="eastAsia" w:ascii="宋体" w:hAnsi="宋体" w:cs="宋体"/>
                <w:snapToGrid w:val="0"/>
                <w:color w:val="auto"/>
                <w:kern w:val="0"/>
                <w:szCs w:val="21"/>
                <w:highlight w:val="none"/>
              </w:rPr>
              <w:t>详见招标公告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ign w:val="center"/>
          </w:tcPr>
          <w:p>
            <w:pPr>
              <w:snapToGrid w:val="0"/>
              <w:spacing w:line="360" w:lineRule="exact"/>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11</w:t>
            </w:r>
          </w:p>
        </w:tc>
        <w:tc>
          <w:tcPr>
            <w:tcW w:w="1655" w:type="dxa"/>
            <w:noWrap/>
            <w:vAlign w:val="center"/>
          </w:tcPr>
          <w:p>
            <w:pPr>
              <w:snapToGrid w:val="0"/>
              <w:spacing w:line="360" w:lineRule="exact"/>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开标时间、地点</w:t>
            </w:r>
          </w:p>
        </w:tc>
        <w:tc>
          <w:tcPr>
            <w:tcW w:w="6827" w:type="dxa"/>
            <w:noWrap/>
            <w:vAlign w:val="center"/>
          </w:tcPr>
          <w:p>
            <w:pPr>
              <w:snapToGrid w:val="0"/>
              <w:spacing w:line="360" w:lineRule="exact"/>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开标时间：</w:t>
            </w:r>
            <w:r>
              <w:rPr>
                <w:rFonts w:hint="eastAsia" w:ascii="宋体" w:hAnsi="宋体" w:cs="宋体"/>
                <w:color w:val="auto"/>
                <w:kern w:val="0"/>
                <w:szCs w:val="21"/>
                <w:highlight w:val="none"/>
              </w:rPr>
              <w:t>详见招标公告</w:t>
            </w:r>
          </w:p>
          <w:p>
            <w:pPr>
              <w:snapToGrid w:val="0"/>
              <w:spacing w:line="360" w:lineRule="exact"/>
              <w:ind w:firstLine="420" w:firstLineChars="200"/>
              <w:rPr>
                <w:rFonts w:ascii="宋体" w:hAnsi="宋体" w:cs="宋体"/>
                <w:color w:val="auto"/>
                <w:kern w:val="0"/>
                <w:szCs w:val="21"/>
                <w:highlight w:val="none"/>
              </w:rPr>
            </w:pPr>
            <w:r>
              <w:rPr>
                <w:rFonts w:hint="eastAsia" w:ascii="宋体" w:hAnsi="宋体" w:cs="宋体"/>
                <w:snapToGrid w:val="0"/>
                <w:color w:val="auto"/>
                <w:kern w:val="0"/>
                <w:szCs w:val="21"/>
                <w:highlight w:val="none"/>
              </w:rPr>
              <w:t>开标地点：</w:t>
            </w:r>
            <w:r>
              <w:rPr>
                <w:rFonts w:hint="eastAsia" w:ascii="宋体" w:hAnsi="宋体" w:cs="宋体"/>
                <w:color w:val="auto"/>
                <w:kern w:val="0"/>
                <w:szCs w:val="21"/>
                <w:highlight w:val="none"/>
              </w:rPr>
              <w:t>详见招标公告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ign w:val="center"/>
          </w:tcPr>
          <w:p>
            <w:pPr>
              <w:snapToGrid w:val="0"/>
              <w:spacing w:line="360" w:lineRule="exact"/>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12</w:t>
            </w:r>
          </w:p>
        </w:tc>
        <w:tc>
          <w:tcPr>
            <w:tcW w:w="1655" w:type="dxa"/>
            <w:noWrap/>
            <w:vAlign w:val="center"/>
          </w:tcPr>
          <w:p>
            <w:pPr>
              <w:snapToGrid w:val="0"/>
              <w:spacing w:line="360" w:lineRule="exact"/>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投标有效期</w:t>
            </w:r>
          </w:p>
        </w:tc>
        <w:tc>
          <w:tcPr>
            <w:tcW w:w="6827" w:type="dxa"/>
            <w:noWrap/>
            <w:vAlign w:val="center"/>
          </w:tcPr>
          <w:p>
            <w:pPr>
              <w:snapToGrid w:val="0"/>
              <w:spacing w:line="360" w:lineRule="exact"/>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投标有效期为从提交投标文件的截止之日起90天。投标人的投标文件中承诺的投标有效期少于招标文件中载明的投标有效期的，投标无效。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ign w:val="center"/>
          </w:tcPr>
          <w:p>
            <w:pPr>
              <w:snapToGrid w:val="0"/>
              <w:spacing w:line="360" w:lineRule="exact"/>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13</w:t>
            </w:r>
          </w:p>
        </w:tc>
        <w:tc>
          <w:tcPr>
            <w:tcW w:w="1655" w:type="dxa"/>
            <w:noWrap/>
            <w:vAlign w:val="center"/>
          </w:tcPr>
          <w:p>
            <w:pPr>
              <w:snapToGrid w:val="0"/>
              <w:spacing w:line="360" w:lineRule="exact"/>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投标保证金</w:t>
            </w:r>
          </w:p>
        </w:tc>
        <w:tc>
          <w:tcPr>
            <w:tcW w:w="6827" w:type="dxa"/>
            <w:noWrap/>
            <w:vAlign w:val="center"/>
          </w:tcPr>
          <w:p>
            <w:pPr>
              <w:autoSpaceDE w:val="0"/>
              <w:autoSpaceDN w:val="0"/>
              <w:snapToGrid w:val="0"/>
              <w:spacing w:line="300" w:lineRule="exact"/>
              <w:textAlignment w:val="bottom"/>
              <w:rPr>
                <w:b/>
                <w:bCs/>
                <w:color w:val="auto"/>
                <w:highlight w:val="none"/>
              </w:rPr>
            </w:pPr>
            <w:r>
              <w:rPr>
                <w:rFonts w:hint="eastAsia"/>
                <w:b/>
                <w:bCs/>
                <w:color w:val="auto"/>
                <w:highlight w:val="none"/>
              </w:rPr>
              <w:t>投标保证金：</w:t>
            </w:r>
            <w:r>
              <w:rPr>
                <w:rFonts w:hint="eastAsia"/>
                <w:color w:val="auto"/>
                <w:highlight w:val="none"/>
              </w:rPr>
              <w:t>I标人民币肆拾捌万元整（小写：480000元）、II标人民币肆拾柒万元整（小写：470000元）</w:t>
            </w:r>
          </w:p>
          <w:p>
            <w:pPr>
              <w:autoSpaceDE w:val="0"/>
              <w:autoSpaceDN w:val="0"/>
              <w:snapToGrid w:val="0"/>
              <w:spacing w:line="300" w:lineRule="exact"/>
              <w:textAlignment w:val="bottom"/>
              <w:rPr>
                <w:b/>
                <w:bCs/>
                <w:color w:val="auto"/>
                <w:highlight w:val="none"/>
              </w:rPr>
            </w:pPr>
            <w:r>
              <w:rPr>
                <w:b/>
                <w:bCs/>
                <w:color w:val="auto"/>
                <w:highlight w:val="none"/>
              </w:rPr>
              <w:t>(退还不计息)</w:t>
            </w:r>
          </w:p>
          <w:p>
            <w:pPr>
              <w:autoSpaceDE w:val="0"/>
              <w:autoSpaceDN w:val="0"/>
              <w:snapToGrid w:val="0"/>
              <w:spacing w:line="300" w:lineRule="exact"/>
              <w:textAlignment w:val="bottom"/>
              <w:rPr>
                <w:b/>
                <w:bCs/>
                <w:color w:val="auto"/>
                <w:highlight w:val="none"/>
              </w:rPr>
            </w:pPr>
            <w:r>
              <w:rPr>
                <w:b/>
                <w:bCs/>
                <w:color w:val="auto"/>
                <w:highlight w:val="none"/>
              </w:rPr>
              <w:t>账户名称：绍兴市上虞区公共资源交易中心投标保证金专户</w:t>
            </w:r>
          </w:p>
          <w:p>
            <w:pPr>
              <w:autoSpaceDE w:val="0"/>
              <w:autoSpaceDN w:val="0"/>
              <w:snapToGrid w:val="0"/>
              <w:spacing w:line="300" w:lineRule="exact"/>
              <w:textAlignment w:val="bottom"/>
              <w:rPr>
                <w:b/>
                <w:bCs/>
                <w:color w:val="auto"/>
                <w:highlight w:val="none"/>
              </w:rPr>
            </w:pPr>
            <w:r>
              <w:rPr>
                <w:b/>
                <w:bCs/>
                <w:color w:val="auto"/>
                <w:highlight w:val="none"/>
              </w:rPr>
              <w:t>开户银行：浙江上虞农村商业银行股份有限公司百官支行</w:t>
            </w:r>
          </w:p>
          <w:p>
            <w:pPr>
              <w:autoSpaceDE w:val="0"/>
              <w:autoSpaceDN w:val="0"/>
              <w:snapToGrid w:val="0"/>
              <w:spacing w:line="300" w:lineRule="exact"/>
              <w:textAlignment w:val="bottom"/>
              <w:rPr>
                <w:b/>
                <w:bCs/>
                <w:color w:val="auto"/>
                <w:highlight w:val="none"/>
              </w:rPr>
            </w:pPr>
            <w:r>
              <w:rPr>
                <w:b/>
                <w:bCs/>
                <w:color w:val="auto"/>
                <w:highlight w:val="none"/>
              </w:rPr>
              <w:t>帐    号：201000167905864</w:t>
            </w:r>
          </w:p>
          <w:p>
            <w:pPr>
              <w:autoSpaceDE w:val="0"/>
              <w:autoSpaceDN w:val="0"/>
              <w:snapToGrid w:val="0"/>
              <w:spacing w:line="300" w:lineRule="exact"/>
              <w:textAlignment w:val="bottom"/>
              <w:rPr>
                <w:rFonts w:ascii="宋体" w:hAnsi="宋体"/>
                <w:b/>
                <w:color w:val="auto"/>
                <w:szCs w:val="21"/>
                <w:highlight w:val="none"/>
              </w:rPr>
            </w:pPr>
            <w:r>
              <w:rPr>
                <w:b/>
                <w:color w:val="auto"/>
                <w:szCs w:val="21"/>
                <w:highlight w:val="none"/>
              </w:rPr>
              <w:t>投标保证金的缴存方式：网上银行或柜面</w:t>
            </w:r>
            <w:r>
              <w:rPr>
                <w:rFonts w:hint="eastAsia" w:ascii="宋体" w:hAnsi="宋体"/>
                <w:b/>
                <w:color w:val="auto"/>
                <w:szCs w:val="21"/>
                <w:highlight w:val="none"/>
              </w:rPr>
              <w:t>电汇或柜面行内转账（浙江农信）</w:t>
            </w:r>
          </w:p>
          <w:p>
            <w:pPr>
              <w:autoSpaceDE w:val="0"/>
              <w:autoSpaceDN w:val="0"/>
              <w:snapToGrid w:val="0"/>
              <w:spacing w:line="300" w:lineRule="exact"/>
              <w:textAlignment w:val="bottom"/>
              <w:rPr>
                <w:color w:val="auto"/>
                <w:highlight w:val="none"/>
              </w:rPr>
            </w:pPr>
            <w:r>
              <w:rPr>
                <w:rFonts w:hint="eastAsia" w:ascii="宋体" w:hAnsi="宋体"/>
                <w:b/>
                <w:color w:val="auto"/>
                <w:szCs w:val="21"/>
                <w:highlight w:val="none"/>
              </w:rPr>
              <w:t>投标保证金的缴存时间：投标保证金应在投标文件截止时间之前到账，按不少于规定的金额交纳投标保证金，投标保证金以到账时间为准。若产生到账时间晚于保证金缴存截止时间或缴纳不足额，一律视为不响应招标文件，投标文件按无效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ign w:val="center"/>
          </w:tcPr>
          <w:p>
            <w:pPr>
              <w:snapToGrid w:val="0"/>
              <w:spacing w:line="360" w:lineRule="exact"/>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14</w:t>
            </w:r>
          </w:p>
        </w:tc>
        <w:tc>
          <w:tcPr>
            <w:tcW w:w="1655" w:type="dxa"/>
            <w:noWrap/>
            <w:vAlign w:val="center"/>
          </w:tcPr>
          <w:p>
            <w:pPr>
              <w:snapToGrid w:val="0"/>
              <w:spacing w:line="360" w:lineRule="exact"/>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履约保证金</w:t>
            </w:r>
          </w:p>
        </w:tc>
        <w:tc>
          <w:tcPr>
            <w:tcW w:w="6827" w:type="dxa"/>
            <w:noWrap/>
            <w:vAlign w:val="center"/>
          </w:tcPr>
          <w:p>
            <w:pPr>
              <w:pStyle w:val="15"/>
              <w:snapToGrid w:val="0"/>
              <w:ind w:firstLine="420" w:firstLineChars="200"/>
              <w:rPr>
                <w:rFonts w:hAnsi="宋体" w:cs="宋体"/>
                <w:color w:val="auto"/>
                <w:kern w:val="0"/>
                <w:highlight w:val="none"/>
              </w:rPr>
            </w:pPr>
            <w:r>
              <w:rPr>
                <w:rFonts w:hint="eastAsia" w:hAnsi="宋体" w:cs="宋体"/>
                <w:color w:val="auto"/>
                <w:kern w:val="0"/>
                <w:highlight w:val="none"/>
              </w:rPr>
              <w:t>中标人在收到中标通知书后，需向采购人提供合同价</w:t>
            </w:r>
            <w:r>
              <w:rPr>
                <w:rFonts w:hint="eastAsia" w:hAnsi="宋体" w:cs="宋体"/>
                <w:color w:val="auto"/>
                <w:kern w:val="0"/>
                <w:highlight w:val="none"/>
                <w:u w:val="single"/>
              </w:rPr>
              <w:t>　1　</w:t>
            </w:r>
            <w:r>
              <w:rPr>
                <w:rFonts w:hint="eastAsia" w:hAnsi="宋体" w:cs="宋体"/>
                <w:color w:val="auto"/>
                <w:kern w:val="0"/>
                <w:highlight w:val="none"/>
              </w:rPr>
              <w:t>%的履约保证金，在中标人与采购人签订合同前递交。（投标人应当以支票、汇票、本票或者金融机构、保险公司、担保机构出具的保函等非现金形式提交）</w:t>
            </w:r>
          </w:p>
          <w:p>
            <w:pPr>
              <w:pStyle w:val="15"/>
              <w:snapToGrid w:val="0"/>
              <w:ind w:firstLine="480" w:firstLineChars="200"/>
              <w:rPr>
                <w:rFonts w:hAnsi="宋体" w:cs="宋体"/>
                <w:color w:val="auto"/>
                <w:kern w:val="0"/>
                <w:highlight w:val="none"/>
              </w:rPr>
            </w:pPr>
            <w:r>
              <w:rPr>
                <w:rFonts w:hint="eastAsia" w:hAnsi="宋体"/>
                <w:color w:val="auto"/>
                <w:sz w:val="24"/>
                <w:highlight w:val="none"/>
              </w:rPr>
              <w:t>履约保证金在服务期满，并经验收合格后10个工作日内予以退还</w:t>
            </w:r>
            <w:r>
              <w:rPr>
                <w:rFonts w:hAnsi="宋体"/>
                <w:color w:val="auto"/>
                <w:sz w:val="24"/>
                <w:highlight w:val="none"/>
              </w:rPr>
              <w:t>(</w:t>
            </w:r>
            <w:r>
              <w:rPr>
                <w:rFonts w:hint="eastAsia" w:hAnsi="宋体"/>
                <w:color w:val="auto"/>
                <w:sz w:val="24"/>
                <w:highlight w:val="none"/>
              </w:rPr>
              <w:t>不计息</w:t>
            </w:r>
            <w:r>
              <w:rPr>
                <w:rFonts w:hAnsi="宋体"/>
                <w:color w:val="auto"/>
                <w:sz w:val="24"/>
                <w:highlight w:val="none"/>
              </w:rPr>
              <w:t>)</w:t>
            </w:r>
            <w:r>
              <w:rPr>
                <w:rFonts w:hint="eastAsia" w:hAnsi="宋体" w:cs="宋体"/>
                <w:color w:val="auto"/>
                <w:sz w:val="24"/>
                <w:highlight w:val="none"/>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ign w:val="center"/>
          </w:tcPr>
          <w:p>
            <w:pPr>
              <w:snapToGrid w:val="0"/>
              <w:spacing w:line="360" w:lineRule="exact"/>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15</w:t>
            </w:r>
          </w:p>
        </w:tc>
        <w:tc>
          <w:tcPr>
            <w:tcW w:w="1655" w:type="dxa"/>
            <w:noWrap/>
            <w:vAlign w:val="center"/>
          </w:tcPr>
          <w:p>
            <w:pPr>
              <w:snapToGrid w:val="0"/>
              <w:spacing w:line="360" w:lineRule="exact"/>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采购及中标公告发布媒体</w:t>
            </w:r>
          </w:p>
        </w:tc>
        <w:tc>
          <w:tcPr>
            <w:tcW w:w="6827" w:type="dxa"/>
            <w:noWrap/>
            <w:vAlign w:val="center"/>
          </w:tcPr>
          <w:p>
            <w:pPr>
              <w:pStyle w:val="15"/>
              <w:snapToGrid w:val="0"/>
              <w:spacing w:line="360" w:lineRule="exact"/>
              <w:ind w:firstLine="420" w:firstLineChars="200"/>
              <w:jc w:val="left"/>
              <w:rPr>
                <w:rFonts w:hAnsi="宋体" w:cs="宋体"/>
                <w:color w:val="auto"/>
                <w:kern w:val="0"/>
                <w:highlight w:val="none"/>
              </w:rPr>
            </w:pPr>
            <w:r>
              <w:rPr>
                <w:rFonts w:hint="eastAsia" w:hAnsi="宋体" w:cs="宋体"/>
                <w:color w:val="auto"/>
                <w:kern w:val="0"/>
                <w:highlight w:val="none"/>
              </w:rPr>
              <w:t>浙江省政府采购网、绍兴市上虞区公共资源交易中心网站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ign w:val="center"/>
          </w:tcPr>
          <w:p>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16</w:t>
            </w:r>
          </w:p>
        </w:tc>
        <w:tc>
          <w:tcPr>
            <w:tcW w:w="1655" w:type="dxa"/>
            <w:noWrap/>
            <w:vAlign w:val="center"/>
          </w:tcPr>
          <w:p>
            <w:pPr>
              <w:snapToGrid w:val="0"/>
              <w:spacing w:line="360" w:lineRule="exact"/>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质疑</w:t>
            </w:r>
          </w:p>
        </w:tc>
        <w:tc>
          <w:tcPr>
            <w:tcW w:w="6827" w:type="dxa"/>
            <w:noWrap/>
            <w:vAlign w:val="center"/>
          </w:tcPr>
          <w:p>
            <w:pPr>
              <w:pStyle w:val="29"/>
              <w:spacing w:after="0"/>
              <w:ind w:left="0" w:leftChars="0"/>
              <w:rPr>
                <w:rFonts w:ascii="宋体" w:hAnsi="宋体" w:cs="宋体"/>
                <w:color w:val="auto"/>
                <w:szCs w:val="21"/>
                <w:highlight w:val="none"/>
              </w:rPr>
            </w:pPr>
            <w:r>
              <w:rPr>
                <w:rFonts w:hint="eastAsia" w:ascii="宋体" w:hAnsi="宋体" w:cs="宋体"/>
                <w:color w:val="auto"/>
                <w:szCs w:val="21"/>
                <w:highlight w:val="none"/>
              </w:rPr>
              <w:t>供应商认为采购文件、采购过程、中标或者成交结果使自己的权益受到损害的，可以在知道或者应知其权益受到损害之日起7个工作日内，以书面形式向采购人、采购代理机构提出质疑，采购人、采购代理机构应在7个工作日内做好答复工作，但答复内容不得涉及商业秘密。</w:t>
            </w:r>
          </w:p>
          <w:p>
            <w:pPr>
              <w:pStyle w:val="29"/>
              <w:spacing w:after="0"/>
              <w:ind w:left="0" w:leftChars="0"/>
              <w:rPr>
                <w:rFonts w:ascii="宋体" w:hAnsi="宋体" w:cs="宋体"/>
                <w:color w:val="auto"/>
                <w:szCs w:val="21"/>
                <w:highlight w:val="none"/>
              </w:rPr>
            </w:pPr>
            <w:r>
              <w:rPr>
                <w:rFonts w:hint="eastAsia" w:ascii="宋体" w:hAnsi="宋体" w:cs="宋体"/>
                <w:color w:val="auto"/>
                <w:szCs w:val="21"/>
                <w:highlight w:val="none"/>
              </w:rPr>
              <w:t>《上虞区区属国有企业货物和服务采购管理办法》第四十九条规定的供应商应知其权益收到损害之日，是指：</w:t>
            </w:r>
          </w:p>
          <w:p>
            <w:pPr>
              <w:pStyle w:val="29"/>
              <w:spacing w:after="0"/>
              <w:ind w:left="0" w:leftChars="0"/>
              <w:rPr>
                <w:rFonts w:ascii="宋体" w:hAnsi="宋体" w:cs="宋体"/>
                <w:color w:val="auto"/>
                <w:szCs w:val="21"/>
                <w:highlight w:val="none"/>
              </w:rPr>
            </w:pPr>
            <w:r>
              <w:rPr>
                <w:rFonts w:hint="eastAsia" w:ascii="宋体" w:hAnsi="宋体" w:cs="宋体"/>
                <w:color w:val="auto"/>
                <w:szCs w:val="21"/>
                <w:highlight w:val="none"/>
              </w:rPr>
              <w:t>（一）对可以质疑的采购文件提出质疑的，为收到采购文件之日或者采购文件公告期限届满之日（公告期限届满后获取采购文件的，以公告期限届满之日为准）；</w:t>
            </w:r>
          </w:p>
          <w:p>
            <w:pPr>
              <w:pStyle w:val="29"/>
              <w:spacing w:after="0"/>
              <w:ind w:left="0" w:leftChars="0"/>
              <w:rPr>
                <w:rFonts w:ascii="宋体" w:hAnsi="宋体" w:cs="宋体"/>
                <w:color w:val="auto"/>
                <w:szCs w:val="21"/>
                <w:highlight w:val="none"/>
              </w:rPr>
            </w:pPr>
            <w:r>
              <w:rPr>
                <w:rFonts w:hint="eastAsia" w:ascii="宋体" w:hAnsi="宋体" w:cs="宋体"/>
                <w:color w:val="auto"/>
                <w:szCs w:val="21"/>
                <w:highlight w:val="none"/>
              </w:rPr>
              <w:t>（二）对采购过程提出质疑的，为各采购程序环节结束之日；</w:t>
            </w:r>
          </w:p>
          <w:p>
            <w:pPr>
              <w:pStyle w:val="29"/>
              <w:spacing w:after="0"/>
              <w:ind w:left="0" w:leftChars="0"/>
              <w:rPr>
                <w:color w:val="auto"/>
                <w:highlight w:val="none"/>
              </w:rPr>
            </w:pPr>
            <w:r>
              <w:rPr>
                <w:rFonts w:hint="eastAsia" w:ascii="宋体" w:hAnsi="宋体" w:cs="宋体"/>
                <w:color w:val="auto"/>
                <w:szCs w:val="21"/>
                <w:highlight w:val="none"/>
              </w:rPr>
              <w:t>（三）对中标或者成交结果提出质疑的，为中标或者成交结果公告期限届满之日。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ign w:val="center"/>
          </w:tcPr>
          <w:p>
            <w:pPr>
              <w:snapToGrid w:val="0"/>
              <w:spacing w:line="360" w:lineRule="exact"/>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17</w:t>
            </w:r>
          </w:p>
        </w:tc>
        <w:tc>
          <w:tcPr>
            <w:tcW w:w="1655" w:type="dxa"/>
            <w:noWrap/>
            <w:vAlign w:val="center"/>
          </w:tcPr>
          <w:p>
            <w:pPr>
              <w:snapToGrid w:val="0"/>
              <w:spacing w:line="360" w:lineRule="exact"/>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投诉</w:t>
            </w:r>
          </w:p>
        </w:tc>
        <w:tc>
          <w:tcPr>
            <w:tcW w:w="6827" w:type="dxa"/>
            <w:noWrap/>
            <w:vAlign w:val="center"/>
          </w:tcPr>
          <w:p>
            <w:pPr>
              <w:snapToGrid w:val="0"/>
              <w:spacing w:line="360" w:lineRule="exact"/>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依据</w:t>
            </w:r>
            <w:r>
              <w:rPr>
                <w:rFonts w:hint="eastAsia" w:ascii="宋体" w:hAnsi="宋体" w:cs="宋体"/>
                <w:color w:val="auto"/>
                <w:szCs w:val="21"/>
                <w:highlight w:val="none"/>
              </w:rPr>
              <w:t>《上虞区区属国有企业货物和服务采购管理办法》第五十条的规定：</w:t>
            </w:r>
          </w:p>
          <w:p>
            <w:pPr>
              <w:snapToGrid w:val="0"/>
              <w:spacing w:line="360" w:lineRule="exact"/>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质疑供应商对质疑的答复不满意，或者采购人或采购代理机构未在规定时间内答复的，可以在收到答复之日或者答复期满后15个工作日内依法向采购人主管部门投诉。采购人主管部门应当在30个工作日内调查并回应。投诉事项调查期间，采购人主管部门应当通知采购人暂停采购活动。</w:t>
            </w:r>
          </w:p>
          <w:p>
            <w:pPr>
              <w:pStyle w:val="29"/>
              <w:spacing w:after="0"/>
              <w:ind w:left="0" w:leftChars="0"/>
              <w:rPr>
                <w:color w:val="auto"/>
                <w:highlight w:val="none"/>
              </w:rPr>
            </w:pPr>
            <w:r>
              <w:rPr>
                <w:rFonts w:hint="eastAsia" w:ascii="宋体" w:hAnsi="宋体" w:cs="宋体"/>
                <w:snapToGrid w:val="0"/>
                <w:color w:val="auto"/>
                <w:kern w:val="0"/>
                <w:szCs w:val="21"/>
                <w:highlight w:val="none"/>
              </w:rPr>
              <w:t>投诉人提交投诉件时，应当提供相关书面证据、依据和其他有关材料。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ign w:val="center"/>
          </w:tcPr>
          <w:p>
            <w:pPr>
              <w:snapToGrid w:val="0"/>
              <w:spacing w:line="360" w:lineRule="exact"/>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18</w:t>
            </w:r>
          </w:p>
        </w:tc>
        <w:tc>
          <w:tcPr>
            <w:tcW w:w="1655" w:type="dxa"/>
            <w:noWrap/>
            <w:vAlign w:val="center"/>
          </w:tcPr>
          <w:p>
            <w:pPr>
              <w:snapToGrid w:val="0"/>
              <w:spacing w:line="360" w:lineRule="exact"/>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特别说明</w:t>
            </w:r>
          </w:p>
        </w:tc>
        <w:tc>
          <w:tcPr>
            <w:tcW w:w="6827" w:type="dxa"/>
            <w:noWrap/>
            <w:vAlign w:val="center"/>
          </w:tcPr>
          <w:p>
            <w:pPr>
              <w:pStyle w:val="15"/>
              <w:snapToGrid w:val="0"/>
              <w:spacing w:line="360" w:lineRule="exact"/>
              <w:ind w:firstLine="420" w:firstLineChars="200"/>
              <w:jc w:val="left"/>
              <w:rPr>
                <w:rFonts w:hAnsi="宋体" w:cs="宋体"/>
                <w:color w:val="auto"/>
                <w:kern w:val="0"/>
                <w:highlight w:val="none"/>
              </w:rPr>
            </w:pPr>
            <w:r>
              <w:rPr>
                <w:rFonts w:hint="eastAsia" w:hAnsi="宋体" w:cs="宋体"/>
                <w:color w:val="auto"/>
                <w:kern w:val="0"/>
                <w:highlight w:val="none"/>
              </w:rPr>
              <w:t>投标人应无条件的、认真仔细的阅读本招标文件及其澄清答疑、修改答复的补充文件，严格按照招标文件及补充文件的规定和要求编制投标文件。在编制投标文件过程中，应严格遵循实事求是、诚信投标的原则，针对招标文件中的采购需求、合同条款等各项内容进行确认，如有偏离，应如实填写响应偏离表。</w:t>
            </w:r>
          </w:p>
          <w:p>
            <w:pPr>
              <w:pStyle w:val="15"/>
              <w:snapToGrid w:val="0"/>
              <w:spacing w:line="360" w:lineRule="exact"/>
              <w:ind w:firstLine="420" w:firstLineChars="200"/>
              <w:jc w:val="left"/>
              <w:rPr>
                <w:rFonts w:hAnsi="宋体" w:cs="宋体"/>
                <w:color w:val="auto"/>
                <w:kern w:val="0"/>
                <w:highlight w:val="none"/>
              </w:rPr>
            </w:pPr>
            <w:r>
              <w:rPr>
                <w:rFonts w:hint="eastAsia" w:hAnsi="宋体" w:cs="宋体"/>
                <w:color w:val="auto"/>
                <w:kern w:val="0"/>
                <w:highlight w:val="none"/>
              </w:rPr>
              <w:t>该项目中标公示期间，投标人不得通过非正当途径、更不得通过非正当手段获取法律法规规定评标委员会（包括其他相关人员）应当保密的相关内容。即便由此获得资料并作为向采购人或招标代理机构或监督管理部门提出异（质）疑或投诉或法院起诉的理由，均属于非法索取的依据。</w:t>
            </w:r>
          </w:p>
          <w:p>
            <w:pPr>
              <w:pStyle w:val="15"/>
              <w:snapToGrid w:val="0"/>
              <w:spacing w:line="360" w:lineRule="exact"/>
              <w:ind w:firstLine="420" w:firstLineChars="200"/>
              <w:jc w:val="left"/>
              <w:rPr>
                <w:rFonts w:hAnsi="宋体" w:cs="宋体"/>
                <w:b/>
                <w:color w:val="auto"/>
                <w:kern w:val="0"/>
                <w:highlight w:val="none"/>
              </w:rPr>
            </w:pPr>
            <w:r>
              <w:rPr>
                <w:rFonts w:hint="eastAsia" w:hAnsi="宋体" w:cs="宋体"/>
                <w:color w:val="auto"/>
                <w:kern w:val="0"/>
                <w:highlight w:val="none"/>
              </w:rPr>
              <w:t>招标文件中凡标注“</w:t>
            </w:r>
            <w:r>
              <w:rPr>
                <w:rFonts w:hint="eastAsia" w:hAnsi="宋体" w:cs="宋体"/>
                <w:color w:val="auto"/>
                <w:highlight w:val="none"/>
              </w:rPr>
              <w:t>★</w:t>
            </w:r>
            <w:r>
              <w:rPr>
                <w:rFonts w:hint="eastAsia" w:hAnsi="宋体" w:cs="宋体"/>
                <w:color w:val="auto"/>
                <w:kern w:val="0"/>
                <w:highlight w:val="none"/>
              </w:rPr>
              <w:t>”的条款均为实质性要求，不响应的投标文件将作无效标处理。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ign w:val="center"/>
          </w:tcPr>
          <w:p>
            <w:pPr>
              <w:snapToGrid w:val="0"/>
              <w:spacing w:line="360" w:lineRule="exact"/>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19</w:t>
            </w:r>
          </w:p>
        </w:tc>
        <w:tc>
          <w:tcPr>
            <w:tcW w:w="1655" w:type="dxa"/>
            <w:noWrap/>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是否允许分包</w:t>
            </w:r>
          </w:p>
        </w:tc>
        <w:tc>
          <w:tcPr>
            <w:tcW w:w="6827" w:type="dxa"/>
            <w:noWrap/>
            <w:vAlign w:val="center"/>
          </w:tcPr>
          <w:p>
            <w:pPr>
              <w:ind w:firstLine="420" w:firstLineChars="200"/>
              <w:rPr>
                <w:rFonts w:ascii="宋体" w:hAnsi="宋体" w:cs="宋体"/>
                <w:color w:val="auto"/>
                <w:szCs w:val="21"/>
                <w:highlight w:val="none"/>
              </w:rPr>
            </w:pPr>
            <w:r>
              <w:rPr>
                <w:rFonts w:hint="eastAsia" w:ascii="宋体" w:hAnsi="宋体" w:cs="宋体"/>
                <w:color w:val="auto"/>
                <w:highlight w:val="none"/>
              </w:rPr>
              <w:t>本项目</w:t>
            </w:r>
            <w:r>
              <w:rPr>
                <w:rFonts w:hint="eastAsia" w:ascii="宋体" w:hAnsi="宋体" w:cs="宋体"/>
                <w:color w:val="auto"/>
                <w:highlight w:val="none"/>
                <w:u w:val="single"/>
              </w:rPr>
              <w:t>不允许</w:t>
            </w:r>
            <w:r>
              <w:rPr>
                <w:rFonts w:hint="eastAsia" w:ascii="宋体" w:hAnsi="宋体" w:cs="宋体"/>
                <w:color w:val="auto"/>
                <w:highlight w:val="none"/>
              </w:rPr>
              <w:t>分包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ign w:val="center"/>
          </w:tcPr>
          <w:p>
            <w:pPr>
              <w:snapToGrid w:val="0"/>
              <w:spacing w:line="360" w:lineRule="exact"/>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20</w:t>
            </w:r>
          </w:p>
        </w:tc>
        <w:tc>
          <w:tcPr>
            <w:tcW w:w="1655" w:type="dxa"/>
            <w:noWrap/>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是否提供演示</w:t>
            </w:r>
          </w:p>
        </w:tc>
        <w:tc>
          <w:tcPr>
            <w:tcW w:w="6827" w:type="dxa"/>
            <w:noWrap/>
            <w:vAlign w:val="center"/>
          </w:tcPr>
          <w:p>
            <w:pPr>
              <w:ind w:firstLine="420" w:firstLineChars="200"/>
              <w:rPr>
                <w:rFonts w:ascii="宋体" w:hAnsi="宋体" w:cs="宋体"/>
                <w:color w:val="auto"/>
                <w:szCs w:val="21"/>
                <w:highlight w:val="none"/>
              </w:rPr>
            </w:pPr>
            <w:r>
              <w:rPr>
                <w:rFonts w:hint="eastAsia" w:ascii="宋体" w:hAnsi="宋体" w:cs="宋体"/>
                <w:color w:val="auto"/>
                <w:highlight w:val="none"/>
              </w:rPr>
              <w:t>本项目</w:t>
            </w:r>
            <w:r>
              <w:rPr>
                <w:rFonts w:hint="eastAsia" w:ascii="宋体" w:hAnsi="宋体" w:cs="宋体"/>
                <w:color w:val="auto"/>
                <w:highlight w:val="none"/>
                <w:u w:val="single"/>
              </w:rPr>
              <w:t>不需要</w:t>
            </w:r>
            <w:r>
              <w:rPr>
                <w:rFonts w:hint="eastAsia" w:ascii="宋体" w:hAnsi="宋体" w:cs="宋体"/>
                <w:color w:val="auto"/>
                <w:highlight w:val="none"/>
              </w:rPr>
              <w:t>提供演示。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ign w:val="center"/>
          </w:tcPr>
          <w:p>
            <w:pPr>
              <w:snapToGrid w:val="0"/>
              <w:spacing w:line="360" w:lineRule="exact"/>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21</w:t>
            </w:r>
          </w:p>
        </w:tc>
        <w:tc>
          <w:tcPr>
            <w:tcW w:w="1655" w:type="dxa"/>
            <w:tcBorders>
              <w:top w:val="single" w:color="auto" w:sz="4" w:space="0"/>
            </w:tcBorders>
            <w:noWrap/>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投标人信用信息查询渠道及截止时点、信用信息查询记录和证据留存的具体方式、信用信息的使用规则</w:t>
            </w:r>
          </w:p>
        </w:tc>
        <w:tc>
          <w:tcPr>
            <w:tcW w:w="6827" w:type="dxa"/>
            <w:tcBorders>
              <w:top w:val="single" w:color="auto" w:sz="4" w:space="0"/>
            </w:tcBorders>
            <w:noWrap/>
            <w:vAlign w:val="center"/>
          </w:tcPr>
          <w:p>
            <w:pPr>
              <w:ind w:firstLine="420" w:firstLineChars="200"/>
              <w:rPr>
                <w:rFonts w:ascii="宋体" w:hAnsi="宋体" w:cs="宋体"/>
                <w:color w:val="auto"/>
                <w:szCs w:val="21"/>
                <w:highlight w:val="none"/>
              </w:rPr>
            </w:pPr>
            <w:r>
              <w:rPr>
                <w:rFonts w:hint="eastAsia" w:ascii="宋体" w:hAnsi="宋体" w:cs="宋体"/>
                <w:color w:val="auto"/>
                <w:szCs w:val="21"/>
                <w:highlight w:val="none"/>
              </w:rPr>
              <w:t>1、查询渠道：信用中国（网址：http://www.creditchina.gov.cn）、中国政府采购网(网址：http://www.ccgp.gov.cn）。</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2、截止时点：开标后评标前。</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3、信用信息查询记录和证据留存的具体方式：由采购组织机构在规定查询时间内打印信用信息查询记录并归入项目档案。</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4、使用规则：对列入失信被执行人、重大税收违法案件当事人名单、政府采购严重违法失信行为记录名单及其他不符合《上虞区区属国有企业货物和服务采购管理办法》第十八条规定条件的供应商，将被拒绝其参与政府采购活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ign w:val="center"/>
          </w:tcPr>
          <w:p>
            <w:pPr>
              <w:snapToGrid w:val="0"/>
              <w:spacing w:line="360" w:lineRule="exact"/>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22</w:t>
            </w:r>
          </w:p>
        </w:tc>
        <w:tc>
          <w:tcPr>
            <w:tcW w:w="1655" w:type="dxa"/>
            <w:noWrap/>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其他</w:t>
            </w:r>
          </w:p>
        </w:tc>
        <w:tc>
          <w:tcPr>
            <w:tcW w:w="6827" w:type="dxa"/>
            <w:noWrap/>
            <w:vAlign w:val="center"/>
          </w:tcPr>
          <w:p>
            <w:pPr>
              <w:ind w:firstLine="422" w:firstLineChars="200"/>
              <w:rPr>
                <w:rFonts w:ascii="宋体" w:hAnsi="宋体" w:cs="宋体"/>
                <w:b/>
                <w:color w:val="auto"/>
                <w:szCs w:val="21"/>
                <w:highlight w:val="none"/>
              </w:rPr>
            </w:pPr>
            <w:r>
              <w:rPr>
                <w:rFonts w:hint="eastAsia" w:ascii="宋体" w:hAnsi="宋体" w:cs="宋体"/>
                <w:b/>
                <w:color w:val="auto"/>
                <w:szCs w:val="21"/>
                <w:highlight w:val="none"/>
              </w:rPr>
              <w:t>本招标文件要求提供的身份证复印件皆需提供正反面，否则按不提供处理。</w:t>
            </w:r>
          </w:p>
        </w:tc>
      </w:tr>
    </w:tbl>
    <w:p>
      <w:pPr>
        <w:pStyle w:val="64"/>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注：以上内容如有变化将另行通知。如通知其中某一内容发生变化，其余未提及的将不作变动。</w:t>
      </w:r>
    </w:p>
    <w:p>
      <w:pPr>
        <w:snapToGrid w:val="0"/>
        <w:spacing w:line="360" w:lineRule="auto"/>
        <w:jc w:val="center"/>
        <w:outlineLvl w:val="0"/>
        <w:rPr>
          <w:rFonts w:ascii="宋体" w:hAnsi="宋体" w:cs="宋体"/>
          <w:b/>
          <w:color w:val="auto"/>
          <w:sz w:val="32"/>
          <w:highlight w:val="none"/>
        </w:rPr>
      </w:pPr>
      <w:r>
        <w:rPr>
          <w:rFonts w:hint="eastAsia" w:ascii="宋体" w:hAnsi="宋体" w:cs="宋体"/>
          <w:b/>
          <w:color w:val="auto"/>
          <w:sz w:val="32"/>
          <w:szCs w:val="20"/>
          <w:highlight w:val="none"/>
        </w:rPr>
        <w:br w:type="page"/>
      </w:r>
      <w:bookmarkStart w:id="16" w:name="_Toc10661"/>
      <w:r>
        <w:rPr>
          <w:rFonts w:hint="eastAsia" w:ascii="宋体" w:hAnsi="宋体" w:cs="宋体"/>
          <w:b/>
          <w:color w:val="auto"/>
          <w:sz w:val="32"/>
          <w:highlight w:val="none"/>
        </w:rPr>
        <w:t>一、总则</w:t>
      </w:r>
      <w:bookmarkEnd w:id="9"/>
      <w:bookmarkEnd w:id="16"/>
    </w:p>
    <w:p>
      <w:pPr>
        <w:pStyle w:val="15"/>
        <w:numPr>
          <w:ilvl w:val="0"/>
          <w:numId w:val="8"/>
        </w:numPr>
        <w:spacing w:line="360" w:lineRule="auto"/>
        <w:ind w:firstLine="482" w:firstLineChars="200"/>
        <w:rPr>
          <w:rFonts w:hAnsi="宋体" w:cs="宋体"/>
          <w:b/>
          <w:color w:val="auto"/>
          <w:sz w:val="24"/>
          <w:szCs w:val="24"/>
          <w:highlight w:val="none"/>
        </w:rPr>
      </w:pPr>
      <w:bookmarkStart w:id="17" w:name="_Hlt74714665"/>
      <w:bookmarkEnd w:id="17"/>
      <w:bookmarkStart w:id="18" w:name="_Hlt74730295"/>
      <w:bookmarkEnd w:id="18"/>
      <w:bookmarkStart w:id="19" w:name="_Toc91899872"/>
      <w:bookmarkStart w:id="20" w:name="_Hlt74730112"/>
      <w:bookmarkStart w:id="21" w:name="_Hlt74730208"/>
      <w:r>
        <w:rPr>
          <w:rFonts w:hint="eastAsia" w:hAnsi="宋体" w:cs="宋体"/>
          <w:b/>
          <w:color w:val="auto"/>
          <w:sz w:val="24"/>
          <w:szCs w:val="24"/>
          <w:highlight w:val="none"/>
        </w:rPr>
        <w:t>项目说明</w:t>
      </w:r>
      <w:bookmarkEnd w:id="19"/>
    </w:p>
    <w:p>
      <w:pPr>
        <w:pStyle w:val="64"/>
        <w:numPr>
          <w:ilvl w:val="0"/>
          <w:numId w:val="9"/>
        </w:numPr>
        <w:tabs>
          <w:tab w:val="left" w:pos="0"/>
        </w:tabs>
        <w:spacing w:before="0"/>
        <w:ind w:firstLine="480"/>
        <w:rPr>
          <w:rFonts w:ascii="宋体" w:hAnsi="宋体" w:cs="宋体"/>
          <w:color w:val="auto"/>
          <w:szCs w:val="24"/>
          <w:highlight w:val="none"/>
        </w:rPr>
      </w:pPr>
      <w:r>
        <w:rPr>
          <w:rFonts w:hint="eastAsia" w:ascii="宋体" w:hAnsi="宋体" w:cs="宋体"/>
          <w:color w:val="auto"/>
          <w:szCs w:val="24"/>
          <w:highlight w:val="none"/>
        </w:rPr>
        <w:t>项目说明见前附表所述。投标人一旦参与本次招标活动，即被视为接受了本招标文件的所有内容，如有任何异议，均已在法定时间内提出。</w:t>
      </w:r>
    </w:p>
    <w:p>
      <w:pPr>
        <w:pStyle w:val="64"/>
        <w:numPr>
          <w:ilvl w:val="0"/>
          <w:numId w:val="9"/>
        </w:numPr>
        <w:tabs>
          <w:tab w:val="left" w:pos="0"/>
        </w:tabs>
        <w:spacing w:before="0"/>
        <w:ind w:firstLine="480"/>
        <w:rPr>
          <w:rFonts w:ascii="宋体" w:hAnsi="宋体" w:cs="宋体"/>
          <w:color w:val="auto"/>
          <w:szCs w:val="24"/>
          <w:highlight w:val="none"/>
        </w:rPr>
      </w:pPr>
      <w:r>
        <w:rPr>
          <w:rFonts w:hint="eastAsia" w:ascii="宋体" w:hAnsi="宋体" w:cs="宋体"/>
          <w:color w:val="auto"/>
          <w:szCs w:val="24"/>
          <w:highlight w:val="none"/>
        </w:rPr>
        <w:t>投标人须对所投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w:t>
      </w:r>
      <w:r>
        <w:rPr>
          <w:rFonts w:hint="eastAsia" w:ascii="宋体" w:hAnsi="宋体" w:cs="宋体"/>
          <w:color w:val="auto"/>
          <w:szCs w:val="24"/>
          <w:highlight w:val="none"/>
          <w:lang w:val="zh-CN"/>
        </w:rPr>
        <w:t>供应商</w:t>
      </w:r>
      <w:r>
        <w:rPr>
          <w:rFonts w:hint="eastAsia" w:ascii="宋体" w:hAnsi="宋体" w:cs="宋体"/>
          <w:color w:val="auto"/>
          <w:szCs w:val="24"/>
          <w:highlight w:val="none"/>
        </w:rPr>
        <w:t>应承担相应后果，</w:t>
      </w:r>
      <w:r>
        <w:rPr>
          <w:rFonts w:hint="eastAsia" w:ascii="宋体" w:hAnsi="宋体" w:cs="宋体"/>
          <w:color w:val="auto"/>
          <w:szCs w:val="24"/>
          <w:highlight w:val="none"/>
          <w:lang w:val="zh-CN"/>
        </w:rPr>
        <w:t>并负责赔偿。</w:t>
      </w:r>
      <w:r>
        <w:rPr>
          <w:rFonts w:hint="eastAsia" w:ascii="宋体" w:hAnsi="宋体" w:cs="宋体"/>
          <w:color w:val="auto"/>
          <w:szCs w:val="24"/>
          <w:highlight w:val="none"/>
        </w:rPr>
        <w:t>供应商为执行本项目合同而提供的技术资料等归采购人所有。</w:t>
      </w:r>
    </w:p>
    <w:p>
      <w:pPr>
        <w:snapToGrid w:val="0"/>
        <w:spacing w:line="440" w:lineRule="exact"/>
        <w:ind w:firstLine="480" w:firstLineChars="200"/>
        <w:jc w:val="left"/>
        <w:rPr>
          <w:rFonts w:ascii="宋体" w:hAnsi="宋体" w:cs="宋体"/>
          <w:color w:val="auto"/>
          <w:sz w:val="24"/>
          <w:highlight w:val="none"/>
        </w:rPr>
      </w:pPr>
      <w:bookmarkStart w:id="22" w:name="_Toc91899873"/>
      <w:r>
        <w:rPr>
          <w:rFonts w:hint="eastAsia" w:ascii="宋体" w:hAnsi="宋体" w:cs="宋体"/>
          <w:color w:val="auto"/>
          <w:sz w:val="24"/>
          <w:highlight w:val="none"/>
        </w:rPr>
        <w:t>1.3本招标文件所称公章是指单位法定名称章或者冠以单位法定名称的电子公章。</w:t>
      </w:r>
    </w:p>
    <w:p>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1.4公开招标数额标准以上的采购项目，投标截止后投标人不足3家或者通过资格审查或符合性审查的投标人不足3家的，除采购任务取消情形外，按照以下方式处理：</w:t>
      </w:r>
    </w:p>
    <w:p>
      <w:pPr>
        <w:pStyle w:val="64"/>
        <w:numPr>
          <w:ilvl w:val="0"/>
          <w:numId w:val="10"/>
        </w:numPr>
        <w:spacing w:before="0"/>
        <w:ind w:firstLine="480"/>
        <w:rPr>
          <w:rFonts w:ascii="宋体" w:hAnsi="宋体" w:cs="宋体"/>
          <w:color w:val="auto"/>
          <w:szCs w:val="24"/>
          <w:highlight w:val="none"/>
        </w:rPr>
      </w:pPr>
      <w:r>
        <w:rPr>
          <w:rFonts w:hint="eastAsia" w:ascii="宋体" w:hAnsi="宋体" w:cs="宋体"/>
          <w:color w:val="auto"/>
          <w:szCs w:val="24"/>
          <w:highlight w:val="none"/>
        </w:rPr>
        <w:t>招标文件存在不合理条款或者招标程序不符合规定的，采购人、采购代理机构改正后依法重新招标；</w:t>
      </w:r>
    </w:p>
    <w:p>
      <w:pPr>
        <w:pStyle w:val="64"/>
        <w:numPr>
          <w:ilvl w:val="0"/>
          <w:numId w:val="10"/>
        </w:numPr>
        <w:spacing w:before="0"/>
        <w:ind w:firstLine="480"/>
        <w:rPr>
          <w:rFonts w:ascii="宋体" w:hAnsi="宋体" w:cs="宋体"/>
          <w:color w:val="auto"/>
          <w:szCs w:val="24"/>
          <w:highlight w:val="none"/>
        </w:rPr>
      </w:pPr>
      <w:r>
        <w:rPr>
          <w:rFonts w:hint="eastAsia" w:ascii="宋体" w:hAnsi="宋体" w:cs="宋体"/>
          <w:color w:val="auto"/>
          <w:szCs w:val="24"/>
          <w:highlight w:val="none"/>
        </w:rPr>
        <w:t>招标文件没有不合理条款、招标程序符合规定，需要采用其他采购方式采购的，采购人应当依法报财政部门批准。</w:t>
      </w:r>
    </w:p>
    <w:p>
      <w:pPr>
        <w:pStyle w:val="15"/>
        <w:numPr>
          <w:ilvl w:val="0"/>
          <w:numId w:val="8"/>
        </w:numPr>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采购方式</w:t>
      </w:r>
      <w:bookmarkEnd w:id="22"/>
    </w:p>
    <w:p>
      <w:pPr>
        <w:tabs>
          <w:tab w:val="left" w:pos="378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公开招标。</w:t>
      </w:r>
      <w:bookmarkEnd w:id="20"/>
      <w:bookmarkEnd w:id="21"/>
      <w:bookmarkStart w:id="23" w:name="_Hlt74388212"/>
      <w:bookmarkEnd w:id="23"/>
      <w:bookmarkStart w:id="24" w:name="_Hlt68516771"/>
      <w:bookmarkEnd w:id="24"/>
    </w:p>
    <w:p>
      <w:pPr>
        <w:pStyle w:val="15"/>
        <w:numPr>
          <w:ilvl w:val="0"/>
          <w:numId w:val="8"/>
        </w:numPr>
        <w:spacing w:line="360" w:lineRule="auto"/>
        <w:ind w:firstLine="482" w:firstLineChars="200"/>
        <w:rPr>
          <w:rFonts w:hAnsi="宋体" w:cs="宋体"/>
          <w:b/>
          <w:color w:val="auto"/>
          <w:sz w:val="24"/>
          <w:szCs w:val="24"/>
          <w:highlight w:val="none"/>
        </w:rPr>
      </w:pPr>
      <w:bookmarkStart w:id="25" w:name="_Toc91899877"/>
      <w:bookmarkStart w:id="26" w:name="_Hlt74730303"/>
      <w:r>
        <w:rPr>
          <w:rFonts w:hint="eastAsia" w:hAnsi="宋体" w:cs="宋体"/>
          <w:b/>
          <w:color w:val="auto"/>
          <w:sz w:val="24"/>
          <w:szCs w:val="24"/>
          <w:highlight w:val="none"/>
        </w:rPr>
        <w:t>投标费用</w:t>
      </w:r>
      <w:bookmarkEnd w:id="25"/>
    </w:p>
    <w:bookmarkEnd w:id="26"/>
    <w:p>
      <w:pPr>
        <w:autoSpaceDE w:val="0"/>
        <w:autoSpaceDN w:val="0"/>
        <w:spacing w:line="360" w:lineRule="auto"/>
        <w:ind w:firstLine="523" w:firstLineChars="218"/>
        <w:rPr>
          <w:rFonts w:ascii="宋体" w:hAnsi="宋体" w:cs="宋体"/>
          <w:color w:val="auto"/>
          <w:sz w:val="24"/>
          <w:highlight w:val="none"/>
          <w:lang w:val="zh-CN"/>
        </w:rPr>
      </w:pPr>
      <w:r>
        <w:rPr>
          <w:rFonts w:hint="eastAsia" w:ascii="宋体" w:hAnsi="宋体" w:cs="宋体"/>
          <w:color w:val="auto"/>
          <w:sz w:val="24"/>
          <w:highlight w:val="none"/>
        </w:rPr>
        <w:t>投标人需自行承担涉及投标的一切费用（招标文件有其他相反规定除外）。</w:t>
      </w:r>
    </w:p>
    <w:p>
      <w:pPr>
        <w:spacing w:line="360" w:lineRule="auto"/>
        <w:jc w:val="center"/>
        <w:rPr>
          <w:rFonts w:ascii="宋体" w:hAnsi="宋体" w:cs="宋体"/>
          <w:b/>
          <w:color w:val="auto"/>
          <w:sz w:val="24"/>
          <w:highlight w:val="none"/>
        </w:rPr>
      </w:pPr>
      <w:bookmarkStart w:id="27" w:name="_Hlt68057669"/>
      <w:bookmarkEnd w:id="27"/>
      <w:bookmarkStart w:id="28" w:name="_Hlt74707468"/>
      <w:bookmarkEnd w:id="28"/>
      <w:bookmarkStart w:id="29" w:name="_Hlt74729768"/>
      <w:bookmarkEnd w:id="29"/>
      <w:bookmarkStart w:id="30" w:name="_Hlt68072990"/>
      <w:bookmarkEnd w:id="30"/>
      <w:bookmarkStart w:id="31" w:name="_Hlt75236290"/>
      <w:bookmarkEnd w:id="31"/>
      <w:bookmarkStart w:id="32" w:name="_Toc91899879"/>
    </w:p>
    <w:p>
      <w:pPr>
        <w:snapToGrid w:val="0"/>
        <w:spacing w:line="360" w:lineRule="auto"/>
        <w:jc w:val="center"/>
        <w:outlineLvl w:val="0"/>
        <w:rPr>
          <w:rFonts w:ascii="宋体" w:hAnsi="宋体" w:cs="宋体"/>
          <w:b/>
          <w:color w:val="auto"/>
          <w:sz w:val="32"/>
          <w:highlight w:val="none"/>
        </w:rPr>
      </w:pPr>
      <w:bookmarkStart w:id="33" w:name="_Toc22966"/>
      <w:r>
        <w:rPr>
          <w:rFonts w:hint="eastAsia" w:ascii="宋体" w:hAnsi="宋体" w:cs="宋体"/>
          <w:b/>
          <w:color w:val="auto"/>
          <w:sz w:val="32"/>
          <w:highlight w:val="none"/>
        </w:rPr>
        <w:t>二、招标文件</w:t>
      </w:r>
      <w:bookmarkEnd w:id="32"/>
      <w:bookmarkEnd w:id="33"/>
    </w:p>
    <w:p>
      <w:pPr>
        <w:pStyle w:val="15"/>
        <w:numPr>
          <w:ilvl w:val="0"/>
          <w:numId w:val="8"/>
        </w:numPr>
        <w:spacing w:line="360" w:lineRule="auto"/>
        <w:ind w:firstLine="482" w:firstLineChars="200"/>
        <w:rPr>
          <w:rFonts w:hAnsi="宋体" w:cs="宋体"/>
          <w:b/>
          <w:color w:val="auto"/>
          <w:sz w:val="24"/>
          <w:szCs w:val="24"/>
          <w:highlight w:val="none"/>
        </w:rPr>
      </w:pPr>
      <w:bookmarkStart w:id="34" w:name="_Toc91899880"/>
      <w:bookmarkStart w:id="35" w:name="_Hlt74730307"/>
      <w:r>
        <w:rPr>
          <w:rFonts w:hint="eastAsia" w:hAnsi="宋体" w:cs="宋体"/>
          <w:b/>
          <w:color w:val="auto"/>
          <w:sz w:val="24"/>
          <w:szCs w:val="24"/>
          <w:highlight w:val="none"/>
        </w:rPr>
        <w:t>招标文件的构成</w:t>
      </w:r>
      <w:bookmarkEnd w:id="34"/>
    </w:p>
    <w:bookmarkEnd w:id="35"/>
    <w:p>
      <w:pPr>
        <w:pStyle w:val="64"/>
        <w:numPr>
          <w:ilvl w:val="0"/>
          <w:numId w:val="11"/>
        </w:numPr>
        <w:spacing w:before="0"/>
        <w:ind w:firstLine="480"/>
        <w:rPr>
          <w:rFonts w:ascii="宋体" w:hAnsi="宋体" w:cs="宋体"/>
          <w:color w:val="auto"/>
          <w:szCs w:val="24"/>
          <w:highlight w:val="none"/>
        </w:rPr>
      </w:pPr>
      <w:r>
        <w:rPr>
          <w:rFonts w:hint="eastAsia" w:ascii="宋体" w:hAnsi="宋体" w:cs="宋体"/>
          <w:color w:val="auto"/>
          <w:szCs w:val="24"/>
          <w:highlight w:val="none"/>
        </w:rPr>
        <w:t>招标文件包括下列文件及附件</w:t>
      </w:r>
    </w:p>
    <w:p>
      <w:pPr>
        <w:pStyle w:val="64"/>
        <w:numPr>
          <w:ilvl w:val="0"/>
          <w:numId w:val="12"/>
        </w:numPr>
        <w:spacing w:before="0"/>
        <w:ind w:firstLine="480"/>
        <w:rPr>
          <w:rFonts w:ascii="宋体" w:hAnsi="宋体" w:cs="宋体"/>
          <w:color w:val="auto"/>
          <w:szCs w:val="24"/>
          <w:highlight w:val="none"/>
        </w:rPr>
      </w:pPr>
      <w:r>
        <w:rPr>
          <w:rFonts w:hint="eastAsia" w:ascii="宋体" w:hAnsi="宋体" w:cs="宋体"/>
          <w:color w:val="auto"/>
          <w:szCs w:val="24"/>
          <w:highlight w:val="none"/>
        </w:rPr>
        <w:t>第一部分 招标公告</w:t>
      </w:r>
    </w:p>
    <w:p>
      <w:pPr>
        <w:pStyle w:val="64"/>
        <w:numPr>
          <w:ilvl w:val="0"/>
          <w:numId w:val="12"/>
        </w:numPr>
        <w:spacing w:before="0"/>
        <w:ind w:firstLine="480"/>
        <w:rPr>
          <w:rFonts w:ascii="宋体" w:hAnsi="宋体" w:cs="宋体"/>
          <w:color w:val="auto"/>
          <w:szCs w:val="24"/>
          <w:highlight w:val="none"/>
        </w:rPr>
      </w:pPr>
      <w:r>
        <w:rPr>
          <w:rFonts w:hint="eastAsia" w:ascii="宋体" w:hAnsi="宋体" w:cs="宋体"/>
          <w:color w:val="auto"/>
          <w:szCs w:val="24"/>
          <w:highlight w:val="none"/>
        </w:rPr>
        <w:t>第二部分 投标须知</w:t>
      </w:r>
    </w:p>
    <w:p>
      <w:pPr>
        <w:pStyle w:val="64"/>
        <w:numPr>
          <w:ilvl w:val="0"/>
          <w:numId w:val="12"/>
        </w:numPr>
        <w:spacing w:before="0"/>
        <w:ind w:firstLine="480"/>
        <w:rPr>
          <w:rFonts w:ascii="宋体" w:hAnsi="宋体" w:cs="宋体"/>
          <w:color w:val="auto"/>
          <w:szCs w:val="24"/>
          <w:highlight w:val="none"/>
        </w:rPr>
      </w:pPr>
      <w:r>
        <w:rPr>
          <w:rFonts w:hint="eastAsia" w:ascii="宋体" w:hAnsi="宋体" w:cs="宋体"/>
          <w:color w:val="auto"/>
          <w:szCs w:val="24"/>
          <w:highlight w:val="none"/>
        </w:rPr>
        <w:t>第三部分 评标办法及评分标准</w:t>
      </w:r>
    </w:p>
    <w:p>
      <w:pPr>
        <w:pStyle w:val="64"/>
        <w:numPr>
          <w:ilvl w:val="0"/>
          <w:numId w:val="12"/>
        </w:numPr>
        <w:spacing w:before="0"/>
        <w:ind w:firstLine="480"/>
        <w:rPr>
          <w:rFonts w:ascii="宋体" w:hAnsi="宋体" w:cs="宋体"/>
          <w:color w:val="auto"/>
          <w:szCs w:val="24"/>
          <w:highlight w:val="none"/>
        </w:rPr>
      </w:pPr>
      <w:r>
        <w:rPr>
          <w:rFonts w:hint="eastAsia" w:ascii="宋体" w:hAnsi="宋体" w:cs="宋体"/>
          <w:color w:val="auto"/>
          <w:szCs w:val="24"/>
          <w:highlight w:val="none"/>
        </w:rPr>
        <w:t>第四部分 采购需求</w:t>
      </w:r>
    </w:p>
    <w:p>
      <w:pPr>
        <w:pStyle w:val="64"/>
        <w:numPr>
          <w:ilvl w:val="0"/>
          <w:numId w:val="12"/>
        </w:numPr>
        <w:spacing w:before="0"/>
        <w:ind w:firstLine="480"/>
        <w:rPr>
          <w:rFonts w:ascii="宋体" w:hAnsi="宋体" w:cs="宋体"/>
          <w:color w:val="auto"/>
          <w:szCs w:val="24"/>
          <w:highlight w:val="none"/>
        </w:rPr>
      </w:pPr>
      <w:r>
        <w:rPr>
          <w:rFonts w:hint="eastAsia" w:ascii="宋体" w:hAnsi="宋体" w:cs="宋体"/>
          <w:color w:val="auto"/>
          <w:szCs w:val="24"/>
          <w:highlight w:val="none"/>
        </w:rPr>
        <w:t>第五部分 采购合同的一般和特殊条款</w:t>
      </w:r>
    </w:p>
    <w:p>
      <w:pPr>
        <w:pStyle w:val="64"/>
        <w:numPr>
          <w:ilvl w:val="0"/>
          <w:numId w:val="12"/>
        </w:numPr>
        <w:spacing w:before="0"/>
        <w:ind w:firstLine="480"/>
        <w:rPr>
          <w:rFonts w:ascii="宋体" w:hAnsi="宋体" w:cs="宋体"/>
          <w:color w:val="auto"/>
          <w:szCs w:val="24"/>
          <w:highlight w:val="none"/>
        </w:rPr>
      </w:pPr>
      <w:r>
        <w:rPr>
          <w:rFonts w:hint="eastAsia" w:ascii="宋体" w:hAnsi="宋体" w:cs="宋体"/>
          <w:color w:val="auto"/>
          <w:szCs w:val="24"/>
          <w:highlight w:val="none"/>
        </w:rPr>
        <w:t>第六部分 应提交的有关格式范例</w:t>
      </w:r>
    </w:p>
    <w:p>
      <w:pPr>
        <w:pStyle w:val="64"/>
        <w:numPr>
          <w:ilvl w:val="0"/>
          <w:numId w:val="11"/>
        </w:numPr>
        <w:spacing w:before="0"/>
        <w:ind w:firstLine="480"/>
        <w:rPr>
          <w:rFonts w:ascii="宋体" w:hAnsi="宋体" w:cs="宋体"/>
          <w:color w:val="auto"/>
          <w:szCs w:val="24"/>
          <w:highlight w:val="none"/>
        </w:rPr>
      </w:pPr>
      <w:r>
        <w:rPr>
          <w:rFonts w:hint="eastAsia" w:ascii="宋体" w:hAnsi="宋体" w:cs="宋体"/>
          <w:color w:val="auto"/>
          <w:szCs w:val="24"/>
          <w:highlight w:val="none"/>
        </w:rPr>
        <w:t>投标人应认真审阅招标文件中所有的内容，包括编制和提交采购响应文件须知、评标办法及评分标准、项目技术规范和服务要求、采购合同的一般和特殊条款、应提交的有关格式范例等。</w:t>
      </w:r>
    </w:p>
    <w:p>
      <w:pPr>
        <w:pStyle w:val="15"/>
        <w:numPr>
          <w:ilvl w:val="0"/>
          <w:numId w:val="8"/>
        </w:numPr>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招标文件的解释</w:t>
      </w:r>
    </w:p>
    <w:p>
      <w:pPr>
        <w:pStyle w:val="64"/>
        <w:numPr>
          <w:ilvl w:val="0"/>
          <w:numId w:val="13"/>
        </w:numPr>
        <w:spacing w:before="0"/>
        <w:ind w:firstLine="480"/>
        <w:rPr>
          <w:rFonts w:ascii="宋体" w:hAnsi="宋体" w:cs="宋体"/>
          <w:color w:val="auto"/>
          <w:szCs w:val="24"/>
          <w:highlight w:val="none"/>
        </w:rPr>
      </w:pPr>
      <w:r>
        <w:rPr>
          <w:rFonts w:hint="eastAsia" w:ascii="宋体" w:hAnsi="宋体" w:cs="宋体"/>
          <w:color w:val="auto"/>
          <w:szCs w:val="24"/>
          <w:highlight w:val="none"/>
        </w:rPr>
        <w:t>已获取招标文件的潜在投标人，若有问题需要澄清，应于投标截止时间前，以书面形式向采购代理机构提出，采购代理机构与采购人研究后，对认为有必要回答的问题，将通过招标公告发布网站通知所有招标文件收受人。</w:t>
      </w:r>
    </w:p>
    <w:p>
      <w:pPr>
        <w:pStyle w:val="64"/>
        <w:numPr>
          <w:ilvl w:val="0"/>
          <w:numId w:val="13"/>
        </w:numPr>
        <w:spacing w:before="0"/>
        <w:ind w:firstLine="480"/>
        <w:rPr>
          <w:rFonts w:ascii="宋体" w:hAnsi="宋体" w:cs="宋体"/>
          <w:color w:val="auto"/>
          <w:szCs w:val="24"/>
          <w:highlight w:val="none"/>
        </w:rPr>
      </w:pPr>
      <w:r>
        <w:rPr>
          <w:rFonts w:hint="eastAsia" w:ascii="宋体" w:hAnsi="宋体" w:cs="宋体"/>
          <w:color w:val="auto"/>
          <w:szCs w:val="24"/>
          <w:highlight w:val="none"/>
        </w:rPr>
        <w:t>采购代理机构如对已发出的招标文件进行必要澄清或者修改的，将在发布招标公告的网站上发布更正公告，同时视情况延长投标截止时间和开标时间。该澄清或者修改的内容为招标文件的组成部分。</w:t>
      </w:r>
    </w:p>
    <w:p>
      <w:pPr>
        <w:pStyle w:val="64"/>
        <w:numPr>
          <w:ilvl w:val="0"/>
          <w:numId w:val="13"/>
        </w:numPr>
        <w:spacing w:before="0"/>
        <w:ind w:firstLine="480"/>
        <w:rPr>
          <w:rFonts w:ascii="宋体" w:hAnsi="宋体" w:cs="宋体"/>
          <w:color w:val="auto"/>
          <w:szCs w:val="24"/>
          <w:highlight w:val="none"/>
        </w:rPr>
      </w:pPr>
      <w:r>
        <w:rPr>
          <w:rFonts w:hint="eastAsia" w:ascii="宋体" w:hAnsi="宋体" w:cs="宋体"/>
          <w:color w:val="auto"/>
          <w:szCs w:val="24"/>
          <w:highlight w:val="none"/>
        </w:rPr>
        <w:t>不论采购代理机构向投标人发送的资料文件，还是投标人提出的问题，均采用书面形式。</w:t>
      </w:r>
    </w:p>
    <w:p>
      <w:pPr>
        <w:pStyle w:val="15"/>
        <w:numPr>
          <w:ilvl w:val="0"/>
          <w:numId w:val="8"/>
        </w:numPr>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招标文件的修改、澄清</w:t>
      </w:r>
    </w:p>
    <w:p>
      <w:pPr>
        <w:pStyle w:val="64"/>
        <w:numPr>
          <w:ilvl w:val="0"/>
          <w:numId w:val="14"/>
        </w:numPr>
        <w:spacing w:before="0"/>
        <w:ind w:firstLine="480"/>
        <w:rPr>
          <w:rFonts w:ascii="宋体" w:hAnsi="宋体" w:cs="宋体"/>
          <w:color w:val="auto"/>
          <w:szCs w:val="24"/>
          <w:highlight w:val="none"/>
        </w:rPr>
      </w:pPr>
      <w:r>
        <w:rPr>
          <w:rFonts w:hint="eastAsia" w:ascii="宋体" w:hAnsi="宋体" w:cs="宋体"/>
          <w:color w:val="auto"/>
          <w:szCs w:val="24"/>
          <w:highlight w:val="none"/>
        </w:rPr>
        <w:t>从招标文件发出至投标截止时间前，采购代理机构可能会以补充通知的方式修改招标文件。补充通知作为招标文件的组成部分，各潜在投标人应自行在公告发布网站查看。若有必要，采购代理机构将酌情延长递交投标文件的截止日期。</w:t>
      </w:r>
    </w:p>
    <w:p>
      <w:pPr>
        <w:pStyle w:val="64"/>
        <w:numPr>
          <w:ilvl w:val="0"/>
          <w:numId w:val="14"/>
        </w:numPr>
        <w:spacing w:before="0"/>
        <w:ind w:firstLine="480"/>
        <w:rPr>
          <w:rFonts w:ascii="宋体" w:hAnsi="宋体" w:cs="宋体"/>
          <w:color w:val="auto"/>
          <w:szCs w:val="24"/>
          <w:highlight w:val="none"/>
        </w:rPr>
      </w:pPr>
      <w:r>
        <w:rPr>
          <w:rFonts w:hint="eastAsia" w:ascii="宋体" w:hAnsi="宋体" w:cs="宋体"/>
          <w:color w:val="auto"/>
          <w:szCs w:val="24"/>
          <w:highlight w:val="none"/>
        </w:rPr>
        <w:t>对投标文件中含义不明、表述不一致或有明显计算错误等内容，评标委员会将对投标人进行询标，并要求投标人作电子澄清（询标由专家在政采云系统上发起询标函，投标人在澄清处在规定时间内进行答复）；投标人的电子澄清，应由法定代表人进行电子签章（也可由法定代表人或授权代表签字扫描后上传），作为投标文件的补充部分，但澄清的内容不得改变投标文件的实质性内容。</w:t>
      </w:r>
    </w:p>
    <w:p>
      <w:pPr>
        <w:pStyle w:val="15"/>
        <w:numPr>
          <w:ilvl w:val="0"/>
          <w:numId w:val="8"/>
        </w:numPr>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投标报价</w:t>
      </w:r>
    </w:p>
    <w:p>
      <w:pPr>
        <w:spacing w:line="360" w:lineRule="auto"/>
        <w:ind w:firstLine="480" w:firstLineChars="200"/>
        <w:rPr>
          <w:rFonts w:ascii="宋体" w:hAnsi="宋体" w:cs="宋体"/>
          <w:b/>
          <w:bCs/>
          <w:color w:val="auto"/>
          <w:sz w:val="32"/>
          <w:szCs w:val="32"/>
          <w:highlight w:val="none"/>
        </w:rPr>
      </w:pPr>
      <w:r>
        <w:rPr>
          <w:rFonts w:hint="eastAsia" w:hAnsi="宋体" w:cs="宋体"/>
          <w:color w:val="FF0000"/>
          <w:kern w:val="0"/>
          <w:sz w:val="24"/>
          <w:highlight w:val="none"/>
        </w:rPr>
        <w:t>投标</w:t>
      </w:r>
      <w:r>
        <w:rPr>
          <w:rFonts w:hint="eastAsia" w:hAnsi="宋体" w:cs="宋体"/>
          <w:color w:val="FF0000"/>
          <w:kern w:val="0"/>
          <w:sz w:val="24"/>
          <w:highlight w:val="none"/>
          <w:lang w:val="en-US" w:eastAsia="zh-CN"/>
        </w:rPr>
        <w:t>综合单</w:t>
      </w:r>
      <w:r>
        <w:rPr>
          <w:rFonts w:hint="eastAsia" w:hAnsi="宋体" w:cs="宋体"/>
          <w:color w:val="FF0000"/>
          <w:kern w:val="0"/>
          <w:sz w:val="24"/>
          <w:highlight w:val="none"/>
        </w:rPr>
        <w:t>价</w:t>
      </w:r>
      <w:r>
        <w:rPr>
          <w:rFonts w:hint="eastAsia" w:hAnsi="宋体" w:cs="宋体"/>
          <w:color w:val="auto"/>
          <w:kern w:val="0"/>
          <w:sz w:val="24"/>
          <w:highlight w:val="none"/>
        </w:rPr>
        <w:t>统一为人民币计价，</w:t>
      </w:r>
      <w:r>
        <w:rPr>
          <w:rFonts w:hint="eastAsia"/>
          <w:b/>
          <w:color w:val="auto"/>
          <w:sz w:val="24"/>
          <w:highlight w:val="none"/>
        </w:rPr>
        <w:t>应</w:t>
      </w:r>
      <w:r>
        <w:rPr>
          <w:b/>
          <w:color w:val="auto"/>
          <w:sz w:val="24"/>
          <w:highlight w:val="none"/>
        </w:rPr>
        <w:t>包括</w:t>
      </w:r>
      <w:r>
        <w:rPr>
          <w:rFonts w:hint="eastAsia"/>
          <w:b/>
          <w:color w:val="auto"/>
          <w:sz w:val="24"/>
          <w:highlight w:val="none"/>
        </w:rPr>
        <w:t>但不限于完成本项目服务可能发生的全部费用包括</w:t>
      </w:r>
      <w:r>
        <w:rPr>
          <w:rFonts w:hint="eastAsia" w:hAnsi="宋体" w:cs="宋体"/>
          <w:b/>
          <w:bCs/>
          <w:color w:val="auto"/>
          <w:sz w:val="24"/>
          <w:highlight w:val="none"/>
        </w:rPr>
        <w:t>保洁、管理人员的意外保险、</w:t>
      </w:r>
      <w:r>
        <w:rPr>
          <w:rFonts w:hint="eastAsia"/>
          <w:b/>
          <w:color w:val="auto"/>
          <w:sz w:val="24"/>
          <w:highlight w:val="none"/>
        </w:rPr>
        <w:t>工资福利、社保、服装费、办公用品、劳动用品、工器具、管理费、税费、垃圾清扫清运设备费用、运输费用、燃油、保养维修、垃圾处置及清运费用及不可预见费等所有费用</w:t>
      </w:r>
      <w:r>
        <w:rPr>
          <w:rFonts w:hint="eastAsia" w:hAnsi="宋体" w:cs="宋体"/>
          <w:color w:val="auto"/>
          <w:kern w:val="0"/>
          <w:sz w:val="24"/>
          <w:highlight w:val="none"/>
        </w:rPr>
        <w:t>。投标人在编写投标方案时应充分考虑各种风险因素，凡投标人漏项、漏报均认为已包含在报价中，结算时不再增加。</w:t>
      </w:r>
    </w:p>
    <w:p>
      <w:pPr>
        <w:pStyle w:val="64"/>
        <w:numPr>
          <w:ilvl w:val="0"/>
          <w:numId w:val="15"/>
        </w:numPr>
        <w:spacing w:before="0"/>
        <w:ind w:firstLine="480"/>
        <w:rPr>
          <w:rFonts w:ascii="宋体" w:hAnsi="宋体" w:cs="宋体"/>
          <w:color w:val="auto"/>
          <w:szCs w:val="24"/>
          <w:highlight w:val="none"/>
        </w:rPr>
      </w:pPr>
      <w:r>
        <w:rPr>
          <w:rFonts w:hint="eastAsia" w:ascii="宋体" w:hAnsi="宋体" w:cs="宋体"/>
          <w:color w:val="auto"/>
          <w:szCs w:val="24"/>
          <w:highlight w:val="none"/>
        </w:rPr>
        <w:t>其它费用处理</w:t>
      </w:r>
    </w:p>
    <w:p>
      <w:pPr>
        <w:pStyle w:val="64"/>
        <w:tabs>
          <w:tab w:val="left" w:pos="0"/>
        </w:tabs>
        <w:spacing w:before="0"/>
        <w:ind w:left="420" w:leftChars="200" w:firstLine="0" w:firstLineChars="0"/>
        <w:rPr>
          <w:rFonts w:ascii="宋体" w:hAnsi="宋体" w:cs="宋体"/>
          <w:color w:val="auto"/>
          <w:szCs w:val="24"/>
          <w:highlight w:val="none"/>
        </w:rPr>
      </w:pPr>
      <w:r>
        <w:rPr>
          <w:rFonts w:hint="eastAsia" w:ascii="宋体" w:hAnsi="宋体" w:cs="宋体"/>
          <w:color w:val="auto"/>
          <w:szCs w:val="24"/>
          <w:highlight w:val="none"/>
        </w:rPr>
        <w:t>招标文件未列明，而投标人认为必需的费用也需列入报价。</w:t>
      </w:r>
    </w:p>
    <w:p>
      <w:pPr>
        <w:pStyle w:val="64"/>
        <w:numPr>
          <w:ilvl w:val="0"/>
          <w:numId w:val="15"/>
        </w:numPr>
        <w:spacing w:before="0"/>
        <w:ind w:firstLine="480"/>
        <w:rPr>
          <w:rFonts w:ascii="宋体" w:hAnsi="宋体" w:cs="宋体"/>
          <w:color w:val="auto"/>
          <w:szCs w:val="24"/>
          <w:highlight w:val="none"/>
        </w:rPr>
      </w:pPr>
      <w:r>
        <w:rPr>
          <w:rFonts w:hint="eastAsia" w:ascii="宋体" w:hAnsi="宋体" w:cs="宋体"/>
          <w:color w:val="auto"/>
          <w:szCs w:val="24"/>
          <w:highlight w:val="none"/>
        </w:rPr>
        <w:t>投标货币</w:t>
      </w:r>
    </w:p>
    <w:p>
      <w:pPr>
        <w:pStyle w:val="64"/>
        <w:snapToGrid w:val="0"/>
        <w:spacing w:before="0" w:line="500" w:lineRule="exact"/>
        <w:ind w:firstLine="480"/>
        <w:rPr>
          <w:rFonts w:ascii="宋体" w:hAnsi="宋体" w:cs="宋体"/>
          <w:color w:val="auto"/>
          <w:szCs w:val="24"/>
          <w:highlight w:val="none"/>
        </w:rPr>
      </w:pPr>
      <w:r>
        <w:rPr>
          <w:rFonts w:hint="eastAsia" w:ascii="宋体" w:hAnsi="宋体" w:cs="宋体"/>
          <w:color w:val="auto"/>
          <w:szCs w:val="24"/>
          <w:highlight w:val="none"/>
        </w:rPr>
        <w:t>投标文件中价格全部采用人民币报价。报价应是唯一的, 采购代理机构将不接受有选择的报价。</w:t>
      </w:r>
    </w:p>
    <w:p>
      <w:pPr>
        <w:pStyle w:val="9"/>
        <w:snapToGrid w:val="0"/>
        <w:ind w:firstLine="480" w:firstLineChars="200"/>
        <w:rPr>
          <w:rFonts w:hAnsi="宋体" w:cs="宋体"/>
          <w:color w:val="auto"/>
          <w:szCs w:val="24"/>
          <w:highlight w:val="none"/>
        </w:rPr>
      </w:pPr>
    </w:p>
    <w:p>
      <w:pPr>
        <w:snapToGrid w:val="0"/>
        <w:spacing w:line="360" w:lineRule="auto"/>
        <w:jc w:val="center"/>
        <w:outlineLvl w:val="0"/>
        <w:rPr>
          <w:rFonts w:ascii="宋体" w:hAnsi="宋体" w:cs="宋体"/>
          <w:b/>
          <w:color w:val="auto"/>
          <w:sz w:val="32"/>
          <w:highlight w:val="none"/>
        </w:rPr>
      </w:pPr>
      <w:bookmarkStart w:id="36" w:name="_Hlt75236011"/>
      <w:bookmarkEnd w:id="36"/>
      <w:bookmarkStart w:id="37" w:name="_Toc26969"/>
      <w:bookmarkStart w:id="38" w:name="_Toc91899884"/>
      <w:r>
        <w:rPr>
          <w:rFonts w:hint="eastAsia" w:ascii="宋体" w:hAnsi="宋体" w:cs="宋体"/>
          <w:b/>
          <w:color w:val="auto"/>
          <w:sz w:val="32"/>
          <w:highlight w:val="none"/>
        </w:rPr>
        <w:t>三、投标文件的编制</w:t>
      </w:r>
      <w:bookmarkEnd w:id="37"/>
      <w:bookmarkEnd w:id="38"/>
    </w:p>
    <w:p>
      <w:pPr>
        <w:pStyle w:val="15"/>
        <w:numPr>
          <w:ilvl w:val="0"/>
          <w:numId w:val="8"/>
        </w:numPr>
        <w:spacing w:line="360" w:lineRule="auto"/>
        <w:ind w:firstLine="482" w:firstLineChars="200"/>
        <w:rPr>
          <w:rFonts w:hAnsi="宋体" w:cs="宋体"/>
          <w:b/>
          <w:color w:val="auto"/>
          <w:sz w:val="24"/>
          <w:szCs w:val="24"/>
          <w:highlight w:val="none"/>
        </w:rPr>
      </w:pPr>
      <w:bookmarkStart w:id="39" w:name="_Toc86216991"/>
      <w:bookmarkStart w:id="40" w:name="_Toc91899892"/>
      <w:r>
        <w:rPr>
          <w:rFonts w:hint="eastAsia" w:hAnsi="宋体" w:cs="宋体"/>
          <w:b/>
          <w:color w:val="auto"/>
          <w:sz w:val="24"/>
          <w:szCs w:val="24"/>
          <w:highlight w:val="none"/>
        </w:rPr>
        <w:t>投标文件的语言</w:t>
      </w:r>
    </w:p>
    <w:p>
      <w:pPr>
        <w:pStyle w:val="64"/>
        <w:tabs>
          <w:tab w:val="left" w:pos="0"/>
        </w:tabs>
        <w:spacing w:before="0"/>
        <w:ind w:firstLine="480"/>
        <w:rPr>
          <w:rFonts w:ascii="宋体" w:hAnsi="宋体" w:cs="宋体"/>
          <w:color w:val="auto"/>
          <w:szCs w:val="24"/>
          <w:highlight w:val="none"/>
          <w:lang w:val="zh-CN"/>
        </w:rPr>
      </w:pPr>
      <w:r>
        <w:rPr>
          <w:rFonts w:hint="eastAsia" w:ascii="宋体" w:hAnsi="宋体" w:cs="宋体"/>
          <w:color w:val="auto"/>
          <w:szCs w:val="24"/>
          <w:highlight w:val="none"/>
        </w:rPr>
        <w:t>投标文件及投标人与采购有关的来往通知、函件和文件均应使用中文。</w:t>
      </w:r>
    </w:p>
    <w:p>
      <w:pPr>
        <w:pStyle w:val="15"/>
        <w:numPr>
          <w:ilvl w:val="0"/>
          <w:numId w:val="8"/>
        </w:numPr>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投标文件的组成</w:t>
      </w:r>
    </w:p>
    <w:p>
      <w:pPr>
        <w:pStyle w:val="64"/>
        <w:tabs>
          <w:tab w:val="left" w:pos="0"/>
        </w:tabs>
        <w:spacing w:before="0"/>
        <w:ind w:firstLine="480"/>
        <w:rPr>
          <w:rFonts w:ascii="宋体" w:hAnsi="宋体" w:cs="宋体"/>
          <w:color w:val="auto"/>
          <w:szCs w:val="24"/>
          <w:highlight w:val="none"/>
        </w:rPr>
      </w:pPr>
      <w:r>
        <w:rPr>
          <w:rFonts w:hint="eastAsia" w:ascii="宋体" w:hAnsi="宋体" w:cs="宋体"/>
          <w:color w:val="auto"/>
          <w:szCs w:val="24"/>
          <w:highlight w:val="none"/>
        </w:rPr>
        <w:t>投标文件应当包括以下主要内容：资格文件、商务技术文件、报价文件。</w:t>
      </w:r>
    </w:p>
    <w:p>
      <w:pPr>
        <w:pStyle w:val="64"/>
        <w:numPr>
          <w:ilvl w:val="0"/>
          <w:numId w:val="16"/>
        </w:numPr>
        <w:spacing w:before="0"/>
        <w:ind w:firstLine="480"/>
        <w:rPr>
          <w:rFonts w:ascii="宋体" w:hAnsi="宋体" w:cs="宋体"/>
          <w:color w:val="auto"/>
          <w:szCs w:val="24"/>
          <w:highlight w:val="none"/>
        </w:rPr>
      </w:pPr>
      <w:r>
        <w:rPr>
          <w:rFonts w:hint="eastAsia" w:ascii="宋体" w:hAnsi="宋体" w:cs="宋体"/>
          <w:color w:val="auto"/>
          <w:szCs w:val="24"/>
          <w:highlight w:val="none"/>
        </w:rPr>
        <w:t>资格文件包括以下内容：</w:t>
      </w:r>
    </w:p>
    <w:p>
      <w:pPr>
        <w:pStyle w:val="64"/>
        <w:numPr>
          <w:ilvl w:val="0"/>
          <w:numId w:val="17"/>
        </w:numPr>
        <w:spacing w:before="0"/>
        <w:ind w:firstLine="480"/>
        <w:rPr>
          <w:rFonts w:ascii="宋体" w:hAnsi="宋体" w:cs="宋体"/>
          <w:color w:val="auto"/>
          <w:szCs w:val="24"/>
          <w:highlight w:val="none"/>
        </w:rPr>
      </w:pPr>
      <w:r>
        <w:rPr>
          <w:rFonts w:hint="eastAsia" w:ascii="宋体" w:hAnsi="宋体" w:cs="宋体"/>
          <w:color w:val="auto"/>
          <w:szCs w:val="24"/>
          <w:highlight w:val="none"/>
        </w:rPr>
        <w:t>法定代表人授权书（格式见附件）；如法定代表人直接参加投标并对相应文件签字的（签字是指线下签字扫描后上传或者线上进行电子签章），只需提供其身份证复印件，否则应提供授权代表身份证复印件；</w:t>
      </w:r>
    </w:p>
    <w:p>
      <w:pPr>
        <w:pStyle w:val="64"/>
        <w:numPr>
          <w:ilvl w:val="0"/>
          <w:numId w:val="17"/>
        </w:numPr>
        <w:spacing w:before="0"/>
        <w:ind w:firstLine="480"/>
        <w:rPr>
          <w:rFonts w:ascii="宋体" w:hAnsi="宋体" w:cs="宋体"/>
          <w:color w:val="auto"/>
          <w:szCs w:val="24"/>
          <w:highlight w:val="none"/>
        </w:rPr>
      </w:pPr>
      <w:r>
        <w:rPr>
          <w:rFonts w:hint="eastAsia" w:ascii="宋体" w:hAnsi="宋体" w:cs="宋体"/>
          <w:color w:val="auto"/>
          <w:szCs w:val="24"/>
          <w:highlight w:val="none"/>
        </w:rPr>
        <w:t>声明书（格式见附件）；</w:t>
      </w:r>
    </w:p>
    <w:p>
      <w:pPr>
        <w:pStyle w:val="64"/>
        <w:numPr>
          <w:ilvl w:val="0"/>
          <w:numId w:val="17"/>
        </w:numPr>
        <w:spacing w:before="0"/>
        <w:ind w:firstLine="480"/>
        <w:rPr>
          <w:rFonts w:ascii="宋体" w:hAnsi="宋体" w:cs="宋体"/>
          <w:color w:val="auto"/>
          <w:szCs w:val="24"/>
          <w:highlight w:val="none"/>
        </w:rPr>
      </w:pPr>
      <w:r>
        <w:rPr>
          <w:rFonts w:hint="eastAsia" w:ascii="宋体" w:hAnsi="宋体" w:cs="宋体"/>
          <w:color w:val="auto"/>
          <w:szCs w:val="24"/>
          <w:highlight w:val="none"/>
        </w:rPr>
        <w:t>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事业单位的，则提供有效的《事业单位法人证书》副本复印件并加盖单位公章；</w:t>
      </w:r>
    </w:p>
    <w:p>
      <w:pPr>
        <w:pStyle w:val="64"/>
        <w:spacing w:before="0"/>
        <w:ind w:firstLineChars="0"/>
        <w:rPr>
          <w:rFonts w:ascii="宋体" w:hAnsi="宋体" w:cs="宋体"/>
          <w:color w:val="auto"/>
          <w:szCs w:val="24"/>
          <w:highlight w:val="none"/>
        </w:rPr>
      </w:pPr>
      <w:r>
        <w:rPr>
          <w:rFonts w:hint="eastAsia" w:ascii="宋体" w:hAnsi="宋体" w:cs="宋体"/>
          <w:color w:val="auto"/>
          <w:szCs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采购活动，由单位负责人签署相关文件材料；</w:t>
      </w:r>
    </w:p>
    <w:p>
      <w:pPr>
        <w:pStyle w:val="64"/>
        <w:numPr>
          <w:ilvl w:val="0"/>
          <w:numId w:val="17"/>
        </w:numPr>
        <w:spacing w:before="0"/>
        <w:ind w:firstLine="480"/>
        <w:rPr>
          <w:rFonts w:ascii="宋体" w:hAnsi="宋体" w:cs="宋体"/>
          <w:color w:val="auto"/>
          <w:szCs w:val="24"/>
          <w:highlight w:val="none"/>
        </w:rPr>
      </w:pPr>
      <w:r>
        <w:rPr>
          <w:rFonts w:hint="eastAsia" w:ascii="宋体" w:hAnsi="宋体" w:cs="宋体"/>
          <w:color w:val="auto"/>
          <w:szCs w:val="24"/>
          <w:highlight w:val="none"/>
        </w:rPr>
        <w:t>前一年度资产负债表等财务报表资料文件（新成立的公司，必须提供情况说明）；</w:t>
      </w:r>
    </w:p>
    <w:p>
      <w:pPr>
        <w:pStyle w:val="64"/>
        <w:numPr>
          <w:ilvl w:val="0"/>
          <w:numId w:val="17"/>
        </w:numPr>
        <w:spacing w:before="0"/>
        <w:ind w:firstLine="480"/>
        <w:rPr>
          <w:rFonts w:ascii="宋体" w:hAnsi="宋体" w:cs="宋体"/>
          <w:color w:val="auto"/>
          <w:szCs w:val="24"/>
          <w:highlight w:val="none"/>
        </w:rPr>
      </w:pPr>
      <w:r>
        <w:rPr>
          <w:rFonts w:hint="eastAsia" w:ascii="宋体" w:hAnsi="宋体" w:cs="宋体"/>
          <w:color w:val="auto"/>
          <w:szCs w:val="24"/>
          <w:highlight w:val="none"/>
        </w:rPr>
        <w:t>具有履行合同所必需的设备和专业技术、售后保障等能力的承诺函；</w:t>
      </w:r>
    </w:p>
    <w:p>
      <w:pPr>
        <w:pStyle w:val="64"/>
        <w:numPr>
          <w:ilvl w:val="0"/>
          <w:numId w:val="17"/>
        </w:numPr>
        <w:spacing w:before="0"/>
        <w:ind w:firstLine="480"/>
        <w:rPr>
          <w:rFonts w:ascii="宋体" w:hAnsi="宋体" w:cs="宋体"/>
          <w:color w:val="auto"/>
          <w:szCs w:val="24"/>
          <w:highlight w:val="none"/>
        </w:rPr>
      </w:pPr>
      <w:r>
        <w:rPr>
          <w:rFonts w:hint="eastAsia" w:ascii="宋体" w:hAnsi="宋体" w:cs="宋体"/>
          <w:color w:val="auto"/>
          <w:szCs w:val="24"/>
          <w:highlight w:val="none"/>
        </w:rPr>
        <w:t>提供有效的依法缴纳税收证明（完税凭证或税务部门出具的证明）和提供有效的依法缴纳社会保障资金证明（缴纳凭证或人社部门出具的证明）；</w:t>
      </w:r>
    </w:p>
    <w:p>
      <w:pPr>
        <w:pStyle w:val="64"/>
        <w:numPr>
          <w:ilvl w:val="0"/>
          <w:numId w:val="17"/>
        </w:numPr>
        <w:spacing w:before="0"/>
        <w:ind w:firstLine="480"/>
        <w:rPr>
          <w:rFonts w:ascii="宋体" w:hAnsi="宋体" w:cs="宋体"/>
          <w:color w:val="auto"/>
          <w:szCs w:val="24"/>
          <w:highlight w:val="none"/>
        </w:rPr>
      </w:pPr>
      <w:r>
        <w:rPr>
          <w:rFonts w:hint="eastAsia" w:ascii="宋体" w:hAnsi="宋体" w:cs="宋体"/>
          <w:color w:val="auto"/>
          <w:szCs w:val="24"/>
          <w:highlight w:val="none"/>
        </w:rPr>
        <w:t>参加采购活动前三年内，没有重大违法记录、严重失信行为和行贿记录的声明。</w:t>
      </w:r>
    </w:p>
    <w:p>
      <w:pPr>
        <w:pStyle w:val="64"/>
        <w:numPr>
          <w:ilvl w:val="0"/>
          <w:numId w:val="17"/>
        </w:numPr>
        <w:spacing w:before="0"/>
        <w:ind w:firstLine="480"/>
        <w:rPr>
          <w:rFonts w:ascii="宋体" w:hAnsi="宋体" w:cs="宋体"/>
          <w:color w:val="auto"/>
          <w:szCs w:val="24"/>
          <w:highlight w:val="none"/>
        </w:rPr>
      </w:pPr>
      <w:r>
        <w:rPr>
          <w:rFonts w:hint="eastAsia" w:ascii="宋体" w:hAnsi="宋体" w:cs="宋体"/>
          <w:color w:val="auto"/>
          <w:szCs w:val="24"/>
          <w:highlight w:val="none"/>
        </w:rPr>
        <w:t>投标保证金截图凭证（写明退款单位开户行、开户账号、税号）。</w:t>
      </w:r>
    </w:p>
    <w:p>
      <w:pPr>
        <w:pStyle w:val="64"/>
        <w:numPr>
          <w:ilvl w:val="0"/>
          <w:numId w:val="16"/>
        </w:numPr>
        <w:spacing w:before="0"/>
        <w:ind w:firstLine="480"/>
        <w:rPr>
          <w:rFonts w:ascii="宋体" w:hAnsi="宋体" w:cs="宋体"/>
          <w:color w:val="auto"/>
          <w:szCs w:val="24"/>
          <w:highlight w:val="none"/>
        </w:rPr>
      </w:pPr>
      <w:r>
        <w:rPr>
          <w:rFonts w:hint="eastAsia" w:ascii="宋体" w:hAnsi="宋体" w:cs="宋体"/>
          <w:color w:val="auto"/>
          <w:szCs w:val="24"/>
          <w:highlight w:val="none"/>
        </w:rPr>
        <w:t>商务技术文件，本次招标需要投标人提供以下项所列的技术文件：</w:t>
      </w:r>
    </w:p>
    <w:p>
      <w:pPr>
        <w:pStyle w:val="64"/>
        <w:numPr>
          <w:ilvl w:val="0"/>
          <w:numId w:val="18"/>
        </w:numPr>
        <w:spacing w:before="0"/>
        <w:ind w:firstLine="480" w:firstLineChars="0"/>
        <w:rPr>
          <w:rFonts w:ascii="宋体"/>
          <w:color w:val="auto"/>
          <w:highlight w:val="none"/>
        </w:rPr>
      </w:pPr>
      <w:r>
        <w:rPr>
          <w:rFonts w:hint="eastAsia" w:ascii="宋体" w:hAnsi="宋体" w:cs="宋体"/>
          <w:color w:val="auto"/>
          <w:highlight w:val="none"/>
        </w:rPr>
        <w:t>评分对应表（格式见附件，主要用于评委对应评分内容）</w:t>
      </w:r>
    </w:p>
    <w:p>
      <w:pPr>
        <w:pStyle w:val="64"/>
        <w:numPr>
          <w:ilvl w:val="0"/>
          <w:numId w:val="18"/>
        </w:numPr>
        <w:spacing w:before="0"/>
        <w:ind w:firstLine="480" w:firstLineChars="0"/>
        <w:rPr>
          <w:rFonts w:ascii="宋体"/>
          <w:color w:val="auto"/>
          <w:highlight w:val="none"/>
        </w:rPr>
      </w:pPr>
      <w:r>
        <w:rPr>
          <w:rFonts w:hint="eastAsia" w:ascii="宋体" w:hAnsi="宋体" w:cs="宋体"/>
          <w:color w:val="auto"/>
          <w:highlight w:val="none"/>
        </w:rPr>
        <w:t>供应商商务技术文件中资信分自评表（格式见附件）；</w:t>
      </w:r>
    </w:p>
    <w:p>
      <w:pPr>
        <w:pStyle w:val="64"/>
        <w:numPr>
          <w:ilvl w:val="0"/>
          <w:numId w:val="18"/>
        </w:numPr>
        <w:spacing w:before="0"/>
        <w:ind w:firstLine="480" w:firstLineChars="0"/>
        <w:rPr>
          <w:rFonts w:ascii="宋体"/>
          <w:color w:val="auto"/>
          <w:highlight w:val="none"/>
        </w:rPr>
      </w:pPr>
      <w:r>
        <w:rPr>
          <w:rFonts w:hint="eastAsia" w:ascii="宋体" w:hAnsi="宋体" w:cs="宋体"/>
          <w:color w:val="auto"/>
          <w:highlight w:val="none"/>
        </w:rPr>
        <w:t>技术响应及建议表（格式见附件）；</w:t>
      </w:r>
    </w:p>
    <w:p>
      <w:pPr>
        <w:pStyle w:val="64"/>
        <w:numPr>
          <w:ilvl w:val="0"/>
          <w:numId w:val="18"/>
        </w:numPr>
        <w:spacing w:before="0"/>
        <w:ind w:firstLine="480" w:firstLineChars="0"/>
        <w:rPr>
          <w:rFonts w:ascii="宋体"/>
          <w:color w:val="auto"/>
          <w:highlight w:val="none"/>
        </w:rPr>
      </w:pPr>
      <w:r>
        <w:rPr>
          <w:rFonts w:hint="eastAsia" w:ascii="宋体" w:hAnsi="宋体" w:cs="宋体"/>
          <w:color w:val="auto"/>
          <w:highlight w:val="none"/>
        </w:rPr>
        <w:t>商务响应表（格式见附件）；</w:t>
      </w:r>
    </w:p>
    <w:p>
      <w:pPr>
        <w:pStyle w:val="64"/>
        <w:numPr>
          <w:ilvl w:val="0"/>
          <w:numId w:val="18"/>
        </w:numPr>
        <w:spacing w:before="0"/>
        <w:ind w:firstLine="480" w:firstLineChars="0"/>
        <w:rPr>
          <w:rFonts w:ascii="宋体" w:hAnsi="宋体" w:cs="宋体"/>
          <w:color w:val="auto"/>
          <w:highlight w:val="none"/>
        </w:rPr>
      </w:pPr>
      <w:r>
        <w:rPr>
          <w:rFonts w:hint="eastAsia" w:ascii="宋体" w:hAnsi="宋体" w:cs="宋体"/>
          <w:color w:val="auto"/>
          <w:highlight w:val="none"/>
        </w:rPr>
        <w:t>本项目人员配置情况</w:t>
      </w:r>
    </w:p>
    <w:p>
      <w:pPr>
        <w:pStyle w:val="64"/>
        <w:numPr>
          <w:ilvl w:val="0"/>
          <w:numId w:val="18"/>
        </w:numPr>
        <w:spacing w:before="0"/>
        <w:ind w:firstLine="480" w:firstLineChars="0"/>
        <w:rPr>
          <w:rFonts w:ascii="宋体" w:hAnsi="宋体" w:cs="宋体"/>
          <w:color w:val="auto"/>
          <w:highlight w:val="none"/>
        </w:rPr>
      </w:pPr>
      <w:r>
        <w:rPr>
          <w:rFonts w:hint="eastAsia" w:ascii="宋体" w:hAnsi="宋体" w:cs="宋体"/>
          <w:color w:val="auto"/>
          <w:highlight w:val="none"/>
        </w:rPr>
        <w:t>作业设备能力</w:t>
      </w:r>
    </w:p>
    <w:p>
      <w:pPr>
        <w:pStyle w:val="64"/>
        <w:numPr>
          <w:ilvl w:val="0"/>
          <w:numId w:val="18"/>
        </w:numPr>
        <w:spacing w:before="0"/>
        <w:ind w:firstLine="480" w:firstLineChars="0"/>
        <w:rPr>
          <w:rFonts w:ascii="宋体" w:hAnsi="宋体" w:cs="宋体"/>
          <w:color w:val="auto"/>
          <w:highlight w:val="none"/>
        </w:rPr>
      </w:pPr>
      <w:r>
        <w:rPr>
          <w:rFonts w:hint="eastAsia" w:ascii="宋体" w:hAnsi="宋体" w:cs="宋体"/>
          <w:color w:val="auto"/>
          <w:highlight w:val="none"/>
        </w:rPr>
        <w:t>绿化带保洁方案</w:t>
      </w:r>
    </w:p>
    <w:p>
      <w:pPr>
        <w:pStyle w:val="64"/>
        <w:numPr>
          <w:ilvl w:val="0"/>
          <w:numId w:val="18"/>
        </w:numPr>
        <w:spacing w:before="0"/>
        <w:ind w:firstLine="480" w:firstLineChars="0"/>
        <w:rPr>
          <w:rFonts w:ascii="宋体" w:hAnsi="宋体" w:cs="宋体"/>
          <w:color w:val="auto"/>
          <w:highlight w:val="none"/>
        </w:rPr>
      </w:pPr>
      <w:r>
        <w:rPr>
          <w:rFonts w:hint="eastAsia" w:ascii="宋体" w:hAnsi="宋体" w:cs="宋体"/>
          <w:color w:val="auto"/>
          <w:highlight w:val="none"/>
        </w:rPr>
        <w:t>道路保洁方案</w:t>
      </w:r>
    </w:p>
    <w:p>
      <w:pPr>
        <w:pStyle w:val="64"/>
        <w:numPr>
          <w:ilvl w:val="0"/>
          <w:numId w:val="18"/>
        </w:numPr>
        <w:spacing w:before="0"/>
        <w:ind w:firstLine="480" w:firstLineChars="0"/>
        <w:rPr>
          <w:rFonts w:ascii="宋体" w:hAnsi="宋体" w:cs="宋体"/>
          <w:color w:val="auto"/>
          <w:highlight w:val="none"/>
        </w:rPr>
      </w:pPr>
      <w:r>
        <w:rPr>
          <w:rFonts w:hint="eastAsia" w:ascii="宋体" w:hAnsi="宋体" w:cs="宋体"/>
          <w:color w:val="auto"/>
          <w:highlight w:val="none"/>
        </w:rPr>
        <w:t>特殊时期应急保障方案</w:t>
      </w:r>
    </w:p>
    <w:p>
      <w:pPr>
        <w:pStyle w:val="64"/>
        <w:numPr>
          <w:ilvl w:val="0"/>
          <w:numId w:val="18"/>
        </w:numPr>
        <w:spacing w:before="0"/>
        <w:ind w:firstLine="480" w:firstLineChars="0"/>
        <w:rPr>
          <w:rFonts w:ascii="宋体" w:hAnsi="宋体" w:cs="宋体"/>
          <w:color w:val="auto"/>
          <w:highlight w:val="none"/>
        </w:rPr>
      </w:pPr>
      <w:r>
        <w:rPr>
          <w:rFonts w:hint="eastAsia" w:ascii="宋体" w:hAnsi="宋体" w:cs="宋体"/>
          <w:color w:val="auto"/>
          <w:highlight w:val="none"/>
        </w:rPr>
        <w:t>安全措施及安全教育方案</w:t>
      </w:r>
    </w:p>
    <w:p>
      <w:pPr>
        <w:pStyle w:val="64"/>
        <w:numPr>
          <w:ilvl w:val="0"/>
          <w:numId w:val="18"/>
        </w:numPr>
        <w:spacing w:before="0"/>
        <w:ind w:firstLine="480" w:firstLineChars="0"/>
        <w:rPr>
          <w:rFonts w:ascii="宋体" w:hAnsi="宋体" w:cs="宋体"/>
          <w:color w:val="auto"/>
          <w:highlight w:val="none"/>
        </w:rPr>
      </w:pPr>
      <w:r>
        <w:rPr>
          <w:rFonts w:hint="eastAsia" w:ascii="宋体" w:hAnsi="宋体" w:cs="宋体"/>
          <w:color w:val="auto"/>
          <w:highlight w:val="none"/>
        </w:rPr>
        <w:t>企业业绩</w:t>
      </w:r>
    </w:p>
    <w:p>
      <w:pPr>
        <w:pStyle w:val="64"/>
        <w:numPr>
          <w:ilvl w:val="0"/>
          <w:numId w:val="18"/>
        </w:numPr>
        <w:spacing w:before="0"/>
        <w:ind w:firstLine="480" w:firstLineChars="0"/>
        <w:rPr>
          <w:rFonts w:ascii="宋体" w:hAnsi="宋体" w:cs="宋体"/>
          <w:color w:val="auto"/>
          <w:highlight w:val="none"/>
        </w:rPr>
      </w:pPr>
      <w:r>
        <w:rPr>
          <w:rFonts w:hint="eastAsia" w:ascii="宋体" w:hAnsi="宋体" w:cs="宋体"/>
          <w:color w:val="auto"/>
          <w:highlight w:val="none"/>
        </w:rPr>
        <w:t>现场负责人业绩</w:t>
      </w:r>
    </w:p>
    <w:p>
      <w:pPr>
        <w:pStyle w:val="64"/>
        <w:numPr>
          <w:ilvl w:val="0"/>
          <w:numId w:val="18"/>
        </w:numPr>
        <w:spacing w:before="0"/>
        <w:ind w:firstLine="480" w:firstLineChars="0"/>
        <w:rPr>
          <w:rFonts w:ascii="宋体" w:hAnsi="宋体" w:cs="宋体"/>
          <w:color w:val="auto"/>
          <w:highlight w:val="none"/>
        </w:rPr>
      </w:pPr>
      <w:r>
        <w:rPr>
          <w:rFonts w:hint="eastAsia" w:ascii="宋体" w:hAnsi="宋体" w:cs="宋体"/>
          <w:color w:val="auto"/>
          <w:highlight w:val="none"/>
        </w:rPr>
        <w:t>企业荣誉</w:t>
      </w:r>
    </w:p>
    <w:p>
      <w:pPr>
        <w:pStyle w:val="64"/>
        <w:numPr>
          <w:ilvl w:val="0"/>
          <w:numId w:val="18"/>
        </w:numPr>
        <w:spacing w:before="0"/>
        <w:ind w:firstLine="480" w:firstLineChars="0"/>
        <w:rPr>
          <w:rFonts w:ascii="宋体" w:hAnsi="宋体" w:cs="宋体"/>
          <w:color w:val="auto"/>
          <w:highlight w:val="none"/>
        </w:rPr>
      </w:pPr>
      <w:r>
        <w:rPr>
          <w:rFonts w:hint="eastAsia" w:ascii="宋体" w:hAnsi="宋体" w:cs="宋体"/>
          <w:color w:val="auto"/>
          <w:highlight w:val="none"/>
        </w:rPr>
        <w:t>认证</w:t>
      </w:r>
    </w:p>
    <w:p>
      <w:pPr>
        <w:pStyle w:val="64"/>
        <w:numPr>
          <w:ilvl w:val="0"/>
          <w:numId w:val="18"/>
        </w:numPr>
        <w:spacing w:before="0"/>
        <w:ind w:firstLine="480" w:firstLineChars="0"/>
        <w:rPr>
          <w:rFonts w:ascii="宋体"/>
          <w:color w:val="auto"/>
          <w:highlight w:val="none"/>
        </w:rPr>
      </w:pPr>
      <w:r>
        <w:rPr>
          <w:rFonts w:hint="eastAsia" w:ascii="宋体" w:hAnsi="宋体" w:cs="宋体"/>
          <w:color w:val="auto"/>
          <w:highlight w:val="none"/>
        </w:rPr>
        <w:t>供应商认为需要的其他文件资料。</w:t>
      </w:r>
    </w:p>
    <w:p>
      <w:pPr>
        <w:pStyle w:val="64"/>
        <w:tabs>
          <w:tab w:val="left" w:pos="0"/>
        </w:tabs>
        <w:spacing w:before="0"/>
        <w:ind w:firstLine="480"/>
        <w:rPr>
          <w:rFonts w:ascii="宋体" w:hAnsi="宋体" w:cs="宋体"/>
          <w:color w:val="auto"/>
          <w:szCs w:val="24"/>
          <w:highlight w:val="none"/>
        </w:rPr>
      </w:pPr>
      <w:r>
        <w:rPr>
          <w:rFonts w:hint="eastAsia" w:ascii="宋体" w:hAnsi="宋体" w:cs="宋体"/>
          <w:color w:val="auto"/>
          <w:szCs w:val="24"/>
          <w:highlight w:val="none"/>
        </w:rPr>
        <w:t>注：以上内容应与评标办法中内容具有一致性。</w:t>
      </w:r>
    </w:p>
    <w:p>
      <w:pPr>
        <w:pStyle w:val="64"/>
        <w:tabs>
          <w:tab w:val="left" w:pos="0"/>
        </w:tabs>
        <w:spacing w:before="0"/>
        <w:ind w:firstLine="480"/>
        <w:rPr>
          <w:rFonts w:ascii="宋体" w:hAnsi="宋体" w:cs="宋体"/>
          <w:color w:val="auto"/>
          <w:szCs w:val="24"/>
          <w:highlight w:val="none"/>
        </w:rPr>
      </w:pPr>
      <w:r>
        <w:rPr>
          <w:rFonts w:hint="eastAsia" w:ascii="宋体" w:hAnsi="宋体" w:cs="宋体"/>
          <w:color w:val="auto"/>
          <w:szCs w:val="24"/>
          <w:highlight w:val="none"/>
        </w:rPr>
        <w:t>投标人在投标文件中应对项目技术规范和服务要求中所提出各项要求进行答复、说明和解释。如果投标人在技术偏离表中注明无偏离，评标结束后、签订采购合同前又认为其实际产品与投标技术需求不一致的，视为投标人在投标有效期内对其投标文件进行了实质性修改，其投标将被追认为无效投标。</w:t>
      </w:r>
      <w:r>
        <w:rPr>
          <w:rFonts w:hint="eastAsia" w:ascii="宋体" w:hAnsi="宋体" w:cs="宋体"/>
          <w:b/>
          <w:bCs/>
          <w:color w:val="auto"/>
          <w:szCs w:val="24"/>
          <w:highlight w:val="none"/>
        </w:rPr>
        <w:t>采购代理机构将把这一情况报送采购监管部门。实质性指标、关键性指标和重要指标需提供证明材料，如技术偏离表中仅复制粘贴而未说明或提供证明材料的，其产生的影响直至被认定为未实质性响应的后果将由供应商自行承担。</w:t>
      </w:r>
    </w:p>
    <w:p>
      <w:pPr>
        <w:pStyle w:val="64"/>
        <w:numPr>
          <w:ilvl w:val="0"/>
          <w:numId w:val="16"/>
        </w:numPr>
        <w:spacing w:before="0"/>
        <w:ind w:firstLine="480"/>
        <w:rPr>
          <w:rFonts w:ascii="宋体" w:hAnsi="宋体" w:cs="宋体"/>
          <w:color w:val="auto"/>
          <w:szCs w:val="24"/>
          <w:highlight w:val="none"/>
        </w:rPr>
      </w:pPr>
      <w:r>
        <w:rPr>
          <w:rFonts w:hint="eastAsia" w:ascii="宋体" w:hAnsi="宋体" w:cs="宋体"/>
          <w:color w:val="auto"/>
          <w:szCs w:val="24"/>
          <w:highlight w:val="none"/>
        </w:rPr>
        <w:t>报价文件包括以下内容：</w:t>
      </w:r>
    </w:p>
    <w:p>
      <w:pPr>
        <w:pStyle w:val="64"/>
        <w:numPr>
          <w:ilvl w:val="0"/>
          <w:numId w:val="19"/>
        </w:numPr>
        <w:spacing w:before="0"/>
        <w:ind w:firstLine="480"/>
        <w:rPr>
          <w:rFonts w:ascii="宋体" w:hAnsi="宋体" w:cs="宋体"/>
          <w:color w:val="auto"/>
          <w:szCs w:val="24"/>
          <w:highlight w:val="none"/>
        </w:rPr>
      </w:pPr>
      <w:r>
        <w:rPr>
          <w:rFonts w:hint="eastAsia" w:ascii="宋体" w:hAnsi="宋体" w:cs="宋体"/>
          <w:color w:val="auto"/>
          <w:szCs w:val="24"/>
          <w:highlight w:val="none"/>
        </w:rPr>
        <w:t>投标函（格式见附件）；</w:t>
      </w:r>
    </w:p>
    <w:p>
      <w:pPr>
        <w:pStyle w:val="64"/>
        <w:numPr>
          <w:ilvl w:val="0"/>
          <w:numId w:val="19"/>
        </w:numPr>
        <w:spacing w:before="0"/>
        <w:ind w:firstLine="480"/>
        <w:rPr>
          <w:rFonts w:ascii="宋体" w:hAnsi="宋体" w:cs="宋体"/>
          <w:color w:val="auto"/>
          <w:szCs w:val="24"/>
          <w:highlight w:val="none"/>
        </w:rPr>
      </w:pPr>
      <w:r>
        <w:rPr>
          <w:rFonts w:hint="eastAsia" w:ascii="宋体" w:hAnsi="宋体" w:cs="宋体"/>
          <w:color w:val="auto"/>
          <w:szCs w:val="24"/>
          <w:highlight w:val="none"/>
        </w:rPr>
        <w:t>开标一览表（格式见附件）；</w:t>
      </w:r>
    </w:p>
    <w:p>
      <w:pPr>
        <w:pStyle w:val="64"/>
        <w:numPr>
          <w:ilvl w:val="0"/>
          <w:numId w:val="19"/>
        </w:numPr>
        <w:spacing w:before="0"/>
        <w:ind w:firstLine="480"/>
        <w:rPr>
          <w:rFonts w:ascii="宋体" w:hAnsi="宋体" w:cs="宋体"/>
          <w:color w:val="auto"/>
          <w:szCs w:val="24"/>
          <w:highlight w:val="none"/>
        </w:rPr>
      </w:pPr>
      <w:r>
        <w:rPr>
          <w:rFonts w:hint="eastAsia" w:ascii="宋体" w:hAnsi="宋体" w:cs="宋体"/>
          <w:color w:val="auto"/>
          <w:szCs w:val="24"/>
          <w:highlight w:val="none"/>
        </w:rPr>
        <w:t>投标报价明细表（格式见附件）；</w:t>
      </w:r>
    </w:p>
    <w:p>
      <w:pPr>
        <w:pStyle w:val="64"/>
        <w:numPr>
          <w:ilvl w:val="0"/>
          <w:numId w:val="19"/>
        </w:numPr>
        <w:spacing w:before="0"/>
        <w:ind w:firstLine="480"/>
        <w:rPr>
          <w:rFonts w:ascii="宋体" w:hAnsi="宋体" w:cs="宋体"/>
          <w:color w:val="FF0000"/>
          <w:szCs w:val="24"/>
          <w:highlight w:val="none"/>
        </w:rPr>
      </w:pPr>
      <w:r>
        <w:rPr>
          <w:rFonts w:hint="eastAsia" w:ascii="宋体" w:hAnsi="宋体" w:eastAsia="宋体" w:cs="宋体"/>
          <w:color w:val="FF0000"/>
          <w:sz w:val="24"/>
          <w:highlight w:val="none"/>
        </w:rPr>
        <w:t>每人工资标准投标报价明细表</w:t>
      </w:r>
      <w:r>
        <w:rPr>
          <w:rFonts w:hint="eastAsia" w:ascii="宋体" w:hAnsi="宋体" w:cs="宋体"/>
          <w:color w:val="FF0000"/>
          <w:sz w:val="24"/>
          <w:highlight w:val="none"/>
        </w:rPr>
        <w:t>（格式见附件）</w:t>
      </w:r>
      <w:r>
        <w:rPr>
          <w:rFonts w:hint="eastAsia" w:ascii="宋体" w:hAnsi="宋体" w:cs="宋体"/>
          <w:color w:val="FF0000"/>
          <w:szCs w:val="24"/>
          <w:highlight w:val="none"/>
        </w:rPr>
        <w:t>。</w:t>
      </w:r>
    </w:p>
    <w:p>
      <w:pPr>
        <w:pStyle w:val="15"/>
        <w:numPr>
          <w:ilvl w:val="0"/>
          <w:numId w:val="8"/>
        </w:numPr>
        <w:spacing w:line="360" w:lineRule="auto"/>
        <w:ind w:firstLine="482" w:firstLineChars="200"/>
        <w:rPr>
          <w:rFonts w:hAnsi="宋体" w:cs="宋体"/>
          <w:b/>
          <w:color w:val="auto"/>
          <w:sz w:val="24"/>
          <w:szCs w:val="24"/>
          <w:highlight w:val="none"/>
        </w:rPr>
      </w:pPr>
      <w:bookmarkStart w:id="41" w:name="_Toc91899887"/>
      <w:r>
        <w:rPr>
          <w:rFonts w:hint="eastAsia" w:hAnsi="宋体" w:cs="宋体"/>
          <w:b/>
          <w:color w:val="auto"/>
          <w:sz w:val="24"/>
          <w:szCs w:val="24"/>
          <w:highlight w:val="none"/>
        </w:rPr>
        <w:t>投标有效期</w:t>
      </w:r>
    </w:p>
    <w:p>
      <w:pPr>
        <w:pStyle w:val="64"/>
        <w:numPr>
          <w:ilvl w:val="0"/>
          <w:numId w:val="20"/>
        </w:numPr>
        <w:spacing w:before="0"/>
        <w:ind w:firstLine="480"/>
        <w:rPr>
          <w:rFonts w:ascii="宋体" w:hAnsi="宋体" w:cs="宋体"/>
          <w:color w:val="auto"/>
          <w:szCs w:val="24"/>
          <w:highlight w:val="none"/>
        </w:rPr>
      </w:pPr>
      <w:r>
        <w:rPr>
          <w:rFonts w:hint="eastAsia" w:ascii="宋体" w:hAnsi="宋体" w:cs="宋体"/>
          <w:color w:val="auto"/>
          <w:highlight w:val="none"/>
        </w:rPr>
        <w:t>投标文件未在投标截止时间前完成传输的或者未按时解密的，视为放弃投标；投标文件解密失败后未提供备份文件或者备份文件也出现异常情况无法进行评审的，亦视为放弃投标。</w:t>
      </w:r>
    </w:p>
    <w:p>
      <w:pPr>
        <w:pStyle w:val="64"/>
        <w:numPr>
          <w:ilvl w:val="0"/>
          <w:numId w:val="20"/>
        </w:numPr>
        <w:spacing w:before="0"/>
        <w:ind w:firstLine="480"/>
        <w:rPr>
          <w:rFonts w:ascii="宋体" w:hAnsi="宋体" w:cs="宋体"/>
          <w:color w:val="auto"/>
          <w:szCs w:val="24"/>
          <w:highlight w:val="none"/>
        </w:rPr>
      </w:pPr>
      <w:r>
        <w:rPr>
          <w:rFonts w:hint="eastAsia" w:ascii="宋体" w:hAnsi="宋体" w:cs="宋体"/>
          <w:color w:val="auto"/>
          <w:szCs w:val="24"/>
          <w:highlight w:val="none"/>
        </w:rPr>
        <w:t>投标文件上传后，自投标截止日期起，在前附表所列的投标有效期内有效。</w:t>
      </w:r>
    </w:p>
    <w:p>
      <w:pPr>
        <w:pStyle w:val="64"/>
        <w:numPr>
          <w:ilvl w:val="0"/>
          <w:numId w:val="20"/>
        </w:numPr>
        <w:spacing w:before="0"/>
        <w:ind w:firstLine="480"/>
        <w:rPr>
          <w:rFonts w:ascii="宋体" w:hAnsi="宋体" w:cs="宋体"/>
          <w:color w:val="auto"/>
          <w:szCs w:val="24"/>
          <w:highlight w:val="none"/>
        </w:rPr>
      </w:pPr>
      <w:r>
        <w:rPr>
          <w:rFonts w:hint="eastAsia" w:ascii="宋体" w:hAnsi="宋体" w:cs="宋体"/>
          <w:color w:val="auto"/>
          <w:szCs w:val="24"/>
          <w:highlight w:val="none"/>
        </w:rPr>
        <w:t>在原定投标有效期满之前，如果出现特殊情况，采购代理机构可以以书面形式通知投标人延长投标有效期。</w:t>
      </w:r>
    </w:p>
    <w:p>
      <w:pPr>
        <w:pStyle w:val="15"/>
        <w:numPr>
          <w:ilvl w:val="0"/>
          <w:numId w:val="8"/>
        </w:numPr>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投标保证金：</w:t>
      </w:r>
    </w:p>
    <w:p>
      <w:pPr>
        <w:autoSpaceDE w:val="0"/>
        <w:autoSpaceDN w:val="0"/>
        <w:spacing w:line="360" w:lineRule="auto"/>
        <w:ind w:firstLine="480" w:firstLineChars="200"/>
        <w:textAlignment w:val="bottom"/>
        <w:rPr>
          <w:rFonts w:ascii="宋体" w:hAnsi="宋体" w:cs="宋体"/>
          <w:b/>
          <w:color w:val="auto"/>
          <w:sz w:val="24"/>
          <w:highlight w:val="none"/>
        </w:rPr>
      </w:pPr>
      <w:r>
        <w:rPr>
          <w:rFonts w:hint="eastAsia" w:ascii="宋体" w:hAnsi="宋体" w:cs="宋体"/>
          <w:color w:val="auto"/>
          <w:sz w:val="24"/>
          <w:highlight w:val="none"/>
        </w:rPr>
        <w:t>11.1　</w:t>
      </w:r>
      <w:r>
        <w:rPr>
          <w:rFonts w:hint="eastAsia" w:ascii="宋体" w:hAnsi="宋体" w:cs="宋体"/>
          <w:b/>
          <w:color w:val="auto"/>
          <w:sz w:val="24"/>
          <w:highlight w:val="none"/>
        </w:rPr>
        <w:t>投标人的投标保证金要求具体详见投标须知前附表第十三条，</w:t>
      </w:r>
      <w:r>
        <w:rPr>
          <w:rFonts w:hint="eastAsia" w:ascii="宋体" w:hAnsi="宋体" w:cs="宋体"/>
          <w:color w:val="auto"/>
          <w:sz w:val="24"/>
          <w:highlight w:val="none"/>
        </w:rPr>
        <w:t>否则采购人将不接受投标文件。</w:t>
      </w:r>
    </w:p>
    <w:p>
      <w:pPr>
        <w:autoSpaceDE w:val="0"/>
        <w:autoSpaceDN w:val="0"/>
        <w:spacing w:line="360" w:lineRule="auto"/>
        <w:ind w:firstLine="480" w:firstLineChars="200"/>
        <w:textAlignment w:val="bottom"/>
        <w:rPr>
          <w:rFonts w:ascii="宋体" w:hAnsi="宋体" w:cs="宋体"/>
          <w:color w:val="auto"/>
          <w:sz w:val="24"/>
          <w:highlight w:val="none"/>
        </w:rPr>
      </w:pPr>
      <w:r>
        <w:rPr>
          <w:rFonts w:hint="eastAsia" w:ascii="宋体" w:hAnsi="宋体" w:cs="宋体"/>
          <w:color w:val="auto"/>
          <w:sz w:val="24"/>
          <w:highlight w:val="none"/>
        </w:rPr>
        <w:t>11.2　未中标人的投标保证金退还。</w:t>
      </w:r>
    </w:p>
    <w:p>
      <w:pPr>
        <w:autoSpaceDE w:val="0"/>
        <w:autoSpaceDN w:val="0"/>
        <w:spacing w:line="360" w:lineRule="auto"/>
        <w:ind w:firstLine="480" w:firstLineChars="200"/>
        <w:textAlignment w:val="bottom"/>
        <w:rPr>
          <w:rFonts w:ascii="宋体" w:hAnsi="宋体" w:cs="宋体"/>
          <w:color w:val="auto"/>
          <w:sz w:val="24"/>
          <w:highlight w:val="none"/>
        </w:rPr>
      </w:pPr>
      <w:r>
        <w:rPr>
          <w:rFonts w:hint="eastAsia" w:ascii="宋体" w:hAnsi="宋体" w:cs="宋体"/>
          <w:color w:val="auto"/>
          <w:sz w:val="24"/>
          <w:highlight w:val="none"/>
        </w:rPr>
        <w:t>11.3　发生下列情况之一，投标人的投标保证金将不予返还并将投标人列入不良行为记录。</w:t>
      </w:r>
    </w:p>
    <w:p>
      <w:pPr>
        <w:autoSpaceDE w:val="0"/>
        <w:autoSpaceDN w:val="0"/>
        <w:spacing w:line="360" w:lineRule="auto"/>
        <w:ind w:firstLine="480" w:firstLineChars="200"/>
        <w:textAlignment w:val="bottom"/>
        <w:rPr>
          <w:rFonts w:ascii="宋体" w:hAnsi="宋体" w:cs="宋体"/>
          <w:color w:val="auto"/>
          <w:sz w:val="24"/>
          <w:highlight w:val="none"/>
        </w:rPr>
      </w:pPr>
      <w:r>
        <w:rPr>
          <w:rFonts w:hint="eastAsia" w:ascii="宋体" w:hAnsi="宋体" w:cs="宋体"/>
          <w:color w:val="auto"/>
          <w:sz w:val="24"/>
          <w:highlight w:val="none"/>
        </w:rPr>
        <w:t>11.3.1　投标人在投标有效期内撤回投标的；</w:t>
      </w:r>
    </w:p>
    <w:p>
      <w:pPr>
        <w:autoSpaceDE w:val="0"/>
        <w:autoSpaceDN w:val="0"/>
        <w:spacing w:line="360" w:lineRule="auto"/>
        <w:ind w:firstLine="480" w:firstLineChars="200"/>
        <w:textAlignment w:val="bottom"/>
        <w:rPr>
          <w:rFonts w:ascii="宋体" w:hAnsi="宋体" w:cs="宋体"/>
          <w:color w:val="auto"/>
          <w:sz w:val="24"/>
          <w:highlight w:val="none"/>
        </w:rPr>
      </w:pPr>
      <w:r>
        <w:rPr>
          <w:rFonts w:hint="eastAsia" w:ascii="宋体" w:hAnsi="宋体" w:cs="宋体"/>
          <w:color w:val="auto"/>
          <w:sz w:val="24"/>
          <w:highlight w:val="none"/>
        </w:rPr>
        <w:t>11.3.2　中标人或中标候选人放弃中标或中标候选人资格的；</w:t>
      </w:r>
    </w:p>
    <w:p>
      <w:pPr>
        <w:autoSpaceDE w:val="0"/>
        <w:autoSpaceDN w:val="0"/>
        <w:spacing w:line="360" w:lineRule="auto"/>
        <w:ind w:firstLine="480" w:firstLineChars="200"/>
        <w:textAlignment w:val="bottom"/>
        <w:rPr>
          <w:rFonts w:ascii="宋体" w:hAnsi="宋体" w:cs="宋体"/>
          <w:color w:val="auto"/>
          <w:sz w:val="24"/>
          <w:highlight w:val="none"/>
        </w:rPr>
      </w:pPr>
      <w:r>
        <w:rPr>
          <w:rFonts w:hint="eastAsia" w:ascii="宋体" w:hAnsi="宋体" w:cs="宋体"/>
          <w:color w:val="auto"/>
          <w:sz w:val="24"/>
          <w:highlight w:val="none"/>
        </w:rPr>
        <w:t>11.3.3　擅自修改或拒绝接受已经确认的条款；</w:t>
      </w:r>
    </w:p>
    <w:p>
      <w:pPr>
        <w:autoSpaceDE w:val="0"/>
        <w:autoSpaceDN w:val="0"/>
        <w:spacing w:line="360" w:lineRule="auto"/>
        <w:ind w:firstLine="480" w:firstLineChars="200"/>
        <w:textAlignment w:val="bottom"/>
        <w:rPr>
          <w:rFonts w:ascii="宋体" w:hAnsi="宋体" w:cs="宋体"/>
          <w:color w:val="auto"/>
          <w:sz w:val="24"/>
          <w:highlight w:val="none"/>
        </w:rPr>
      </w:pPr>
      <w:r>
        <w:rPr>
          <w:rFonts w:hint="eastAsia" w:ascii="宋体" w:hAnsi="宋体" w:cs="宋体"/>
          <w:color w:val="auto"/>
          <w:sz w:val="24"/>
          <w:highlight w:val="none"/>
        </w:rPr>
        <w:t>11.3.4　中</w:t>
      </w:r>
      <w:r>
        <w:rPr>
          <w:rFonts w:hint="eastAsia" w:ascii="宋体" w:hAnsi="宋体" w:cs="宋体"/>
          <w:color w:val="auto"/>
          <w:spacing w:val="-6"/>
          <w:sz w:val="24"/>
          <w:highlight w:val="none"/>
        </w:rPr>
        <w:t>标人未按规定与采购人签订合同；</w:t>
      </w:r>
    </w:p>
    <w:p>
      <w:pPr>
        <w:autoSpaceDE w:val="0"/>
        <w:autoSpaceDN w:val="0"/>
        <w:spacing w:line="360" w:lineRule="auto"/>
        <w:ind w:firstLine="480" w:firstLineChars="200"/>
        <w:textAlignment w:val="bottom"/>
        <w:rPr>
          <w:rFonts w:ascii="宋体" w:hAnsi="宋体" w:cs="宋体"/>
          <w:color w:val="auto"/>
          <w:sz w:val="24"/>
          <w:highlight w:val="none"/>
        </w:rPr>
      </w:pPr>
      <w:r>
        <w:rPr>
          <w:rFonts w:hint="eastAsia" w:ascii="宋体" w:hAnsi="宋体" w:cs="宋体"/>
          <w:color w:val="auto"/>
          <w:sz w:val="24"/>
          <w:highlight w:val="none"/>
        </w:rPr>
        <w:t>11.3.5　未按规定提供履约保证金；</w:t>
      </w:r>
    </w:p>
    <w:p>
      <w:pPr>
        <w:autoSpaceDE w:val="0"/>
        <w:autoSpaceDN w:val="0"/>
        <w:spacing w:line="360" w:lineRule="auto"/>
        <w:ind w:firstLine="480" w:firstLineChars="200"/>
        <w:textAlignment w:val="bottom"/>
        <w:rPr>
          <w:rFonts w:ascii="宋体" w:hAnsi="宋体" w:cs="宋体"/>
          <w:color w:val="auto"/>
          <w:sz w:val="24"/>
          <w:szCs w:val="21"/>
          <w:highlight w:val="none"/>
        </w:rPr>
      </w:pPr>
      <w:r>
        <w:rPr>
          <w:rFonts w:hint="eastAsia" w:ascii="宋体" w:hAnsi="宋体" w:cs="宋体"/>
          <w:color w:val="auto"/>
          <w:sz w:val="24"/>
          <w:szCs w:val="21"/>
          <w:highlight w:val="none"/>
        </w:rPr>
        <w:t>11.3.6　投标人采取提供虚假资料等不正当手段的；</w:t>
      </w:r>
    </w:p>
    <w:p>
      <w:pPr>
        <w:autoSpaceDE w:val="0"/>
        <w:autoSpaceDN w:val="0"/>
        <w:spacing w:line="360" w:lineRule="auto"/>
        <w:ind w:firstLine="480" w:firstLineChars="200"/>
        <w:textAlignment w:val="bottom"/>
        <w:rPr>
          <w:rFonts w:ascii="宋体" w:hAnsi="宋体" w:cs="宋体"/>
          <w:color w:val="auto"/>
          <w:highlight w:val="none"/>
        </w:rPr>
      </w:pPr>
      <w:r>
        <w:rPr>
          <w:rFonts w:hint="eastAsia" w:ascii="宋体" w:hAnsi="宋体" w:cs="宋体"/>
          <w:color w:val="auto"/>
          <w:sz w:val="24"/>
          <w:szCs w:val="21"/>
          <w:highlight w:val="none"/>
        </w:rPr>
        <w:t>11.3.7  投标人在投标过程中串通投标的。</w:t>
      </w:r>
    </w:p>
    <w:p>
      <w:pPr>
        <w:pStyle w:val="15"/>
        <w:numPr>
          <w:ilvl w:val="0"/>
          <w:numId w:val="8"/>
        </w:numPr>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投标文件的编制和签署</w:t>
      </w:r>
    </w:p>
    <w:bookmarkEnd w:id="41"/>
    <w:p>
      <w:pPr>
        <w:pStyle w:val="64"/>
        <w:numPr>
          <w:ilvl w:val="0"/>
          <w:numId w:val="21"/>
        </w:numPr>
        <w:spacing w:before="0"/>
        <w:ind w:firstLine="480"/>
        <w:rPr>
          <w:rFonts w:ascii="宋体" w:hAnsi="宋体" w:cs="宋体"/>
          <w:color w:val="auto"/>
          <w:szCs w:val="24"/>
          <w:highlight w:val="none"/>
        </w:rPr>
      </w:pPr>
      <w:r>
        <w:rPr>
          <w:rFonts w:hint="eastAsia" w:ascii="宋体" w:hAnsi="宋体" w:cs="宋体"/>
          <w:color w:val="auto"/>
          <w:highlight w:val="none"/>
        </w:rPr>
        <w:t>按招标文件9.1条、9.2条、9.3条要求提供的各种文件，投标文件分为资格文件、商务技术文件和报价文件三部分。</w:t>
      </w:r>
    </w:p>
    <w:p>
      <w:pPr>
        <w:pStyle w:val="64"/>
        <w:numPr>
          <w:ilvl w:val="0"/>
          <w:numId w:val="21"/>
        </w:numPr>
        <w:spacing w:before="0"/>
        <w:ind w:firstLine="480"/>
        <w:rPr>
          <w:rFonts w:ascii="宋体" w:hAnsi="宋体" w:cs="宋体"/>
          <w:color w:val="auto"/>
          <w:szCs w:val="24"/>
          <w:highlight w:val="none"/>
        </w:rPr>
      </w:pPr>
      <w:r>
        <w:rPr>
          <w:rFonts w:hint="eastAsia" w:ascii="宋体" w:hAnsi="宋体" w:cs="宋体"/>
          <w:color w:val="auto"/>
          <w:szCs w:val="24"/>
          <w:highlight w:val="none"/>
        </w:rPr>
        <w:t>投标文件须按附件格式要求进行电子签章，投标人应写全称。（电子投标文件中所须加盖公章部分均应采用电子签章）</w:t>
      </w:r>
    </w:p>
    <w:p>
      <w:pPr>
        <w:pStyle w:val="64"/>
        <w:numPr>
          <w:ilvl w:val="0"/>
          <w:numId w:val="21"/>
        </w:numPr>
        <w:spacing w:before="0"/>
        <w:ind w:firstLine="480"/>
        <w:rPr>
          <w:rFonts w:ascii="宋体" w:hAnsi="宋体" w:cs="宋体"/>
          <w:color w:val="auto"/>
          <w:szCs w:val="24"/>
          <w:highlight w:val="none"/>
        </w:rPr>
      </w:pPr>
      <w:r>
        <w:rPr>
          <w:rFonts w:hint="eastAsia" w:ascii="宋体" w:hAnsi="宋体" w:cs="宋体"/>
          <w:color w:val="auto"/>
          <w:szCs w:val="24"/>
          <w:highlight w:val="none"/>
        </w:rPr>
        <w:t>全套投标文件应无涂改和行间插字，除非这些删改是根据采购代理机构要求进行，或者是投标人造成的必须修改的错误。所修改处应由法定代表人或其授权代表签字盖章予以确认。</w:t>
      </w:r>
    </w:p>
    <w:p>
      <w:pPr>
        <w:pStyle w:val="64"/>
        <w:numPr>
          <w:ilvl w:val="0"/>
          <w:numId w:val="21"/>
        </w:numPr>
        <w:spacing w:before="0"/>
        <w:ind w:firstLine="480"/>
        <w:rPr>
          <w:rFonts w:ascii="宋体" w:hAnsi="宋体" w:cs="宋体"/>
          <w:color w:val="auto"/>
          <w:szCs w:val="24"/>
          <w:highlight w:val="none"/>
        </w:rPr>
      </w:pPr>
      <w:r>
        <w:rPr>
          <w:rFonts w:hint="eastAsia" w:ascii="宋体" w:hAnsi="宋体" w:cs="宋体"/>
          <w:color w:val="auto"/>
          <w:szCs w:val="24"/>
          <w:highlight w:val="none"/>
        </w:rPr>
        <w:t>由于字迹模糊或表达不清引起的后果由投标人负责。</w:t>
      </w:r>
    </w:p>
    <w:p>
      <w:pPr>
        <w:pStyle w:val="15"/>
        <w:numPr>
          <w:ilvl w:val="0"/>
          <w:numId w:val="8"/>
        </w:numPr>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 xml:space="preserve"> 投标文件的形式</w:t>
      </w:r>
    </w:p>
    <w:p>
      <w:pPr>
        <w:autoSpaceDE w:val="0"/>
        <w:autoSpaceDN w:val="0"/>
        <w:spacing w:line="360" w:lineRule="auto"/>
        <w:ind w:firstLine="480" w:firstLineChars="200"/>
        <w:textAlignment w:val="bottom"/>
        <w:rPr>
          <w:rFonts w:ascii="宋体" w:hAnsi="宋体" w:cs="宋体"/>
          <w:color w:val="auto"/>
          <w:sz w:val="24"/>
          <w:highlight w:val="none"/>
        </w:rPr>
      </w:pPr>
      <w:r>
        <w:rPr>
          <w:rFonts w:hint="eastAsia" w:ascii="宋体" w:hAnsi="宋体" w:cs="宋体"/>
          <w:color w:val="auto"/>
          <w:sz w:val="24"/>
          <w:szCs w:val="21"/>
          <w:highlight w:val="none"/>
        </w:rPr>
        <w:t>投标文件为电子投标文件，电子投标文件按“政采云供应商项目采购-电子招投标操作指南”及本招标文件要求制作、加密传输。</w:t>
      </w:r>
    </w:p>
    <w:p>
      <w:pPr>
        <w:spacing w:line="360" w:lineRule="auto"/>
        <w:jc w:val="center"/>
        <w:rPr>
          <w:rFonts w:ascii="宋体" w:hAnsi="宋体" w:cs="宋体"/>
          <w:b/>
          <w:color w:val="auto"/>
          <w:sz w:val="24"/>
          <w:highlight w:val="none"/>
        </w:rPr>
      </w:pPr>
    </w:p>
    <w:p>
      <w:pPr>
        <w:snapToGrid w:val="0"/>
        <w:spacing w:line="360" w:lineRule="auto"/>
        <w:jc w:val="center"/>
        <w:outlineLvl w:val="0"/>
        <w:rPr>
          <w:rFonts w:ascii="宋体" w:hAnsi="宋体" w:cs="宋体"/>
          <w:b/>
          <w:color w:val="auto"/>
          <w:sz w:val="32"/>
          <w:highlight w:val="none"/>
        </w:rPr>
      </w:pPr>
      <w:bookmarkStart w:id="42" w:name="_Toc22425"/>
      <w:r>
        <w:rPr>
          <w:rFonts w:hint="eastAsia" w:ascii="宋体" w:hAnsi="宋体" w:cs="宋体"/>
          <w:b/>
          <w:color w:val="auto"/>
          <w:sz w:val="32"/>
          <w:highlight w:val="none"/>
        </w:rPr>
        <w:t>四、投标文件的递交</w:t>
      </w:r>
      <w:bookmarkEnd w:id="39"/>
      <w:bookmarkEnd w:id="42"/>
    </w:p>
    <w:bookmarkEnd w:id="40"/>
    <w:p>
      <w:pPr>
        <w:pStyle w:val="15"/>
        <w:numPr>
          <w:ilvl w:val="0"/>
          <w:numId w:val="8"/>
        </w:numPr>
        <w:spacing w:line="360" w:lineRule="auto"/>
        <w:ind w:firstLine="482" w:firstLineChars="200"/>
        <w:rPr>
          <w:rFonts w:hAnsi="宋体" w:cs="宋体"/>
          <w:b/>
          <w:color w:val="auto"/>
          <w:sz w:val="24"/>
          <w:szCs w:val="24"/>
          <w:highlight w:val="none"/>
        </w:rPr>
      </w:pPr>
      <w:bookmarkStart w:id="43" w:name="_Toc164416483"/>
      <w:bookmarkStart w:id="44" w:name="第三部分"/>
      <w:r>
        <w:rPr>
          <w:rFonts w:hint="eastAsia" w:hAnsi="宋体" w:cs="宋体"/>
          <w:b/>
          <w:color w:val="auto"/>
          <w:sz w:val="24"/>
          <w:szCs w:val="24"/>
          <w:highlight w:val="none"/>
        </w:rPr>
        <w:t>投标截止期</w:t>
      </w:r>
    </w:p>
    <w:p>
      <w:pPr>
        <w:pStyle w:val="64"/>
        <w:numPr>
          <w:ilvl w:val="0"/>
          <w:numId w:val="22"/>
        </w:numPr>
        <w:spacing w:before="0"/>
        <w:ind w:firstLine="480"/>
        <w:rPr>
          <w:rFonts w:ascii="宋体" w:hAnsi="宋体" w:cs="宋体"/>
          <w:color w:val="auto"/>
          <w:szCs w:val="24"/>
          <w:highlight w:val="none"/>
        </w:rPr>
      </w:pPr>
      <w:r>
        <w:rPr>
          <w:rFonts w:hint="eastAsia" w:ascii="宋体" w:hAnsi="宋体" w:cs="宋体"/>
          <w:color w:val="auto"/>
          <w:highlight w:val="none"/>
        </w:rPr>
        <w:t>投标文件必须在规定的投标截止时间前在政采云系统内完成传输，以纸质、电报、电话、传真形式的投标概不接受。为应对投标文件解密失败等异常情况，投标人可指派授权代表在投标截止时间之前到达开标地点提交备份文件。</w:t>
      </w:r>
    </w:p>
    <w:p>
      <w:pPr>
        <w:pStyle w:val="64"/>
        <w:numPr>
          <w:ilvl w:val="0"/>
          <w:numId w:val="22"/>
        </w:numPr>
        <w:spacing w:before="0"/>
        <w:ind w:firstLine="480"/>
        <w:rPr>
          <w:rFonts w:ascii="宋体" w:hAnsi="宋体" w:cs="宋体"/>
          <w:color w:val="auto"/>
          <w:highlight w:val="none"/>
        </w:rPr>
      </w:pPr>
      <w:r>
        <w:rPr>
          <w:rFonts w:hint="eastAsia" w:ascii="宋体" w:hAnsi="宋体" w:cs="宋体"/>
          <w:color w:val="auto"/>
          <w:highlight w:val="none"/>
        </w:rPr>
        <w:t>采购人因故推迟投标截止时间，将以公告形式通知。在这种情况下，采购人和投标人的权利和义务将受到新的截止时间的约束。</w:t>
      </w:r>
    </w:p>
    <w:p>
      <w:pPr>
        <w:pStyle w:val="15"/>
        <w:numPr>
          <w:ilvl w:val="0"/>
          <w:numId w:val="8"/>
        </w:numPr>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投标文件的修改、撤销</w:t>
      </w:r>
    </w:p>
    <w:p>
      <w:pPr>
        <w:pStyle w:val="15"/>
        <w:spacing w:line="360" w:lineRule="auto"/>
        <w:ind w:firstLine="480" w:firstLineChars="200"/>
        <w:rPr>
          <w:rFonts w:hAnsi="宋体" w:cs="宋体"/>
          <w:color w:val="auto"/>
          <w:sz w:val="24"/>
          <w:highlight w:val="none"/>
        </w:rPr>
      </w:pPr>
      <w:r>
        <w:rPr>
          <w:rFonts w:hint="eastAsia" w:hAnsi="宋体" w:cs="宋体"/>
          <w:color w:val="auto"/>
          <w:sz w:val="24"/>
          <w:highlight w:val="none"/>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w:t>
      </w:r>
    </w:p>
    <w:p>
      <w:pPr>
        <w:snapToGrid w:val="0"/>
        <w:spacing w:line="360" w:lineRule="auto"/>
        <w:jc w:val="center"/>
        <w:outlineLvl w:val="0"/>
        <w:rPr>
          <w:rFonts w:ascii="宋体" w:hAnsi="宋体" w:cs="宋体"/>
          <w:b/>
          <w:color w:val="auto"/>
          <w:sz w:val="24"/>
          <w:highlight w:val="none"/>
        </w:rPr>
      </w:pPr>
      <w:bookmarkStart w:id="45" w:name="_Toc32589"/>
      <w:bookmarkStart w:id="46" w:name="_Toc91899897"/>
    </w:p>
    <w:p>
      <w:pPr>
        <w:snapToGrid w:val="0"/>
        <w:spacing w:line="360" w:lineRule="auto"/>
        <w:jc w:val="center"/>
        <w:outlineLvl w:val="0"/>
        <w:rPr>
          <w:rFonts w:ascii="宋体" w:hAnsi="宋体" w:cs="宋体"/>
          <w:b/>
          <w:color w:val="auto"/>
          <w:sz w:val="32"/>
          <w:highlight w:val="none"/>
        </w:rPr>
      </w:pPr>
      <w:r>
        <w:rPr>
          <w:rFonts w:hint="eastAsia" w:ascii="宋体" w:hAnsi="宋体" w:cs="宋体"/>
          <w:b/>
          <w:color w:val="auto"/>
          <w:sz w:val="32"/>
          <w:highlight w:val="none"/>
        </w:rPr>
        <w:t>五、开标</w:t>
      </w:r>
      <w:bookmarkEnd w:id="45"/>
      <w:bookmarkEnd w:id="46"/>
    </w:p>
    <w:p>
      <w:pPr>
        <w:pStyle w:val="15"/>
        <w:numPr>
          <w:ilvl w:val="0"/>
          <w:numId w:val="8"/>
        </w:numPr>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开标</w:t>
      </w:r>
    </w:p>
    <w:p>
      <w:pPr>
        <w:pStyle w:val="15"/>
        <w:numPr>
          <w:ilvl w:val="0"/>
          <w:numId w:val="23"/>
        </w:numPr>
        <w:spacing w:line="360" w:lineRule="auto"/>
        <w:ind w:firstLine="480" w:firstLineChars="200"/>
        <w:rPr>
          <w:rFonts w:hAnsi="宋体" w:cs="宋体"/>
          <w:color w:val="auto"/>
          <w:sz w:val="24"/>
          <w:highlight w:val="none"/>
        </w:rPr>
      </w:pPr>
      <w:r>
        <w:rPr>
          <w:rFonts w:hint="eastAsia" w:hAnsi="宋体" w:cs="宋体"/>
          <w:color w:val="auto"/>
          <w:sz w:val="24"/>
          <w:highlight w:val="none"/>
        </w:rPr>
        <w:t>在投标截止时间前按规定提交投标文件的投标人在三家（含）以上的，由采购人或采购代理机构组织进行开标。</w:t>
      </w:r>
    </w:p>
    <w:p>
      <w:pPr>
        <w:pStyle w:val="15"/>
        <w:numPr>
          <w:ilvl w:val="0"/>
          <w:numId w:val="23"/>
        </w:numPr>
        <w:spacing w:line="360" w:lineRule="auto"/>
        <w:ind w:firstLine="482" w:firstLineChars="200"/>
        <w:rPr>
          <w:rFonts w:hAnsi="宋体" w:cs="宋体"/>
          <w:color w:val="auto"/>
          <w:sz w:val="24"/>
          <w:szCs w:val="24"/>
          <w:highlight w:val="none"/>
        </w:rPr>
      </w:pPr>
      <w:r>
        <w:rPr>
          <w:rFonts w:hint="eastAsia" w:hAnsi="宋体" w:cs="宋体"/>
          <w:b/>
          <w:bCs/>
          <w:color w:val="auto"/>
          <w:sz w:val="24"/>
          <w:highlight w:val="none"/>
        </w:rPr>
        <w:t>投标人登录政采云平台，用“项目采购-开标评标”功能对电子投标文件进行在线解密。在线解密电子投标文件时间为开标时间起30分钟内。若电子投标文件解密失败，则由采购代理机构工作人员上传投标人提供的备份文件。</w:t>
      </w:r>
      <w:r>
        <w:rPr>
          <w:rFonts w:hint="eastAsia" w:hAnsi="宋体" w:cs="宋体"/>
          <w:color w:val="auto"/>
          <w:sz w:val="24"/>
          <w:szCs w:val="24"/>
          <w:highlight w:val="none"/>
        </w:rPr>
        <w:t>备份文件（后缀名为.bfbs）须存储在U盘中，与上传的电子投标文件一致，用信封进行密封并盖章，由授权代表在投标截止时间前递交至开标地点。</w:t>
      </w:r>
    </w:p>
    <w:p>
      <w:pPr>
        <w:pStyle w:val="15"/>
        <w:numPr>
          <w:ilvl w:val="0"/>
          <w:numId w:val="23"/>
        </w:numPr>
        <w:spacing w:line="360" w:lineRule="auto"/>
        <w:ind w:firstLine="480" w:firstLineChars="200"/>
        <w:rPr>
          <w:rFonts w:hAnsi="宋体" w:cs="宋体"/>
          <w:color w:val="auto"/>
          <w:sz w:val="24"/>
          <w:highlight w:val="none"/>
        </w:rPr>
      </w:pPr>
      <w:r>
        <w:rPr>
          <w:rFonts w:hint="eastAsia" w:hAnsi="宋体" w:cs="宋体"/>
          <w:color w:val="auto"/>
          <w:sz w:val="24"/>
          <w:highlight w:val="none"/>
        </w:rPr>
        <w:t>采购人按招标文件规定的时间、地点公开开标。开标仪式由采购人或采购代理机构主持及有关人员参加。</w:t>
      </w:r>
    </w:p>
    <w:p>
      <w:pPr>
        <w:pStyle w:val="64"/>
        <w:numPr>
          <w:ilvl w:val="0"/>
          <w:numId w:val="23"/>
        </w:numPr>
        <w:spacing w:before="0"/>
        <w:ind w:firstLine="480"/>
        <w:rPr>
          <w:rFonts w:ascii="宋体" w:hAnsi="宋体" w:cs="宋体"/>
          <w:color w:val="auto"/>
          <w:szCs w:val="24"/>
          <w:highlight w:val="none"/>
        </w:rPr>
      </w:pPr>
      <w:r>
        <w:rPr>
          <w:rFonts w:hint="eastAsia" w:ascii="宋体" w:hAnsi="宋体" w:cs="宋体"/>
          <w:color w:val="auto"/>
          <w:szCs w:val="24"/>
          <w:highlight w:val="none"/>
        </w:rPr>
        <w:t>本项目为电子投标项目，投标人一般不需要参加现场投标和开标，若投标人需要指派授权代表递交备份文件，则授权代表应随身携带法定代表人授权书原件于投标截止时间前到达开标地点递交备份文件。若电子投标文件正常解锁，则U盘退还给供应商；若解锁失败，则由采购代理机构将U盘中的备份文件上传，该U盘将由采购代理机构保存。</w:t>
      </w:r>
    </w:p>
    <w:p>
      <w:pPr>
        <w:pStyle w:val="64"/>
        <w:numPr>
          <w:ilvl w:val="0"/>
          <w:numId w:val="23"/>
        </w:numPr>
        <w:spacing w:before="0"/>
        <w:ind w:firstLine="480"/>
        <w:rPr>
          <w:rFonts w:ascii="宋体" w:hAnsi="宋体" w:cs="宋体"/>
          <w:color w:val="auto"/>
          <w:szCs w:val="24"/>
          <w:highlight w:val="none"/>
        </w:rPr>
      </w:pPr>
      <w:r>
        <w:rPr>
          <w:rFonts w:hint="eastAsia" w:ascii="宋体" w:hAnsi="宋体" w:cs="宋体"/>
          <w:color w:val="auto"/>
          <w:szCs w:val="24"/>
          <w:highlight w:val="none"/>
        </w:rPr>
        <w:t>两个以上的自然人、法人或者其他组织组成一个联合体，以一个供应商的身份共同参加采购活动的，应当对所有联合体成员进行信用记录查询，联合体成员存在不良信用记录的，视同联合体存在不良信用记录。</w:t>
      </w:r>
    </w:p>
    <w:p>
      <w:pPr>
        <w:spacing w:line="360" w:lineRule="auto"/>
        <w:jc w:val="center"/>
        <w:rPr>
          <w:rFonts w:ascii="宋体" w:hAnsi="宋体" w:cs="宋体"/>
          <w:b/>
          <w:color w:val="auto"/>
          <w:sz w:val="24"/>
          <w:highlight w:val="none"/>
        </w:rPr>
      </w:pPr>
    </w:p>
    <w:p>
      <w:pPr>
        <w:snapToGrid w:val="0"/>
        <w:spacing w:line="360" w:lineRule="auto"/>
        <w:jc w:val="center"/>
        <w:outlineLvl w:val="0"/>
        <w:rPr>
          <w:rFonts w:ascii="宋体" w:hAnsi="宋体" w:cs="宋体"/>
          <w:b/>
          <w:color w:val="auto"/>
          <w:sz w:val="32"/>
          <w:highlight w:val="none"/>
        </w:rPr>
      </w:pPr>
      <w:bookmarkStart w:id="47" w:name="_Toc4872"/>
      <w:r>
        <w:rPr>
          <w:rFonts w:hint="eastAsia" w:ascii="宋体" w:hAnsi="宋体" w:cs="宋体"/>
          <w:b/>
          <w:color w:val="auto"/>
          <w:sz w:val="32"/>
          <w:highlight w:val="none"/>
        </w:rPr>
        <w:t>六、资格审查</w:t>
      </w:r>
      <w:bookmarkEnd w:id="47"/>
    </w:p>
    <w:p>
      <w:pPr>
        <w:pStyle w:val="15"/>
        <w:numPr>
          <w:ilvl w:val="0"/>
          <w:numId w:val="8"/>
        </w:numPr>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资格审查</w:t>
      </w:r>
    </w:p>
    <w:p>
      <w:pPr>
        <w:pStyle w:val="64"/>
        <w:numPr>
          <w:ilvl w:val="0"/>
          <w:numId w:val="24"/>
        </w:numPr>
        <w:spacing w:before="0"/>
        <w:ind w:firstLine="480"/>
        <w:rPr>
          <w:rFonts w:ascii="宋体" w:hAnsi="宋体" w:cs="宋体"/>
          <w:color w:val="auto"/>
          <w:szCs w:val="24"/>
          <w:highlight w:val="none"/>
        </w:rPr>
      </w:pPr>
      <w:bookmarkStart w:id="48" w:name="_Hlt75236101"/>
      <w:bookmarkEnd w:id="48"/>
      <w:bookmarkStart w:id="49" w:name="_Toc91899902"/>
      <w:r>
        <w:rPr>
          <w:rFonts w:hint="eastAsia" w:ascii="宋体" w:hAnsi="宋体" w:cs="宋体"/>
          <w:color w:val="auto"/>
          <w:szCs w:val="24"/>
          <w:highlight w:val="none"/>
        </w:rPr>
        <w:t>开标后，采购人或采购代理机构将依法对投标人的资格进行审查；</w:t>
      </w:r>
    </w:p>
    <w:p>
      <w:pPr>
        <w:pStyle w:val="64"/>
        <w:numPr>
          <w:ilvl w:val="0"/>
          <w:numId w:val="24"/>
        </w:numPr>
        <w:spacing w:before="0"/>
        <w:ind w:firstLine="480"/>
        <w:rPr>
          <w:rFonts w:ascii="宋体" w:hAnsi="宋体" w:cs="宋体"/>
          <w:color w:val="auto"/>
          <w:szCs w:val="24"/>
          <w:highlight w:val="none"/>
        </w:rPr>
      </w:pPr>
      <w:r>
        <w:rPr>
          <w:rFonts w:hint="eastAsia" w:ascii="宋体" w:hAnsi="宋体" w:cs="宋体"/>
          <w:color w:val="auto"/>
          <w:szCs w:val="24"/>
          <w:highlight w:val="none"/>
        </w:rPr>
        <w:t>采购人或采购代理机构依据法律法规和招标文件的规定，对投标人的基本资格条件、特定资格条件进行审查。</w:t>
      </w:r>
    </w:p>
    <w:p>
      <w:pPr>
        <w:pStyle w:val="64"/>
        <w:numPr>
          <w:ilvl w:val="0"/>
          <w:numId w:val="24"/>
        </w:numPr>
        <w:wordWrap w:val="0"/>
        <w:spacing w:before="0"/>
        <w:ind w:firstLine="480"/>
        <w:rPr>
          <w:rFonts w:ascii="宋体" w:hAnsi="宋体" w:cs="宋体"/>
          <w:color w:val="auto"/>
          <w:szCs w:val="24"/>
          <w:highlight w:val="none"/>
        </w:rPr>
      </w:pPr>
      <w:r>
        <w:rPr>
          <w:rFonts w:hint="eastAsia" w:ascii="宋体" w:hAnsi="宋体" w:cs="宋体"/>
          <w:color w:val="auto"/>
          <w:szCs w:val="24"/>
          <w:highlight w:val="none"/>
        </w:rPr>
        <w:t>采购人或采购代理机构将通过“信用中国”网站(www.creditchina.gov.cn)、中国政府采购网(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ascii="宋体" w:hAnsi="宋体" w:cs="宋体"/>
          <w:color w:val="auto"/>
          <w:szCs w:val="24"/>
          <w:highlight w:val="none"/>
        </w:rPr>
        <w:t>www.ccgp.gov.cn</w:t>
      </w:r>
      <w:r>
        <w:rPr>
          <w:rFonts w:hint="eastAsia" w:ascii="宋体" w:hAnsi="宋体" w:cs="宋体"/>
          <w:color w:val="auto"/>
          <w:szCs w:val="24"/>
          <w:highlight w:val="none"/>
        </w:rPr>
        <w:fldChar w:fldCharType="end"/>
      </w:r>
      <w:r>
        <w:rPr>
          <w:rFonts w:hint="eastAsia" w:ascii="宋体" w:hAnsi="宋体" w:cs="宋体"/>
          <w:color w:val="auto"/>
          <w:szCs w:val="24"/>
          <w:highlight w:val="none"/>
        </w:rPr>
        <w:t>)渠道查询投标人开标后评标前的信用记录，经查询投标人列入失信被执行人名单、重大税收违法案件当事人名单、政府采购严重违法失信行为记录名单的，其投标无效；</w:t>
      </w:r>
    </w:p>
    <w:p>
      <w:pPr>
        <w:pStyle w:val="64"/>
        <w:numPr>
          <w:ilvl w:val="0"/>
          <w:numId w:val="24"/>
        </w:numPr>
        <w:spacing w:before="0"/>
        <w:ind w:firstLine="480"/>
        <w:rPr>
          <w:rFonts w:ascii="宋体" w:hAnsi="宋体" w:cs="宋体"/>
          <w:color w:val="auto"/>
          <w:szCs w:val="24"/>
          <w:highlight w:val="none"/>
        </w:rPr>
      </w:pPr>
      <w:r>
        <w:rPr>
          <w:rFonts w:hint="eastAsia" w:ascii="宋体" w:hAnsi="宋体" w:cs="宋体"/>
          <w:color w:val="auto"/>
          <w:szCs w:val="24"/>
          <w:highlight w:val="none"/>
        </w:rPr>
        <w:t>采购人或采购代理机构出具《投标人资格审查意见表》，投标人未按照招标文件要求提供与基本资格条件、特定资格条件相应的有效资格证明材料的，视为投标人不具备招标文件中规定的资格要求，其投标无效。</w:t>
      </w:r>
    </w:p>
    <w:p>
      <w:pPr>
        <w:spacing w:line="360" w:lineRule="auto"/>
        <w:jc w:val="center"/>
        <w:rPr>
          <w:rFonts w:ascii="宋体" w:hAnsi="宋体" w:cs="宋体"/>
          <w:b/>
          <w:color w:val="auto"/>
          <w:sz w:val="24"/>
          <w:highlight w:val="none"/>
        </w:rPr>
      </w:pPr>
    </w:p>
    <w:p>
      <w:pPr>
        <w:snapToGrid w:val="0"/>
        <w:spacing w:line="360" w:lineRule="auto"/>
        <w:jc w:val="center"/>
        <w:outlineLvl w:val="0"/>
        <w:rPr>
          <w:rFonts w:ascii="宋体" w:hAnsi="宋体" w:cs="宋体"/>
          <w:b/>
          <w:color w:val="auto"/>
          <w:sz w:val="32"/>
          <w:highlight w:val="none"/>
        </w:rPr>
      </w:pPr>
      <w:bookmarkStart w:id="50" w:name="_Toc20672"/>
      <w:r>
        <w:rPr>
          <w:rFonts w:hint="eastAsia" w:ascii="宋体" w:hAnsi="宋体" w:cs="宋体"/>
          <w:b/>
          <w:color w:val="auto"/>
          <w:sz w:val="32"/>
          <w:highlight w:val="none"/>
        </w:rPr>
        <w:t>七、评标</w:t>
      </w:r>
      <w:bookmarkEnd w:id="49"/>
      <w:bookmarkEnd w:id="50"/>
    </w:p>
    <w:p>
      <w:pPr>
        <w:pStyle w:val="15"/>
        <w:numPr>
          <w:ilvl w:val="0"/>
          <w:numId w:val="8"/>
        </w:numPr>
        <w:spacing w:line="360" w:lineRule="auto"/>
        <w:ind w:firstLine="482" w:firstLineChars="200"/>
        <w:rPr>
          <w:rFonts w:hAnsi="宋体" w:cs="宋体"/>
          <w:b/>
          <w:color w:val="auto"/>
          <w:sz w:val="24"/>
          <w:szCs w:val="24"/>
          <w:highlight w:val="none"/>
        </w:rPr>
      </w:pPr>
      <w:bookmarkStart w:id="51" w:name="_Toc91899903"/>
      <w:r>
        <w:rPr>
          <w:rFonts w:hint="eastAsia" w:hAnsi="宋体" w:cs="宋体"/>
          <w:b/>
          <w:color w:val="auto"/>
          <w:sz w:val="24"/>
          <w:szCs w:val="24"/>
          <w:highlight w:val="none"/>
        </w:rPr>
        <w:t>评标原则</w:t>
      </w:r>
    </w:p>
    <w:p>
      <w:pPr>
        <w:pStyle w:val="64"/>
        <w:numPr>
          <w:ilvl w:val="0"/>
          <w:numId w:val="25"/>
        </w:numPr>
        <w:spacing w:before="0"/>
        <w:ind w:firstLine="480"/>
        <w:rPr>
          <w:rFonts w:ascii="宋体" w:hAnsi="宋体" w:cs="宋体"/>
          <w:color w:val="auto"/>
          <w:szCs w:val="24"/>
          <w:highlight w:val="none"/>
        </w:rPr>
      </w:pPr>
      <w:r>
        <w:rPr>
          <w:rFonts w:hint="eastAsia" w:ascii="宋体" w:hAnsi="宋体" w:cs="宋体"/>
          <w:color w:val="auto"/>
          <w:szCs w:val="24"/>
          <w:highlight w:val="none"/>
        </w:rPr>
        <w:t>竞争优选；</w:t>
      </w:r>
    </w:p>
    <w:p>
      <w:pPr>
        <w:pStyle w:val="64"/>
        <w:numPr>
          <w:ilvl w:val="0"/>
          <w:numId w:val="25"/>
        </w:numPr>
        <w:spacing w:before="0"/>
        <w:ind w:firstLine="480"/>
        <w:rPr>
          <w:rFonts w:ascii="宋体" w:hAnsi="宋体" w:cs="宋体"/>
          <w:color w:val="auto"/>
          <w:szCs w:val="24"/>
          <w:highlight w:val="none"/>
        </w:rPr>
      </w:pPr>
      <w:r>
        <w:rPr>
          <w:rFonts w:hint="eastAsia" w:ascii="宋体" w:hAnsi="宋体" w:cs="宋体"/>
          <w:color w:val="auto"/>
          <w:szCs w:val="24"/>
          <w:highlight w:val="none"/>
          <w:lang w:val="zh-CN"/>
        </w:rPr>
        <w:t>坚持公开</w:t>
      </w:r>
      <w:r>
        <w:rPr>
          <w:rFonts w:hint="eastAsia" w:ascii="宋体" w:hAnsi="宋体" w:cs="宋体"/>
          <w:color w:val="auto"/>
          <w:szCs w:val="24"/>
          <w:highlight w:val="none"/>
        </w:rPr>
        <w:t>、公平、公正、科学合理</w:t>
      </w:r>
      <w:r>
        <w:rPr>
          <w:rFonts w:hint="eastAsia" w:ascii="宋体" w:hAnsi="宋体" w:cs="宋体"/>
          <w:color w:val="auto"/>
          <w:szCs w:val="24"/>
          <w:highlight w:val="none"/>
          <w:lang w:val="zh-CN"/>
        </w:rPr>
        <w:t>的原则；</w:t>
      </w:r>
    </w:p>
    <w:p>
      <w:pPr>
        <w:pStyle w:val="64"/>
        <w:numPr>
          <w:ilvl w:val="0"/>
          <w:numId w:val="25"/>
        </w:numPr>
        <w:spacing w:before="0"/>
        <w:ind w:firstLine="480"/>
        <w:rPr>
          <w:rFonts w:ascii="宋体" w:hAnsi="宋体" w:cs="宋体"/>
          <w:color w:val="auto"/>
          <w:szCs w:val="24"/>
          <w:highlight w:val="none"/>
          <w:lang w:val="zh-CN"/>
        </w:rPr>
      </w:pPr>
      <w:r>
        <w:rPr>
          <w:rFonts w:hint="eastAsia" w:ascii="宋体" w:hAnsi="宋体" w:cs="宋体"/>
          <w:color w:val="auto"/>
          <w:szCs w:val="24"/>
          <w:highlight w:val="none"/>
        </w:rPr>
        <w:t>价格合理，方案、产品先进可行；</w:t>
      </w:r>
    </w:p>
    <w:p>
      <w:pPr>
        <w:pStyle w:val="64"/>
        <w:numPr>
          <w:ilvl w:val="0"/>
          <w:numId w:val="25"/>
        </w:numPr>
        <w:spacing w:before="0"/>
        <w:ind w:firstLine="480"/>
        <w:rPr>
          <w:rFonts w:ascii="宋体" w:hAnsi="宋体" w:cs="宋体"/>
          <w:color w:val="auto"/>
          <w:szCs w:val="24"/>
          <w:highlight w:val="none"/>
          <w:lang w:val="zh-CN"/>
        </w:rPr>
      </w:pPr>
      <w:r>
        <w:rPr>
          <w:rFonts w:hint="eastAsia" w:ascii="宋体" w:hAnsi="宋体" w:cs="宋体"/>
          <w:color w:val="auto"/>
          <w:szCs w:val="24"/>
          <w:highlight w:val="none"/>
          <w:lang w:val="zh-CN"/>
        </w:rPr>
        <w:t>反对不正当竞争。</w:t>
      </w:r>
    </w:p>
    <w:p>
      <w:pPr>
        <w:pStyle w:val="15"/>
        <w:numPr>
          <w:ilvl w:val="0"/>
          <w:numId w:val="8"/>
        </w:numPr>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评标组织</w:t>
      </w:r>
    </w:p>
    <w:p>
      <w:pPr>
        <w:pStyle w:val="64"/>
        <w:numPr>
          <w:ilvl w:val="0"/>
          <w:numId w:val="26"/>
        </w:numPr>
        <w:spacing w:before="0"/>
        <w:ind w:firstLine="480"/>
        <w:rPr>
          <w:rFonts w:ascii="宋体" w:hAnsi="宋体" w:cs="宋体"/>
          <w:color w:val="auto"/>
          <w:szCs w:val="24"/>
          <w:highlight w:val="none"/>
          <w:lang w:val="zh-CN"/>
        </w:rPr>
      </w:pPr>
      <w:r>
        <w:rPr>
          <w:rFonts w:hint="eastAsia" w:ascii="宋体" w:hAnsi="宋体" w:cs="宋体"/>
          <w:color w:val="auto"/>
          <w:szCs w:val="24"/>
          <w:highlight w:val="none"/>
          <w:lang w:val="zh-CN"/>
        </w:rPr>
        <w:t>评标委员会由采购人代表和评审专家组成，成员人数应当为</w:t>
      </w:r>
      <w:r>
        <w:rPr>
          <w:rFonts w:hint="eastAsia" w:ascii="宋体" w:hAnsi="宋体" w:cs="宋体"/>
          <w:color w:val="auto"/>
          <w:szCs w:val="24"/>
          <w:highlight w:val="none"/>
        </w:rPr>
        <w:t>5</w:t>
      </w:r>
      <w:r>
        <w:rPr>
          <w:rFonts w:hint="eastAsia" w:ascii="宋体" w:hAnsi="宋体" w:cs="宋体"/>
          <w:color w:val="auto"/>
          <w:szCs w:val="24"/>
          <w:highlight w:val="none"/>
          <w:lang w:val="zh-CN"/>
        </w:rPr>
        <w:t>人以上单数，其中评审专家不得少于成员总数的三分之二；</w:t>
      </w:r>
    </w:p>
    <w:p>
      <w:pPr>
        <w:pStyle w:val="64"/>
        <w:numPr>
          <w:ilvl w:val="0"/>
          <w:numId w:val="26"/>
        </w:numPr>
        <w:spacing w:before="0"/>
        <w:ind w:firstLine="480"/>
        <w:rPr>
          <w:rFonts w:ascii="宋体" w:hAnsi="宋体" w:cs="宋体"/>
          <w:color w:val="auto"/>
          <w:szCs w:val="24"/>
          <w:highlight w:val="none"/>
          <w:lang w:val="zh-CN"/>
        </w:rPr>
      </w:pPr>
      <w:r>
        <w:rPr>
          <w:rFonts w:hint="eastAsia" w:ascii="宋体" w:hAnsi="宋体" w:cs="宋体"/>
          <w:color w:val="auto"/>
          <w:szCs w:val="24"/>
          <w:highlight w:val="none"/>
          <w:lang w:val="zh-CN"/>
        </w:rPr>
        <w:t>评标工作由评标委员会负责，并推选产生的组长主持；</w:t>
      </w:r>
    </w:p>
    <w:p>
      <w:pPr>
        <w:pStyle w:val="64"/>
        <w:numPr>
          <w:ilvl w:val="0"/>
          <w:numId w:val="26"/>
        </w:numPr>
        <w:spacing w:before="0"/>
        <w:ind w:firstLine="480"/>
        <w:rPr>
          <w:rFonts w:ascii="宋体" w:hAnsi="宋体" w:cs="宋体"/>
          <w:color w:val="auto"/>
          <w:szCs w:val="24"/>
          <w:highlight w:val="none"/>
          <w:lang w:val="zh-CN"/>
        </w:rPr>
      </w:pPr>
      <w:r>
        <w:rPr>
          <w:rFonts w:hint="eastAsia" w:ascii="宋体" w:hAnsi="宋体" w:cs="宋体"/>
          <w:color w:val="auto"/>
          <w:szCs w:val="24"/>
          <w:highlight w:val="none"/>
          <w:lang w:val="zh-CN"/>
        </w:rPr>
        <w:t>本次评标为在线评标。</w:t>
      </w:r>
    </w:p>
    <w:p>
      <w:pPr>
        <w:pStyle w:val="15"/>
        <w:numPr>
          <w:ilvl w:val="0"/>
          <w:numId w:val="8"/>
        </w:numPr>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评标办法</w:t>
      </w:r>
    </w:p>
    <w:p>
      <w:pPr>
        <w:spacing w:line="360" w:lineRule="auto"/>
        <w:ind w:firstLine="467" w:firstLineChars="194"/>
        <w:rPr>
          <w:rFonts w:ascii="宋体" w:hAnsi="宋体" w:cs="宋体"/>
          <w:b/>
          <w:color w:val="auto"/>
          <w:kern w:val="0"/>
          <w:sz w:val="24"/>
          <w:szCs w:val="20"/>
          <w:highlight w:val="none"/>
        </w:rPr>
      </w:pPr>
      <w:r>
        <w:rPr>
          <w:rFonts w:hint="eastAsia" w:ascii="宋体" w:hAnsi="宋体" w:cs="宋体"/>
          <w:b/>
          <w:color w:val="auto"/>
          <w:kern w:val="0"/>
          <w:sz w:val="24"/>
          <w:szCs w:val="20"/>
          <w:highlight w:val="none"/>
        </w:rPr>
        <w:t>本项目评标办法是综合评分法，具体评标内容及评分标准等详见招标文件第三部分。</w:t>
      </w:r>
    </w:p>
    <w:p>
      <w:pPr>
        <w:pStyle w:val="15"/>
        <w:numPr>
          <w:ilvl w:val="0"/>
          <w:numId w:val="8"/>
        </w:numPr>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投标文件符合性审查</w:t>
      </w:r>
    </w:p>
    <w:p>
      <w:pPr>
        <w:pStyle w:val="64"/>
        <w:numPr>
          <w:ilvl w:val="0"/>
          <w:numId w:val="27"/>
        </w:numPr>
        <w:spacing w:before="0"/>
        <w:ind w:firstLine="480"/>
        <w:rPr>
          <w:rFonts w:ascii="宋体" w:hAnsi="宋体" w:cs="宋体"/>
          <w:color w:val="auto"/>
          <w:szCs w:val="24"/>
          <w:highlight w:val="none"/>
          <w:lang w:val="zh-CN"/>
        </w:rPr>
      </w:pPr>
      <w:r>
        <w:rPr>
          <w:rFonts w:hint="eastAsia" w:ascii="宋体" w:hAnsi="宋体" w:cs="宋体"/>
          <w:color w:val="auto"/>
          <w:szCs w:val="24"/>
          <w:highlight w:val="none"/>
          <w:lang w:val="zh-CN"/>
        </w:rPr>
        <w:t>投标文件符合性审查：评标委员会依据招标文件的规定，从投标文件的有效性、完整性和对招标文件的响应程度进行审查，以确定是否对招标文件的要求作出实质性响应。</w:t>
      </w:r>
    </w:p>
    <w:p>
      <w:pPr>
        <w:pStyle w:val="64"/>
        <w:numPr>
          <w:ilvl w:val="0"/>
          <w:numId w:val="27"/>
        </w:numPr>
        <w:spacing w:before="0"/>
        <w:ind w:firstLine="480"/>
        <w:rPr>
          <w:rFonts w:ascii="宋体" w:hAnsi="宋体" w:cs="宋体"/>
          <w:color w:val="auto"/>
          <w:szCs w:val="24"/>
          <w:highlight w:val="none"/>
          <w:lang w:val="zh-CN"/>
        </w:rPr>
      </w:pPr>
      <w:r>
        <w:rPr>
          <w:rFonts w:hint="eastAsia" w:ascii="宋体" w:hAnsi="宋体" w:cs="宋体"/>
          <w:color w:val="auto"/>
          <w:szCs w:val="24"/>
          <w:highlight w:val="none"/>
          <w:lang w:val="zh-CN"/>
        </w:rPr>
        <w:t>实质性响应的投标应该是与招标文件要求的主要条款相符，没有重大偏离或保留的投标。所谓重大偏离或保留是指影响合同的内容、项目建设质量，或者在实质上与招标文件不一致，而且限制了合同中采购人的权利或投标人的义务，纠正这些偏离或保留将会对其他实质性响应要求的投标人的竞争地位产生不公正的影响。评标委员会决定投标文件的响应性只根据投标文件本身的内容，而不寻求外部证据。</w:t>
      </w:r>
    </w:p>
    <w:p>
      <w:pPr>
        <w:pStyle w:val="64"/>
        <w:numPr>
          <w:ilvl w:val="0"/>
          <w:numId w:val="27"/>
        </w:numPr>
        <w:spacing w:before="0"/>
        <w:ind w:firstLine="480"/>
        <w:rPr>
          <w:rFonts w:ascii="宋体" w:hAnsi="宋体" w:cs="宋体"/>
          <w:color w:val="auto"/>
          <w:szCs w:val="24"/>
          <w:highlight w:val="none"/>
          <w:lang w:val="zh-CN"/>
        </w:rPr>
      </w:pPr>
      <w:r>
        <w:rPr>
          <w:rFonts w:hint="eastAsia" w:ascii="宋体" w:hAnsi="宋体" w:cs="宋体"/>
          <w:color w:val="auto"/>
          <w:szCs w:val="24"/>
          <w:highlight w:val="none"/>
          <w:lang w:val="zh-CN"/>
        </w:rPr>
        <w:t xml:space="preserve">如果投标文件没有实质上响应招标文件的要求，评标委员会将判定无效投标，投标人不得通过修改或撤销不合要求的偏离或保留而使其投标成为实质性响应的投标。 </w:t>
      </w:r>
    </w:p>
    <w:p>
      <w:pPr>
        <w:pStyle w:val="64"/>
        <w:numPr>
          <w:ilvl w:val="0"/>
          <w:numId w:val="27"/>
        </w:numPr>
        <w:spacing w:before="0"/>
        <w:ind w:firstLine="480"/>
        <w:rPr>
          <w:rFonts w:ascii="宋体" w:hAnsi="宋体" w:cs="宋体"/>
          <w:color w:val="auto"/>
          <w:szCs w:val="24"/>
          <w:highlight w:val="none"/>
          <w:lang w:val="zh-CN"/>
        </w:rPr>
      </w:pPr>
      <w:r>
        <w:rPr>
          <w:rFonts w:hint="eastAsia" w:ascii="宋体" w:hAnsi="宋体" w:cs="宋体"/>
          <w:color w:val="auto"/>
          <w:szCs w:val="24"/>
          <w:highlight w:val="none"/>
          <w:lang w:val="zh-CN"/>
        </w:rPr>
        <w:t>即按《评分标准》确定的标准，以经审查合格的投标文件进行资信、技术和商务评估，并综合进行比较与评价。参照《浙江省政府采购活动现场组织管理办法》的通知（浙财采监{2015}13号）规定，“对明显畸高、畸低的评分（其总评分偏离平均分30%以上的），评审小组组长应提醒相关评审人员进行复核或书面说明理由，评审人员拒绝说明的，由现场监督员据实记录；评审人员的评审、修改记录应保留原件，随项目其他资料一并存档。”</w:t>
      </w:r>
    </w:p>
    <w:p>
      <w:pPr>
        <w:pStyle w:val="15"/>
        <w:numPr>
          <w:ilvl w:val="0"/>
          <w:numId w:val="8"/>
        </w:numPr>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修正原则</w:t>
      </w:r>
    </w:p>
    <w:p>
      <w:pPr>
        <w:pStyle w:val="64"/>
        <w:spacing w:before="0"/>
        <w:ind w:left="420" w:leftChars="200" w:firstLine="0" w:firstLineChars="0"/>
        <w:rPr>
          <w:rFonts w:ascii="宋体" w:hAnsi="宋体" w:cs="宋体"/>
          <w:color w:val="auto"/>
          <w:szCs w:val="24"/>
          <w:highlight w:val="none"/>
          <w:lang w:val="zh-CN"/>
        </w:rPr>
      </w:pPr>
      <w:r>
        <w:rPr>
          <w:rFonts w:hint="eastAsia" w:ascii="宋体" w:hAnsi="宋体" w:cs="宋体"/>
          <w:color w:val="auto"/>
          <w:szCs w:val="24"/>
          <w:highlight w:val="none"/>
          <w:lang w:val="zh-CN"/>
        </w:rPr>
        <w:t>投标文件报价出现前后不一致的，按照下列规定修正：</w:t>
      </w:r>
    </w:p>
    <w:p>
      <w:pPr>
        <w:pStyle w:val="64"/>
        <w:numPr>
          <w:ilvl w:val="0"/>
          <w:numId w:val="28"/>
        </w:numPr>
        <w:spacing w:before="0"/>
        <w:ind w:firstLine="480"/>
        <w:rPr>
          <w:rFonts w:ascii="宋体" w:hAnsi="宋体" w:cs="宋体"/>
          <w:color w:val="auto"/>
          <w:szCs w:val="24"/>
          <w:highlight w:val="none"/>
          <w:lang w:val="zh-CN"/>
        </w:rPr>
      </w:pPr>
      <w:r>
        <w:rPr>
          <w:rFonts w:hint="eastAsia" w:ascii="宋体" w:hAnsi="宋体" w:cs="宋体"/>
          <w:color w:val="auto"/>
          <w:szCs w:val="24"/>
          <w:highlight w:val="none"/>
          <w:lang w:val="zh-CN"/>
        </w:rPr>
        <w:t>投标文件中投标（开标）一览表内容与投标文件中相应内容不一致的，以投标（开标）一览表为准；</w:t>
      </w:r>
    </w:p>
    <w:p>
      <w:pPr>
        <w:pStyle w:val="64"/>
        <w:numPr>
          <w:ilvl w:val="0"/>
          <w:numId w:val="28"/>
        </w:numPr>
        <w:spacing w:before="0"/>
        <w:ind w:firstLine="480"/>
        <w:rPr>
          <w:rFonts w:ascii="宋体" w:hAnsi="宋体" w:cs="宋体"/>
          <w:color w:val="auto"/>
          <w:szCs w:val="24"/>
          <w:highlight w:val="none"/>
          <w:lang w:val="zh-CN"/>
        </w:rPr>
      </w:pPr>
      <w:r>
        <w:rPr>
          <w:rFonts w:hint="eastAsia" w:ascii="宋体" w:hAnsi="宋体" w:cs="宋体"/>
          <w:color w:val="auto"/>
          <w:szCs w:val="24"/>
          <w:highlight w:val="none"/>
          <w:lang w:val="zh-CN"/>
        </w:rPr>
        <w:t>大写金额和小写金额不一致的，以大写金额为准；</w:t>
      </w:r>
    </w:p>
    <w:p>
      <w:pPr>
        <w:pStyle w:val="64"/>
        <w:numPr>
          <w:ilvl w:val="0"/>
          <w:numId w:val="28"/>
        </w:numPr>
        <w:spacing w:before="0"/>
        <w:ind w:firstLine="480"/>
        <w:rPr>
          <w:rFonts w:ascii="宋体" w:hAnsi="宋体" w:cs="宋体"/>
          <w:color w:val="auto"/>
          <w:szCs w:val="24"/>
          <w:highlight w:val="none"/>
          <w:lang w:val="zh-CN"/>
        </w:rPr>
      </w:pPr>
      <w:r>
        <w:rPr>
          <w:rFonts w:hint="eastAsia" w:ascii="宋体" w:hAnsi="宋体" w:cs="宋体"/>
          <w:color w:val="auto"/>
          <w:szCs w:val="24"/>
          <w:highlight w:val="none"/>
          <w:lang w:val="zh-CN"/>
        </w:rPr>
        <w:t>单价金额小数点或者百分比有明显错位的，以投标（开标）一览表的总价为准，并修改单价；</w:t>
      </w:r>
    </w:p>
    <w:p>
      <w:pPr>
        <w:pStyle w:val="64"/>
        <w:numPr>
          <w:ilvl w:val="0"/>
          <w:numId w:val="28"/>
        </w:numPr>
        <w:spacing w:before="0"/>
        <w:ind w:firstLine="480"/>
        <w:rPr>
          <w:rFonts w:ascii="宋体" w:hAnsi="宋体" w:cs="宋体"/>
          <w:color w:val="auto"/>
          <w:szCs w:val="24"/>
          <w:highlight w:val="none"/>
          <w:lang w:val="zh-CN"/>
        </w:rPr>
      </w:pPr>
      <w:r>
        <w:rPr>
          <w:rFonts w:hint="eastAsia" w:ascii="宋体" w:hAnsi="宋体" w:cs="宋体"/>
          <w:color w:val="auto"/>
          <w:szCs w:val="24"/>
          <w:highlight w:val="none"/>
          <w:lang w:val="zh-CN"/>
        </w:rPr>
        <w:t>总价金额与按单价汇总金额不一致的，以单价金额计算结果为准。</w:t>
      </w:r>
    </w:p>
    <w:p>
      <w:pPr>
        <w:pStyle w:val="64"/>
        <w:spacing w:before="0"/>
        <w:ind w:firstLine="480"/>
        <w:rPr>
          <w:rFonts w:ascii="宋体" w:hAnsi="宋体" w:cs="宋体"/>
          <w:color w:val="auto"/>
          <w:szCs w:val="24"/>
          <w:highlight w:val="none"/>
          <w:lang w:val="zh-CN"/>
        </w:rPr>
      </w:pPr>
      <w:r>
        <w:rPr>
          <w:rFonts w:hint="eastAsia" w:ascii="宋体" w:hAnsi="宋体" w:cs="宋体"/>
          <w:color w:val="auto"/>
          <w:szCs w:val="24"/>
          <w:highlight w:val="none"/>
          <w:lang w:val="zh-CN"/>
        </w:rPr>
        <w:t>同时出现两种以上不一致的，按照前款规定的顺序修正。修正后的报价按照财政部公布第87号令 《政府采购产品和服务招标投标管理办法》第五十一条第二款的规定经投标人确认后产生约束力，投标人不确认的，其投标无效。</w:t>
      </w:r>
    </w:p>
    <w:p>
      <w:pPr>
        <w:pStyle w:val="15"/>
        <w:numPr>
          <w:ilvl w:val="0"/>
          <w:numId w:val="8"/>
        </w:numPr>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投标文件的澄清</w:t>
      </w:r>
    </w:p>
    <w:p>
      <w:pPr>
        <w:pStyle w:val="64"/>
        <w:numPr>
          <w:ilvl w:val="0"/>
          <w:numId w:val="29"/>
        </w:numPr>
        <w:spacing w:before="0"/>
        <w:ind w:firstLine="480"/>
        <w:rPr>
          <w:rFonts w:ascii="宋体" w:hAnsi="宋体" w:cs="宋体"/>
          <w:color w:val="auto"/>
          <w:szCs w:val="24"/>
          <w:highlight w:val="none"/>
          <w:lang w:val="zh-CN"/>
        </w:rPr>
      </w:pPr>
      <w:r>
        <w:rPr>
          <w:rFonts w:hint="eastAsia" w:ascii="宋体" w:hAnsi="宋体" w:cs="宋体"/>
          <w:color w:val="auto"/>
          <w:szCs w:val="24"/>
          <w:highlight w:val="none"/>
          <w:lang w:val="zh-CN"/>
        </w:rPr>
        <w:t>评审中因投标文件含义不明、表述不一致或有明显计算错误等内容需要供应商作出澄清、说明或者补正的，评标委员会和供应商应当通过政采云平台交换数据电文，给予供应商提交澄清说明或补正的时间不少于半小时，供应商已经明确表示澄清说明或补正完毕的除外。</w:t>
      </w:r>
    </w:p>
    <w:p>
      <w:pPr>
        <w:pStyle w:val="64"/>
        <w:numPr>
          <w:ilvl w:val="0"/>
          <w:numId w:val="29"/>
        </w:numPr>
        <w:spacing w:before="0"/>
        <w:ind w:firstLine="480"/>
        <w:rPr>
          <w:rFonts w:ascii="宋体" w:hAnsi="宋体" w:cs="宋体"/>
          <w:color w:val="auto"/>
          <w:szCs w:val="24"/>
          <w:highlight w:val="none"/>
          <w:lang w:val="zh-CN"/>
        </w:rPr>
      </w:pPr>
      <w:r>
        <w:rPr>
          <w:rFonts w:hint="eastAsia" w:ascii="宋体" w:hAnsi="宋体" w:cs="宋体"/>
          <w:color w:val="auto"/>
          <w:szCs w:val="24"/>
          <w:highlight w:val="none"/>
          <w:lang w:val="zh-CN"/>
        </w:rPr>
        <w:t>供应商通过政采云平台交换的数据电文必须进行电子签章。</w:t>
      </w:r>
    </w:p>
    <w:p>
      <w:pPr>
        <w:pStyle w:val="15"/>
        <w:numPr>
          <w:ilvl w:val="0"/>
          <w:numId w:val="8"/>
        </w:numPr>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无效投标</w:t>
      </w:r>
    </w:p>
    <w:p>
      <w:pPr>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经过审查，凡不符合有关规定，不响应招标文件的实质性条款，存在以下重大偏离之一的，经评标委员会认定，将因未通过资格性或符合性审查而被作为无效投标处理：</w:t>
      </w:r>
    </w:p>
    <w:p>
      <w:pPr>
        <w:numPr>
          <w:ilvl w:val="0"/>
          <w:numId w:val="30"/>
        </w:numPr>
        <w:spacing w:line="360" w:lineRule="auto"/>
        <w:ind w:firstLine="482" w:firstLineChars="200"/>
        <w:rPr>
          <w:rFonts w:ascii="宋体" w:hAnsi="宋体" w:cs="宋体"/>
          <w:b/>
          <w:bCs/>
          <w:color w:val="auto"/>
          <w:sz w:val="24"/>
          <w:szCs w:val="21"/>
          <w:highlight w:val="none"/>
        </w:rPr>
      </w:pPr>
      <w:r>
        <w:rPr>
          <w:rFonts w:hint="eastAsia" w:ascii="宋体" w:hAnsi="宋体" w:cs="宋体"/>
          <w:b/>
          <w:color w:val="auto"/>
          <w:sz w:val="24"/>
          <w:szCs w:val="21"/>
          <w:highlight w:val="none"/>
        </w:rPr>
        <w:t>未按规定交纳投标保证金或所提供的投标保证金有瑕疵的；</w:t>
      </w:r>
    </w:p>
    <w:p>
      <w:pPr>
        <w:numPr>
          <w:ilvl w:val="0"/>
          <w:numId w:val="30"/>
        </w:numPr>
        <w:spacing w:line="360" w:lineRule="auto"/>
        <w:ind w:firstLine="482" w:firstLineChars="200"/>
        <w:rPr>
          <w:rFonts w:ascii="宋体" w:hAnsi="宋体" w:cs="宋体"/>
          <w:b/>
          <w:bCs/>
          <w:color w:val="auto"/>
          <w:sz w:val="24"/>
          <w:szCs w:val="21"/>
          <w:highlight w:val="none"/>
        </w:rPr>
      </w:pPr>
      <w:r>
        <w:rPr>
          <w:rFonts w:hint="eastAsia" w:ascii="宋体" w:hAnsi="宋体" w:cs="宋体"/>
          <w:b/>
          <w:bCs/>
          <w:color w:val="auto"/>
          <w:sz w:val="24"/>
          <w:szCs w:val="21"/>
          <w:highlight w:val="none"/>
        </w:rPr>
        <w:t>未按照招标文件规定要求签署、盖章的；</w:t>
      </w:r>
    </w:p>
    <w:p>
      <w:pPr>
        <w:numPr>
          <w:ilvl w:val="0"/>
          <w:numId w:val="30"/>
        </w:numPr>
        <w:spacing w:line="360" w:lineRule="auto"/>
        <w:ind w:firstLine="482" w:firstLineChars="200"/>
        <w:rPr>
          <w:rFonts w:ascii="宋体" w:hAnsi="宋体" w:cs="宋体"/>
          <w:b/>
          <w:bCs/>
          <w:color w:val="auto"/>
          <w:sz w:val="24"/>
          <w:szCs w:val="21"/>
          <w:highlight w:val="none"/>
        </w:rPr>
      </w:pPr>
      <w:r>
        <w:rPr>
          <w:rFonts w:hint="eastAsia" w:ascii="宋体" w:hAnsi="宋体" w:cs="宋体"/>
          <w:b/>
          <w:bCs/>
          <w:color w:val="auto"/>
          <w:sz w:val="24"/>
          <w:szCs w:val="21"/>
          <w:highlight w:val="none"/>
        </w:rPr>
        <w:t xml:space="preserve">《法定代表人授权书》填写不全、错误、未加盖投标人公章（公章和签字或盖章缺一不可）； </w:t>
      </w:r>
    </w:p>
    <w:p>
      <w:pPr>
        <w:numPr>
          <w:ilvl w:val="0"/>
          <w:numId w:val="30"/>
        </w:numPr>
        <w:spacing w:line="360" w:lineRule="auto"/>
        <w:ind w:firstLine="482" w:firstLineChars="200"/>
        <w:rPr>
          <w:rFonts w:ascii="宋体" w:hAnsi="宋体" w:cs="宋体"/>
          <w:b/>
          <w:bCs/>
          <w:color w:val="auto"/>
          <w:sz w:val="24"/>
          <w:szCs w:val="21"/>
          <w:highlight w:val="none"/>
        </w:rPr>
      </w:pPr>
      <w:r>
        <w:rPr>
          <w:rFonts w:hint="eastAsia" w:ascii="宋体" w:hAnsi="宋体" w:cs="宋体"/>
          <w:b/>
          <w:bCs/>
          <w:color w:val="auto"/>
          <w:sz w:val="24"/>
          <w:szCs w:val="21"/>
          <w:highlight w:val="none"/>
        </w:rPr>
        <w:t>个体工商户的身份证明与营业执照不一致的；</w:t>
      </w:r>
    </w:p>
    <w:p>
      <w:pPr>
        <w:numPr>
          <w:ilvl w:val="0"/>
          <w:numId w:val="30"/>
        </w:numPr>
        <w:spacing w:line="360" w:lineRule="auto"/>
        <w:ind w:firstLine="482" w:firstLineChars="200"/>
        <w:rPr>
          <w:rFonts w:ascii="宋体" w:hAnsi="宋体" w:cs="宋体"/>
          <w:b/>
          <w:bCs/>
          <w:color w:val="auto"/>
          <w:sz w:val="24"/>
          <w:szCs w:val="21"/>
          <w:highlight w:val="none"/>
        </w:rPr>
      </w:pPr>
      <w:r>
        <w:rPr>
          <w:rFonts w:hint="eastAsia" w:ascii="宋体" w:hAnsi="宋体" w:cs="宋体"/>
          <w:b/>
          <w:bCs/>
          <w:color w:val="auto"/>
          <w:sz w:val="24"/>
          <w:szCs w:val="21"/>
          <w:highlight w:val="none"/>
        </w:rPr>
        <w:t>投标文件中的投标函未加盖投标人的企业公章或填写不全的；</w:t>
      </w:r>
    </w:p>
    <w:p>
      <w:pPr>
        <w:numPr>
          <w:ilvl w:val="0"/>
          <w:numId w:val="30"/>
        </w:numPr>
        <w:spacing w:line="360" w:lineRule="auto"/>
        <w:ind w:firstLine="482" w:firstLineChars="200"/>
        <w:rPr>
          <w:rFonts w:ascii="宋体" w:hAnsi="宋体" w:cs="宋体"/>
          <w:b/>
          <w:bCs/>
          <w:color w:val="auto"/>
          <w:sz w:val="24"/>
          <w:szCs w:val="21"/>
          <w:highlight w:val="none"/>
        </w:rPr>
      </w:pPr>
      <w:r>
        <w:rPr>
          <w:rFonts w:hint="eastAsia" w:ascii="宋体" w:hAnsi="宋体" w:cs="宋体"/>
          <w:b/>
          <w:bCs/>
          <w:color w:val="auto"/>
          <w:sz w:val="24"/>
          <w:szCs w:val="21"/>
          <w:highlight w:val="none"/>
        </w:rPr>
        <w:t>报价一经涂改，未在涂改处加盖投标单位公章或者未经法定代表人或其授权代表签字或盖章的；</w:t>
      </w:r>
    </w:p>
    <w:p>
      <w:pPr>
        <w:numPr>
          <w:ilvl w:val="0"/>
          <w:numId w:val="30"/>
        </w:numPr>
        <w:spacing w:line="360" w:lineRule="auto"/>
        <w:ind w:firstLine="482" w:firstLineChars="200"/>
        <w:rPr>
          <w:rFonts w:ascii="宋体" w:hAnsi="宋体" w:cs="宋体"/>
          <w:b/>
          <w:bCs/>
          <w:color w:val="auto"/>
          <w:sz w:val="24"/>
          <w:szCs w:val="21"/>
          <w:highlight w:val="none"/>
        </w:rPr>
      </w:pPr>
      <w:r>
        <w:rPr>
          <w:rFonts w:hint="eastAsia" w:ascii="宋体" w:hAnsi="宋体" w:cs="宋体"/>
          <w:b/>
          <w:bCs/>
          <w:color w:val="auto"/>
          <w:sz w:val="24"/>
          <w:szCs w:val="21"/>
          <w:highlight w:val="none"/>
        </w:rPr>
        <w:t>因未按规定的格式填写，内容不全或主要实质性内容字迹模糊辨认不清,经评标委员会认定为无法评审的；</w:t>
      </w:r>
    </w:p>
    <w:p>
      <w:pPr>
        <w:numPr>
          <w:ilvl w:val="0"/>
          <w:numId w:val="30"/>
        </w:numPr>
        <w:spacing w:line="360" w:lineRule="auto"/>
        <w:ind w:firstLine="482" w:firstLineChars="200"/>
        <w:rPr>
          <w:rFonts w:ascii="宋体" w:hAnsi="宋体" w:cs="宋体"/>
          <w:b/>
          <w:bCs/>
          <w:color w:val="auto"/>
          <w:sz w:val="24"/>
          <w:szCs w:val="21"/>
          <w:highlight w:val="none"/>
        </w:rPr>
      </w:pPr>
      <w:r>
        <w:rPr>
          <w:rFonts w:hint="eastAsia" w:ascii="宋体" w:hAnsi="宋体" w:cs="宋体"/>
          <w:b/>
          <w:bCs/>
          <w:color w:val="auto"/>
          <w:sz w:val="24"/>
          <w:szCs w:val="21"/>
          <w:highlight w:val="none"/>
        </w:rPr>
        <w:t>出现同一标的物或本次招标产品(服务)内的主要产品(重要组成部分)出现技术、商务描述不一致或前后描述不一致，经评标委员会认定后为无法评审的；</w:t>
      </w:r>
    </w:p>
    <w:p>
      <w:pPr>
        <w:numPr>
          <w:ilvl w:val="0"/>
          <w:numId w:val="30"/>
        </w:numPr>
        <w:spacing w:line="360" w:lineRule="auto"/>
        <w:ind w:firstLine="482" w:firstLineChars="200"/>
        <w:rPr>
          <w:rFonts w:ascii="宋体" w:hAnsi="宋体" w:cs="宋体"/>
          <w:b/>
          <w:bCs/>
          <w:color w:val="auto"/>
          <w:sz w:val="24"/>
          <w:szCs w:val="21"/>
          <w:highlight w:val="none"/>
        </w:rPr>
      </w:pPr>
      <w:r>
        <w:rPr>
          <w:rFonts w:hint="eastAsia" w:ascii="宋体" w:hAnsi="宋体" w:cs="宋体"/>
          <w:b/>
          <w:bCs/>
          <w:color w:val="auto"/>
          <w:sz w:val="24"/>
          <w:szCs w:val="21"/>
          <w:highlight w:val="none"/>
        </w:rPr>
        <w:t>投标详细配置清单响应表不真实填写或弄虚作假的；改变招标文件提供的清单中的计量单位、工程数量；</w:t>
      </w:r>
    </w:p>
    <w:p>
      <w:pPr>
        <w:numPr>
          <w:ilvl w:val="0"/>
          <w:numId w:val="30"/>
        </w:numPr>
        <w:spacing w:line="360" w:lineRule="auto"/>
        <w:ind w:firstLine="482" w:firstLineChars="200"/>
        <w:rPr>
          <w:rFonts w:ascii="宋体" w:hAnsi="宋体" w:cs="宋体"/>
          <w:b/>
          <w:bCs/>
          <w:color w:val="auto"/>
          <w:sz w:val="24"/>
          <w:szCs w:val="21"/>
          <w:highlight w:val="none"/>
        </w:rPr>
      </w:pPr>
      <w:r>
        <w:rPr>
          <w:rFonts w:hint="eastAsia" w:ascii="宋体" w:hAnsi="宋体" w:cs="宋体"/>
          <w:b/>
          <w:bCs/>
          <w:color w:val="auto"/>
          <w:sz w:val="24"/>
          <w:szCs w:val="21"/>
          <w:highlight w:val="none"/>
        </w:rPr>
        <w:t>对招标产品技术规格未详细应答，致使其技术文件无法评审的；</w:t>
      </w:r>
    </w:p>
    <w:p>
      <w:pPr>
        <w:numPr>
          <w:ilvl w:val="0"/>
          <w:numId w:val="30"/>
        </w:numPr>
        <w:spacing w:line="360" w:lineRule="auto"/>
        <w:ind w:firstLine="482" w:firstLineChars="200"/>
        <w:rPr>
          <w:rFonts w:ascii="宋体" w:hAnsi="宋体" w:cs="宋体"/>
          <w:b/>
          <w:bCs/>
          <w:color w:val="auto"/>
          <w:sz w:val="24"/>
          <w:szCs w:val="21"/>
          <w:highlight w:val="none"/>
        </w:rPr>
      </w:pPr>
      <w:r>
        <w:rPr>
          <w:rFonts w:hint="eastAsia" w:ascii="宋体" w:hAnsi="宋体" w:cs="宋体"/>
          <w:b/>
          <w:bCs/>
          <w:color w:val="auto"/>
          <w:sz w:val="24"/>
          <w:szCs w:val="21"/>
          <w:highlight w:val="none"/>
        </w:rPr>
        <w:t>投标文件有招标方不能接受的条件；</w:t>
      </w:r>
    </w:p>
    <w:p>
      <w:pPr>
        <w:numPr>
          <w:ilvl w:val="0"/>
          <w:numId w:val="30"/>
        </w:numPr>
        <w:spacing w:line="360" w:lineRule="auto"/>
        <w:ind w:firstLine="482" w:firstLineChars="200"/>
        <w:rPr>
          <w:rFonts w:ascii="宋体" w:hAnsi="宋体" w:cs="宋体"/>
          <w:b/>
          <w:bCs/>
          <w:color w:val="auto"/>
          <w:sz w:val="24"/>
          <w:szCs w:val="21"/>
          <w:highlight w:val="none"/>
        </w:rPr>
      </w:pPr>
      <w:r>
        <w:rPr>
          <w:rFonts w:hint="eastAsia" w:ascii="宋体" w:hAnsi="宋体" w:cs="宋体"/>
          <w:b/>
          <w:bCs/>
          <w:color w:val="auto"/>
          <w:sz w:val="24"/>
          <w:szCs w:val="21"/>
          <w:highlight w:val="none"/>
        </w:rPr>
        <w:t>评标委员会认为投标人的报价明显低于其他通过符合性审查投标人的报价，有可能影响产品质量或者不能诚信履约的，应当要求其在评标现场合理的时间内通过政采云平台提供线上说明，必要时提交相关证明材料。</w:t>
      </w:r>
    </w:p>
    <w:p>
      <w:pPr>
        <w:numPr>
          <w:ilvl w:val="0"/>
          <w:numId w:val="30"/>
        </w:numPr>
        <w:spacing w:line="360" w:lineRule="auto"/>
        <w:ind w:firstLine="482" w:firstLineChars="200"/>
        <w:rPr>
          <w:rFonts w:ascii="宋体" w:hAnsi="宋体" w:cs="宋体"/>
          <w:b/>
          <w:bCs/>
          <w:color w:val="auto"/>
          <w:sz w:val="24"/>
          <w:szCs w:val="21"/>
          <w:highlight w:val="none"/>
        </w:rPr>
      </w:pPr>
      <w:r>
        <w:rPr>
          <w:rFonts w:hint="eastAsia" w:ascii="宋体" w:hAnsi="宋体" w:cs="宋体"/>
          <w:b/>
          <w:bCs/>
          <w:color w:val="auto"/>
          <w:sz w:val="24"/>
          <w:szCs w:val="21"/>
          <w:highlight w:val="none"/>
        </w:rPr>
        <w:t>投标报价超过预算金额或最高限价的；</w:t>
      </w:r>
    </w:p>
    <w:p>
      <w:pPr>
        <w:numPr>
          <w:ilvl w:val="0"/>
          <w:numId w:val="30"/>
        </w:numPr>
        <w:spacing w:line="360" w:lineRule="auto"/>
        <w:ind w:firstLine="482" w:firstLineChars="200"/>
        <w:rPr>
          <w:rFonts w:ascii="宋体" w:hAnsi="宋体" w:cs="宋体"/>
          <w:b/>
          <w:bCs/>
          <w:color w:val="auto"/>
          <w:sz w:val="24"/>
          <w:szCs w:val="21"/>
          <w:highlight w:val="none"/>
        </w:rPr>
      </w:pPr>
      <w:r>
        <w:rPr>
          <w:rFonts w:hint="eastAsia" w:ascii="宋体" w:hAnsi="宋体" w:cs="宋体"/>
          <w:b/>
          <w:bCs/>
          <w:color w:val="auto"/>
          <w:sz w:val="24"/>
          <w:szCs w:val="21"/>
          <w:highlight w:val="none"/>
        </w:rPr>
        <w:t>投标文件“商务技术文件资料”部分中出现《开标一览表》或《投标报价明细表》相关内容的；</w:t>
      </w:r>
    </w:p>
    <w:p>
      <w:pPr>
        <w:numPr>
          <w:ilvl w:val="0"/>
          <w:numId w:val="30"/>
        </w:numPr>
        <w:spacing w:line="360" w:lineRule="auto"/>
        <w:ind w:firstLine="482" w:firstLineChars="200"/>
        <w:rPr>
          <w:rFonts w:ascii="宋体" w:hAnsi="宋体" w:cs="宋体"/>
          <w:b/>
          <w:bCs/>
          <w:color w:val="auto"/>
          <w:sz w:val="24"/>
          <w:szCs w:val="21"/>
          <w:highlight w:val="none"/>
        </w:rPr>
      </w:pPr>
      <w:r>
        <w:rPr>
          <w:rFonts w:hint="eastAsia" w:ascii="宋体" w:hAnsi="宋体" w:cs="宋体"/>
          <w:b/>
          <w:bCs/>
          <w:color w:val="auto"/>
          <w:sz w:val="24"/>
          <w:szCs w:val="21"/>
          <w:highlight w:val="none"/>
        </w:rPr>
        <w:t>投标人拒绝按招标文件规定的修正原则对投标文件进行修改的；</w:t>
      </w:r>
    </w:p>
    <w:p>
      <w:pPr>
        <w:numPr>
          <w:ilvl w:val="0"/>
          <w:numId w:val="30"/>
        </w:numPr>
        <w:spacing w:line="360" w:lineRule="auto"/>
        <w:ind w:firstLine="482" w:firstLineChars="200"/>
        <w:rPr>
          <w:rFonts w:ascii="宋体" w:hAnsi="宋体" w:cs="宋体"/>
          <w:b/>
          <w:bCs/>
          <w:color w:val="auto"/>
          <w:sz w:val="24"/>
          <w:szCs w:val="21"/>
          <w:highlight w:val="none"/>
        </w:rPr>
      </w:pPr>
      <w:r>
        <w:rPr>
          <w:rFonts w:hint="eastAsia" w:ascii="宋体" w:hAnsi="宋体" w:cs="宋体"/>
          <w:b/>
          <w:bCs/>
          <w:color w:val="auto"/>
          <w:sz w:val="24"/>
          <w:szCs w:val="21"/>
          <w:highlight w:val="none"/>
        </w:rPr>
        <w:t>有下列情形之一的，视为投标人串通投标，其投标无效：</w:t>
      </w:r>
    </w:p>
    <w:p>
      <w:pPr>
        <w:numPr>
          <w:ilvl w:val="0"/>
          <w:numId w:val="31"/>
        </w:numPr>
        <w:spacing w:line="360" w:lineRule="auto"/>
        <w:ind w:firstLine="482" w:firstLineChars="200"/>
        <w:rPr>
          <w:rFonts w:ascii="宋体" w:hAnsi="宋体" w:cs="宋体"/>
          <w:b/>
          <w:bCs/>
          <w:color w:val="auto"/>
          <w:sz w:val="24"/>
          <w:szCs w:val="21"/>
          <w:highlight w:val="none"/>
        </w:rPr>
      </w:pPr>
      <w:r>
        <w:rPr>
          <w:rFonts w:hint="eastAsia" w:ascii="宋体" w:hAnsi="宋体" w:cs="宋体"/>
          <w:b/>
          <w:bCs/>
          <w:color w:val="auto"/>
          <w:sz w:val="24"/>
          <w:szCs w:val="21"/>
          <w:highlight w:val="none"/>
        </w:rPr>
        <w:t>不同投标人的投标文件由同一单位或者个人编制；</w:t>
      </w:r>
    </w:p>
    <w:p>
      <w:pPr>
        <w:numPr>
          <w:ilvl w:val="0"/>
          <w:numId w:val="31"/>
        </w:numPr>
        <w:spacing w:line="360" w:lineRule="auto"/>
        <w:ind w:firstLine="482" w:firstLineChars="200"/>
        <w:rPr>
          <w:rFonts w:ascii="宋体" w:hAnsi="宋体" w:cs="宋体"/>
          <w:b/>
          <w:bCs/>
          <w:color w:val="auto"/>
          <w:sz w:val="24"/>
          <w:szCs w:val="21"/>
          <w:highlight w:val="none"/>
        </w:rPr>
      </w:pPr>
      <w:r>
        <w:rPr>
          <w:rFonts w:hint="eastAsia" w:ascii="宋体" w:hAnsi="宋体" w:cs="宋体"/>
          <w:b/>
          <w:bCs/>
          <w:color w:val="auto"/>
          <w:sz w:val="24"/>
          <w:szCs w:val="21"/>
          <w:highlight w:val="none"/>
        </w:rPr>
        <w:t>不同投标人委托同一单位或者个人办理投标事宜；</w:t>
      </w:r>
    </w:p>
    <w:p>
      <w:pPr>
        <w:numPr>
          <w:ilvl w:val="0"/>
          <w:numId w:val="31"/>
        </w:numPr>
        <w:spacing w:line="360" w:lineRule="auto"/>
        <w:ind w:firstLine="482" w:firstLineChars="200"/>
        <w:rPr>
          <w:rFonts w:ascii="宋体" w:hAnsi="宋体" w:cs="宋体"/>
          <w:b/>
          <w:bCs/>
          <w:color w:val="auto"/>
          <w:sz w:val="24"/>
          <w:szCs w:val="21"/>
          <w:highlight w:val="none"/>
        </w:rPr>
      </w:pPr>
      <w:r>
        <w:rPr>
          <w:rFonts w:hint="eastAsia" w:ascii="宋体" w:hAnsi="宋体" w:cs="宋体"/>
          <w:b/>
          <w:bCs/>
          <w:color w:val="auto"/>
          <w:sz w:val="24"/>
          <w:szCs w:val="21"/>
          <w:highlight w:val="none"/>
        </w:rPr>
        <w:t>不同投标人的投标文件载明的项目管理成员或者联系人员为同一人；</w:t>
      </w:r>
    </w:p>
    <w:p>
      <w:pPr>
        <w:numPr>
          <w:ilvl w:val="0"/>
          <w:numId w:val="31"/>
        </w:numPr>
        <w:spacing w:line="360" w:lineRule="auto"/>
        <w:ind w:firstLine="482" w:firstLineChars="200"/>
        <w:rPr>
          <w:rFonts w:ascii="宋体" w:hAnsi="宋体" w:cs="宋体"/>
          <w:b/>
          <w:bCs/>
          <w:color w:val="auto"/>
          <w:sz w:val="24"/>
          <w:szCs w:val="21"/>
          <w:highlight w:val="none"/>
        </w:rPr>
      </w:pPr>
      <w:r>
        <w:rPr>
          <w:rFonts w:hint="eastAsia" w:ascii="宋体" w:hAnsi="宋体" w:cs="宋体"/>
          <w:b/>
          <w:bCs/>
          <w:color w:val="auto"/>
          <w:sz w:val="24"/>
          <w:szCs w:val="21"/>
          <w:highlight w:val="none"/>
        </w:rPr>
        <w:t>不同投标人的投标文件异常一致或者投标报价呈规律性差异；</w:t>
      </w:r>
    </w:p>
    <w:p>
      <w:pPr>
        <w:numPr>
          <w:ilvl w:val="0"/>
          <w:numId w:val="31"/>
        </w:num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21"/>
          <w:highlight w:val="none"/>
        </w:rPr>
        <w:t>不同投标人提供的投标文件出自同一终端设备的，或在相同Internet主机分配地址（相同IP地址）报名或网上投标的，且经询标澄清投标人无令人信服的理由和可靠证据证明其合理性的，经评标委员会半数以上成员确认有串通投标嫌疑的。</w:t>
      </w:r>
    </w:p>
    <w:p>
      <w:pPr>
        <w:tabs>
          <w:tab w:val="left" w:pos="0"/>
        </w:tabs>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24.18</w:t>
      </w:r>
      <w:r>
        <w:rPr>
          <w:rFonts w:hint="eastAsia" w:ascii="宋体" w:hAnsi="宋体" w:cs="宋体"/>
          <w:b/>
          <w:bCs/>
          <w:color w:val="FF0000"/>
          <w:sz w:val="24"/>
          <w:szCs w:val="32"/>
          <w:highlight w:val="none"/>
        </w:rPr>
        <w:t>员工工资标准</w:t>
      </w:r>
      <w:r>
        <w:rPr>
          <w:rFonts w:hint="eastAsia" w:ascii="宋体" w:hAnsi="宋体" w:cs="宋体"/>
          <w:b/>
          <w:bCs/>
          <w:color w:val="FF0000"/>
          <w:sz w:val="24"/>
          <w:szCs w:val="32"/>
          <w:highlight w:val="none"/>
          <w:lang w:eastAsia="zh-CN"/>
        </w:rPr>
        <w:t>未响应本项目招标文件附件“</w:t>
      </w:r>
      <w:r>
        <w:rPr>
          <w:rFonts w:hint="eastAsia" w:ascii="宋体" w:hAnsi="宋体" w:cs="宋体"/>
          <w:b/>
          <w:bCs/>
          <w:color w:val="FF0000"/>
          <w:sz w:val="24"/>
          <w:szCs w:val="32"/>
          <w:highlight w:val="none"/>
        </w:rPr>
        <w:t>每人工资标准投标报价明细表</w:t>
      </w:r>
      <w:r>
        <w:rPr>
          <w:rFonts w:hint="eastAsia" w:ascii="宋体" w:hAnsi="宋体" w:cs="宋体"/>
          <w:b/>
          <w:bCs/>
          <w:color w:val="FF0000"/>
          <w:sz w:val="24"/>
          <w:szCs w:val="32"/>
          <w:highlight w:val="none"/>
          <w:lang w:eastAsia="zh-CN"/>
        </w:rPr>
        <w:t>”要求的</w:t>
      </w:r>
      <w:r>
        <w:rPr>
          <w:rFonts w:hint="eastAsia" w:ascii="宋体" w:hAnsi="宋体" w:cs="宋体"/>
          <w:b/>
          <w:bCs/>
          <w:color w:val="FF0000"/>
          <w:sz w:val="24"/>
          <w:szCs w:val="32"/>
          <w:highlight w:val="none"/>
        </w:rPr>
        <w:t>；</w:t>
      </w:r>
    </w:p>
    <w:p>
      <w:pPr>
        <w:tabs>
          <w:tab w:val="left" w:pos="0"/>
        </w:tabs>
        <w:spacing w:line="360" w:lineRule="auto"/>
        <w:ind w:firstLine="482" w:firstLineChars="200"/>
        <w:rPr>
          <w:color w:val="auto"/>
          <w:highlight w:val="none"/>
        </w:rPr>
      </w:pPr>
      <w:r>
        <w:rPr>
          <w:rFonts w:hint="eastAsia" w:ascii="宋体" w:hAnsi="宋体" w:cs="宋体"/>
          <w:b/>
          <w:bCs/>
          <w:color w:val="auto"/>
          <w:sz w:val="24"/>
          <w:szCs w:val="32"/>
          <w:highlight w:val="none"/>
        </w:rPr>
        <w:t>24.19其他违反法律、法规的情形。</w:t>
      </w:r>
    </w:p>
    <w:p>
      <w:pPr>
        <w:pStyle w:val="15"/>
        <w:numPr>
          <w:ilvl w:val="0"/>
          <w:numId w:val="8"/>
        </w:numPr>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废标</w:t>
      </w:r>
    </w:p>
    <w:p>
      <w:pPr>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按照《上虞区区属国有企业货物和服务采购管理办法》第四十二条之规定，在公开招标采购中，出现下列情形之一的，应予终止采购程序或废标：</w:t>
      </w:r>
    </w:p>
    <w:p>
      <w:pPr>
        <w:pStyle w:val="64"/>
        <w:numPr>
          <w:ilvl w:val="0"/>
          <w:numId w:val="32"/>
        </w:numPr>
        <w:spacing w:before="0"/>
        <w:ind w:firstLine="480"/>
        <w:rPr>
          <w:rFonts w:ascii="宋体" w:hAnsi="宋体" w:cs="宋体"/>
          <w:color w:val="auto"/>
          <w:szCs w:val="24"/>
          <w:highlight w:val="none"/>
          <w:lang w:val="zh-CN"/>
        </w:rPr>
      </w:pPr>
      <w:r>
        <w:rPr>
          <w:rFonts w:hint="eastAsia" w:ascii="宋体" w:hAnsi="宋体" w:cs="宋体"/>
          <w:color w:val="auto"/>
          <w:szCs w:val="24"/>
          <w:highlight w:val="none"/>
          <w:lang w:val="zh-CN"/>
        </w:rPr>
        <w:t>符合专业条件的供应商或者对采购文件作实质响应的供应商不足 3 家；</w:t>
      </w:r>
    </w:p>
    <w:p>
      <w:pPr>
        <w:pStyle w:val="64"/>
        <w:numPr>
          <w:ilvl w:val="0"/>
          <w:numId w:val="32"/>
        </w:numPr>
        <w:spacing w:before="0"/>
        <w:ind w:firstLine="480"/>
        <w:rPr>
          <w:rFonts w:ascii="宋体" w:hAnsi="宋体" w:cs="宋体"/>
          <w:color w:val="auto"/>
          <w:szCs w:val="24"/>
          <w:highlight w:val="none"/>
          <w:lang w:val="zh-CN"/>
        </w:rPr>
      </w:pPr>
      <w:r>
        <w:rPr>
          <w:rFonts w:hint="eastAsia" w:ascii="宋体" w:hAnsi="宋体" w:cs="宋体"/>
          <w:color w:val="auto"/>
          <w:szCs w:val="24"/>
          <w:highlight w:val="none"/>
          <w:lang w:val="zh-CN"/>
        </w:rPr>
        <w:t>出现影响采购公正的违法、违规行为的；</w:t>
      </w:r>
    </w:p>
    <w:p>
      <w:pPr>
        <w:pStyle w:val="64"/>
        <w:numPr>
          <w:ilvl w:val="0"/>
          <w:numId w:val="32"/>
        </w:numPr>
        <w:spacing w:before="0"/>
        <w:ind w:firstLine="480"/>
        <w:rPr>
          <w:rFonts w:ascii="宋体" w:hAnsi="宋体" w:cs="宋体"/>
          <w:color w:val="auto"/>
          <w:szCs w:val="24"/>
          <w:highlight w:val="none"/>
          <w:lang w:val="zh-CN"/>
        </w:rPr>
      </w:pPr>
      <w:r>
        <w:rPr>
          <w:rFonts w:hint="eastAsia" w:ascii="宋体" w:hAnsi="宋体" w:cs="宋体"/>
          <w:color w:val="auto"/>
          <w:szCs w:val="24"/>
          <w:highlight w:val="none"/>
          <w:lang w:val="zh-CN"/>
        </w:rPr>
        <w:t>投标人的报价均超过了采购预算；</w:t>
      </w:r>
    </w:p>
    <w:p>
      <w:pPr>
        <w:pStyle w:val="64"/>
        <w:numPr>
          <w:ilvl w:val="0"/>
          <w:numId w:val="32"/>
        </w:numPr>
        <w:spacing w:before="0"/>
        <w:ind w:firstLine="480"/>
        <w:rPr>
          <w:rFonts w:ascii="宋体" w:hAnsi="宋体" w:cs="宋体"/>
          <w:color w:val="auto"/>
          <w:szCs w:val="24"/>
          <w:highlight w:val="none"/>
          <w:lang w:val="zh-CN"/>
        </w:rPr>
      </w:pPr>
      <w:r>
        <w:rPr>
          <w:rFonts w:hint="eastAsia" w:ascii="宋体" w:hAnsi="宋体" w:cs="宋体"/>
          <w:color w:val="auto"/>
          <w:szCs w:val="24"/>
          <w:highlight w:val="none"/>
          <w:lang w:val="zh-CN"/>
        </w:rPr>
        <w:t>因重大变故，采购任务取消的。</w:t>
      </w:r>
    </w:p>
    <w:p>
      <w:pPr>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废标后，采购代理机构应当将废标理由通知所有投标人。</w:t>
      </w:r>
    </w:p>
    <w:p>
      <w:pPr>
        <w:pStyle w:val="15"/>
        <w:numPr>
          <w:ilvl w:val="0"/>
          <w:numId w:val="8"/>
        </w:numPr>
        <w:spacing w:line="360" w:lineRule="auto"/>
        <w:ind w:firstLine="482" w:firstLineChars="200"/>
        <w:rPr>
          <w:rFonts w:hAnsi="宋体" w:cs="宋体"/>
          <w:b/>
          <w:color w:val="auto"/>
          <w:sz w:val="24"/>
          <w:szCs w:val="24"/>
          <w:highlight w:val="none"/>
        </w:rPr>
      </w:pPr>
      <w:r>
        <w:rPr>
          <w:rFonts w:hint="eastAsia" w:hAnsi="宋体" w:cs="宋体"/>
          <w:b/>
          <w:bCs/>
          <w:color w:val="auto"/>
          <w:sz w:val="24"/>
          <w:szCs w:val="24"/>
          <w:highlight w:val="none"/>
          <w:lang w:val="zh-CN"/>
        </w:rPr>
        <w:t>中止电子交易活动和</w:t>
      </w:r>
      <w:r>
        <w:rPr>
          <w:rFonts w:hint="eastAsia" w:hAnsi="宋体" w:cs="宋体"/>
          <w:b/>
          <w:color w:val="auto"/>
          <w:sz w:val="24"/>
          <w:szCs w:val="24"/>
          <w:highlight w:val="none"/>
        </w:rPr>
        <w:t>重新组织采购</w:t>
      </w:r>
    </w:p>
    <w:p>
      <w:pPr>
        <w:pStyle w:val="64"/>
        <w:tabs>
          <w:tab w:val="left" w:pos="0"/>
        </w:tabs>
        <w:spacing w:before="0"/>
        <w:ind w:firstLine="480"/>
        <w:rPr>
          <w:rFonts w:ascii="宋体" w:hAnsi="宋体" w:cs="宋体"/>
          <w:color w:val="auto"/>
          <w:szCs w:val="24"/>
          <w:highlight w:val="none"/>
          <w:lang w:val="zh-CN"/>
        </w:rPr>
      </w:pPr>
      <w:r>
        <w:rPr>
          <w:rFonts w:hint="eastAsia" w:ascii="宋体" w:hAnsi="宋体" w:cs="宋体"/>
          <w:color w:val="auto"/>
          <w:szCs w:val="24"/>
          <w:highlight w:val="none"/>
        </w:rPr>
        <w:t>26.1</w:t>
      </w:r>
      <w:r>
        <w:rPr>
          <w:rFonts w:hint="eastAsia" w:ascii="宋体" w:hAnsi="宋体" w:cs="宋体"/>
          <w:color w:val="auto"/>
          <w:szCs w:val="24"/>
          <w:highlight w:val="none"/>
          <w:lang w:val="zh-CN"/>
        </w:rPr>
        <w:t>采购过程中出现以下情形，导致电子交易平台无法正常运行，或者无法保证电子交易的公平、公正和安全时，采购组织机构可中止电子交易活动：</w:t>
      </w:r>
    </w:p>
    <w:p>
      <w:pPr>
        <w:numPr>
          <w:ilvl w:val="0"/>
          <w:numId w:val="33"/>
        </w:numPr>
        <w:tabs>
          <w:tab w:val="left" w:pos="0"/>
        </w:tabs>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 xml:space="preserve">电子交易平台发生故障而无法登录访问的； </w:t>
      </w:r>
    </w:p>
    <w:p>
      <w:pPr>
        <w:numPr>
          <w:ilvl w:val="0"/>
          <w:numId w:val="33"/>
        </w:numPr>
        <w:tabs>
          <w:tab w:val="left" w:pos="0"/>
        </w:tabs>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电子交易平台应用或数据库出现错误，不能进行正常操作的；</w:t>
      </w:r>
    </w:p>
    <w:p>
      <w:pPr>
        <w:numPr>
          <w:ilvl w:val="0"/>
          <w:numId w:val="33"/>
        </w:numPr>
        <w:tabs>
          <w:tab w:val="left" w:pos="0"/>
        </w:tabs>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电子交易平台发现严重安全漏洞，有潜在泄密危险的；</w:t>
      </w:r>
    </w:p>
    <w:p>
      <w:pPr>
        <w:numPr>
          <w:ilvl w:val="0"/>
          <w:numId w:val="33"/>
        </w:numPr>
        <w:tabs>
          <w:tab w:val="left" w:pos="0"/>
        </w:tabs>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 xml:space="preserve">病毒发作导致不能进行正常操作的； </w:t>
      </w:r>
    </w:p>
    <w:p>
      <w:pPr>
        <w:numPr>
          <w:ilvl w:val="0"/>
          <w:numId w:val="33"/>
        </w:numPr>
        <w:tabs>
          <w:tab w:val="left" w:pos="0"/>
        </w:tabs>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其他无法保证电子交易的公平、公正和安全的情况。</w:t>
      </w:r>
    </w:p>
    <w:p>
      <w:pPr>
        <w:pStyle w:val="64"/>
        <w:tabs>
          <w:tab w:val="left" w:pos="0"/>
        </w:tabs>
        <w:spacing w:before="0"/>
        <w:ind w:firstLine="480"/>
        <w:rPr>
          <w:rFonts w:ascii="宋体" w:hAnsi="宋体" w:cs="宋体"/>
          <w:color w:val="auto"/>
          <w:szCs w:val="24"/>
          <w:highlight w:val="none"/>
        </w:rPr>
      </w:pPr>
      <w:r>
        <w:rPr>
          <w:rFonts w:hint="eastAsia" w:ascii="宋体" w:hAnsi="宋体" w:cs="宋体"/>
          <w:color w:val="auto"/>
          <w:szCs w:val="24"/>
          <w:highlight w:val="none"/>
        </w:rPr>
        <w:t>26.2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15"/>
        <w:numPr>
          <w:ilvl w:val="0"/>
          <w:numId w:val="8"/>
        </w:numPr>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保密及其它注意事项</w:t>
      </w:r>
    </w:p>
    <w:p>
      <w:pPr>
        <w:pStyle w:val="64"/>
        <w:numPr>
          <w:ilvl w:val="0"/>
          <w:numId w:val="34"/>
        </w:numPr>
        <w:spacing w:before="0"/>
        <w:ind w:firstLine="480"/>
        <w:rPr>
          <w:rFonts w:ascii="宋体" w:hAnsi="宋体" w:cs="宋体"/>
          <w:color w:val="auto"/>
          <w:szCs w:val="24"/>
          <w:highlight w:val="none"/>
        </w:rPr>
      </w:pPr>
      <w:r>
        <w:rPr>
          <w:rFonts w:hint="eastAsia" w:ascii="宋体" w:hAnsi="宋体" w:cs="宋体"/>
          <w:color w:val="auto"/>
          <w:szCs w:val="24"/>
          <w:highlight w:val="none"/>
        </w:rPr>
        <w:t>评标是招标工作的重要环节，评标工作由评标委员会独立进行。评标委员会将遵照评标原则，公正、平等地对待所有投标人；</w:t>
      </w:r>
    </w:p>
    <w:p>
      <w:pPr>
        <w:pStyle w:val="64"/>
        <w:numPr>
          <w:ilvl w:val="0"/>
          <w:numId w:val="34"/>
        </w:numPr>
        <w:spacing w:before="0"/>
        <w:ind w:firstLine="480"/>
        <w:rPr>
          <w:rFonts w:ascii="宋体" w:hAnsi="宋体" w:cs="宋体"/>
          <w:color w:val="auto"/>
          <w:szCs w:val="24"/>
          <w:highlight w:val="none"/>
        </w:rPr>
      </w:pPr>
      <w:r>
        <w:rPr>
          <w:rFonts w:hint="eastAsia" w:ascii="宋体" w:hAnsi="宋体" w:cs="宋体"/>
          <w:color w:val="auto"/>
          <w:szCs w:val="24"/>
          <w:highlight w:val="none"/>
        </w:rPr>
        <w:t>在开标、投标期间，投标人不得向评委询问评标情况，不得进行旨在影响评标结果的活动。采购人不得在中标人确定前，与投标人就投标价格、投标方案等实质性内容进行谈判；</w:t>
      </w:r>
    </w:p>
    <w:p>
      <w:pPr>
        <w:pStyle w:val="64"/>
        <w:numPr>
          <w:ilvl w:val="0"/>
          <w:numId w:val="34"/>
        </w:numPr>
        <w:spacing w:before="0"/>
        <w:ind w:firstLine="480"/>
        <w:rPr>
          <w:rFonts w:ascii="宋体" w:hAnsi="宋体" w:cs="宋体"/>
          <w:color w:val="auto"/>
          <w:szCs w:val="24"/>
          <w:highlight w:val="none"/>
        </w:rPr>
      </w:pPr>
      <w:r>
        <w:rPr>
          <w:rFonts w:hint="eastAsia" w:ascii="宋体" w:hAnsi="宋体" w:cs="宋体"/>
          <w:color w:val="auto"/>
          <w:szCs w:val="24"/>
          <w:highlight w:val="none"/>
        </w:rPr>
        <w:t>为保证定标的公正性，在评标过程中，评委不得与投标人私下交换意见。在招标工作结束后，凡与评标情况有接触的任何人，不得也不应将评标情况扩散出评委人员之外；</w:t>
      </w:r>
    </w:p>
    <w:p>
      <w:pPr>
        <w:pStyle w:val="64"/>
        <w:numPr>
          <w:ilvl w:val="0"/>
          <w:numId w:val="34"/>
        </w:numPr>
        <w:spacing w:before="0"/>
        <w:ind w:firstLine="480"/>
        <w:rPr>
          <w:rFonts w:ascii="宋体" w:hAnsi="宋体" w:cs="宋体"/>
          <w:color w:val="auto"/>
          <w:szCs w:val="24"/>
          <w:highlight w:val="none"/>
        </w:rPr>
      </w:pPr>
      <w:r>
        <w:rPr>
          <w:rFonts w:hint="eastAsia" w:ascii="宋体" w:hAnsi="宋体" w:cs="宋体"/>
          <w:color w:val="auto"/>
          <w:szCs w:val="24"/>
          <w:highlight w:val="none"/>
        </w:rPr>
        <w:t>投标人相互之间，或与采购人相互不得串通投标，不得排挤其他投标人的公平竞争，损害采购人或者其他投标人的合法权益；</w:t>
      </w:r>
    </w:p>
    <w:p>
      <w:pPr>
        <w:pStyle w:val="64"/>
        <w:numPr>
          <w:ilvl w:val="0"/>
          <w:numId w:val="34"/>
        </w:numPr>
        <w:spacing w:before="0"/>
        <w:ind w:firstLine="480"/>
        <w:rPr>
          <w:rFonts w:ascii="宋体" w:hAnsi="宋体" w:cs="宋体"/>
          <w:color w:val="auto"/>
          <w:szCs w:val="24"/>
          <w:highlight w:val="none"/>
        </w:rPr>
      </w:pPr>
      <w:r>
        <w:rPr>
          <w:rFonts w:hint="eastAsia" w:ascii="宋体" w:hAnsi="宋体" w:cs="宋体"/>
          <w:color w:val="auto"/>
          <w:szCs w:val="24"/>
          <w:highlight w:val="none"/>
        </w:rPr>
        <w:t>评标委员会不向投标人解释未中标的原因；</w:t>
      </w:r>
    </w:p>
    <w:p>
      <w:pPr>
        <w:pStyle w:val="64"/>
        <w:numPr>
          <w:ilvl w:val="0"/>
          <w:numId w:val="34"/>
        </w:numPr>
        <w:spacing w:before="0"/>
        <w:ind w:firstLine="480"/>
        <w:rPr>
          <w:rFonts w:ascii="宋体" w:hAnsi="宋体" w:cs="宋体"/>
          <w:color w:val="auto"/>
          <w:szCs w:val="24"/>
          <w:highlight w:val="none"/>
        </w:rPr>
      </w:pPr>
      <w:r>
        <w:rPr>
          <w:rFonts w:hint="eastAsia" w:ascii="宋体" w:hAnsi="宋体" w:cs="宋体"/>
          <w:color w:val="auto"/>
          <w:szCs w:val="24"/>
          <w:highlight w:val="none"/>
        </w:rPr>
        <w:t>特别说明：政采云公司如对电子化开标及评审程序有调整的，按调整后的程序操作。</w:t>
      </w:r>
    </w:p>
    <w:p>
      <w:pPr>
        <w:spacing w:line="360" w:lineRule="auto"/>
        <w:ind w:firstLine="420"/>
        <w:jc w:val="center"/>
        <w:rPr>
          <w:rFonts w:ascii="宋体" w:hAnsi="宋体" w:cs="宋体"/>
          <w:b/>
          <w:color w:val="auto"/>
          <w:sz w:val="24"/>
          <w:highlight w:val="none"/>
        </w:rPr>
      </w:pPr>
    </w:p>
    <w:p>
      <w:pPr>
        <w:snapToGrid w:val="0"/>
        <w:spacing w:line="360" w:lineRule="auto"/>
        <w:jc w:val="center"/>
        <w:outlineLvl w:val="0"/>
        <w:rPr>
          <w:rFonts w:ascii="宋体" w:hAnsi="宋体" w:cs="宋体"/>
          <w:b/>
          <w:color w:val="auto"/>
          <w:sz w:val="32"/>
          <w:highlight w:val="none"/>
        </w:rPr>
      </w:pPr>
      <w:bookmarkStart w:id="52" w:name="_Toc19547"/>
      <w:bookmarkStart w:id="53" w:name="_Toc8332"/>
      <w:r>
        <w:rPr>
          <w:rFonts w:hint="eastAsia" w:ascii="宋体" w:hAnsi="宋体" w:cs="宋体"/>
          <w:b/>
          <w:color w:val="auto"/>
          <w:sz w:val="32"/>
          <w:highlight w:val="none"/>
        </w:rPr>
        <w:t>八、定 标</w:t>
      </w:r>
      <w:bookmarkEnd w:id="52"/>
      <w:bookmarkEnd w:id="53"/>
    </w:p>
    <w:p>
      <w:pPr>
        <w:pStyle w:val="64"/>
        <w:tabs>
          <w:tab w:val="left" w:pos="0"/>
        </w:tabs>
        <w:spacing w:before="0"/>
        <w:ind w:firstLine="480"/>
        <w:rPr>
          <w:rFonts w:ascii="宋体" w:hAnsi="宋体" w:cs="宋体"/>
          <w:color w:val="auto"/>
          <w:szCs w:val="24"/>
          <w:highlight w:val="none"/>
        </w:rPr>
      </w:pPr>
      <w:bookmarkStart w:id="54" w:name="_Toc15760"/>
      <w:r>
        <w:rPr>
          <w:rFonts w:hint="eastAsia" w:ascii="宋体" w:hAnsi="宋体" w:cs="宋体"/>
          <w:color w:val="auto"/>
          <w:szCs w:val="24"/>
          <w:highlight w:val="none"/>
        </w:rPr>
        <w:t>28.1项目由评标委员会根据第三章《评标办法与评分标准》规定提出中标候选人排序。</w:t>
      </w:r>
    </w:p>
    <w:p>
      <w:pPr>
        <w:pStyle w:val="64"/>
        <w:tabs>
          <w:tab w:val="left" w:pos="0"/>
        </w:tabs>
        <w:spacing w:before="0"/>
        <w:ind w:firstLine="480"/>
        <w:rPr>
          <w:rFonts w:ascii="宋体" w:hAnsi="宋体" w:cs="宋体"/>
          <w:color w:val="auto"/>
          <w:szCs w:val="24"/>
          <w:highlight w:val="none"/>
        </w:rPr>
      </w:pPr>
      <w:r>
        <w:rPr>
          <w:rFonts w:hint="eastAsia" w:ascii="宋体" w:hAnsi="宋体" w:cs="宋体"/>
          <w:color w:val="auto"/>
          <w:szCs w:val="24"/>
          <w:highlight w:val="none"/>
        </w:rPr>
        <w:t>28.2采购代理机构应当在评标结束后2个工作日内将评标报告送采购人。</w:t>
      </w:r>
    </w:p>
    <w:p>
      <w:pPr>
        <w:pStyle w:val="64"/>
        <w:tabs>
          <w:tab w:val="left" w:pos="0"/>
        </w:tabs>
        <w:spacing w:before="0"/>
        <w:ind w:firstLine="480"/>
        <w:rPr>
          <w:rFonts w:ascii="宋体" w:hAnsi="宋体" w:cs="宋体"/>
          <w:color w:val="auto"/>
          <w:szCs w:val="24"/>
          <w:highlight w:val="none"/>
        </w:rPr>
      </w:pPr>
      <w:r>
        <w:rPr>
          <w:rFonts w:hint="eastAsia" w:ascii="宋体" w:hAnsi="宋体" w:cs="宋体"/>
          <w:color w:val="auto"/>
          <w:szCs w:val="24"/>
          <w:highlight w:val="none"/>
        </w:rPr>
        <w:t>28.3采购人应当自收到评标报告之日起5个工作日内，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pPr>
        <w:pStyle w:val="64"/>
        <w:tabs>
          <w:tab w:val="left" w:pos="0"/>
        </w:tabs>
        <w:spacing w:before="0"/>
        <w:ind w:firstLine="480"/>
        <w:rPr>
          <w:rFonts w:ascii="宋体" w:hAnsi="宋体" w:cs="宋体"/>
          <w:color w:val="auto"/>
          <w:szCs w:val="24"/>
          <w:highlight w:val="none"/>
        </w:rPr>
      </w:pPr>
      <w:r>
        <w:rPr>
          <w:rFonts w:hint="eastAsia" w:ascii="宋体" w:hAnsi="宋体" w:cs="宋体"/>
          <w:color w:val="auto"/>
          <w:szCs w:val="24"/>
          <w:highlight w:val="none"/>
        </w:rPr>
        <w:t>28.4采购人或者采购代理机构应当自中标人确定之日起2个工作日内，在发布招标公告的网站上公告中标结果，公告期限为1个工作日。在公告中标结果的同时，采购人或者采购代理机构应当向中标人发出中标通知书；</w:t>
      </w:r>
    </w:p>
    <w:p>
      <w:pPr>
        <w:pStyle w:val="64"/>
        <w:tabs>
          <w:tab w:val="left" w:pos="0"/>
        </w:tabs>
        <w:spacing w:before="0"/>
        <w:ind w:firstLine="480"/>
        <w:rPr>
          <w:rFonts w:ascii="宋体" w:hAnsi="宋体" w:cs="宋体"/>
          <w:color w:val="auto"/>
          <w:szCs w:val="24"/>
          <w:highlight w:val="none"/>
        </w:rPr>
      </w:pPr>
      <w:r>
        <w:rPr>
          <w:rFonts w:hint="eastAsia" w:ascii="宋体" w:hAnsi="宋体" w:cs="宋体"/>
          <w:color w:val="auto"/>
          <w:szCs w:val="24"/>
          <w:highlight w:val="none"/>
        </w:rPr>
        <w:t>28.5中标人应携带介绍信自行前往采购代理机构领取中标通知书。</w:t>
      </w:r>
    </w:p>
    <w:p>
      <w:pPr>
        <w:pStyle w:val="64"/>
        <w:tabs>
          <w:tab w:val="left" w:pos="0"/>
        </w:tabs>
        <w:spacing w:before="0"/>
        <w:ind w:firstLine="480"/>
        <w:rPr>
          <w:rFonts w:ascii="宋体" w:hAnsi="宋体" w:cs="宋体"/>
          <w:color w:val="auto"/>
          <w:szCs w:val="24"/>
          <w:highlight w:val="none"/>
        </w:rPr>
      </w:pPr>
      <w:bookmarkStart w:id="55" w:name="_Toc27357"/>
      <w:bookmarkStart w:id="56" w:name="_Toc23365"/>
      <w:r>
        <w:rPr>
          <w:rFonts w:hint="eastAsia" w:ascii="宋体" w:hAnsi="宋体" w:cs="宋体"/>
          <w:color w:val="auto"/>
          <w:szCs w:val="24"/>
          <w:highlight w:val="none"/>
        </w:rPr>
        <w:t>28.6中标通知书发出后，采购人不得违法改变中标结果，中标人无正当理由不得放弃中标。</w:t>
      </w:r>
      <w:bookmarkEnd w:id="55"/>
      <w:bookmarkEnd w:id="56"/>
    </w:p>
    <w:p>
      <w:pPr>
        <w:pStyle w:val="64"/>
        <w:tabs>
          <w:tab w:val="left" w:pos="0"/>
        </w:tabs>
        <w:spacing w:before="0"/>
        <w:ind w:firstLine="480"/>
        <w:rPr>
          <w:rFonts w:ascii="宋体" w:hAnsi="宋体" w:cs="宋体"/>
          <w:color w:val="auto"/>
          <w:szCs w:val="24"/>
          <w:highlight w:val="none"/>
        </w:rPr>
      </w:pPr>
    </w:p>
    <w:p>
      <w:pPr>
        <w:snapToGrid w:val="0"/>
        <w:spacing w:line="360" w:lineRule="auto"/>
        <w:jc w:val="center"/>
        <w:outlineLvl w:val="0"/>
        <w:rPr>
          <w:rFonts w:ascii="宋体" w:hAnsi="宋体" w:cs="宋体"/>
          <w:b/>
          <w:color w:val="auto"/>
          <w:sz w:val="32"/>
          <w:highlight w:val="none"/>
        </w:rPr>
      </w:pPr>
      <w:bookmarkStart w:id="57" w:name="_Toc31548"/>
      <w:r>
        <w:rPr>
          <w:rFonts w:hint="eastAsia" w:ascii="宋体" w:hAnsi="宋体" w:cs="宋体"/>
          <w:b/>
          <w:color w:val="auto"/>
          <w:sz w:val="32"/>
          <w:highlight w:val="none"/>
        </w:rPr>
        <w:t>九、合同签订及其他</w:t>
      </w:r>
      <w:bookmarkEnd w:id="54"/>
      <w:bookmarkEnd w:id="57"/>
    </w:p>
    <w:p>
      <w:pPr>
        <w:pStyle w:val="64"/>
        <w:tabs>
          <w:tab w:val="left" w:pos="0"/>
        </w:tabs>
        <w:spacing w:before="0"/>
        <w:ind w:firstLine="480"/>
        <w:rPr>
          <w:rFonts w:ascii="宋体" w:hAnsi="宋体" w:cs="宋体"/>
          <w:color w:val="auto"/>
          <w:szCs w:val="24"/>
          <w:highlight w:val="none"/>
        </w:rPr>
      </w:pPr>
      <w:r>
        <w:rPr>
          <w:rFonts w:hint="eastAsia" w:ascii="宋体" w:hAnsi="宋体" w:cs="宋体"/>
          <w:color w:val="auto"/>
          <w:szCs w:val="24"/>
          <w:highlight w:val="none"/>
        </w:rPr>
        <w:t>29.1 采购人应当自中标通知书发出之日起30日内，按照招标文件和中标人投标文件的规定，与中标人签订书面合同。所签订的合同不得对招标文件确定的事项和中标人投标文件作实质性修改。</w:t>
      </w:r>
    </w:p>
    <w:p>
      <w:pPr>
        <w:pStyle w:val="64"/>
        <w:tabs>
          <w:tab w:val="left" w:pos="0"/>
        </w:tabs>
        <w:spacing w:before="0"/>
        <w:ind w:firstLine="480"/>
        <w:rPr>
          <w:rFonts w:ascii="宋体" w:hAnsi="宋体" w:cs="宋体"/>
          <w:color w:val="auto"/>
          <w:szCs w:val="24"/>
          <w:highlight w:val="none"/>
        </w:rPr>
      </w:pPr>
      <w:r>
        <w:rPr>
          <w:rFonts w:hint="eastAsia" w:ascii="宋体" w:hAnsi="宋体" w:cs="宋体"/>
          <w:color w:val="auto"/>
          <w:szCs w:val="24"/>
          <w:highlight w:val="none"/>
        </w:rPr>
        <w:t>29.2 中标或者成交供应商拒绝与采购人签订合同的，采购人可以按照评审报告推荐的中标或者成交候选人名单排序，确定下一候选人为中标或者成交供应商，也可以重新开展采购活动。</w:t>
      </w:r>
    </w:p>
    <w:p>
      <w:pPr>
        <w:pStyle w:val="15"/>
        <w:spacing w:line="360" w:lineRule="auto"/>
        <w:ind w:left="420" w:leftChars="200"/>
        <w:rPr>
          <w:rFonts w:hAnsi="宋体" w:cs="宋体"/>
          <w:b/>
          <w:color w:val="auto"/>
          <w:sz w:val="24"/>
          <w:szCs w:val="24"/>
          <w:highlight w:val="none"/>
        </w:rPr>
      </w:pPr>
      <w:r>
        <w:rPr>
          <w:rFonts w:hint="eastAsia" w:hAnsi="宋体" w:cs="宋体"/>
          <w:b/>
          <w:color w:val="auto"/>
          <w:sz w:val="24"/>
          <w:szCs w:val="24"/>
          <w:highlight w:val="none"/>
        </w:rPr>
        <w:t>30.履约保证金</w:t>
      </w:r>
    </w:p>
    <w:p>
      <w:pPr>
        <w:pStyle w:val="64"/>
        <w:tabs>
          <w:tab w:val="left" w:pos="0"/>
        </w:tabs>
        <w:spacing w:before="0"/>
        <w:ind w:firstLine="480"/>
        <w:rPr>
          <w:rFonts w:ascii="宋体" w:hAnsi="宋体" w:cs="宋体"/>
          <w:color w:val="auto"/>
          <w:szCs w:val="24"/>
          <w:highlight w:val="none"/>
        </w:rPr>
      </w:pPr>
      <w:r>
        <w:rPr>
          <w:rFonts w:hint="eastAsia" w:ascii="宋体" w:hAnsi="宋体" w:cs="宋体"/>
          <w:color w:val="auto"/>
          <w:szCs w:val="24"/>
          <w:highlight w:val="none"/>
        </w:rPr>
        <w:t>采购合同条款要求中标供应商提交履约保证金的，供应商应当以支票、汇票、本票或者金融机构、保险公司、担保机构出具的保函等非现金形式提交。</w:t>
      </w:r>
    </w:p>
    <w:p>
      <w:pPr>
        <w:pStyle w:val="15"/>
        <w:spacing w:line="360" w:lineRule="auto"/>
        <w:ind w:left="420" w:leftChars="200"/>
        <w:rPr>
          <w:rFonts w:hAnsi="宋体" w:cs="宋体"/>
          <w:b/>
          <w:color w:val="auto"/>
          <w:sz w:val="24"/>
          <w:szCs w:val="24"/>
          <w:highlight w:val="none"/>
        </w:rPr>
      </w:pPr>
      <w:r>
        <w:rPr>
          <w:rFonts w:hint="eastAsia" w:hAnsi="宋体" w:cs="宋体"/>
          <w:b/>
          <w:color w:val="auto"/>
          <w:sz w:val="24"/>
          <w:szCs w:val="24"/>
          <w:highlight w:val="none"/>
        </w:rPr>
        <w:t>31.验收</w:t>
      </w:r>
    </w:p>
    <w:p>
      <w:pPr>
        <w:pStyle w:val="64"/>
        <w:tabs>
          <w:tab w:val="left" w:pos="0"/>
        </w:tabs>
        <w:spacing w:before="0"/>
        <w:ind w:firstLine="480"/>
        <w:rPr>
          <w:rFonts w:ascii="宋体" w:hAnsi="宋体" w:cs="宋体"/>
          <w:color w:val="auto"/>
          <w:szCs w:val="24"/>
          <w:highlight w:val="none"/>
        </w:rPr>
      </w:pPr>
      <w:r>
        <w:rPr>
          <w:rFonts w:hint="eastAsia" w:ascii="宋体" w:hAnsi="宋体" w:cs="宋体"/>
          <w:color w:val="auto"/>
          <w:szCs w:val="24"/>
          <w:highlight w:val="none"/>
        </w:rPr>
        <w:t>31.1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pPr>
        <w:pStyle w:val="64"/>
        <w:tabs>
          <w:tab w:val="left" w:pos="0"/>
        </w:tabs>
        <w:spacing w:before="0"/>
        <w:ind w:firstLine="480"/>
        <w:rPr>
          <w:rFonts w:ascii="宋体" w:hAnsi="宋体" w:cs="宋体"/>
          <w:color w:val="auto"/>
          <w:szCs w:val="24"/>
          <w:highlight w:val="none"/>
        </w:rPr>
      </w:pPr>
      <w:r>
        <w:rPr>
          <w:rFonts w:hint="eastAsia" w:ascii="宋体" w:hAnsi="宋体" w:cs="宋体"/>
          <w:color w:val="auto"/>
          <w:szCs w:val="24"/>
          <w:highlight w:val="none"/>
        </w:rPr>
        <w:t>31.2采购人应当及时对采购项目进行验收，采购人可以邀请参加本项目的其他投标人或者第三方机构参与验收，参与验收的投标人或者第三方机构的意见作为验收书的参考资料一并存档。</w:t>
      </w:r>
    </w:p>
    <w:p>
      <w:pPr>
        <w:pStyle w:val="64"/>
        <w:tabs>
          <w:tab w:val="left" w:pos="0"/>
        </w:tabs>
        <w:spacing w:before="0"/>
        <w:ind w:firstLine="480"/>
        <w:rPr>
          <w:rFonts w:ascii="宋体" w:hAnsi="宋体" w:cs="宋体"/>
          <w:color w:val="auto"/>
          <w:szCs w:val="24"/>
          <w:highlight w:val="none"/>
        </w:rPr>
      </w:pPr>
      <w:r>
        <w:rPr>
          <w:rFonts w:hint="eastAsia" w:ascii="宋体" w:hAnsi="宋体" w:cs="宋体"/>
          <w:color w:val="auto"/>
          <w:szCs w:val="24"/>
          <w:highlight w:val="none"/>
        </w:rPr>
        <w:t>31.3采购人负责加强对中标人的履约管理，并按照采购合同约定，及时向中标人支付采购资金。对于中标人违反采购合同约定的行为，采购人应当及时处理，依法追究其违约责任。</w:t>
      </w:r>
    </w:p>
    <w:p>
      <w:pPr>
        <w:pStyle w:val="15"/>
        <w:spacing w:line="360" w:lineRule="auto"/>
        <w:ind w:left="420" w:leftChars="200"/>
        <w:rPr>
          <w:rFonts w:hAnsi="宋体" w:cs="宋体"/>
          <w:b/>
          <w:color w:val="auto"/>
          <w:sz w:val="24"/>
          <w:szCs w:val="24"/>
          <w:highlight w:val="none"/>
        </w:rPr>
      </w:pPr>
      <w:r>
        <w:rPr>
          <w:rFonts w:hint="eastAsia" w:hAnsi="宋体" w:cs="宋体"/>
          <w:b/>
          <w:color w:val="auto"/>
          <w:sz w:val="24"/>
          <w:szCs w:val="24"/>
          <w:highlight w:val="none"/>
        </w:rPr>
        <w:t>32.货款结算方式</w:t>
      </w:r>
    </w:p>
    <w:p>
      <w:pPr>
        <w:tabs>
          <w:tab w:val="left" w:pos="0"/>
        </w:tabs>
        <w:spacing w:line="360" w:lineRule="auto"/>
        <w:ind w:firstLine="480"/>
        <w:rPr>
          <w:rFonts w:ascii="宋体" w:hAnsi="宋体" w:cs="宋体"/>
          <w:color w:val="auto"/>
          <w:sz w:val="24"/>
          <w:highlight w:val="none"/>
        </w:rPr>
      </w:pPr>
      <w:r>
        <w:rPr>
          <w:rFonts w:hint="eastAsia" w:ascii="宋体" w:hAnsi="宋体" w:cs="宋体"/>
          <w:color w:val="auto"/>
          <w:sz w:val="24"/>
          <w:highlight w:val="none"/>
        </w:rPr>
        <w:t>付款方式：采购人与中标人依照招标文件规定的付款方式进行项目款项的支付。</w:t>
      </w:r>
    </w:p>
    <w:p>
      <w:pPr>
        <w:pStyle w:val="15"/>
        <w:spacing w:line="360" w:lineRule="auto"/>
        <w:ind w:left="420" w:leftChars="200"/>
        <w:rPr>
          <w:rFonts w:hAnsi="宋体" w:cs="宋体"/>
          <w:b/>
          <w:color w:val="auto"/>
          <w:sz w:val="24"/>
          <w:szCs w:val="24"/>
          <w:highlight w:val="none"/>
        </w:rPr>
      </w:pPr>
      <w:r>
        <w:rPr>
          <w:rFonts w:hint="eastAsia" w:hAnsi="宋体" w:cs="宋体"/>
          <w:b/>
          <w:color w:val="auto"/>
          <w:sz w:val="24"/>
          <w:szCs w:val="24"/>
          <w:highlight w:val="none"/>
        </w:rPr>
        <w:t>33.售后服务考核</w:t>
      </w:r>
    </w:p>
    <w:p>
      <w:pPr>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采购代理机构将配合采购人主管部门不定期对合同的履约情况进行检查，发现弄虚作假，偷工减料，以次充好，达不到国家、行业有关标准和技术文件规定的，一经查实，由有关职能部门给与相应处罚。</w:t>
      </w:r>
    </w:p>
    <w:p>
      <w:pPr>
        <w:pStyle w:val="2"/>
        <w:ind w:firstLine="480"/>
        <w:rPr>
          <w:color w:val="auto"/>
          <w:sz w:val="24"/>
          <w:szCs w:val="24"/>
          <w:highlight w:val="none"/>
        </w:rPr>
      </w:pPr>
    </w:p>
    <w:p>
      <w:pPr>
        <w:snapToGrid w:val="0"/>
        <w:spacing w:line="360" w:lineRule="auto"/>
        <w:jc w:val="center"/>
        <w:outlineLvl w:val="0"/>
        <w:rPr>
          <w:rFonts w:ascii="宋体" w:hAnsi="宋体" w:cs="宋体"/>
          <w:b/>
          <w:color w:val="auto"/>
          <w:sz w:val="32"/>
          <w:highlight w:val="none"/>
        </w:rPr>
      </w:pPr>
      <w:bookmarkStart w:id="58" w:name="_Toc7716"/>
      <w:bookmarkStart w:id="59" w:name="_Toc10926"/>
      <w:r>
        <w:rPr>
          <w:rFonts w:hint="eastAsia" w:ascii="宋体" w:hAnsi="宋体" w:cs="宋体"/>
          <w:b/>
          <w:color w:val="auto"/>
          <w:sz w:val="32"/>
          <w:highlight w:val="none"/>
        </w:rPr>
        <w:t>十、质疑与投诉</w:t>
      </w:r>
      <w:bookmarkEnd w:id="58"/>
      <w:bookmarkEnd w:id="59"/>
    </w:p>
    <w:p>
      <w:pPr>
        <w:tabs>
          <w:tab w:val="left" w:pos="0"/>
        </w:tabs>
        <w:spacing w:line="360" w:lineRule="auto"/>
        <w:ind w:firstLine="480"/>
        <w:rPr>
          <w:rFonts w:ascii="宋体" w:hAnsi="宋体" w:cs="宋体"/>
          <w:color w:val="auto"/>
          <w:sz w:val="24"/>
          <w:highlight w:val="none"/>
        </w:rPr>
      </w:pPr>
      <w:r>
        <w:rPr>
          <w:rFonts w:hint="eastAsia" w:ascii="宋体" w:hAnsi="宋体" w:cs="宋体"/>
          <w:color w:val="auto"/>
          <w:sz w:val="24"/>
          <w:highlight w:val="none"/>
        </w:rPr>
        <w:t>根据《上虞区区属国有企业货物和服务采购管理办法》的规定，采购供应商可以依法提起质疑和投诉。</w:t>
      </w:r>
    </w:p>
    <w:p>
      <w:pPr>
        <w:pStyle w:val="15"/>
        <w:spacing w:line="360" w:lineRule="auto"/>
        <w:ind w:left="420" w:leftChars="200"/>
        <w:rPr>
          <w:rFonts w:hAnsi="宋体" w:cs="宋体"/>
          <w:b/>
          <w:color w:val="auto"/>
          <w:sz w:val="24"/>
          <w:szCs w:val="24"/>
          <w:highlight w:val="none"/>
          <w:lang w:val="zh-CN"/>
        </w:rPr>
      </w:pPr>
      <w:r>
        <w:rPr>
          <w:rFonts w:hint="eastAsia" w:hAnsi="宋体" w:cs="宋体"/>
          <w:b/>
          <w:color w:val="auto"/>
          <w:sz w:val="24"/>
          <w:szCs w:val="24"/>
          <w:highlight w:val="none"/>
        </w:rPr>
        <w:t>34.</w:t>
      </w:r>
      <w:r>
        <w:rPr>
          <w:rFonts w:hint="eastAsia" w:hAnsi="宋体" w:cs="宋体"/>
          <w:b/>
          <w:color w:val="auto"/>
          <w:sz w:val="24"/>
          <w:szCs w:val="24"/>
          <w:highlight w:val="none"/>
          <w:lang w:val="zh-CN"/>
        </w:rPr>
        <w:t>供应商询问</w:t>
      </w:r>
    </w:p>
    <w:p>
      <w:pPr>
        <w:pStyle w:val="15"/>
        <w:spacing w:line="360" w:lineRule="auto"/>
        <w:ind w:firstLine="480" w:firstLineChars="200"/>
        <w:rPr>
          <w:rFonts w:hAnsi="宋体" w:cs="宋体"/>
          <w:color w:val="auto"/>
          <w:sz w:val="24"/>
          <w:highlight w:val="none"/>
        </w:rPr>
      </w:pPr>
      <w:r>
        <w:rPr>
          <w:rFonts w:hint="eastAsia" w:hAnsi="宋体" w:cs="宋体"/>
          <w:color w:val="auto"/>
          <w:sz w:val="24"/>
          <w:highlight w:val="none"/>
        </w:rPr>
        <w:t>供应商对国企采购活动事项有疑问的，可以向采购代理机构提出询问，采购代理机构将对供应商依法提出的询问作出答复，但答复的内容不得涉及商业秘密。</w:t>
      </w:r>
    </w:p>
    <w:p>
      <w:pPr>
        <w:pStyle w:val="15"/>
        <w:spacing w:line="360" w:lineRule="auto"/>
        <w:ind w:left="420" w:leftChars="200"/>
        <w:rPr>
          <w:rFonts w:hAnsi="宋体" w:cs="宋体"/>
          <w:b/>
          <w:color w:val="auto"/>
          <w:sz w:val="24"/>
          <w:szCs w:val="24"/>
          <w:highlight w:val="none"/>
          <w:lang w:val="zh-CN"/>
        </w:rPr>
      </w:pPr>
      <w:r>
        <w:rPr>
          <w:rFonts w:hint="eastAsia" w:hAnsi="宋体" w:cs="宋体"/>
          <w:b/>
          <w:color w:val="auto"/>
          <w:sz w:val="24"/>
          <w:szCs w:val="24"/>
          <w:highlight w:val="none"/>
        </w:rPr>
        <w:t>35.</w:t>
      </w:r>
      <w:r>
        <w:rPr>
          <w:rFonts w:hint="eastAsia" w:hAnsi="宋体" w:cs="宋体"/>
          <w:b/>
          <w:color w:val="auto"/>
          <w:sz w:val="24"/>
          <w:szCs w:val="24"/>
          <w:highlight w:val="none"/>
          <w:lang w:val="zh-CN"/>
        </w:rPr>
        <w:t>供应商质疑</w:t>
      </w:r>
    </w:p>
    <w:p>
      <w:pPr>
        <w:pStyle w:val="64"/>
        <w:tabs>
          <w:tab w:val="left" w:pos="0"/>
        </w:tabs>
        <w:spacing w:before="0"/>
        <w:ind w:firstLine="480"/>
        <w:rPr>
          <w:rFonts w:ascii="宋体" w:hAnsi="宋体" w:cs="宋体"/>
          <w:color w:val="auto"/>
          <w:szCs w:val="24"/>
          <w:highlight w:val="none"/>
        </w:rPr>
      </w:pPr>
      <w:r>
        <w:rPr>
          <w:rFonts w:hint="eastAsia" w:ascii="宋体" w:hAnsi="宋体" w:cs="宋体"/>
          <w:color w:val="auto"/>
          <w:szCs w:val="24"/>
          <w:highlight w:val="none"/>
        </w:rPr>
        <w:t>35.1供应商认为采购文件、采购过程、中标或者成交结果使自己的权益受到损害的，可以在知道或者应知其权益受到损害之日起7个工作日内，以书面形式向采购人、采购代理机构提出质疑，采购人、采购代理机构应在7个工作日内做好答复工作，但答复内容不得涉及商业秘密。</w:t>
      </w:r>
    </w:p>
    <w:p>
      <w:pPr>
        <w:pStyle w:val="64"/>
        <w:tabs>
          <w:tab w:val="left" w:pos="0"/>
        </w:tabs>
        <w:spacing w:before="0"/>
        <w:ind w:firstLine="480"/>
        <w:rPr>
          <w:rFonts w:ascii="宋体" w:hAnsi="宋体" w:cs="宋体"/>
          <w:color w:val="auto"/>
          <w:szCs w:val="24"/>
          <w:highlight w:val="none"/>
        </w:rPr>
      </w:pPr>
      <w:r>
        <w:rPr>
          <w:rFonts w:hint="eastAsia" w:ascii="宋体" w:hAnsi="宋体" w:cs="宋体"/>
          <w:color w:val="auto"/>
          <w:szCs w:val="24"/>
          <w:highlight w:val="none"/>
        </w:rPr>
        <w:t>《上虞区区属国有企业货物和服务采购管理办法》第四十九条规定的供应商应知其权益收到损害之日，是指：</w:t>
      </w:r>
    </w:p>
    <w:p>
      <w:pPr>
        <w:pStyle w:val="64"/>
        <w:tabs>
          <w:tab w:val="left" w:pos="0"/>
        </w:tabs>
        <w:spacing w:before="0"/>
        <w:ind w:firstLine="480"/>
        <w:rPr>
          <w:rFonts w:ascii="宋体" w:hAnsi="宋体" w:cs="宋体"/>
          <w:color w:val="auto"/>
          <w:szCs w:val="24"/>
          <w:highlight w:val="none"/>
        </w:rPr>
      </w:pPr>
      <w:r>
        <w:rPr>
          <w:rFonts w:hint="eastAsia" w:ascii="宋体" w:hAnsi="宋体" w:cs="宋体"/>
          <w:color w:val="auto"/>
          <w:szCs w:val="24"/>
          <w:highlight w:val="none"/>
        </w:rPr>
        <w:t>（一）对可以质疑的采购文件提出质疑的，为收到采购文件之日或者采购文件公告期限届满之日（公告期限届满后获取采购文件的，以公告期限届满之日为准）；</w:t>
      </w:r>
    </w:p>
    <w:p>
      <w:pPr>
        <w:pStyle w:val="64"/>
        <w:tabs>
          <w:tab w:val="left" w:pos="0"/>
        </w:tabs>
        <w:spacing w:before="0"/>
        <w:ind w:firstLine="480"/>
        <w:rPr>
          <w:rFonts w:ascii="宋体" w:hAnsi="宋体" w:cs="宋体"/>
          <w:color w:val="auto"/>
          <w:szCs w:val="24"/>
          <w:highlight w:val="none"/>
        </w:rPr>
      </w:pPr>
      <w:r>
        <w:rPr>
          <w:rFonts w:hint="eastAsia" w:ascii="宋体" w:hAnsi="宋体" w:cs="宋体"/>
          <w:color w:val="auto"/>
          <w:szCs w:val="24"/>
          <w:highlight w:val="none"/>
        </w:rPr>
        <w:t>（二）对采购过程提出质疑的，为各采购程序环节结束之日；</w:t>
      </w:r>
    </w:p>
    <w:p>
      <w:pPr>
        <w:pStyle w:val="64"/>
        <w:tabs>
          <w:tab w:val="left" w:pos="0"/>
        </w:tabs>
        <w:spacing w:before="0"/>
        <w:ind w:firstLine="480"/>
        <w:rPr>
          <w:rFonts w:ascii="宋体" w:hAnsi="宋体" w:cs="宋体"/>
          <w:color w:val="auto"/>
          <w:szCs w:val="24"/>
          <w:highlight w:val="none"/>
        </w:rPr>
      </w:pPr>
      <w:r>
        <w:rPr>
          <w:rFonts w:hint="eastAsia" w:ascii="宋体" w:hAnsi="宋体" w:cs="宋体"/>
          <w:color w:val="auto"/>
          <w:szCs w:val="24"/>
          <w:highlight w:val="none"/>
        </w:rPr>
        <w:t>（三）对中标或者成交结果提出质疑的，为中标或者成交结果公告期限届满之日。</w:t>
      </w:r>
    </w:p>
    <w:p>
      <w:pPr>
        <w:pStyle w:val="64"/>
        <w:tabs>
          <w:tab w:val="left" w:pos="0"/>
        </w:tabs>
        <w:spacing w:before="0"/>
        <w:ind w:left="420" w:leftChars="200" w:firstLine="0" w:firstLineChars="0"/>
        <w:rPr>
          <w:rFonts w:ascii="宋体" w:hAnsi="宋体" w:cs="宋体"/>
          <w:color w:val="auto"/>
          <w:szCs w:val="24"/>
          <w:highlight w:val="none"/>
        </w:rPr>
      </w:pPr>
      <w:r>
        <w:rPr>
          <w:rFonts w:hint="eastAsia" w:ascii="宋体" w:hAnsi="宋体" w:cs="宋体"/>
          <w:color w:val="auto"/>
          <w:szCs w:val="24"/>
          <w:highlight w:val="none"/>
        </w:rPr>
        <w:t>35.2供应商提交的质疑书需一式三份，由法定代表人签字（或盖章）并加盖单位公章。质疑书至少应包括下列主要内容：</w:t>
      </w:r>
    </w:p>
    <w:p>
      <w:pPr>
        <w:pStyle w:val="15"/>
        <w:numPr>
          <w:ilvl w:val="0"/>
          <w:numId w:val="35"/>
        </w:numPr>
        <w:spacing w:line="360" w:lineRule="auto"/>
        <w:ind w:firstLine="480" w:firstLineChars="200"/>
        <w:rPr>
          <w:rFonts w:hAnsi="宋体" w:cs="宋体"/>
          <w:color w:val="auto"/>
          <w:sz w:val="24"/>
          <w:highlight w:val="none"/>
        </w:rPr>
      </w:pPr>
      <w:r>
        <w:rPr>
          <w:rFonts w:hint="eastAsia" w:hAnsi="宋体" w:cs="宋体"/>
          <w:color w:val="auto"/>
          <w:sz w:val="24"/>
          <w:highlight w:val="none"/>
        </w:rPr>
        <w:t>质疑人的名称、地址、邮政编码、联系人、联系电话，以及被质疑人名称及联系方式；</w:t>
      </w:r>
    </w:p>
    <w:p>
      <w:pPr>
        <w:pStyle w:val="15"/>
        <w:numPr>
          <w:ilvl w:val="0"/>
          <w:numId w:val="35"/>
        </w:numPr>
        <w:spacing w:line="360" w:lineRule="auto"/>
        <w:ind w:firstLine="480" w:firstLineChars="200"/>
        <w:rPr>
          <w:rFonts w:hAnsi="宋体" w:cs="宋体"/>
          <w:color w:val="auto"/>
          <w:sz w:val="24"/>
          <w:highlight w:val="none"/>
        </w:rPr>
      </w:pPr>
      <w:r>
        <w:rPr>
          <w:rFonts w:hint="eastAsia" w:hAnsi="宋体" w:cs="宋体"/>
          <w:color w:val="auto"/>
          <w:sz w:val="24"/>
          <w:highlight w:val="none"/>
        </w:rPr>
        <w:t>被质疑采购项目名称、编号及采购内容；</w:t>
      </w:r>
    </w:p>
    <w:p>
      <w:pPr>
        <w:pStyle w:val="15"/>
        <w:numPr>
          <w:ilvl w:val="0"/>
          <w:numId w:val="35"/>
        </w:numPr>
        <w:spacing w:line="360" w:lineRule="auto"/>
        <w:ind w:firstLine="480" w:firstLineChars="200"/>
        <w:rPr>
          <w:rFonts w:hAnsi="宋体" w:cs="宋体"/>
          <w:color w:val="auto"/>
          <w:sz w:val="24"/>
          <w:highlight w:val="none"/>
        </w:rPr>
      </w:pPr>
      <w:r>
        <w:rPr>
          <w:rFonts w:hint="eastAsia" w:hAnsi="宋体" w:cs="宋体"/>
          <w:color w:val="auto"/>
          <w:sz w:val="24"/>
          <w:highlight w:val="none"/>
        </w:rPr>
        <w:t>具体的质疑事项及事实依据；</w:t>
      </w:r>
    </w:p>
    <w:p>
      <w:pPr>
        <w:pStyle w:val="15"/>
        <w:numPr>
          <w:ilvl w:val="0"/>
          <w:numId w:val="35"/>
        </w:numPr>
        <w:spacing w:line="360" w:lineRule="auto"/>
        <w:ind w:firstLine="480" w:firstLineChars="200"/>
        <w:rPr>
          <w:rFonts w:hAnsi="宋体" w:cs="宋体"/>
          <w:color w:val="auto"/>
          <w:sz w:val="24"/>
          <w:highlight w:val="none"/>
        </w:rPr>
      </w:pPr>
      <w:r>
        <w:rPr>
          <w:rFonts w:hint="eastAsia" w:hAnsi="宋体" w:cs="宋体"/>
          <w:color w:val="auto"/>
          <w:sz w:val="24"/>
          <w:highlight w:val="none"/>
        </w:rPr>
        <w:t>认为自己合法权益受到损害或可能受到损害的相关证据材料；</w:t>
      </w:r>
    </w:p>
    <w:p>
      <w:pPr>
        <w:pStyle w:val="15"/>
        <w:numPr>
          <w:ilvl w:val="0"/>
          <w:numId w:val="35"/>
        </w:numPr>
        <w:spacing w:line="360" w:lineRule="auto"/>
        <w:ind w:firstLine="480" w:firstLineChars="200"/>
        <w:rPr>
          <w:rFonts w:hAnsi="宋体" w:cs="宋体"/>
          <w:color w:val="auto"/>
          <w:sz w:val="24"/>
          <w:highlight w:val="none"/>
        </w:rPr>
      </w:pPr>
      <w:r>
        <w:rPr>
          <w:rFonts w:hint="eastAsia" w:hAnsi="宋体" w:cs="宋体"/>
          <w:color w:val="auto"/>
          <w:sz w:val="24"/>
          <w:highlight w:val="none"/>
        </w:rPr>
        <w:t>提出质疑的日期。</w:t>
      </w:r>
    </w:p>
    <w:p>
      <w:pPr>
        <w:pStyle w:val="15"/>
        <w:spacing w:line="360" w:lineRule="auto"/>
        <w:ind w:firstLine="482" w:firstLineChars="200"/>
        <w:rPr>
          <w:rFonts w:hAnsi="宋体" w:cs="宋体"/>
          <w:b/>
          <w:color w:val="auto"/>
          <w:sz w:val="24"/>
          <w:highlight w:val="none"/>
        </w:rPr>
      </w:pPr>
      <w:r>
        <w:rPr>
          <w:rFonts w:hint="eastAsia" w:hAnsi="宋体" w:cs="宋体"/>
          <w:b/>
          <w:color w:val="auto"/>
          <w:sz w:val="24"/>
          <w:highlight w:val="none"/>
        </w:rPr>
        <w:t>未按上述内容填写的质疑书将不予受理。</w:t>
      </w:r>
    </w:p>
    <w:p>
      <w:pPr>
        <w:pStyle w:val="64"/>
        <w:tabs>
          <w:tab w:val="left" w:pos="0"/>
        </w:tabs>
        <w:spacing w:before="0"/>
        <w:ind w:firstLine="480"/>
        <w:rPr>
          <w:rFonts w:ascii="宋体" w:hAnsi="宋体" w:cs="宋体"/>
          <w:color w:val="auto"/>
          <w:szCs w:val="24"/>
          <w:highlight w:val="none"/>
        </w:rPr>
      </w:pPr>
      <w:r>
        <w:rPr>
          <w:rFonts w:hint="eastAsia" w:ascii="宋体" w:hAnsi="宋体" w:cs="宋体"/>
          <w:color w:val="auto"/>
          <w:szCs w:val="24"/>
          <w:highlight w:val="none"/>
        </w:rPr>
        <w:t>35.3采购代理机构应当在收到供应商的书面质疑后七个工作日内作出答复，并以书面形式通知质疑供应商和其他与质疑处理结果有利害关系的国企采购当事人，但答复的内容不得涉及商业秘密。</w:t>
      </w:r>
    </w:p>
    <w:p>
      <w:pPr>
        <w:pStyle w:val="64"/>
        <w:tabs>
          <w:tab w:val="left" w:pos="0"/>
        </w:tabs>
        <w:spacing w:before="0"/>
        <w:ind w:firstLine="480"/>
        <w:rPr>
          <w:rFonts w:ascii="宋体" w:hAnsi="宋体" w:cs="宋体"/>
          <w:color w:val="auto"/>
          <w:szCs w:val="24"/>
          <w:highlight w:val="none"/>
        </w:rPr>
      </w:pPr>
      <w:r>
        <w:rPr>
          <w:rFonts w:hint="eastAsia" w:ascii="宋体" w:hAnsi="宋体" w:cs="宋体"/>
          <w:color w:val="auto"/>
          <w:szCs w:val="24"/>
          <w:highlight w:val="none"/>
        </w:rPr>
        <w:t>35.4询问或者质疑事项可能影响采购结果的，采购人应当暂停签订合同，已经签订合同的，应当中止履行合同。</w:t>
      </w:r>
    </w:p>
    <w:p>
      <w:pPr>
        <w:pStyle w:val="15"/>
        <w:spacing w:line="360" w:lineRule="auto"/>
        <w:ind w:left="420" w:leftChars="200"/>
        <w:rPr>
          <w:rFonts w:hAnsi="宋体" w:cs="宋体"/>
          <w:b/>
          <w:color w:val="auto"/>
          <w:sz w:val="24"/>
          <w:szCs w:val="24"/>
          <w:highlight w:val="none"/>
          <w:lang w:val="zh-CN"/>
        </w:rPr>
      </w:pPr>
      <w:r>
        <w:rPr>
          <w:rFonts w:hint="eastAsia" w:hAnsi="宋体" w:cs="宋体"/>
          <w:b/>
          <w:color w:val="auto"/>
          <w:sz w:val="24"/>
          <w:szCs w:val="24"/>
          <w:highlight w:val="none"/>
        </w:rPr>
        <w:t>36</w:t>
      </w:r>
      <w:r>
        <w:rPr>
          <w:rFonts w:hAnsi="宋体" w:cs="宋体"/>
          <w:b/>
          <w:color w:val="auto"/>
          <w:sz w:val="24"/>
          <w:szCs w:val="24"/>
          <w:highlight w:val="none"/>
        </w:rPr>
        <w:t>.</w:t>
      </w:r>
      <w:r>
        <w:rPr>
          <w:rFonts w:hint="eastAsia" w:hAnsi="宋体" w:cs="宋体"/>
          <w:b/>
          <w:color w:val="auto"/>
          <w:sz w:val="24"/>
          <w:szCs w:val="24"/>
          <w:highlight w:val="none"/>
          <w:lang w:val="zh-CN"/>
        </w:rPr>
        <w:t>供应商投诉</w:t>
      </w:r>
    </w:p>
    <w:p>
      <w:pPr>
        <w:pStyle w:val="64"/>
        <w:tabs>
          <w:tab w:val="left" w:pos="0"/>
        </w:tabs>
        <w:spacing w:before="0"/>
        <w:ind w:firstLine="480"/>
        <w:rPr>
          <w:rFonts w:ascii="宋体" w:hAnsi="宋体" w:cs="宋体"/>
          <w:color w:val="auto"/>
          <w:szCs w:val="24"/>
          <w:highlight w:val="none"/>
        </w:rPr>
      </w:pPr>
      <w:r>
        <w:rPr>
          <w:rFonts w:hint="eastAsia" w:ascii="宋体" w:hAnsi="宋体" w:cs="宋体"/>
          <w:color w:val="auto"/>
          <w:szCs w:val="24"/>
          <w:highlight w:val="none"/>
        </w:rPr>
        <w:t>36.1质疑供应商对质疑的答复不满意，或者采购人或采购代理机构未在规定时间内答复的，可以在收到答复之日或者答复期满后 15 个工作日内依法向采购人主管部门投诉。采购人主管部门应当在 30 个工作日内调查并回应。投诉事项调查期间，采购人主管部门应当通知采购人暂停采购活动。</w:t>
      </w:r>
    </w:p>
    <w:p>
      <w:pPr>
        <w:pStyle w:val="64"/>
        <w:tabs>
          <w:tab w:val="left" w:pos="0"/>
        </w:tabs>
        <w:spacing w:before="0"/>
        <w:ind w:firstLine="480"/>
        <w:rPr>
          <w:rFonts w:ascii="宋体" w:hAnsi="宋体" w:cs="宋体"/>
          <w:b/>
          <w:color w:val="auto"/>
          <w:highlight w:val="none"/>
        </w:rPr>
      </w:pPr>
      <w:r>
        <w:rPr>
          <w:rFonts w:hint="eastAsia" w:ascii="宋体" w:hAnsi="宋体" w:cs="宋体"/>
          <w:color w:val="auto"/>
          <w:szCs w:val="24"/>
          <w:highlight w:val="none"/>
        </w:rPr>
        <w:t>36.2投诉人提交投诉件时，应当提供相关书面证据、依据和其他有关材料。</w:t>
      </w:r>
    </w:p>
    <w:bookmarkEnd w:id="51"/>
    <w:p>
      <w:pPr>
        <w:spacing w:after="156" w:afterLines="50" w:line="360" w:lineRule="auto"/>
        <w:jc w:val="center"/>
        <w:outlineLvl w:val="0"/>
        <w:rPr>
          <w:rFonts w:ascii="宋体" w:hAnsi="宋体" w:cs="宋体"/>
          <w:b/>
          <w:color w:val="auto"/>
          <w:sz w:val="36"/>
          <w:szCs w:val="36"/>
          <w:highlight w:val="none"/>
        </w:rPr>
      </w:pPr>
      <w:r>
        <w:rPr>
          <w:rFonts w:hint="eastAsia" w:ascii="宋体" w:hAnsi="宋体" w:cs="宋体"/>
          <w:color w:val="auto"/>
          <w:sz w:val="24"/>
          <w:szCs w:val="20"/>
          <w:highlight w:val="none"/>
        </w:rPr>
        <w:br w:type="page"/>
      </w:r>
      <w:bookmarkStart w:id="60" w:name="_Toc10484"/>
      <w:r>
        <w:rPr>
          <w:rFonts w:hint="eastAsia" w:ascii="宋体" w:hAnsi="宋体" w:cs="宋体"/>
          <w:b/>
          <w:color w:val="auto"/>
          <w:sz w:val="36"/>
          <w:szCs w:val="36"/>
          <w:highlight w:val="none"/>
        </w:rPr>
        <w:t>第三部分</w:t>
      </w:r>
      <w:bookmarkEnd w:id="43"/>
      <w:bookmarkEnd w:id="44"/>
      <w:bookmarkStart w:id="61" w:name="_Toc184308075"/>
      <w:bookmarkEnd w:id="61"/>
      <w:bookmarkStart w:id="62" w:name="_Toc184310326"/>
      <w:bookmarkEnd w:id="62"/>
      <w:bookmarkStart w:id="63" w:name="_Toc184313292"/>
      <w:bookmarkEnd w:id="63"/>
      <w:bookmarkStart w:id="64" w:name="_Toc184310286"/>
      <w:bookmarkEnd w:id="64"/>
      <w:bookmarkStart w:id="65" w:name="_Toc184314441"/>
      <w:bookmarkEnd w:id="65"/>
      <w:bookmarkStart w:id="66" w:name="_Toc184312126"/>
      <w:bookmarkEnd w:id="66"/>
      <w:bookmarkStart w:id="67" w:name="_Toc184314448"/>
      <w:bookmarkEnd w:id="67"/>
      <w:bookmarkStart w:id="68" w:name="_Toc184312087"/>
      <w:bookmarkEnd w:id="68"/>
      <w:bookmarkStart w:id="69" w:name="_Toc184310277"/>
      <w:bookmarkEnd w:id="69"/>
      <w:bookmarkStart w:id="70" w:name="_Toc184310344"/>
      <w:bookmarkEnd w:id="70"/>
      <w:bookmarkStart w:id="71" w:name="_Toc184314474"/>
      <w:bookmarkEnd w:id="71"/>
      <w:bookmarkStart w:id="72" w:name="_Toc184310301"/>
      <w:bookmarkEnd w:id="72"/>
      <w:bookmarkStart w:id="73" w:name="_Toc184314435"/>
      <w:bookmarkEnd w:id="73"/>
      <w:bookmarkStart w:id="74" w:name="_Toc184314457"/>
      <w:bookmarkEnd w:id="74"/>
      <w:bookmarkStart w:id="75" w:name="_Toc184310296"/>
      <w:bookmarkEnd w:id="75"/>
      <w:bookmarkStart w:id="76" w:name="_Toc184313263"/>
      <w:bookmarkEnd w:id="76"/>
      <w:bookmarkStart w:id="77" w:name="_Toc184313291"/>
      <w:bookmarkEnd w:id="77"/>
      <w:bookmarkStart w:id="78" w:name="_Toc184310331"/>
      <w:bookmarkEnd w:id="78"/>
      <w:bookmarkStart w:id="79" w:name="_Toc184310324"/>
      <w:bookmarkEnd w:id="79"/>
      <w:bookmarkStart w:id="80" w:name="_Toc184314454"/>
      <w:bookmarkEnd w:id="80"/>
      <w:bookmarkStart w:id="81" w:name="_Toc184308081"/>
      <w:bookmarkEnd w:id="81"/>
      <w:bookmarkStart w:id="82" w:name="_Toc184312073"/>
      <w:bookmarkEnd w:id="82"/>
      <w:bookmarkStart w:id="83" w:name="_Toc184310323"/>
      <w:bookmarkEnd w:id="83"/>
      <w:bookmarkStart w:id="84" w:name="_Toc184310272"/>
      <w:bookmarkEnd w:id="84"/>
      <w:bookmarkStart w:id="85" w:name="_Toc184312099"/>
      <w:bookmarkEnd w:id="85"/>
      <w:bookmarkStart w:id="86" w:name="_Toc184308040"/>
      <w:bookmarkEnd w:id="86"/>
      <w:bookmarkStart w:id="87" w:name="_Toc184314461"/>
      <w:bookmarkEnd w:id="87"/>
      <w:bookmarkStart w:id="88" w:name="_Toc184312067"/>
      <w:bookmarkEnd w:id="88"/>
      <w:bookmarkStart w:id="89" w:name="_Toc184310307"/>
      <w:bookmarkEnd w:id="89"/>
      <w:bookmarkStart w:id="90" w:name="_Toc184310285"/>
      <w:bookmarkEnd w:id="90"/>
      <w:bookmarkStart w:id="91" w:name="_Toc184313299"/>
      <w:bookmarkEnd w:id="91"/>
      <w:bookmarkStart w:id="92" w:name="_Toc184313306"/>
      <w:bookmarkEnd w:id="92"/>
      <w:bookmarkStart w:id="93" w:name="_Toc184314438"/>
      <w:bookmarkEnd w:id="93"/>
      <w:bookmarkStart w:id="94" w:name="_Toc184310319"/>
      <w:bookmarkEnd w:id="94"/>
      <w:bookmarkStart w:id="95" w:name="_Toc184310317"/>
      <w:bookmarkEnd w:id="95"/>
      <w:bookmarkStart w:id="96" w:name="_Toc184308086"/>
      <w:bookmarkEnd w:id="96"/>
      <w:bookmarkStart w:id="97" w:name="_Toc184313308"/>
      <w:bookmarkEnd w:id="97"/>
      <w:bookmarkStart w:id="98" w:name="_Toc184314479"/>
      <w:bookmarkEnd w:id="98"/>
      <w:bookmarkStart w:id="99" w:name="_Toc184312081"/>
      <w:bookmarkEnd w:id="99"/>
      <w:bookmarkStart w:id="100" w:name="_Toc184313289"/>
      <w:bookmarkEnd w:id="100"/>
      <w:bookmarkStart w:id="101" w:name="_Toc184310337"/>
      <w:bookmarkEnd w:id="101"/>
      <w:bookmarkStart w:id="102" w:name="_Toc184313294"/>
      <w:bookmarkEnd w:id="102"/>
      <w:bookmarkStart w:id="103" w:name="_Toc184312102"/>
      <w:bookmarkEnd w:id="103"/>
      <w:bookmarkStart w:id="104" w:name="_Toc184310273"/>
      <w:bookmarkEnd w:id="104"/>
      <w:bookmarkStart w:id="105" w:name="_Toc184310327"/>
      <w:bookmarkEnd w:id="105"/>
      <w:bookmarkStart w:id="106" w:name="_Toc184308050"/>
      <w:bookmarkEnd w:id="106"/>
      <w:bookmarkStart w:id="107" w:name="_Toc184310274"/>
      <w:bookmarkEnd w:id="107"/>
      <w:bookmarkStart w:id="108" w:name="_Toc184312082"/>
      <w:bookmarkEnd w:id="108"/>
      <w:bookmarkStart w:id="109" w:name="_Toc184312084"/>
      <w:bookmarkEnd w:id="109"/>
      <w:bookmarkStart w:id="110" w:name="_Toc184313256"/>
      <w:bookmarkEnd w:id="110"/>
      <w:bookmarkStart w:id="111" w:name="_Toc184310302"/>
      <w:bookmarkEnd w:id="111"/>
      <w:bookmarkStart w:id="112" w:name="_Toc184313286"/>
      <w:bookmarkEnd w:id="112"/>
      <w:bookmarkStart w:id="113" w:name="_Toc184308097"/>
      <w:bookmarkEnd w:id="113"/>
      <w:bookmarkStart w:id="114" w:name="_Toc184313268"/>
      <w:bookmarkEnd w:id="114"/>
      <w:bookmarkStart w:id="115" w:name="_Toc184312091"/>
      <w:bookmarkEnd w:id="115"/>
      <w:bookmarkStart w:id="116" w:name="_Toc184312086"/>
      <w:bookmarkEnd w:id="116"/>
      <w:bookmarkStart w:id="117" w:name="_Toc184308042"/>
      <w:bookmarkEnd w:id="117"/>
      <w:bookmarkStart w:id="118" w:name="_Toc184314439"/>
      <w:bookmarkEnd w:id="118"/>
      <w:bookmarkStart w:id="119" w:name="_Toc184314470"/>
      <w:bookmarkEnd w:id="119"/>
      <w:bookmarkStart w:id="120" w:name="_Toc184313241"/>
      <w:bookmarkEnd w:id="120"/>
      <w:bookmarkStart w:id="121" w:name="_Toc184308095"/>
      <w:bookmarkEnd w:id="121"/>
      <w:bookmarkStart w:id="122" w:name="_Toc184310298"/>
      <w:bookmarkEnd w:id="122"/>
      <w:bookmarkStart w:id="123" w:name="_Toc184310321"/>
      <w:bookmarkEnd w:id="123"/>
      <w:bookmarkStart w:id="124" w:name="_Toc184308048"/>
      <w:bookmarkEnd w:id="124"/>
      <w:bookmarkStart w:id="125" w:name="_Toc184314469"/>
      <w:bookmarkEnd w:id="125"/>
      <w:bookmarkStart w:id="126" w:name="_Toc184308053"/>
      <w:bookmarkEnd w:id="126"/>
      <w:bookmarkStart w:id="127" w:name="_Toc184314481"/>
      <w:bookmarkEnd w:id="127"/>
      <w:bookmarkStart w:id="128" w:name="_Toc184308037"/>
      <w:bookmarkEnd w:id="128"/>
      <w:bookmarkStart w:id="129" w:name="_Toc184314411"/>
      <w:bookmarkEnd w:id="129"/>
      <w:bookmarkStart w:id="130" w:name="_Toc184308103"/>
      <w:bookmarkEnd w:id="130"/>
      <w:bookmarkStart w:id="131" w:name="_Toc184312088"/>
      <w:bookmarkEnd w:id="131"/>
      <w:bookmarkStart w:id="132" w:name="_Toc184312121"/>
      <w:bookmarkEnd w:id="132"/>
      <w:bookmarkStart w:id="133" w:name="_Toc184313251"/>
      <w:bookmarkEnd w:id="133"/>
      <w:bookmarkStart w:id="134" w:name="_Toc184308070"/>
      <w:bookmarkEnd w:id="134"/>
      <w:bookmarkStart w:id="135" w:name="_Toc184313261"/>
      <w:bookmarkEnd w:id="135"/>
      <w:bookmarkStart w:id="136" w:name="_Toc184308096"/>
      <w:bookmarkEnd w:id="136"/>
      <w:bookmarkStart w:id="137" w:name="_Toc184312097"/>
      <w:bookmarkEnd w:id="137"/>
      <w:bookmarkStart w:id="138" w:name="_Toc184308077"/>
      <w:bookmarkEnd w:id="138"/>
      <w:bookmarkStart w:id="139" w:name="_Toc184308072"/>
      <w:bookmarkEnd w:id="139"/>
      <w:bookmarkStart w:id="140" w:name="_Toc184308066"/>
      <w:bookmarkEnd w:id="140"/>
      <w:bookmarkStart w:id="141" w:name="_Toc184308065"/>
      <w:bookmarkEnd w:id="141"/>
      <w:bookmarkStart w:id="142" w:name="_Toc184313246"/>
      <w:bookmarkEnd w:id="142"/>
      <w:bookmarkStart w:id="143" w:name="_Toc184313252"/>
      <w:bookmarkEnd w:id="143"/>
      <w:bookmarkStart w:id="144" w:name="_Toc184314450"/>
      <w:bookmarkEnd w:id="144"/>
      <w:bookmarkStart w:id="145" w:name="_Toc184310335"/>
      <w:bookmarkEnd w:id="145"/>
      <w:bookmarkStart w:id="146" w:name="_Toc184310294"/>
      <w:bookmarkEnd w:id="146"/>
      <w:bookmarkStart w:id="147" w:name="_Toc184313279"/>
      <w:bookmarkEnd w:id="147"/>
      <w:bookmarkStart w:id="148" w:name="_Toc184312094"/>
      <w:bookmarkEnd w:id="148"/>
      <w:bookmarkStart w:id="149" w:name="_Toc184312130"/>
      <w:bookmarkEnd w:id="149"/>
      <w:bookmarkStart w:id="150" w:name="_Toc184312107"/>
      <w:bookmarkEnd w:id="150"/>
      <w:bookmarkStart w:id="151" w:name="_Toc184314462"/>
      <w:bookmarkEnd w:id="151"/>
      <w:bookmarkStart w:id="152" w:name="_Toc184312109"/>
      <w:bookmarkEnd w:id="152"/>
      <w:bookmarkStart w:id="153" w:name="_Toc184310310"/>
      <w:bookmarkEnd w:id="153"/>
      <w:bookmarkStart w:id="154" w:name="_Toc184314465"/>
      <w:bookmarkEnd w:id="154"/>
      <w:bookmarkStart w:id="155" w:name="_Toc184310295"/>
      <w:bookmarkEnd w:id="155"/>
      <w:bookmarkStart w:id="156" w:name="_Toc184310329"/>
      <w:bookmarkEnd w:id="156"/>
      <w:bookmarkStart w:id="157" w:name="_Toc184310336"/>
      <w:bookmarkEnd w:id="157"/>
      <w:bookmarkStart w:id="158" w:name="_Toc184313274"/>
      <w:bookmarkEnd w:id="158"/>
      <w:bookmarkStart w:id="159" w:name="_Toc184308076"/>
      <w:bookmarkEnd w:id="159"/>
      <w:bookmarkStart w:id="160" w:name="_Toc184313239"/>
      <w:bookmarkEnd w:id="160"/>
      <w:bookmarkStart w:id="161" w:name="_Toc184313284"/>
      <w:bookmarkEnd w:id="161"/>
      <w:bookmarkStart w:id="162" w:name="_Toc184313243"/>
      <w:bookmarkEnd w:id="162"/>
      <w:bookmarkStart w:id="163" w:name="_Toc184312117"/>
      <w:bookmarkEnd w:id="163"/>
      <w:bookmarkStart w:id="164" w:name="_Toc184308062"/>
      <w:bookmarkEnd w:id="164"/>
      <w:bookmarkStart w:id="165" w:name="_Toc184313262"/>
      <w:bookmarkEnd w:id="165"/>
      <w:bookmarkStart w:id="166" w:name="_Toc184310325"/>
      <w:bookmarkEnd w:id="166"/>
      <w:bookmarkStart w:id="167" w:name="_Toc184310343"/>
      <w:bookmarkEnd w:id="167"/>
      <w:bookmarkStart w:id="168" w:name="_Toc184314421"/>
      <w:bookmarkEnd w:id="168"/>
      <w:bookmarkStart w:id="169" w:name="_Toc184310299"/>
      <w:bookmarkEnd w:id="169"/>
      <w:bookmarkStart w:id="170" w:name="_Toc184312095"/>
      <w:bookmarkEnd w:id="170"/>
      <w:bookmarkStart w:id="171" w:name="_Toc184314443"/>
      <w:bookmarkEnd w:id="171"/>
      <w:bookmarkStart w:id="172" w:name="_Toc184310328"/>
      <w:bookmarkEnd w:id="172"/>
      <w:bookmarkStart w:id="173" w:name="_Toc184313277"/>
      <w:bookmarkEnd w:id="173"/>
      <w:bookmarkStart w:id="174" w:name="_Toc184314459"/>
      <w:bookmarkEnd w:id="174"/>
      <w:bookmarkStart w:id="175" w:name="_Toc184310313"/>
      <w:bookmarkEnd w:id="175"/>
      <w:bookmarkStart w:id="176" w:name="_Toc184312096"/>
      <w:bookmarkEnd w:id="176"/>
      <w:bookmarkStart w:id="177" w:name="_Toc184314434"/>
      <w:bookmarkEnd w:id="177"/>
      <w:bookmarkStart w:id="178" w:name="_Toc184314431"/>
      <w:bookmarkEnd w:id="178"/>
      <w:bookmarkStart w:id="179" w:name="_Toc184313273"/>
      <w:bookmarkEnd w:id="179"/>
      <w:bookmarkStart w:id="180" w:name="_Toc184313278"/>
      <w:bookmarkEnd w:id="180"/>
      <w:bookmarkStart w:id="181" w:name="_Toc184314427"/>
      <w:bookmarkEnd w:id="181"/>
      <w:bookmarkStart w:id="182" w:name="_Toc184313282"/>
      <w:bookmarkEnd w:id="182"/>
      <w:bookmarkStart w:id="183" w:name="_Toc184308060"/>
      <w:bookmarkEnd w:id="183"/>
      <w:bookmarkStart w:id="184" w:name="_Toc184313275"/>
      <w:bookmarkEnd w:id="184"/>
      <w:bookmarkStart w:id="185" w:name="_Toc184314458"/>
      <w:bookmarkEnd w:id="185"/>
      <w:bookmarkStart w:id="186" w:name="_Toc184312101"/>
      <w:bookmarkEnd w:id="186"/>
      <w:bookmarkStart w:id="187" w:name="_Toc184313281"/>
      <w:bookmarkEnd w:id="187"/>
      <w:bookmarkStart w:id="188" w:name="_Toc184314456"/>
      <w:bookmarkEnd w:id="188"/>
      <w:bookmarkStart w:id="189" w:name="_Toc184314415"/>
      <w:bookmarkEnd w:id="189"/>
      <w:bookmarkStart w:id="190" w:name="_Toc184310342"/>
      <w:bookmarkEnd w:id="190"/>
      <w:bookmarkStart w:id="191" w:name="_Toc184312078"/>
      <w:bookmarkEnd w:id="191"/>
      <w:bookmarkStart w:id="192" w:name="_Toc184314476"/>
      <w:bookmarkEnd w:id="192"/>
      <w:bookmarkStart w:id="193" w:name="_Toc184313253"/>
      <w:bookmarkEnd w:id="193"/>
      <w:bookmarkStart w:id="194" w:name="_Toc184310340"/>
      <w:bookmarkEnd w:id="194"/>
      <w:bookmarkStart w:id="195" w:name="_Toc184313297"/>
      <w:bookmarkEnd w:id="195"/>
      <w:bookmarkStart w:id="196" w:name="_Toc184313257"/>
      <w:bookmarkEnd w:id="196"/>
      <w:bookmarkStart w:id="197" w:name="_Toc184310316"/>
      <w:bookmarkEnd w:id="197"/>
      <w:bookmarkStart w:id="198" w:name="_Toc184314468"/>
      <w:bookmarkEnd w:id="198"/>
      <w:bookmarkStart w:id="199" w:name="_Toc184313260"/>
      <w:bookmarkEnd w:id="199"/>
      <w:bookmarkStart w:id="200" w:name="_Toc184312124"/>
      <w:bookmarkEnd w:id="200"/>
      <w:bookmarkStart w:id="201" w:name="_Toc184312083"/>
      <w:bookmarkEnd w:id="201"/>
      <w:bookmarkStart w:id="202" w:name="_Toc184312111"/>
      <w:bookmarkEnd w:id="202"/>
      <w:bookmarkStart w:id="203" w:name="_Toc184312120"/>
      <w:bookmarkEnd w:id="203"/>
      <w:bookmarkStart w:id="204" w:name="_Toc184308087"/>
      <w:bookmarkEnd w:id="204"/>
      <w:bookmarkStart w:id="205" w:name="_Toc184310341"/>
      <w:bookmarkEnd w:id="205"/>
      <w:bookmarkStart w:id="206" w:name="_Toc184314444"/>
      <w:bookmarkEnd w:id="206"/>
      <w:bookmarkStart w:id="207" w:name="_Toc184308044"/>
      <w:bookmarkEnd w:id="207"/>
      <w:bookmarkStart w:id="208" w:name="_Toc184312089"/>
      <w:bookmarkEnd w:id="208"/>
      <w:bookmarkStart w:id="209" w:name="_Toc184312139"/>
      <w:bookmarkEnd w:id="209"/>
      <w:bookmarkStart w:id="210" w:name="_Toc184308098"/>
      <w:bookmarkEnd w:id="210"/>
      <w:bookmarkStart w:id="211" w:name="_Toc184310333"/>
      <w:bookmarkEnd w:id="211"/>
      <w:bookmarkStart w:id="212" w:name="_Toc184313270"/>
      <w:bookmarkEnd w:id="212"/>
      <w:bookmarkStart w:id="213" w:name="_Toc184314414"/>
      <w:bookmarkEnd w:id="213"/>
      <w:bookmarkStart w:id="214" w:name="_Toc184313293"/>
      <w:bookmarkEnd w:id="214"/>
      <w:bookmarkStart w:id="215" w:name="_Toc184308106"/>
      <w:bookmarkEnd w:id="215"/>
      <w:bookmarkStart w:id="216" w:name="_Toc184312108"/>
      <w:bookmarkEnd w:id="216"/>
      <w:bookmarkStart w:id="217" w:name="_Toc184312116"/>
      <w:bookmarkEnd w:id="217"/>
      <w:bookmarkStart w:id="218" w:name="_Toc184308088"/>
      <w:bookmarkEnd w:id="218"/>
      <w:bookmarkStart w:id="219" w:name="_Toc184308104"/>
      <w:bookmarkEnd w:id="219"/>
      <w:bookmarkStart w:id="220" w:name="_Toc184313266"/>
      <w:bookmarkEnd w:id="220"/>
      <w:bookmarkStart w:id="221" w:name="_Toc184308061"/>
      <w:bookmarkEnd w:id="221"/>
      <w:bookmarkStart w:id="222" w:name="_Toc184308105"/>
      <w:bookmarkEnd w:id="222"/>
      <w:bookmarkStart w:id="223" w:name="_Toc184312080"/>
      <w:bookmarkEnd w:id="223"/>
      <w:bookmarkStart w:id="224" w:name="_Toc184314416"/>
      <w:bookmarkEnd w:id="224"/>
      <w:bookmarkStart w:id="225" w:name="_Toc184313264"/>
      <w:bookmarkEnd w:id="225"/>
      <w:bookmarkStart w:id="226" w:name="_Toc184312071"/>
      <w:bookmarkEnd w:id="226"/>
      <w:bookmarkStart w:id="227" w:name="_Toc184310308"/>
      <w:bookmarkEnd w:id="227"/>
      <w:bookmarkStart w:id="228" w:name="_Toc184308100"/>
      <w:bookmarkEnd w:id="228"/>
      <w:bookmarkStart w:id="229" w:name="_Toc184313245"/>
      <w:bookmarkEnd w:id="229"/>
      <w:bookmarkStart w:id="230" w:name="_Toc184313304"/>
      <w:bookmarkEnd w:id="230"/>
      <w:bookmarkStart w:id="231" w:name="_Toc184308071"/>
      <w:bookmarkEnd w:id="231"/>
      <w:bookmarkStart w:id="232" w:name="_Toc184308074"/>
      <w:bookmarkEnd w:id="232"/>
      <w:bookmarkStart w:id="233" w:name="_Toc184310293"/>
      <w:bookmarkEnd w:id="233"/>
      <w:bookmarkStart w:id="234" w:name="_Toc184314475"/>
      <w:bookmarkEnd w:id="234"/>
      <w:bookmarkStart w:id="235" w:name="_Toc184313302"/>
      <w:bookmarkEnd w:id="235"/>
      <w:bookmarkStart w:id="236" w:name="_Toc184314482"/>
      <w:bookmarkEnd w:id="236"/>
      <w:bookmarkStart w:id="237" w:name="_Toc184313280"/>
      <w:bookmarkEnd w:id="237"/>
      <w:bookmarkStart w:id="238" w:name="_Toc184313290"/>
      <w:bookmarkEnd w:id="238"/>
      <w:bookmarkStart w:id="239" w:name="_Toc184314413"/>
      <w:bookmarkEnd w:id="239"/>
      <w:bookmarkStart w:id="240" w:name="_Toc184313305"/>
      <w:bookmarkEnd w:id="240"/>
      <w:bookmarkStart w:id="241" w:name="_Toc184310320"/>
      <w:bookmarkEnd w:id="241"/>
      <w:bookmarkStart w:id="242" w:name="_Toc184312106"/>
      <w:bookmarkEnd w:id="242"/>
      <w:bookmarkStart w:id="243" w:name="_Toc184314467"/>
      <w:bookmarkEnd w:id="243"/>
      <w:bookmarkStart w:id="244" w:name="_Toc184308057"/>
      <w:bookmarkEnd w:id="244"/>
      <w:bookmarkStart w:id="245" w:name="_Toc184308107"/>
      <w:bookmarkEnd w:id="245"/>
      <w:bookmarkStart w:id="246" w:name="_Toc184313258"/>
      <w:bookmarkEnd w:id="246"/>
      <w:bookmarkStart w:id="247" w:name="_Toc184308083"/>
      <w:bookmarkEnd w:id="247"/>
      <w:bookmarkStart w:id="248" w:name="_Toc184314419"/>
      <w:bookmarkEnd w:id="248"/>
      <w:bookmarkStart w:id="249" w:name="_Toc184313276"/>
      <w:bookmarkEnd w:id="249"/>
      <w:bookmarkStart w:id="250" w:name="_Toc184310300"/>
      <w:bookmarkEnd w:id="250"/>
      <w:bookmarkStart w:id="251" w:name="_Toc184308108"/>
      <w:bookmarkEnd w:id="251"/>
      <w:bookmarkStart w:id="252" w:name="_Toc184310306"/>
      <w:bookmarkEnd w:id="252"/>
      <w:bookmarkStart w:id="253" w:name="_Toc184313248"/>
      <w:bookmarkEnd w:id="253"/>
      <w:bookmarkStart w:id="254" w:name="_Toc184308041"/>
      <w:bookmarkEnd w:id="254"/>
      <w:bookmarkStart w:id="255" w:name="_Toc184312132"/>
      <w:bookmarkEnd w:id="255"/>
      <w:bookmarkStart w:id="256" w:name="_Toc184314452"/>
      <w:bookmarkEnd w:id="256"/>
      <w:bookmarkStart w:id="257" w:name="_Toc184314445"/>
      <w:bookmarkEnd w:id="257"/>
      <w:bookmarkStart w:id="258" w:name="_Toc184314417"/>
      <w:bookmarkEnd w:id="258"/>
      <w:bookmarkStart w:id="259" w:name="_Toc184308047"/>
      <w:bookmarkEnd w:id="259"/>
      <w:bookmarkStart w:id="260" w:name="_Toc184310291"/>
      <w:bookmarkEnd w:id="260"/>
      <w:bookmarkStart w:id="261" w:name="_Toc184308102"/>
      <w:bookmarkEnd w:id="261"/>
      <w:bookmarkStart w:id="262" w:name="_Toc184312098"/>
      <w:bookmarkEnd w:id="262"/>
      <w:bookmarkStart w:id="263" w:name="_Toc184313240"/>
      <w:bookmarkEnd w:id="263"/>
      <w:bookmarkStart w:id="264" w:name="_Toc184310338"/>
      <w:bookmarkEnd w:id="264"/>
      <w:bookmarkStart w:id="265" w:name="_Toc184313287"/>
      <w:bookmarkEnd w:id="265"/>
      <w:bookmarkStart w:id="266" w:name="_Toc184314449"/>
      <w:bookmarkEnd w:id="266"/>
      <w:bookmarkStart w:id="267" w:name="_Toc184310312"/>
      <w:bookmarkEnd w:id="267"/>
      <w:bookmarkStart w:id="268" w:name="_Toc184312076"/>
      <w:bookmarkEnd w:id="268"/>
      <w:bookmarkStart w:id="269" w:name="_Toc184308082"/>
      <w:bookmarkEnd w:id="269"/>
      <w:bookmarkStart w:id="270" w:name="_Toc184313310"/>
      <w:bookmarkEnd w:id="270"/>
      <w:bookmarkStart w:id="271" w:name="_Toc184308056"/>
      <w:bookmarkEnd w:id="271"/>
      <w:bookmarkStart w:id="272" w:name="_Toc184308067"/>
      <w:bookmarkEnd w:id="272"/>
      <w:bookmarkStart w:id="273" w:name="_Toc184314478"/>
      <w:bookmarkEnd w:id="273"/>
      <w:bookmarkStart w:id="274" w:name="_Toc184314432"/>
      <w:bookmarkEnd w:id="274"/>
      <w:bookmarkStart w:id="275" w:name="_Toc184308073"/>
      <w:bookmarkEnd w:id="275"/>
      <w:bookmarkStart w:id="276" w:name="_Toc184314437"/>
      <w:bookmarkEnd w:id="276"/>
      <w:bookmarkStart w:id="277" w:name="_Toc184312135"/>
      <w:bookmarkEnd w:id="277"/>
      <w:bookmarkStart w:id="278" w:name="_Toc184313307"/>
      <w:bookmarkEnd w:id="278"/>
      <w:bookmarkStart w:id="279" w:name="_Toc184312069"/>
      <w:bookmarkEnd w:id="279"/>
      <w:bookmarkStart w:id="280" w:name="_Toc184308039"/>
      <w:bookmarkEnd w:id="280"/>
      <w:bookmarkStart w:id="281" w:name="_Toc184312129"/>
      <w:bookmarkEnd w:id="281"/>
      <w:bookmarkStart w:id="282" w:name="_Toc184310305"/>
      <w:bookmarkEnd w:id="282"/>
      <w:bookmarkStart w:id="283" w:name="_Toc184312127"/>
      <w:bookmarkEnd w:id="283"/>
      <w:bookmarkStart w:id="284" w:name="_Toc184313296"/>
      <w:bookmarkEnd w:id="284"/>
      <w:bookmarkStart w:id="285" w:name="_Toc184308043"/>
      <w:bookmarkEnd w:id="285"/>
      <w:bookmarkStart w:id="286" w:name="_Toc184310280"/>
      <w:bookmarkEnd w:id="286"/>
      <w:bookmarkStart w:id="287" w:name="_Toc184312125"/>
      <w:bookmarkEnd w:id="287"/>
      <w:bookmarkStart w:id="288" w:name="_Toc184312122"/>
      <w:bookmarkEnd w:id="288"/>
      <w:bookmarkStart w:id="289" w:name="_Toc184310339"/>
      <w:bookmarkEnd w:id="289"/>
      <w:bookmarkStart w:id="290" w:name="_Toc184308089"/>
      <w:bookmarkEnd w:id="290"/>
      <w:bookmarkStart w:id="291" w:name="_Toc184308036"/>
      <w:bookmarkEnd w:id="291"/>
      <w:bookmarkStart w:id="292" w:name="_Toc184312075"/>
      <w:bookmarkEnd w:id="292"/>
      <w:bookmarkStart w:id="293" w:name="_Toc184314436"/>
      <w:bookmarkEnd w:id="293"/>
      <w:bookmarkStart w:id="294" w:name="_Toc184312119"/>
      <w:bookmarkEnd w:id="294"/>
      <w:bookmarkStart w:id="295" w:name="_Toc184314466"/>
      <w:bookmarkEnd w:id="295"/>
      <w:bookmarkStart w:id="296" w:name="_Toc184313300"/>
      <w:bookmarkEnd w:id="296"/>
      <w:bookmarkStart w:id="297" w:name="_Toc184310283"/>
      <w:bookmarkEnd w:id="297"/>
      <w:bookmarkStart w:id="298" w:name="_Toc184310318"/>
      <w:bookmarkEnd w:id="298"/>
      <w:bookmarkStart w:id="299" w:name="_Toc184310281"/>
      <w:bookmarkEnd w:id="299"/>
      <w:bookmarkStart w:id="300" w:name="_Toc184312113"/>
      <w:bookmarkEnd w:id="300"/>
      <w:bookmarkStart w:id="301" w:name="_Toc184308054"/>
      <w:bookmarkEnd w:id="301"/>
      <w:bookmarkStart w:id="302" w:name="_Toc184312134"/>
      <w:bookmarkEnd w:id="302"/>
      <w:bookmarkStart w:id="303" w:name="_Toc184308090"/>
      <w:bookmarkEnd w:id="303"/>
      <w:bookmarkStart w:id="304" w:name="_Toc184314447"/>
      <w:bookmarkEnd w:id="304"/>
      <w:bookmarkStart w:id="305" w:name="_Toc184310297"/>
      <w:bookmarkEnd w:id="305"/>
      <w:bookmarkStart w:id="306" w:name="_Toc184312114"/>
      <w:bookmarkEnd w:id="306"/>
      <w:bookmarkStart w:id="307" w:name="_Toc184314442"/>
      <w:bookmarkEnd w:id="307"/>
      <w:bookmarkStart w:id="308" w:name="_Toc184312085"/>
      <w:bookmarkEnd w:id="308"/>
      <w:bookmarkStart w:id="309" w:name="_Toc184312110"/>
      <w:bookmarkEnd w:id="309"/>
      <w:bookmarkStart w:id="310" w:name="_Toc184310284"/>
      <w:bookmarkEnd w:id="310"/>
      <w:bookmarkStart w:id="311" w:name="_Toc184310304"/>
      <w:bookmarkEnd w:id="311"/>
      <w:bookmarkStart w:id="312" w:name="_Toc184308063"/>
      <w:bookmarkEnd w:id="312"/>
      <w:bookmarkStart w:id="313" w:name="_Toc184310288"/>
      <w:bookmarkEnd w:id="313"/>
      <w:bookmarkStart w:id="314" w:name="_Toc184308093"/>
      <w:bookmarkEnd w:id="314"/>
      <w:bookmarkStart w:id="315" w:name="_Toc184313267"/>
      <w:bookmarkEnd w:id="315"/>
      <w:bookmarkStart w:id="316" w:name="_Toc184308052"/>
      <w:bookmarkEnd w:id="316"/>
      <w:bookmarkStart w:id="317" w:name="_Toc184312077"/>
      <w:bookmarkEnd w:id="317"/>
      <w:bookmarkStart w:id="318" w:name="_Toc184308099"/>
      <w:bookmarkEnd w:id="318"/>
      <w:bookmarkStart w:id="319" w:name="_Toc184314477"/>
      <w:bookmarkEnd w:id="319"/>
      <w:bookmarkStart w:id="320" w:name="_Toc184313244"/>
      <w:bookmarkEnd w:id="320"/>
      <w:bookmarkStart w:id="321" w:name="_Toc184313298"/>
      <w:bookmarkEnd w:id="321"/>
      <w:bookmarkStart w:id="322" w:name="_Toc184310278"/>
      <w:bookmarkEnd w:id="322"/>
      <w:bookmarkStart w:id="323" w:name="_Toc184314433"/>
      <w:bookmarkEnd w:id="323"/>
      <w:bookmarkStart w:id="324" w:name="_Toc184312112"/>
      <w:bookmarkEnd w:id="324"/>
      <w:bookmarkStart w:id="325" w:name="_Toc184312074"/>
      <w:bookmarkEnd w:id="325"/>
      <w:bookmarkStart w:id="326" w:name="_Toc184312093"/>
      <w:bookmarkEnd w:id="326"/>
      <w:bookmarkStart w:id="327" w:name="_Toc184312137"/>
      <w:bookmarkEnd w:id="327"/>
      <w:bookmarkStart w:id="328" w:name="_Toc184314426"/>
      <w:bookmarkEnd w:id="328"/>
      <w:bookmarkStart w:id="329" w:name="_Toc184314455"/>
      <w:bookmarkEnd w:id="329"/>
      <w:bookmarkStart w:id="330" w:name="_Toc184313288"/>
      <w:bookmarkEnd w:id="330"/>
      <w:bookmarkStart w:id="331" w:name="_Toc184312068"/>
      <w:bookmarkEnd w:id="331"/>
      <w:bookmarkStart w:id="332" w:name="_Toc184312115"/>
      <w:bookmarkEnd w:id="332"/>
      <w:bookmarkStart w:id="333" w:name="_Toc184313271"/>
      <w:bookmarkEnd w:id="333"/>
      <w:bookmarkStart w:id="334" w:name="_Toc184314430"/>
      <w:bookmarkEnd w:id="334"/>
      <w:bookmarkStart w:id="335" w:name="_Toc184308051"/>
      <w:bookmarkEnd w:id="335"/>
      <w:bookmarkStart w:id="336" w:name="_Toc184308069"/>
      <w:bookmarkEnd w:id="336"/>
      <w:bookmarkStart w:id="337" w:name="_Toc184313301"/>
      <w:bookmarkEnd w:id="337"/>
      <w:bookmarkStart w:id="338" w:name="_Toc184313259"/>
      <w:bookmarkEnd w:id="338"/>
      <w:bookmarkStart w:id="339" w:name="_Toc184308059"/>
      <w:bookmarkEnd w:id="339"/>
      <w:bookmarkStart w:id="340" w:name="_Toc184310311"/>
      <w:bookmarkEnd w:id="340"/>
      <w:bookmarkStart w:id="341" w:name="_Toc184310314"/>
      <w:bookmarkEnd w:id="341"/>
      <w:bookmarkStart w:id="342" w:name="_Toc184310287"/>
      <w:bookmarkEnd w:id="342"/>
      <w:bookmarkStart w:id="343" w:name="_Toc184313303"/>
      <w:bookmarkEnd w:id="343"/>
      <w:bookmarkStart w:id="344" w:name="_Toc184314453"/>
      <w:bookmarkEnd w:id="344"/>
      <w:bookmarkStart w:id="345" w:name="_Toc184313265"/>
      <w:bookmarkEnd w:id="345"/>
      <w:bookmarkStart w:id="346" w:name="_Toc184310303"/>
      <w:bookmarkEnd w:id="346"/>
      <w:bookmarkStart w:id="347" w:name="_Toc184308068"/>
      <w:bookmarkEnd w:id="347"/>
      <w:bookmarkStart w:id="348" w:name="_Toc184312118"/>
      <w:bookmarkEnd w:id="348"/>
      <w:bookmarkStart w:id="349" w:name="_Toc184312100"/>
      <w:bookmarkEnd w:id="349"/>
      <w:bookmarkStart w:id="350" w:name="_Toc184313285"/>
      <w:bookmarkEnd w:id="350"/>
      <w:bookmarkStart w:id="351" w:name="_Toc184312090"/>
      <w:bookmarkEnd w:id="351"/>
      <w:bookmarkStart w:id="352" w:name="_Toc184314412"/>
      <w:bookmarkEnd w:id="352"/>
      <w:bookmarkStart w:id="353" w:name="_Toc184308085"/>
      <w:bookmarkEnd w:id="353"/>
      <w:bookmarkStart w:id="354" w:name="_Toc184314429"/>
      <w:bookmarkEnd w:id="354"/>
      <w:bookmarkStart w:id="355" w:name="_Toc184313254"/>
      <w:bookmarkEnd w:id="355"/>
      <w:bookmarkStart w:id="356" w:name="_Toc184310334"/>
      <w:bookmarkEnd w:id="356"/>
      <w:bookmarkStart w:id="357" w:name="_Toc184310309"/>
      <w:bookmarkEnd w:id="357"/>
      <w:bookmarkStart w:id="358" w:name="_Toc184308084"/>
      <w:bookmarkEnd w:id="358"/>
      <w:bookmarkStart w:id="359" w:name="_Toc184308079"/>
      <w:bookmarkEnd w:id="359"/>
      <w:bookmarkStart w:id="360" w:name="_Toc184310290"/>
      <w:bookmarkEnd w:id="360"/>
      <w:bookmarkStart w:id="361" w:name="_Toc184314480"/>
      <w:bookmarkEnd w:id="361"/>
      <w:bookmarkStart w:id="362" w:name="_Toc184313309"/>
      <w:bookmarkEnd w:id="362"/>
      <w:bookmarkStart w:id="363" w:name="_Toc184314425"/>
      <w:bookmarkEnd w:id="363"/>
      <w:bookmarkStart w:id="364" w:name="_Toc184314423"/>
      <w:bookmarkEnd w:id="364"/>
      <w:bookmarkStart w:id="365" w:name="_Toc184312136"/>
      <w:bookmarkEnd w:id="365"/>
      <w:bookmarkStart w:id="366" w:name="_Toc184310332"/>
      <w:bookmarkEnd w:id="366"/>
      <w:bookmarkStart w:id="367" w:name="_Toc184308101"/>
      <w:bookmarkEnd w:id="367"/>
      <w:bookmarkStart w:id="368" w:name="_Toc184313247"/>
      <w:bookmarkEnd w:id="368"/>
      <w:bookmarkStart w:id="369" w:name="_Toc184314464"/>
      <w:bookmarkEnd w:id="369"/>
      <w:bookmarkStart w:id="370" w:name="_Toc184312133"/>
      <w:bookmarkEnd w:id="370"/>
      <w:bookmarkStart w:id="371" w:name="_Toc184314424"/>
      <w:bookmarkEnd w:id="371"/>
      <w:bookmarkStart w:id="372" w:name="_Toc184313283"/>
      <w:bookmarkEnd w:id="372"/>
      <w:bookmarkStart w:id="373" w:name="_Toc184308046"/>
      <w:bookmarkEnd w:id="373"/>
      <w:bookmarkStart w:id="374" w:name="_Toc184310282"/>
      <w:bookmarkEnd w:id="374"/>
      <w:bookmarkStart w:id="375" w:name="_Toc184308038"/>
      <w:bookmarkEnd w:id="375"/>
      <w:bookmarkStart w:id="376" w:name="_Toc184313250"/>
      <w:bookmarkEnd w:id="376"/>
      <w:bookmarkStart w:id="377" w:name="_Toc184308080"/>
      <w:bookmarkEnd w:id="377"/>
      <w:bookmarkStart w:id="378" w:name="_Toc184313255"/>
      <w:bookmarkEnd w:id="378"/>
      <w:bookmarkStart w:id="379" w:name="_Toc184314473"/>
      <w:bookmarkEnd w:id="379"/>
      <w:bookmarkStart w:id="380" w:name="_Toc184308091"/>
      <w:bookmarkEnd w:id="380"/>
      <w:bookmarkStart w:id="381" w:name="_Toc184314446"/>
      <w:bookmarkEnd w:id="381"/>
      <w:bookmarkStart w:id="382" w:name="_Toc184310322"/>
      <w:bookmarkEnd w:id="382"/>
      <w:bookmarkStart w:id="383" w:name="_Toc184312131"/>
      <w:bookmarkEnd w:id="383"/>
      <w:bookmarkStart w:id="384" w:name="_Toc184308049"/>
      <w:bookmarkEnd w:id="384"/>
      <w:bookmarkStart w:id="385" w:name="_Toc184314472"/>
      <w:bookmarkEnd w:id="385"/>
      <w:bookmarkStart w:id="386" w:name="_Toc184312104"/>
      <w:bookmarkEnd w:id="386"/>
      <w:bookmarkStart w:id="387" w:name="_Toc184310276"/>
      <w:bookmarkEnd w:id="387"/>
      <w:bookmarkStart w:id="388" w:name="_Toc184312138"/>
      <w:bookmarkEnd w:id="388"/>
      <w:bookmarkStart w:id="389" w:name="_Toc184308055"/>
      <w:bookmarkEnd w:id="389"/>
      <w:bookmarkStart w:id="390" w:name="_Toc184308092"/>
      <w:bookmarkEnd w:id="390"/>
      <w:bookmarkStart w:id="391" w:name="_Toc184308094"/>
      <w:bookmarkEnd w:id="391"/>
      <w:bookmarkStart w:id="392" w:name="_Toc184313249"/>
      <w:bookmarkEnd w:id="392"/>
      <w:bookmarkStart w:id="393" w:name="_Toc184310279"/>
      <w:bookmarkEnd w:id="393"/>
      <w:bookmarkStart w:id="394" w:name="_Toc184314420"/>
      <w:bookmarkEnd w:id="394"/>
      <w:bookmarkStart w:id="395" w:name="_Toc184313242"/>
      <w:bookmarkEnd w:id="395"/>
      <w:bookmarkStart w:id="396" w:name="_Toc184312070"/>
      <w:bookmarkEnd w:id="396"/>
      <w:bookmarkStart w:id="397" w:name="_Toc184314418"/>
      <w:bookmarkEnd w:id="397"/>
      <w:bookmarkStart w:id="398" w:name="_Toc184313272"/>
      <w:bookmarkEnd w:id="398"/>
      <w:bookmarkStart w:id="399" w:name="_Toc184313238"/>
      <w:bookmarkEnd w:id="399"/>
      <w:bookmarkStart w:id="400" w:name="_Toc184314428"/>
      <w:bookmarkEnd w:id="400"/>
      <w:bookmarkStart w:id="401" w:name="_Toc184312092"/>
      <w:bookmarkEnd w:id="401"/>
      <w:bookmarkStart w:id="402" w:name="_Toc184308078"/>
      <w:bookmarkEnd w:id="402"/>
      <w:bookmarkStart w:id="403" w:name="_Toc184310275"/>
      <w:bookmarkEnd w:id="403"/>
      <w:bookmarkStart w:id="404" w:name="_Toc184314460"/>
      <w:bookmarkEnd w:id="404"/>
      <w:bookmarkStart w:id="405" w:name="_Toc184308058"/>
      <w:bookmarkEnd w:id="405"/>
      <w:bookmarkStart w:id="406" w:name="_Toc184312123"/>
      <w:bookmarkEnd w:id="406"/>
      <w:bookmarkStart w:id="407" w:name="_Toc184310315"/>
      <w:bookmarkEnd w:id="407"/>
      <w:bookmarkStart w:id="408" w:name="_Toc184310292"/>
      <w:bookmarkEnd w:id="408"/>
      <w:bookmarkStart w:id="409" w:name="_Toc184308064"/>
      <w:bookmarkEnd w:id="409"/>
      <w:bookmarkStart w:id="410" w:name="_Toc184312079"/>
      <w:bookmarkEnd w:id="410"/>
      <w:bookmarkStart w:id="411" w:name="_Toc184312105"/>
      <w:bookmarkEnd w:id="411"/>
      <w:bookmarkStart w:id="412" w:name="_Toc184312072"/>
      <w:bookmarkEnd w:id="412"/>
      <w:bookmarkStart w:id="413" w:name="_Toc184312103"/>
      <w:bookmarkEnd w:id="413"/>
      <w:bookmarkStart w:id="414" w:name="_Toc184314451"/>
      <w:bookmarkEnd w:id="414"/>
      <w:bookmarkStart w:id="415" w:name="_Toc184314463"/>
      <w:bookmarkEnd w:id="415"/>
      <w:bookmarkStart w:id="416" w:name="_Toc184313269"/>
      <w:bookmarkEnd w:id="416"/>
      <w:bookmarkStart w:id="417" w:name="_Toc184310330"/>
      <w:bookmarkEnd w:id="417"/>
      <w:bookmarkStart w:id="418" w:name="_Toc184313295"/>
      <w:bookmarkEnd w:id="418"/>
      <w:bookmarkStart w:id="419" w:name="_Toc184314410"/>
      <w:bookmarkEnd w:id="419"/>
      <w:bookmarkStart w:id="420" w:name="_Toc184314471"/>
      <w:bookmarkEnd w:id="420"/>
      <w:bookmarkStart w:id="421" w:name="_Toc184310289"/>
      <w:bookmarkEnd w:id="421"/>
      <w:bookmarkStart w:id="422" w:name="_Toc184312128"/>
      <w:bookmarkEnd w:id="422"/>
      <w:bookmarkStart w:id="423" w:name="_Toc184314440"/>
      <w:bookmarkEnd w:id="423"/>
      <w:bookmarkStart w:id="424" w:name="_Toc184314422"/>
      <w:bookmarkEnd w:id="424"/>
      <w:bookmarkStart w:id="425" w:name="_Toc184308045"/>
      <w:bookmarkEnd w:id="425"/>
      <w:bookmarkStart w:id="426" w:name="第四部分"/>
      <w:r>
        <w:rPr>
          <w:rFonts w:hint="eastAsia" w:ascii="宋体" w:hAnsi="宋体" w:cs="宋体"/>
          <w:b/>
          <w:color w:val="auto"/>
          <w:sz w:val="36"/>
          <w:szCs w:val="36"/>
          <w:highlight w:val="none"/>
        </w:rPr>
        <w:t xml:space="preserve"> 评标办法及评分标准</w:t>
      </w:r>
      <w:bookmarkEnd w:id="60"/>
    </w:p>
    <w:p>
      <w:pPr>
        <w:pStyle w:val="2"/>
        <w:spacing w:line="360" w:lineRule="auto"/>
        <w:jc w:val="center"/>
        <w:rPr>
          <w:rFonts w:hAnsi="宋体" w:cs="宋体"/>
          <w:bCs/>
          <w:color w:val="auto"/>
          <w:highlight w:val="none"/>
        </w:rPr>
      </w:pPr>
      <w:bookmarkStart w:id="427" w:name="_Toc1764"/>
      <w:r>
        <w:rPr>
          <w:rFonts w:hint="eastAsia" w:hAnsi="宋体" w:cs="宋体"/>
          <w:bCs/>
          <w:color w:val="auto"/>
          <w:highlight w:val="none"/>
        </w:rPr>
        <w:t>第一章　评标办法</w:t>
      </w:r>
      <w:bookmarkEnd w:id="427"/>
    </w:p>
    <w:p>
      <w:pPr>
        <w:spacing w:line="360" w:lineRule="auto"/>
        <w:ind w:firstLine="482" w:firstLineChars="200"/>
        <w:rPr>
          <w:rFonts w:ascii="宋体" w:hAnsi="宋体" w:cs="宋体"/>
          <w:b/>
          <w:bCs/>
          <w:color w:val="auto"/>
          <w:sz w:val="24"/>
          <w:szCs w:val="21"/>
          <w:highlight w:val="none"/>
        </w:rPr>
      </w:pPr>
      <w:r>
        <w:rPr>
          <w:rFonts w:hint="eastAsia" w:ascii="宋体" w:hAnsi="宋体" w:cs="宋体"/>
          <w:b/>
          <w:bCs/>
          <w:color w:val="auto"/>
          <w:sz w:val="24"/>
          <w:szCs w:val="21"/>
          <w:highlight w:val="none"/>
        </w:rPr>
        <w:t>一、本次招标将按下列第</w:t>
      </w:r>
      <w:r>
        <w:rPr>
          <w:rFonts w:hint="eastAsia" w:ascii="宋体" w:hAnsi="宋体" w:cs="宋体"/>
          <w:b/>
          <w:bCs/>
          <w:color w:val="auto"/>
          <w:sz w:val="24"/>
          <w:szCs w:val="21"/>
          <w:highlight w:val="none"/>
          <w:u w:val="single"/>
        </w:rPr>
        <w:t>　1　</w:t>
      </w:r>
      <w:r>
        <w:rPr>
          <w:rFonts w:hint="eastAsia" w:ascii="宋体" w:hAnsi="宋体" w:cs="宋体"/>
          <w:b/>
          <w:bCs/>
          <w:color w:val="auto"/>
          <w:sz w:val="24"/>
          <w:szCs w:val="21"/>
          <w:highlight w:val="none"/>
        </w:rPr>
        <w:t>种评标办法进行评标：</w:t>
      </w:r>
    </w:p>
    <w:p>
      <w:pPr>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1、综合评分法。即在最大限度地满足招标文件实质性要求的前提下，按照《评分标准》规定的评分因素对各投标人的投标文件进行综合评审，以报价分、技术分、资信分总得分最高的投标人作为中标候选人。如最高总得分相同的，以报价低者作为中标候选人。如最高总得分且报价相同的，以技术指标优者作为中标候选人；无法确定技术指标优劣的，则抽签确定中标候选人。</w:t>
      </w:r>
    </w:p>
    <w:p>
      <w:pPr>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2、最低评标价法。即在全部满足招标文件实质性要求的前提下，以评审后最低评标价的投标人作为中标候选人。如最低报价相同的，以技术指标优者作为中标候选人；无法确定技术指标优劣的，则抽签确定中标候选人。</w:t>
      </w:r>
    </w:p>
    <w:p>
      <w:pPr>
        <w:spacing w:line="360" w:lineRule="auto"/>
        <w:ind w:firstLine="482" w:firstLineChars="200"/>
        <w:rPr>
          <w:rFonts w:ascii="宋体" w:hAnsi="宋体" w:cs="宋体"/>
          <w:color w:val="auto"/>
          <w:sz w:val="24"/>
          <w:szCs w:val="21"/>
          <w:highlight w:val="none"/>
        </w:rPr>
      </w:pPr>
      <w:r>
        <w:rPr>
          <w:rFonts w:hint="eastAsia" w:ascii="宋体" w:hAnsi="宋体" w:cs="宋体"/>
          <w:b/>
          <w:bCs/>
          <w:color w:val="auto"/>
          <w:sz w:val="24"/>
          <w:szCs w:val="21"/>
          <w:highlight w:val="none"/>
        </w:rPr>
        <w:t>二、</w:t>
      </w:r>
      <w:r>
        <w:rPr>
          <w:rFonts w:hint="eastAsia" w:ascii="宋体" w:hAnsi="宋体" w:cs="宋体"/>
          <w:color w:val="auto"/>
          <w:sz w:val="24"/>
          <w:szCs w:val="21"/>
          <w:highlight w:val="none"/>
        </w:rPr>
        <w:t>本次评标采用百分制计分，计算时四舍五入保留到小数点后两位。</w:t>
      </w:r>
    </w:p>
    <w:p>
      <w:pPr>
        <w:spacing w:line="360" w:lineRule="auto"/>
        <w:ind w:firstLine="482" w:firstLineChars="200"/>
        <w:rPr>
          <w:rFonts w:ascii="宋体" w:hAnsi="宋体" w:cs="宋体"/>
          <w:b/>
          <w:bCs/>
          <w:color w:val="auto"/>
          <w:sz w:val="24"/>
          <w:szCs w:val="21"/>
          <w:highlight w:val="none"/>
        </w:rPr>
      </w:pPr>
      <w:r>
        <w:rPr>
          <w:rFonts w:ascii="宋体" w:hAnsi="宋体" w:cs="宋体"/>
          <w:b/>
          <w:bCs/>
          <w:color w:val="auto"/>
          <w:sz w:val="24"/>
          <w:szCs w:val="21"/>
          <w:highlight w:val="none"/>
        </w:rPr>
        <w:t>1</w:t>
      </w:r>
      <w:r>
        <w:rPr>
          <w:rFonts w:hint="eastAsia" w:ascii="宋体" w:hAnsi="宋体" w:cs="宋体"/>
          <w:b/>
          <w:bCs/>
          <w:color w:val="auto"/>
          <w:sz w:val="24"/>
          <w:szCs w:val="21"/>
          <w:highlight w:val="none"/>
        </w:rPr>
        <w:t>、核心产品界定</w:t>
      </w:r>
    </w:p>
    <w:p>
      <w:pPr>
        <w:spacing w:line="360" w:lineRule="auto"/>
        <w:ind w:firstLine="482" w:firstLineChars="200"/>
        <w:rPr>
          <w:rFonts w:ascii="宋体" w:hAnsi="宋体" w:cs="宋体"/>
          <w:b/>
          <w:bCs/>
          <w:color w:val="auto"/>
          <w:sz w:val="24"/>
          <w:szCs w:val="21"/>
          <w:highlight w:val="none"/>
        </w:rPr>
      </w:pPr>
      <w:r>
        <w:rPr>
          <w:rFonts w:ascii="宋体" w:hAnsi="宋体" w:cs="宋体"/>
          <w:b/>
          <w:bCs/>
          <w:color w:val="auto"/>
          <w:sz w:val="24"/>
          <w:szCs w:val="21"/>
          <w:highlight w:val="none"/>
        </w:rPr>
        <w:t>1</w:t>
      </w:r>
      <w:r>
        <w:rPr>
          <w:rFonts w:hint="eastAsia" w:ascii="宋体" w:hAnsi="宋体" w:cs="宋体"/>
          <w:b/>
          <w:bCs/>
          <w:color w:val="auto"/>
          <w:sz w:val="24"/>
          <w:szCs w:val="21"/>
          <w:highlight w:val="none"/>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spacing w:line="360" w:lineRule="auto"/>
        <w:ind w:firstLine="482" w:firstLineChars="200"/>
        <w:rPr>
          <w:rFonts w:ascii="宋体" w:hAnsi="宋体" w:cs="宋体"/>
          <w:b/>
          <w:bCs/>
          <w:color w:val="auto"/>
          <w:sz w:val="24"/>
          <w:szCs w:val="21"/>
          <w:highlight w:val="none"/>
        </w:rPr>
      </w:pPr>
      <w:r>
        <w:rPr>
          <w:rFonts w:ascii="宋体" w:hAnsi="宋体" w:cs="宋体"/>
          <w:b/>
          <w:bCs/>
          <w:color w:val="auto"/>
          <w:sz w:val="24"/>
          <w:szCs w:val="21"/>
          <w:highlight w:val="none"/>
        </w:rPr>
        <w:t>1</w:t>
      </w:r>
      <w:r>
        <w:rPr>
          <w:rFonts w:hint="eastAsia" w:ascii="宋体" w:hAnsi="宋体" w:cs="宋体"/>
          <w:b/>
          <w:bCs/>
          <w:color w:val="auto"/>
          <w:sz w:val="24"/>
          <w:szCs w:val="21"/>
          <w:highlight w:val="none"/>
        </w:rPr>
        <w:t>.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360" w:lineRule="auto"/>
        <w:ind w:firstLine="482" w:firstLineChars="200"/>
        <w:rPr>
          <w:rFonts w:ascii="宋体" w:hAnsi="宋体" w:cs="宋体"/>
          <w:b/>
          <w:bCs/>
          <w:color w:val="auto"/>
          <w:sz w:val="24"/>
          <w:szCs w:val="21"/>
          <w:highlight w:val="none"/>
        </w:rPr>
      </w:pPr>
      <w:r>
        <w:rPr>
          <w:rFonts w:ascii="宋体" w:hAnsi="宋体" w:cs="宋体"/>
          <w:b/>
          <w:bCs/>
          <w:color w:val="auto"/>
          <w:sz w:val="24"/>
          <w:szCs w:val="21"/>
          <w:highlight w:val="none"/>
        </w:rPr>
        <w:t>1</w:t>
      </w:r>
      <w:r>
        <w:rPr>
          <w:rFonts w:hint="eastAsia" w:ascii="宋体" w:hAnsi="宋体" w:cs="宋体"/>
          <w:b/>
          <w:bCs/>
          <w:color w:val="auto"/>
          <w:sz w:val="24"/>
          <w:szCs w:val="21"/>
          <w:highlight w:val="none"/>
        </w:rPr>
        <w:t>.3非单一产品采购项目，采购人应当根据采购项目技术构成、产品价格比重等合理确定核心产品，并在招标文件中载明。多家投标人提供的核心产品品牌相同的，按前两款规定处理。</w:t>
      </w:r>
    </w:p>
    <w:p>
      <w:pPr>
        <w:pStyle w:val="29"/>
        <w:rPr>
          <w:color w:val="auto"/>
          <w:highlight w:val="none"/>
        </w:rPr>
      </w:pPr>
    </w:p>
    <w:p>
      <w:pPr>
        <w:pStyle w:val="27"/>
        <w:rPr>
          <w:color w:val="auto"/>
          <w:highlight w:val="none"/>
        </w:rPr>
      </w:pPr>
    </w:p>
    <w:p>
      <w:pPr>
        <w:pStyle w:val="2"/>
        <w:spacing w:line="360" w:lineRule="auto"/>
        <w:jc w:val="center"/>
        <w:rPr>
          <w:rFonts w:hAnsi="宋体" w:cs="宋体"/>
          <w:color w:val="auto"/>
          <w:highlight w:val="none"/>
        </w:rPr>
      </w:pPr>
      <w:r>
        <w:rPr>
          <w:rFonts w:hint="eastAsia" w:hAnsi="宋体" w:cs="宋体"/>
          <w:color w:val="auto"/>
          <w:highlight w:val="none"/>
        </w:rPr>
        <w:t>第二章　评分标准</w:t>
      </w:r>
    </w:p>
    <w:p>
      <w:pPr>
        <w:spacing w:line="360" w:lineRule="auto"/>
        <w:ind w:firstLine="482" w:firstLineChars="200"/>
        <w:rPr>
          <w:rFonts w:ascii="宋体" w:hAnsi="宋体"/>
          <w:b/>
          <w:bCs/>
          <w:color w:val="auto"/>
          <w:sz w:val="24"/>
          <w:szCs w:val="21"/>
          <w:highlight w:val="none"/>
        </w:rPr>
      </w:pPr>
      <w:r>
        <w:rPr>
          <w:rFonts w:hint="eastAsia" w:ascii="宋体" w:hAnsi="宋体"/>
          <w:b/>
          <w:bCs/>
          <w:color w:val="auto"/>
          <w:sz w:val="24"/>
          <w:szCs w:val="21"/>
          <w:highlight w:val="none"/>
        </w:rPr>
        <w:t>一、报价文件评分标准（20分）</w:t>
      </w:r>
    </w:p>
    <w:p>
      <w:pPr>
        <w:spacing w:line="336" w:lineRule="auto"/>
        <w:ind w:firstLine="480" w:firstLineChars="200"/>
        <w:rPr>
          <w:rFonts w:ascii="宋体" w:hAnsi="宋体"/>
          <w:color w:val="auto"/>
          <w:sz w:val="24"/>
          <w:highlight w:val="none"/>
        </w:rPr>
      </w:pPr>
      <w:r>
        <w:rPr>
          <w:rFonts w:hint="eastAsia" w:ascii="宋体" w:hAnsi="宋体"/>
          <w:color w:val="auto"/>
          <w:sz w:val="24"/>
          <w:highlight w:val="none"/>
        </w:rPr>
        <w:t>报价文件主要是对投标人的有效报价进行评议，其评分标准及分值设置规则如下：</w:t>
      </w:r>
    </w:p>
    <w:p>
      <w:pPr>
        <w:spacing w:line="360" w:lineRule="auto"/>
        <w:ind w:firstLine="480" w:firstLineChars="200"/>
        <w:rPr>
          <w:rFonts w:ascii="宋体" w:hAnsi="宋体"/>
          <w:color w:val="auto"/>
          <w:sz w:val="24"/>
          <w:szCs w:val="21"/>
          <w:highlight w:val="none"/>
        </w:rPr>
      </w:pPr>
      <w:r>
        <w:rPr>
          <w:rFonts w:hint="eastAsia" w:ascii="宋体" w:hAnsi="宋体"/>
          <w:color w:val="auto"/>
          <w:sz w:val="24"/>
          <w:szCs w:val="21"/>
          <w:highlight w:val="none"/>
        </w:rPr>
        <w:t>1、本次招标最高限价规定如下：</w:t>
      </w:r>
    </w:p>
    <w:p>
      <w:pPr>
        <w:spacing w:line="360" w:lineRule="auto"/>
        <w:ind w:firstLine="480" w:firstLineChars="200"/>
        <w:rPr>
          <w:rFonts w:ascii="宋体" w:hAnsi="宋体"/>
          <w:b/>
          <w:color w:val="auto"/>
          <w:sz w:val="24"/>
          <w:szCs w:val="21"/>
          <w:highlight w:val="none"/>
        </w:rPr>
      </w:pPr>
      <w:r>
        <w:rPr>
          <w:rFonts w:hint="eastAsia" w:ascii="宋体" w:hAnsi="宋体"/>
          <w:color w:val="auto"/>
          <w:sz w:val="24"/>
          <w:szCs w:val="21"/>
          <w:highlight w:val="none"/>
        </w:rPr>
        <w:t>本项目投标报价的最高限价（I标：人民币24062231元、II标：人民币23589904币元）</w:t>
      </w:r>
      <w:r>
        <w:rPr>
          <w:rFonts w:hint="eastAsia" w:ascii="宋体" w:hAnsi="宋体"/>
          <w:b/>
          <w:color w:val="auto"/>
          <w:sz w:val="24"/>
          <w:szCs w:val="21"/>
          <w:highlight w:val="none"/>
        </w:rPr>
        <w:t>。</w:t>
      </w:r>
    </w:p>
    <w:p>
      <w:pPr>
        <w:spacing w:line="360" w:lineRule="auto"/>
        <w:ind w:firstLine="482" w:firstLineChars="200"/>
        <w:rPr>
          <w:rFonts w:ascii="宋体" w:hAnsi="宋体"/>
          <w:b/>
          <w:bCs/>
          <w:color w:val="auto"/>
          <w:sz w:val="24"/>
          <w:szCs w:val="21"/>
          <w:highlight w:val="none"/>
        </w:rPr>
      </w:pPr>
      <w:r>
        <w:rPr>
          <w:rFonts w:hint="eastAsia" w:ascii="宋体" w:hAnsi="宋体"/>
          <w:b/>
          <w:color w:val="auto"/>
          <w:sz w:val="24"/>
          <w:szCs w:val="21"/>
          <w:highlight w:val="none"/>
        </w:rPr>
        <w:t>最高限价由采购人根据市场价格的调查设定，并且不高于本项目财政预算。</w:t>
      </w:r>
    </w:p>
    <w:p>
      <w:pPr>
        <w:spacing w:line="360" w:lineRule="auto"/>
        <w:ind w:firstLine="480" w:firstLineChars="200"/>
        <w:rPr>
          <w:rFonts w:ascii="宋体" w:hAnsi="宋体"/>
          <w:color w:val="auto"/>
          <w:sz w:val="24"/>
          <w:szCs w:val="21"/>
          <w:highlight w:val="none"/>
        </w:rPr>
      </w:pPr>
      <w:r>
        <w:rPr>
          <w:rFonts w:hint="eastAsia" w:ascii="宋体" w:hAnsi="宋体"/>
          <w:color w:val="auto"/>
          <w:sz w:val="24"/>
          <w:szCs w:val="21"/>
          <w:highlight w:val="none"/>
        </w:rPr>
        <w:t>2、投标人的报价在最高限价内的，为有效报价。</w:t>
      </w:r>
    </w:p>
    <w:p>
      <w:pPr>
        <w:spacing w:line="360" w:lineRule="auto"/>
        <w:ind w:firstLine="480" w:firstLineChars="200"/>
        <w:rPr>
          <w:rFonts w:ascii="宋体" w:hAnsi="宋体"/>
          <w:color w:val="auto"/>
          <w:sz w:val="24"/>
          <w:szCs w:val="21"/>
          <w:highlight w:val="none"/>
        </w:rPr>
      </w:pPr>
      <w:r>
        <w:rPr>
          <w:rFonts w:hint="eastAsia" w:ascii="宋体" w:hAnsi="宋体"/>
          <w:color w:val="auto"/>
          <w:sz w:val="24"/>
          <w:szCs w:val="21"/>
          <w:highlight w:val="none"/>
        </w:rPr>
        <w:t>3、本次评标设有最佳报价。最佳报价确定方式：根据所有入围投标人有效报价中的最低报价作为最佳报价。</w:t>
      </w:r>
    </w:p>
    <w:p>
      <w:pPr>
        <w:spacing w:line="360" w:lineRule="auto"/>
        <w:ind w:firstLine="480" w:firstLineChars="200"/>
        <w:rPr>
          <w:rFonts w:ascii="宋体" w:hAnsi="宋体"/>
          <w:color w:val="auto"/>
          <w:sz w:val="24"/>
          <w:szCs w:val="21"/>
          <w:highlight w:val="none"/>
        </w:rPr>
      </w:pPr>
      <w:r>
        <w:rPr>
          <w:rFonts w:hint="eastAsia" w:ascii="宋体" w:hAnsi="宋体"/>
          <w:color w:val="auto"/>
          <w:sz w:val="24"/>
          <w:szCs w:val="21"/>
          <w:highlight w:val="none"/>
        </w:rPr>
        <w:t>4、最佳报价者的报价分为满分，其他投标人的有效报价与最佳报价相比，按下列方法计算其报价分：</w:t>
      </w:r>
    </w:p>
    <w:p>
      <w:pPr>
        <w:spacing w:line="360" w:lineRule="auto"/>
        <w:ind w:firstLine="480" w:firstLineChars="200"/>
        <w:rPr>
          <w:rFonts w:ascii="宋体" w:hAnsi="宋体"/>
          <w:color w:val="auto"/>
          <w:sz w:val="24"/>
          <w:szCs w:val="21"/>
          <w:highlight w:val="none"/>
        </w:rPr>
      </w:pPr>
      <w:r>
        <w:rPr>
          <w:rFonts w:hint="eastAsia" w:ascii="宋体" w:hAnsi="宋体"/>
          <w:color w:val="auto"/>
          <w:sz w:val="24"/>
          <w:szCs w:val="21"/>
          <w:highlight w:val="none"/>
        </w:rPr>
        <w:t>投标价格分=(最佳报价/投标报价)*价格权值*100。</w:t>
      </w:r>
    </w:p>
    <w:p>
      <w:pPr>
        <w:spacing w:line="360" w:lineRule="auto"/>
        <w:ind w:firstLine="480" w:firstLineChars="200"/>
        <w:rPr>
          <w:rFonts w:ascii="宋体" w:hAnsi="宋体"/>
          <w:color w:val="auto"/>
          <w:sz w:val="24"/>
          <w:szCs w:val="21"/>
          <w:highlight w:val="none"/>
        </w:rPr>
      </w:pPr>
      <w:r>
        <w:rPr>
          <w:rFonts w:hint="eastAsia" w:ascii="宋体" w:hAnsi="宋体"/>
          <w:color w:val="auto"/>
          <w:sz w:val="24"/>
          <w:szCs w:val="21"/>
          <w:highlight w:val="none"/>
        </w:rPr>
        <w:t>5、当投标（开标）一览表与投标报价明细表报价不一致时，以投标（开标）一览表为准，报价明细表报价予以修正并由授权代表签字确认，拒绝修正或确认的，则做无效标处理。</w:t>
      </w:r>
    </w:p>
    <w:p>
      <w:pPr>
        <w:spacing w:line="360" w:lineRule="auto"/>
        <w:ind w:firstLine="480" w:firstLineChars="200"/>
        <w:rPr>
          <w:rFonts w:ascii="宋体" w:hAnsi="宋体"/>
          <w:color w:val="auto"/>
          <w:sz w:val="24"/>
          <w:szCs w:val="21"/>
          <w:highlight w:val="none"/>
        </w:rPr>
      </w:pPr>
      <w:r>
        <w:rPr>
          <w:rFonts w:hint="eastAsia" w:ascii="宋体" w:hAnsi="宋体"/>
          <w:color w:val="auto"/>
          <w:sz w:val="24"/>
          <w:szCs w:val="21"/>
          <w:highlight w:val="none"/>
        </w:rPr>
        <w:t>6、投标文件只允许有一个报价，投标报价应按招标文件中相关附表格式填报，该投标报价应与明细报价汇总相等，且不允许出现报价优惠、赠送等字样（明细出现“0”元，视同赠送）,如出现则做</w:t>
      </w:r>
      <w:r>
        <w:rPr>
          <w:rFonts w:hint="eastAsia" w:ascii="宋体" w:hAnsi="宋体"/>
          <w:b/>
          <w:bCs/>
          <w:color w:val="auto"/>
          <w:sz w:val="24"/>
          <w:szCs w:val="21"/>
          <w:highlight w:val="none"/>
        </w:rPr>
        <w:t>无效投标</w:t>
      </w:r>
      <w:r>
        <w:rPr>
          <w:rFonts w:hint="eastAsia" w:ascii="宋体" w:hAnsi="宋体"/>
          <w:color w:val="auto"/>
          <w:sz w:val="24"/>
          <w:szCs w:val="21"/>
          <w:highlight w:val="none"/>
        </w:rPr>
        <w:t>处理。</w:t>
      </w:r>
    </w:p>
    <w:p>
      <w:pPr>
        <w:autoSpaceDE w:val="0"/>
        <w:autoSpaceDN w:val="0"/>
        <w:spacing w:line="360" w:lineRule="auto"/>
        <w:ind w:firstLine="482"/>
        <w:rPr>
          <w:rFonts w:ascii="宋体" w:hAnsi="宋体" w:cs="仿宋_GB2312"/>
          <w:color w:val="auto"/>
          <w:sz w:val="24"/>
          <w:highlight w:val="none"/>
        </w:rPr>
      </w:pPr>
      <w:r>
        <w:rPr>
          <w:rFonts w:hint="eastAsia" w:ascii="宋体" w:hAnsi="宋体"/>
          <w:color w:val="auto"/>
          <w:sz w:val="24"/>
          <w:szCs w:val="21"/>
          <w:highlight w:val="none"/>
        </w:rPr>
        <w:t>7、</w:t>
      </w:r>
      <w:r>
        <w:rPr>
          <w:rFonts w:hint="eastAsia" w:ascii="宋体" w:hAnsi="宋体" w:cs="仿宋_GB2312"/>
          <w:b/>
          <w:color w:val="auto"/>
          <w:sz w:val="24"/>
          <w:highlight w:val="none"/>
        </w:rPr>
        <w:t>投标价格的合理性</w:t>
      </w:r>
      <w:r>
        <w:rPr>
          <w:rFonts w:hint="eastAsia" w:ascii="宋体" w:hAnsi="宋体" w:cs="仿宋_GB2312"/>
          <w:color w:val="auto"/>
          <w:sz w:val="24"/>
          <w:highlight w:val="none"/>
        </w:rPr>
        <w:t>：</w:t>
      </w:r>
      <w:r>
        <w:rPr>
          <w:rFonts w:ascii="Arial" w:hAnsi="Arial" w:cs="Arial"/>
          <w:color w:val="auto"/>
          <w:sz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ascii="宋体" w:hAnsi="宋体" w:cs="仿宋_GB2312"/>
          <w:color w:val="auto"/>
          <w:sz w:val="24"/>
          <w:highlight w:val="none"/>
        </w:rPr>
        <w:t>。</w:t>
      </w:r>
    </w:p>
    <w:p>
      <w:pPr>
        <w:spacing w:line="360" w:lineRule="auto"/>
        <w:ind w:firstLine="482" w:firstLineChars="200"/>
        <w:rPr>
          <w:color w:val="auto"/>
          <w:highlight w:val="none"/>
        </w:rPr>
      </w:pPr>
      <w:r>
        <w:rPr>
          <w:rFonts w:hint="eastAsia" w:ascii="宋体" w:hAnsi="宋体" w:cs="宋体"/>
          <w:b/>
          <w:bCs/>
          <w:color w:val="auto"/>
          <w:sz w:val="24"/>
          <w:highlight w:val="none"/>
        </w:rPr>
        <w:t>二、技术资信文件评标内容及标准（8</w:t>
      </w:r>
      <w:r>
        <w:rPr>
          <w:rFonts w:hint="eastAsia" w:ascii="宋体" w:hAnsi="宋体" w:cs="宋体"/>
          <w:b/>
          <w:bCs/>
          <w:color w:val="auto"/>
          <w:sz w:val="24"/>
          <w:highlight w:val="none"/>
          <w:u w:val="single"/>
        </w:rPr>
        <w:t>0</w:t>
      </w:r>
      <w:r>
        <w:rPr>
          <w:rFonts w:hint="eastAsia" w:ascii="宋体" w:hAnsi="宋体" w:cs="宋体"/>
          <w:b/>
          <w:bCs/>
          <w:color w:val="auto"/>
          <w:sz w:val="24"/>
          <w:highlight w:val="none"/>
        </w:rPr>
        <w:t>分）</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注：本项目采用以下评分内容及标准。</w:t>
      </w:r>
    </w:p>
    <w:p>
      <w:pPr>
        <w:numPr>
          <w:ilvl w:val="0"/>
          <w:numId w:val="36"/>
        </w:numPr>
        <w:spacing w:line="360" w:lineRule="auto"/>
        <w:ind w:firstLine="482" w:firstLineChars="200"/>
      </w:pPr>
      <w:r>
        <w:rPr>
          <w:rFonts w:hint="eastAsia" w:ascii="宋体" w:hAnsi="宋体" w:cs="宋体"/>
          <w:b/>
          <w:bCs/>
          <w:color w:val="auto"/>
          <w:sz w:val="24"/>
          <w:highlight w:val="none"/>
        </w:rPr>
        <w:t>技术评分表（70分）</w:t>
      </w:r>
    </w:p>
    <w:tbl>
      <w:tblPr>
        <w:tblStyle w:val="30"/>
        <w:tblW w:w="8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
        <w:gridCol w:w="1584"/>
        <w:gridCol w:w="5107"/>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7"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ind w:left="-29"/>
              <w:jc w:val="center"/>
              <w:textAlignment w:val="auto"/>
              <w:rPr>
                <w:rFonts w:ascii="宋体" w:hAnsi="宋体"/>
                <w:color w:val="auto"/>
                <w:sz w:val="24"/>
                <w:highlight w:val="none"/>
              </w:rPr>
            </w:pPr>
            <w:r>
              <w:rPr>
                <w:rFonts w:hint="eastAsia" w:ascii="宋体" w:hAnsi="宋体"/>
                <w:color w:val="auto"/>
                <w:sz w:val="24"/>
                <w:highlight w:val="none"/>
              </w:rPr>
              <w:t>序号</w:t>
            </w:r>
          </w:p>
        </w:tc>
        <w:tc>
          <w:tcPr>
            <w:tcW w:w="6691" w:type="dxa"/>
            <w:gridSpan w:val="2"/>
            <w:noWrap/>
            <w:vAlign w:val="center"/>
          </w:tcPr>
          <w:p>
            <w:pPr>
              <w:keepNext w:val="0"/>
              <w:keepLines w:val="0"/>
              <w:pageBreakBefore w:val="0"/>
              <w:widowControl w:val="0"/>
              <w:kinsoku/>
              <w:wordWrap/>
              <w:overflowPunct/>
              <w:topLinePunct w:val="0"/>
              <w:autoSpaceDE/>
              <w:autoSpaceDN/>
              <w:bidi w:val="0"/>
              <w:adjustRightInd/>
              <w:snapToGrid/>
              <w:spacing w:line="400" w:lineRule="exact"/>
              <w:ind w:left="-29"/>
              <w:jc w:val="center"/>
              <w:textAlignment w:val="auto"/>
              <w:rPr>
                <w:rFonts w:ascii="宋体" w:hAnsi="宋体"/>
                <w:b/>
                <w:bCs/>
                <w:color w:val="auto"/>
                <w:sz w:val="24"/>
                <w:highlight w:val="none"/>
              </w:rPr>
            </w:pPr>
            <w:r>
              <w:rPr>
                <w:rFonts w:hint="eastAsia" w:ascii="宋体" w:hAnsi="宋体"/>
                <w:b/>
                <w:bCs/>
                <w:color w:val="auto"/>
                <w:sz w:val="24"/>
                <w:highlight w:val="none"/>
              </w:rPr>
              <w:t>项        目</w:t>
            </w:r>
          </w:p>
        </w:tc>
        <w:tc>
          <w:tcPr>
            <w:tcW w:w="1110"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ind w:left="-29"/>
              <w:jc w:val="center"/>
              <w:textAlignment w:val="auto"/>
              <w:rPr>
                <w:rFonts w:ascii="宋体" w:hAnsi="宋体"/>
                <w:color w:val="auto"/>
                <w:sz w:val="24"/>
                <w:highlight w:val="none"/>
              </w:rPr>
            </w:pPr>
            <w:r>
              <w:rPr>
                <w:rFonts w:hint="eastAsia" w:ascii="宋体" w:hAnsi="宋体"/>
                <w:color w:val="auto"/>
                <w:sz w:val="24"/>
                <w:highlight w:val="none"/>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5" w:hRule="atLeast"/>
        </w:trPr>
        <w:tc>
          <w:tcPr>
            <w:tcW w:w="597"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ind w:left="-29"/>
              <w:jc w:val="center"/>
              <w:textAlignment w:val="auto"/>
              <w:rPr>
                <w:rFonts w:ascii="宋体" w:hAnsi="宋体"/>
                <w:color w:val="auto"/>
                <w:sz w:val="24"/>
                <w:highlight w:val="none"/>
              </w:rPr>
            </w:pPr>
            <w:r>
              <w:rPr>
                <w:rFonts w:hint="eastAsia" w:ascii="宋体" w:hAnsi="宋体"/>
                <w:color w:val="auto"/>
                <w:sz w:val="24"/>
                <w:highlight w:val="none"/>
              </w:rPr>
              <w:t>1</w:t>
            </w:r>
          </w:p>
        </w:tc>
        <w:tc>
          <w:tcPr>
            <w:tcW w:w="1584"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bCs/>
                <w:color w:val="auto"/>
                <w:sz w:val="24"/>
                <w:highlight w:val="none"/>
              </w:rPr>
            </w:pPr>
            <w:r>
              <w:rPr>
                <w:rFonts w:hint="eastAsia" w:ascii="宋体" w:hAnsi="宋体" w:cs="宋体"/>
                <w:bCs/>
                <w:color w:val="auto"/>
                <w:sz w:val="24"/>
                <w:highlight w:val="none"/>
              </w:rPr>
              <w:t>本项目人员配置情况</w:t>
            </w:r>
          </w:p>
        </w:tc>
        <w:tc>
          <w:tcPr>
            <w:tcW w:w="5107"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olor w:val="FF0000"/>
                <w:sz w:val="24"/>
                <w:highlight w:val="none"/>
              </w:rPr>
            </w:pPr>
            <w:r>
              <w:rPr>
                <w:rFonts w:hint="eastAsia" w:hAnsi="宋体" w:cs="宋体"/>
                <w:color w:val="auto"/>
                <w:highlight w:val="none"/>
              </w:rPr>
              <w:t>★</w:t>
            </w:r>
            <w:r>
              <w:rPr>
                <w:rFonts w:hint="eastAsia" w:ascii="宋体" w:hAnsi="宋体"/>
                <w:color w:val="FF0000"/>
                <w:sz w:val="24"/>
                <w:highlight w:val="none"/>
              </w:rPr>
              <w:t>根据拟在本项目投入的作业人员数量（不少于120人）、岗位配置、河道的人员分布及作业人员执证情况等进行打分。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color w:val="auto"/>
                <w:highlight w:val="none"/>
              </w:rPr>
            </w:pPr>
            <w:r>
              <w:rPr>
                <w:rFonts w:hint="eastAsia" w:ascii="宋体" w:hAnsi="宋体"/>
                <w:color w:val="FF0000"/>
                <w:sz w:val="24"/>
                <w:highlight w:val="none"/>
              </w:rPr>
              <w:t>（人数多、年龄结构合理、性别比例合理为优：8-</w:t>
            </w:r>
            <w:r>
              <w:rPr>
                <w:rFonts w:hint="eastAsia" w:ascii="宋体" w:hAnsi="宋体"/>
                <w:color w:val="FF0000"/>
                <w:sz w:val="24"/>
                <w:highlight w:val="none"/>
                <w:lang w:val="en-US" w:eastAsia="zh-CN"/>
              </w:rPr>
              <w:t>10分</w:t>
            </w:r>
            <w:r>
              <w:rPr>
                <w:rFonts w:hint="eastAsia" w:ascii="宋体" w:hAnsi="宋体"/>
                <w:color w:val="FF0000"/>
                <w:sz w:val="24"/>
                <w:highlight w:val="none"/>
              </w:rPr>
              <w:t>；人数相对多、年龄结构相对较多合理、性别比例相对合理为良：4-7</w:t>
            </w:r>
            <w:r>
              <w:rPr>
                <w:rFonts w:hint="eastAsia" w:ascii="宋体" w:hAnsi="宋体"/>
                <w:color w:val="FF0000"/>
                <w:sz w:val="24"/>
                <w:highlight w:val="none"/>
                <w:lang w:val="en-US" w:eastAsia="zh-CN"/>
              </w:rPr>
              <w:t>.9分</w:t>
            </w:r>
            <w:r>
              <w:rPr>
                <w:rFonts w:hint="eastAsia" w:ascii="宋体" w:hAnsi="宋体"/>
                <w:color w:val="FF0000"/>
                <w:sz w:val="24"/>
                <w:highlight w:val="none"/>
              </w:rPr>
              <w:t>；人数较少、年龄结构较合理、性别比例较合理为一般：</w:t>
            </w:r>
            <w:r>
              <w:rPr>
                <w:rFonts w:hint="eastAsia" w:ascii="宋体" w:hAnsi="宋体"/>
                <w:color w:val="FF0000"/>
                <w:sz w:val="24"/>
                <w:highlight w:val="none"/>
                <w:lang w:val="en-US" w:eastAsia="zh-CN"/>
              </w:rPr>
              <w:t>0</w:t>
            </w:r>
            <w:r>
              <w:rPr>
                <w:rFonts w:hint="eastAsia" w:ascii="宋体" w:hAnsi="宋体"/>
                <w:color w:val="FF0000"/>
                <w:sz w:val="24"/>
                <w:highlight w:val="none"/>
              </w:rPr>
              <w:t>-3</w:t>
            </w:r>
            <w:r>
              <w:rPr>
                <w:rFonts w:hint="eastAsia" w:ascii="宋体" w:hAnsi="宋体"/>
                <w:color w:val="FF0000"/>
                <w:sz w:val="24"/>
                <w:highlight w:val="none"/>
                <w:lang w:val="en-US" w:eastAsia="zh-CN"/>
              </w:rPr>
              <w:t>.9分</w:t>
            </w:r>
            <w:r>
              <w:rPr>
                <w:rFonts w:hint="eastAsia" w:ascii="宋体" w:hAnsi="宋体"/>
                <w:color w:val="FF0000"/>
                <w:sz w:val="24"/>
                <w:highlight w:val="none"/>
              </w:rPr>
              <w:t>；未提供不得分）</w:t>
            </w:r>
          </w:p>
        </w:tc>
        <w:tc>
          <w:tcPr>
            <w:tcW w:w="1110"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ind w:left="105" w:leftChars="50" w:right="105" w:rightChars="50"/>
              <w:jc w:val="left"/>
              <w:textAlignment w:val="auto"/>
              <w:rPr>
                <w:rFonts w:ascii="宋体" w:hAnsi="宋体"/>
                <w:color w:val="auto"/>
                <w:sz w:val="24"/>
                <w:highlight w:val="none"/>
              </w:rPr>
            </w:pPr>
            <w:r>
              <w:rPr>
                <w:rFonts w:hint="eastAsia" w:ascii="宋体" w:hAnsi="宋体"/>
                <w:color w:val="auto"/>
                <w:sz w:val="24"/>
                <w:highlight w:val="none"/>
              </w:rPr>
              <w:t>0-1</w:t>
            </w:r>
            <w:r>
              <w:rPr>
                <w:rFonts w:ascii="宋体" w:hAnsi="宋体"/>
                <w:color w:val="auto"/>
                <w:sz w:val="24"/>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4" w:hRule="atLeast"/>
        </w:trPr>
        <w:tc>
          <w:tcPr>
            <w:tcW w:w="597" w:type="dxa"/>
            <w:vMerge w:val="restart"/>
            <w:noWrap/>
            <w:vAlign w:val="center"/>
          </w:tcPr>
          <w:p>
            <w:pPr>
              <w:keepNext w:val="0"/>
              <w:keepLines w:val="0"/>
              <w:pageBreakBefore w:val="0"/>
              <w:widowControl w:val="0"/>
              <w:kinsoku/>
              <w:wordWrap/>
              <w:overflowPunct/>
              <w:topLinePunct w:val="0"/>
              <w:autoSpaceDE/>
              <w:autoSpaceDN/>
              <w:bidi w:val="0"/>
              <w:adjustRightInd/>
              <w:snapToGrid/>
              <w:spacing w:line="400" w:lineRule="exact"/>
              <w:ind w:left="-29"/>
              <w:jc w:val="center"/>
              <w:textAlignment w:val="auto"/>
              <w:rPr>
                <w:rFonts w:ascii="宋体" w:hAnsi="宋体"/>
                <w:color w:val="auto"/>
                <w:sz w:val="24"/>
                <w:highlight w:val="none"/>
              </w:rPr>
            </w:pPr>
            <w:r>
              <w:rPr>
                <w:rFonts w:hint="eastAsia" w:ascii="宋体" w:hAnsi="宋体"/>
                <w:color w:val="auto"/>
                <w:sz w:val="24"/>
                <w:highlight w:val="none"/>
              </w:rPr>
              <w:t>2</w:t>
            </w:r>
          </w:p>
        </w:tc>
        <w:tc>
          <w:tcPr>
            <w:tcW w:w="1584" w:type="dxa"/>
            <w:vMerge w:val="restart"/>
            <w:noWrap/>
            <w:vAlign w:val="center"/>
          </w:tcPr>
          <w:p>
            <w:pPr>
              <w:keepNext w:val="0"/>
              <w:keepLines w:val="0"/>
              <w:pageBreakBefore w:val="0"/>
              <w:widowControl w:val="0"/>
              <w:kinsoku/>
              <w:wordWrap/>
              <w:overflowPunct/>
              <w:topLinePunct w:val="0"/>
              <w:autoSpaceDE/>
              <w:autoSpaceDN/>
              <w:bidi w:val="0"/>
              <w:adjustRightInd/>
              <w:snapToGrid/>
              <w:spacing w:line="400" w:lineRule="exact"/>
              <w:ind w:left="-29"/>
              <w:jc w:val="left"/>
              <w:textAlignment w:val="auto"/>
              <w:rPr>
                <w:rFonts w:ascii="宋体" w:hAnsi="宋体"/>
                <w:bCs/>
                <w:color w:val="auto"/>
                <w:sz w:val="24"/>
                <w:highlight w:val="none"/>
              </w:rPr>
            </w:pPr>
            <w:r>
              <w:rPr>
                <w:rFonts w:hint="eastAsia" w:ascii="宋体" w:hAnsi="宋体"/>
                <w:bCs/>
                <w:color w:val="auto"/>
                <w:sz w:val="24"/>
                <w:highlight w:val="none"/>
              </w:rPr>
              <w:t>本项目作业设备及能力</w:t>
            </w:r>
          </w:p>
        </w:tc>
        <w:tc>
          <w:tcPr>
            <w:tcW w:w="5107"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bCs/>
                <w:color w:val="auto"/>
                <w:sz w:val="24"/>
                <w:highlight w:val="none"/>
              </w:rPr>
            </w:pPr>
            <w:r>
              <w:rPr>
                <w:rFonts w:hint="eastAsia" w:hAnsi="宋体" w:cs="宋体"/>
                <w:color w:val="auto"/>
                <w:highlight w:val="none"/>
              </w:rPr>
              <w:t>★</w:t>
            </w:r>
            <w:r>
              <w:rPr>
                <w:rFonts w:hint="eastAsia" w:ascii="宋体" w:hAnsi="宋体" w:cs="宋体"/>
                <w:bCs/>
                <w:color w:val="FF0000"/>
                <w:sz w:val="24"/>
                <w:highlight w:val="none"/>
                <w:lang w:val="en-US" w:eastAsia="zh-CN"/>
              </w:rPr>
              <w:t>投标人</w:t>
            </w:r>
            <w:r>
              <w:rPr>
                <w:rFonts w:hint="eastAsia" w:ascii="宋体" w:hAnsi="宋体" w:cs="宋体"/>
                <w:bCs/>
                <w:color w:val="auto"/>
                <w:sz w:val="24"/>
                <w:highlight w:val="none"/>
              </w:rPr>
              <w:t>自有洒水车（清洗车）</w:t>
            </w:r>
            <w:r>
              <w:rPr>
                <w:rFonts w:ascii="宋体" w:hAnsi="宋体" w:cs="宋体"/>
                <w:bCs/>
                <w:color w:val="auto"/>
                <w:sz w:val="24"/>
                <w:highlight w:val="none"/>
              </w:rPr>
              <w:t>4</w:t>
            </w:r>
            <w:r>
              <w:rPr>
                <w:rFonts w:hint="eastAsia" w:ascii="宋体" w:hAnsi="宋体" w:cs="宋体"/>
                <w:bCs/>
                <w:color w:val="auto"/>
                <w:sz w:val="24"/>
                <w:highlight w:val="none"/>
              </w:rPr>
              <w:t>辆（行驶证上写明总质量1</w:t>
            </w:r>
            <w:r>
              <w:rPr>
                <w:rFonts w:ascii="宋体" w:hAnsi="宋体" w:cs="宋体"/>
                <w:bCs/>
                <w:color w:val="auto"/>
                <w:sz w:val="24"/>
                <w:highlight w:val="none"/>
              </w:rPr>
              <w:t>8T</w:t>
            </w:r>
            <w:r>
              <w:rPr>
                <w:rFonts w:hint="eastAsia" w:ascii="宋体" w:hAnsi="宋体" w:cs="宋体"/>
                <w:bCs/>
                <w:color w:val="auto"/>
                <w:sz w:val="24"/>
                <w:highlight w:val="none"/>
              </w:rPr>
              <w:t>及以上的）得7分</w:t>
            </w:r>
            <w:r>
              <w:rPr>
                <w:rFonts w:hint="eastAsia" w:ascii="宋体" w:hAnsi="宋体"/>
                <w:color w:val="auto"/>
                <w:sz w:val="24"/>
                <w:highlight w:val="none"/>
              </w:rPr>
              <w:t>，</w:t>
            </w:r>
            <w:r>
              <w:rPr>
                <w:rFonts w:hint="eastAsia" w:ascii="宋体" w:hAnsi="宋体" w:cs="宋体"/>
                <w:bCs/>
                <w:color w:val="auto"/>
                <w:sz w:val="24"/>
                <w:highlight w:val="none"/>
              </w:rPr>
              <w:t>不满足不得分；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olor w:val="auto"/>
                <w:sz w:val="24"/>
                <w:highlight w:val="none"/>
              </w:rPr>
            </w:pPr>
            <w:r>
              <w:rPr>
                <w:rFonts w:hint="eastAsia" w:ascii="宋体" w:hAnsi="宋体"/>
                <w:color w:val="auto"/>
                <w:sz w:val="24"/>
                <w:highlight w:val="none"/>
              </w:rPr>
              <w:t>自有洒水车（行驶证上写明总质量11T及以上的）每增加1辆加1.5分，最高加3分</w:t>
            </w:r>
            <w:r>
              <w:rPr>
                <w:rFonts w:hint="eastAsia" w:ascii="宋体" w:hAnsi="宋体" w:cs="宋体"/>
                <w:bCs/>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bCs/>
                <w:color w:val="auto"/>
                <w:sz w:val="24"/>
                <w:highlight w:val="none"/>
              </w:rPr>
            </w:pPr>
            <w:r>
              <w:rPr>
                <w:rFonts w:hint="eastAsia" w:ascii="宋体" w:hAnsi="宋体" w:cs="宋体"/>
                <w:bCs/>
                <w:color w:val="auto"/>
                <w:sz w:val="24"/>
                <w:highlight w:val="none"/>
              </w:rPr>
              <w:t>（</w:t>
            </w:r>
            <w:r>
              <w:rPr>
                <w:rFonts w:ascii="宋体" w:hAnsi="宋体"/>
                <w:color w:val="auto"/>
                <w:sz w:val="24"/>
                <w:highlight w:val="none"/>
              </w:rPr>
              <w:t>注：分公司</w:t>
            </w:r>
            <w:r>
              <w:rPr>
                <w:rFonts w:hint="eastAsia" w:ascii="宋体" w:hAnsi="宋体"/>
                <w:color w:val="auto"/>
                <w:sz w:val="24"/>
                <w:highlight w:val="none"/>
              </w:rPr>
              <w:t>车辆</w:t>
            </w:r>
            <w:r>
              <w:rPr>
                <w:rFonts w:ascii="宋体" w:hAnsi="宋体"/>
                <w:color w:val="auto"/>
                <w:sz w:val="24"/>
                <w:highlight w:val="none"/>
              </w:rPr>
              <w:t>予以认可</w:t>
            </w:r>
            <w:r>
              <w:rPr>
                <w:rFonts w:hint="eastAsia" w:ascii="宋体" w:hAnsi="宋体"/>
                <w:color w:val="auto"/>
                <w:sz w:val="24"/>
                <w:highlight w:val="none"/>
              </w:rPr>
              <w:t>，</w:t>
            </w:r>
            <w:r>
              <w:rPr>
                <w:rFonts w:hint="eastAsia" w:ascii="宋体" w:hAnsi="宋体" w:cs="宋体"/>
                <w:bCs/>
                <w:color w:val="auto"/>
                <w:sz w:val="24"/>
                <w:highlight w:val="none"/>
              </w:rPr>
              <w:t>投标文件中需提供</w:t>
            </w:r>
            <w:r>
              <w:rPr>
                <w:rFonts w:hint="eastAsia" w:ascii="宋体" w:hAnsi="宋体"/>
                <w:color w:val="auto"/>
                <w:sz w:val="24"/>
                <w:highlight w:val="none"/>
              </w:rPr>
              <w:t>车辆行驶证、机动车登记证书</w:t>
            </w:r>
            <w:r>
              <w:rPr>
                <w:rFonts w:hint="eastAsia" w:ascii="宋体" w:hAnsi="宋体" w:cs="宋体"/>
                <w:bCs/>
                <w:color w:val="auto"/>
                <w:sz w:val="24"/>
                <w:highlight w:val="none"/>
              </w:rPr>
              <w:t>扫描件加盖单位公章）</w:t>
            </w:r>
          </w:p>
        </w:tc>
        <w:tc>
          <w:tcPr>
            <w:tcW w:w="1110"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ind w:left="105" w:leftChars="50" w:right="105" w:rightChars="50"/>
              <w:jc w:val="left"/>
              <w:textAlignment w:val="auto"/>
              <w:rPr>
                <w:rFonts w:ascii="宋体" w:hAnsi="宋体"/>
                <w:color w:val="auto"/>
                <w:sz w:val="24"/>
                <w:highlight w:val="none"/>
              </w:rPr>
            </w:pPr>
            <w:r>
              <w:rPr>
                <w:rFonts w:hint="eastAsia" w:ascii="宋体" w:hAnsi="宋体"/>
                <w:color w:val="auto"/>
                <w:sz w:val="24"/>
                <w:highlight w:val="none"/>
              </w:rPr>
              <w:t>0-</w:t>
            </w:r>
            <w:r>
              <w:rPr>
                <w:rFonts w:ascii="宋体" w:hAnsi="宋体"/>
                <w:color w:val="auto"/>
                <w:sz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5" w:hRule="atLeast"/>
        </w:trPr>
        <w:tc>
          <w:tcPr>
            <w:tcW w:w="597"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400" w:lineRule="exact"/>
              <w:ind w:left="105" w:leftChars="50" w:right="105" w:rightChars="50"/>
              <w:jc w:val="left"/>
              <w:textAlignment w:val="auto"/>
              <w:rPr>
                <w:color w:val="auto"/>
                <w:sz w:val="24"/>
                <w:highlight w:val="none"/>
              </w:rPr>
            </w:pPr>
          </w:p>
        </w:tc>
        <w:tc>
          <w:tcPr>
            <w:tcW w:w="1584"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400" w:lineRule="exact"/>
              <w:ind w:left="105" w:leftChars="50" w:right="105" w:rightChars="50"/>
              <w:jc w:val="left"/>
              <w:textAlignment w:val="auto"/>
              <w:rPr>
                <w:bCs/>
                <w:color w:val="auto"/>
                <w:sz w:val="24"/>
                <w:highlight w:val="none"/>
              </w:rPr>
            </w:pPr>
          </w:p>
        </w:tc>
        <w:tc>
          <w:tcPr>
            <w:tcW w:w="5107"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bCs/>
                <w:color w:val="auto"/>
                <w:sz w:val="24"/>
                <w:highlight w:val="none"/>
              </w:rPr>
            </w:pPr>
            <w:r>
              <w:rPr>
                <w:rFonts w:hint="eastAsia" w:hAnsi="宋体" w:cs="宋体"/>
                <w:color w:val="auto"/>
                <w:highlight w:val="none"/>
              </w:rPr>
              <w:t>★</w:t>
            </w:r>
            <w:r>
              <w:rPr>
                <w:rFonts w:hint="eastAsia" w:ascii="宋体" w:hAnsi="宋体" w:cs="宋体"/>
                <w:bCs/>
                <w:color w:val="FF0000"/>
                <w:sz w:val="24"/>
                <w:highlight w:val="none"/>
                <w:lang w:val="en-US" w:eastAsia="zh-CN"/>
              </w:rPr>
              <w:t>投标人</w:t>
            </w:r>
            <w:r>
              <w:rPr>
                <w:rFonts w:hint="eastAsia" w:ascii="宋体" w:hAnsi="宋体" w:cs="宋体"/>
                <w:bCs/>
                <w:color w:val="auto"/>
                <w:sz w:val="24"/>
                <w:highlight w:val="none"/>
              </w:rPr>
              <w:t>自有垃圾清运车</w:t>
            </w:r>
            <w:r>
              <w:rPr>
                <w:rFonts w:ascii="宋体" w:hAnsi="宋体" w:cs="宋体"/>
                <w:bCs/>
                <w:color w:val="auto"/>
                <w:sz w:val="24"/>
                <w:highlight w:val="none"/>
              </w:rPr>
              <w:t>1</w:t>
            </w:r>
            <w:r>
              <w:rPr>
                <w:rFonts w:hint="eastAsia" w:ascii="宋体" w:hAnsi="宋体" w:cs="宋体"/>
                <w:bCs/>
                <w:color w:val="auto"/>
                <w:sz w:val="24"/>
                <w:highlight w:val="none"/>
              </w:rPr>
              <w:t>辆（行驶证上写明总质量1</w:t>
            </w:r>
            <w:r>
              <w:rPr>
                <w:rFonts w:ascii="宋体" w:hAnsi="宋体" w:cs="宋体"/>
                <w:bCs/>
                <w:color w:val="auto"/>
                <w:sz w:val="24"/>
                <w:highlight w:val="none"/>
              </w:rPr>
              <w:t>8T</w:t>
            </w:r>
            <w:r>
              <w:rPr>
                <w:rFonts w:hint="eastAsia" w:ascii="宋体" w:hAnsi="宋体" w:cs="宋体"/>
                <w:bCs/>
                <w:color w:val="auto"/>
                <w:sz w:val="24"/>
                <w:highlight w:val="none"/>
              </w:rPr>
              <w:t>及以上的）得3分，不满足不得分；自有自卸汽车（后期需加装起吊设备）每增加1辆加1分，最高加1分。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bCs/>
                <w:color w:val="auto"/>
                <w:sz w:val="24"/>
                <w:highlight w:val="none"/>
              </w:rPr>
            </w:pPr>
            <w:r>
              <w:rPr>
                <w:rFonts w:hint="eastAsia" w:ascii="宋体" w:hAnsi="宋体" w:cs="宋体"/>
                <w:bCs/>
                <w:color w:val="auto"/>
                <w:sz w:val="24"/>
                <w:highlight w:val="none"/>
              </w:rPr>
              <w:t>（</w:t>
            </w:r>
            <w:r>
              <w:rPr>
                <w:rFonts w:ascii="宋体" w:hAnsi="宋体"/>
                <w:color w:val="auto"/>
                <w:sz w:val="24"/>
                <w:highlight w:val="none"/>
              </w:rPr>
              <w:t>注：分公司</w:t>
            </w:r>
            <w:r>
              <w:rPr>
                <w:rFonts w:hint="eastAsia" w:ascii="宋体" w:hAnsi="宋体"/>
                <w:color w:val="auto"/>
                <w:sz w:val="24"/>
                <w:highlight w:val="none"/>
              </w:rPr>
              <w:t>车辆</w:t>
            </w:r>
            <w:r>
              <w:rPr>
                <w:rFonts w:ascii="宋体" w:hAnsi="宋体"/>
                <w:color w:val="auto"/>
                <w:sz w:val="24"/>
                <w:highlight w:val="none"/>
              </w:rPr>
              <w:t>予以认可</w:t>
            </w:r>
            <w:r>
              <w:rPr>
                <w:rFonts w:hint="eastAsia" w:ascii="宋体" w:hAnsi="宋体"/>
                <w:color w:val="auto"/>
                <w:sz w:val="24"/>
                <w:highlight w:val="none"/>
              </w:rPr>
              <w:t>，</w:t>
            </w:r>
            <w:r>
              <w:rPr>
                <w:rFonts w:hint="eastAsia" w:ascii="宋体" w:hAnsi="宋体" w:cs="宋体"/>
                <w:bCs/>
                <w:color w:val="auto"/>
                <w:sz w:val="24"/>
                <w:highlight w:val="none"/>
              </w:rPr>
              <w:t>投标文件中需提供</w:t>
            </w:r>
            <w:r>
              <w:rPr>
                <w:rFonts w:hint="eastAsia" w:ascii="宋体" w:hAnsi="宋体"/>
                <w:color w:val="auto"/>
                <w:sz w:val="24"/>
                <w:highlight w:val="none"/>
              </w:rPr>
              <w:t>车辆行驶证、机动车登记证书</w:t>
            </w:r>
            <w:r>
              <w:rPr>
                <w:rFonts w:hint="eastAsia" w:ascii="宋体" w:hAnsi="宋体" w:cs="宋体"/>
                <w:bCs/>
                <w:color w:val="auto"/>
                <w:sz w:val="24"/>
                <w:highlight w:val="none"/>
              </w:rPr>
              <w:t>扫描件加盖单位公章）</w:t>
            </w:r>
          </w:p>
        </w:tc>
        <w:tc>
          <w:tcPr>
            <w:tcW w:w="1110"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ind w:left="105" w:leftChars="50" w:right="105" w:rightChars="50"/>
              <w:jc w:val="left"/>
              <w:textAlignment w:val="auto"/>
              <w:rPr>
                <w:color w:val="auto"/>
                <w:sz w:val="24"/>
                <w:highlight w:val="none"/>
              </w:rPr>
            </w:pPr>
            <w:r>
              <w:rPr>
                <w:rFonts w:hint="eastAsia"/>
                <w:color w:val="auto"/>
                <w:sz w:val="24"/>
                <w:highlight w:val="none"/>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97"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400" w:lineRule="exact"/>
              <w:ind w:left="105" w:leftChars="50" w:right="105" w:rightChars="50"/>
              <w:jc w:val="left"/>
              <w:textAlignment w:val="auto"/>
              <w:rPr>
                <w:color w:val="auto"/>
                <w:sz w:val="24"/>
                <w:highlight w:val="none"/>
              </w:rPr>
            </w:pPr>
          </w:p>
        </w:tc>
        <w:tc>
          <w:tcPr>
            <w:tcW w:w="1584"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400" w:lineRule="exact"/>
              <w:ind w:left="105" w:leftChars="50" w:right="105" w:rightChars="50"/>
              <w:jc w:val="left"/>
              <w:textAlignment w:val="auto"/>
              <w:rPr>
                <w:bCs/>
                <w:color w:val="auto"/>
                <w:sz w:val="24"/>
                <w:highlight w:val="none"/>
              </w:rPr>
            </w:pPr>
          </w:p>
        </w:tc>
        <w:tc>
          <w:tcPr>
            <w:tcW w:w="5107"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bCs/>
                <w:color w:val="auto"/>
                <w:sz w:val="24"/>
                <w:highlight w:val="none"/>
              </w:rPr>
            </w:pPr>
            <w:r>
              <w:rPr>
                <w:rFonts w:hint="eastAsia" w:hAnsi="宋体" w:cs="宋体"/>
                <w:color w:val="auto"/>
                <w:highlight w:val="none"/>
              </w:rPr>
              <w:t>★</w:t>
            </w:r>
            <w:r>
              <w:rPr>
                <w:rFonts w:hint="eastAsia" w:ascii="宋体" w:hAnsi="宋体" w:cs="宋体"/>
                <w:bCs/>
                <w:color w:val="FF0000"/>
                <w:sz w:val="24"/>
                <w:highlight w:val="none"/>
                <w:lang w:val="en-US" w:eastAsia="zh-CN"/>
              </w:rPr>
              <w:t>投标人</w:t>
            </w:r>
            <w:r>
              <w:rPr>
                <w:rFonts w:hint="eastAsia" w:ascii="宋体" w:hAnsi="宋体" w:cs="宋体"/>
                <w:bCs/>
                <w:color w:val="auto"/>
                <w:sz w:val="24"/>
                <w:highlight w:val="none"/>
              </w:rPr>
              <w:t>自有皮卡车</w:t>
            </w:r>
            <w:r>
              <w:rPr>
                <w:rFonts w:ascii="宋体" w:hAnsi="宋体" w:cs="宋体"/>
                <w:bCs/>
                <w:color w:val="auto"/>
                <w:sz w:val="24"/>
                <w:highlight w:val="none"/>
              </w:rPr>
              <w:t>1</w:t>
            </w:r>
            <w:r>
              <w:rPr>
                <w:rFonts w:hint="eastAsia" w:ascii="宋体" w:hAnsi="宋体" w:cs="宋体"/>
                <w:bCs/>
                <w:color w:val="auto"/>
                <w:sz w:val="24"/>
                <w:highlight w:val="none"/>
              </w:rPr>
              <w:t>辆、自有巡逻车1辆，满足以上要求得2分，不满足不得分；自有巡逻车每增加1辆加1分，最高加2分。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bCs/>
                <w:color w:val="auto"/>
                <w:sz w:val="24"/>
                <w:highlight w:val="none"/>
              </w:rPr>
            </w:pPr>
            <w:r>
              <w:rPr>
                <w:rFonts w:hint="eastAsia" w:ascii="宋体" w:hAnsi="宋体" w:cs="宋体"/>
                <w:bCs/>
                <w:color w:val="auto"/>
                <w:sz w:val="24"/>
                <w:highlight w:val="none"/>
              </w:rPr>
              <w:t>（</w:t>
            </w:r>
            <w:r>
              <w:rPr>
                <w:rFonts w:ascii="宋体" w:hAnsi="宋体"/>
                <w:color w:val="auto"/>
                <w:sz w:val="24"/>
                <w:highlight w:val="none"/>
              </w:rPr>
              <w:t>注：分公司</w:t>
            </w:r>
            <w:r>
              <w:rPr>
                <w:rFonts w:hint="eastAsia" w:ascii="宋体" w:hAnsi="宋体"/>
                <w:color w:val="auto"/>
                <w:sz w:val="24"/>
                <w:highlight w:val="none"/>
              </w:rPr>
              <w:t>车辆</w:t>
            </w:r>
            <w:r>
              <w:rPr>
                <w:rFonts w:ascii="宋体" w:hAnsi="宋体"/>
                <w:color w:val="auto"/>
                <w:sz w:val="24"/>
                <w:highlight w:val="none"/>
              </w:rPr>
              <w:t>予以认</w:t>
            </w:r>
            <w:r>
              <w:rPr>
                <w:rFonts w:hint="eastAsia" w:ascii="宋体" w:hAnsi="宋体"/>
                <w:color w:val="auto"/>
                <w:sz w:val="24"/>
                <w:highlight w:val="none"/>
              </w:rPr>
              <w:t>可，</w:t>
            </w:r>
            <w:r>
              <w:rPr>
                <w:rFonts w:hint="eastAsia" w:ascii="宋体" w:hAnsi="宋体" w:cs="宋体"/>
                <w:bCs/>
                <w:color w:val="auto"/>
                <w:sz w:val="24"/>
                <w:highlight w:val="none"/>
              </w:rPr>
              <w:t>投标文件中需提供</w:t>
            </w:r>
            <w:r>
              <w:rPr>
                <w:rFonts w:hint="eastAsia" w:ascii="宋体" w:hAnsi="宋体"/>
                <w:color w:val="auto"/>
                <w:sz w:val="24"/>
                <w:highlight w:val="none"/>
              </w:rPr>
              <w:t>车辆行驶证、机动车登记证书</w:t>
            </w:r>
            <w:r>
              <w:rPr>
                <w:rFonts w:hint="eastAsia" w:ascii="宋体" w:hAnsi="宋体" w:cs="宋体"/>
                <w:bCs/>
                <w:color w:val="auto"/>
                <w:sz w:val="24"/>
                <w:highlight w:val="none"/>
              </w:rPr>
              <w:t>扫描件加盖单位公章）</w:t>
            </w:r>
          </w:p>
        </w:tc>
        <w:tc>
          <w:tcPr>
            <w:tcW w:w="1110"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ind w:left="105" w:leftChars="50" w:right="105" w:rightChars="50"/>
              <w:jc w:val="left"/>
              <w:textAlignment w:val="auto"/>
              <w:rPr>
                <w:color w:val="auto"/>
                <w:sz w:val="24"/>
                <w:highlight w:val="none"/>
              </w:rPr>
            </w:pPr>
            <w:r>
              <w:rPr>
                <w:rFonts w:hint="eastAsia"/>
                <w:color w:val="auto"/>
                <w:sz w:val="24"/>
                <w:highlight w:val="none"/>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97"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400" w:lineRule="exact"/>
              <w:ind w:left="105" w:leftChars="50" w:right="105" w:rightChars="50"/>
              <w:jc w:val="left"/>
              <w:textAlignment w:val="auto"/>
              <w:rPr>
                <w:color w:val="auto"/>
                <w:sz w:val="24"/>
                <w:highlight w:val="none"/>
              </w:rPr>
            </w:pPr>
          </w:p>
        </w:tc>
        <w:tc>
          <w:tcPr>
            <w:tcW w:w="1584"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400" w:lineRule="exact"/>
              <w:ind w:left="105" w:leftChars="50" w:right="105" w:rightChars="50"/>
              <w:jc w:val="left"/>
              <w:textAlignment w:val="auto"/>
              <w:rPr>
                <w:bCs/>
                <w:color w:val="auto"/>
                <w:sz w:val="24"/>
                <w:highlight w:val="none"/>
              </w:rPr>
            </w:pPr>
          </w:p>
        </w:tc>
        <w:tc>
          <w:tcPr>
            <w:tcW w:w="5107"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bCs/>
                <w:color w:val="auto"/>
                <w:sz w:val="24"/>
                <w:highlight w:val="none"/>
              </w:rPr>
            </w:pPr>
            <w:r>
              <w:rPr>
                <w:rFonts w:hint="eastAsia" w:hAnsi="宋体" w:cs="宋体"/>
                <w:color w:val="auto"/>
                <w:highlight w:val="none"/>
              </w:rPr>
              <w:t>★</w:t>
            </w:r>
            <w:r>
              <w:rPr>
                <w:rFonts w:hint="eastAsia" w:ascii="宋体" w:hAnsi="宋体" w:cs="宋体"/>
                <w:bCs/>
                <w:color w:val="FF0000"/>
                <w:sz w:val="24"/>
                <w:highlight w:val="none"/>
                <w:lang w:val="en-US" w:eastAsia="zh-CN"/>
              </w:rPr>
              <w:t>投标人</w:t>
            </w:r>
            <w:r>
              <w:rPr>
                <w:rFonts w:hint="eastAsia" w:ascii="宋体" w:hAnsi="宋体" w:cs="宋体"/>
                <w:bCs/>
                <w:color w:val="auto"/>
                <w:sz w:val="24"/>
                <w:highlight w:val="none"/>
              </w:rPr>
              <w:t>自有扫路车（机扫一体车）4辆（行驶证上写明总质量16</w:t>
            </w:r>
            <w:r>
              <w:rPr>
                <w:rFonts w:ascii="宋体" w:hAnsi="宋体" w:cs="宋体"/>
                <w:bCs/>
                <w:color w:val="auto"/>
                <w:sz w:val="24"/>
                <w:highlight w:val="none"/>
              </w:rPr>
              <w:t>T</w:t>
            </w:r>
            <w:r>
              <w:rPr>
                <w:rFonts w:hint="eastAsia" w:ascii="宋体" w:hAnsi="宋体" w:cs="宋体"/>
                <w:bCs/>
                <w:color w:val="auto"/>
                <w:sz w:val="24"/>
                <w:highlight w:val="none"/>
              </w:rPr>
              <w:t>及以上的）得7分，不满足不得分；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bCs/>
                <w:color w:val="auto"/>
                <w:sz w:val="24"/>
                <w:highlight w:val="none"/>
              </w:rPr>
            </w:pPr>
            <w:r>
              <w:rPr>
                <w:rFonts w:hint="eastAsia" w:ascii="宋体" w:hAnsi="宋体" w:cs="宋体"/>
                <w:bCs/>
                <w:color w:val="auto"/>
                <w:sz w:val="24"/>
                <w:highlight w:val="none"/>
              </w:rPr>
              <w:t>自有扫路车（行驶证上写明总质量7</w:t>
            </w:r>
            <w:r>
              <w:rPr>
                <w:rFonts w:ascii="宋体" w:hAnsi="宋体" w:cs="宋体"/>
                <w:bCs/>
                <w:color w:val="auto"/>
                <w:sz w:val="24"/>
                <w:highlight w:val="none"/>
              </w:rPr>
              <w:t>T</w:t>
            </w:r>
            <w:r>
              <w:rPr>
                <w:rFonts w:hint="eastAsia" w:ascii="宋体" w:hAnsi="宋体" w:cs="宋体"/>
                <w:bCs/>
                <w:color w:val="auto"/>
                <w:sz w:val="24"/>
                <w:highlight w:val="none"/>
              </w:rPr>
              <w:t>及以上的）每增加1辆加1.5分，最高加3分。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bCs/>
                <w:color w:val="auto"/>
                <w:sz w:val="24"/>
                <w:highlight w:val="none"/>
              </w:rPr>
            </w:pPr>
            <w:r>
              <w:rPr>
                <w:rFonts w:hint="eastAsia" w:ascii="宋体" w:hAnsi="宋体" w:cs="宋体"/>
                <w:bCs/>
                <w:color w:val="auto"/>
                <w:sz w:val="24"/>
                <w:highlight w:val="none"/>
              </w:rPr>
              <w:t>（</w:t>
            </w:r>
            <w:r>
              <w:rPr>
                <w:rFonts w:ascii="宋体" w:hAnsi="宋体"/>
                <w:color w:val="auto"/>
                <w:sz w:val="24"/>
                <w:highlight w:val="none"/>
              </w:rPr>
              <w:t>注：分公司</w:t>
            </w:r>
            <w:r>
              <w:rPr>
                <w:rFonts w:hint="eastAsia" w:ascii="宋体" w:hAnsi="宋体"/>
                <w:color w:val="auto"/>
                <w:sz w:val="24"/>
                <w:highlight w:val="none"/>
              </w:rPr>
              <w:t>车辆</w:t>
            </w:r>
            <w:r>
              <w:rPr>
                <w:rFonts w:ascii="宋体" w:hAnsi="宋体"/>
                <w:color w:val="auto"/>
                <w:sz w:val="24"/>
                <w:highlight w:val="none"/>
              </w:rPr>
              <w:t>予以认可</w:t>
            </w:r>
            <w:r>
              <w:rPr>
                <w:rFonts w:hint="eastAsia" w:ascii="宋体" w:hAnsi="宋体"/>
                <w:color w:val="auto"/>
                <w:sz w:val="24"/>
                <w:highlight w:val="none"/>
              </w:rPr>
              <w:t>，</w:t>
            </w:r>
            <w:r>
              <w:rPr>
                <w:rFonts w:hint="eastAsia" w:ascii="宋体" w:hAnsi="宋体" w:cs="宋体"/>
                <w:bCs/>
                <w:color w:val="auto"/>
                <w:sz w:val="24"/>
                <w:highlight w:val="none"/>
              </w:rPr>
              <w:t>投标文件中需提供</w:t>
            </w:r>
            <w:r>
              <w:rPr>
                <w:rFonts w:hint="eastAsia" w:ascii="宋体" w:hAnsi="宋体"/>
                <w:color w:val="auto"/>
                <w:sz w:val="24"/>
                <w:highlight w:val="none"/>
              </w:rPr>
              <w:t>车辆行驶证、机动车登记证书</w:t>
            </w:r>
            <w:r>
              <w:rPr>
                <w:rFonts w:hint="eastAsia" w:ascii="宋体" w:hAnsi="宋体" w:cs="宋体"/>
                <w:bCs/>
                <w:color w:val="auto"/>
                <w:sz w:val="24"/>
                <w:highlight w:val="none"/>
              </w:rPr>
              <w:t>扫描件加盖单位公章）</w:t>
            </w:r>
          </w:p>
        </w:tc>
        <w:tc>
          <w:tcPr>
            <w:tcW w:w="1110"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ind w:left="105" w:leftChars="50" w:right="105" w:rightChars="50"/>
              <w:jc w:val="left"/>
              <w:textAlignment w:val="auto"/>
              <w:rPr>
                <w:color w:val="auto"/>
                <w:sz w:val="24"/>
                <w:highlight w:val="none"/>
              </w:rPr>
            </w:pPr>
            <w:r>
              <w:rPr>
                <w:rFonts w:hint="eastAsia"/>
                <w:color w:val="auto"/>
                <w:sz w:val="24"/>
                <w:highlight w:val="none"/>
              </w:rPr>
              <w:t>0-</w:t>
            </w:r>
            <w:r>
              <w:rPr>
                <w:color w:val="auto"/>
                <w:sz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7" w:hRule="atLeast"/>
        </w:trPr>
        <w:tc>
          <w:tcPr>
            <w:tcW w:w="597"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400" w:lineRule="exact"/>
              <w:ind w:left="105" w:leftChars="50" w:right="105" w:rightChars="50"/>
              <w:jc w:val="left"/>
              <w:textAlignment w:val="auto"/>
              <w:rPr>
                <w:color w:val="auto"/>
                <w:sz w:val="24"/>
                <w:highlight w:val="none"/>
              </w:rPr>
            </w:pPr>
          </w:p>
        </w:tc>
        <w:tc>
          <w:tcPr>
            <w:tcW w:w="1584"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400" w:lineRule="exact"/>
              <w:ind w:left="105" w:leftChars="50" w:right="105" w:rightChars="50"/>
              <w:jc w:val="left"/>
              <w:textAlignment w:val="auto"/>
              <w:rPr>
                <w:bCs/>
                <w:color w:val="auto"/>
                <w:sz w:val="24"/>
                <w:highlight w:val="none"/>
              </w:rPr>
            </w:pPr>
          </w:p>
        </w:tc>
        <w:tc>
          <w:tcPr>
            <w:tcW w:w="5107"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bCs/>
                <w:color w:val="auto"/>
                <w:sz w:val="24"/>
                <w:highlight w:val="none"/>
              </w:rPr>
            </w:pPr>
            <w:r>
              <w:rPr>
                <w:rFonts w:hint="eastAsia" w:hAnsi="宋体" w:cs="宋体"/>
                <w:color w:val="auto"/>
                <w:highlight w:val="none"/>
              </w:rPr>
              <w:t>★</w:t>
            </w:r>
            <w:r>
              <w:rPr>
                <w:rFonts w:hint="eastAsia" w:ascii="宋体" w:hAnsi="宋体" w:cs="宋体"/>
                <w:bCs/>
                <w:color w:val="FF0000"/>
                <w:sz w:val="24"/>
                <w:highlight w:val="none"/>
                <w:lang w:val="en-US" w:eastAsia="zh-CN"/>
              </w:rPr>
              <w:t>投标人</w:t>
            </w:r>
            <w:r>
              <w:rPr>
                <w:rFonts w:hint="eastAsia" w:ascii="宋体" w:hAnsi="宋体" w:cs="宋体"/>
                <w:bCs/>
                <w:color w:val="auto"/>
                <w:sz w:val="24"/>
                <w:highlight w:val="none"/>
              </w:rPr>
              <w:t>自有</w:t>
            </w:r>
            <w:r>
              <w:rPr>
                <w:rFonts w:hint="eastAsia" w:ascii="宋体" w:hAnsi="宋体" w:cs="宋体"/>
                <w:bCs/>
                <w:color w:val="auto"/>
                <w:sz w:val="24"/>
                <w:highlight w:val="yellow"/>
              </w:rPr>
              <w:t>路面养护车</w:t>
            </w:r>
            <w:r>
              <w:rPr>
                <w:rFonts w:hint="eastAsia" w:ascii="宋体" w:hAnsi="宋体" w:cs="宋体"/>
                <w:bCs/>
                <w:color w:val="auto"/>
                <w:sz w:val="24"/>
                <w:highlight w:val="none"/>
              </w:rPr>
              <w:t>2辆得3分，不满足不得分。（</w:t>
            </w:r>
            <w:r>
              <w:rPr>
                <w:rFonts w:ascii="宋体" w:hAnsi="宋体"/>
                <w:color w:val="auto"/>
                <w:sz w:val="24"/>
                <w:highlight w:val="none"/>
              </w:rPr>
              <w:t>注：分公司</w:t>
            </w:r>
            <w:r>
              <w:rPr>
                <w:rFonts w:hint="eastAsia" w:ascii="宋体" w:hAnsi="宋体"/>
                <w:color w:val="auto"/>
                <w:sz w:val="24"/>
                <w:highlight w:val="none"/>
              </w:rPr>
              <w:t>车辆</w:t>
            </w:r>
            <w:r>
              <w:rPr>
                <w:rFonts w:ascii="宋体" w:hAnsi="宋体"/>
                <w:color w:val="auto"/>
                <w:sz w:val="24"/>
                <w:highlight w:val="none"/>
              </w:rPr>
              <w:t>予以认可</w:t>
            </w:r>
            <w:r>
              <w:rPr>
                <w:rFonts w:hint="eastAsia" w:ascii="宋体" w:hAnsi="宋体"/>
                <w:color w:val="auto"/>
                <w:sz w:val="24"/>
                <w:highlight w:val="none"/>
              </w:rPr>
              <w:t>，</w:t>
            </w:r>
            <w:r>
              <w:rPr>
                <w:rFonts w:hint="eastAsia" w:ascii="宋体" w:hAnsi="宋体" w:cs="宋体"/>
                <w:bCs/>
                <w:color w:val="auto"/>
                <w:sz w:val="24"/>
                <w:highlight w:val="none"/>
              </w:rPr>
              <w:t>投标文件中需提供</w:t>
            </w:r>
            <w:r>
              <w:rPr>
                <w:rFonts w:hint="eastAsia" w:ascii="宋体" w:hAnsi="宋体"/>
                <w:color w:val="auto"/>
                <w:sz w:val="24"/>
                <w:highlight w:val="none"/>
              </w:rPr>
              <w:t>车辆行驶证、机动车登记证书</w:t>
            </w:r>
            <w:r>
              <w:rPr>
                <w:rFonts w:hint="eastAsia" w:ascii="宋体" w:hAnsi="宋体" w:cs="宋体"/>
                <w:bCs/>
                <w:color w:val="auto"/>
                <w:sz w:val="24"/>
                <w:highlight w:val="none"/>
              </w:rPr>
              <w:t>扫描件加盖单位公章）</w:t>
            </w:r>
          </w:p>
        </w:tc>
        <w:tc>
          <w:tcPr>
            <w:tcW w:w="1110"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ind w:left="105" w:leftChars="50" w:right="105" w:rightChars="50"/>
              <w:jc w:val="left"/>
              <w:textAlignment w:val="auto"/>
              <w:rPr>
                <w:color w:val="auto"/>
                <w:sz w:val="24"/>
                <w:highlight w:val="none"/>
              </w:rPr>
            </w:pPr>
            <w:r>
              <w:rPr>
                <w:rFonts w:hint="eastAsia"/>
                <w:color w:val="auto"/>
                <w:sz w:val="24"/>
                <w:highlight w:val="none"/>
              </w:rPr>
              <w:t>0-</w:t>
            </w:r>
            <w:r>
              <w:rPr>
                <w:color w:val="auto"/>
                <w:sz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9" w:hRule="atLeast"/>
        </w:trPr>
        <w:tc>
          <w:tcPr>
            <w:tcW w:w="597"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400" w:lineRule="exact"/>
              <w:ind w:left="105" w:leftChars="50" w:right="105" w:rightChars="50"/>
              <w:jc w:val="left"/>
              <w:textAlignment w:val="auto"/>
              <w:rPr>
                <w:color w:val="auto"/>
                <w:sz w:val="24"/>
                <w:highlight w:val="none"/>
              </w:rPr>
            </w:pPr>
          </w:p>
        </w:tc>
        <w:tc>
          <w:tcPr>
            <w:tcW w:w="1584"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400" w:lineRule="exact"/>
              <w:ind w:left="105" w:leftChars="50" w:right="105" w:rightChars="50"/>
              <w:jc w:val="left"/>
              <w:textAlignment w:val="auto"/>
              <w:rPr>
                <w:bCs/>
                <w:color w:val="auto"/>
                <w:sz w:val="24"/>
                <w:highlight w:val="none"/>
              </w:rPr>
            </w:pPr>
          </w:p>
        </w:tc>
        <w:tc>
          <w:tcPr>
            <w:tcW w:w="5107"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bCs/>
                <w:color w:val="auto"/>
                <w:sz w:val="24"/>
                <w:highlight w:val="none"/>
              </w:rPr>
            </w:pPr>
            <w:r>
              <w:rPr>
                <w:rFonts w:hint="eastAsia" w:hAnsi="宋体" w:cs="宋体"/>
                <w:color w:val="auto"/>
                <w:highlight w:val="none"/>
              </w:rPr>
              <w:t>★</w:t>
            </w:r>
            <w:r>
              <w:rPr>
                <w:rFonts w:hint="eastAsia" w:ascii="宋体" w:hAnsi="宋体" w:cs="宋体"/>
                <w:bCs/>
                <w:color w:val="FF0000"/>
                <w:sz w:val="24"/>
                <w:highlight w:val="none"/>
                <w:lang w:val="en-US" w:eastAsia="zh-CN"/>
              </w:rPr>
              <w:t>投标人</w:t>
            </w:r>
            <w:r>
              <w:rPr>
                <w:rFonts w:hint="eastAsia" w:ascii="宋体" w:hAnsi="宋体" w:cs="宋体"/>
                <w:bCs/>
                <w:color w:val="auto"/>
                <w:sz w:val="24"/>
                <w:highlight w:val="none"/>
              </w:rPr>
              <w:t>自有人员短驳车2辆（符合7座小型面包车规格及以上）得2分，不满足不得分。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bCs/>
                <w:color w:val="auto"/>
                <w:sz w:val="24"/>
                <w:highlight w:val="none"/>
              </w:rPr>
            </w:pPr>
            <w:r>
              <w:rPr>
                <w:rFonts w:hint="eastAsia" w:ascii="宋体" w:hAnsi="宋体" w:cs="宋体"/>
                <w:bCs/>
                <w:color w:val="auto"/>
                <w:sz w:val="24"/>
                <w:highlight w:val="none"/>
              </w:rPr>
              <w:t>（</w:t>
            </w:r>
            <w:r>
              <w:rPr>
                <w:rFonts w:ascii="宋体" w:hAnsi="宋体"/>
                <w:color w:val="auto"/>
                <w:sz w:val="24"/>
                <w:highlight w:val="none"/>
              </w:rPr>
              <w:t>注：分公司</w:t>
            </w:r>
            <w:r>
              <w:rPr>
                <w:rFonts w:hint="eastAsia" w:ascii="宋体" w:hAnsi="宋体"/>
                <w:color w:val="auto"/>
                <w:sz w:val="24"/>
                <w:highlight w:val="none"/>
              </w:rPr>
              <w:t>车辆</w:t>
            </w:r>
            <w:r>
              <w:rPr>
                <w:rFonts w:ascii="宋体" w:hAnsi="宋体"/>
                <w:color w:val="auto"/>
                <w:sz w:val="24"/>
                <w:highlight w:val="none"/>
              </w:rPr>
              <w:t>予以认可</w:t>
            </w:r>
            <w:r>
              <w:rPr>
                <w:rFonts w:hint="eastAsia" w:ascii="宋体" w:hAnsi="宋体"/>
                <w:color w:val="auto"/>
                <w:sz w:val="24"/>
                <w:highlight w:val="none"/>
              </w:rPr>
              <w:t>，</w:t>
            </w:r>
            <w:r>
              <w:rPr>
                <w:rFonts w:hint="eastAsia" w:ascii="宋体" w:hAnsi="宋体" w:cs="宋体"/>
                <w:bCs/>
                <w:color w:val="auto"/>
                <w:sz w:val="24"/>
                <w:highlight w:val="none"/>
              </w:rPr>
              <w:t>投标文件中需提供</w:t>
            </w:r>
            <w:r>
              <w:rPr>
                <w:rFonts w:hint="eastAsia" w:ascii="宋体" w:hAnsi="宋体"/>
                <w:color w:val="auto"/>
                <w:sz w:val="24"/>
                <w:highlight w:val="none"/>
              </w:rPr>
              <w:t>车辆行驶证、机动车登记证书</w:t>
            </w:r>
            <w:r>
              <w:rPr>
                <w:rFonts w:hint="eastAsia" w:ascii="宋体" w:hAnsi="宋体" w:cs="宋体"/>
                <w:bCs/>
                <w:color w:val="auto"/>
                <w:sz w:val="24"/>
                <w:highlight w:val="none"/>
              </w:rPr>
              <w:t>扫描件加盖单位公章)</w:t>
            </w:r>
          </w:p>
        </w:tc>
        <w:tc>
          <w:tcPr>
            <w:tcW w:w="1110"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ind w:left="105" w:leftChars="50" w:right="105" w:rightChars="50"/>
              <w:jc w:val="left"/>
              <w:textAlignment w:val="auto"/>
              <w:rPr>
                <w:color w:val="auto"/>
                <w:sz w:val="24"/>
                <w:highlight w:val="none"/>
              </w:rPr>
            </w:pPr>
            <w:r>
              <w:rPr>
                <w:rFonts w:hint="eastAsia"/>
                <w:color w:val="auto"/>
                <w:sz w:val="24"/>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597"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400" w:lineRule="exact"/>
              <w:ind w:left="105" w:leftChars="50" w:right="105" w:rightChars="50"/>
              <w:jc w:val="left"/>
              <w:textAlignment w:val="auto"/>
              <w:rPr>
                <w:color w:val="auto"/>
                <w:sz w:val="24"/>
                <w:highlight w:val="none"/>
              </w:rPr>
            </w:pPr>
          </w:p>
        </w:tc>
        <w:tc>
          <w:tcPr>
            <w:tcW w:w="1584"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400" w:lineRule="exact"/>
              <w:ind w:left="105" w:leftChars="50" w:right="105" w:rightChars="50"/>
              <w:jc w:val="left"/>
              <w:textAlignment w:val="auto"/>
              <w:rPr>
                <w:color w:val="auto"/>
                <w:sz w:val="24"/>
                <w:highlight w:val="none"/>
              </w:rPr>
            </w:pPr>
          </w:p>
        </w:tc>
        <w:tc>
          <w:tcPr>
            <w:tcW w:w="5107"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bCs/>
                <w:color w:val="auto"/>
                <w:sz w:val="24"/>
                <w:highlight w:val="none"/>
              </w:rPr>
            </w:pPr>
            <w:r>
              <w:rPr>
                <w:rFonts w:hint="eastAsia" w:hAnsi="宋体" w:cs="宋体"/>
                <w:color w:val="auto"/>
                <w:highlight w:val="none"/>
              </w:rPr>
              <w:t>★</w:t>
            </w:r>
            <w:r>
              <w:rPr>
                <w:rFonts w:hint="eastAsia" w:ascii="宋体" w:hAnsi="宋体" w:cs="宋体"/>
                <w:bCs/>
                <w:color w:val="auto"/>
                <w:sz w:val="24"/>
                <w:highlight w:val="none"/>
              </w:rPr>
              <w:t>作业电瓶车（配备电瓶车数量 不少于保洁总人数的</w:t>
            </w:r>
            <w:r>
              <w:rPr>
                <w:rFonts w:ascii="宋体" w:hAnsi="宋体" w:cs="宋体"/>
                <w:bCs/>
                <w:color w:val="auto"/>
                <w:sz w:val="24"/>
                <w:highlight w:val="none"/>
              </w:rPr>
              <w:t>6</w:t>
            </w:r>
            <w:r>
              <w:rPr>
                <w:rFonts w:hint="eastAsia" w:ascii="宋体" w:hAnsi="宋体" w:cs="宋体"/>
                <w:bCs/>
                <w:color w:val="auto"/>
                <w:sz w:val="24"/>
                <w:highlight w:val="none"/>
              </w:rPr>
              <w:t>0%）得3分，不满足不得分。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bCs/>
                <w:color w:val="auto"/>
                <w:sz w:val="24"/>
                <w:highlight w:val="none"/>
              </w:rPr>
            </w:pPr>
            <w:r>
              <w:rPr>
                <w:rFonts w:hint="eastAsia" w:ascii="宋体" w:hAnsi="宋体" w:cs="宋体"/>
                <w:bCs/>
                <w:color w:val="auto"/>
                <w:sz w:val="24"/>
                <w:highlight w:val="none"/>
              </w:rPr>
              <w:t>（注：投标文件中需提供</w:t>
            </w:r>
            <w:r>
              <w:rPr>
                <w:rFonts w:hint="eastAsia" w:ascii="宋体" w:hAnsi="宋体"/>
                <w:color w:val="auto"/>
                <w:sz w:val="24"/>
                <w:highlight w:val="none"/>
              </w:rPr>
              <w:t>车辆合格证、购车发票</w:t>
            </w:r>
            <w:r>
              <w:rPr>
                <w:rFonts w:hint="eastAsia" w:ascii="宋体" w:hAnsi="宋体" w:cs="宋体"/>
                <w:bCs/>
                <w:color w:val="auto"/>
                <w:sz w:val="24"/>
                <w:highlight w:val="none"/>
              </w:rPr>
              <w:t>扫描件加盖单位公章)</w:t>
            </w:r>
          </w:p>
        </w:tc>
        <w:tc>
          <w:tcPr>
            <w:tcW w:w="1110"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ind w:left="105" w:leftChars="50" w:right="105" w:rightChars="50"/>
              <w:jc w:val="left"/>
              <w:textAlignment w:val="auto"/>
              <w:rPr>
                <w:color w:val="auto"/>
                <w:sz w:val="24"/>
                <w:highlight w:val="none"/>
              </w:rPr>
            </w:pPr>
            <w:r>
              <w:rPr>
                <w:rFonts w:hint="eastAsia"/>
                <w:color w:val="auto"/>
                <w:sz w:val="24"/>
                <w:highlight w:val="none"/>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597"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ind w:left="-29"/>
              <w:jc w:val="center"/>
              <w:textAlignment w:val="auto"/>
              <w:rPr>
                <w:rFonts w:ascii="仿宋" w:hAnsi="仿宋" w:eastAsia="仿宋"/>
                <w:color w:val="auto"/>
                <w:sz w:val="24"/>
                <w:highlight w:val="none"/>
              </w:rPr>
            </w:pPr>
            <w:r>
              <w:rPr>
                <w:rFonts w:hint="eastAsia" w:ascii="仿宋" w:hAnsi="仿宋" w:eastAsia="仿宋"/>
                <w:color w:val="auto"/>
                <w:sz w:val="24"/>
                <w:highlight w:val="none"/>
              </w:rPr>
              <w:t>3</w:t>
            </w:r>
          </w:p>
        </w:tc>
        <w:tc>
          <w:tcPr>
            <w:tcW w:w="1584"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ind w:left="-29"/>
              <w:jc w:val="left"/>
              <w:textAlignment w:val="auto"/>
              <w:rPr>
                <w:rFonts w:ascii="宋体"/>
                <w:bCs/>
                <w:color w:val="auto"/>
                <w:sz w:val="24"/>
                <w:highlight w:val="none"/>
              </w:rPr>
            </w:pPr>
            <w:r>
              <w:rPr>
                <w:rFonts w:hint="eastAsia" w:ascii="宋体"/>
                <w:bCs/>
                <w:color w:val="auto"/>
                <w:sz w:val="24"/>
                <w:highlight w:val="none"/>
              </w:rPr>
              <w:t>绿化带保洁方案</w:t>
            </w:r>
          </w:p>
        </w:tc>
        <w:tc>
          <w:tcPr>
            <w:tcW w:w="5107"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left"/>
              <w:textAlignment w:val="auto"/>
              <w:rPr>
                <w:rFonts w:ascii="宋体" w:hAnsi="宋体"/>
                <w:color w:val="auto"/>
                <w:sz w:val="24"/>
                <w:highlight w:val="none"/>
              </w:rPr>
            </w:pPr>
            <w:r>
              <w:rPr>
                <w:rFonts w:hint="eastAsia" w:ascii="宋体" w:hAnsi="宋体" w:cs="宋体"/>
                <w:bCs/>
                <w:color w:val="auto"/>
                <w:sz w:val="24"/>
                <w:highlight w:val="none"/>
              </w:rPr>
              <w:t>根据投标人提供的绿化带保洁作业方案的针对性、合理性是否符合本项目的实际情况、保洁时段、保洁方式等方案进行综合打分。</w:t>
            </w:r>
            <w:r>
              <w:rPr>
                <w:rFonts w:hint="eastAsia" w:ascii="宋体" w:hAnsi="宋体" w:cs="宋体"/>
                <w:bCs/>
                <w:color w:val="FF0000"/>
                <w:sz w:val="24"/>
                <w:highlight w:val="none"/>
              </w:rPr>
              <w:t>（优：5-6、良：3-4</w:t>
            </w:r>
            <w:r>
              <w:rPr>
                <w:rFonts w:hint="eastAsia" w:ascii="宋体" w:hAnsi="宋体" w:cs="宋体"/>
                <w:bCs/>
                <w:color w:val="FF0000"/>
                <w:sz w:val="24"/>
                <w:highlight w:val="none"/>
                <w:lang w:val="en-US" w:eastAsia="zh-CN"/>
              </w:rPr>
              <w:t>.9</w:t>
            </w:r>
            <w:r>
              <w:rPr>
                <w:rFonts w:hint="eastAsia" w:ascii="宋体" w:hAnsi="宋体" w:cs="宋体"/>
                <w:bCs/>
                <w:color w:val="FF0000"/>
                <w:sz w:val="24"/>
                <w:highlight w:val="none"/>
              </w:rPr>
              <w:t>、一般：</w:t>
            </w:r>
            <w:r>
              <w:rPr>
                <w:rFonts w:hint="eastAsia" w:ascii="宋体" w:hAnsi="宋体" w:cs="宋体"/>
                <w:bCs/>
                <w:color w:val="FF0000"/>
                <w:sz w:val="24"/>
                <w:highlight w:val="none"/>
                <w:lang w:val="en-US" w:eastAsia="zh-CN"/>
              </w:rPr>
              <w:t>0</w:t>
            </w:r>
            <w:r>
              <w:rPr>
                <w:rFonts w:hint="eastAsia" w:ascii="宋体" w:hAnsi="宋体" w:cs="宋体"/>
                <w:bCs/>
                <w:color w:val="FF0000"/>
                <w:sz w:val="24"/>
                <w:highlight w:val="none"/>
              </w:rPr>
              <w:t>-2</w:t>
            </w:r>
            <w:r>
              <w:rPr>
                <w:rFonts w:hint="eastAsia" w:ascii="宋体" w:hAnsi="宋体" w:cs="宋体"/>
                <w:bCs/>
                <w:color w:val="FF0000"/>
                <w:sz w:val="24"/>
                <w:highlight w:val="none"/>
                <w:lang w:val="en-US" w:eastAsia="zh-CN"/>
              </w:rPr>
              <w:t>.9</w:t>
            </w:r>
            <w:r>
              <w:rPr>
                <w:rFonts w:hint="eastAsia" w:ascii="宋体" w:hAnsi="宋体" w:cs="宋体"/>
                <w:bCs/>
                <w:color w:val="FF0000"/>
                <w:sz w:val="24"/>
                <w:highlight w:val="none"/>
              </w:rPr>
              <w:t>、未提供不得分）</w:t>
            </w:r>
          </w:p>
        </w:tc>
        <w:tc>
          <w:tcPr>
            <w:tcW w:w="1110"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ind w:left="105" w:leftChars="50" w:right="105" w:rightChars="50"/>
              <w:jc w:val="left"/>
              <w:textAlignment w:val="auto"/>
              <w:rPr>
                <w:rFonts w:ascii="宋体" w:hAnsi="宋体"/>
                <w:color w:val="auto"/>
                <w:sz w:val="24"/>
                <w:highlight w:val="none"/>
              </w:rPr>
            </w:pPr>
            <w:r>
              <w:rPr>
                <w:rFonts w:hint="eastAsia" w:ascii="宋体" w:hAnsi="宋体"/>
                <w:color w:val="auto"/>
                <w:sz w:val="24"/>
                <w:highlight w:val="none"/>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597"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ind w:left="-29"/>
              <w:jc w:val="center"/>
              <w:textAlignment w:val="auto"/>
              <w:rPr>
                <w:rFonts w:ascii="仿宋" w:hAnsi="仿宋" w:eastAsia="仿宋"/>
                <w:color w:val="auto"/>
                <w:sz w:val="24"/>
                <w:highlight w:val="none"/>
              </w:rPr>
            </w:pPr>
            <w:r>
              <w:rPr>
                <w:rFonts w:hint="eastAsia" w:ascii="仿宋" w:hAnsi="仿宋" w:eastAsia="仿宋"/>
                <w:color w:val="auto"/>
                <w:sz w:val="24"/>
                <w:highlight w:val="none"/>
              </w:rPr>
              <w:t>4</w:t>
            </w:r>
          </w:p>
        </w:tc>
        <w:tc>
          <w:tcPr>
            <w:tcW w:w="1584"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ind w:left="-29"/>
              <w:jc w:val="left"/>
              <w:textAlignment w:val="auto"/>
              <w:rPr>
                <w:rFonts w:ascii="宋体"/>
                <w:bCs/>
                <w:color w:val="auto"/>
                <w:sz w:val="24"/>
                <w:highlight w:val="none"/>
              </w:rPr>
            </w:pPr>
            <w:r>
              <w:rPr>
                <w:rFonts w:hint="eastAsia" w:ascii="宋体"/>
                <w:bCs/>
                <w:color w:val="auto"/>
                <w:sz w:val="24"/>
                <w:highlight w:val="none"/>
              </w:rPr>
              <w:t>道路保洁方案</w:t>
            </w:r>
          </w:p>
        </w:tc>
        <w:tc>
          <w:tcPr>
            <w:tcW w:w="5107"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left"/>
              <w:textAlignment w:val="auto"/>
              <w:rPr>
                <w:rFonts w:ascii="宋体" w:hAnsi="宋体"/>
                <w:color w:val="auto"/>
                <w:sz w:val="24"/>
                <w:highlight w:val="none"/>
              </w:rPr>
            </w:pPr>
            <w:r>
              <w:rPr>
                <w:rFonts w:hint="eastAsia"/>
                <w:color w:val="auto"/>
                <w:sz w:val="24"/>
                <w:highlight w:val="none"/>
              </w:rPr>
              <w:t>根据投标人提供的</w:t>
            </w:r>
            <w:r>
              <w:rPr>
                <w:rFonts w:hint="eastAsia" w:ascii="宋体" w:hAnsi="宋体"/>
                <w:color w:val="auto"/>
                <w:sz w:val="24"/>
                <w:highlight w:val="none"/>
              </w:rPr>
              <w:t>道路保洁作业方案是否符合本项目的实际情况，保洁时段、保洁方式等实际情况进行综合打分。</w:t>
            </w:r>
            <w:r>
              <w:rPr>
                <w:rFonts w:hint="eastAsia" w:ascii="宋体" w:hAnsi="宋体"/>
                <w:color w:val="FF0000"/>
                <w:sz w:val="24"/>
                <w:highlight w:val="none"/>
              </w:rPr>
              <w:t>（优：5-6、良：3-4</w:t>
            </w:r>
            <w:r>
              <w:rPr>
                <w:rFonts w:hint="eastAsia" w:ascii="宋体" w:hAnsi="宋体"/>
                <w:color w:val="FF0000"/>
                <w:sz w:val="24"/>
                <w:highlight w:val="none"/>
                <w:lang w:val="en-US" w:eastAsia="zh-CN"/>
              </w:rPr>
              <w:t>.9</w:t>
            </w:r>
            <w:r>
              <w:rPr>
                <w:rFonts w:hint="eastAsia" w:ascii="宋体" w:hAnsi="宋体"/>
                <w:color w:val="FF0000"/>
                <w:sz w:val="24"/>
                <w:highlight w:val="none"/>
              </w:rPr>
              <w:t>、一般：</w:t>
            </w:r>
            <w:r>
              <w:rPr>
                <w:rFonts w:hint="eastAsia" w:ascii="宋体" w:hAnsi="宋体"/>
                <w:color w:val="FF0000"/>
                <w:sz w:val="24"/>
                <w:highlight w:val="none"/>
                <w:lang w:val="en-US" w:eastAsia="zh-CN"/>
              </w:rPr>
              <w:t>0</w:t>
            </w:r>
            <w:r>
              <w:rPr>
                <w:rFonts w:hint="eastAsia" w:ascii="宋体" w:hAnsi="宋体"/>
                <w:color w:val="FF0000"/>
                <w:sz w:val="24"/>
                <w:highlight w:val="none"/>
              </w:rPr>
              <w:t>-2</w:t>
            </w:r>
            <w:r>
              <w:rPr>
                <w:rFonts w:hint="eastAsia" w:ascii="宋体" w:hAnsi="宋体"/>
                <w:color w:val="FF0000"/>
                <w:sz w:val="24"/>
                <w:highlight w:val="none"/>
                <w:lang w:val="en-US" w:eastAsia="zh-CN"/>
              </w:rPr>
              <w:t>.9</w:t>
            </w:r>
            <w:r>
              <w:rPr>
                <w:rFonts w:hint="eastAsia" w:ascii="宋体" w:hAnsi="宋体"/>
                <w:color w:val="FF0000"/>
                <w:sz w:val="24"/>
                <w:highlight w:val="none"/>
              </w:rPr>
              <w:t>、</w:t>
            </w:r>
            <w:r>
              <w:rPr>
                <w:rFonts w:hint="eastAsia" w:ascii="宋体" w:hAnsi="宋体" w:cs="宋体"/>
                <w:bCs/>
                <w:color w:val="FF0000"/>
                <w:sz w:val="24"/>
                <w:highlight w:val="none"/>
              </w:rPr>
              <w:t>未提供不得分</w:t>
            </w:r>
            <w:r>
              <w:rPr>
                <w:rFonts w:hint="eastAsia" w:ascii="宋体" w:hAnsi="宋体"/>
                <w:color w:val="FF0000"/>
                <w:sz w:val="24"/>
                <w:highlight w:val="none"/>
              </w:rPr>
              <w:t>）</w:t>
            </w:r>
          </w:p>
        </w:tc>
        <w:tc>
          <w:tcPr>
            <w:tcW w:w="1110"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ind w:left="105" w:leftChars="50" w:right="105" w:rightChars="50"/>
              <w:jc w:val="left"/>
              <w:textAlignment w:val="auto"/>
              <w:rPr>
                <w:rFonts w:ascii="宋体" w:hAnsi="宋体"/>
                <w:color w:val="auto"/>
                <w:sz w:val="24"/>
                <w:highlight w:val="none"/>
              </w:rPr>
            </w:pPr>
            <w:r>
              <w:rPr>
                <w:rFonts w:hint="eastAsia" w:ascii="宋体" w:hAnsi="宋体"/>
                <w:color w:val="auto"/>
                <w:sz w:val="24"/>
                <w:highlight w:val="none"/>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7" w:hRule="atLeast"/>
        </w:trPr>
        <w:tc>
          <w:tcPr>
            <w:tcW w:w="597"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ind w:left="-29"/>
              <w:jc w:val="center"/>
              <w:textAlignment w:val="auto"/>
              <w:rPr>
                <w:rFonts w:ascii="仿宋" w:hAnsi="仿宋" w:eastAsia="仿宋"/>
                <w:color w:val="auto"/>
                <w:sz w:val="24"/>
                <w:highlight w:val="none"/>
              </w:rPr>
            </w:pPr>
            <w:r>
              <w:rPr>
                <w:rFonts w:hint="eastAsia" w:ascii="仿宋" w:hAnsi="仿宋" w:eastAsia="仿宋"/>
                <w:color w:val="auto"/>
                <w:sz w:val="24"/>
                <w:highlight w:val="none"/>
              </w:rPr>
              <w:t>5</w:t>
            </w:r>
          </w:p>
        </w:tc>
        <w:tc>
          <w:tcPr>
            <w:tcW w:w="1584"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ind w:left="-29"/>
              <w:jc w:val="left"/>
              <w:textAlignment w:val="auto"/>
              <w:rPr>
                <w:rFonts w:ascii="宋体"/>
                <w:bCs/>
                <w:color w:val="auto"/>
                <w:sz w:val="24"/>
                <w:highlight w:val="none"/>
              </w:rPr>
            </w:pPr>
            <w:r>
              <w:rPr>
                <w:rFonts w:hint="eastAsia" w:ascii="宋体"/>
                <w:bCs/>
                <w:color w:val="auto"/>
                <w:sz w:val="24"/>
                <w:highlight w:val="none"/>
              </w:rPr>
              <w:t>特殊时期应急保障方案</w:t>
            </w:r>
          </w:p>
        </w:tc>
        <w:tc>
          <w:tcPr>
            <w:tcW w:w="5107"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left"/>
              <w:textAlignment w:val="auto"/>
              <w:rPr>
                <w:rFonts w:ascii="宋体" w:hAnsi="宋体"/>
                <w:color w:val="auto"/>
                <w:sz w:val="24"/>
                <w:highlight w:val="none"/>
              </w:rPr>
            </w:pPr>
            <w:r>
              <w:rPr>
                <w:rFonts w:hint="eastAsia" w:ascii="宋体" w:hAnsi="宋体"/>
                <w:color w:val="auto"/>
                <w:sz w:val="24"/>
                <w:highlight w:val="none"/>
              </w:rPr>
              <w:t>根据</w:t>
            </w:r>
            <w:r>
              <w:rPr>
                <w:rFonts w:hint="eastAsia"/>
                <w:color w:val="auto"/>
                <w:sz w:val="24"/>
                <w:highlight w:val="none"/>
              </w:rPr>
              <w:t>投标人提供的</w:t>
            </w:r>
            <w:r>
              <w:rPr>
                <w:rFonts w:hint="eastAsia" w:ascii="宋体" w:hAnsi="宋体"/>
                <w:color w:val="auto"/>
                <w:sz w:val="24"/>
                <w:highlight w:val="none"/>
              </w:rPr>
              <w:t>应急保障方案是否符合本项目实际情况，如突发情况下的人员安排、恶劣天气应急预案、重大节假日活动保障措施等进行综合打分。</w:t>
            </w:r>
            <w:r>
              <w:rPr>
                <w:rFonts w:hint="eastAsia" w:ascii="宋体" w:hAnsi="宋体"/>
                <w:color w:val="FF0000"/>
                <w:sz w:val="24"/>
                <w:highlight w:val="none"/>
              </w:rPr>
              <w:t>（优：5-6、良：3-4</w:t>
            </w:r>
            <w:r>
              <w:rPr>
                <w:rFonts w:hint="eastAsia" w:ascii="宋体" w:hAnsi="宋体"/>
                <w:color w:val="FF0000"/>
                <w:sz w:val="24"/>
                <w:highlight w:val="none"/>
                <w:lang w:val="en-US" w:eastAsia="zh-CN"/>
              </w:rPr>
              <w:t>.9</w:t>
            </w:r>
            <w:r>
              <w:rPr>
                <w:rFonts w:hint="eastAsia" w:ascii="宋体" w:hAnsi="宋体"/>
                <w:color w:val="FF0000"/>
                <w:sz w:val="24"/>
                <w:highlight w:val="none"/>
              </w:rPr>
              <w:t>、一般：</w:t>
            </w:r>
            <w:r>
              <w:rPr>
                <w:rFonts w:hint="eastAsia" w:ascii="宋体" w:hAnsi="宋体"/>
                <w:color w:val="FF0000"/>
                <w:sz w:val="24"/>
                <w:highlight w:val="none"/>
                <w:lang w:val="en-US" w:eastAsia="zh-CN"/>
              </w:rPr>
              <w:t>0</w:t>
            </w:r>
            <w:r>
              <w:rPr>
                <w:rFonts w:hint="eastAsia" w:ascii="宋体" w:hAnsi="宋体"/>
                <w:color w:val="FF0000"/>
                <w:sz w:val="24"/>
                <w:highlight w:val="none"/>
              </w:rPr>
              <w:t>-2</w:t>
            </w:r>
            <w:r>
              <w:rPr>
                <w:rFonts w:hint="eastAsia" w:ascii="宋体" w:hAnsi="宋体"/>
                <w:color w:val="FF0000"/>
                <w:sz w:val="24"/>
                <w:highlight w:val="none"/>
                <w:lang w:val="en-US" w:eastAsia="zh-CN"/>
              </w:rPr>
              <w:t>.9</w:t>
            </w:r>
            <w:r>
              <w:rPr>
                <w:rFonts w:hint="eastAsia" w:ascii="宋体" w:hAnsi="宋体"/>
                <w:color w:val="FF0000"/>
                <w:sz w:val="24"/>
                <w:highlight w:val="none"/>
              </w:rPr>
              <w:t>、</w:t>
            </w:r>
            <w:r>
              <w:rPr>
                <w:rFonts w:hint="eastAsia" w:ascii="宋体" w:hAnsi="宋体" w:cs="宋体"/>
                <w:bCs/>
                <w:color w:val="FF0000"/>
                <w:sz w:val="24"/>
                <w:highlight w:val="none"/>
              </w:rPr>
              <w:t>未提供不得分</w:t>
            </w:r>
            <w:r>
              <w:rPr>
                <w:rFonts w:hint="eastAsia" w:ascii="宋体" w:hAnsi="宋体"/>
                <w:color w:val="FF0000"/>
                <w:sz w:val="24"/>
                <w:highlight w:val="none"/>
              </w:rPr>
              <w:t>）</w:t>
            </w:r>
          </w:p>
        </w:tc>
        <w:tc>
          <w:tcPr>
            <w:tcW w:w="1110"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ind w:left="105" w:leftChars="50" w:right="105" w:rightChars="50"/>
              <w:jc w:val="left"/>
              <w:textAlignment w:val="auto"/>
              <w:rPr>
                <w:rFonts w:ascii="宋体" w:hAnsi="宋体"/>
                <w:color w:val="auto"/>
                <w:sz w:val="24"/>
                <w:highlight w:val="none"/>
              </w:rPr>
            </w:pPr>
            <w:r>
              <w:rPr>
                <w:rFonts w:hint="eastAsia" w:ascii="宋体" w:hAnsi="宋体"/>
                <w:color w:val="auto"/>
                <w:sz w:val="24"/>
                <w:highlight w:val="none"/>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597"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ind w:left="-29"/>
              <w:jc w:val="center"/>
              <w:textAlignment w:val="auto"/>
              <w:rPr>
                <w:rFonts w:ascii="仿宋" w:hAnsi="仿宋" w:eastAsia="仿宋"/>
                <w:color w:val="auto"/>
                <w:sz w:val="24"/>
                <w:highlight w:val="none"/>
              </w:rPr>
            </w:pPr>
            <w:r>
              <w:rPr>
                <w:rFonts w:hint="eastAsia" w:ascii="仿宋" w:hAnsi="仿宋" w:eastAsia="仿宋"/>
                <w:color w:val="auto"/>
                <w:sz w:val="24"/>
                <w:highlight w:val="none"/>
              </w:rPr>
              <w:t>6</w:t>
            </w:r>
          </w:p>
        </w:tc>
        <w:tc>
          <w:tcPr>
            <w:tcW w:w="1584"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ind w:left="-29"/>
              <w:jc w:val="left"/>
              <w:textAlignment w:val="auto"/>
              <w:rPr>
                <w:rFonts w:ascii="宋体"/>
                <w:bCs/>
                <w:color w:val="auto"/>
                <w:sz w:val="24"/>
                <w:highlight w:val="none"/>
              </w:rPr>
            </w:pPr>
            <w:r>
              <w:rPr>
                <w:rFonts w:hint="eastAsia" w:ascii="宋体"/>
                <w:bCs/>
                <w:color w:val="auto"/>
                <w:sz w:val="24"/>
                <w:highlight w:val="none"/>
              </w:rPr>
              <w:t>安全措施及安全教育方案</w:t>
            </w:r>
          </w:p>
        </w:tc>
        <w:tc>
          <w:tcPr>
            <w:tcW w:w="5107"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left"/>
              <w:textAlignment w:val="auto"/>
              <w:rPr>
                <w:rFonts w:ascii="宋体" w:hAnsi="宋体"/>
                <w:color w:val="auto"/>
                <w:sz w:val="24"/>
                <w:highlight w:val="none"/>
              </w:rPr>
            </w:pPr>
            <w:r>
              <w:rPr>
                <w:rFonts w:hint="eastAsia" w:ascii="宋体" w:hAnsi="宋体"/>
                <w:color w:val="auto"/>
                <w:sz w:val="24"/>
                <w:highlight w:val="none"/>
              </w:rPr>
              <w:t>根据</w:t>
            </w:r>
            <w:r>
              <w:rPr>
                <w:rFonts w:hint="eastAsia"/>
                <w:color w:val="auto"/>
                <w:sz w:val="24"/>
                <w:highlight w:val="none"/>
              </w:rPr>
              <w:t>投标人提供的</w:t>
            </w:r>
            <w:r>
              <w:rPr>
                <w:rFonts w:hint="eastAsia" w:ascii="宋体" w:hAnsi="宋体"/>
                <w:color w:val="auto"/>
                <w:sz w:val="24"/>
                <w:highlight w:val="none"/>
              </w:rPr>
              <w:t>安全措施及安全教育方案。安全措施方案是否可行、具有前瞻性，安全教育方案是否完整、细致等进行综合打分。</w:t>
            </w:r>
            <w:r>
              <w:rPr>
                <w:rFonts w:hint="eastAsia" w:ascii="宋体" w:hAnsi="宋体"/>
                <w:color w:val="FF0000"/>
                <w:sz w:val="24"/>
                <w:highlight w:val="none"/>
              </w:rPr>
              <w:t>（优：5-6、良：3-4</w:t>
            </w:r>
            <w:r>
              <w:rPr>
                <w:rFonts w:hint="eastAsia" w:ascii="宋体" w:hAnsi="宋体"/>
                <w:color w:val="FF0000"/>
                <w:sz w:val="24"/>
                <w:highlight w:val="none"/>
                <w:lang w:val="en-US" w:eastAsia="zh-CN"/>
              </w:rPr>
              <w:t>.9</w:t>
            </w:r>
            <w:r>
              <w:rPr>
                <w:rFonts w:hint="eastAsia" w:ascii="宋体" w:hAnsi="宋体"/>
                <w:color w:val="FF0000"/>
                <w:sz w:val="24"/>
                <w:highlight w:val="none"/>
              </w:rPr>
              <w:t>、一般：</w:t>
            </w:r>
            <w:r>
              <w:rPr>
                <w:rFonts w:hint="eastAsia" w:ascii="宋体" w:hAnsi="宋体"/>
                <w:color w:val="FF0000"/>
                <w:sz w:val="24"/>
                <w:highlight w:val="none"/>
                <w:lang w:val="en-US" w:eastAsia="zh-CN"/>
              </w:rPr>
              <w:t>0</w:t>
            </w:r>
            <w:r>
              <w:rPr>
                <w:rFonts w:hint="eastAsia" w:ascii="宋体" w:hAnsi="宋体"/>
                <w:color w:val="FF0000"/>
                <w:sz w:val="24"/>
                <w:highlight w:val="none"/>
              </w:rPr>
              <w:t>-2</w:t>
            </w:r>
            <w:r>
              <w:rPr>
                <w:rFonts w:hint="eastAsia" w:ascii="宋体" w:hAnsi="宋体"/>
                <w:color w:val="FF0000"/>
                <w:sz w:val="24"/>
                <w:highlight w:val="none"/>
                <w:lang w:val="en-US" w:eastAsia="zh-CN"/>
              </w:rPr>
              <w:t>.9</w:t>
            </w:r>
            <w:r>
              <w:rPr>
                <w:rFonts w:hint="eastAsia" w:ascii="宋体" w:hAnsi="宋体"/>
                <w:color w:val="FF0000"/>
                <w:sz w:val="24"/>
                <w:highlight w:val="none"/>
              </w:rPr>
              <w:t>、</w:t>
            </w:r>
            <w:r>
              <w:rPr>
                <w:rFonts w:hint="eastAsia" w:ascii="宋体" w:hAnsi="宋体" w:cs="宋体"/>
                <w:bCs/>
                <w:color w:val="FF0000"/>
                <w:sz w:val="24"/>
                <w:highlight w:val="none"/>
              </w:rPr>
              <w:t>未提供不得分</w:t>
            </w:r>
            <w:r>
              <w:rPr>
                <w:rFonts w:hint="eastAsia" w:ascii="宋体" w:hAnsi="宋体"/>
                <w:color w:val="FF0000"/>
                <w:sz w:val="24"/>
                <w:highlight w:val="none"/>
              </w:rPr>
              <w:t>）</w:t>
            </w:r>
          </w:p>
        </w:tc>
        <w:tc>
          <w:tcPr>
            <w:tcW w:w="1110"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ind w:left="105" w:leftChars="50" w:right="105" w:rightChars="50"/>
              <w:jc w:val="left"/>
              <w:textAlignment w:val="auto"/>
              <w:rPr>
                <w:rFonts w:ascii="宋体" w:hAnsi="宋体"/>
                <w:color w:val="auto"/>
                <w:sz w:val="24"/>
                <w:highlight w:val="none"/>
              </w:rPr>
            </w:pPr>
            <w:r>
              <w:rPr>
                <w:rFonts w:hint="eastAsia" w:ascii="宋体" w:hAnsi="宋体"/>
                <w:color w:val="auto"/>
                <w:sz w:val="24"/>
                <w:highlight w:val="none"/>
              </w:rPr>
              <w:t>0-6</w:t>
            </w:r>
          </w:p>
        </w:tc>
      </w:tr>
    </w:tbl>
    <w:p>
      <w:pPr>
        <w:numPr>
          <w:ilvl w:val="0"/>
          <w:numId w:val="0"/>
        </w:numPr>
        <w:rPr>
          <w:rFonts w:ascii="宋体" w:hAnsi="宋体" w:cs="宋体"/>
          <w:color w:val="auto"/>
          <w:sz w:val="24"/>
          <w:highlight w:val="none"/>
        </w:rPr>
      </w:pPr>
    </w:p>
    <w:p>
      <w:pPr>
        <w:numPr>
          <w:ilvl w:val="0"/>
          <w:numId w:val="37"/>
        </w:numPr>
        <w:rPr>
          <w:rFonts w:ascii="宋体" w:hAnsi="宋体" w:cs="宋体"/>
          <w:color w:val="auto"/>
          <w:sz w:val="24"/>
          <w:highlight w:val="none"/>
        </w:rPr>
      </w:pPr>
      <w:r>
        <w:rPr>
          <w:rFonts w:hint="eastAsia" w:ascii="宋体" w:hAnsi="宋体" w:cs="宋体"/>
          <w:b/>
          <w:bCs/>
          <w:color w:val="auto"/>
          <w:sz w:val="24"/>
          <w:highlight w:val="none"/>
        </w:rPr>
        <w:t>资信评分表（10分）</w:t>
      </w:r>
    </w:p>
    <w:tbl>
      <w:tblPr>
        <w:tblStyle w:val="30"/>
        <w:tblW w:w="8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483"/>
        <w:gridCol w:w="513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82" w:type="dxa"/>
            <w:noWrap/>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b/>
                <w:color w:val="auto"/>
                <w:sz w:val="24"/>
                <w:highlight w:val="none"/>
              </w:rPr>
            </w:pPr>
            <w:r>
              <w:rPr>
                <w:rFonts w:hint="eastAsia" w:ascii="宋体" w:hAnsi="宋体"/>
                <w:b/>
                <w:color w:val="auto"/>
                <w:sz w:val="24"/>
                <w:highlight w:val="none"/>
              </w:rPr>
              <w:t>序号</w:t>
            </w:r>
          </w:p>
        </w:tc>
        <w:tc>
          <w:tcPr>
            <w:tcW w:w="6622" w:type="dxa"/>
            <w:gridSpan w:val="2"/>
            <w:noWrap/>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b/>
                <w:color w:val="auto"/>
                <w:sz w:val="24"/>
                <w:highlight w:val="none"/>
              </w:rPr>
            </w:pPr>
            <w:r>
              <w:rPr>
                <w:rFonts w:hint="eastAsia" w:ascii="宋体" w:hAnsi="宋体"/>
                <w:b/>
                <w:bCs/>
                <w:color w:val="auto"/>
                <w:sz w:val="24"/>
                <w:highlight w:val="none"/>
              </w:rPr>
              <w:t>项</w:t>
            </w:r>
            <w:r>
              <w:rPr>
                <w:rFonts w:hint="eastAsia" w:ascii="宋体" w:hAnsi="宋体"/>
                <w:b/>
                <w:color w:val="auto"/>
                <w:sz w:val="24"/>
                <w:highlight w:val="none"/>
              </w:rPr>
              <w:t xml:space="preserve"> </w:t>
            </w:r>
            <w:r>
              <w:rPr>
                <w:rFonts w:hint="eastAsia" w:ascii="宋体" w:hAnsi="宋体"/>
                <w:b/>
                <w:bCs/>
                <w:color w:val="auto"/>
                <w:sz w:val="24"/>
                <w:highlight w:val="none"/>
              </w:rPr>
              <w:t xml:space="preserve">        目</w:t>
            </w:r>
          </w:p>
        </w:tc>
        <w:tc>
          <w:tcPr>
            <w:tcW w:w="1134" w:type="dxa"/>
            <w:noWrap/>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b/>
                <w:color w:val="auto"/>
                <w:sz w:val="24"/>
                <w:highlight w:val="none"/>
              </w:rPr>
            </w:pPr>
            <w:r>
              <w:rPr>
                <w:rFonts w:hint="eastAsia" w:ascii="宋体" w:hAnsi="宋体"/>
                <w:b/>
                <w:color w:val="auto"/>
                <w:sz w:val="24"/>
                <w:highlight w:val="none"/>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trPr>
        <w:tc>
          <w:tcPr>
            <w:tcW w:w="682" w:type="dxa"/>
            <w:noWrap/>
            <w:vAlign w:val="center"/>
          </w:tcPr>
          <w:p>
            <w:pPr>
              <w:keepNext w:val="0"/>
              <w:keepLines w:val="0"/>
              <w:pageBreakBefore w:val="0"/>
              <w:widowControl w:val="0"/>
              <w:kinsoku/>
              <w:wordWrap/>
              <w:overflowPunct/>
              <w:topLinePunct w:val="0"/>
              <w:autoSpaceDE/>
              <w:autoSpaceDN/>
              <w:bidi w:val="0"/>
              <w:adjustRightInd/>
              <w:spacing w:line="400" w:lineRule="exact"/>
              <w:ind w:left="105" w:leftChars="50" w:right="105" w:rightChars="50"/>
              <w:jc w:val="left"/>
              <w:textAlignment w:val="auto"/>
              <w:rPr>
                <w:rFonts w:ascii="宋体" w:hAnsi="宋体"/>
                <w:color w:val="auto"/>
                <w:sz w:val="24"/>
                <w:highlight w:val="none"/>
              </w:rPr>
            </w:pPr>
            <w:r>
              <w:rPr>
                <w:rFonts w:hint="eastAsia" w:ascii="宋体" w:hAnsi="宋体"/>
                <w:color w:val="auto"/>
                <w:sz w:val="24"/>
                <w:highlight w:val="none"/>
              </w:rPr>
              <w:t>1</w:t>
            </w:r>
          </w:p>
        </w:tc>
        <w:tc>
          <w:tcPr>
            <w:tcW w:w="1483" w:type="dxa"/>
            <w:noWrap/>
            <w:vAlign w:val="center"/>
          </w:tcPr>
          <w:p>
            <w:pPr>
              <w:keepNext w:val="0"/>
              <w:keepLines w:val="0"/>
              <w:pageBreakBefore w:val="0"/>
              <w:widowControl w:val="0"/>
              <w:kinsoku/>
              <w:wordWrap/>
              <w:overflowPunct/>
              <w:topLinePunct w:val="0"/>
              <w:autoSpaceDE/>
              <w:autoSpaceDN/>
              <w:bidi w:val="0"/>
              <w:adjustRightInd/>
              <w:spacing w:line="400" w:lineRule="exact"/>
              <w:ind w:right="105" w:rightChars="50"/>
              <w:jc w:val="left"/>
              <w:textAlignment w:val="auto"/>
              <w:rPr>
                <w:rFonts w:ascii="宋体" w:hAnsi="宋体"/>
                <w:color w:val="auto"/>
                <w:sz w:val="24"/>
                <w:highlight w:val="none"/>
              </w:rPr>
            </w:pPr>
            <w:r>
              <w:rPr>
                <w:rFonts w:hint="eastAsia" w:ascii="宋体" w:hAnsi="宋体"/>
                <w:color w:val="auto"/>
                <w:sz w:val="24"/>
                <w:highlight w:val="none"/>
              </w:rPr>
              <w:t>企业业绩</w:t>
            </w:r>
          </w:p>
        </w:tc>
        <w:tc>
          <w:tcPr>
            <w:tcW w:w="5139" w:type="dxa"/>
            <w:noWrap/>
            <w:vAlign w:val="center"/>
          </w:tcPr>
          <w:p>
            <w:pPr>
              <w:keepNext w:val="0"/>
              <w:keepLines w:val="0"/>
              <w:pageBreakBefore w:val="0"/>
              <w:widowControl w:val="0"/>
              <w:kinsoku/>
              <w:wordWrap/>
              <w:overflowPunct/>
              <w:topLinePunct w:val="0"/>
              <w:autoSpaceDE/>
              <w:autoSpaceDN/>
              <w:bidi w:val="0"/>
              <w:adjustRightInd/>
              <w:spacing w:line="400" w:lineRule="exact"/>
              <w:ind w:right="105" w:rightChars="50"/>
              <w:jc w:val="left"/>
              <w:textAlignment w:val="auto"/>
              <w:rPr>
                <w:rFonts w:ascii="宋体" w:hAnsi="宋体"/>
                <w:color w:val="auto"/>
                <w:sz w:val="24"/>
                <w:highlight w:val="none"/>
              </w:rPr>
            </w:pPr>
            <w:r>
              <w:rPr>
                <w:rFonts w:hint="eastAsia" w:ascii="宋体" w:hAnsi="宋体"/>
                <w:color w:val="auto"/>
                <w:sz w:val="24"/>
                <w:highlight w:val="none"/>
              </w:rPr>
              <w:t>投标人</w:t>
            </w:r>
            <w:r>
              <w:rPr>
                <w:rFonts w:hint="eastAsia" w:ascii="宋体" w:hAnsi="宋体"/>
                <w:color w:val="auto"/>
                <w:sz w:val="24"/>
                <w:highlight w:val="none"/>
                <w:lang w:val="zh-TW"/>
              </w:rPr>
              <w:t>自</w:t>
            </w:r>
            <w:r>
              <w:rPr>
                <w:rFonts w:hint="eastAsia" w:ascii="宋体" w:hAnsi="宋体"/>
                <w:color w:val="auto"/>
                <w:sz w:val="24"/>
                <w:highlight w:val="none"/>
              </w:rPr>
              <w:t>2020</w:t>
            </w:r>
            <w:r>
              <w:rPr>
                <w:rFonts w:hint="eastAsia" w:ascii="宋体" w:hAnsi="宋体"/>
                <w:color w:val="auto"/>
                <w:sz w:val="24"/>
                <w:highlight w:val="none"/>
                <w:lang w:val="zh-TW"/>
              </w:rPr>
              <w:t>年</w:t>
            </w:r>
            <w:r>
              <w:rPr>
                <w:rFonts w:hint="eastAsia" w:ascii="宋体" w:hAnsi="宋体"/>
                <w:color w:val="auto"/>
                <w:sz w:val="24"/>
                <w:highlight w:val="none"/>
              </w:rPr>
              <w:t>1</w:t>
            </w:r>
            <w:r>
              <w:rPr>
                <w:rFonts w:hint="eastAsia" w:ascii="宋体" w:hAnsi="宋体"/>
                <w:color w:val="auto"/>
                <w:sz w:val="24"/>
                <w:highlight w:val="none"/>
                <w:lang w:val="zh-TW"/>
              </w:rPr>
              <w:t>月1日（以合同签订时间为准）以来已完成</w:t>
            </w:r>
            <w:r>
              <w:rPr>
                <w:rFonts w:hint="eastAsia" w:ascii="宋体" w:hAnsi="宋体"/>
                <w:color w:val="auto"/>
                <w:sz w:val="24"/>
                <w:highlight w:val="none"/>
              </w:rPr>
              <w:t>或正进行中的道路保洁</w:t>
            </w:r>
            <w:r>
              <w:rPr>
                <w:rFonts w:hint="eastAsia" w:ascii="宋体" w:hAnsi="宋体"/>
                <w:color w:val="auto"/>
                <w:sz w:val="24"/>
                <w:highlight w:val="none"/>
                <w:lang w:val="zh-TW"/>
              </w:rPr>
              <w:t>业绩的</w:t>
            </w:r>
            <w:r>
              <w:rPr>
                <w:rFonts w:hint="eastAsia" w:ascii="宋体" w:hAnsi="宋体"/>
                <w:color w:val="auto"/>
                <w:sz w:val="24"/>
                <w:highlight w:val="none"/>
              </w:rPr>
              <w:t>（合同道路保洁面积</w:t>
            </w:r>
            <w:r>
              <w:rPr>
                <w:rFonts w:ascii="宋体" w:hAnsi="宋体"/>
                <w:color w:val="FF0000"/>
                <w:sz w:val="24"/>
                <w:highlight w:val="none"/>
              </w:rPr>
              <w:t>85</w:t>
            </w:r>
            <w:r>
              <w:rPr>
                <w:rFonts w:hint="eastAsia" w:ascii="宋体" w:hAnsi="宋体"/>
                <w:color w:val="FF0000"/>
                <w:sz w:val="24"/>
                <w:highlight w:val="none"/>
              </w:rPr>
              <w:t>万平方米及以上</w:t>
            </w:r>
            <w:r>
              <w:rPr>
                <w:rFonts w:hint="eastAsia" w:ascii="宋体" w:hAnsi="宋体"/>
                <w:color w:val="auto"/>
                <w:sz w:val="24"/>
                <w:highlight w:val="none"/>
              </w:rPr>
              <w:t>）得1分，未提供的不得分</w:t>
            </w:r>
            <w:r>
              <w:rPr>
                <w:rFonts w:hint="eastAsia" w:ascii="宋体" w:hAnsi="宋体"/>
                <w:color w:val="auto"/>
                <w:sz w:val="24"/>
                <w:highlight w:val="none"/>
                <w:lang w:val="zh-TW"/>
              </w:rPr>
              <w:t>。【注：</w:t>
            </w:r>
            <w:r>
              <w:rPr>
                <w:rFonts w:hint="eastAsia" w:ascii="宋体" w:hAnsi="宋体"/>
                <w:color w:val="auto"/>
                <w:sz w:val="24"/>
                <w:highlight w:val="none"/>
              </w:rPr>
              <w:t>投标文件需</w:t>
            </w:r>
            <w:r>
              <w:rPr>
                <w:rFonts w:hint="eastAsia" w:ascii="宋体" w:hAnsi="宋体"/>
                <w:color w:val="auto"/>
                <w:sz w:val="24"/>
                <w:highlight w:val="none"/>
                <w:lang w:val="zh-TW"/>
              </w:rPr>
              <w:t>提供合同</w:t>
            </w:r>
            <w:r>
              <w:rPr>
                <w:rFonts w:hint="eastAsia" w:ascii="宋体" w:hAnsi="宋体"/>
                <w:color w:val="auto"/>
                <w:sz w:val="24"/>
                <w:highlight w:val="none"/>
              </w:rPr>
              <w:t>原件扫描件并加盖投标人公章</w:t>
            </w:r>
            <w:r>
              <w:rPr>
                <w:rFonts w:hint="eastAsia" w:ascii="宋体" w:hAnsi="宋体"/>
                <w:color w:val="auto"/>
                <w:sz w:val="24"/>
                <w:highlight w:val="none"/>
                <w:lang w:val="zh-TW"/>
              </w:rPr>
              <w:t>。】</w:t>
            </w:r>
          </w:p>
        </w:tc>
        <w:tc>
          <w:tcPr>
            <w:tcW w:w="1134" w:type="dxa"/>
            <w:noWrap/>
            <w:vAlign w:val="center"/>
          </w:tcPr>
          <w:p>
            <w:pPr>
              <w:keepNext w:val="0"/>
              <w:keepLines w:val="0"/>
              <w:pageBreakBefore w:val="0"/>
              <w:widowControl w:val="0"/>
              <w:kinsoku/>
              <w:wordWrap/>
              <w:overflowPunct/>
              <w:topLinePunct w:val="0"/>
              <w:autoSpaceDE/>
              <w:autoSpaceDN/>
              <w:bidi w:val="0"/>
              <w:adjustRightInd/>
              <w:spacing w:line="400" w:lineRule="exact"/>
              <w:ind w:right="105" w:rightChars="50"/>
              <w:jc w:val="center"/>
              <w:textAlignment w:val="auto"/>
              <w:rPr>
                <w:rFonts w:ascii="宋体" w:hAnsi="宋体"/>
                <w:color w:val="auto"/>
                <w:sz w:val="24"/>
                <w:highlight w:val="none"/>
              </w:rPr>
            </w:pPr>
            <w:r>
              <w:rPr>
                <w:rFonts w:hint="eastAsia" w:ascii="宋体" w:hAnsi="宋体"/>
                <w:color w:val="auto"/>
                <w:sz w:val="24"/>
                <w:highlight w:val="none"/>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4" w:hRule="atLeast"/>
        </w:trPr>
        <w:tc>
          <w:tcPr>
            <w:tcW w:w="682" w:type="dxa"/>
            <w:noWrap/>
            <w:vAlign w:val="center"/>
          </w:tcPr>
          <w:p>
            <w:pPr>
              <w:keepNext w:val="0"/>
              <w:keepLines w:val="0"/>
              <w:pageBreakBefore w:val="0"/>
              <w:widowControl w:val="0"/>
              <w:kinsoku/>
              <w:wordWrap/>
              <w:overflowPunct/>
              <w:topLinePunct w:val="0"/>
              <w:autoSpaceDE/>
              <w:autoSpaceDN/>
              <w:bidi w:val="0"/>
              <w:adjustRightInd/>
              <w:spacing w:line="400" w:lineRule="exact"/>
              <w:ind w:left="105" w:leftChars="50" w:right="105" w:rightChars="50"/>
              <w:jc w:val="left"/>
              <w:textAlignment w:val="auto"/>
              <w:rPr>
                <w:rFonts w:ascii="宋体" w:hAnsi="宋体"/>
                <w:color w:val="auto"/>
                <w:sz w:val="24"/>
                <w:highlight w:val="none"/>
              </w:rPr>
            </w:pPr>
            <w:r>
              <w:rPr>
                <w:rFonts w:hint="eastAsia" w:ascii="宋体" w:hAnsi="宋体"/>
                <w:color w:val="auto"/>
                <w:sz w:val="24"/>
                <w:highlight w:val="none"/>
              </w:rPr>
              <w:t>2</w:t>
            </w:r>
          </w:p>
        </w:tc>
        <w:tc>
          <w:tcPr>
            <w:tcW w:w="1483" w:type="dxa"/>
            <w:noWrap/>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宋体" w:hAnsi="宋体"/>
                <w:color w:val="auto"/>
                <w:sz w:val="24"/>
                <w:highlight w:val="none"/>
              </w:rPr>
            </w:pPr>
            <w:r>
              <w:rPr>
                <w:rFonts w:hint="eastAsia" w:ascii="宋体" w:hAnsi="宋体"/>
                <w:color w:val="auto"/>
                <w:sz w:val="24"/>
                <w:highlight w:val="none"/>
              </w:rPr>
              <w:t>现场负责人业绩</w:t>
            </w:r>
          </w:p>
        </w:tc>
        <w:tc>
          <w:tcPr>
            <w:tcW w:w="5139" w:type="dxa"/>
            <w:noWrap/>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宋体" w:hAnsi="宋体"/>
                <w:color w:val="auto"/>
                <w:sz w:val="24"/>
                <w:highlight w:val="none"/>
                <w:lang w:val="zh-TW"/>
              </w:rPr>
            </w:pPr>
            <w:r>
              <w:rPr>
                <w:rFonts w:hint="eastAsia" w:ascii="宋体" w:hAnsi="宋体"/>
                <w:color w:val="auto"/>
                <w:sz w:val="24"/>
                <w:highlight w:val="none"/>
              </w:rPr>
              <w:t>拟派本项目现场负责人</w:t>
            </w:r>
            <w:r>
              <w:rPr>
                <w:rFonts w:hint="eastAsia" w:ascii="宋体" w:hAnsi="宋体"/>
                <w:color w:val="auto"/>
                <w:sz w:val="24"/>
                <w:highlight w:val="none"/>
                <w:lang w:val="zh-TW"/>
              </w:rPr>
              <w:t>自</w:t>
            </w:r>
            <w:r>
              <w:rPr>
                <w:rFonts w:hint="eastAsia" w:ascii="宋体" w:hAnsi="宋体"/>
                <w:color w:val="auto"/>
                <w:sz w:val="24"/>
                <w:highlight w:val="none"/>
              </w:rPr>
              <w:t>2020</w:t>
            </w:r>
            <w:r>
              <w:rPr>
                <w:rFonts w:hint="eastAsia" w:ascii="宋体" w:hAnsi="宋体"/>
                <w:color w:val="auto"/>
                <w:sz w:val="24"/>
                <w:highlight w:val="none"/>
                <w:lang w:val="zh-TW"/>
              </w:rPr>
              <w:t>年1月1日（以合同签订时间为准）以来担任</w:t>
            </w:r>
            <w:r>
              <w:rPr>
                <w:rFonts w:hint="eastAsia" w:ascii="宋体" w:hAnsi="宋体"/>
                <w:color w:val="auto"/>
                <w:sz w:val="24"/>
                <w:highlight w:val="none"/>
              </w:rPr>
              <w:t>现场</w:t>
            </w:r>
            <w:r>
              <w:rPr>
                <w:rFonts w:hint="eastAsia" w:ascii="宋体" w:hAnsi="宋体"/>
                <w:color w:val="auto"/>
                <w:sz w:val="24"/>
                <w:highlight w:val="none"/>
                <w:lang w:val="zh-TW"/>
              </w:rPr>
              <w:t>负责人的类似项目业绩的</w:t>
            </w:r>
            <w:r>
              <w:rPr>
                <w:rFonts w:hint="eastAsia" w:ascii="宋体" w:hAnsi="宋体"/>
                <w:color w:val="auto"/>
                <w:sz w:val="24"/>
                <w:highlight w:val="none"/>
              </w:rPr>
              <w:t>（合同道路保洁面积</w:t>
            </w:r>
            <w:r>
              <w:rPr>
                <w:rFonts w:ascii="宋体" w:hAnsi="宋体"/>
                <w:color w:val="FF0000"/>
                <w:sz w:val="24"/>
                <w:highlight w:val="none"/>
              </w:rPr>
              <w:t>85</w:t>
            </w:r>
            <w:r>
              <w:rPr>
                <w:rFonts w:hint="eastAsia" w:ascii="宋体" w:hAnsi="宋体"/>
                <w:color w:val="FF0000"/>
                <w:sz w:val="24"/>
                <w:highlight w:val="none"/>
              </w:rPr>
              <w:t>万平方米</w:t>
            </w:r>
            <w:r>
              <w:rPr>
                <w:rFonts w:hint="eastAsia" w:ascii="宋体" w:hAnsi="宋体"/>
                <w:color w:val="auto"/>
                <w:sz w:val="24"/>
                <w:highlight w:val="none"/>
              </w:rPr>
              <w:t>及以上）得1分，未提供的不得分</w:t>
            </w:r>
            <w:r>
              <w:rPr>
                <w:rFonts w:hint="eastAsia" w:ascii="宋体" w:hAnsi="宋体"/>
                <w:color w:val="auto"/>
                <w:sz w:val="24"/>
                <w:highlight w:val="none"/>
                <w:lang w:val="zh-TW"/>
              </w:rPr>
              <w:t>。【注：</w:t>
            </w:r>
            <w:r>
              <w:rPr>
                <w:rFonts w:hint="eastAsia" w:ascii="宋体" w:hAnsi="宋体"/>
                <w:color w:val="auto"/>
                <w:sz w:val="24"/>
                <w:highlight w:val="none"/>
              </w:rPr>
              <w:t>投标文件需提供合同原件扫描件并加盖投标人公章</w:t>
            </w:r>
            <w:r>
              <w:rPr>
                <w:rFonts w:hint="eastAsia" w:ascii="宋体" w:hAnsi="宋体"/>
                <w:color w:val="auto"/>
                <w:sz w:val="24"/>
                <w:highlight w:val="none"/>
                <w:lang w:val="zh-TW"/>
              </w:rPr>
              <w:t>。</w:t>
            </w:r>
            <w:r>
              <w:rPr>
                <w:rFonts w:hint="eastAsia" w:ascii="宋体" w:hAnsi="宋体"/>
                <w:color w:val="auto"/>
                <w:sz w:val="24"/>
                <w:highlight w:val="none"/>
              </w:rPr>
              <w:t>如合同中不能体现现场负责人须另附业主（合同甲方）证明材料加盖业主公章予以说明。</w:t>
            </w:r>
            <w:r>
              <w:rPr>
                <w:rFonts w:hint="eastAsia" w:ascii="宋体" w:hAnsi="宋体"/>
                <w:color w:val="auto"/>
                <w:sz w:val="24"/>
                <w:highlight w:val="none"/>
                <w:lang w:val="zh-TW"/>
              </w:rPr>
              <w:t>】</w:t>
            </w:r>
          </w:p>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宋体" w:hAnsi="宋体"/>
                <w:color w:val="auto"/>
                <w:sz w:val="24"/>
                <w:highlight w:val="none"/>
              </w:rPr>
            </w:pPr>
            <w:r>
              <w:rPr>
                <w:rFonts w:hint="eastAsia" w:ascii="宋体" w:hAnsi="宋体"/>
                <w:color w:val="auto"/>
                <w:sz w:val="24"/>
                <w:highlight w:val="none"/>
              </w:rPr>
              <w:t>现场负责人同时提供</w:t>
            </w:r>
            <w:r>
              <w:rPr>
                <w:rFonts w:hint="eastAsia" w:ascii="宋体" w:hAnsi="宋体"/>
                <w:color w:val="auto"/>
                <w:sz w:val="24"/>
                <w:highlight w:val="none"/>
                <w:lang w:val="zh-TW"/>
              </w:rPr>
              <w:t>缴费期限包含2022年11月至2023年1月的以投标人名义缴纳的社保缴费证明材料</w:t>
            </w:r>
            <w:r>
              <w:rPr>
                <w:rFonts w:hint="eastAsia" w:ascii="宋体" w:hAnsi="宋体"/>
                <w:color w:val="auto"/>
                <w:sz w:val="24"/>
                <w:highlight w:val="none"/>
              </w:rPr>
              <w:t>。</w:t>
            </w:r>
            <w:r>
              <w:rPr>
                <w:rFonts w:hint="eastAsia" w:ascii="宋体" w:hAnsi="宋体"/>
                <w:color w:val="auto"/>
                <w:sz w:val="24"/>
                <w:highlight w:val="none"/>
                <w:lang w:val="zh-TW"/>
              </w:rPr>
              <w:t>【注：</w:t>
            </w:r>
            <w:r>
              <w:rPr>
                <w:rFonts w:hint="eastAsia" w:ascii="宋体" w:hAnsi="宋体"/>
                <w:color w:val="auto"/>
                <w:sz w:val="24"/>
                <w:highlight w:val="none"/>
              </w:rPr>
              <w:t>投标文件需提供社保缴纳证明扫描件并加盖投标人公章</w:t>
            </w:r>
            <w:r>
              <w:rPr>
                <w:rFonts w:hint="eastAsia" w:ascii="宋体" w:hAnsi="宋体"/>
                <w:color w:val="auto"/>
                <w:sz w:val="24"/>
                <w:highlight w:val="none"/>
                <w:lang w:val="zh-TW"/>
              </w:rPr>
              <w:t>。</w:t>
            </w:r>
            <w:r>
              <w:rPr>
                <w:rFonts w:hint="eastAsia" w:ascii="宋体" w:hAnsi="宋体"/>
                <w:color w:val="auto"/>
                <w:sz w:val="24"/>
                <w:highlight w:val="none"/>
              </w:rPr>
              <w:t>二者缺一不可，否则</w:t>
            </w:r>
            <w:r>
              <w:rPr>
                <w:rFonts w:hint="eastAsia" w:ascii="宋体" w:hAnsi="宋体"/>
                <w:color w:val="auto"/>
                <w:sz w:val="24"/>
                <w:highlight w:val="none"/>
                <w:lang w:val="zh-TW"/>
              </w:rPr>
              <w:t>不得分】</w:t>
            </w:r>
          </w:p>
        </w:tc>
        <w:tc>
          <w:tcPr>
            <w:tcW w:w="1134" w:type="dxa"/>
            <w:noWrap/>
            <w:vAlign w:val="center"/>
          </w:tcPr>
          <w:p>
            <w:pPr>
              <w:keepNext w:val="0"/>
              <w:keepLines w:val="0"/>
              <w:pageBreakBefore w:val="0"/>
              <w:widowControl w:val="0"/>
              <w:kinsoku/>
              <w:wordWrap/>
              <w:overflowPunct/>
              <w:topLinePunct w:val="0"/>
              <w:autoSpaceDE/>
              <w:autoSpaceDN/>
              <w:bidi w:val="0"/>
              <w:adjustRightInd/>
              <w:spacing w:line="400" w:lineRule="exact"/>
              <w:ind w:right="105" w:rightChars="50"/>
              <w:jc w:val="center"/>
              <w:textAlignment w:val="auto"/>
              <w:rPr>
                <w:rFonts w:ascii="宋体" w:hAnsi="宋体"/>
                <w:color w:val="auto"/>
                <w:sz w:val="24"/>
                <w:highlight w:val="none"/>
              </w:rPr>
            </w:pPr>
            <w:r>
              <w:rPr>
                <w:rFonts w:hint="eastAsia" w:ascii="宋体" w:hAnsi="宋体"/>
                <w:color w:val="auto"/>
                <w:sz w:val="24"/>
                <w:highlight w:val="none"/>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682" w:type="dxa"/>
            <w:noWrap/>
            <w:vAlign w:val="center"/>
          </w:tcPr>
          <w:p>
            <w:pPr>
              <w:keepNext w:val="0"/>
              <w:keepLines w:val="0"/>
              <w:pageBreakBefore w:val="0"/>
              <w:widowControl w:val="0"/>
              <w:kinsoku/>
              <w:wordWrap/>
              <w:overflowPunct/>
              <w:topLinePunct w:val="0"/>
              <w:autoSpaceDE/>
              <w:autoSpaceDN/>
              <w:bidi w:val="0"/>
              <w:adjustRightInd/>
              <w:spacing w:line="400" w:lineRule="exact"/>
              <w:ind w:left="105" w:leftChars="50" w:right="105" w:rightChars="50"/>
              <w:jc w:val="left"/>
              <w:textAlignment w:val="auto"/>
              <w:rPr>
                <w:rFonts w:ascii="宋体" w:hAnsi="宋体"/>
                <w:color w:val="auto"/>
                <w:sz w:val="24"/>
                <w:highlight w:val="none"/>
              </w:rPr>
            </w:pPr>
            <w:r>
              <w:rPr>
                <w:rFonts w:hint="eastAsia" w:ascii="宋体" w:hAnsi="宋体"/>
                <w:color w:val="auto"/>
                <w:sz w:val="24"/>
                <w:highlight w:val="none"/>
              </w:rPr>
              <w:t>3</w:t>
            </w:r>
          </w:p>
        </w:tc>
        <w:tc>
          <w:tcPr>
            <w:tcW w:w="1483" w:type="dxa"/>
            <w:noWrap/>
            <w:vAlign w:val="center"/>
          </w:tcPr>
          <w:p>
            <w:pPr>
              <w:keepNext w:val="0"/>
              <w:keepLines w:val="0"/>
              <w:pageBreakBefore w:val="0"/>
              <w:widowControl w:val="0"/>
              <w:kinsoku/>
              <w:wordWrap/>
              <w:overflowPunct/>
              <w:topLinePunct w:val="0"/>
              <w:autoSpaceDE/>
              <w:autoSpaceDN/>
              <w:bidi w:val="0"/>
              <w:adjustRightInd/>
              <w:spacing w:line="400" w:lineRule="exact"/>
              <w:ind w:right="105" w:rightChars="50"/>
              <w:jc w:val="left"/>
              <w:textAlignment w:val="auto"/>
              <w:rPr>
                <w:rFonts w:ascii="宋体" w:hAnsi="宋体" w:eastAsia="PMingLiU"/>
                <w:color w:val="auto"/>
                <w:sz w:val="24"/>
                <w:highlight w:val="none"/>
                <w:lang w:val="zh-TW" w:eastAsia="zh-TW"/>
              </w:rPr>
            </w:pPr>
            <w:r>
              <w:rPr>
                <w:rFonts w:hint="eastAsia" w:ascii="宋体" w:hAnsi="宋体"/>
                <w:color w:val="auto"/>
                <w:sz w:val="24"/>
                <w:highlight w:val="none"/>
              </w:rPr>
              <w:t>企业荣誉</w:t>
            </w:r>
          </w:p>
        </w:tc>
        <w:tc>
          <w:tcPr>
            <w:tcW w:w="5139" w:type="dxa"/>
            <w:noWrap/>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宋体" w:hAnsi="宋体"/>
                <w:color w:val="auto"/>
                <w:sz w:val="24"/>
                <w:highlight w:val="none"/>
              </w:rPr>
            </w:pPr>
            <w:r>
              <w:rPr>
                <w:rFonts w:hint="eastAsia" w:ascii="宋体" w:hAnsi="宋体"/>
                <w:color w:val="auto"/>
                <w:sz w:val="24"/>
                <w:highlight w:val="none"/>
              </w:rPr>
              <w:t>获得县（区）级及以上政府部门颁发的“诚信经营”“环卫保洁”等相关荣誉的，每个得</w:t>
            </w:r>
            <w:r>
              <w:rPr>
                <w:rFonts w:ascii="宋体" w:hAnsi="宋体"/>
                <w:color w:val="auto"/>
                <w:sz w:val="24"/>
                <w:highlight w:val="none"/>
              </w:rPr>
              <w:t>1</w:t>
            </w:r>
            <w:r>
              <w:rPr>
                <w:rFonts w:hint="eastAsia" w:ascii="宋体" w:hAnsi="宋体"/>
                <w:color w:val="auto"/>
                <w:sz w:val="24"/>
                <w:highlight w:val="none"/>
              </w:rPr>
              <w:t>分、获得省级及以上政府部门颁发的</w:t>
            </w:r>
            <w:r>
              <w:rPr>
                <w:rFonts w:hint="eastAsia" w:ascii="宋体" w:hAnsi="宋体"/>
                <w:color w:val="FF0000"/>
                <w:sz w:val="24"/>
                <w:highlight w:val="yellow"/>
              </w:rPr>
              <w:t>“诚信经营”“环卫保洁”等相关荣誉的</w:t>
            </w:r>
            <w:r>
              <w:rPr>
                <w:rFonts w:hint="eastAsia" w:ascii="宋体" w:hAnsi="宋体"/>
                <w:color w:val="auto"/>
                <w:sz w:val="24"/>
                <w:highlight w:val="yellow"/>
              </w:rPr>
              <w:t>，</w:t>
            </w:r>
            <w:r>
              <w:rPr>
                <w:rFonts w:hint="eastAsia" w:ascii="宋体" w:hAnsi="宋体"/>
                <w:color w:val="auto"/>
                <w:sz w:val="24"/>
                <w:highlight w:val="none"/>
              </w:rPr>
              <w:t>每个得</w:t>
            </w:r>
            <w:r>
              <w:rPr>
                <w:rFonts w:ascii="宋体" w:hAnsi="宋体"/>
                <w:color w:val="auto"/>
                <w:sz w:val="24"/>
                <w:highlight w:val="none"/>
              </w:rPr>
              <w:t>2</w:t>
            </w:r>
            <w:r>
              <w:rPr>
                <w:rFonts w:hint="eastAsia" w:ascii="宋体" w:hAnsi="宋体"/>
                <w:color w:val="auto"/>
                <w:sz w:val="24"/>
                <w:highlight w:val="none"/>
              </w:rPr>
              <w:t>分，最高得2分。</w:t>
            </w:r>
          </w:p>
          <w:p>
            <w:pPr>
              <w:keepNext w:val="0"/>
              <w:keepLines w:val="0"/>
              <w:pageBreakBefore w:val="0"/>
              <w:widowControl w:val="0"/>
              <w:kinsoku/>
              <w:wordWrap/>
              <w:overflowPunct/>
              <w:topLinePunct w:val="0"/>
              <w:autoSpaceDE/>
              <w:autoSpaceDN/>
              <w:bidi w:val="0"/>
              <w:adjustRightInd/>
              <w:spacing w:line="400" w:lineRule="exact"/>
              <w:ind w:right="105" w:rightChars="50"/>
              <w:jc w:val="left"/>
              <w:textAlignment w:val="auto"/>
              <w:rPr>
                <w:rFonts w:ascii="宋体" w:hAnsi="宋体"/>
                <w:color w:val="auto"/>
                <w:sz w:val="24"/>
                <w:highlight w:val="none"/>
                <w:lang w:val="zh-TW"/>
              </w:rPr>
            </w:pPr>
            <w:r>
              <w:rPr>
                <w:rFonts w:ascii="宋体" w:hAnsi="宋体"/>
                <w:color w:val="auto"/>
                <w:sz w:val="24"/>
                <w:highlight w:val="none"/>
              </w:rPr>
              <w:t>注：投标文件中提供颁奖文件原件（必须是带有文号的规范性文件）扫描件</w:t>
            </w:r>
            <w:r>
              <w:rPr>
                <w:rFonts w:hint="eastAsia" w:ascii="宋体" w:hAnsi="宋体"/>
                <w:color w:val="auto"/>
                <w:sz w:val="24"/>
                <w:highlight w:val="none"/>
              </w:rPr>
              <w:t>并加盖投标人公章</w:t>
            </w:r>
            <w:r>
              <w:rPr>
                <w:rFonts w:hint="eastAsia" w:ascii="宋体" w:hAnsi="宋体"/>
                <w:color w:val="auto"/>
                <w:sz w:val="24"/>
                <w:highlight w:val="none"/>
                <w:lang w:val="zh-TW"/>
              </w:rPr>
              <w:t>。</w:t>
            </w:r>
          </w:p>
        </w:tc>
        <w:tc>
          <w:tcPr>
            <w:tcW w:w="1134" w:type="dxa"/>
            <w:noWrap/>
            <w:vAlign w:val="center"/>
          </w:tcPr>
          <w:p>
            <w:pPr>
              <w:keepNext w:val="0"/>
              <w:keepLines w:val="0"/>
              <w:pageBreakBefore w:val="0"/>
              <w:widowControl w:val="0"/>
              <w:kinsoku/>
              <w:wordWrap/>
              <w:overflowPunct/>
              <w:topLinePunct w:val="0"/>
              <w:autoSpaceDE/>
              <w:autoSpaceDN/>
              <w:bidi w:val="0"/>
              <w:adjustRightInd/>
              <w:spacing w:line="400" w:lineRule="exact"/>
              <w:ind w:right="105" w:rightChars="50"/>
              <w:jc w:val="center"/>
              <w:textAlignment w:val="auto"/>
              <w:rPr>
                <w:rFonts w:ascii="宋体" w:hAnsi="宋体"/>
                <w:color w:val="auto"/>
                <w:sz w:val="24"/>
                <w:highlight w:val="none"/>
              </w:rPr>
            </w:pPr>
            <w:r>
              <w:rPr>
                <w:rFonts w:hint="eastAsia" w:ascii="宋体" w:hAnsi="宋体"/>
                <w:color w:val="auto"/>
                <w:sz w:val="24"/>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atLeast"/>
        </w:trPr>
        <w:tc>
          <w:tcPr>
            <w:tcW w:w="682" w:type="dxa"/>
            <w:noWrap/>
            <w:vAlign w:val="center"/>
          </w:tcPr>
          <w:p>
            <w:pPr>
              <w:keepNext w:val="0"/>
              <w:keepLines w:val="0"/>
              <w:pageBreakBefore w:val="0"/>
              <w:widowControl w:val="0"/>
              <w:kinsoku/>
              <w:wordWrap/>
              <w:overflowPunct/>
              <w:topLinePunct w:val="0"/>
              <w:autoSpaceDE/>
              <w:autoSpaceDN/>
              <w:bidi w:val="0"/>
              <w:adjustRightInd/>
              <w:spacing w:line="400" w:lineRule="exact"/>
              <w:ind w:left="105" w:leftChars="50" w:right="105" w:rightChars="50"/>
              <w:jc w:val="left"/>
              <w:textAlignment w:val="auto"/>
              <w:rPr>
                <w:rFonts w:ascii="宋体" w:hAnsi="宋体"/>
                <w:color w:val="auto"/>
                <w:sz w:val="24"/>
                <w:highlight w:val="none"/>
              </w:rPr>
            </w:pPr>
            <w:r>
              <w:rPr>
                <w:rFonts w:ascii="宋体" w:hAnsi="宋体"/>
                <w:color w:val="auto"/>
                <w:sz w:val="24"/>
                <w:highlight w:val="none"/>
              </w:rPr>
              <w:t>4</w:t>
            </w:r>
          </w:p>
        </w:tc>
        <w:tc>
          <w:tcPr>
            <w:tcW w:w="1483" w:type="dxa"/>
            <w:noWrap/>
            <w:vAlign w:val="center"/>
          </w:tcPr>
          <w:p>
            <w:pPr>
              <w:keepNext w:val="0"/>
              <w:keepLines w:val="0"/>
              <w:pageBreakBefore w:val="0"/>
              <w:widowControl w:val="0"/>
              <w:kinsoku/>
              <w:wordWrap/>
              <w:overflowPunct/>
              <w:topLinePunct w:val="0"/>
              <w:autoSpaceDE/>
              <w:autoSpaceDN/>
              <w:bidi w:val="0"/>
              <w:adjustRightInd/>
              <w:spacing w:line="400" w:lineRule="exact"/>
              <w:ind w:right="105" w:rightChars="50"/>
              <w:jc w:val="left"/>
              <w:textAlignment w:val="auto"/>
              <w:rPr>
                <w:rFonts w:ascii="宋体" w:hAnsi="宋体"/>
                <w:color w:val="auto"/>
                <w:sz w:val="24"/>
                <w:highlight w:val="none"/>
              </w:rPr>
            </w:pPr>
            <w:r>
              <w:rPr>
                <w:rFonts w:hint="eastAsia" w:ascii="宋体" w:hAnsi="宋体"/>
                <w:color w:val="auto"/>
                <w:sz w:val="24"/>
                <w:highlight w:val="none"/>
                <w:lang w:val="zh-TW"/>
              </w:rPr>
              <w:t>认证</w:t>
            </w:r>
          </w:p>
        </w:tc>
        <w:tc>
          <w:tcPr>
            <w:tcW w:w="5139" w:type="dxa"/>
            <w:noWrap/>
            <w:vAlign w:val="center"/>
          </w:tcPr>
          <w:p>
            <w:pPr>
              <w:keepNext w:val="0"/>
              <w:keepLines w:val="0"/>
              <w:pageBreakBefore w:val="0"/>
              <w:widowControl w:val="0"/>
              <w:kinsoku/>
              <w:wordWrap/>
              <w:overflowPunct/>
              <w:topLinePunct w:val="0"/>
              <w:autoSpaceDE/>
              <w:autoSpaceDN/>
              <w:bidi w:val="0"/>
              <w:adjustRightInd/>
              <w:spacing w:line="400" w:lineRule="exact"/>
              <w:ind w:right="105" w:rightChars="50"/>
              <w:jc w:val="left"/>
              <w:textAlignment w:val="auto"/>
              <w:rPr>
                <w:rFonts w:ascii="宋体" w:hAnsi="宋体"/>
                <w:color w:val="auto"/>
                <w:sz w:val="24"/>
                <w:highlight w:val="none"/>
              </w:rPr>
            </w:pPr>
            <w:r>
              <w:rPr>
                <w:rFonts w:hint="eastAsia" w:ascii="宋体" w:hAnsi="宋体"/>
                <w:color w:val="auto"/>
                <w:sz w:val="24"/>
                <w:highlight w:val="none"/>
                <w:lang w:val="zh-TW"/>
              </w:rPr>
              <w:t>投标人具有在有效期内的质量管理体系认证、环境管理体系认证、职业健康安全管理体系认证的每个得</w:t>
            </w:r>
            <w:r>
              <w:rPr>
                <w:rFonts w:hint="eastAsia" w:ascii="宋体" w:hAnsi="宋体"/>
                <w:color w:val="auto"/>
                <w:sz w:val="24"/>
                <w:highlight w:val="none"/>
              </w:rPr>
              <w:t>2</w:t>
            </w:r>
            <w:r>
              <w:rPr>
                <w:rFonts w:hint="eastAsia" w:ascii="宋体" w:hAnsi="宋体"/>
                <w:color w:val="auto"/>
                <w:sz w:val="24"/>
                <w:highlight w:val="none"/>
                <w:lang w:val="zh-TW"/>
              </w:rPr>
              <w:t>分，最高得</w:t>
            </w:r>
            <w:r>
              <w:rPr>
                <w:rFonts w:hint="eastAsia" w:ascii="宋体" w:hAnsi="宋体"/>
                <w:color w:val="auto"/>
                <w:sz w:val="24"/>
                <w:highlight w:val="none"/>
              </w:rPr>
              <w:t>6</w:t>
            </w:r>
            <w:r>
              <w:rPr>
                <w:rFonts w:hint="eastAsia" w:ascii="宋体" w:hAnsi="宋体"/>
                <w:color w:val="auto"/>
                <w:sz w:val="24"/>
                <w:highlight w:val="none"/>
                <w:lang w:val="zh-TW"/>
              </w:rPr>
              <w:t>分，未提供的不得分。【注：</w:t>
            </w:r>
            <w:r>
              <w:rPr>
                <w:rFonts w:hint="eastAsia" w:ascii="宋体" w:hAnsi="宋体"/>
                <w:color w:val="auto"/>
                <w:sz w:val="24"/>
                <w:highlight w:val="none"/>
              </w:rPr>
              <w:t>投标文件需</w:t>
            </w:r>
            <w:r>
              <w:rPr>
                <w:rFonts w:hint="eastAsia" w:ascii="宋体" w:hAnsi="宋体"/>
                <w:color w:val="auto"/>
                <w:sz w:val="24"/>
                <w:highlight w:val="none"/>
                <w:lang w:val="zh-TW"/>
              </w:rPr>
              <w:t>提供</w:t>
            </w:r>
            <w:r>
              <w:rPr>
                <w:rFonts w:hint="eastAsia" w:ascii="宋体" w:hAnsi="宋体"/>
                <w:color w:val="auto"/>
                <w:sz w:val="24"/>
                <w:highlight w:val="none"/>
              </w:rPr>
              <w:t>相关</w:t>
            </w:r>
            <w:r>
              <w:rPr>
                <w:rFonts w:hint="eastAsia" w:ascii="宋体" w:hAnsi="宋体"/>
                <w:color w:val="auto"/>
                <w:sz w:val="24"/>
                <w:highlight w:val="none"/>
                <w:lang w:val="zh-TW"/>
              </w:rPr>
              <w:t>证书</w:t>
            </w:r>
            <w:r>
              <w:rPr>
                <w:rFonts w:hint="eastAsia" w:ascii="宋体" w:hAnsi="宋体"/>
                <w:color w:val="auto"/>
                <w:sz w:val="24"/>
                <w:highlight w:val="none"/>
              </w:rPr>
              <w:t>扫描件</w:t>
            </w:r>
            <w:r>
              <w:rPr>
                <w:rFonts w:hint="eastAsia" w:ascii="宋体" w:hAnsi="宋体"/>
                <w:color w:val="auto"/>
                <w:sz w:val="24"/>
                <w:highlight w:val="none"/>
                <w:lang w:val="zh-TW"/>
              </w:rPr>
              <w:t>并加盖投标人公章】</w:t>
            </w:r>
          </w:p>
        </w:tc>
        <w:tc>
          <w:tcPr>
            <w:tcW w:w="1134" w:type="dxa"/>
            <w:noWrap/>
            <w:vAlign w:val="center"/>
          </w:tcPr>
          <w:p>
            <w:pPr>
              <w:keepNext w:val="0"/>
              <w:keepLines w:val="0"/>
              <w:pageBreakBefore w:val="0"/>
              <w:widowControl w:val="0"/>
              <w:kinsoku/>
              <w:wordWrap/>
              <w:overflowPunct/>
              <w:topLinePunct w:val="0"/>
              <w:autoSpaceDE/>
              <w:autoSpaceDN/>
              <w:bidi w:val="0"/>
              <w:adjustRightInd/>
              <w:spacing w:line="400" w:lineRule="exact"/>
              <w:ind w:right="105" w:rightChars="50"/>
              <w:jc w:val="center"/>
              <w:textAlignment w:val="auto"/>
              <w:rPr>
                <w:rFonts w:ascii="宋体" w:hAnsi="宋体"/>
                <w:color w:val="auto"/>
                <w:sz w:val="24"/>
                <w:highlight w:val="none"/>
              </w:rPr>
            </w:pPr>
            <w:r>
              <w:rPr>
                <w:rFonts w:hint="eastAsia" w:ascii="宋体" w:hAnsi="宋体"/>
                <w:color w:val="auto"/>
                <w:sz w:val="24"/>
                <w:highlight w:val="none"/>
              </w:rPr>
              <w:t>0-6</w:t>
            </w:r>
          </w:p>
        </w:tc>
      </w:tr>
    </w:tbl>
    <w:p>
      <w:pPr>
        <w:spacing w:line="360" w:lineRule="auto"/>
        <w:ind w:firstLine="480" w:firstLineChars="200"/>
        <w:rPr>
          <w:rFonts w:hint="eastAsia" w:ascii="宋体" w:hAnsi="宋体" w:cs="宋体"/>
          <w:color w:val="auto"/>
          <w:sz w:val="24"/>
          <w:szCs w:val="21"/>
          <w:highlight w:val="none"/>
        </w:rPr>
      </w:pPr>
    </w:p>
    <w:p>
      <w:pPr>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注：</w:t>
      </w:r>
    </w:p>
    <w:p>
      <w:pPr>
        <w:numPr>
          <w:ilvl w:val="0"/>
          <w:numId w:val="38"/>
        </w:numPr>
        <w:spacing w:line="360" w:lineRule="auto"/>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评标委员会各成员应当独立对每个投标人的投标文件进行评价，并汇总每个投标人的得分。资信分为客观分，也需独立进行评价并核对分值，最终分值需一致。</w:t>
      </w:r>
    </w:p>
    <w:p>
      <w:pPr>
        <w:numPr>
          <w:ilvl w:val="0"/>
          <w:numId w:val="0"/>
        </w:numPr>
        <w:spacing w:line="360" w:lineRule="auto"/>
        <w:ind w:firstLine="480" w:firstLineChars="200"/>
        <w:rPr>
          <w:rFonts w:hint="eastAsia" w:ascii="宋体" w:hAnsi="宋体" w:eastAsia="宋体" w:cs="宋体"/>
          <w:color w:val="0070C0"/>
          <w:sz w:val="24"/>
          <w:szCs w:val="21"/>
          <w:highlight w:val="none"/>
        </w:rPr>
      </w:pPr>
      <w:r>
        <w:rPr>
          <w:rFonts w:hint="eastAsia" w:ascii="宋体" w:hAnsi="宋体" w:eastAsia="宋体" w:cs="宋体"/>
          <w:b w:val="0"/>
          <w:color w:val="auto"/>
          <w:kern w:val="2"/>
          <w:sz w:val="24"/>
          <w:szCs w:val="21"/>
          <w:highlight w:val="none"/>
          <w:lang w:val="en-US" w:eastAsia="zh-CN" w:bidi="ar-SA"/>
        </w:rPr>
        <w:t>2、</w:t>
      </w:r>
      <w:r>
        <w:rPr>
          <w:rFonts w:hint="eastAsia" w:ascii="宋体" w:hAnsi="宋体" w:eastAsia="宋体" w:cs="宋体"/>
          <w:color w:val="FF0000"/>
          <w:sz w:val="24"/>
          <w:szCs w:val="21"/>
          <w:highlight w:val="none"/>
        </w:rPr>
        <w:t>评标委员会成员打分</w:t>
      </w:r>
      <w:r>
        <w:rPr>
          <w:rFonts w:hint="eastAsia" w:ascii="宋体" w:hAnsi="宋体" w:eastAsia="宋体" w:cs="宋体"/>
          <w:color w:val="FF0000"/>
          <w:sz w:val="24"/>
          <w:szCs w:val="21"/>
          <w:highlight w:val="none"/>
          <w:lang w:eastAsia="zh-CN"/>
        </w:rPr>
        <w:t>最多</w:t>
      </w:r>
      <w:r>
        <w:rPr>
          <w:rFonts w:hint="eastAsia" w:ascii="宋体" w:hAnsi="宋体" w:eastAsia="宋体" w:cs="宋体"/>
          <w:color w:val="FF0000"/>
          <w:sz w:val="24"/>
          <w:szCs w:val="21"/>
          <w:highlight w:val="none"/>
        </w:rPr>
        <w:t>保留一位小数，结果</w:t>
      </w:r>
      <w:r>
        <w:rPr>
          <w:rFonts w:hint="eastAsia" w:ascii="宋体" w:hAnsi="宋体" w:eastAsia="宋体" w:cs="宋体"/>
          <w:color w:val="FF0000"/>
          <w:sz w:val="24"/>
          <w:szCs w:val="21"/>
          <w:highlight w:val="none"/>
          <w:lang w:eastAsia="zh-CN"/>
        </w:rPr>
        <w:t>算术平均后</w:t>
      </w:r>
      <w:r>
        <w:rPr>
          <w:rFonts w:hint="eastAsia" w:ascii="宋体" w:hAnsi="宋体" w:eastAsia="宋体" w:cs="宋体"/>
          <w:color w:val="FF0000"/>
          <w:sz w:val="24"/>
          <w:szCs w:val="21"/>
          <w:highlight w:val="none"/>
        </w:rPr>
        <w:t>四舍五入保留两位小数</w:t>
      </w:r>
      <w:r>
        <w:rPr>
          <w:rFonts w:hint="eastAsia" w:ascii="宋体" w:hAnsi="宋体" w:eastAsia="宋体" w:cs="宋体"/>
          <w:color w:val="FF0000"/>
          <w:sz w:val="24"/>
          <w:szCs w:val="21"/>
          <w:highlight w:val="none"/>
          <w:lang w:val="en-US" w:eastAsia="zh-CN"/>
        </w:rPr>
        <w:t>。</w:t>
      </w:r>
    </w:p>
    <w:p>
      <w:pPr>
        <w:spacing w:line="360" w:lineRule="auto"/>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lang w:val="en-US" w:eastAsia="zh-CN"/>
        </w:rPr>
        <w:t>3</w:t>
      </w:r>
      <w:r>
        <w:rPr>
          <w:rFonts w:hint="eastAsia" w:ascii="宋体" w:hAnsi="宋体" w:cs="宋体"/>
          <w:color w:val="auto"/>
          <w:sz w:val="24"/>
          <w:szCs w:val="21"/>
          <w:highlight w:val="none"/>
        </w:rPr>
        <w:t>、所有文件、合同、证书等需要真实有效。中标人在中标后签订合同时需提供以上证明文件原件，若发现资料作假的取消中标资格。</w:t>
      </w:r>
    </w:p>
    <w:p>
      <w:r>
        <w:br w:type="page"/>
      </w:r>
    </w:p>
    <w:bookmarkEnd w:id="426"/>
    <w:p>
      <w:pPr>
        <w:rPr>
          <w:color w:val="auto"/>
          <w:sz w:val="24"/>
          <w:highlight w:val="none"/>
        </w:rPr>
      </w:pPr>
      <w:bookmarkStart w:id="428" w:name="_Toc30926"/>
      <w:bookmarkStart w:id="429" w:name="_Toc18590"/>
      <w:bookmarkStart w:id="430" w:name="_Toc14208"/>
      <w:bookmarkStart w:id="431" w:name="_Toc27332"/>
      <w:bookmarkStart w:id="432" w:name="_Toc29482"/>
      <w:bookmarkStart w:id="433" w:name="_Toc18470"/>
      <w:bookmarkStart w:id="434" w:name="_Toc20764"/>
      <w:bookmarkStart w:id="435" w:name="_Toc6373"/>
      <w:bookmarkStart w:id="436" w:name="第五部分"/>
      <w:bookmarkStart w:id="437" w:name="_Toc86217003"/>
    </w:p>
    <w:p>
      <w:pPr>
        <w:spacing w:after="156" w:afterLines="50"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第四部分 采购需求</w:t>
      </w:r>
      <w:bookmarkEnd w:id="428"/>
      <w:bookmarkEnd w:id="429"/>
    </w:p>
    <w:bookmarkEnd w:id="430"/>
    <w:bookmarkEnd w:id="431"/>
    <w:bookmarkEnd w:id="432"/>
    <w:bookmarkEnd w:id="433"/>
    <w:bookmarkEnd w:id="434"/>
    <w:bookmarkEnd w:id="435"/>
    <w:p>
      <w:pPr>
        <w:pStyle w:val="2"/>
        <w:spacing w:line="360" w:lineRule="auto"/>
        <w:jc w:val="center"/>
        <w:rPr>
          <w:color w:val="auto"/>
          <w:highlight w:val="none"/>
        </w:rPr>
      </w:pPr>
      <w:bookmarkStart w:id="438" w:name="_Toc5039"/>
      <w:r>
        <w:rPr>
          <w:rFonts w:hint="eastAsia" w:hAnsi="宋体"/>
          <w:color w:val="auto"/>
          <w:kern w:val="0"/>
          <w:highlight w:val="none"/>
        </w:rPr>
        <w:t>第一章　服务内容及要求</w:t>
      </w:r>
      <w:bookmarkEnd w:id="438"/>
    </w:p>
    <w:p>
      <w:pPr>
        <w:numPr>
          <w:ilvl w:val="0"/>
          <w:numId w:val="39"/>
        </w:numPr>
        <w:spacing w:before="156" w:beforeLines="50" w:after="156" w:afterLines="50"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保洁范围</w:t>
      </w:r>
    </w:p>
    <w:p>
      <w:pPr>
        <w:tabs>
          <w:tab w:val="left" w:pos="2462"/>
        </w:tabs>
        <w:spacing w:line="520" w:lineRule="exact"/>
        <w:ind w:firstLine="360" w:firstLineChars="150"/>
        <w:jc w:val="left"/>
        <w:rPr>
          <w:rFonts w:ascii="宋体" w:hAnsi="宋体" w:cs="宋体"/>
          <w:color w:val="auto"/>
          <w:kern w:val="0"/>
          <w:sz w:val="24"/>
          <w:highlight w:val="none"/>
        </w:rPr>
      </w:pPr>
      <w:r>
        <w:rPr>
          <w:rFonts w:hint="eastAsia" w:ascii="宋体" w:hAnsi="宋体" w:cs="宋体"/>
          <w:color w:val="auto"/>
          <w:kern w:val="0"/>
          <w:sz w:val="24"/>
          <w:highlight w:val="none"/>
        </w:rPr>
        <w:t>本项目为</w:t>
      </w:r>
      <w:r>
        <w:rPr>
          <w:rFonts w:hint="eastAsia" w:ascii="宋体" w:hAnsi="宋体" w:cs="宋体"/>
          <w:color w:val="auto"/>
          <w:sz w:val="24"/>
          <w:highlight w:val="none"/>
        </w:rPr>
        <w:t>2023-2024年度杭州湾上虞经济技术开发区道路、绿化带保洁服务项目。</w:t>
      </w:r>
      <w:r>
        <w:rPr>
          <w:rFonts w:hint="eastAsia" w:ascii="宋体" w:hAnsi="宋体" w:cs="宋体"/>
          <w:color w:val="auto"/>
          <w:kern w:val="0"/>
          <w:sz w:val="24"/>
          <w:highlight w:val="none"/>
        </w:rPr>
        <w:t>其中保洁I标（道路）面积为1000095.04平方</w:t>
      </w:r>
      <w:r>
        <w:rPr>
          <w:rFonts w:hint="eastAsia" w:ascii="宋体" w:hAnsi="宋体" w:cs="宋体"/>
          <w:color w:val="auto"/>
          <w:kern w:val="0"/>
          <w:sz w:val="24"/>
          <w:highlight w:val="none"/>
          <w:lang w:val="en-US" w:eastAsia="zh-CN"/>
        </w:rPr>
        <w:t>米</w:t>
      </w:r>
      <w:r>
        <w:rPr>
          <w:rFonts w:hint="eastAsia" w:ascii="宋体" w:hAnsi="宋体" w:cs="宋体"/>
          <w:color w:val="auto"/>
          <w:kern w:val="0"/>
          <w:sz w:val="24"/>
          <w:highlight w:val="none"/>
        </w:rPr>
        <w:t>；保洁I标（绿化带）面积为1265106.5平方</w:t>
      </w:r>
      <w:r>
        <w:rPr>
          <w:rFonts w:hint="eastAsia" w:ascii="宋体" w:hAnsi="宋体" w:cs="宋体"/>
          <w:color w:val="auto"/>
          <w:kern w:val="0"/>
          <w:sz w:val="24"/>
          <w:highlight w:val="none"/>
          <w:lang w:val="en-US" w:eastAsia="zh-CN"/>
        </w:rPr>
        <w:t>米</w:t>
      </w:r>
      <w:r>
        <w:rPr>
          <w:rFonts w:hint="eastAsia" w:ascii="宋体" w:hAnsi="宋体" w:cs="宋体"/>
          <w:b/>
          <w:bCs/>
          <w:color w:val="auto"/>
          <w:kern w:val="0"/>
          <w:sz w:val="24"/>
          <w:highlight w:val="none"/>
        </w:rPr>
        <w:t>；</w:t>
      </w:r>
      <w:r>
        <w:rPr>
          <w:rFonts w:hint="eastAsia" w:ascii="宋体" w:hAnsi="宋体" w:cs="宋体"/>
          <w:color w:val="auto"/>
          <w:kern w:val="0"/>
          <w:sz w:val="24"/>
          <w:highlight w:val="none"/>
        </w:rPr>
        <w:t>共计面积2265201.54平方</w:t>
      </w:r>
      <w:r>
        <w:rPr>
          <w:rFonts w:hint="eastAsia" w:ascii="宋体" w:hAnsi="宋体" w:cs="宋体"/>
          <w:color w:val="auto"/>
          <w:kern w:val="0"/>
          <w:sz w:val="24"/>
          <w:highlight w:val="none"/>
          <w:lang w:val="en-US" w:eastAsia="zh-CN"/>
        </w:rPr>
        <w:t>米</w:t>
      </w:r>
      <w:r>
        <w:rPr>
          <w:rFonts w:hint="eastAsia" w:ascii="宋体" w:hAnsi="宋体" w:cs="宋体"/>
          <w:color w:val="auto"/>
          <w:kern w:val="0"/>
          <w:sz w:val="24"/>
          <w:highlight w:val="none"/>
        </w:rPr>
        <w:t>。保洁II标（道路）面积为1098311.98平方</w:t>
      </w:r>
      <w:r>
        <w:rPr>
          <w:rFonts w:hint="eastAsia" w:ascii="宋体" w:hAnsi="宋体" w:cs="宋体"/>
          <w:color w:val="auto"/>
          <w:kern w:val="0"/>
          <w:sz w:val="24"/>
          <w:highlight w:val="none"/>
          <w:lang w:val="en-US" w:eastAsia="zh-CN"/>
        </w:rPr>
        <w:t>米</w:t>
      </w:r>
      <w:r>
        <w:rPr>
          <w:rFonts w:hint="eastAsia" w:ascii="宋体" w:hAnsi="宋体" w:cs="宋体"/>
          <w:b/>
          <w:bCs/>
          <w:color w:val="auto"/>
          <w:kern w:val="0"/>
          <w:sz w:val="24"/>
          <w:highlight w:val="none"/>
        </w:rPr>
        <w:t>；</w:t>
      </w:r>
      <w:r>
        <w:rPr>
          <w:rFonts w:hint="eastAsia" w:ascii="宋体" w:hAnsi="宋体" w:cs="宋体"/>
          <w:color w:val="auto"/>
          <w:kern w:val="0"/>
          <w:sz w:val="24"/>
          <w:highlight w:val="none"/>
        </w:rPr>
        <w:t>保洁II标（绿化带）面积为680494.19平方</w:t>
      </w:r>
      <w:r>
        <w:rPr>
          <w:rFonts w:hint="eastAsia" w:ascii="宋体" w:hAnsi="宋体" w:cs="宋体"/>
          <w:color w:val="auto"/>
          <w:kern w:val="0"/>
          <w:sz w:val="24"/>
          <w:highlight w:val="none"/>
          <w:lang w:val="en-US" w:eastAsia="zh-CN"/>
        </w:rPr>
        <w:t>米</w:t>
      </w:r>
      <w:r>
        <w:rPr>
          <w:rFonts w:hint="eastAsia" w:ascii="宋体" w:hAnsi="宋体" w:cs="宋体"/>
          <w:b/>
          <w:bCs/>
          <w:color w:val="auto"/>
          <w:kern w:val="0"/>
          <w:sz w:val="24"/>
          <w:highlight w:val="none"/>
        </w:rPr>
        <w:t>；</w:t>
      </w:r>
      <w:r>
        <w:rPr>
          <w:rFonts w:hint="eastAsia" w:ascii="宋体" w:hAnsi="宋体" w:cs="宋体"/>
          <w:color w:val="auto"/>
          <w:kern w:val="0"/>
          <w:sz w:val="24"/>
          <w:highlight w:val="none"/>
        </w:rPr>
        <w:t>共计面积1778806.17平方</w:t>
      </w:r>
      <w:r>
        <w:rPr>
          <w:rFonts w:hint="eastAsia" w:ascii="宋体" w:hAnsi="宋体" w:cs="宋体"/>
          <w:color w:val="auto"/>
          <w:kern w:val="0"/>
          <w:sz w:val="24"/>
          <w:highlight w:val="none"/>
          <w:lang w:val="en-US" w:eastAsia="zh-CN"/>
        </w:rPr>
        <w:t>米</w:t>
      </w:r>
      <w:r>
        <w:rPr>
          <w:rFonts w:hint="eastAsia" w:ascii="宋体" w:hAnsi="宋体" w:cs="宋体"/>
          <w:color w:val="auto"/>
          <w:kern w:val="0"/>
          <w:sz w:val="24"/>
          <w:highlight w:val="none"/>
        </w:rPr>
        <w:t>。具体详见清单。本项目服务期为二年。</w:t>
      </w:r>
    </w:p>
    <w:p>
      <w:pPr>
        <w:pStyle w:val="82"/>
        <w:widowControl w:val="0"/>
        <w:tabs>
          <w:tab w:val="left" w:pos="540"/>
        </w:tabs>
        <w:spacing w:afterLines="0" w:line="360" w:lineRule="auto"/>
        <w:ind w:firstLine="347" w:firstLineChars="144"/>
        <w:outlineLvl w:val="3"/>
        <w:rPr>
          <w:rFonts w:ascii="宋体" w:hAnsi="宋体"/>
          <w:b/>
          <w:color w:val="auto"/>
          <w:szCs w:val="24"/>
          <w:highlight w:val="none"/>
        </w:rPr>
        <w:sectPr>
          <w:footerReference r:id="rId6" w:type="default"/>
          <w:pgSz w:w="11906" w:h="16838"/>
          <w:pgMar w:top="1440" w:right="1800" w:bottom="1440" w:left="1800" w:header="851" w:footer="992" w:gutter="0"/>
          <w:cols w:space="720" w:num="1"/>
          <w:docGrid w:type="lines" w:linePitch="312" w:charSpace="0"/>
        </w:sectPr>
      </w:pPr>
    </w:p>
    <w:tbl>
      <w:tblPr>
        <w:tblStyle w:val="30"/>
        <w:tblW w:w="13900" w:type="dxa"/>
        <w:tblInd w:w="100" w:type="dxa"/>
        <w:tblLayout w:type="autofit"/>
        <w:tblCellMar>
          <w:top w:w="0" w:type="dxa"/>
          <w:left w:w="108" w:type="dxa"/>
          <w:bottom w:w="0" w:type="dxa"/>
          <w:right w:w="108" w:type="dxa"/>
        </w:tblCellMar>
      </w:tblPr>
      <w:tblGrid>
        <w:gridCol w:w="1210"/>
        <w:gridCol w:w="1210"/>
        <w:gridCol w:w="1780"/>
        <w:gridCol w:w="1338"/>
        <w:gridCol w:w="1780"/>
        <w:gridCol w:w="1438"/>
        <w:gridCol w:w="1580"/>
        <w:gridCol w:w="1781"/>
        <w:gridCol w:w="1783"/>
      </w:tblGrid>
      <w:tr>
        <w:tblPrEx>
          <w:tblCellMar>
            <w:top w:w="0" w:type="dxa"/>
            <w:left w:w="108" w:type="dxa"/>
            <w:bottom w:w="0" w:type="dxa"/>
            <w:right w:w="108" w:type="dxa"/>
          </w:tblCellMar>
        </w:tblPrEx>
        <w:trPr>
          <w:trHeight w:val="617" w:hRule="atLeast"/>
        </w:trPr>
        <w:tc>
          <w:tcPr>
            <w:tcW w:w="13900" w:type="dxa"/>
            <w:gridSpan w:val="9"/>
            <w:tcBorders>
              <w:top w:val="nil"/>
              <w:left w:val="nil"/>
              <w:bottom w:val="nil"/>
              <w:right w:val="nil"/>
            </w:tcBorders>
            <w:shd w:val="clear" w:color="auto" w:fill="auto"/>
            <w:vAlign w:val="center"/>
          </w:tcPr>
          <w:p>
            <w:pPr>
              <w:widowControl/>
              <w:jc w:val="center"/>
              <w:textAlignment w:val="center"/>
              <w:rPr>
                <w:rFonts w:ascii="宋体" w:hAnsi="宋体" w:cs="宋体"/>
                <w:b/>
                <w:bCs/>
                <w:color w:val="auto"/>
                <w:sz w:val="32"/>
                <w:szCs w:val="32"/>
                <w:highlight w:val="none"/>
              </w:rPr>
            </w:pPr>
            <w:r>
              <w:rPr>
                <w:rFonts w:hint="eastAsia" w:ascii="宋体" w:hAnsi="宋体" w:cs="宋体"/>
                <w:b/>
                <w:bCs/>
                <w:color w:val="auto"/>
                <w:kern w:val="0"/>
                <w:sz w:val="32"/>
                <w:szCs w:val="32"/>
                <w:highlight w:val="none"/>
                <w:lang w:bidi="ar"/>
              </w:rPr>
              <w:t>道路保洁Ⅰ标</w:t>
            </w:r>
          </w:p>
        </w:tc>
      </w:tr>
      <w:tr>
        <w:tblPrEx>
          <w:tblCellMar>
            <w:top w:w="0" w:type="dxa"/>
            <w:left w:w="108" w:type="dxa"/>
            <w:bottom w:w="0" w:type="dxa"/>
            <w:right w:w="108" w:type="dxa"/>
          </w:tblCellMar>
        </w:tblPrEx>
        <w:trPr>
          <w:trHeight w:val="408" w:hRule="atLeast"/>
        </w:trPr>
        <w:tc>
          <w:tcPr>
            <w:tcW w:w="12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区域</w:t>
            </w:r>
          </w:p>
        </w:tc>
        <w:tc>
          <w:tcPr>
            <w:tcW w:w="12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序号</w:t>
            </w:r>
          </w:p>
        </w:tc>
        <w:tc>
          <w:tcPr>
            <w:tcW w:w="1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名称</w:t>
            </w:r>
          </w:p>
        </w:tc>
        <w:tc>
          <w:tcPr>
            <w:tcW w:w="13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长度（M）</w:t>
            </w:r>
          </w:p>
        </w:tc>
        <w:tc>
          <w:tcPr>
            <w:tcW w:w="65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道路面积（m</w:t>
            </w:r>
            <w:r>
              <w:rPr>
                <w:rFonts w:hint="eastAsia" w:ascii="宋体" w:hAnsi="宋体" w:cs="宋体"/>
                <w:b/>
                <w:bCs/>
                <w:color w:val="auto"/>
                <w:kern w:val="0"/>
                <w:sz w:val="24"/>
                <w:highlight w:val="none"/>
                <w:vertAlign w:val="superscript"/>
                <w:lang w:bidi="ar"/>
              </w:rPr>
              <w:t>2</w:t>
            </w:r>
            <w:r>
              <w:rPr>
                <w:rStyle w:val="84"/>
                <w:rFonts w:hint="default"/>
                <w:color w:val="auto"/>
                <w:highlight w:val="none"/>
                <w:lang w:bidi="ar"/>
              </w:rPr>
              <w:t>）</w:t>
            </w:r>
          </w:p>
        </w:tc>
        <w:tc>
          <w:tcPr>
            <w:tcW w:w="17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备注</w:t>
            </w:r>
          </w:p>
        </w:tc>
      </w:tr>
      <w:tr>
        <w:tblPrEx>
          <w:tblCellMar>
            <w:top w:w="0" w:type="dxa"/>
            <w:left w:w="108" w:type="dxa"/>
            <w:bottom w:w="0" w:type="dxa"/>
            <w:right w:w="108" w:type="dxa"/>
          </w:tblCellMar>
        </w:tblPrEx>
        <w:trPr>
          <w:trHeight w:val="408" w:hRule="atLeast"/>
        </w:trPr>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4"/>
                <w:highlight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4"/>
                <w:highlight w:val="none"/>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4"/>
                <w:highlight w:val="none"/>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机动车</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非机动车</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人行道</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合计</w:t>
            </w:r>
          </w:p>
        </w:tc>
        <w:tc>
          <w:tcPr>
            <w:tcW w:w="17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4"/>
                <w:highlight w:val="none"/>
              </w:rPr>
            </w:pPr>
          </w:p>
        </w:tc>
      </w:tr>
      <w:tr>
        <w:tblPrEx>
          <w:tblCellMar>
            <w:top w:w="0" w:type="dxa"/>
            <w:left w:w="108" w:type="dxa"/>
            <w:bottom w:w="0" w:type="dxa"/>
            <w:right w:w="108" w:type="dxa"/>
          </w:tblCellMar>
        </w:tblPrEx>
        <w:trPr>
          <w:trHeight w:val="503" w:hRule="atLeast"/>
        </w:trPr>
        <w:tc>
          <w:tcPr>
            <w:tcW w:w="12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建成东区</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纬一东路</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1407.8</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19922.99 </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3158.61 </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23081.60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 w:val="24"/>
                <w:highlight w:val="none"/>
              </w:rPr>
            </w:pPr>
          </w:p>
        </w:tc>
      </w:tr>
      <w:tr>
        <w:tblPrEx>
          <w:tblCellMar>
            <w:top w:w="0" w:type="dxa"/>
            <w:left w:w="108" w:type="dxa"/>
            <w:bottom w:w="0" w:type="dxa"/>
            <w:right w:w="108" w:type="dxa"/>
          </w:tblCellMar>
        </w:tblPrEx>
        <w:trPr>
          <w:trHeight w:val="503" w:hRule="atLeast"/>
        </w:trPr>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纬三东路</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2873.9</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41303.83 </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41303.83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 w:val="24"/>
                <w:highlight w:val="none"/>
              </w:rPr>
            </w:pPr>
          </w:p>
        </w:tc>
      </w:tr>
      <w:tr>
        <w:tblPrEx>
          <w:tblCellMar>
            <w:top w:w="0" w:type="dxa"/>
            <w:left w:w="108" w:type="dxa"/>
            <w:bottom w:w="0" w:type="dxa"/>
            <w:right w:w="108" w:type="dxa"/>
          </w:tblCellMar>
        </w:tblPrEx>
        <w:trPr>
          <w:trHeight w:val="503" w:hRule="atLeast"/>
        </w:trPr>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纬五东路</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1323</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20545.86 </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4983.86 </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25529.72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 w:val="24"/>
                <w:highlight w:val="none"/>
              </w:rPr>
            </w:pPr>
          </w:p>
        </w:tc>
      </w:tr>
      <w:tr>
        <w:tblPrEx>
          <w:tblCellMar>
            <w:top w:w="0" w:type="dxa"/>
            <w:left w:w="108" w:type="dxa"/>
            <w:bottom w:w="0" w:type="dxa"/>
            <w:right w:w="108" w:type="dxa"/>
          </w:tblCellMar>
        </w:tblPrEx>
        <w:trPr>
          <w:trHeight w:val="503" w:hRule="atLeast"/>
        </w:trPr>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纬七东路</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4273.5</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110595.05 </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110595.05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 w:val="24"/>
                <w:highlight w:val="none"/>
              </w:rPr>
            </w:pPr>
          </w:p>
        </w:tc>
      </w:tr>
      <w:tr>
        <w:tblPrEx>
          <w:tblCellMar>
            <w:top w:w="0" w:type="dxa"/>
            <w:left w:w="108" w:type="dxa"/>
            <w:bottom w:w="0" w:type="dxa"/>
            <w:right w:w="108" w:type="dxa"/>
          </w:tblCellMar>
        </w:tblPrEx>
        <w:trPr>
          <w:trHeight w:val="503" w:hRule="atLeast"/>
        </w:trPr>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5</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纬九东路</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1874.7</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29077.41 </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5209.85 </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34287.26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 w:val="24"/>
                <w:highlight w:val="none"/>
              </w:rPr>
            </w:pPr>
          </w:p>
        </w:tc>
      </w:tr>
      <w:tr>
        <w:tblPrEx>
          <w:tblCellMar>
            <w:top w:w="0" w:type="dxa"/>
            <w:left w:w="108" w:type="dxa"/>
            <w:bottom w:w="0" w:type="dxa"/>
            <w:right w:w="108" w:type="dxa"/>
          </w:tblCellMar>
        </w:tblPrEx>
        <w:trPr>
          <w:trHeight w:val="503" w:hRule="atLeast"/>
        </w:trPr>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6</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纬十一东路</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3529.7</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60215.38 </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60215.38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p>
        </w:tc>
      </w:tr>
      <w:tr>
        <w:tblPrEx>
          <w:tblCellMar>
            <w:top w:w="0" w:type="dxa"/>
            <w:left w:w="108" w:type="dxa"/>
            <w:bottom w:w="0" w:type="dxa"/>
            <w:right w:w="108" w:type="dxa"/>
          </w:tblCellMar>
        </w:tblPrEx>
        <w:trPr>
          <w:trHeight w:val="503" w:hRule="atLeast"/>
        </w:trPr>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7</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东经一路</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1638.6</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10570.25 </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10570.25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p>
        </w:tc>
      </w:tr>
      <w:tr>
        <w:tblPrEx>
          <w:tblCellMar>
            <w:top w:w="0" w:type="dxa"/>
            <w:left w:w="108" w:type="dxa"/>
            <w:bottom w:w="0" w:type="dxa"/>
            <w:right w:w="108" w:type="dxa"/>
          </w:tblCellMar>
        </w:tblPrEx>
        <w:trPr>
          <w:trHeight w:val="503" w:hRule="atLeast"/>
        </w:trPr>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8</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东经三路</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1240.7</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8393.45 </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8393.45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p>
        </w:tc>
      </w:tr>
      <w:tr>
        <w:tblPrEx>
          <w:tblCellMar>
            <w:top w:w="0" w:type="dxa"/>
            <w:left w:w="108" w:type="dxa"/>
            <w:bottom w:w="0" w:type="dxa"/>
            <w:right w:w="108" w:type="dxa"/>
          </w:tblCellMar>
        </w:tblPrEx>
        <w:trPr>
          <w:trHeight w:val="503" w:hRule="atLeast"/>
        </w:trPr>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9</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东经五路</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408.9</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2983.01 </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2983.01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p>
        </w:tc>
      </w:tr>
      <w:tr>
        <w:tblPrEx>
          <w:tblCellMar>
            <w:top w:w="0" w:type="dxa"/>
            <w:left w:w="108" w:type="dxa"/>
            <w:bottom w:w="0" w:type="dxa"/>
            <w:right w:w="108" w:type="dxa"/>
          </w:tblCellMar>
        </w:tblPrEx>
        <w:trPr>
          <w:trHeight w:val="503" w:hRule="atLeast"/>
        </w:trPr>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10</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东经六路</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416.4</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4001.05 </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4001.05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p>
        </w:tc>
      </w:tr>
      <w:tr>
        <w:tblPrEx>
          <w:tblCellMar>
            <w:top w:w="0" w:type="dxa"/>
            <w:left w:w="108" w:type="dxa"/>
            <w:bottom w:w="0" w:type="dxa"/>
            <w:right w:w="108" w:type="dxa"/>
          </w:tblCellMar>
        </w:tblPrEx>
        <w:trPr>
          <w:trHeight w:val="503" w:hRule="atLeast"/>
        </w:trPr>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11</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经七东路</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1155</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34489.61 </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5841.71 </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40331.32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0"/>
                <w:szCs w:val="20"/>
                <w:highlight w:val="none"/>
                <w:lang w:bidi="ar"/>
              </w:rPr>
              <w:t>不含中间绿化带改造面积</w:t>
            </w:r>
          </w:p>
        </w:tc>
      </w:tr>
      <w:tr>
        <w:tblPrEx>
          <w:tblCellMar>
            <w:top w:w="0" w:type="dxa"/>
            <w:left w:w="108" w:type="dxa"/>
            <w:bottom w:w="0" w:type="dxa"/>
            <w:right w:w="108" w:type="dxa"/>
          </w:tblCellMar>
        </w:tblPrEx>
        <w:trPr>
          <w:trHeight w:val="503" w:hRule="atLeast"/>
        </w:trPr>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12</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东经九路</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571.7</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5506.54 </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5506.54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p>
        </w:tc>
      </w:tr>
      <w:tr>
        <w:tblPrEx>
          <w:tblCellMar>
            <w:top w:w="0" w:type="dxa"/>
            <w:left w:w="108" w:type="dxa"/>
            <w:bottom w:w="0" w:type="dxa"/>
            <w:right w:w="108" w:type="dxa"/>
          </w:tblCellMar>
        </w:tblPrEx>
        <w:trPr>
          <w:trHeight w:val="627" w:hRule="atLeast"/>
        </w:trPr>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13</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行政路及一百周边小路</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16191.30 </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6994.56 </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23185.86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p>
        </w:tc>
      </w:tr>
      <w:tr>
        <w:tblPrEx>
          <w:tblCellMar>
            <w:top w:w="0" w:type="dxa"/>
            <w:left w:w="108" w:type="dxa"/>
            <w:bottom w:w="0" w:type="dxa"/>
            <w:right w:w="108" w:type="dxa"/>
          </w:tblCellMar>
        </w:tblPrEx>
        <w:trPr>
          <w:trHeight w:val="627" w:hRule="atLeast"/>
        </w:trPr>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14</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垃圾填埋场前道路</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2071.00 </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2071.00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p>
        </w:tc>
      </w:tr>
      <w:tr>
        <w:tblPrEx>
          <w:tblCellMar>
            <w:top w:w="0" w:type="dxa"/>
            <w:left w:w="108" w:type="dxa"/>
            <w:bottom w:w="0" w:type="dxa"/>
            <w:right w:w="108" w:type="dxa"/>
          </w:tblCellMar>
        </w:tblPrEx>
        <w:trPr>
          <w:trHeight w:val="503" w:hRule="atLeast"/>
        </w:trPr>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15</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建成三路</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298.5</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2117.92 </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2117.92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东海西侧小路</w:t>
            </w:r>
          </w:p>
        </w:tc>
      </w:tr>
      <w:tr>
        <w:tblPrEx>
          <w:tblCellMar>
            <w:top w:w="0" w:type="dxa"/>
            <w:left w:w="108" w:type="dxa"/>
            <w:bottom w:w="0" w:type="dxa"/>
            <w:right w:w="108" w:type="dxa"/>
          </w:tblCellMar>
        </w:tblPrEx>
        <w:trPr>
          <w:trHeight w:val="503" w:hRule="atLeast"/>
        </w:trPr>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小计一</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4"/>
                <w:highlight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4"/>
                <w:highlight w:val="none"/>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 xml:space="preserve">367984.65 </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 xml:space="preserve">14210.17 </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 xml:space="preserve">11978.42 </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 xml:space="preserve">394173.24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p>
        </w:tc>
      </w:tr>
      <w:tr>
        <w:tblPrEx>
          <w:tblCellMar>
            <w:top w:w="0" w:type="dxa"/>
            <w:left w:w="108" w:type="dxa"/>
            <w:bottom w:w="0" w:type="dxa"/>
            <w:right w:w="108" w:type="dxa"/>
          </w:tblCellMar>
        </w:tblPrEx>
        <w:trPr>
          <w:trHeight w:val="503" w:hRule="atLeast"/>
        </w:trPr>
        <w:tc>
          <w:tcPr>
            <w:tcW w:w="12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建成西区</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纬一路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1436.1</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10386.45 </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10386.45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p>
        </w:tc>
      </w:tr>
      <w:tr>
        <w:tblPrEx>
          <w:tblCellMar>
            <w:top w:w="0" w:type="dxa"/>
            <w:left w:w="108" w:type="dxa"/>
            <w:bottom w:w="0" w:type="dxa"/>
            <w:right w:w="108" w:type="dxa"/>
          </w:tblCellMar>
        </w:tblPrEx>
        <w:trPr>
          <w:trHeight w:val="503" w:hRule="atLeast"/>
        </w:trPr>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纬三路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4266</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50347.88 </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16745.70 </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67093.58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p>
        </w:tc>
      </w:tr>
      <w:tr>
        <w:tblPrEx>
          <w:tblCellMar>
            <w:top w:w="0" w:type="dxa"/>
            <w:left w:w="108" w:type="dxa"/>
            <w:bottom w:w="0" w:type="dxa"/>
            <w:right w:w="108" w:type="dxa"/>
          </w:tblCellMar>
        </w:tblPrEx>
        <w:trPr>
          <w:trHeight w:val="503" w:hRule="atLeast"/>
        </w:trPr>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纬三支路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115.6</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742.73 </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742.73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p>
        </w:tc>
      </w:tr>
      <w:tr>
        <w:tblPrEx>
          <w:tblCellMar>
            <w:top w:w="0" w:type="dxa"/>
            <w:left w:w="108" w:type="dxa"/>
            <w:bottom w:w="0" w:type="dxa"/>
            <w:right w:w="108" w:type="dxa"/>
          </w:tblCellMar>
        </w:tblPrEx>
        <w:trPr>
          <w:trHeight w:val="503" w:hRule="atLeast"/>
        </w:trPr>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纬四路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544</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3379.19 </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3379.19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p>
        </w:tc>
      </w:tr>
      <w:tr>
        <w:tblPrEx>
          <w:tblCellMar>
            <w:top w:w="0" w:type="dxa"/>
            <w:left w:w="108" w:type="dxa"/>
            <w:bottom w:w="0" w:type="dxa"/>
            <w:right w:w="108" w:type="dxa"/>
          </w:tblCellMar>
        </w:tblPrEx>
        <w:trPr>
          <w:trHeight w:val="503" w:hRule="atLeast"/>
        </w:trPr>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6</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纬七路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4741.4</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71993.53 </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129.29 </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72122.82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p>
        </w:tc>
      </w:tr>
      <w:tr>
        <w:tblPrEx>
          <w:tblCellMar>
            <w:top w:w="0" w:type="dxa"/>
            <w:left w:w="108" w:type="dxa"/>
            <w:bottom w:w="0" w:type="dxa"/>
            <w:right w:w="108" w:type="dxa"/>
          </w:tblCellMar>
        </w:tblPrEx>
        <w:trPr>
          <w:trHeight w:val="503" w:hRule="atLeast"/>
        </w:trPr>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7</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纬九路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2867</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38516.81 </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38516.81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p>
        </w:tc>
      </w:tr>
      <w:tr>
        <w:tblPrEx>
          <w:tblCellMar>
            <w:top w:w="0" w:type="dxa"/>
            <w:left w:w="108" w:type="dxa"/>
            <w:bottom w:w="0" w:type="dxa"/>
            <w:right w:w="108" w:type="dxa"/>
          </w:tblCellMar>
        </w:tblPrEx>
        <w:trPr>
          <w:trHeight w:val="503" w:hRule="atLeast"/>
        </w:trPr>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9</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经一路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951.6</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6501.28 </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6501.28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p>
        </w:tc>
      </w:tr>
      <w:tr>
        <w:tblPrEx>
          <w:tblCellMar>
            <w:top w:w="0" w:type="dxa"/>
            <w:left w:w="108" w:type="dxa"/>
            <w:bottom w:w="0" w:type="dxa"/>
            <w:right w:w="108" w:type="dxa"/>
          </w:tblCellMar>
        </w:tblPrEx>
        <w:trPr>
          <w:trHeight w:val="503" w:hRule="atLeast"/>
        </w:trPr>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10</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经三路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1307.8</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10250.77 </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10250.77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p>
        </w:tc>
      </w:tr>
      <w:tr>
        <w:tblPrEx>
          <w:tblCellMar>
            <w:top w:w="0" w:type="dxa"/>
            <w:left w:w="108" w:type="dxa"/>
            <w:bottom w:w="0" w:type="dxa"/>
            <w:right w:w="108" w:type="dxa"/>
          </w:tblCellMar>
        </w:tblPrEx>
        <w:trPr>
          <w:trHeight w:val="503" w:hRule="atLeast"/>
        </w:trPr>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11</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经五路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1495.5</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10475.52 </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10475.52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p>
        </w:tc>
      </w:tr>
      <w:tr>
        <w:tblPrEx>
          <w:tblCellMar>
            <w:top w:w="0" w:type="dxa"/>
            <w:left w:w="108" w:type="dxa"/>
            <w:bottom w:w="0" w:type="dxa"/>
            <w:right w:w="108" w:type="dxa"/>
          </w:tblCellMar>
        </w:tblPrEx>
        <w:trPr>
          <w:trHeight w:val="503" w:hRule="atLeast"/>
        </w:trPr>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12</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经七路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909.9</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5978.92 </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5978.92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p>
        </w:tc>
      </w:tr>
      <w:tr>
        <w:tblPrEx>
          <w:tblCellMar>
            <w:top w:w="0" w:type="dxa"/>
            <w:left w:w="108" w:type="dxa"/>
            <w:bottom w:w="0" w:type="dxa"/>
            <w:right w:w="108" w:type="dxa"/>
          </w:tblCellMar>
        </w:tblPrEx>
        <w:trPr>
          <w:trHeight w:val="503" w:hRule="atLeast"/>
        </w:trPr>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13</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经九路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1557.6</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20779.33 </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20779.33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p>
        </w:tc>
      </w:tr>
      <w:tr>
        <w:tblPrEx>
          <w:tblCellMar>
            <w:top w:w="0" w:type="dxa"/>
            <w:left w:w="108" w:type="dxa"/>
            <w:bottom w:w="0" w:type="dxa"/>
            <w:right w:w="108" w:type="dxa"/>
          </w:tblCellMar>
        </w:tblPrEx>
        <w:trPr>
          <w:trHeight w:val="503" w:hRule="atLeast"/>
        </w:trPr>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14</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经十一路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872.1</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8685.93 </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8685.93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p>
        </w:tc>
      </w:tr>
      <w:tr>
        <w:tblPrEx>
          <w:tblCellMar>
            <w:top w:w="0" w:type="dxa"/>
            <w:left w:w="108" w:type="dxa"/>
            <w:bottom w:w="0" w:type="dxa"/>
            <w:right w:w="108" w:type="dxa"/>
          </w:tblCellMar>
        </w:tblPrEx>
        <w:trPr>
          <w:trHeight w:val="503" w:hRule="atLeast"/>
        </w:trPr>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15</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经十三路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2789</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73564.73 </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73564.73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边沥线-纬十一路</w:t>
            </w:r>
          </w:p>
        </w:tc>
      </w:tr>
      <w:tr>
        <w:tblPrEx>
          <w:tblCellMar>
            <w:top w:w="0" w:type="dxa"/>
            <w:left w:w="108" w:type="dxa"/>
            <w:bottom w:w="0" w:type="dxa"/>
            <w:right w:w="108" w:type="dxa"/>
          </w:tblCellMar>
        </w:tblPrEx>
        <w:trPr>
          <w:trHeight w:val="503" w:hRule="atLeast"/>
        </w:trPr>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16</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经十五路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1658</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15131.81 </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15131.81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p>
        </w:tc>
      </w:tr>
      <w:tr>
        <w:tblPrEx>
          <w:tblCellMar>
            <w:top w:w="0" w:type="dxa"/>
            <w:left w:w="108" w:type="dxa"/>
            <w:bottom w:w="0" w:type="dxa"/>
            <w:right w:w="108" w:type="dxa"/>
          </w:tblCellMar>
        </w:tblPrEx>
        <w:trPr>
          <w:trHeight w:val="503" w:hRule="atLeast"/>
        </w:trPr>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17</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经十七路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819</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7574.93 </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7574.93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p>
        </w:tc>
      </w:tr>
      <w:tr>
        <w:tblPrEx>
          <w:tblCellMar>
            <w:top w:w="0" w:type="dxa"/>
            <w:left w:w="108" w:type="dxa"/>
            <w:bottom w:w="0" w:type="dxa"/>
            <w:right w:w="108" w:type="dxa"/>
          </w:tblCellMar>
        </w:tblPrEx>
        <w:trPr>
          <w:trHeight w:val="627" w:hRule="atLeast"/>
        </w:trPr>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18</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边沥线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3890</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29660.87 </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29660.87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东进闸桥至跃进闸</w:t>
            </w:r>
          </w:p>
        </w:tc>
      </w:tr>
      <w:tr>
        <w:tblPrEx>
          <w:tblCellMar>
            <w:top w:w="0" w:type="dxa"/>
            <w:left w:w="108" w:type="dxa"/>
            <w:bottom w:w="0" w:type="dxa"/>
            <w:right w:w="108" w:type="dxa"/>
          </w:tblCellMar>
        </w:tblPrEx>
        <w:trPr>
          <w:trHeight w:val="503" w:hRule="atLeast"/>
        </w:trPr>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19</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拓展支路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1079</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8642.88 </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8642.88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p>
        </w:tc>
      </w:tr>
      <w:tr>
        <w:tblPrEx>
          <w:tblCellMar>
            <w:top w:w="0" w:type="dxa"/>
            <w:left w:w="108" w:type="dxa"/>
            <w:bottom w:w="0" w:type="dxa"/>
            <w:right w:w="108" w:type="dxa"/>
          </w:tblCellMar>
        </w:tblPrEx>
        <w:trPr>
          <w:trHeight w:val="503" w:hRule="atLeast"/>
        </w:trPr>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20</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东进闸路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154</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1177.06 </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1177.06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闸至进港公路</w:t>
            </w:r>
          </w:p>
        </w:tc>
      </w:tr>
      <w:tr>
        <w:tblPrEx>
          <w:tblCellMar>
            <w:top w:w="0" w:type="dxa"/>
            <w:left w:w="108" w:type="dxa"/>
            <w:bottom w:w="0" w:type="dxa"/>
            <w:right w:w="108" w:type="dxa"/>
          </w:tblCellMar>
        </w:tblPrEx>
        <w:trPr>
          <w:trHeight w:val="503" w:hRule="atLeast"/>
        </w:trPr>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小计二</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4"/>
                <w:highlight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4"/>
                <w:highlight w:val="none"/>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 xml:space="preserve">373790.62 </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 xml:space="preserve">16745.70 </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 xml:space="preserve">129.29 </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 xml:space="preserve">390665.61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p>
        </w:tc>
      </w:tr>
      <w:tr>
        <w:tblPrEx>
          <w:tblCellMar>
            <w:top w:w="0" w:type="dxa"/>
            <w:left w:w="108" w:type="dxa"/>
            <w:bottom w:w="0" w:type="dxa"/>
            <w:right w:w="108" w:type="dxa"/>
          </w:tblCellMar>
        </w:tblPrEx>
        <w:trPr>
          <w:trHeight w:val="503" w:hRule="atLeast"/>
        </w:trPr>
        <w:tc>
          <w:tcPr>
            <w:tcW w:w="12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提升区</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北塘东路</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3728.1</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39108.59 </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39108.59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p>
        </w:tc>
      </w:tr>
      <w:tr>
        <w:tblPrEx>
          <w:tblCellMar>
            <w:top w:w="0" w:type="dxa"/>
            <w:left w:w="108" w:type="dxa"/>
            <w:bottom w:w="0" w:type="dxa"/>
            <w:right w:w="108" w:type="dxa"/>
          </w:tblCellMar>
        </w:tblPrEx>
        <w:trPr>
          <w:trHeight w:val="627" w:hRule="atLeast"/>
        </w:trPr>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振兴大道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2585.8</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47830.76 </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14283.75 </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62114.51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进港公路以东段</w:t>
            </w:r>
          </w:p>
        </w:tc>
      </w:tr>
      <w:tr>
        <w:tblPrEx>
          <w:tblCellMar>
            <w:top w:w="0" w:type="dxa"/>
            <w:left w:w="108" w:type="dxa"/>
            <w:bottom w:w="0" w:type="dxa"/>
            <w:right w:w="108" w:type="dxa"/>
          </w:tblCellMar>
        </w:tblPrEx>
        <w:trPr>
          <w:trHeight w:val="503" w:hRule="atLeast"/>
        </w:trPr>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纵一路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967</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8619.76 </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4307.28 </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12927.04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p>
        </w:tc>
      </w:tr>
      <w:tr>
        <w:tblPrEx>
          <w:tblCellMar>
            <w:top w:w="0" w:type="dxa"/>
            <w:left w:w="108" w:type="dxa"/>
            <w:bottom w:w="0" w:type="dxa"/>
            <w:right w:w="108" w:type="dxa"/>
          </w:tblCellMar>
        </w:tblPrEx>
        <w:trPr>
          <w:trHeight w:val="503" w:hRule="atLeast"/>
        </w:trPr>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纵二路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588</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5364.46 </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2780.31 </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8144.77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p>
        </w:tc>
      </w:tr>
      <w:tr>
        <w:tblPrEx>
          <w:tblCellMar>
            <w:top w:w="0" w:type="dxa"/>
            <w:left w:w="108" w:type="dxa"/>
            <w:bottom w:w="0" w:type="dxa"/>
            <w:right w:w="108" w:type="dxa"/>
          </w:tblCellMar>
        </w:tblPrEx>
        <w:trPr>
          <w:trHeight w:val="503" w:hRule="atLeast"/>
        </w:trPr>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5</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纵三路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768.3</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6998.87 </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3429.12 </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10427.99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p>
        </w:tc>
      </w:tr>
      <w:tr>
        <w:tblPrEx>
          <w:tblCellMar>
            <w:top w:w="0" w:type="dxa"/>
            <w:left w:w="108" w:type="dxa"/>
            <w:bottom w:w="0" w:type="dxa"/>
            <w:right w:w="108" w:type="dxa"/>
          </w:tblCellMar>
        </w:tblPrEx>
        <w:trPr>
          <w:trHeight w:val="627" w:hRule="atLeast"/>
        </w:trPr>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6</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经七东路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946</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17558.68 </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6805.14 </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6705.71 </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31069.53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北塘东路以北段</w:t>
            </w:r>
          </w:p>
        </w:tc>
      </w:tr>
      <w:tr>
        <w:tblPrEx>
          <w:tblCellMar>
            <w:top w:w="0" w:type="dxa"/>
            <w:left w:w="108" w:type="dxa"/>
            <w:bottom w:w="0" w:type="dxa"/>
            <w:right w:w="108" w:type="dxa"/>
          </w:tblCellMar>
        </w:tblPrEx>
        <w:trPr>
          <w:trHeight w:val="503" w:hRule="atLeast"/>
        </w:trPr>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小计三</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4"/>
                <w:highlight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4"/>
                <w:highlight w:val="none"/>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 xml:space="preserve">125481.12 </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 xml:space="preserve">6805.14 </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 xml:space="preserve">31506.17 </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 xml:space="preserve">163792.43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
                <w:bCs/>
                <w:color w:val="auto"/>
                <w:sz w:val="24"/>
                <w:highlight w:val="none"/>
              </w:rPr>
            </w:pPr>
          </w:p>
        </w:tc>
      </w:tr>
      <w:tr>
        <w:tblPrEx>
          <w:tblCellMar>
            <w:top w:w="0" w:type="dxa"/>
            <w:left w:w="108" w:type="dxa"/>
            <w:bottom w:w="0" w:type="dxa"/>
            <w:right w:w="108" w:type="dxa"/>
          </w:tblCellMar>
        </w:tblPrEx>
        <w:trPr>
          <w:trHeight w:val="503" w:hRule="atLeast"/>
        </w:trPr>
        <w:tc>
          <w:tcPr>
            <w:tcW w:w="12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拓展区</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拓展一南路</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1142.3</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12994.7</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
                <w:bCs/>
                <w:color w:val="auto"/>
                <w:sz w:val="24"/>
                <w:highlight w:val="none"/>
              </w:rPr>
            </w:pPr>
          </w:p>
        </w:tc>
      </w:tr>
      <w:tr>
        <w:tblPrEx>
          <w:tblCellMar>
            <w:top w:w="0" w:type="dxa"/>
            <w:left w:w="108" w:type="dxa"/>
            <w:bottom w:w="0" w:type="dxa"/>
            <w:right w:w="108" w:type="dxa"/>
          </w:tblCellMar>
        </w:tblPrEx>
        <w:trPr>
          <w:trHeight w:val="503" w:hRule="atLeast"/>
        </w:trPr>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拓展三路</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957.6</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13923.27</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
                <w:bCs/>
                <w:color w:val="auto"/>
                <w:sz w:val="24"/>
                <w:highlight w:val="none"/>
              </w:rPr>
            </w:pPr>
          </w:p>
        </w:tc>
      </w:tr>
      <w:tr>
        <w:tblPrEx>
          <w:tblCellMar>
            <w:top w:w="0" w:type="dxa"/>
            <w:left w:w="108" w:type="dxa"/>
            <w:bottom w:w="0" w:type="dxa"/>
            <w:right w:w="108" w:type="dxa"/>
          </w:tblCellMar>
        </w:tblPrEx>
        <w:trPr>
          <w:trHeight w:val="503" w:hRule="atLeast"/>
        </w:trPr>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拓展八路</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1420.4</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16691.07</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
                <w:bCs/>
                <w:color w:val="auto"/>
                <w:sz w:val="24"/>
                <w:highlight w:val="none"/>
              </w:rPr>
            </w:pPr>
          </w:p>
        </w:tc>
      </w:tr>
      <w:tr>
        <w:tblPrEx>
          <w:tblCellMar>
            <w:top w:w="0" w:type="dxa"/>
            <w:left w:w="108" w:type="dxa"/>
            <w:bottom w:w="0" w:type="dxa"/>
            <w:right w:w="108" w:type="dxa"/>
          </w:tblCellMar>
        </w:tblPrEx>
        <w:trPr>
          <w:trHeight w:val="503" w:hRule="atLeast"/>
        </w:trPr>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拓展六路</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998.6</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7854.72</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
                <w:bCs/>
                <w:color w:val="auto"/>
                <w:sz w:val="24"/>
                <w:highlight w:val="none"/>
              </w:rPr>
            </w:pPr>
          </w:p>
        </w:tc>
      </w:tr>
      <w:tr>
        <w:tblPrEx>
          <w:tblCellMar>
            <w:top w:w="0" w:type="dxa"/>
            <w:left w:w="108" w:type="dxa"/>
            <w:bottom w:w="0" w:type="dxa"/>
            <w:right w:w="108" w:type="dxa"/>
          </w:tblCellMar>
        </w:tblPrEx>
        <w:trPr>
          <w:trHeight w:val="503" w:hRule="atLeast"/>
        </w:trPr>
        <w:tc>
          <w:tcPr>
            <w:tcW w:w="1210" w:type="dxa"/>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cs="宋体"/>
                <w:color w:val="auto"/>
                <w:sz w:val="22"/>
                <w:szCs w:val="22"/>
                <w:highlight w:val="none"/>
              </w:rPr>
            </w:pPr>
          </w:p>
        </w:tc>
        <w:tc>
          <w:tcPr>
            <w:tcW w:w="1210" w:type="dxa"/>
            <w:tcBorders>
              <w:top w:val="single" w:color="000000" w:sz="4" w:space="0"/>
              <w:left w:val="nil"/>
              <w:bottom w:val="single" w:color="000000" w:sz="4" w:space="0"/>
              <w:right w:val="nil"/>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小计四</w:t>
            </w:r>
          </w:p>
        </w:tc>
        <w:tc>
          <w:tcPr>
            <w:tcW w:w="1780"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b/>
                <w:bCs/>
                <w:color w:val="auto"/>
                <w:sz w:val="24"/>
                <w:highlight w:val="none"/>
              </w:rPr>
            </w:pPr>
          </w:p>
        </w:tc>
        <w:tc>
          <w:tcPr>
            <w:tcW w:w="1338"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b/>
                <w:bCs/>
                <w:color w:val="auto"/>
                <w:sz w:val="24"/>
                <w:highlight w:val="none"/>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4"/>
                <w:highlight w:val="none"/>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4"/>
                <w:highlight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4"/>
                <w:highlight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 xml:space="preserve">51463.76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
                <w:bCs/>
                <w:color w:val="auto"/>
                <w:sz w:val="24"/>
                <w:highlight w:val="none"/>
              </w:rPr>
            </w:pPr>
          </w:p>
        </w:tc>
      </w:tr>
      <w:tr>
        <w:tblPrEx>
          <w:tblCellMar>
            <w:top w:w="0" w:type="dxa"/>
            <w:left w:w="108" w:type="dxa"/>
            <w:bottom w:w="0" w:type="dxa"/>
            <w:right w:w="108" w:type="dxa"/>
          </w:tblCellMar>
        </w:tblPrEx>
        <w:trPr>
          <w:trHeight w:val="513" w:hRule="atLeast"/>
        </w:trPr>
        <w:tc>
          <w:tcPr>
            <w:tcW w:w="4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合计</w:t>
            </w:r>
          </w:p>
        </w:tc>
        <w:tc>
          <w:tcPr>
            <w:tcW w:w="1338"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b/>
                <w:bCs/>
                <w:color w:val="auto"/>
                <w:sz w:val="24"/>
                <w:highlight w:val="none"/>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 xml:space="preserve">867256.39 </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 xml:space="preserve">37761.01 </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 xml:space="preserve">43613.88 </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 xml:space="preserve">1000095.04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
                <w:bCs/>
                <w:color w:val="auto"/>
                <w:sz w:val="24"/>
                <w:highlight w:val="none"/>
              </w:rPr>
            </w:pPr>
          </w:p>
        </w:tc>
      </w:tr>
    </w:tbl>
    <w:p>
      <w:pPr>
        <w:pStyle w:val="82"/>
        <w:widowControl w:val="0"/>
        <w:tabs>
          <w:tab w:val="left" w:pos="540"/>
        </w:tabs>
        <w:spacing w:afterLines="0" w:line="360" w:lineRule="auto"/>
        <w:ind w:firstLine="0" w:firstLineChars="0"/>
        <w:outlineLvl w:val="3"/>
        <w:rPr>
          <w:rFonts w:hint="eastAsia" w:ascii="宋体" w:hAnsi="宋体" w:eastAsia="宋体"/>
          <w:b/>
          <w:color w:val="auto"/>
          <w:szCs w:val="24"/>
          <w:highlight w:val="none"/>
          <w:lang w:val="en-US" w:eastAsia="zh-CN"/>
        </w:rPr>
        <w:sectPr>
          <w:pgSz w:w="16838" w:h="11906" w:orient="landscape"/>
          <w:pgMar w:top="1800" w:right="1440" w:bottom="1800" w:left="1440" w:header="851" w:footer="992" w:gutter="0"/>
          <w:cols w:space="720" w:num="1"/>
          <w:docGrid w:type="lines" w:linePitch="312" w:charSpace="0"/>
        </w:sectPr>
      </w:pPr>
    </w:p>
    <w:tbl>
      <w:tblPr>
        <w:tblStyle w:val="30"/>
        <w:tblW w:w="8280" w:type="dxa"/>
        <w:tblInd w:w="100" w:type="dxa"/>
        <w:tblLayout w:type="fixed"/>
        <w:tblCellMar>
          <w:top w:w="0" w:type="dxa"/>
          <w:left w:w="108" w:type="dxa"/>
          <w:bottom w:w="0" w:type="dxa"/>
          <w:right w:w="108" w:type="dxa"/>
        </w:tblCellMar>
      </w:tblPr>
      <w:tblGrid>
        <w:gridCol w:w="936"/>
        <w:gridCol w:w="473"/>
        <w:gridCol w:w="749"/>
        <w:gridCol w:w="1110"/>
        <w:gridCol w:w="1205"/>
        <w:gridCol w:w="984"/>
        <w:gridCol w:w="668"/>
        <w:gridCol w:w="946"/>
        <w:gridCol w:w="1209"/>
      </w:tblGrid>
      <w:tr>
        <w:tblPrEx>
          <w:tblCellMar>
            <w:top w:w="0" w:type="dxa"/>
            <w:left w:w="108" w:type="dxa"/>
            <w:bottom w:w="0" w:type="dxa"/>
            <w:right w:w="108" w:type="dxa"/>
          </w:tblCellMar>
        </w:tblPrEx>
        <w:trPr>
          <w:trHeight w:val="90" w:hRule="atLeast"/>
        </w:trPr>
        <w:tc>
          <w:tcPr>
            <w:tcW w:w="8280" w:type="dxa"/>
            <w:gridSpan w:val="9"/>
            <w:tcBorders>
              <w:top w:val="nil"/>
              <w:left w:val="nil"/>
              <w:bottom w:val="nil"/>
              <w:right w:val="nil"/>
            </w:tcBorders>
            <w:shd w:val="clear" w:color="auto" w:fill="auto"/>
            <w:vAlign w:val="center"/>
          </w:tcPr>
          <w:p>
            <w:pPr>
              <w:widowControl/>
              <w:jc w:val="center"/>
              <w:textAlignment w:val="center"/>
              <w:rPr>
                <w:rFonts w:ascii="宋体" w:hAnsi="宋体" w:cs="宋体"/>
                <w:b/>
                <w:bCs/>
                <w:color w:val="auto"/>
                <w:sz w:val="36"/>
                <w:szCs w:val="36"/>
                <w:highlight w:val="none"/>
              </w:rPr>
            </w:pPr>
            <w:r>
              <w:rPr>
                <w:rFonts w:hint="eastAsia" w:ascii="宋体" w:hAnsi="宋体" w:cs="宋体"/>
                <w:b/>
                <w:bCs/>
                <w:color w:val="auto"/>
                <w:kern w:val="0"/>
                <w:sz w:val="36"/>
                <w:szCs w:val="36"/>
                <w:highlight w:val="none"/>
                <w:lang w:bidi="ar"/>
              </w:rPr>
              <w:t>绿化带保洁I标</w:t>
            </w:r>
          </w:p>
        </w:tc>
      </w:tr>
      <w:tr>
        <w:tblPrEx>
          <w:tblCellMar>
            <w:top w:w="0" w:type="dxa"/>
            <w:left w:w="108" w:type="dxa"/>
            <w:bottom w:w="0" w:type="dxa"/>
            <w:right w:w="108" w:type="dxa"/>
          </w:tblCellMar>
        </w:tblPrEx>
        <w:trPr>
          <w:trHeight w:val="1383"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区域</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序号</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路段名称</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具体起终点位置</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道路长度（m）</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绿化面积（㎡）</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行道树        （≥15㎝）</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行道树        （≤15㎝）</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备注</w:t>
            </w:r>
          </w:p>
        </w:tc>
      </w:tr>
      <w:tr>
        <w:tblPrEx>
          <w:tblCellMar>
            <w:top w:w="0" w:type="dxa"/>
            <w:left w:w="108" w:type="dxa"/>
            <w:bottom w:w="0" w:type="dxa"/>
            <w:right w:w="108" w:type="dxa"/>
          </w:tblCellMar>
        </w:tblPrEx>
        <w:trPr>
          <w:trHeight w:val="749" w:hRule="atLeast"/>
        </w:trPr>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建成东区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纬一东路</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进港公路至洁华化工</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1407.8</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14817.9</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r>
      <w:tr>
        <w:tblPrEx>
          <w:tblCellMar>
            <w:top w:w="0" w:type="dxa"/>
            <w:left w:w="108" w:type="dxa"/>
            <w:bottom w:w="0" w:type="dxa"/>
            <w:right w:w="108" w:type="dxa"/>
          </w:tblCellMar>
        </w:tblPrEx>
        <w:trPr>
          <w:trHeight w:val="749"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纬三东路</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进港公路至永农围墙</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2873.9</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40860.8</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r>
      <w:tr>
        <w:tblPrEx>
          <w:tblCellMar>
            <w:top w:w="0" w:type="dxa"/>
            <w:left w:w="108" w:type="dxa"/>
            <w:bottom w:w="0" w:type="dxa"/>
            <w:right w:w="108" w:type="dxa"/>
          </w:tblCellMar>
        </w:tblPrEx>
        <w:trPr>
          <w:trHeight w:val="749"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纬七东路</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进港公路至闰土以东</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4273.5</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249428.9</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不含中间绿化带</w:t>
            </w:r>
          </w:p>
        </w:tc>
      </w:tr>
      <w:tr>
        <w:tblPrEx>
          <w:tblCellMar>
            <w:top w:w="0" w:type="dxa"/>
            <w:left w:w="108" w:type="dxa"/>
            <w:bottom w:w="0" w:type="dxa"/>
            <w:right w:w="108" w:type="dxa"/>
          </w:tblCellMar>
        </w:tblPrEx>
        <w:trPr>
          <w:trHeight w:val="933"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4</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纬九东路</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进港公路至经六东路（含白云宾馆周边）</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1874.7</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41147.5</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31</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r>
      <w:tr>
        <w:tblPrEx>
          <w:tblCellMar>
            <w:top w:w="0" w:type="dxa"/>
            <w:left w:w="108" w:type="dxa"/>
            <w:bottom w:w="0" w:type="dxa"/>
            <w:right w:w="108" w:type="dxa"/>
          </w:tblCellMar>
        </w:tblPrEx>
        <w:trPr>
          <w:trHeight w:val="1383"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5</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纬十一东路</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进港公路至东经九路（含铁塔、广场、生活区周边）</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3529.7</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155896.2</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r>
      <w:tr>
        <w:tblPrEx>
          <w:tblCellMar>
            <w:top w:w="0" w:type="dxa"/>
            <w:left w:w="108" w:type="dxa"/>
            <w:bottom w:w="0" w:type="dxa"/>
            <w:right w:w="108" w:type="dxa"/>
          </w:tblCellMar>
        </w:tblPrEx>
        <w:trPr>
          <w:trHeight w:val="930"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6</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东海西侧小路</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纬三东路以北至河道</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298.5</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1203.4</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r>
      <w:tr>
        <w:tblPrEx>
          <w:tblCellMar>
            <w:top w:w="0" w:type="dxa"/>
            <w:left w:w="108" w:type="dxa"/>
            <w:bottom w:w="0" w:type="dxa"/>
            <w:right w:w="108" w:type="dxa"/>
          </w:tblCellMar>
        </w:tblPrEx>
        <w:trPr>
          <w:trHeight w:val="1383"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7</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东经一路</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纬一东路至纬五东路、纬七东路至纬九东路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1638.6</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10753</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r>
      <w:tr>
        <w:tblPrEx>
          <w:tblCellMar>
            <w:top w:w="0" w:type="dxa"/>
            <w:left w:w="108" w:type="dxa"/>
            <w:bottom w:w="0" w:type="dxa"/>
            <w:right w:w="108" w:type="dxa"/>
          </w:tblCellMar>
        </w:tblPrEx>
        <w:trPr>
          <w:trHeight w:val="749"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8</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东经三路</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纬一东路至纬五东路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1240.7</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10185.4</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r>
      <w:tr>
        <w:tblPrEx>
          <w:tblCellMar>
            <w:top w:w="0" w:type="dxa"/>
            <w:left w:w="108" w:type="dxa"/>
            <w:bottom w:w="0" w:type="dxa"/>
            <w:right w:w="108" w:type="dxa"/>
          </w:tblCellMar>
        </w:tblPrEx>
        <w:trPr>
          <w:trHeight w:val="749"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9</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东经五路</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纬三东路至纬五东路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408.9</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4782.7</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r>
      <w:tr>
        <w:tblPrEx>
          <w:tblCellMar>
            <w:top w:w="0" w:type="dxa"/>
            <w:left w:w="108" w:type="dxa"/>
            <w:bottom w:w="0" w:type="dxa"/>
            <w:right w:w="108" w:type="dxa"/>
          </w:tblCellMar>
        </w:tblPrEx>
        <w:trPr>
          <w:trHeight w:val="930"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10</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东经六路</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纬七东路至纬十一东路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416.4</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6587.6</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r>
      <w:tr>
        <w:tblPrEx>
          <w:tblCellMar>
            <w:top w:w="0" w:type="dxa"/>
            <w:left w:w="108" w:type="dxa"/>
            <w:bottom w:w="0" w:type="dxa"/>
            <w:right w:w="108" w:type="dxa"/>
          </w:tblCellMar>
        </w:tblPrEx>
        <w:trPr>
          <w:trHeight w:val="1836"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11</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经七东路</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东北塘河至纬十一东路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1155</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48109.71</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r>
      <w:tr>
        <w:tblPrEx>
          <w:tblCellMar>
            <w:top w:w="0" w:type="dxa"/>
            <w:left w:w="108" w:type="dxa"/>
            <w:bottom w:w="0" w:type="dxa"/>
            <w:right w:w="108" w:type="dxa"/>
          </w:tblCellMar>
        </w:tblPrEx>
        <w:trPr>
          <w:trHeight w:val="930"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12</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东经九路</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纬七东路至纬十一东路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571.7</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6799.3</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r>
      <w:tr>
        <w:tblPrEx>
          <w:tblCellMar>
            <w:top w:w="0" w:type="dxa"/>
            <w:left w:w="108" w:type="dxa"/>
            <w:bottom w:w="0" w:type="dxa"/>
            <w:right w:w="108" w:type="dxa"/>
          </w:tblCellMar>
        </w:tblPrEx>
        <w:trPr>
          <w:trHeight w:val="1383"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13</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建成区道路设置工程</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后勤区停车场</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4899.8</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12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r>
      <w:tr>
        <w:tblPrEx>
          <w:tblCellMar>
            <w:top w:w="0" w:type="dxa"/>
            <w:left w:w="108" w:type="dxa"/>
            <w:bottom w:w="0" w:type="dxa"/>
            <w:right w:w="108" w:type="dxa"/>
          </w:tblCellMar>
        </w:tblPrEx>
        <w:trPr>
          <w:trHeight w:val="1383"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14</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建成区服务区配套工程</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服务区加油站边</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r>
      <w:tr>
        <w:tblPrEx>
          <w:tblCellMar>
            <w:top w:w="0" w:type="dxa"/>
            <w:left w:w="108" w:type="dxa"/>
            <w:bottom w:w="0" w:type="dxa"/>
            <w:right w:w="108" w:type="dxa"/>
          </w:tblCellMar>
        </w:tblPrEx>
        <w:trPr>
          <w:trHeight w:val="749"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15</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文体中心</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文体中心周边</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r>
      <w:tr>
        <w:tblPrEx>
          <w:tblCellMar>
            <w:top w:w="0" w:type="dxa"/>
            <w:left w:w="108" w:type="dxa"/>
            <w:bottom w:w="0" w:type="dxa"/>
            <w:right w:w="108" w:type="dxa"/>
          </w:tblCellMar>
        </w:tblPrEx>
        <w:trPr>
          <w:trHeight w:val="749" w:hRule="atLeast"/>
        </w:trPr>
        <w:tc>
          <w:tcPr>
            <w:tcW w:w="32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小计一</w:t>
            </w:r>
          </w:p>
        </w:tc>
        <w:tc>
          <w:tcPr>
            <w:tcW w:w="1205"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595472.21</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31</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r>
      <w:tr>
        <w:tblPrEx>
          <w:tblCellMar>
            <w:top w:w="0" w:type="dxa"/>
            <w:left w:w="108" w:type="dxa"/>
            <w:bottom w:w="0" w:type="dxa"/>
            <w:right w:w="108" w:type="dxa"/>
          </w:tblCellMar>
        </w:tblPrEx>
        <w:trPr>
          <w:trHeight w:val="933" w:hRule="atLeast"/>
        </w:trPr>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建成区西区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纬一路</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北塘河南侧绿化带至秦燕东侧道路绿化带</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1436.1</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32124.3</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r>
      <w:tr>
        <w:tblPrEx>
          <w:tblCellMar>
            <w:top w:w="0" w:type="dxa"/>
            <w:left w:w="108" w:type="dxa"/>
            <w:bottom w:w="0" w:type="dxa"/>
            <w:right w:w="108" w:type="dxa"/>
          </w:tblCellMar>
        </w:tblPrEx>
        <w:trPr>
          <w:trHeight w:val="749"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纬三路</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经十三路以西</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4266</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69844.5</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r>
      <w:tr>
        <w:tblPrEx>
          <w:tblCellMar>
            <w:top w:w="0" w:type="dxa"/>
            <w:left w:w="108" w:type="dxa"/>
            <w:bottom w:w="0" w:type="dxa"/>
            <w:right w:w="108" w:type="dxa"/>
          </w:tblCellMar>
        </w:tblPrEx>
        <w:trPr>
          <w:trHeight w:val="749"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纬四路</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经十三路东至经九路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544</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2065.8</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highlight w:val="none"/>
                <w:lang w:bidi="ar"/>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highlight w:val="none"/>
                <w:lang w:bidi="ar"/>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r>
      <w:tr>
        <w:tblPrEx>
          <w:tblCellMar>
            <w:top w:w="0" w:type="dxa"/>
            <w:left w:w="108" w:type="dxa"/>
            <w:bottom w:w="0" w:type="dxa"/>
            <w:right w:w="108" w:type="dxa"/>
          </w:tblCellMar>
        </w:tblPrEx>
        <w:trPr>
          <w:trHeight w:val="749"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4</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纬七路</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经九路至西直塘河</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2867</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171389.3</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r>
      <w:tr>
        <w:tblPrEx>
          <w:tblCellMar>
            <w:top w:w="0" w:type="dxa"/>
            <w:left w:w="108" w:type="dxa"/>
            <w:bottom w:w="0" w:type="dxa"/>
            <w:right w:w="108" w:type="dxa"/>
          </w:tblCellMar>
        </w:tblPrEx>
        <w:trPr>
          <w:trHeight w:val="1383"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5</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纬九路</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东进河西至经十三路、经十七路至经十五路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3603.7</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45833.4</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r>
      <w:tr>
        <w:tblPrEx>
          <w:tblCellMar>
            <w:top w:w="0" w:type="dxa"/>
            <w:left w:w="108" w:type="dxa"/>
            <w:bottom w:w="0" w:type="dxa"/>
            <w:right w:w="108" w:type="dxa"/>
          </w:tblCellMar>
        </w:tblPrEx>
        <w:trPr>
          <w:trHeight w:val="933"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6</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经一路</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纬三路至中心河、纬三路至纬七路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951.6</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8319.9</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highlight w:val="none"/>
                <w:lang w:bidi="ar"/>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highlight w:val="none"/>
                <w:lang w:bidi="ar"/>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r>
      <w:tr>
        <w:tblPrEx>
          <w:tblCellMar>
            <w:top w:w="0" w:type="dxa"/>
            <w:left w:w="108" w:type="dxa"/>
            <w:bottom w:w="0" w:type="dxa"/>
            <w:right w:w="108" w:type="dxa"/>
          </w:tblCellMar>
        </w:tblPrEx>
        <w:trPr>
          <w:trHeight w:val="933"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7</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经三路</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泵站路至中心河、纬三路至纬七路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1307.8</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16077.6</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highlight w:val="none"/>
                <w:lang w:bidi="ar"/>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highlight w:val="none"/>
                <w:lang w:bidi="ar"/>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r>
      <w:tr>
        <w:tblPrEx>
          <w:tblCellMar>
            <w:top w:w="0" w:type="dxa"/>
            <w:left w:w="108" w:type="dxa"/>
            <w:bottom w:w="0" w:type="dxa"/>
            <w:right w:w="108" w:type="dxa"/>
          </w:tblCellMar>
        </w:tblPrEx>
        <w:trPr>
          <w:trHeight w:val="933"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8</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经五路</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纬三路至中心河、中心河至纬十一路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1495.5</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18589.2</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r>
      <w:tr>
        <w:tblPrEx>
          <w:tblCellMar>
            <w:top w:w="0" w:type="dxa"/>
            <w:left w:w="108" w:type="dxa"/>
            <w:bottom w:w="0" w:type="dxa"/>
            <w:right w:w="108" w:type="dxa"/>
          </w:tblCellMar>
        </w:tblPrEx>
        <w:trPr>
          <w:trHeight w:val="1383"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9</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经七路</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纬五路至中心河、经五路至纬七路（含河边）</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909.9</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16100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r>
      <w:tr>
        <w:tblPrEx>
          <w:tblCellMar>
            <w:top w:w="0" w:type="dxa"/>
            <w:left w:w="108" w:type="dxa"/>
            <w:bottom w:w="0" w:type="dxa"/>
            <w:right w:w="108" w:type="dxa"/>
          </w:tblCellMar>
        </w:tblPrEx>
        <w:trPr>
          <w:trHeight w:val="933"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10</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经九路</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纬三路至中心河、中心河至纬十一路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1557.6</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28781</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r>
      <w:tr>
        <w:tblPrEx>
          <w:tblCellMar>
            <w:top w:w="0" w:type="dxa"/>
            <w:left w:w="108" w:type="dxa"/>
            <w:bottom w:w="0" w:type="dxa"/>
            <w:right w:w="108" w:type="dxa"/>
          </w:tblCellMar>
        </w:tblPrEx>
        <w:trPr>
          <w:trHeight w:val="749"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11</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经十一路</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纬三路至中心河</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872.1</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9239.8</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r>
      <w:tr>
        <w:tblPrEx>
          <w:tblCellMar>
            <w:top w:w="0" w:type="dxa"/>
            <w:left w:w="108" w:type="dxa"/>
            <w:bottom w:w="0" w:type="dxa"/>
            <w:right w:w="108" w:type="dxa"/>
          </w:tblCellMar>
        </w:tblPrEx>
        <w:trPr>
          <w:trHeight w:val="1383"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12</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经十三路</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（东侧）</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拓展路至纬十一路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2789</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49320.4</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含西侧绿化带部分交叉口</w:t>
            </w:r>
          </w:p>
        </w:tc>
      </w:tr>
      <w:tr>
        <w:tblPrEx>
          <w:tblCellMar>
            <w:top w:w="0" w:type="dxa"/>
            <w:left w:w="108" w:type="dxa"/>
            <w:bottom w:w="0" w:type="dxa"/>
            <w:right w:w="108" w:type="dxa"/>
          </w:tblCellMar>
        </w:tblPrEx>
        <w:trPr>
          <w:trHeight w:val="749"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13</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经十五路</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纬三路至纬十一路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1658</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41116.1</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r>
      <w:tr>
        <w:tblPrEx>
          <w:tblCellMar>
            <w:top w:w="0" w:type="dxa"/>
            <w:left w:w="108" w:type="dxa"/>
            <w:bottom w:w="0" w:type="dxa"/>
            <w:right w:w="108" w:type="dxa"/>
          </w:tblCellMar>
        </w:tblPrEx>
        <w:trPr>
          <w:trHeight w:val="749"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14</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经十七路</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纬七路至纬十一路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819</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6403.8</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r>
      <w:tr>
        <w:tblPrEx>
          <w:tblCellMar>
            <w:top w:w="0" w:type="dxa"/>
            <w:left w:w="108" w:type="dxa"/>
            <w:bottom w:w="0" w:type="dxa"/>
            <w:right w:w="108" w:type="dxa"/>
          </w:tblCellMar>
        </w:tblPrEx>
        <w:trPr>
          <w:trHeight w:val="749" w:hRule="atLeast"/>
        </w:trPr>
        <w:tc>
          <w:tcPr>
            <w:tcW w:w="32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小计二</w:t>
            </w:r>
          </w:p>
        </w:tc>
        <w:tc>
          <w:tcPr>
            <w:tcW w:w="1205"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515205.1</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r>
      <w:tr>
        <w:tblPrEx>
          <w:tblCellMar>
            <w:top w:w="0" w:type="dxa"/>
            <w:left w:w="108" w:type="dxa"/>
            <w:bottom w:w="0" w:type="dxa"/>
            <w:right w:w="108" w:type="dxa"/>
          </w:tblCellMar>
        </w:tblPrEx>
        <w:trPr>
          <w:trHeight w:val="1383" w:hRule="atLeast"/>
        </w:trPr>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提升区</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北塘东路（北侧绿化带）</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纵一路至纵三路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16992</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highlight w:val="none"/>
                <w:lang w:bidi="ar"/>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highlight w:val="none"/>
                <w:lang w:bidi="ar"/>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不含北侧</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平地草皮</w:t>
            </w:r>
          </w:p>
        </w:tc>
      </w:tr>
      <w:tr>
        <w:tblPrEx>
          <w:tblCellMar>
            <w:top w:w="0" w:type="dxa"/>
            <w:left w:w="108" w:type="dxa"/>
            <w:bottom w:w="0" w:type="dxa"/>
            <w:right w:w="108" w:type="dxa"/>
          </w:tblCellMar>
        </w:tblPrEx>
        <w:trPr>
          <w:trHeight w:val="749"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highlight w:val="none"/>
                <w:lang w:bidi="ar"/>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纵一路</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振兴一路至北塘东路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967</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137437.15</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highlight w:val="none"/>
                <w:lang w:bidi="ar"/>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highlight w:val="none"/>
                <w:lang w:bidi="ar"/>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highlight w:val="none"/>
                <w:lang w:bidi="ar"/>
              </w:rPr>
            </w:pPr>
          </w:p>
        </w:tc>
      </w:tr>
      <w:tr>
        <w:tblPrEx>
          <w:tblCellMar>
            <w:top w:w="0" w:type="dxa"/>
            <w:left w:w="108" w:type="dxa"/>
            <w:bottom w:w="0" w:type="dxa"/>
            <w:right w:w="108" w:type="dxa"/>
          </w:tblCellMar>
        </w:tblPrEx>
        <w:trPr>
          <w:trHeight w:val="749"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highlight w:val="none"/>
                <w:lang w:bidi="ar"/>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纵二路</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振兴大道至北塘东路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588</w:t>
            </w: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highlight w:val="none"/>
                <w:lang w:bidi="ar"/>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highlight w:val="none"/>
                <w:lang w:bidi="ar"/>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highlight w:val="none"/>
                <w:lang w:bidi="ar"/>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highlight w:val="none"/>
                <w:lang w:bidi="ar"/>
              </w:rPr>
            </w:pPr>
          </w:p>
        </w:tc>
      </w:tr>
      <w:tr>
        <w:tblPrEx>
          <w:tblCellMar>
            <w:top w:w="0" w:type="dxa"/>
            <w:left w:w="108" w:type="dxa"/>
            <w:bottom w:w="0" w:type="dxa"/>
            <w:right w:w="108" w:type="dxa"/>
          </w:tblCellMar>
        </w:tblPrEx>
        <w:trPr>
          <w:trHeight w:val="749"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highlight w:val="none"/>
                <w:lang w:bidi="ar"/>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4</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纵三路</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横六河至北塘东路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768.3</w:t>
            </w: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highlight w:val="none"/>
                <w:lang w:bidi="ar"/>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highlight w:val="none"/>
                <w:lang w:bidi="ar"/>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highlight w:val="none"/>
                <w:lang w:bidi="ar"/>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highlight w:val="none"/>
                <w:lang w:bidi="ar"/>
              </w:rPr>
            </w:pPr>
          </w:p>
        </w:tc>
      </w:tr>
      <w:tr>
        <w:tblPrEx>
          <w:tblCellMar>
            <w:top w:w="0" w:type="dxa"/>
            <w:left w:w="108" w:type="dxa"/>
            <w:bottom w:w="0" w:type="dxa"/>
            <w:right w:w="108" w:type="dxa"/>
          </w:tblCellMar>
        </w:tblPrEx>
        <w:trPr>
          <w:trHeight w:val="1383"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highlight w:val="none"/>
                <w:lang w:bidi="ar"/>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5</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经七东路（提升区段）</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横六河至北塘东路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946</w:t>
            </w: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highlight w:val="none"/>
                <w:lang w:bidi="ar"/>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highlight w:val="none"/>
                <w:lang w:bidi="ar"/>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highlight w:val="none"/>
                <w:lang w:bidi="ar"/>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highlight w:val="none"/>
                <w:lang w:bidi="ar"/>
              </w:rPr>
            </w:pPr>
          </w:p>
        </w:tc>
      </w:tr>
      <w:tr>
        <w:tblPrEx>
          <w:tblCellMar>
            <w:top w:w="0" w:type="dxa"/>
            <w:left w:w="108" w:type="dxa"/>
            <w:bottom w:w="0" w:type="dxa"/>
            <w:right w:w="108" w:type="dxa"/>
          </w:tblCellMar>
        </w:tblPrEx>
        <w:trPr>
          <w:trHeight w:val="1383"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highlight w:val="none"/>
                <w:lang w:bidi="ar"/>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6</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振兴大道（提长区段）</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进港公路延伸段至纵三路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2585.8</w:t>
            </w: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highlight w:val="none"/>
                <w:lang w:bidi="ar"/>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highlight w:val="none"/>
                <w:lang w:bidi="ar"/>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highlight w:val="none"/>
                <w:lang w:bidi="ar"/>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highlight w:val="none"/>
                <w:lang w:bidi="ar"/>
              </w:rPr>
            </w:pPr>
          </w:p>
        </w:tc>
      </w:tr>
      <w:tr>
        <w:tblPrEx>
          <w:tblCellMar>
            <w:top w:w="0" w:type="dxa"/>
            <w:left w:w="108" w:type="dxa"/>
            <w:bottom w:w="0" w:type="dxa"/>
            <w:right w:w="108" w:type="dxa"/>
          </w:tblCellMar>
        </w:tblPrEx>
        <w:trPr>
          <w:trHeight w:val="749"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highlight w:val="none"/>
                <w:lang w:bidi="ar"/>
              </w:rPr>
            </w:pPr>
          </w:p>
        </w:tc>
        <w:tc>
          <w:tcPr>
            <w:tcW w:w="233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小计三</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highlight w:val="none"/>
                <w:lang w:bidi="ar"/>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154429.15</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highlight w:val="none"/>
                <w:lang w:bidi="ar"/>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highlight w:val="none"/>
                <w:lang w:bidi="ar"/>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highlight w:val="none"/>
                <w:lang w:bidi="ar"/>
              </w:rPr>
            </w:pPr>
          </w:p>
        </w:tc>
      </w:tr>
      <w:tr>
        <w:tblPrEx>
          <w:tblCellMar>
            <w:top w:w="0" w:type="dxa"/>
            <w:left w:w="108" w:type="dxa"/>
            <w:bottom w:w="0" w:type="dxa"/>
            <w:right w:w="108" w:type="dxa"/>
          </w:tblCellMar>
        </w:tblPrEx>
        <w:trPr>
          <w:trHeight w:val="774" w:hRule="atLeast"/>
        </w:trPr>
        <w:tc>
          <w:tcPr>
            <w:tcW w:w="32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合计</w:t>
            </w:r>
          </w:p>
        </w:tc>
        <w:tc>
          <w:tcPr>
            <w:tcW w:w="1205"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1265106.46</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r>
    </w:tbl>
    <w:p>
      <w:pPr>
        <w:pStyle w:val="82"/>
        <w:widowControl w:val="0"/>
        <w:tabs>
          <w:tab w:val="left" w:pos="540"/>
        </w:tabs>
        <w:spacing w:afterLines="0" w:line="360" w:lineRule="auto"/>
        <w:ind w:firstLine="347" w:firstLineChars="144"/>
        <w:outlineLvl w:val="3"/>
        <w:rPr>
          <w:rFonts w:ascii="宋体" w:hAnsi="宋体"/>
          <w:b/>
          <w:color w:val="auto"/>
          <w:szCs w:val="24"/>
          <w:highlight w:val="none"/>
        </w:rPr>
        <w:sectPr>
          <w:pgSz w:w="11906" w:h="16838"/>
          <w:pgMar w:top="1440" w:right="1800" w:bottom="1440" w:left="1800" w:header="851" w:footer="992" w:gutter="0"/>
          <w:cols w:space="720" w:num="1"/>
          <w:docGrid w:type="lines" w:linePitch="312" w:charSpace="0"/>
        </w:sectPr>
      </w:pPr>
      <w:r>
        <w:rPr>
          <w:rFonts w:hint="eastAsia"/>
          <w:b/>
          <w:bCs/>
          <w:color w:val="auto"/>
          <w:highlight w:val="none"/>
        </w:rPr>
        <w:t>注：如有新移交道路、绿化带保洁放入I标范围，移交工程服务费用从移交之日算起</w:t>
      </w:r>
      <w:r>
        <w:rPr>
          <w:rFonts w:hint="eastAsia"/>
          <w:b/>
          <w:bCs/>
          <w:color w:val="auto"/>
          <w:highlight w:val="none"/>
          <w:lang w:eastAsia="zh-CN"/>
        </w:rPr>
        <w:t>、</w:t>
      </w:r>
      <w:r>
        <w:rPr>
          <w:rFonts w:hint="eastAsia"/>
          <w:b/>
          <w:bCs/>
          <w:color w:val="FF0000"/>
          <w:highlight w:val="none"/>
          <w:lang w:val="en-US" w:eastAsia="zh-CN"/>
        </w:rPr>
        <w:t>如有工程改造自主实施扣减面积按实计算，</w:t>
      </w:r>
      <w:r>
        <w:rPr>
          <w:rFonts w:hint="eastAsia"/>
          <w:b/>
          <w:bCs/>
          <w:color w:val="auto"/>
          <w:highlight w:val="none"/>
        </w:rPr>
        <w:t>费用参照投标报价。</w:t>
      </w:r>
    </w:p>
    <w:tbl>
      <w:tblPr>
        <w:tblStyle w:val="30"/>
        <w:tblW w:w="13920" w:type="dxa"/>
        <w:tblInd w:w="100" w:type="dxa"/>
        <w:tblLayout w:type="autofit"/>
        <w:tblCellMar>
          <w:top w:w="0" w:type="dxa"/>
          <w:left w:w="108" w:type="dxa"/>
          <w:bottom w:w="0" w:type="dxa"/>
          <w:right w:w="108" w:type="dxa"/>
        </w:tblCellMar>
      </w:tblPr>
      <w:tblGrid>
        <w:gridCol w:w="1208"/>
        <w:gridCol w:w="1208"/>
        <w:gridCol w:w="1777"/>
        <w:gridCol w:w="1393"/>
        <w:gridCol w:w="1777"/>
        <w:gridCol w:w="1364"/>
        <w:gridCol w:w="1635"/>
        <w:gridCol w:w="1778"/>
        <w:gridCol w:w="1780"/>
      </w:tblGrid>
      <w:tr>
        <w:tblPrEx>
          <w:tblCellMar>
            <w:top w:w="0" w:type="dxa"/>
            <w:left w:w="108" w:type="dxa"/>
            <w:bottom w:w="0" w:type="dxa"/>
            <w:right w:w="108" w:type="dxa"/>
          </w:tblCellMar>
        </w:tblPrEx>
        <w:trPr>
          <w:trHeight w:val="495" w:hRule="atLeast"/>
        </w:trPr>
        <w:tc>
          <w:tcPr>
            <w:tcW w:w="13920" w:type="dxa"/>
            <w:gridSpan w:val="9"/>
            <w:tcBorders>
              <w:top w:val="nil"/>
              <w:left w:val="nil"/>
              <w:bottom w:val="nil"/>
              <w:right w:val="nil"/>
            </w:tcBorders>
            <w:shd w:val="clear" w:color="auto" w:fill="auto"/>
            <w:vAlign w:val="center"/>
          </w:tcPr>
          <w:p>
            <w:pPr>
              <w:widowControl/>
              <w:jc w:val="center"/>
              <w:textAlignment w:val="center"/>
              <w:rPr>
                <w:rFonts w:ascii="宋体" w:hAnsi="宋体" w:cs="宋体"/>
                <w:b/>
                <w:bCs/>
                <w:color w:val="auto"/>
                <w:sz w:val="36"/>
                <w:szCs w:val="36"/>
                <w:highlight w:val="none"/>
              </w:rPr>
            </w:pPr>
            <w:r>
              <w:rPr>
                <w:rFonts w:hint="eastAsia" w:ascii="宋体" w:hAnsi="宋体" w:cs="宋体"/>
                <w:b/>
                <w:bCs/>
                <w:color w:val="auto"/>
                <w:kern w:val="0"/>
                <w:sz w:val="36"/>
                <w:szCs w:val="36"/>
                <w:highlight w:val="none"/>
                <w:lang w:bidi="ar"/>
              </w:rPr>
              <w:t>道路保洁Ⅱ标</w:t>
            </w:r>
          </w:p>
        </w:tc>
      </w:tr>
      <w:tr>
        <w:tblPrEx>
          <w:tblCellMar>
            <w:top w:w="0" w:type="dxa"/>
            <w:left w:w="108" w:type="dxa"/>
            <w:bottom w:w="0" w:type="dxa"/>
            <w:right w:w="108" w:type="dxa"/>
          </w:tblCellMar>
        </w:tblPrEx>
        <w:trPr>
          <w:trHeight w:val="390" w:hRule="atLeast"/>
        </w:trPr>
        <w:tc>
          <w:tcPr>
            <w:tcW w:w="12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区域</w:t>
            </w:r>
          </w:p>
        </w:tc>
        <w:tc>
          <w:tcPr>
            <w:tcW w:w="12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序号</w:t>
            </w:r>
          </w:p>
        </w:tc>
        <w:tc>
          <w:tcPr>
            <w:tcW w:w="17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名称</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长度（M）</w:t>
            </w:r>
          </w:p>
        </w:tc>
        <w:tc>
          <w:tcPr>
            <w:tcW w:w="65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道路面积（m</w:t>
            </w:r>
            <w:r>
              <w:rPr>
                <w:rStyle w:val="85"/>
                <w:rFonts w:hint="default"/>
                <w:color w:val="auto"/>
                <w:highlight w:val="none"/>
                <w:lang w:bidi="ar"/>
              </w:rPr>
              <w:t>2</w:t>
            </w:r>
            <w:r>
              <w:rPr>
                <w:rFonts w:hint="eastAsia" w:ascii="宋体" w:hAnsi="宋体" w:cs="宋体"/>
                <w:b/>
                <w:bCs/>
                <w:color w:val="auto"/>
                <w:kern w:val="0"/>
                <w:sz w:val="24"/>
                <w:highlight w:val="none"/>
                <w:lang w:bidi="ar"/>
              </w:rPr>
              <w:t>）</w:t>
            </w:r>
          </w:p>
        </w:tc>
        <w:tc>
          <w:tcPr>
            <w:tcW w:w="1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备注</w:t>
            </w:r>
          </w:p>
        </w:tc>
      </w:tr>
      <w:tr>
        <w:tblPrEx>
          <w:tblCellMar>
            <w:top w:w="0" w:type="dxa"/>
            <w:left w:w="108" w:type="dxa"/>
            <w:bottom w:w="0" w:type="dxa"/>
            <w:right w:w="108" w:type="dxa"/>
          </w:tblCellMar>
        </w:tblPrEx>
        <w:trPr>
          <w:trHeight w:val="375" w:hRule="atLeast"/>
        </w:trPr>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4"/>
                <w:highlight w:val="none"/>
              </w:rPr>
            </w:pPr>
          </w:p>
        </w:tc>
        <w:tc>
          <w:tcPr>
            <w:tcW w:w="1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4"/>
                <w:highlight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4"/>
                <w:highlight w:val="none"/>
              </w:rPr>
            </w:pP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机动车</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非机动车</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人行道</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合计</w:t>
            </w: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4"/>
                <w:highlight w:val="none"/>
              </w:rPr>
            </w:pPr>
          </w:p>
        </w:tc>
      </w:tr>
      <w:tr>
        <w:tblPrEx>
          <w:tblCellMar>
            <w:top w:w="0" w:type="dxa"/>
            <w:left w:w="108" w:type="dxa"/>
            <w:bottom w:w="0" w:type="dxa"/>
            <w:right w:w="108" w:type="dxa"/>
          </w:tblCellMar>
        </w:tblPrEx>
        <w:trPr>
          <w:trHeight w:val="402" w:hRule="atLeast"/>
        </w:trPr>
        <w:tc>
          <w:tcPr>
            <w:tcW w:w="12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东一区</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朝阳一路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3219.3</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40849.49 </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228.42 </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41077.91 </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02" w:hRule="atLeast"/>
        </w:trPr>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朝阳二路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2103.9</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19943.33 </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19943.33 </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02" w:hRule="atLeast"/>
        </w:trPr>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朝阳三路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3345.4</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30481.39 </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30481.39 </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02" w:hRule="atLeast"/>
        </w:trPr>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新兴四路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1460.0 </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17162.06 </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17162.06 </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边沥线-东一区北塘河</w:t>
            </w:r>
          </w:p>
        </w:tc>
      </w:tr>
      <w:tr>
        <w:tblPrEx>
          <w:tblCellMar>
            <w:top w:w="0" w:type="dxa"/>
            <w:left w:w="108" w:type="dxa"/>
            <w:bottom w:w="0" w:type="dxa"/>
            <w:right w:w="108" w:type="dxa"/>
          </w:tblCellMar>
        </w:tblPrEx>
        <w:trPr>
          <w:trHeight w:val="402" w:hRule="atLeast"/>
        </w:trPr>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5</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新兴三路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1490.1</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11343.45 </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11343.45 </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东一区南塘河-朝阳三路</w:t>
            </w:r>
          </w:p>
        </w:tc>
      </w:tr>
      <w:tr>
        <w:tblPrEx>
          <w:tblCellMar>
            <w:top w:w="0" w:type="dxa"/>
            <w:left w:w="108" w:type="dxa"/>
            <w:bottom w:w="0" w:type="dxa"/>
            <w:right w:w="108" w:type="dxa"/>
          </w:tblCellMar>
        </w:tblPrEx>
        <w:trPr>
          <w:trHeight w:val="402" w:hRule="atLeast"/>
        </w:trPr>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6</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新兴二路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763.1</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5896.56 </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5896.56 </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东一区南塘河-振兴大道</w:t>
            </w:r>
          </w:p>
        </w:tc>
      </w:tr>
      <w:tr>
        <w:tblPrEx>
          <w:tblCellMar>
            <w:top w:w="0" w:type="dxa"/>
            <w:left w:w="108" w:type="dxa"/>
            <w:bottom w:w="0" w:type="dxa"/>
            <w:right w:w="108" w:type="dxa"/>
          </w:tblCellMar>
        </w:tblPrEx>
        <w:trPr>
          <w:trHeight w:val="402" w:hRule="atLeast"/>
        </w:trPr>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7</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东进河路</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15501.53 </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15501.53 </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边沥线-东一区北塘河</w:t>
            </w:r>
          </w:p>
        </w:tc>
      </w:tr>
      <w:tr>
        <w:tblPrEx>
          <w:tblCellMar>
            <w:top w:w="0" w:type="dxa"/>
            <w:left w:w="108" w:type="dxa"/>
            <w:bottom w:w="0" w:type="dxa"/>
            <w:right w:w="108" w:type="dxa"/>
          </w:tblCellMar>
        </w:tblPrEx>
        <w:trPr>
          <w:trHeight w:val="402" w:hRule="atLeast"/>
        </w:trPr>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8</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东一区居住区</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10028.70 </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13167.74 </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23196.44 </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r>
      <w:tr>
        <w:tblPrEx>
          <w:tblCellMar>
            <w:top w:w="0" w:type="dxa"/>
            <w:left w:w="108" w:type="dxa"/>
            <w:bottom w:w="0" w:type="dxa"/>
            <w:right w:w="108" w:type="dxa"/>
          </w:tblCellMar>
        </w:tblPrEx>
        <w:trPr>
          <w:trHeight w:val="402" w:hRule="atLeast"/>
        </w:trPr>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小计一</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4"/>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4"/>
                <w:highlight w:val="none"/>
              </w:rPr>
            </w:pP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 xml:space="preserve">151206.51 </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 xml:space="preserve">0.00 </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 xml:space="preserve">13396.16 </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 xml:space="preserve">164602.67 </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r>
      <w:tr>
        <w:tblPrEx>
          <w:tblCellMar>
            <w:top w:w="0" w:type="dxa"/>
            <w:left w:w="108" w:type="dxa"/>
            <w:bottom w:w="0" w:type="dxa"/>
            <w:right w:w="108" w:type="dxa"/>
          </w:tblCellMar>
        </w:tblPrEx>
        <w:trPr>
          <w:trHeight w:val="540" w:hRule="atLeast"/>
        </w:trPr>
        <w:tc>
          <w:tcPr>
            <w:tcW w:w="12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东二区</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东进河路</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auto"/>
                <w:sz w:val="24"/>
                <w:highlight w:val="none"/>
              </w:rPr>
            </w:pPr>
            <w:r>
              <w:rPr>
                <w:rFonts w:hint="eastAsia" w:ascii="宋体" w:hAnsi="宋体" w:cs="宋体"/>
                <w:color w:val="auto"/>
                <w:kern w:val="0"/>
                <w:sz w:val="24"/>
                <w:highlight w:val="none"/>
                <w:lang w:bidi="ar"/>
              </w:rPr>
              <w:t xml:space="preserve">47594.39 </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auto"/>
                <w:sz w:val="24"/>
                <w:highlight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auto"/>
                <w:sz w:val="24"/>
                <w:highlight w:val="none"/>
              </w:rPr>
            </w:pPr>
            <w:r>
              <w:rPr>
                <w:rFonts w:hint="eastAsia" w:ascii="宋体" w:hAnsi="宋体" w:cs="宋体"/>
                <w:color w:val="auto"/>
                <w:kern w:val="0"/>
                <w:sz w:val="24"/>
                <w:highlight w:val="none"/>
                <w:lang w:bidi="ar"/>
              </w:rPr>
              <w:t xml:space="preserve">16639.61 </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auto"/>
                <w:sz w:val="24"/>
                <w:highlight w:val="none"/>
              </w:rPr>
            </w:pPr>
            <w:r>
              <w:rPr>
                <w:rFonts w:hint="eastAsia" w:ascii="宋体" w:hAnsi="宋体" w:cs="宋体"/>
                <w:color w:val="auto"/>
                <w:kern w:val="0"/>
                <w:sz w:val="24"/>
                <w:highlight w:val="none"/>
                <w:lang w:bidi="ar"/>
              </w:rPr>
              <w:t xml:space="preserve">64234.00 </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r>
      <w:tr>
        <w:tblPrEx>
          <w:tblCellMar>
            <w:top w:w="0" w:type="dxa"/>
            <w:left w:w="108" w:type="dxa"/>
            <w:bottom w:w="0" w:type="dxa"/>
            <w:right w:w="108" w:type="dxa"/>
          </w:tblCellMar>
        </w:tblPrEx>
        <w:trPr>
          <w:trHeight w:val="540" w:hRule="atLeast"/>
        </w:trPr>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盛兴路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2338.9</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auto"/>
                <w:sz w:val="24"/>
                <w:highlight w:val="none"/>
              </w:rPr>
            </w:pPr>
            <w:r>
              <w:rPr>
                <w:rFonts w:hint="eastAsia" w:ascii="宋体" w:hAnsi="宋体" w:cs="宋体"/>
                <w:color w:val="auto"/>
                <w:kern w:val="0"/>
                <w:sz w:val="24"/>
                <w:highlight w:val="none"/>
                <w:lang w:bidi="ar"/>
              </w:rPr>
              <w:t xml:space="preserve">36936.13 </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auto"/>
                <w:sz w:val="24"/>
                <w:highlight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auto"/>
                <w:sz w:val="24"/>
                <w:highlight w:val="none"/>
              </w:rPr>
            </w:pPr>
            <w:r>
              <w:rPr>
                <w:rFonts w:hint="eastAsia" w:ascii="宋体" w:hAnsi="宋体" w:cs="宋体"/>
                <w:color w:val="auto"/>
                <w:kern w:val="0"/>
                <w:sz w:val="24"/>
                <w:highlight w:val="none"/>
                <w:lang w:bidi="ar"/>
              </w:rPr>
              <w:t xml:space="preserve">12084.78 </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auto"/>
                <w:sz w:val="24"/>
                <w:highlight w:val="none"/>
              </w:rPr>
            </w:pPr>
            <w:r>
              <w:rPr>
                <w:rFonts w:hint="eastAsia" w:ascii="宋体" w:hAnsi="宋体" w:cs="宋体"/>
                <w:color w:val="auto"/>
                <w:kern w:val="0"/>
                <w:sz w:val="24"/>
                <w:highlight w:val="none"/>
                <w:lang w:bidi="ar"/>
              </w:rPr>
              <w:t xml:space="preserve">49020.91 </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r>
      <w:tr>
        <w:tblPrEx>
          <w:tblCellMar>
            <w:top w:w="0" w:type="dxa"/>
            <w:left w:w="108" w:type="dxa"/>
            <w:bottom w:w="0" w:type="dxa"/>
            <w:right w:w="108" w:type="dxa"/>
          </w:tblCellMar>
        </w:tblPrEx>
        <w:trPr>
          <w:trHeight w:val="540" w:hRule="atLeast"/>
        </w:trPr>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舜园路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2983.2</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auto"/>
                <w:sz w:val="24"/>
                <w:highlight w:val="none"/>
              </w:rPr>
            </w:pPr>
            <w:r>
              <w:rPr>
                <w:rFonts w:hint="eastAsia" w:ascii="宋体" w:hAnsi="宋体" w:cs="宋体"/>
                <w:color w:val="auto"/>
                <w:kern w:val="0"/>
                <w:sz w:val="24"/>
                <w:highlight w:val="none"/>
                <w:lang w:bidi="ar"/>
              </w:rPr>
              <w:t xml:space="preserve">47140.56 </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auto"/>
                <w:sz w:val="24"/>
                <w:highlight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auto"/>
                <w:sz w:val="24"/>
                <w:highlight w:val="none"/>
              </w:rPr>
            </w:pPr>
            <w:r>
              <w:rPr>
                <w:rFonts w:hint="eastAsia" w:ascii="宋体" w:hAnsi="宋体" w:cs="宋体"/>
                <w:color w:val="auto"/>
                <w:kern w:val="0"/>
                <w:sz w:val="24"/>
                <w:highlight w:val="none"/>
                <w:lang w:bidi="ar"/>
              </w:rPr>
              <w:t xml:space="preserve">16589.18 </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auto"/>
                <w:sz w:val="24"/>
                <w:highlight w:val="none"/>
              </w:rPr>
            </w:pPr>
            <w:r>
              <w:rPr>
                <w:rFonts w:hint="eastAsia" w:ascii="宋体" w:hAnsi="宋体" w:cs="宋体"/>
                <w:color w:val="auto"/>
                <w:kern w:val="0"/>
                <w:sz w:val="24"/>
                <w:highlight w:val="none"/>
                <w:lang w:bidi="ar"/>
              </w:rPr>
              <w:t xml:space="preserve">63729.74 </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r>
      <w:tr>
        <w:tblPrEx>
          <w:tblCellMar>
            <w:top w:w="0" w:type="dxa"/>
            <w:left w:w="108" w:type="dxa"/>
            <w:bottom w:w="0" w:type="dxa"/>
            <w:right w:w="108" w:type="dxa"/>
          </w:tblCellMar>
        </w:tblPrEx>
        <w:trPr>
          <w:trHeight w:val="540" w:hRule="atLeast"/>
        </w:trPr>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逢源路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1528.2</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auto"/>
                <w:sz w:val="24"/>
                <w:highlight w:val="none"/>
              </w:rPr>
            </w:pPr>
            <w:r>
              <w:rPr>
                <w:rFonts w:hint="eastAsia" w:ascii="宋体" w:hAnsi="宋体" w:cs="宋体"/>
                <w:color w:val="auto"/>
                <w:kern w:val="0"/>
                <w:sz w:val="24"/>
                <w:highlight w:val="none"/>
                <w:lang w:bidi="ar"/>
              </w:rPr>
              <w:t xml:space="preserve">26540.22 </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auto"/>
                <w:sz w:val="24"/>
                <w:highlight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auto"/>
                <w:sz w:val="24"/>
                <w:highlight w:val="none"/>
              </w:rPr>
            </w:pPr>
            <w:r>
              <w:rPr>
                <w:rFonts w:hint="eastAsia" w:ascii="宋体" w:hAnsi="宋体" w:cs="宋体"/>
                <w:color w:val="auto"/>
                <w:kern w:val="0"/>
                <w:sz w:val="24"/>
                <w:highlight w:val="none"/>
                <w:lang w:bidi="ar"/>
              </w:rPr>
              <w:t xml:space="preserve">7894.84 </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auto"/>
                <w:sz w:val="24"/>
                <w:highlight w:val="none"/>
              </w:rPr>
            </w:pPr>
            <w:r>
              <w:rPr>
                <w:rFonts w:hint="eastAsia" w:ascii="宋体" w:hAnsi="宋体" w:cs="宋体"/>
                <w:color w:val="auto"/>
                <w:kern w:val="0"/>
                <w:sz w:val="24"/>
                <w:highlight w:val="none"/>
                <w:lang w:bidi="ar"/>
              </w:rPr>
              <w:t xml:space="preserve">34435.06 </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r>
      <w:tr>
        <w:tblPrEx>
          <w:tblCellMar>
            <w:top w:w="0" w:type="dxa"/>
            <w:left w:w="108" w:type="dxa"/>
            <w:bottom w:w="0" w:type="dxa"/>
            <w:right w:w="108" w:type="dxa"/>
          </w:tblCellMar>
        </w:tblPrEx>
        <w:trPr>
          <w:trHeight w:val="540" w:hRule="atLeast"/>
        </w:trPr>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5</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汇精路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1320.3</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auto"/>
                <w:sz w:val="24"/>
                <w:highlight w:val="none"/>
              </w:rPr>
            </w:pPr>
            <w:r>
              <w:rPr>
                <w:rFonts w:hint="eastAsia" w:ascii="宋体" w:hAnsi="宋体" w:cs="宋体"/>
                <w:color w:val="auto"/>
                <w:kern w:val="0"/>
                <w:sz w:val="24"/>
                <w:highlight w:val="none"/>
                <w:lang w:bidi="ar"/>
              </w:rPr>
              <w:t xml:space="preserve">22158.35 </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auto"/>
                <w:sz w:val="24"/>
                <w:highlight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auto"/>
                <w:sz w:val="24"/>
                <w:highlight w:val="none"/>
              </w:rPr>
            </w:pPr>
            <w:r>
              <w:rPr>
                <w:rFonts w:hint="eastAsia" w:ascii="宋体" w:hAnsi="宋体" w:cs="宋体"/>
                <w:color w:val="auto"/>
                <w:kern w:val="0"/>
                <w:sz w:val="24"/>
                <w:highlight w:val="none"/>
                <w:lang w:bidi="ar"/>
              </w:rPr>
              <w:t xml:space="preserve">7172.27 </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auto"/>
                <w:sz w:val="24"/>
                <w:highlight w:val="none"/>
              </w:rPr>
            </w:pPr>
            <w:r>
              <w:rPr>
                <w:rFonts w:hint="eastAsia" w:ascii="宋体" w:hAnsi="宋体" w:cs="宋体"/>
                <w:color w:val="auto"/>
                <w:kern w:val="0"/>
                <w:sz w:val="24"/>
                <w:highlight w:val="none"/>
                <w:lang w:bidi="ar"/>
              </w:rPr>
              <w:t xml:space="preserve">29330.62 </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r>
      <w:tr>
        <w:tblPrEx>
          <w:tblCellMar>
            <w:top w:w="0" w:type="dxa"/>
            <w:left w:w="108" w:type="dxa"/>
            <w:bottom w:w="0" w:type="dxa"/>
            <w:right w:w="108" w:type="dxa"/>
          </w:tblCellMar>
        </w:tblPrEx>
        <w:trPr>
          <w:trHeight w:val="540" w:hRule="atLeast"/>
        </w:trPr>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6</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聚贤一路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859</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auto"/>
                <w:sz w:val="24"/>
                <w:highlight w:val="none"/>
              </w:rPr>
            </w:pPr>
            <w:r>
              <w:rPr>
                <w:rFonts w:hint="eastAsia" w:ascii="宋体" w:hAnsi="宋体" w:cs="宋体"/>
                <w:color w:val="auto"/>
                <w:kern w:val="0"/>
                <w:sz w:val="24"/>
                <w:highlight w:val="none"/>
                <w:lang w:bidi="ar"/>
              </w:rPr>
              <w:t xml:space="preserve">7831.46 </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auto"/>
                <w:sz w:val="24"/>
                <w:highlight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auto"/>
                <w:sz w:val="24"/>
                <w:highlight w:val="none"/>
              </w:rPr>
            </w:pPr>
            <w:r>
              <w:rPr>
                <w:rFonts w:hint="eastAsia" w:ascii="宋体" w:hAnsi="宋体" w:cs="宋体"/>
                <w:color w:val="auto"/>
                <w:kern w:val="0"/>
                <w:sz w:val="24"/>
                <w:highlight w:val="none"/>
                <w:lang w:bidi="ar"/>
              </w:rPr>
              <w:t xml:space="preserve">3615.68 </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auto"/>
                <w:sz w:val="24"/>
                <w:highlight w:val="none"/>
              </w:rPr>
            </w:pPr>
            <w:r>
              <w:rPr>
                <w:rFonts w:hint="eastAsia" w:ascii="宋体" w:hAnsi="宋体" w:cs="宋体"/>
                <w:color w:val="auto"/>
                <w:kern w:val="0"/>
                <w:sz w:val="24"/>
                <w:highlight w:val="none"/>
                <w:lang w:bidi="ar"/>
              </w:rPr>
              <w:t xml:space="preserve">11447.14 </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r>
      <w:tr>
        <w:tblPrEx>
          <w:tblCellMar>
            <w:top w:w="0" w:type="dxa"/>
            <w:left w:w="108" w:type="dxa"/>
            <w:bottom w:w="0" w:type="dxa"/>
            <w:right w:w="108" w:type="dxa"/>
          </w:tblCellMar>
        </w:tblPrEx>
        <w:trPr>
          <w:trHeight w:val="540" w:hRule="atLeast"/>
        </w:trPr>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7</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聚贤二路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1189.8</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auto"/>
                <w:sz w:val="24"/>
                <w:highlight w:val="none"/>
              </w:rPr>
            </w:pPr>
            <w:r>
              <w:rPr>
                <w:rFonts w:hint="eastAsia" w:ascii="宋体" w:hAnsi="宋体" w:cs="宋体"/>
                <w:color w:val="auto"/>
                <w:kern w:val="0"/>
                <w:sz w:val="24"/>
                <w:highlight w:val="none"/>
                <w:lang w:bidi="ar"/>
              </w:rPr>
              <w:t xml:space="preserve">10589.42 </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auto"/>
                <w:sz w:val="24"/>
                <w:highlight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auto"/>
                <w:sz w:val="24"/>
                <w:highlight w:val="none"/>
              </w:rPr>
            </w:pPr>
            <w:r>
              <w:rPr>
                <w:rFonts w:hint="eastAsia" w:ascii="宋体" w:hAnsi="宋体" w:cs="宋体"/>
                <w:color w:val="auto"/>
                <w:kern w:val="0"/>
                <w:sz w:val="24"/>
                <w:highlight w:val="none"/>
                <w:lang w:bidi="ar"/>
              </w:rPr>
              <w:t xml:space="preserve">5233.28 </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auto"/>
                <w:sz w:val="24"/>
                <w:highlight w:val="none"/>
              </w:rPr>
            </w:pPr>
            <w:r>
              <w:rPr>
                <w:rFonts w:hint="eastAsia" w:ascii="宋体" w:hAnsi="宋体" w:cs="宋体"/>
                <w:color w:val="auto"/>
                <w:kern w:val="0"/>
                <w:sz w:val="24"/>
                <w:highlight w:val="none"/>
                <w:lang w:bidi="ar"/>
              </w:rPr>
              <w:t xml:space="preserve">15822.70 </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r>
      <w:tr>
        <w:tblPrEx>
          <w:tblCellMar>
            <w:top w:w="0" w:type="dxa"/>
            <w:left w:w="108" w:type="dxa"/>
            <w:bottom w:w="0" w:type="dxa"/>
            <w:right w:w="108" w:type="dxa"/>
          </w:tblCellMar>
        </w:tblPrEx>
        <w:trPr>
          <w:trHeight w:val="540" w:hRule="atLeast"/>
        </w:trPr>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8</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聚贤三路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526.1</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auto"/>
                <w:sz w:val="24"/>
                <w:highlight w:val="none"/>
              </w:rPr>
            </w:pPr>
            <w:r>
              <w:rPr>
                <w:rFonts w:hint="eastAsia" w:ascii="宋体" w:hAnsi="宋体" w:cs="宋体"/>
                <w:color w:val="auto"/>
                <w:kern w:val="0"/>
                <w:sz w:val="24"/>
                <w:highlight w:val="none"/>
                <w:lang w:bidi="ar"/>
              </w:rPr>
              <w:t xml:space="preserve">4749.98 </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auto"/>
                <w:sz w:val="24"/>
                <w:highlight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auto"/>
                <w:sz w:val="24"/>
                <w:highlight w:val="none"/>
              </w:rPr>
            </w:pPr>
            <w:r>
              <w:rPr>
                <w:rFonts w:hint="eastAsia" w:ascii="宋体" w:hAnsi="宋体" w:cs="宋体"/>
                <w:color w:val="auto"/>
                <w:kern w:val="0"/>
                <w:sz w:val="24"/>
                <w:highlight w:val="none"/>
                <w:lang w:bidi="ar"/>
              </w:rPr>
              <w:t xml:space="preserve">2515.84 </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auto"/>
                <w:sz w:val="24"/>
                <w:highlight w:val="none"/>
              </w:rPr>
            </w:pPr>
            <w:r>
              <w:rPr>
                <w:rFonts w:hint="eastAsia" w:ascii="宋体" w:hAnsi="宋体" w:cs="宋体"/>
                <w:color w:val="auto"/>
                <w:kern w:val="0"/>
                <w:sz w:val="24"/>
                <w:highlight w:val="none"/>
                <w:lang w:bidi="ar"/>
              </w:rPr>
              <w:t xml:space="preserve">7265.82 </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r>
      <w:tr>
        <w:tblPrEx>
          <w:tblCellMar>
            <w:top w:w="0" w:type="dxa"/>
            <w:left w:w="108" w:type="dxa"/>
            <w:bottom w:w="0" w:type="dxa"/>
            <w:right w:w="108" w:type="dxa"/>
          </w:tblCellMar>
        </w:tblPrEx>
        <w:trPr>
          <w:trHeight w:val="540" w:hRule="atLeast"/>
        </w:trPr>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9</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雅本北侧道路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1033.9</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auto"/>
                <w:sz w:val="24"/>
                <w:highlight w:val="none"/>
              </w:rPr>
            </w:pPr>
            <w:r>
              <w:rPr>
                <w:rFonts w:hint="eastAsia" w:ascii="宋体" w:hAnsi="宋体" w:cs="宋体"/>
                <w:color w:val="auto"/>
                <w:kern w:val="0"/>
                <w:sz w:val="24"/>
                <w:highlight w:val="none"/>
                <w:lang w:bidi="ar"/>
              </w:rPr>
              <w:t xml:space="preserve">12049.20 </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auto"/>
                <w:sz w:val="24"/>
                <w:highlight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auto"/>
                <w:sz w:val="24"/>
                <w:highlight w:val="none"/>
              </w:rPr>
            </w:pPr>
            <w:r>
              <w:rPr>
                <w:rFonts w:hint="eastAsia" w:ascii="宋体" w:hAnsi="宋体" w:cs="宋体"/>
                <w:color w:val="auto"/>
                <w:kern w:val="0"/>
                <w:sz w:val="24"/>
                <w:highlight w:val="none"/>
                <w:lang w:bidi="ar"/>
              </w:rPr>
              <w:t xml:space="preserve">4461.50 </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auto"/>
                <w:sz w:val="24"/>
                <w:highlight w:val="none"/>
              </w:rPr>
            </w:pPr>
            <w:r>
              <w:rPr>
                <w:rFonts w:hint="eastAsia" w:ascii="宋体" w:hAnsi="宋体" w:cs="宋体"/>
                <w:color w:val="auto"/>
                <w:kern w:val="0"/>
                <w:sz w:val="24"/>
                <w:highlight w:val="none"/>
                <w:lang w:bidi="ar"/>
              </w:rPr>
              <w:t xml:space="preserve">16510.70 </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r>
      <w:tr>
        <w:tblPrEx>
          <w:tblCellMar>
            <w:top w:w="0" w:type="dxa"/>
            <w:left w:w="108" w:type="dxa"/>
            <w:bottom w:w="0" w:type="dxa"/>
            <w:right w:w="108" w:type="dxa"/>
          </w:tblCellMar>
        </w:tblPrEx>
        <w:trPr>
          <w:trHeight w:val="540" w:hRule="atLeast"/>
        </w:trPr>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10</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舜兴花园小区周边</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auto"/>
                <w:sz w:val="24"/>
                <w:highlight w:val="none"/>
              </w:rPr>
            </w:pPr>
            <w:r>
              <w:rPr>
                <w:rFonts w:hint="eastAsia" w:ascii="宋体" w:hAnsi="宋体" w:cs="宋体"/>
                <w:color w:val="auto"/>
                <w:kern w:val="0"/>
                <w:sz w:val="24"/>
                <w:highlight w:val="none"/>
                <w:lang w:bidi="ar"/>
              </w:rPr>
              <w:t xml:space="preserve">5827.24 </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auto"/>
                <w:sz w:val="24"/>
                <w:highlight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auto"/>
                <w:sz w:val="24"/>
                <w:highlight w:val="none"/>
              </w:rPr>
            </w:pPr>
            <w:r>
              <w:rPr>
                <w:rFonts w:hint="eastAsia" w:ascii="宋体" w:hAnsi="宋体" w:cs="宋体"/>
                <w:color w:val="auto"/>
                <w:kern w:val="0"/>
                <w:sz w:val="24"/>
                <w:highlight w:val="none"/>
                <w:lang w:bidi="ar"/>
              </w:rPr>
              <w:t xml:space="preserve">4517.45 </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auto"/>
                <w:sz w:val="24"/>
                <w:highlight w:val="none"/>
              </w:rPr>
            </w:pPr>
            <w:r>
              <w:rPr>
                <w:rFonts w:hint="eastAsia" w:ascii="宋体" w:hAnsi="宋体" w:cs="宋体"/>
                <w:color w:val="auto"/>
                <w:kern w:val="0"/>
                <w:sz w:val="24"/>
                <w:highlight w:val="none"/>
                <w:lang w:bidi="ar"/>
              </w:rPr>
              <w:t xml:space="preserve">10344.69 </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r>
      <w:tr>
        <w:tblPrEx>
          <w:tblCellMar>
            <w:top w:w="0" w:type="dxa"/>
            <w:left w:w="108" w:type="dxa"/>
            <w:bottom w:w="0" w:type="dxa"/>
            <w:right w:w="108" w:type="dxa"/>
          </w:tblCellMar>
        </w:tblPrEx>
        <w:trPr>
          <w:trHeight w:val="540" w:hRule="atLeast"/>
        </w:trPr>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11</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国邦医药南侧道路</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auto"/>
                <w:sz w:val="24"/>
                <w:highlight w:val="none"/>
              </w:rPr>
            </w:pPr>
            <w:r>
              <w:rPr>
                <w:rFonts w:hint="eastAsia" w:ascii="宋体" w:hAnsi="宋体" w:cs="宋体"/>
                <w:color w:val="auto"/>
                <w:kern w:val="0"/>
                <w:sz w:val="24"/>
                <w:highlight w:val="none"/>
                <w:lang w:bidi="ar"/>
              </w:rPr>
              <w:t xml:space="preserve">12833.13 </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auto"/>
                <w:sz w:val="24"/>
                <w:highlight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auto"/>
                <w:sz w:val="24"/>
                <w:highlight w:val="none"/>
              </w:rPr>
            </w:pPr>
            <w:r>
              <w:rPr>
                <w:rFonts w:hint="eastAsia" w:ascii="宋体" w:hAnsi="宋体" w:cs="宋体"/>
                <w:color w:val="auto"/>
                <w:kern w:val="0"/>
                <w:sz w:val="24"/>
                <w:highlight w:val="none"/>
                <w:lang w:bidi="ar"/>
              </w:rPr>
              <w:t xml:space="preserve">2009.86 </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auto"/>
                <w:sz w:val="24"/>
                <w:highlight w:val="none"/>
              </w:rPr>
            </w:pPr>
            <w:r>
              <w:rPr>
                <w:rFonts w:hint="eastAsia" w:ascii="宋体" w:hAnsi="宋体" w:cs="宋体"/>
                <w:color w:val="auto"/>
                <w:kern w:val="0"/>
                <w:sz w:val="24"/>
                <w:highlight w:val="none"/>
                <w:lang w:bidi="ar"/>
              </w:rPr>
              <w:t xml:space="preserve">14842.99 </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r>
      <w:tr>
        <w:tblPrEx>
          <w:tblCellMar>
            <w:top w:w="0" w:type="dxa"/>
            <w:left w:w="108" w:type="dxa"/>
            <w:bottom w:w="0" w:type="dxa"/>
            <w:right w:w="108" w:type="dxa"/>
          </w:tblCellMar>
        </w:tblPrEx>
        <w:trPr>
          <w:trHeight w:val="540" w:hRule="atLeast"/>
        </w:trPr>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小计二</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4"/>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4"/>
                <w:highlight w:val="none"/>
              </w:rPr>
            </w:pP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 xml:space="preserve">234250.08 </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 xml:space="preserve">0.00 </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 xml:space="preserve">82734.29 </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 xml:space="preserve">316984.37 </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r>
      <w:tr>
        <w:tblPrEx>
          <w:tblCellMar>
            <w:top w:w="0" w:type="dxa"/>
            <w:left w:w="108" w:type="dxa"/>
            <w:bottom w:w="0" w:type="dxa"/>
            <w:right w:w="108" w:type="dxa"/>
          </w:tblCellMar>
        </w:tblPrEx>
        <w:trPr>
          <w:trHeight w:val="480" w:hRule="atLeast"/>
        </w:trPr>
        <w:tc>
          <w:tcPr>
            <w:tcW w:w="12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未来 小城</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花海大道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2627.2</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58676.74 </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23760.76 </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18463.72 </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100901.22 </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r>
      <w:tr>
        <w:tblPrEx>
          <w:tblCellMar>
            <w:top w:w="0" w:type="dxa"/>
            <w:left w:w="108" w:type="dxa"/>
            <w:bottom w:w="0" w:type="dxa"/>
            <w:right w:w="108" w:type="dxa"/>
          </w:tblCellMar>
        </w:tblPrEx>
        <w:trPr>
          <w:trHeight w:val="480" w:hRule="atLeast"/>
        </w:trPr>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驾校北侧道路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1087.8</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7622.93 </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7622.93 </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驾校前（东直塘-长海线）</w:t>
            </w:r>
          </w:p>
        </w:tc>
      </w:tr>
      <w:tr>
        <w:tblPrEx>
          <w:tblCellMar>
            <w:top w:w="0" w:type="dxa"/>
            <w:left w:w="108" w:type="dxa"/>
            <w:bottom w:w="0" w:type="dxa"/>
            <w:right w:w="108" w:type="dxa"/>
          </w:tblCellMar>
        </w:tblPrEx>
        <w:trPr>
          <w:trHeight w:val="480" w:hRule="atLeast"/>
        </w:trPr>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观海大道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3799.8</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92244.35 </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18897.12 </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21100.76 </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132242.23 </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r>
      <w:tr>
        <w:tblPrEx>
          <w:tblCellMar>
            <w:top w:w="0" w:type="dxa"/>
            <w:left w:w="108" w:type="dxa"/>
            <w:bottom w:w="0" w:type="dxa"/>
            <w:right w:w="108" w:type="dxa"/>
          </w:tblCellMar>
        </w:tblPrEx>
        <w:trPr>
          <w:trHeight w:val="480" w:hRule="atLeast"/>
        </w:trPr>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怡康路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382.2</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6443.35 </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2016.24 </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8459.59 </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r>
      <w:tr>
        <w:tblPrEx>
          <w:tblCellMar>
            <w:top w:w="0" w:type="dxa"/>
            <w:left w:w="108" w:type="dxa"/>
            <w:bottom w:w="0" w:type="dxa"/>
            <w:right w:w="108" w:type="dxa"/>
          </w:tblCellMar>
        </w:tblPrEx>
        <w:trPr>
          <w:trHeight w:val="480" w:hRule="atLeast"/>
        </w:trPr>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5</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安居路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994.3</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16363.78 </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5673.96 </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22037.74 </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r>
      <w:tr>
        <w:tblPrEx>
          <w:tblCellMar>
            <w:top w:w="0" w:type="dxa"/>
            <w:left w:w="108" w:type="dxa"/>
            <w:bottom w:w="0" w:type="dxa"/>
            <w:right w:w="108" w:type="dxa"/>
          </w:tblCellMar>
        </w:tblPrEx>
        <w:trPr>
          <w:trHeight w:val="480" w:hRule="atLeast"/>
        </w:trPr>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6</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环湖东路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1135.7</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19780.64 </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2750.72 </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8365.94 </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30897.30 </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环湖北路至西一闸干河</w:t>
            </w:r>
          </w:p>
        </w:tc>
      </w:tr>
      <w:tr>
        <w:tblPrEx>
          <w:tblCellMar>
            <w:top w:w="0" w:type="dxa"/>
            <w:left w:w="108" w:type="dxa"/>
            <w:bottom w:w="0" w:type="dxa"/>
            <w:right w:w="108" w:type="dxa"/>
          </w:tblCellMar>
        </w:tblPrEx>
        <w:trPr>
          <w:trHeight w:val="480" w:hRule="atLeast"/>
        </w:trPr>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7</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环湖北路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1649.6</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36686.46 </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11983.19 </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12342.46 </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61012.11 </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包含观海大道西段</w:t>
            </w:r>
          </w:p>
        </w:tc>
      </w:tr>
      <w:tr>
        <w:tblPrEx>
          <w:tblCellMar>
            <w:top w:w="0" w:type="dxa"/>
            <w:left w:w="108" w:type="dxa"/>
            <w:bottom w:w="0" w:type="dxa"/>
            <w:right w:w="108" w:type="dxa"/>
          </w:tblCellMar>
        </w:tblPrEx>
        <w:trPr>
          <w:trHeight w:val="480" w:hRule="atLeast"/>
        </w:trPr>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8</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纬一东路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340.7</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5662.29 </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2671.13 </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8333.42 </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r>
      <w:tr>
        <w:tblPrEx>
          <w:tblCellMar>
            <w:top w:w="0" w:type="dxa"/>
            <w:left w:w="108" w:type="dxa"/>
            <w:bottom w:w="0" w:type="dxa"/>
            <w:right w:w="108" w:type="dxa"/>
          </w:tblCellMar>
        </w:tblPrEx>
        <w:trPr>
          <w:trHeight w:val="480" w:hRule="atLeast"/>
        </w:trPr>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9</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环湖南路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1649.2</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30881.72 </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12349.88 </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10388.07 </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53619.67 </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包含观海大道西段</w:t>
            </w:r>
          </w:p>
        </w:tc>
      </w:tr>
      <w:tr>
        <w:tblPrEx>
          <w:tblCellMar>
            <w:top w:w="0" w:type="dxa"/>
            <w:left w:w="108" w:type="dxa"/>
            <w:bottom w:w="0" w:type="dxa"/>
            <w:right w:w="108" w:type="dxa"/>
          </w:tblCellMar>
        </w:tblPrEx>
        <w:trPr>
          <w:trHeight w:val="480" w:hRule="atLeast"/>
        </w:trPr>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10</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滨湖路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6407.8</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46721.65 </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31039.50 </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77761.15 </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r>
      <w:tr>
        <w:tblPrEx>
          <w:tblCellMar>
            <w:top w:w="0" w:type="dxa"/>
            <w:left w:w="108" w:type="dxa"/>
            <w:bottom w:w="0" w:type="dxa"/>
            <w:right w:w="108" w:type="dxa"/>
          </w:tblCellMar>
        </w:tblPrEx>
        <w:trPr>
          <w:trHeight w:val="525" w:hRule="atLeast"/>
        </w:trPr>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11</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滨海大通商城附近</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10226.00 </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10226.00 </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r>
      <w:tr>
        <w:tblPrEx>
          <w:tblCellMar>
            <w:top w:w="0" w:type="dxa"/>
            <w:left w:w="108" w:type="dxa"/>
            <w:bottom w:w="0" w:type="dxa"/>
            <w:right w:w="108" w:type="dxa"/>
          </w:tblCellMar>
        </w:tblPrEx>
        <w:trPr>
          <w:trHeight w:val="480" w:hRule="atLeast"/>
        </w:trPr>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12</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团农线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3332.8</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31209.22 </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22514.35 </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53723.57 </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康阳大道以北段</w:t>
            </w:r>
          </w:p>
        </w:tc>
      </w:tr>
      <w:tr>
        <w:tblPrEx>
          <w:tblCellMar>
            <w:top w:w="0" w:type="dxa"/>
            <w:left w:w="108" w:type="dxa"/>
            <w:bottom w:w="0" w:type="dxa"/>
            <w:right w:w="108" w:type="dxa"/>
          </w:tblCellMar>
        </w:tblPrEx>
        <w:trPr>
          <w:trHeight w:val="570" w:hRule="atLeast"/>
        </w:trPr>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13</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横二河路（暂命名）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434.9</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5994.50 </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2516.19 </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8510.69 </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r>
      <w:tr>
        <w:tblPrEx>
          <w:tblCellMar>
            <w:top w:w="0" w:type="dxa"/>
            <w:left w:w="108" w:type="dxa"/>
            <w:bottom w:w="0" w:type="dxa"/>
            <w:right w:w="108" w:type="dxa"/>
          </w:tblCellMar>
        </w:tblPrEx>
        <w:trPr>
          <w:trHeight w:val="690" w:hRule="atLeast"/>
        </w:trPr>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14</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商业街配套道路（暂命名）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100.5</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1288.18 </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515.39 </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1803.57 </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r>
      <w:tr>
        <w:tblPrEx>
          <w:tblCellMar>
            <w:top w:w="0" w:type="dxa"/>
            <w:left w:w="108" w:type="dxa"/>
            <w:bottom w:w="0" w:type="dxa"/>
            <w:right w:w="108" w:type="dxa"/>
          </w:tblCellMar>
        </w:tblPrEx>
        <w:trPr>
          <w:trHeight w:val="705" w:hRule="atLeast"/>
        </w:trPr>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15</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新城区公共停车位周边绿化</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7835.00 </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运动公园</w:t>
            </w:r>
          </w:p>
        </w:tc>
      </w:tr>
      <w:tr>
        <w:tblPrEx>
          <w:tblCellMar>
            <w:top w:w="0" w:type="dxa"/>
            <w:left w:w="108" w:type="dxa"/>
            <w:bottom w:w="0" w:type="dxa"/>
            <w:right w:w="108" w:type="dxa"/>
          </w:tblCellMar>
        </w:tblPrEx>
        <w:trPr>
          <w:trHeight w:val="705" w:hRule="atLeast"/>
        </w:trPr>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16</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尚街景观配套工程</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2577.50 </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r>
      <w:tr>
        <w:tblPrEx>
          <w:tblCellMar>
            <w:top w:w="0" w:type="dxa"/>
            <w:left w:w="108" w:type="dxa"/>
            <w:bottom w:w="0" w:type="dxa"/>
            <w:right w:w="108" w:type="dxa"/>
          </w:tblCellMar>
        </w:tblPrEx>
        <w:trPr>
          <w:trHeight w:val="480" w:hRule="atLeast"/>
        </w:trPr>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小计三</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4"/>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4"/>
                <w:highlight w:val="none"/>
              </w:rPr>
            </w:pP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 xml:space="preserve">359575.81 </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 xml:space="preserve">69741.67 </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 xml:space="preserve">147833.71 </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 xml:space="preserve">587563.69 </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r>
      <w:tr>
        <w:tblPrEx>
          <w:tblCellMar>
            <w:top w:w="0" w:type="dxa"/>
            <w:left w:w="108" w:type="dxa"/>
            <w:bottom w:w="0" w:type="dxa"/>
            <w:right w:w="108" w:type="dxa"/>
          </w:tblCellMar>
        </w:tblPrEx>
        <w:trPr>
          <w:trHeight w:val="480" w:hRule="atLeast"/>
        </w:trPr>
        <w:tc>
          <w:tcPr>
            <w:tcW w:w="12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东三区</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滨海三路</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1362.48</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29161.25</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r>
      <w:tr>
        <w:tblPrEx>
          <w:tblCellMar>
            <w:top w:w="0" w:type="dxa"/>
            <w:left w:w="108" w:type="dxa"/>
            <w:bottom w:w="0" w:type="dxa"/>
            <w:right w:w="108" w:type="dxa"/>
          </w:tblCellMar>
        </w:tblPrEx>
        <w:trPr>
          <w:trHeight w:val="480" w:hRule="atLeast"/>
        </w:trPr>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小计四</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4"/>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4"/>
                <w:highlight w:val="none"/>
              </w:rPr>
            </w:pP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4"/>
                <w:highlight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4"/>
                <w:highlight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4"/>
                <w:highlight w:val="none"/>
              </w:rPr>
            </w:pP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 xml:space="preserve">29161.25 </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
                <w:bCs/>
                <w:color w:val="auto"/>
                <w:sz w:val="24"/>
                <w:highlight w:val="none"/>
              </w:rPr>
            </w:pPr>
          </w:p>
        </w:tc>
      </w:tr>
      <w:tr>
        <w:tblPrEx>
          <w:tblCellMar>
            <w:top w:w="0" w:type="dxa"/>
            <w:left w:w="108" w:type="dxa"/>
            <w:bottom w:w="0" w:type="dxa"/>
            <w:right w:w="108" w:type="dxa"/>
          </w:tblCellMar>
        </w:tblPrEx>
        <w:trPr>
          <w:trHeight w:val="480" w:hRule="atLeast"/>
        </w:trPr>
        <w:tc>
          <w:tcPr>
            <w:tcW w:w="2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合计</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
                <w:bCs/>
                <w:color w:val="auto"/>
                <w:sz w:val="22"/>
                <w:szCs w:val="22"/>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
                <w:bCs/>
                <w:color w:val="auto"/>
                <w:sz w:val="22"/>
                <w:szCs w:val="22"/>
                <w:highlight w:val="none"/>
              </w:rPr>
            </w:pP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 xml:space="preserve">745032.40 </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 xml:space="preserve">69741.67 </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 xml:space="preserve">243964.16 </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 xml:space="preserve">1098311.98 </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
                <w:bCs/>
                <w:color w:val="auto"/>
                <w:sz w:val="22"/>
                <w:szCs w:val="22"/>
                <w:highlight w:val="none"/>
              </w:rPr>
            </w:pPr>
          </w:p>
        </w:tc>
      </w:tr>
    </w:tbl>
    <w:p>
      <w:pPr>
        <w:pStyle w:val="82"/>
        <w:widowControl w:val="0"/>
        <w:tabs>
          <w:tab w:val="left" w:pos="540"/>
        </w:tabs>
        <w:spacing w:afterLines="0" w:line="360" w:lineRule="auto"/>
        <w:ind w:firstLine="0" w:firstLineChars="0"/>
        <w:outlineLvl w:val="3"/>
        <w:rPr>
          <w:rFonts w:ascii="宋体" w:hAnsi="宋体"/>
          <w:b/>
          <w:color w:val="auto"/>
          <w:szCs w:val="24"/>
          <w:highlight w:val="none"/>
        </w:rPr>
        <w:sectPr>
          <w:pgSz w:w="16838" w:h="11906" w:orient="landscape"/>
          <w:pgMar w:top="1800" w:right="1440" w:bottom="1800" w:left="1440" w:header="851" w:footer="992" w:gutter="0"/>
          <w:cols w:space="720" w:num="1"/>
          <w:docGrid w:type="lines" w:linePitch="312" w:charSpace="0"/>
        </w:sectPr>
      </w:pPr>
    </w:p>
    <w:tbl>
      <w:tblPr>
        <w:tblStyle w:val="30"/>
        <w:tblW w:w="8260" w:type="dxa"/>
        <w:tblInd w:w="100" w:type="dxa"/>
        <w:tblLayout w:type="autofit"/>
        <w:tblCellMar>
          <w:top w:w="0" w:type="dxa"/>
          <w:left w:w="108" w:type="dxa"/>
          <w:bottom w:w="0" w:type="dxa"/>
          <w:right w:w="108" w:type="dxa"/>
        </w:tblCellMar>
      </w:tblPr>
      <w:tblGrid>
        <w:gridCol w:w="541"/>
        <w:gridCol w:w="456"/>
        <w:gridCol w:w="1416"/>
        <w:gridCol w:w="1238"/>
        <w:gridCol w:w="936"/>
        <w:gridCol w:w="1305"/>
        <w:gridCol w:w="752"/>
        <w:gridCol w:w="760"/>
        <w:gridCol w:w="856"/>
      </w:tblGrid>
      <w:tr>
        <w:tblPrEx>
          <w:tblCellMar>
            <w:top w:w="0" w:type="dxa"/>
            <w:left w:w="108" w:type="dxa"/>
            <w:bottom w:w="0" w:type="dxa"/>
            <w:right w:w="108" w:type="dxa"/>
          </w:tblCellMar>
        </w:tblPrEx>
        <w:trPr>
          <w:trHeight w:val="711" w:hRule="atLeast"/>
        </w:trPr>
        <w:tc>
          <w:tcPr>
            <w:tcW w:w="8260" w:type="dxa"/>
            <w:gridSpan w:val="9"/>
            <w:tcBorders>
              <w:top w:val="nil"/>
              <w:left w:val="nil"/>
              <w:bottom w:val="nil"/>
              <w:right w:val="nil"/>
            </w:tcBorders>
            <w:shd w:val="clear" w:color="auto" w:fill="auto"/>
            <w:vAlign w:val="center"/>
          </w:tcPr>
          <w:p>
            <w:pPr>
              <w:widowControl/>
              <w:jc w:val="center"/>
              <w:textAlignment w:val="center"/>
              <w:rPr>
                <w:rFonts w:ascii="宋体" w:hAnsi="宋体" w:cs="宋体"/>
                <w:b/>
                <w:bCs/>
                <w:color w:val="auto"/>
                <w:sz w:val="36"/>
                <w:szCs w:val="36"/>
                <w:highlight w:val="none"/>
              </w:rPr>
            </w:pPr>
            <w:r>
              <w:rPr>
                <w:rFonts w:hint="eastAsia" w:ascii="宋体" w:hAnsi="宋体" w:cs="宋体"/>
                <w:b/>
                <w:bCs/>
                <w:color w:val="auto"/>
                <w:kern w:val="0"/>
                <w:sz w:val="36"/>
                <w:szCs w:val="36"/>
                <w:highlight w:val="none"/>
                <w:lang w:bidi="ar"/>
              </w:rPr>
              <w:t>绿化带保洁Ⅱ标</w:t>
            </w:r>
          </w:p>
        </w:tc>
      </w:tr>
      <w:tr>
        <w:tblPrEx>
          <w:tblCellMar>
            <w:top w:w="0" w:type="dxa"/>
            <w:left w:w="108" w:type="dxa"/>
            <w:bottom w:w="0" w:type="dxa"/>
            <w:right w:w="108" w:type="dxa"/>
          </w:tblCellMar>
        </w:tblPrEx>
        <w:trPr>
          <w:trHeight w:val="985"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区域</w:t>
            </w: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序号</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路段名称</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具体起终点位置</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道路长度（m）</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绿化面积（㎡）</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行道树（≥15㎝）</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行道树        （≤15㎝）</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备注</w:t>
            </w:r>
          </w:p>
        </w:tc>
      </w:tr>
      <w:tr>
        <w:tblPrEx>
          <w:tblCellMar>
            <w:top w:w="0" w:type="dxa"/>
            <w:left w:w="108" w:type="dxa"/>
            <w:bottom w:w="0" w:type="dxa"/>
            <w:right w:w="108" w:type="dxa"/>
          </w:tblCellMar>
        </w:tblPrEx>
        <w:trPr>
          <w:trHeight w:val="643" w:hRule="atLeast"/>
        </w:trPr>
        <w:tc>
          <w:tcPr>
            <w:tcW w:w="57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长一区</w:t>
            </w: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朝阳一路</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东直塘路至东进河路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3219.3</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29543.1</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985" w:hRule="atLeast"/>
        </w:trPr>
        <w:tc>
          <w:tcPr>
            <w:tcW w:w="57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朝阳二路</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东直塘路至新兴一路、志远路至东进河路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2103.9</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17371.6</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985" w:hRule="atLeast"/>
        </w:trPr>
        <w:tc>
          <w:tcPr>
            <w:tcW w:w="57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朝阳三路</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东直塘路至新兴一路、至远路至东进河路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3345.4</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20937.5</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663" w:hRule="atLeast"/>
        </w:trPr>
        <w:tc>
          <w:tcPr>
            <w:tcW w:w="57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新兴二路</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振兴大道至拓展路北面河道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763.1</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7022.5</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663" w:hRule="atLeast"/>
        </w:trPr>
        <w:tc>
          <w:tcPr>
            <w:tcW w:w="57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新兴三路</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朝阳三路至拓展路北面河道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1490.1</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8528.3</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19</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643" w:hRule="atLeast"/>
        </w:trPr>
        <w:tc>
          <w:tcPr>
            <w:tcW w:w="57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6</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新兴四路</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朝阳三路至拓展路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1460.0 </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13062.7</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663" w:hRule="atLeast"/>
        </w:trPr>
        <w:tc>
          <w:tcPr>
            <w:tcW w:w="57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7</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拓展路</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东进河路至跃进闸绿化带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3890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41803.4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auto"/>
                <w:sz w:val="22"/>
                <w:szCs w:val="22"/>
                <w:highlight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663" w:hRule="atLeast"/>
        </w:trPr>
        <w:tc>
          <w:tcPr>
            <w:tcW w:w="57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8</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东一区居住区</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至远路到朝阳二路、中心广场</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5103.7</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153</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23</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434" w:hRule="atLeast"/>
        </w:trPr>
        <w:tc>
          <w:tcPr>
            <w:tcW w:w="57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31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小计一</w:t>
            </w:r>
          </w:p>
        </w:tc>
        <w:tc>
          <w:tcPr>
            <w:tcW w:w="847"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b/>
                <w:bCs/>
                <w:color w:val="auto"/>
                <w:sz w:val="20"/>
                <w:szCs w:val="20"/>
                <w:highlight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143372.8</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222</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23</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0"/>
                <w:szCs w:val="20"/>
                <w:highlight w:val="none"/>
              </w:rPr>
            </w:pPr>
          </w:p>
        </w:tc>
      </w:tr>
      <w:tr>
        <w:tblPrEx>
          <w:tblCellMar>
            <w:top w:w="0" w:type="dxa"/>
            <w:left w:w="108" w:type="dxa"/>
            <w:bottom w:w="0" w:type="dxa"/>
            <w:right w:w="108" w:type="dxa"/>
          </w:tblCellMar>
        </w:tblPrEx>
        <w:trPr>
          <w:trHeight w:val="643" w:hRule="atLeast"/>
        </w:trPr>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东二区</w:t>
            </w: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汇精路</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纬一渠至康阳大道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1320.3</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22554</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283</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960"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聚贤一路</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东进闸排涝河至东二区经一河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859</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7015.9</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154</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960"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聚贤二路</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东进闸排涝河至东二区经一河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1189.8</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10385.1</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230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8</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663"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聚贤三路</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汇精路至东二区经一河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526.1</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16708.9</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133</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12</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663"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医药区配套道路</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至远路至新兴一路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1033.9</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21115.8</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960"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6</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盛兴路</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新兴一路至东进河路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2338.9</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18720.5</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407</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新兴一路以西未移交</w:t>
            </w:r>
          </w:p>
        </w:tc>
      </w:tr>
      <w:tr>
        <w:tblPrEx>
          <w:tblCellMar>
            <w:top w:w="0" w:type="dxa"/>
            <w:left w:w="108" w:type="dxa"/>
            <w:bottom w:w="0" w:type="dxa"/>
            <w:right w:w="108" w:type="dxa"/>
          </w:tblCellMar>
        </w:tblPrEx>
        <w:trPr>
          <w:trHeight w:val="960"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7</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舜园路</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东直塘路至东进河路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2983.2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680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新兴一路以西未移交</w:t>
            </w:r>
          </w:p>
        </w:tc>
      </w:tr>
      <w:tr>
        <w:tblPrEx>
          <w:tblCellMar>
            <w:top w:w="0" w:type="dxa"/>
            <w:left w:w="108" w:type="dxa"/>
            <w:bottom w:w="0" w:type="dxa"/>
            <w:right w:w="108" w:type="dxa"/>
          </w:tblCellMar>
        </w:tblPrEx>
        <w:trPr>
          <w:trHeight w:val="663"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8</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东进河路</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东一区北塘路至纬一河</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5264</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640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663"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9</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逢源路</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康阳大道至东一区北塘路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1528.2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170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623"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31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小计二</w:t>
            </w:r>
          </w:p>
        </w:tc>
        <w:tc>
          <w:tcPr>
            <w:tcW w:w="847"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b/>
                <w:bCs/>
                <w:color w:val="auto"/>
                <w:sz w:val="20"/>
                <w:szCs w:val="20"/>
                <w:highlight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101764.2</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2697</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20</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43" w:hRule="atLeast"/>
        </w:trPr>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未来小城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花海大道</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滨海大道至康阳大道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2627.2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63518.1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985"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观海大道</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滨海大道至康阳大道以南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3799.8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60552.6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198</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滨海以北段行道树    棵</w:t>
            </w:r>
          </w:p>
        </w:tc>
      </w:tr>
      <w:tr>
        <w:tblPrEx>
          <w:tblCellMar>
            <w:top w:w="0" w:type="dxa"/>
            <w:left w:w="108" w:type="dxa"/>
            <w:bottom w:w="0" w:type="dxa"/>
            <w:right w:w="108" w:type="dxa"/>
          </w:tblCellMar>
        </w:tblPrEx>
        <w:trPr>
          <w:trHeight w:val="743"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环湖东路</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环湖南路至环湖北路</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7</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康阳大道以北段</w:t>
            </w:r>
          </w:p>
        </w:tc>
      </w:tr>
      <w:tr>
        <w:tblPrEx>
          <w:tblCellMar>
            <w:top w:w="0" w:type="dxa"/>
            <w:left w:w="108" w:type="dxa"/>
            <w:bottom w:w="0" w:type="dxa"/>
            <w:right w:w="108" w:type="dxa"/>
          </w:tblCellMar>
        </w:tblPrEx>
        <w:trPr>
          <w:trHeight w:val="743"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环湖南路</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观海大道至长海公路</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18270.8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12</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985"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环湖北路</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观海大道至长海公路、花海大道以东</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26054.7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1593"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纬一东路</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观海大道以东，环湖北路以北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340.7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88</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金融街北面道路（不含色块）行道树</w:t>
            </w:r>
            <w:r>
              <w:rPr>
                <w:rStyle w:val="86"/>
                <w:rFonts w:hint="default"/>
                <w:color w:val="auto"/>
                <w:highlight w:val="none"/>
                <w:lang w:bidi="ar"/>
              </w:rPr>
              <w:t>88棵</w:t>
            </w:r>
          </w:p>
        </w:tc>
      </w:tr>
      <w:tr>
        <w:tblPrEx>
          <w:tblCellMar>
            <w:top w:w="0" w:type="dxa"/>
            <w:left w:w="108" w:type="dxa"/>
            <w:bottom w:w="0" w:type="dxa"/>
            <w:right w:w="108" w:type="dxa"/>
          </w:tblCellMar>
        </w:tblPrEx>
        <w:trPr>
          <w:trHeight w:val="743"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安居路</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环湖东路至长海公路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994.3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5</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43"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团农线</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九六丘至康阳大道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3332.8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30653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43"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向海湖一期</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45997.09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638"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向海湖二期</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180490.4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663"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11</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尚街景观配套工程</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847"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4290.5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985"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12</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新城区公共车位建设工程</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847"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5530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运动公园</w:t>
            </w:r>
          </w:p>
        </w:tc>
      </w:tr>
      <w:tr>
        <w:tblPrEx>
          <w:tblCellMar>
            <w:top w:w="0" w:type="dxa"/>
            <w:left w:w="108" w:type="dxa"/>
            <w:bottom w:w="0" w:type="dxa"/>
            <w:right w:w="108" w:type="dxa"/>
          </w:tblCellMar>
        </w:tblPrEx>
        <w:trPr>
          <w:trHeight w:val="499"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小计三</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ascii="宋体" w:hAnsi="宋体" w:cs="宋体"/>
                <w:b/>
                <w:bCs/>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435357.19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1157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314</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659" w:hRule="atLeast"/>
        </w:trPr>
        <w:tc>
          <w:tcPr>
            <w:tcW w:w="37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合计</w:t>
            </w:r>
          </w:p>
        </w:tc>
        <w:tc>
          <w:tcPr>
            <w:tcW w:w="847"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b/>
                <w:bCs/>
                <w:color w:val="auto"/>
                <w:sz w:val="24"/>
                <w:highlight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680494.19</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4"/>
                <w:highlight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4"/>
                <w:highlight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bl>
    <w:p>
      <w:pPr>
        <w:pStyle w:val="82"/>
        <w:widowControl w:val="0"/>
        <w:tabs>
          <w:tab w:val="left" w:pos="540"/>
        </w:tabs>
        <w:spacing w:afterLines="0" w:line="360" w:lineRule="auto"/>
        <w:ind w:firstLine="347" w:firstLineChars="144"/>
        <w:outlineLvl w:val="3"/>
        <w:rPr>
          <w:rFonts w:ascii="宋体" w:hAnsi="宋体"/>
          <w:b/>
          <w:color w:val="auto"/>
          <w:szCs w:val="24"/>
          <w:highlight w:val="none"/>
        </w:rPr>
      </w:pPr>
      <w:r>
        <w:rPr>
          <w:rFonts w:hint="eastAsia"/>
          <w:b/>
          <w:bCs/>
          <w:color w:val="auto"/>
          <w:highlight w:val="none"/>
        </w:rPr>
        <w:t>注：如有新移交道路、绿化带保洁放入II标范围，移交工程服务费用从移交之日算起</w:t>
      </w:r>
      <w:r>
        <w:rPr>
          <w:rFonts w:hint="eastAsia"/>
          <w:b/>
          <w:bCs/>
          <w:color w:val="auto"/>
          <w:highlight w:val="none"/>
          <w:lang w:eastAsia="zh-CN"/>
        </w:rPr>
        <w:t>、</w:t>
      </w:r>
      <w:r>
        <w:rPr>
          <w:rFonts w:hint="eastAsia"/>
          <w:b/>
          <w:bCs/>
          <w:color w:val="FF0000"/>
          <w:highlight w:val="none"/>
          <w:lang w:val="en-US" w:eastAsia="zh-CN"/>
        </w:rPr>
        <w:t>如有工程改造自主实施扣减面积按实计算，</w:t>
      </w:r>
      <w:r>
        <w:rPr>
          <w:rFonts w:hint="eastAsia"/>
          <w:b/>
          <w:bCs/>
          <w:color w:val="auto"/>
          <w:highlight w:val="none"/>
        </w:rPr>
        <w:t>费用参照投标报价。</w:t>
      </w:r>
    </w:p>
    <w:p>
      <w:pPr>
        <w:pStyle w:val="82"/>
        <w:widowControl w:val="0"/>
        <w:tabs>
          <w:tab w:val="left" w:pos="540"/>
        </w:tabs>
        <w:spacing w:afterLines="0" w:line="360" w:lineRule="auto"/>
        <w:ind w:firstLine="0" w:firstLineChars="0"/>
        <w:outlineLvl w:val="3"/>
        <w:rPr>
          <w:rFonts w:ascii="宋体" w:hAnsi="宋体"/>
          <w:b/>
          <w:color w:val="auto"/>
          <w:szCs w:val="24"/>
          <w:highlight w:val="none"/>
        </w:rPr>
      </w:pPr>
    </w:p>
    <w:p>
      <w:pPr>
        <w:pStyle w:val="82"/>
        <w:widowControl w:val="0"/>
        <w:tabs>
          <w:tab w:val="left" w:pos="540"/>
        </w:tabs>
        <w:spacing w:afterLines="0" w:line="360" w:lineRule="auto"/>
        <w:ind w:firstLine="0" w:firstLineChars="0"/>
        <w:outlineLvl w:val="3"/>
        <w:rPr>
          <w:rFonts w:ascii="宋体" w:hAnsi="宋体"/>
          <w:b/>
          <w:color w:val="auto"/>
          <w:szCs w:val="24"/>
          <w:highlight w:val="none"/>
        </w:rPr>
      </w:pPr>
    </w:p>
    <w:p>
      <w:pPr>
        <w:pStyle w:val="82"/>
        <w:widowControl w:val="0"/>
        <w:tabs>
          <w:tab w:val="left" w:pos="540"/>
        </w:tabs>
        <w:spacing w:afterLines="0" w:line="360" w:lineRule="auto"/>
        <w:ind w:firstLine="0" w:firstLineChars="0"/>
        <w:outlineLvl w:val="3"/>
        <w:rPr>
          <w:rFonts w:ascii="宋体" w:hAnsi="宋体"/>
          <w:b/>
          <w:color w:val="auto"/>
          <w:szCs w:val="24"/>
          <w:highlight w:val="none"/>
        </w:rPr>
      </w:pPr>
    </w:p>
    <w:p>
      <w:pPr>
        <w:pStyle w:val="82"/>
        <w:widowControl w:val="0"/>
        <w:tabs>
          <w:tab w:val="left" w:pos="540"/>
        </w:tabs>
        <w:spacing w:afterLines="0" w:line="360" w:lineRule="auto"/>
        <w:ind w:firstLine="0" w:firstLineChars="0"/>
        <w:outlineLvl w:val="3"/>
        <w:rPr>
          <w:rFonts w:ascii="宋体" w:hAnsi="宋体"/>
          <w:b/>
          <w:color w:val="auto"/>
          <w:szCs w:val="24"/>
          <w:highlight w:val="none"/>
        </w:rPr>
      </w:pPr>
    </w:p>
    <w:p>
      <w:pPr>
        <w:pStyle w:val="82"/>
        <w:widowControl w:val="0"/>
        <w:tabs>
          <w:tab w:val="left" w:pos="540"/>
        </w:tabs>
        <w:spacing w:afterLines="0" w:line="360" w:lineRule="auto"/>
        <w:ind w:firstLine="0" w:firstLineChars="0"/>
        <w:outlineLvl w:val="3"/>
        <w:rPr>
          <w:rFonts w:ascii="宋体" w:hAnsi="宋体"/>
          <w:b/>
          <w:color w:val="auto"/>
          <w:szCs w:val="24"/>
          <w:highlight w:val="none"/>
        </w:rPr>
      </w:pPr>
    </w:p>
    <w:p>
      <w:pPr>
        <w:pStyle w:val="82"/>
        <w:widowControl w:val="0"/>
        <w:tabs>
          <w:tab w:val="left" w:pos="540"/>
        </w:tabs>
        <w:spacing w:afterLines="0" w:line="360" w:lineRule="auto"/>
        <w:ind w:firstLine="0" w:firstLineChars="0"/>
        <w:outlineLvl w:val="3"/>
        <w:rPr>
          <w:rFonts w:ascii="宋体" w:hAnsi="宋体"/>
          <w:b/>
          <w:color w:val="auto"/>
          <w:szCs w:val="24"/>
          <w:highlight w:val="none"/>
        </w:rPr>
      </w:pPr>
    </w:p>
    <w:p>
      <w:pPr>
        <w:pStyle w:val="82"/>
        <w:widowControl w:val="0"/>
        <w:tabs>
          <w:tab w:val="left" w:pos="540"/>
        </w:tabs>
        <w:spacing w:afterLines="0" w:line="360" w:lineRule="auto"/>
        <w:ind w:firstLine="0" w:firstLineChars="0"/>
        <w:outlineLvl w:val="3"/>
        <w:rPr>
          <w:rFonts w:ascii="宋体" w:hAnsi="宋体"/>
          <w:b/>
          <w:color w:val="auto"/>
          <w:szCs w:val="24"/>
          <w:highlight w:val="none"/>
        </w:rPr>
      </w:pPr>
    </w:p>
    <w:p>
      <w:pPr>
        <w:pStyle w:val="82"/>
        <w:widowControl w:val="0"/>
        <w:tabs>
          <w:tab w:val="left" w:pos="540"/>
        </w:tabs>
        <w:spacing w:afterLines="0" w:line="360" w:lineRule="auto"/>
        <w:ind w:firstLine="0" w:firstLineChars="0"/>
        <w:outlineLvl w:val="3"/>
        <w:rPr>
          <w:rFonts w:ascii="宋体" w:hAnsi="宋体"/>
          <w:b/>
          <w:color w:val="auto"/>
          <w:szCs w:val="24"/>
          <w:highlight w:val="none"/>
        </w:rPr>
      </w:pPr>
    </w:p>
    <w:p>
      <w:pPr>
        <w:pStyle w:val="82"/>
        <w:widowControl w:val="0"/>
        <w:tabs>
          <w:tab w:val="left" w:pos="540"/>
        </w:tabs>
        <w:spacing w:afterLines="0" w:line="360" w:lineRule="auto"/>
        <w:ind w:firstLine="0" w:firstLineChars="0"/>
        <w:outlineLvl w:val="3"/>
        <w:rPr>
          <w:rFonts w:ascii="宋体" w:hAnsi="宋体"/>
          <w:b/>
          <w:color w:val="auto"/>
          <w:szCs w:val="24"/>
          <w:highlight w:val="none"/>
        </w:rPr>
      </w:pPr>
    </w:p>
    <w:p>
      <w:pPr>
        <w:pStyle w:val="82"/>
        <w:widowControl w:val="0"/>
        <w:tabs>
          <w:tab w:val="left" w:pos="540"/>
        </w:tabs>
        <w:spacing w:afterLines="0" w:line="360" w:lineRule="auto"/>
        <w:ind w:firstLine="0" w:firstLineChars="0"/>
        <w:outlineLvl w:val="3"/>
        <w:rPr>
          <w:rFonts w:ascii="宋体" w:hAnsi="宋体"/>
          <w:b/>
          <w:color w:val="auto"/>
          <w:szCs w:val="24"/>
          <w:highlight w:val="none"/>
        </w:rPr>
      </w:pPr>
    </w:p>
    <w:p>
      <w:pPr>
        <w:pStyle w:val="82"/>
        <w:widowControl w:val="0"/>
        <w:tabs>
          <w:tab w:val="left" w:pos="540"/>
        </w:tabs>
        <w:spacing w:afterLines="0" w:line="360" w:lineRule="auto"/>
        <w:ind w:firstLine="0" w:firstLineChars="0"/>
        <w:outlineLvl w:val="3"/>
        <w:rPr>
          <w:rFonts w:ascii="宋体" w:hAnsi="宋体"/>
          <w:b/>
          <w:color w:val="auto"/>
          <w:szCs w:val="24"/>
          <w:highlight w:val="none"/>
        </w:rPr>
      </w:pPr>
    </w:p>
    <w:p>
      <w:pPr>
        <w:pStyle w:val="82"/>
        <w:widowControl w:val="0"/>
        <w:tabs>
          <w:tab w:val="left" w:pos="540"/>
        </w:tabs>
        <w:spacing w:afterLines="0" w:line="360" w:lineRule="auto"/>
        <w:ind w:firstLine="0" w:firstLineChars="0"/>
        <w:outlineLvl w:val="3"/>
        <w:rPr>
          <w:rFonts w:ascii="宋体" w:hAnsi="宋体"/>
          <w:b/>
          <w:color w:val="auto"/>
          <w:szCs w:val="24"/>
          <w:highlight w:val="none"/>
        </w:rPr>
      </w:pPr>
    </w:p>
    <w:p>
      <w:pPr>
        <w:pStyle w:val="82"/>
        <w:widowControl w:val="0"/>
        <w:tabs>
          <w:tab w:val="left" w:pos="540"/>
        </w:tabs>
        <w:spacing w:afterLines="0" w:line="360" w:lineRule="auto"/>
        <w:ind w:firstLine="0" w:firstLineChars="0"/>
        <w:outlineLvl w:val="3"/>
        <w:rPr>
          <w:rFonts w:ascii="宋体" w:hAnsi="宋体"/>
          <w:b/>
          <w:color w:val="auto"/>
          <w:szCs w:val="24"/>
          <w:highlight w:val="none"/>
        </w:rPr>
        <w:sectPr>
          <w:pgSz w:w="11906" w:h="16838"/>
          <w:pgMar w:top="1440" w:right="1800" w:bottom="1440" w:left="1800" w:header="851" w:footer="992" w:gutter="0"/>
          <w:cols w:space="720" w:num="1"/>
          <w:docGrid w:type="lines" w:linePitch="312" w:charSpace="0"/>
        </w:sectPr>
      </w:pPr>
    </w:p>
    <w:p>
      <w:pPr>
        <w:pStyle w:val="82"/>
        <w:widowControl w:val="0"/>
        <w:tabs>
          <w:tab w:val="left" w:pos="540"/>
        </w:tabs>
        <w:spacing w:afterLines="0" w:line="360" w:lineRule="auto"/>
        <w:ind w:firstLine="347" w:firstLineChars="144"/>
        <w:outlineLvl w:val="3"/>
        <w:rPr>
          <w:rFonts w:ascii="宋体" w:hAnsi="宋体"/>
          <w:b/>
          <w:color w:val="auto"/>
          <w:szCs w:val="24"/>
          <w:highlight w:val="none"/>
        </w:rPr>
      </w:pPr>
    </w:p>
    <w:p>
      <w:pPr>
        <w:pStyle w:val="82"/>
        <w:widowControl w:val="0"/>
        <w:tabs>
          <w:tab w:val="left" w:pos="540"/>
        </w:tabs>
        <w:spacing w:afterLines="0" w:line="360" w:lineRule="auto"/>
        <w:ind w:firstLine="347" w:firstLineChars="144"/>
        <w:outlineLvl w:val="3"/>
        <w:rPr>
          <w:rFonts w:ascii="宋体" w:hAnsi="宋体"/>
          <w:b/>
          <w:color w:val="auto"/>
          <w:szCs w:val="24"/>
          <w:highlight w:val="none"/>
        </w:rPr>
      </w:pPr>
      <w:r>
        <w:rPr>
          <w:rFonts w:hint="eastAsia" w:ascii="宋体" w:hAnsi="宋体"/>
          <w:b/>
          <w:color w:val="auto"/>
          <w:szCs w:val="24"/>
          <w:highlight w:val="none"/>
        </w:rPr>
        <w:t>二、保洁管理要点及内容</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 1）道路路面、桥面、车道、人行道、沿街商铺退让带、绿化隔离带、绿化退让带、绿化景观带、桥栏杆、公交设施（公交站台、站牌、候车亭、公共自行车棚等）的清扫保洁、垃圾处置；道路上混凝土车辆漏洒混凝土清除、水闸管理；</w:t>
      </w:r>
    </w:p>
    <w:p>
      <w:pPr>
        <w:tabs>
          <w:tab w:val="left" w:pos="2462"/>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2）沿街果壳箱、垃圾桶内垃圾的清运，果壳箱、垃圾桶的清洗。</w:t>
      </w:r>
    </w:p>
    <w:p>
      <w:pPr>
        <w:spacing w:line="360" w:lineRule="auto"/>
        <w:ind w:firstLine="480" w:firstLineChars="200"/>
        <w:rPr>
          <w:color w:val="auto"/>
          <w:highlight w:val="none"/>
        </w:rPr>
      </w:pPr>
      <w:r>
        <w:rPr>
          <w:rFonts w:hint="eastAsia" w:ascii="宋体" w:hAnsi="宋体"/>
          <w:color w:val="auto"/>
          <w:sz w:val="24"/>
          <w:highlight w:val="none"/>
        </w:rPr>
        <w:t>3）景观带内铺装、自行车道、绿化、栏杆、景观桥等所有设施的保洁。</w:t>
      </w:r>
      <w:r>
        <w:rPr>
          <w:rFonts w:hint="eastAsia" w:hAnsi="宋体"/>
          <w:color w:val="auto"/>
          <w:sz w:val="24"/>
          <w:highlight w:val="none"/>
        </w:rPr>
        <w:t xml:space="preserve">   </w:t>
      </w:r>
      <w:r>
        <w:rPr>
          <w:rFonts w:hint="eastAsia" w:ascii="宋体" w:hAnsi="宋体"/>
          <w:color w:val="auto"/>
          <w:sz w:val="24"/>
          <w:highlight w:val="none"/>
        </w:rPr>
        <w:t xml:space="preserve"> </w:t>
      </w:r>
    </w:p>
    <w:p>
      <w:pPr>
        <w:pStyle w:val="10"/>
        <w:ind w:firstLine="241"/>
        <w:rPr>
          <w:rFonts w:hAnsi="宋体" w:cs="宋体"/>
          <w:b/>
          <w:color w:val="auto"/>
          <w:sz w:val="24"/>
          <w:highlight w:val="none"/>
        </w:rPr>
      </w:pPr>
      <w:r>
        <w:rPr>
          <w:rFonts w:hint="eastAsia" w:hAnsi="宋体" w:cs="宋体"/>
          <w:b/>
          <w:color w:val="auto"/>
          <w:sz w:val="24"/>
          <w:highlight w:val="none"/>
        </w:rPr>
        <w:t>三、人员要求</w:t>
      </w:r>
    </w:p>
    <w:p>
      <w:pPr>
        <w:pStyle w:val="10"/>
        <w:spacing w:line="360" w:lineRule="auto"/>
        <w:ind w:firstLine="420" w:firstLineChars="200"/>
        <w:rPr>
          <w:rFonts w:ascii="宋体" w:hAnsi="宋体"/>
          <w:color w:val="auto"/>
          <w:sz w:val="24"/>
          <w:highlight w:val="none"/>
        </w:rPr>
      </w:pPr>
      <w:r>
        <w:rPr>
          <w:rFonts w:hint="eastAsia" w:hAnsi="宋体" w:cs="宋体"/>
          <w:color w:val="auto"/>
          <w:highlight w:val="none"/>
        </w:rPr>
        <w:t>★</w:t>
      </w:r>
      <w:r>
        <w:rPr>
          <w:rFonts w:hint="eastAsia" w:ascii="宋体" w:hAnsi="宋体"/>
          <w:color w:val="auto"/>
          <w:sz w:val="24"/>
          <w:highlight w:val="none"/>
        </w:rPr>
        <w:t>要求按时完成作业任务，保证作业质量。每个标段配备人员不少于</w:t>
      </w:r>
      <w:r>
        <w:rPr>
          <w:rFonts w:ascii="宋体" w:hAnsi="宋体"/>
          <w:color w:val="auto"/>
          <w:sz w:val="24"/>
          <w:highlight w:val="none"/>
        </w:rPr>
        <w:t>120</w:t>
      </w:r>
      <w:r>
        <w:rPr>
          <w:rFonts w:hint="eastAsia" w:ascii="宋体" w:hAnsi="宋体"/>
          <w:color w:val="auto"/>
          <w:sz w:val="24"/>
          <w:highlight w:val="none"/>
        </w:rPr>
        <w:t>名，其中项目负责人不少于1名，安管员不少于2保，车辆管理人员不少于1名，日常巡查人员不少于2名，文员不少于1名。人员须符合国家有关法律规定，身体健康，严格落实一线作业人员年龄结构，提升服务质量，本次项目所需的作业人员均由中标单位自行招聘，所招聘的人员必须在规定年龄以内</w:t>
      </w:r>
      <w:r>
        <w:rPr>
          <w:rFonts w:hint="eastAsia" w:ascii="宋体" w:hAnsi="宋体"/>
          <w:color w:val="FF0000"/>
          <w:sz w:val="24"/>
          <w:highlight w:val="none"/>
          <w:lang w:eastAsia="zh-CN"/>
        </w:rPr>
        <w:t>（</w:t>
      </w:r>
      <w:r>
        <w:rPr>
          <w:rFonts w:hint="eastAsia" w:ascii="宋体" w:hAnsi="宋体"/>
          <w:color w:val="FF0000"/>
          <w:sz w:val="24"/>
          <w:highlight w:val="none"/>
        </w:rPr>
        <w:t>男性应为60周岁以下，女性应为50周岁以下</w:t>
      </w:r>
      <w:r>
        <w:rPr>
          <w:rFonts w:hint="eastAsia" w:ascii="宋体" w:hAnsi="宋体"/>
          <w:color w:val="FF0000"/>
          <w:sz w:val="24"/>
          <w:highlight w:val="none"/>
          <w:lang w:eastAsia="zh-CN"/>
        </w:rPr>
        <w:t>）</w:t>
      </w:r>
      <w:r>
        <w:rPr>
          <w:rFonts w:hint="eastAsia" w:ascii="宋体" w:hAnsi="宋体"/>
          <w:color w:val="auto"/>
          <w:sz w:val="24"/>
          <w:highlight w:val="none"/>
        </w:rPr>
        <w:t>，</w:t>
      </w:r>
      <w:r>
        <w:rPr>
          <w:rFonts w:hint="eastAsia" w:ascii="宋体" w:hAnsi="宋体"/>
          <w:color w:val="FF0000"/>
          <w:sz w:val="24"/>
          <w:highlight w:val="none"/>
          <w:lang w:val="en-US" w:eastAsia="zh-CN"/>
        </w:rPr>
        <w:t>结合本项目的投标承诺，</w:t>
      </w:r>
      <w:r>
        <w:rPr>
          <w:rFonts w:hint="eastAsia" w:ascii="宋体" w:hAnsi="宋体"/>
          <w:color w:val="auto"/>
          <w:sz w:val="24"/>
          <w:highlight w:val="none"/>
        </w:rPr>
        <w:t>优化作业人员年龄结构。每日安排晚上值班人员，应对突发事件，如交通事故事发现场的清扫等。人员须符合国家有关法律规定，身体健康，并按月按时发放清扫保洁人员工资、不发生拖欠。同时按规定发放各类补贴。在中标后15个工作日内给每位保洁作业人员办理好意外保险手续。洒水车、垃圾清运车、扫路车、路面养护车需持有特种车辆驾驶证。</w:t>
      </w:r>
    </w:p>
    <w:p>
      <w:pPr>
        <w:pStyle w:val="82"/>
        <w:widowControl w:val="0"/>
        <w:tabs>
          <w:tab w:val="left" w:pos="540"/>
        </w:tabs>
        <w:spacing w:afterLines="0" w:line="360" w:lineRule="auto"/>
        <w:ind w:firstLine="241" w:firstLineChars="100"/>
        <w:outlineLvl w:val="3"/>
        <w:rPr>
          <w:rFonts w:ascii="宋体" w:hAnsi="宋体"/>
          <w:b/>
          <w:bCs/>
          <w:color w:val="auto"/>
          <w:kern w:val="2"/>
          <w:szCs w:val="24"/>
          <w:highlight w:val="none"/>
        </w:rPr>
      </w:pPr>
      <w:r>
        <w:rPr>
          <w:rFonts w:hint="eastAsia" w:hAnsi="宋体" w:cs="宋体"/>
          <w:b/>
          <w:color w:val="auto"/>
          <w:highlight w:val="none"/>
        </w:rPr>
        <w:t>四、</w:t>
      </w:r>
      <w:r>
        <w:rPr>
          <w:rFonts w:hint="eastAsia" w:ascii="宋体" w:hAnsi="宋体"/>
          <w:b/>
          <w:bCs/>
          <w:color w:val="auto"/>
          <w:kern w:val="2"/>
          <w:szCs w:val="24"/>
          <w:highlight w:val="none"/>
        </w:rPr>
        <w:t>车辆最低配置要求</w:t>
      </w:r>
    </w:p>
    <w:p>
      <w:pPr>
        <w:spacing w:line="360" w:lineRule="auto"/>
        <w:ind w:firstLine="420" w:firstLineChars="200"/>
        <w:rPr>
          <w:rFonts w:ascii="宋体" w:hAnsi="宋体"/>
          <w:color w:val="auto"/>
          <w:sz w:val="24"/>
          <w:highlight w:val="none"/>
        </w:rPr>
      </w:pPr>
      <w:r>
        <w:rPr>
          <w:rFonts w:hint="eastAsia" w:hAnsi="宋体" w:cs="宋体"/>
          <w:color w:val="auto"/>
          <w:highlight w:val="none"/>
        </w:rPr>
        <w:t>★</w:t>
      </w:r>
      <w:r>
        <w:rPr>
          <w:rFonts w:hint="eastAsia" w:ascii="宋体" w:hAnsi="宋体"/>
          <w:color w:val="auto"/>
          <w:sz w:val="24"/>
          <w:highlight w:val="none"/>
        </w:rPr>
        <w:t>最低配备作业车辆，自有洒水车行驶证上写明总质量18T及以上的4辆；自有垃圾清运车</w:t>
      </w:r>
      <w:r>
        <w:rPr>
          <w:rFonts w:hint="eastAsia" w:ascii="宋体" w:hAnsi="宋体" w:cs="宋体"/>
          <w:bCs/>
          <w:color w:val="auto"/>
          <w:sz w:val="24"/>
          <w:highlight w:val="none"/>
        </w:rPr>
        <w:t>行驶证上写明总质量1</w:t>
      </w:r>
      <w:r>
        <w:rPr>
          <w:rFonts w:ascii="宋体" w:hAnsi="宋体" w:cs="宋体"/>
          <w:bCs/>
          <w:color w:val="auto"/>
          <w:sz w:val="24"/>
          <w:highlight w:val="none"/>
        </w:rPr>
        <w:t>8T</w:t>
      </w:r>
      <w:r>
        <w:rPr>
          <w:rFonts w:hint="eastAsia" w:ascii="宋体" w:hAnsi="宋体" w:cs="宋体"/>
          <w:bCs/>
          <w:color w:val="auto"/>
          <w:sz w:val="24"/>
          <w:highlight w:val="none"/>
        </w:rPr>
        <w:t>及以上的</w:t>
      </w:r>
      <w:r>
        <w:rPr>
          <w:rFonts w:hint="eastAsia" w:ascii="宋体" w:hAnsi="宋体"/>
          <w:color w:val="auto"/>
          <w:sz w:val="24"/>
          <w:highlight w:val="none"/>
        </w:rPr>
        <w:t>1辆；自有皮卡车1辆、巡逻车1辆；自有扫路车行驶证上写明总质量16T及以上的4辆；自有路面养护车2辆；自有人员短驳车2辆（符合7座小型面包车规格及以上）；作业电瓶车（配备电瓶车数量 不少于保洁总人数的60%）。</w:t>
      </w:r>
    </w:p>
    <w:p>
      <w:pPr>
        <w:pStyle w:val="82"/>
        <w:widowControl w:val="0"/>
        <w:tabs>
          <w:tab w:val="left" w:pos="540"/>
        </w:tabs>
        <w:spacing w:afterLines="0" w:line="360" w:lineRule="auto"/>
        <w:outlineLvl w:val="3"/>
        <w:rPr>
          <w:rFonts w:ascii="宋体" w:hAnsi="宋体"/>
          <w:color w:val="FF0000"/>
          <w:highlight w:val="none"/>
        </w:rPr>
      </w:pPr>
      <w:r>
        <w:rPr>
          <w:rFonts w:hint="eastAsia" w:ascii="宋体" w:hAnsi="宋体"/>
          <w:color w:val="FF0000"/>
          <w:highlight w:val="none"/>
        </w:rPr>
        <w:t>中标后，车辆设备需按业主要求停放在业主指定位置；车辆允许调换，但必须为公司（或分公司）自有</w:t>
      </w:r>
      <w:r>
        <w:rPr>
          <w:rFonts w:hint="eastAsia" w:ascii="宋体" w:hAnsi="宋体"/>
          <w:color w:val="FF0000"/>
          <w:highlight w:val="none"/>
          <w:lang w:eastAsia="zh-CN"/>
        </w:rPr>
        <w:t>、</w:t>
      </w:r>
      <w:r>
        <w:rPr>
          <w:rFonts w:hint="eastAsia" w:ascii="宋体" w:hAnsi="宋体"/>
          <w:color w:val="FF0000"/>
          <w:highlight w:val="none"/>
        </w:rPr>
        <w:t>且规格参数等不小于原配置要求。</w:t>
      </w:r>
    </w:p>
    <w:p>
      <w:pPr>
        <w:pStyle w:val="11"/>
        <w:rPr>
          <w:color w:val="auto"/>
          <w:sz w:val="24"/>
          <w:highlight w:val="none"/>
        </w:rPr>
      </w:pPr>
    </w:p>
    <w:p>
      <w:pPr>
        <w:pStyle w:val="2"/>
        <w:spacing w:line="360" w:lineRule="auto"/>
        <w:jc w:val="center"/>
        <w:rPr>
          <w:rFonts w:hAnsi="宋体" w:cs="宋体"/>
          <w:color w:val="auto"/>
          <w:kern w:val="0"/>
          <w:highlight w:val="none"/>
        </w:rPr>
      </w:pPr>
      <w:bookmarkStart w:id="439" w:name="_Toc2882"/>
      <w:bookmarkStart w:id="440" w:name="_Toc7251"/>
      <w:bookmarkStart w:id="441" w:name="_Toc489"/>
      <w:bookmarkStart w:id="442" w:name="_Toc16667"/>
      <w:r>
        <w:rPr>
          <w:rFonts w:hint="eastAsia" w:hAnsi="宋体" w:cs="宋体"/>
          <w:color w:val="auto"/>
          <w:kern w:val="0"/>
          <w:highlight w:val="none"/>
        </w:rPr>
        <w:t>第二章　付款方式及要求</w:t>
      </w:r>
      <w:bookmarkEnd w:id="439"/>
      <w:bookmarkEnd w:id="440"/>
      <w:bookmarkEnd w:id="441"/>
      <w:bookmarkEnd w:id="442"/>
    </w:p>
    <w:p>
      <w:pPr>
        <w:spacing w:line="460" w:lineRule="exact"/>
        <w:ind w:firstLine="470" w:firstLineChars="196"/>
        <w:rPr>
          <w:rFonts w:hint="eastAsia"/>
          <w:bCs/>
          <w:color w:val="auto"/>
          <w:sz w:val="24"/>
          <w:highlight w:val="none"/>
        </w:rPr>
      </w:pPr>
      <w:r>
        <w:rPr>
          <w:rFonts w:hint="eastAsia"/>
          <w:bCs/>
          <w:color w:val="auto"/>
          <w:sz w:val="24"/>
          <w:highlight w:val="none"/>
        </w:rPr>
        <w:t>1、</w:t>
      </w:r>
      <w:r>
        <w:rPr>
          <w:rFonts w:hint="eastAsia"/>
          <w:bCs/>
          <w:color w:val="FF0000"/>
          <w:sz w:val="24"/>
          <w:highlight w:val="none"/>
          <w:lang w:eastAsia="zh-CN"/>
        </w:rPr>
        <w:t>付款方式：</w:t>
      </w:r>
      <w:r>
        <w:rPr>
          <w:rFonts w:hint="eastAsia"/>
          <w:bCs/>
          <w:color w:val="auto"/>
          <w:sz w:val="24"/>
          <w:highlight w:val="none"/>
        </w:rPr>
        <w:t>服务费用按月计算，每季度支付一次，在次季度首月15日前支付95%，剩余5%在</w:t>
      </w:r>
      <w:r>
        <w:rPr>
          <w:rFonts w:hint="eastAsia"/>
          <w:bCs/>
          <w:color w:val="FF0000"/>
          <w:sz w:val="24"/>
          <w:highlight w:val="none"/>
          <w:lang w:val="en-US" w:eastAsia="zh-CN"/>
        </w:rPr>
        <w:t>服务期满</w:t>
      </w:r>
      <w:r>
        <w:rPr>
          <w:rFonts w:hint="eastAsia"/>
          <w:bCs/>
          <w:color w:val="auto"/>
          <w:sz w:val="24"/>
          <w:highlight w:val="none"/>
        </w:rPr>
        <w:t>后7个工作日内支付，同时资金支付还需结合考核办法。</w:t>
      </w:r>
    </w:p>
    <w:p>
      <w:pPr>
        <w:spacing w:line="460" w:lineRule="exact"/>
        <w:ind w:firstLine="470" w:firstLineChars="196"/>
        <w:rPr>
          <w:bCs/>
          <w:color w:val="auto"/>
          <w:sz w:val="24"/>
          <w:highlight w:val="none"/>
        </w:rPr>
      </w:pPr>
      <w:r>
        <w:rPr>
          <w:rFonts w:hint="eastAsia"/>
          <w:bCs/>
          <w:color w:val="auto"/>
          <w:sz w:val="24"/>
          <w:highlight w:val="none"/>
          <w:lang w:val="en-US" w:eastAsia="zh-CN"/>
        </w:rPr>
        <w:t>2、</w:t>
      </w:r>
      <w:r>
        <w:rPr>
          <w:rFonts w:hint="eastAsia"/>
          <w:bCs/>
          <w:color w:val="FF0000"/>
          <w:sz w:val="24"/>
          <w:highlight w:val="none"/>
          <w:lang w:val="en-US" w:eastAsia="zh-CN"/>
        </w:rPr>
        <w:t>考核办法：</w:t>
      </w:r>
      <w:r>
        <w:rPr>
          <w:rFonts w:hint="eastAsia"/>
          <w:bCs/>
          <w:color w:val="auto"/>
          <w:sz w:val="24"/>
          <w:highlight w:val="none"/>
        </w:rPr>
        <w:t>月考核平均扣分在1—5分（含5分），月承包款可</w:t>
      </w:r>
      <w:r>
        <w:rPr>
          <w:rFonts w:hint="eastAsia"/>
          <w:bCs/>
          <w:color w:val="FF0000"/>
          <w:sz w:val="24"/>
          <w:highlight w:val="none"/>
          <w:lang w:val="en-US" w:eastAsia="zh-CN"/>
        </w:rPr>
        <w:t>计</w:t>
      </w:r>
      <w:r>
        <w:rPr>
          <w:rFonts w:hint="eastAsia"/>
          <w:bCs/>
          <w:color w:val="auto"/>
          <w:sz w:val="24"/>
          <w:highlight w:val="none"/>
        </w:rPr>
        <w:t>100%；月考核平均扣分在5—10分（含10分），按平均月考核扣分在5分以上的每增加1分，月承包款扣除0.5%；月考核平均扣分在10—15分（含15分），按月考核平均扣分在10分以上的每增加一分，月承包款扣除1%；月考核平均扣分在15—20分（含20分），按月考核平均扣分在15分以上的每增加一分，月承包款扣除1.5%；月考核平均扣分在20分以上的，向中标单位提出严重警告，并按每增加1分，月承包款扣除3%；上述考核扣分及扣除承包款时，采用累进制。对有时限要求的突击性任务，</w:t>
      </w:r>
      <w:r>
        <w:rPr>
          <w:rFonts w:hint="eastAsia"/>
          <w:bCs/>
          <w:color w:val="FF0000"/>
          <w:sz w:val="24"/>
          <w:highlight w:val="none"/>
        </w:rPr>
        <w:t>无故延迟</w:t>
      </w:r>
      <w:r>
        <w:rPr>
          <w:rFonts w:hint="eastAsia"/>
          <w:bCs/>
          <w:color w:val="FF0000"/>
          <w:sz w:val="24"/>
          <w:highlight w:val="none"/>
          <w:lang w:val="en-US" w:eastAsia="zh-CN"/>
        </w:rPr>
        <w:t>的当月考核扣5分，并按延迟天数以2000元每天的标准扣款</w:t>
      </w:r>
      <w:r>
        <w:rPr>
          <w:rFonts w:hint="eastAsia"/>
          <w:bCs/>
          <w:color w:val="FF0000"/>
          <w:sz w:val="24"/>
          <w:highlight w:val="none"/>
        </w:rPr>
        <w:t>。</w:t>
      </w:r>
      <w:r>
        <w:rPr>
          <w:rFonts w:hint="eastAsia"/>
          <w:bCs/>
          <w:color w:val="auto"/>
          <w:sz w:val="24"/>
          <w:highlight w:val="none"/>
        </w:rPr>
        <w:t>因管理不力，造成较大社会影响、投诉或新闻媒体曝光的，当月考核起评分为80分。</w:t>
      </w:r>
    </w:p>
    <w:p>
      <w:pPr>
        <w:spacing w:line="500" w:lineRule="exact"/>
        <w:ind w:firstLine="600"/>
        <w:rPr>
          <w:b/>
          <w:color w:val="auto"/>
          <w:sz w:val="24"/>
          <w:highlight w:val="none"/>
        </w:rPr>
      </w:pPr>
      <w:r>
        <w:rPr>
          <w:rFonts w:hint="eastAsia"/>
          <w:b/>
          <w:color w:val="auto"/>
          <w:sz w:val="24"/>
          <w:highlight w:val="none"/>
          <w:lang w:val="en-US" w:eastAsia="zh-CN"/>
        </w:rPr>
        <w:t>3</w:t>
      </w:r>
      <w:r>
        <w:rPr>
          <w:rFonts w:hint="eastAsia"/>
          <w:b/>
          <w:color w:val="auto"/>
          <w:sz w:val="24"/>
          <w:highlight w:val="none"/>
        </w:rPr>
        <w:t>、本项目服务期限为 2年（24个月），时间以甲方开具开工报告为准。招标人与中标单位自成交通知书发出起的 30日内签订服务合同。</w:t>
      </w:r>
    </w:p>
    <w:p>
      <w:pPr>
        <w:pStyle w:val="6"/>
        <w:rPr>
          <w:color w:val="auto"/>
          <w:sz w:val="24"/>
          <w:szCs w:val="24"/>
          <w:highlight w:val="none"/>
        </w:rPr>
      </w:pPr>
    </w:p>
    <w:p>
      <w:pPr>
        <w:pStyle w:val="2"/>
        <w:numPr>
          <w:ilvl w:val="0"/>
          <w:numId w:val="40"/>
        </w:numPr>
        <w:spacing w:line="360" w:lineRule="auto"/>
        <w:jc w:val="center"/>
        <w:rPr>
          <w:rFonts w:hAnsi="宋体" w:cs="宋体"/>
          <w:color w:val="auto"/>
          <w:kern w:val="0"/>
          <w:highlight w:val="none"/>
        </w:rPr>
      </w:pPr>
      <w:r>
        <w:rPr>
          <w:rFonts w:hint="eastAsia" w:hAnsi="宋体" w:cs="宋体"/>
          <w:color w:val="auto"/>
          <w:kern w:val="0"/>
          <w:highlight w:val="none"/>
        </w:rPr>
        <w:t>考核办法</w:t>
      </w:r>
    </w:p>
    <w:p>
      <w:pPr>
        <w:tabs>
          <w:tab w:val="left" w:pos="2462"/>
        </w:tabs>
        <w:spacing w:line="520" w:lineRule="exact"/>
        <w:ind w:left="199" w:leftChars="95" w:firstLine="275" w:firstLineChars="98"/>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道路、绿化带保洁作业质量要求及考核细则</w:t>
      </w:r>
    </w:p>
    <w:p>
      <w:pPr>
        <w:spacing w:line="460" w:lineRule="exact"/>
        <w:ind w:firstLine="470" w:firstLineChars="196"/>
        <w:rPr>
          <w:bCs/>
          <w:color w:val="auto"/>
          <w:sz w:val="24"/>
          <w:highlight w:val="none"/>
        </w:rPr>
      </w:pPr>
      <w:r>
        <w:rPr>
          <w:rFonts w:hint="eastAsia"/>
          <w:bCs/>
          <w:color w:val="auto"/>
          <w:sz w:val="24"/>
          <w:highlight w:val="none"/>
        </w:rPr>
        <w:t>为进一步完善开发区道路、绿化带保洁管理制度，提高开发区管理水平，使开发区保洁管理工作达到制度化、规范化、精细化和常态化。根据招标文件有关规定和要求，结合开发区实际，特制定本办法，具体要求如下：</w:t>
      </w:r>
    </w:p>
    <w:p>
      <w:pPr>
        <w:spacing w:line="460" w:lineRule="exact"/>
        <w:ind w:firstLine="470" w:firstLineChars="196"/>
        <w:rPr>
          <w:bCs/>
          <w:color w:val="auto"/>
          <w:sz w:val="24"/>
          <w:highlight w:val="none"/>
        </w:rPr>
      </w:pPr>
      <w:r>
        <w:rPr>
          <w:rFonts w:hint="eastAsia"/>
          <w:bCs/>
          <w:color w:val="auto"/>
          <w:sz w:val="24"/>
          <w:highlight w:val="none"/>
        </w:rPr>
        <w:t>考核工作由绍兴市上虞区虞发市政工程有限公司组织。</w:t>
      </w:r>
    </w:p>
    <w:p>
      <w:pPr>
        <w:spacing w:line="460" w:lineRule="exact"/>
        <w:ind w:firstLine="470" w:firstLineChars="196"/>
        <w:rPr>
          <w:bCs/>
          <w:color w:val="auto"/>
          <w:sz w:val="24"/>
          <w:highlight w:val="none"/>
        </w:rPr>
      </w:pPr>
      <w:r>
        <w:rPr>
          <w:rFonts w:hint="eastAsia"/>
          <w:bCs/>
          <w:color w:val="auto"/>
          <w:sz w:val="24"/>
          <w:highlight w:val="none"/>
        </w:rPr>
        <w:t>一、道路、绿化带保洁作业质量要求及考核细则</w:t>
      </w:r>
    </w:p>
    <w:p>
      <w:pPr>
        <w:spacing w:line="460" w:lineRule="exact"/>
        <w:ind w:firstLine="470" w:firstLineChars="196"/>
        <w:rPr>
          <w:bCs/>
          <w:color w:val="auto"/>
          <w:sz w:val="24"/>
          <w:highlight w:val="none"/>
        </w:rPr>
      </w:pPr>
      <w:r>
        <w:rPr>
          <w:rFonts w:hint="eastAsia"/>
          <w:bCs/>
          <w:color w:val="auto"/>
          <w:sz w:val="24"/>
          <w:highlight w:val="none"/>
        </w:rPr>
        <w:t xml:space="preserve"> 1、工作要求</w:t>
      </w:r>
    </w:p>
    <w:p>
      <w:pPr>
        <w:spacing w:line="460" w:lineRule="exact"/>
        <w:ind w:firstLine="470" w:firstLineChars="196"/>
        <w:rPr>
          <w:bCs/>
          <w:color w:val="auto"/>
          <w:sz w:val="24"/>
          <w:highlight w:val="none"/>
        </w:rPr>
      </w:pPr>
      <w:r>
        <w:rPr>
          <w:rFonts w:hint="eastAsia"/>
          <w:bCs/>
          <w:color w:val="auto"/>
          <w:sz w:val="24"/>
          <w:highlight w:val="none"/>
        </w:rPr>
        <w:t>（1）道路清扫、绿化带保洁要求承包人每月书面提交分路段作业时间表，若作业计划临时调整，须及时报告并重新提交作业计划。</w:t>
      </w:r>
    </w:p>
    <w:p>
      <w:pPr>
        <w:spacing w:line="460" w:lineRule="exact"/>
        <w:ind w:firstLine="470" w:firstLineChars="196"/>
        <w:rPr>
          <w:bCs/>
          <w:color w:val="auto"/>
          <w:sz w:val="24"/>
          <w:highlight w:val="none"/>
        </w:rPr>
      </w:pPr>
      <w:r>
        <w:rPr>
          <w:rFonts w:hint="eastAsia"/>
          <w:bCs/>
          <w:color w:val="auto"/>
          <w:sz w:val="24"/>
          <w:highlight w:val="none"/>
        </w:rPr>
        <w:t>（2）主要道路（具体以业主指定为准）清扫须采用机械清扫为主，每天机扫二次，其他道路每天机扫一次，绿化带保洁做到巡回保洁，道路路面及周边绿化带必须保证在作业时间后保持无任何白色垃圾及其他洒落、散落的材料或废弃物。</w:t>
      </w:r>
    </w:p>
    <w:p>
      <w:pPr>
        <w:spacing w:line="460" w:lineRule="exact"/>
        <w:ind w:firstLine="470" w:firstLineChars="196"/>
        <w:rPr>
          <w:bCs/>
          <w:color w:val="auto"/>
          <w:sz w:val="24"/>
          <w:highlight w:val="none"/>
        </w:rPr>
      </w:pPr>
      <w:r>
        <w:rPr>
          <w:rFonts w:hint="eastAsia"/>
          <w:bCs/>
          <w:color w:val="auto"/>
          <w:sz w:val="24"/>
          <w:highlight w:val="none"/>
        </w:rPr>
        <w:t>（3）所有道路洒水每天不少于二次，夏季（6、7、8、9月）增加一次，在扫路车清扫前应先完成洒水。</w:t>
      </w:r>
    </w:p>
    <w:p>
      <w:pPr>
        <w:pStyle w:val="2"/>
        <w:rPr>
          <w:bCs/>
          <w:color w:val="auto"/>
          <w:sz w:val="24"/>
          <w:highlight w:val="none"/>
        </w:rPr>
      </w:pPr>
      <w:r>
        <w:rPr>
          <w:rFonts w:hint="eastAsia"/>
          <w:bCs/>
          <w:color w:val="auto"/>
          <w:sz w:val="24"/>
          <w:highlight w:val="none"/>
        </w:rPr>
        <w:t xml:space="preserve">    </w:t>
      </w:r>
      <w:r>
        <w:rPr>
          <w:rFonts w:hint="eastAsia"/>
          <w:b w:val="0"/>
          <w:color w:val="auto"/>
          <w:sz w:val="24"/>
          <w:highlight w:val="none"/>
        </w:rPr>
        <w:t>（4）保洁人员必须穿着反光安全工作服上岗，作业时应注意自身安全。</w:t>
      </w:r>
    </w:p>
    <w:p>
      <w:pPr>
        <w:spacing w:line="460" w:lineRule="exact"/>
        <w:ind w:firstLine="470" w:firstLineChars="196"/>
        <w:rPr>
          <w:bCs/>
          <w:color w:val="auto"/>
          <w:sz w:val="24"/>
          <w:highlight w:val="none"/>
        </w:rPr>
      </w:pPr>
      <w:r>
        <w:rPr>
          <w:rFonts w:hint="eastAsia"/>
          <w:bCs/>
          <w:color w:val="auto"/>
          <w:sz w:val="24"/>
          <w:highlight w:val="none"/>
        </w:rPr>
        <w:t>（5）保洁人员应文明作业，禁止将垃圾扫入或倒入窨井、河道、绿化带，做到随扫随清，并进行集中处置。</w:t>
      </w:r>
    </w:p>
    <w:p>
      <w:pPr>
        <w:spacing w:line="460" w:lineRule="exact"/>
        <w:ind w:firstLine="470" w:firstLineChars="196"/>
        <w:rPr>
          <w:bCs/>
          <w:color w:val="auto"/>
          <w:sz w:val="24"/>
          <w:highlight w:val="none"/>
        </w:rPr>
      </w:pPr>
      <w:r>
        <w:rPr>
          <w:rFonts w:hint="eastAsia"/>
          <w:bCs/>
          <w:color w:val="auto"/>
          <w:sz w:val="24"/>
          <w:highlight w:val="none"/>
        </w:rPr>
        <w:t>（6）应保持路面干净、整洁，隔离墩下、侧石边、下水口不积泥沙，路面无杂草，无零碎建筑垃圾。</w:t>
      </w:r>
    </w:p>
    <w:p>
      <w:pPr>
        <w:spacing w:line="460" w:lineRule="exact"/>
        <w:ind w:firstLine="470" w:firstLineChars="196"/>
        <w:rPr>
          <w:bCs/>
          <w:color w:val="auto"/>
          <w:sz w:val="24"/>
          <w:highlight w:val="none"/>
        </w:rPr>
      </w:pPr>
      <w:r>
        <w:rPr>
          <w:rFonts w:hint="eastAsia"/>
          <w:bCs/>
          <w:color w:val="auto"/>
          <w:sz w:val="24"/>
          <w:highlight w:val="none"/>
        </w:rPr>
        <w:t>（7）及时上报保洁道路中路面及窨井等道路附着物损坏情况。</w:t>
      </w:r>
    </w:p>
    <w:p>
      <w:pPr>
        <w:spacing w:line="460" w:lineRule="exact"/>
        <w:ind w:firstLine="470" w:firstLineChars="196"/>
        <w:rPr>
          <w:bCs/>
          <w:color w:val="auto"/>
          <w:sz w:val="24"/>
          <w:highlight w:val="none"/>
        </w:rPr>
      </w:pPr>
      <w:r>
        <w:rPr>
          <w:rFonts w:hint="eastAsia"/>
          <w:bCs/>
          <w:color w:val="auto"/>
          <w:sz w:val="24"/>
          <w:highlight w:val="none"/>
        </w:rPr>
        <w:t>2、考核细则</w:t>
      </w:r>
    </w:p>
    <w:p>
      <w:pPr>
        <w:spacing w:line="460" w:lineRule="exact"/>
        <w:ind w:firstLine="470" w:firstLineChars="196"/>
        <w:rPr>
          <w:bCs/>
          <w:color w:val="auto"/>
          <w:sz w:val="24"/>
          <w:highlight w:val="none"/>
        </w:rPr>
      </w:pPr>
      <w:r>
        <w:rPr>
          <w:rFonts w:hint="eastAsia"/>
          <w:bCs/>
          <w:color w:val="auto"/>
          <w:sz w:val="24"/>
          <w:highlight w:val="none"/>
        </w:rPr>
        <w:t>（1）路面未及时清扫且面积达500平米以上的，每发现一处扣3分，经告知整改后，再次在同一区域发现上述问题的加倍扣分。</w:t>
      </w:r>
    </w:p>
    <w:p>
      <w:pPr>
        <w:spacing w:line="460" w:lineRule="exact"/>
        <w:ind w:firstLine="470" w:firstLineChars="196"/>
        <w:rPr>
          <w:bCs/>
          <w:color w:val="auto"/>
          <w:sz w:val="24"/>
          <w:highlight w:val="none"/>
        </w:rPr>
      </w:pPr>
      <w:r>
        <w:rPr>
          <w:rFonts w:hint="eastAsia"/>
          <w:bCs/>
          <w:color w:val="auto"/>
          <w:sz w:val="24"/>
          <w:highlight w:val="none"/>
        </w:rPr>
        <w:t>（2）清扫前未及时洒水造成尘土飞扬的，每发现一次扣0.5分。</w:t>
      </w:r>
    </w:p>
    <w:p>
      <w:pPr>
        <w:spacing w:line="460" w:lineRule="exact"/>
        <w:ind w:firstLine="470" w:firstLineChars="196"/>
        <w:rPr>
          <w:bCs/>
          <w:color w:val="auto"/>
          <w:sz w:val="24"/>
          <w:highlight w:val="none"/>
        </w:rPr>
      </w:pPr>
      <w:r>
        <w:rPr>
          <w:rFonts w:hint="eastAsia"/>
          <w:bCs/>
          <w:color w:val="auto"/>
          <w:sz w:val="24"/>
          <w:highlight w:val="none"/>
        </w:rPr>
        <w:t>（3）将垃圾扫入或倒入窨井、河道、绿化带的，每发现一次扣5分。</w:t>
      </w:r>
    </w:p>
    <w:p>
      <w:pPr>
        <w:spacing w:line="460" w:lineRule="exact"/>
        <w:ind w:firstLine="470" w:firstLineChars="196"/>
        <w:rPr>
          <w:bCs/>
          <w:color w:val="auto"/>
          <w:sz w:val="24"/>
          <w:highlight w:val="none"/>
        </w:rPr>
      </w:pPr>
      <w:r>
        <w:rPr>
          <w:rFonts w:hint="eastAsia"/>
          <w:bCs/>
          <w:color w:val="auto"/>
          <w:sz w:val="24"/>
          <w:highlight w:val="none"/>
        </w:rPr>
        <w:t>（4）保洁人员未着反光工作服作业的，每发现1人/次扣2分。</w:t>
      </w:r>
    </w:p>
    <w:p>
      <w:pPr>
        <w:spacing w:line="460" w:lineRule="exact"/>
        <w:ind w:firstLine="470" w:firstLineChars="196"/>
        <w:rPr>
          <w:bCs/>
          <w:color w:val="auto"/>
          <w:sz w:val="24"/>
          <w:highlight w:val="none"/>
        </w:rPr>
      </w:pPr>
      <w:r>
        <w:rPr>
          <w:rFonts w:hint="eastAsia"/>
          <w:bCs/>
          <w:color w:val="auto"/>
          <w:sz w:val="24"/>
          <w:highlight w:val="none"/>
        </w:rPr>
        <w:t>（5）未及时上报保洁道路中路面及窨井等道路附着物损坏情况，被巡查人员发现或其他人员反映的，每发现一次扣0.5分。</w:t>
      </w:r>
    </w:p>
    <w:p>
      <w:pPr>
        <w:spacing w:line="460" w:lineRule="exact"/>
        <w:ind w:firstLine="470" w:firstLineChars="196"/>
        <w:rPr>
          <w:bCs/>
          <w:color w:val="auto"/>
          <w:sz w:val="24"/>
          <w:highlight w:val="none"/>
        </w:rPr>
      </w:pPr>
      <w:r>
        <w:rPr>
          <w:rFonts w:hint="eastAsia"/>
          <w:bCs/>
          <w:color w:val="auto"/>
          <w:sz w:val="24"/>
          <w:highlight w:val="none"/>
        </w:rPr>
        <w:t>（6）保洁人员有焚烧树叶、枯草、杂物、垃圾等行为的，每发现一次扣2分。</w:t>
      </w:r>
    </w:p>
    <w:p>
      <w:pPr>
        <w:spacing w:line="460" w:lineRule="exact"/>
        <w:ind w:firstLine="470" w:firstLineChars="196"/>
        <w:rPr>
          <w:bCs/>
          <w:color w:val="auto"/>
          <w:sz w:val="24"/>
          <w:highlight w:val="none"/>
        </w:rPr>
      </w:pPr>
      <w:r>
        <w:rPr>
          <w:rFonts w:hint="eastAsia"/>
          <w:bCs/>
          <w:color w:val="auto"/>
          <w:sz w:val="24"/>
          <w:highlight w:val="none"/>
        </w:rPr>
        <w:t>（7）在检查、巡查中发现有明显的垃圾堆（包），发现一处扣1分；</w:t>
      </w:r>
    </w:p>
    <w:p>
      <w:pPr>
        <w:spacing w:line="460" w:lineRule="exact"/>
        <w:ind w:firstLine="470" w:firstLineChars="196"/>
        <w:rPr>
          <w:rFonts w:hint="eastAsia" w:eastAsia="宋体"/>
          <w:bCs/>
          <w:color w:val="auto"/>
          <w:sz w:val="24"/>
          <w:highlight w:val="none"/>
          <w:lang w:eastAsia="zh-CN"/>
        </w:rPr>
      </w:pPr>
      <w:r>
        <w:rPr>
          <w:rFonts w:hint="eastAsia"/>
          <w:bCs/>
          <w:color w:val="auto"/>
          <w:sz w:val="24"/>
          <w:highlight w:val="none"/>
        </w:rPr>
        <w:t>（8）白色垃圾、烟蒂、果皮、纸屑等未及时清理或停留时间超过2小时以上的，发现一次（处）扣0.5分</w:t>
      </w:r>
      <w:r>
        <w:rPr>
          <w:rFonts w:hint="eastAsia"/>
          <w:bCs/>
          <w:color w:val="auto"/>
          <w:sz w:val="24"/>
          <w:highlight w:val="none"/>
          <w:lang w:eastAsia="zh-CN"/>
        </w:rPr>
        <w:t>；</w:t>
      </w:r>
    </w:p>
    <w:p>
      <w:pPr>
        <w:tabs>
          <w:tab w:val="left" w:pos="2462"/>
        </w:tabs>
        <w:spacing w:line="520" w:lineRule="exact"/>
        <w:ind w:firstLine="480" w:firstLineChars="200"/>
        <w:jc w:val="left"/>
        <w:rPr>
          <w:rFonts w:hint="eastAsia" w:eastAsia="宋体"/>
          <w:bCs/>
          <w:color w:val="auto"/>
          <w:sz w:val="24"/>
          <w:highlight w:val="none"/>
          <w:lang w:eastAsia="zh-CN"/>
        </w:rPr>
      </w:pPr>
      <w:r>
        <w:rPr>
          <w:rFonts w:hint="eastAsia"/>
          <w:bCs/>
          <w:color w:val="auto"/>
          <w:sz w:val="24"/>
          <w:highlight w:val="none"/>
        </w:rPr>
        <w:t>（9）施工单位未及时清理场地，影响道路正常通行，存在安全隐患未及时上报的，发现一次扣1分</w:t>
      </w:r>
      <w:r>
        <w:rPr>
          <w:rFonts w:hint="eastAsia"/>
          <w:bCs/>
          <w:color w:val="auto"/>
          <w:sz w:val="24"/>
          <w:highlight w:val="none"/>
          <w:lang w:eastAsia="zh-CN"/>
        </w:rPr>
        <w:t>；</w:t>
      </w:r>
    </w:p>
    <w:p>
      <w:pPr>
        <w:tabs>
          <w:tab w:val="left" w:pos="2462"/>
        </w:tabs>
        <w:spacing w:line="52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）未及时清理桥头的垃圾堆、袋、及杂物发现一处扣0.5分；</w:t>
      </w:r>
    </w:p>
    <w:p>
      <w:pPr>
        <w:tabs>
          <w:tab w:val="left" w:pos="2462"/>
        </w:tabs>
        <w:spacing w:line="52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）垃圾未及时清运随意倾倒处理的发现一处扣0.5分。</w:t>
      </w:r>
    </w:p>
    <w:p>
      <w:pPr>
        <w:spacing w:line="460" w:lineRule="exact"/>
        <w:ind w:firstLine="470" w:firstLineChars="196"/>
        <w:rPr>
          <w:bCs/>
          <w:color w:val="auto"/>
          <w:sz w:val="24"/>
          <w:highlight w:val="none"/>
        </w:rPr>
      </w:pPr>
      <w:r>
        <w:rPr>
          <w:rFonts w:hint="eastAsia"/>
          <w:bCs/>
          <w:color w:val="auto"/>
          <w:sz w:val="24"/>
          <w:highlight w:val="none"/>
        </w:rPr>
        <w:t>二、所有环境卫生保洁服务保洁作业质量要求及考核细则</w:t>
      </w:r>
    </w:p>
    <w:p>
      <w:pPr>
        <w:spacing w:line="460" w:lineRule="exact"/>
        <w:ind w:firstLine="470" w:firstLineChars="196"/>
        <w:rPr>
          <w:bCs/>
          <w:color w:val="auto"/>
          <w:sz w:val="24"/>
          <w:highlight w:val="none"/>
        </w:rPr>
      </w:pPr>
      <w:r>
        <w:rPr>
          <w:rFonts w:hint="eastAsia"/>
          <w:bCs/>
          <w:color w:val="auto"/>
          <w:sz w:val="24"/>
          <w:highlight w:val="none"/>
        </w:rPr>
        <w:t>（1）果壳箱或垃圾箱垃圾满溢，箱体不干净的，每只扣0.5分；果壳箱容器内不加套专用垃圾袋的，每只扣0.5分。</w:t>
      </w:r>
    </w:p>
    <w:p>
      <w:pPr>
        <w:spacing w:line="460" w:lineRule="exact"/>
        <w:ind w:firstLine="470" w:firstLineChars="196"/>
        <w:rPr>
          <w:bCs/>
          <w:color w:val="auto"/>
          <w:sz w:val="24"/>
          <w:highlight w:val="none"/>
        </w:rPr>
      </w:pPr>
      <w:r>
        <w:rPr>
          <w:rFonts w:hint="eastAsia"/>
          <w:bCs/>
          <w:color w:val="auto"/>
          <w:sz w:val="24"/>
          <w:highlight w:val="none"/>
        </w:rPr>
        <w:t>（2）果壳箱或垃圾箱内垃圾未及时清运随意倾倒处理的发现一</w:t>
      </w:r>
      <w:r>
        <w:rPr>
          <w:rFonts w:hint="eastAsia"/>
          <w:bCs/>
          <w:color w:val="FF0000"/>
          <w:sz w:val="24"/>
          <w:highlight w:val="none"/>
          <w:lang w:val="en-US" w:eastAsia="zh-CN"/>
        </w:rPr>
        <w:t>只</w:t>
      </w:r>
      <w:r>
        <w:rPr>
          <w:rFonts w:hint="eastAsia"/>
          <w:bCs/>
          <w:color w:val="auto"/>
          <w:sz w:val="24"/>
          <w:highlight w:val="none"/>
        </w:rPr>
        <w:t>扣0.5分。</w:t>
      </w:r>
    </w:p>
    <w:p>
      <w:pPr>
        <w:spacing w:line="460" w:lineRule="exact"/>
        <w:ind w:firstLine="470" w:firstLineChars="196"/>
        <w:rPr>
          <w:bCs/>
          <w:color w:val="auto"/>
          <w:sz w:val="24"/>
          <w:highlight w:val="none"/>
        </w:rPr>
      </w:pPr>
      <w:r>
        <w:rPr>
          <w:rFonts w:hint="eastAsia"/>
          <w:bCs/>
          <w:color w:val="auto"/>
          <w:sz w:val="24"/>
          <w:highlight w:val="none"/>
        </w:rPr>
        <w:t xml:space="preserve">三、大型环卫车辆使用要求及考核细则 </w:t>
      </w:r>
    </w:p>
    <w:p>
      <w:pPr>
        <w:spacing w:line="460" w:lineRule="exact"/>
        <w:ind w:firstLine="470" w:firstLineChars="196"/>
        <w:rPr>
          <w:bCs/>
          <w:color w:val="auto"/>
          <w:sz w:val="24"/>
          <w:highlight w:val="none"/>
        </w:rPr>
      </w:pPr>
      <w:r>
        <w:rPr>
          <w:rFonts w:hint="eastAsia"/>
          <w:bCs/>
          <w:color w:val="auto"/>
          <w:sz w:val="24"/>
          <w:highlight w:val="none"/>
        </w:rPr>
        <w:t>1、使用要求</w:t>
      </w:r>
    </w:p>
    <w:p>
      <w:pPr>
        <w:spacing w:line="460" w:lineRule="exact"/>
        <w:ind w:firstLine="470" w:firstLineChars="196"/>
        <w:rPr>
          <w:bCs/>
          <w:color w:val="auto"/>
          <w:sz w:val="24"/>
          <w:highlight w:val="none"/>
        </w:rPr>
      </w:pPr>
      <w:r>
        <w:rPr>
          <w:rFonts w:hint="eastAsia"/>
          <w:bCs/>
          <w:color w:val="auto"/>
          <w:sz w:val="24"/>
          <w:highlight w:val="none"/>
        </w:rPr>
        <w:t>（1）作为开发区保洁的专用车，必须在开发区内使用，不经过业主同意，车辆不得随意开出开发区。</w:t>
      </w:r>
    </w:p>
    <w:p>
      <w:pPr>
        <w:spacing w:line="460" w:lineRule="exact"/>
        <w:ind w:firstLine="470" w:firstLineChars="196"/>
        <w:rPr>
          <w:bCs/>
          <w:color w:val="auto"/>
          <w:sz w:val="24"/>
          <w:highlight w:val="none"/>
        </w:rPr>
      </w:pPr>
      <w:r>
        <w:rPr>
          <w:rFonts w:hint="eastAsia"/>
          <w:bCs/>
          <w:color w:val="auto"/>
          <w:sz w:val="24"/>
          <w:highlight w:val="none"/>
        </w:rPr>
        <w:t>（2）必须为洗扫车与洒水车配备符合车辆准驾条件的专职驾驶员，并向业主进行书面报备，期间更换驾驶员需得到业主的批准。</w:t>
      </w:r>
    </w:p>
    <w:p>
      <w:pPr>
        <w:spacing w:line="460" w:lineRule="exact"/>
        <w:ind w:firstLine="470" w:firstLineChars="196"/>
        <w:rPr>
          <w:bCs/>
          <w:color w:val="auto"/>
          <w:sz w:val="24"/>
          <w:highlight w:val="none"/>
        </w:rPr>
      </w:pPr>
      <w:r>
        <w:rPr>
          <w:rFonts w:hint="eastAsia"/>
          <w:bCs/>
          <w:color w:val="auto"/>
          <w:sz w:val="24"/>
          <w:highlight w:val="none"/>
        </w:rPr>
        <w:t>（3）车辆作业时，做到文明作业，尽可能避免对路边车辆和行人的影响，需临时停放时，一定要选择允许停车的地段，严禁随意乱停；车速控制在15-20公里/小时，确保作业质量。</w:t>
      </w:r>
    </w:p>
    <w:p>
      <w:pPr>
        <w:spacing w:line="460" w:lineRule="exact"/>
        <w:ind w:firstLine="470" w:firstLineChars="196"/>
        <w:rPr>
          <w:bCs/>
          <w:color w:val="auto"/>
          <w:sz w:val="24"/>
          <w:highlight w:val="none"/>
        </w:rPr>
      </w:pPr>
      <w:r>
        <w:rPr>
          <w:rFonts w:hint="eastAsia"/>
          <w:bCs/>
          <w:color w:val="auto"/>
          <w:sz w:val="24"/>
          <w:highlight w:val="none"/>
        </w:rPr>
        <w:t>（4）出车前认真做好车辆检查工作，保证车容车貌的整洁，保证车况正常，确保油量，杜绝车辆带病及少油量（在油表最后一格以下）出车。</w:t>
      </w:r>
    </w:p>
    <w:p>
      <w:pPr>
        <w:spacing w:line="460" w:lineRule="exact"/>
        <w:ind w:firstLine="470" w:firstLineChars="196"/>
        <w:rPr>
          <w:bCs/>
          <w:color w:val="auto"/>
          <w:sz w:val="24"/>
          <w:highlight w:val="none"/>
        </w:rPr>
      </w:pPr>
      <w:r>
        <w:rPr>
          <w:rFonts w:hint="eastAsia"/>
          <w:bCs/>
          <w:color w:val="auto"/>
          <w:sz w:val="24"/>
          <w:highlight w:val="none"/>
        </w:rPr>
        <w:t>（5）每天作业结束回场后，必须认真做好车辆清洗工作，认真检查和保养车辆，然后停放在业主指定的车位中。</w:t>
      </w:r>
    </w:p>
    <w:p>
      <w:pPr>
        <w:spacing w:line="460" w:lineRule="exact"/>
        <w:ind w:firstLine="470" w:firstLineChars="196"/>
        <w:rPr>
          <w:bCs/>
          <w:color w:val="auto"/>
          <w:sz w:val="24"/>
          <w:highlight w:val="none"/>
        </w:rPr>
      </w:pPr>
      <w:r>
        <w:rPr>
          <w:rFonts w:hint="eastAsia"/>
          <w:bCs/>
          <w:color w:val="auto"/>
          <w:sz w:val="24"/>
          <w:highlight w:val="none"/>
        </w:rPr>
        <w:t>（6）按照车辆的要求进行车辆定期保养，不得带病作业，有故障，马上告知业主，送到指定的维修点维修，做好车辆的维修台账。在车辆维修期间，落实好作业车辆。</w:t>
      </w:r>
    </w:p>
    <w:p>
      <w:pPr>
        <w:spacing w:line="460" w:lineRule="exact"/>
        <w:ind w:firstLine="470" w:firstLineChars="196"/>
        <w:rPr>
          <w:bCs/>
          <w:color w:val="auto"/>
          <w:sz w:val="24"/>
          <w:highlight w:val="none"/>
        </w:rPr>
      </w:pPr>
      <w:r>
        <w:rPr>
          <w:rFonts w:hint="eastAsia"/>
          <w:bCs/>
          <w:color w:val="auto"/>
          <w:sz w:val="24"/>
          <w:highlight w:val="none"/>
        </w:rPr>
        <w:t>（7）及时更换车辆中的易耗品，在确保作业质量的前提下每15天至少更换一次。</w:t>
      </w:r>
    </w:p>
    <w:p>
      <w:pPr>
        <w:spacing w:line="460" w:lineRule="exact"/>
        <w:ind w:firstLine="470" w:firstLineChars="196"/>
        <w:rPr>
          <w:bCs/>
          <w:color w:val="auto"/>
          <w:sz w:val="24"/>
          <w:highlight w:val="none"/>
        </w:rPr>
      </w:pPr>
      <w:r>
        <w:rPr>
          <w:rFonts w:hint="eastAsia"/>
          <w:bCs/>
          <w:color w:val="auto"/>
          <w:sz w:val="24"/>
          <w:highlight w:val="none"/>
        </w:rPr>
        <w:t>2、考核细则</w:t>
      </w:r>
    </w:p>
    <w:p>
      <w:pPr>
        <w:spacing w:line="460" w:lineRule="exact"/>
        <w:ind w:firstLine="470" w:firstLineChars="196"/>
        <w:rPr>
          <w:bCs/>
          <w:color w:val="auto"/>
          <w:sz w:val="24"/>
          <w:highlight w:val="none"/>
        </w:rPr>
      </w:pPr>
      <w:r>
        <w:rPr>
          <w:rFonts w:hint="eastAsia"/>
          <w:bCs/>
          <w:color w:val="auto"/>
          <w:sz w:val="24"/>
          <w:highlight w:val="none"/>
        </w:rPr>
        <w:t>（1）清扫前必须进行洒水作业，扫路车在一天内未达到8小时作业时间的，每辆车每发现一次在当月考核中扣1分；未经业主同意，车辆另作他用的，每辆车每发现一次扣3分。</w:t>
      </w:r>
    </w:p>
    <w:p>
      <w:pPr>
        <w:spacing w:line="460" w:lineRule="exact"/>
        <w:ind w:firstLine="470" w:firstLineChars="196"/>
        <w:rPr>
          <w:bCs/>
          <w:color w:val="auto"/>
          <w:sz w:val="24"/>
          <w:highlight w:val="none"/>
        </w:rPr>
      </w:pPr>
      <w:r>
        <w:rPr>
          <w:rFonts w:hint="eastAsia"/>
          <w:bCs/>
          <w:color w:val="auto"/>
          <w:sz w:val="24"/>
          <w:highlight w:val="none"/>
        </w:rPr>
        <w:t>（2）必须配备专职驾驶员，没有得到业主的批准，更换驾驶员的，每发现一次在当月考核中扣3分；发现无证驾驶的，扣除当月的保洁费用。</w:t>
      </w:r>
    </w:p>
    <w:p>
      <w:pPr>
        <w:spacing w:line="460" w:lineRule="exact"/>
        <w:ind w:firstLine="470" w:firstLineChars="196"/>
        <w:rPr>
          <w:bCs/>
          <w:color w:val="auto"/>
          <w:sz w:val="24"/>
          <w:highlight w:val="none"/>
        </w:rPr>
      </w:pPr>
      <w:r>
        <w:rPr>
          <w:rFonts w:hint="eastAsia"/>
          <w:bCs/>
          <w:color w:val="auto"/>
          <w:sz w:val="24"/>
          <w:highlight w:val="none"/>
        </w:rPr>
        <w:t>（3）车辆作业时，没有做到文明作业被业主查到的或接到投诉，查证属实的，每次在月度考核中扣2分；随意乱停，每辆车每发现一次在当月考核中扣1分；作业时，车速未按规定超速行驶的，每辆车每发现一次在当月考核中扣2分。</w:t>
      </w:r>
    </w:p>
    <w:p>
      <w:pPr>
        <w:spacing w:line="460" w:lineRule="exact"/>
        <w:ind w:firstLine="470" w:firstLineChars="196"/>
        <w:rPr>
          <w:bCs/>
          <w:color w:val="auto"/>
          <w:sz w:val="24"/>
          <w:highlight w:val="none"/>
        </w:rPr>
      </w:pPr>
      <w:r>
        <w:rPr>
          <w:rFonts w:hint="eastAsia"/>
          <w:bCs/>
          <w:color w:val="auto"/>
          <w:sz w:val="24"/>
          <w:highlight w:val="none"/>
        </w:rPr>
        <w:t>（4）车容车貌不整洁出车的，每辆车每发现一次扣1分；车辆带病出车的，每辆车每发现一次在当月考核中扣2分；车辆少油量出车的，每辆车每发现一次扣2分。</w:t>
      </w:r>
    </w:p>
    <w:p>
      <w:pPr>
        <w:spacing w:line="460" w:lineRule="exact"/>
        <w:ind w:firstLine="470" w:firstLineChars="196"/>
        <w:rPr>
          <w:bCs/>
          <w:color w:val="auto"/>
          <w:sz w:val="24"/>
          <w:highlight w:val="none"/>
        </w:rPr>
      </w:pPr>
      <w:r>
        <w:rPr>
          <w:rFonts w:hint="eastAsia"/>
          <w:bCs/>
          <w:color w:val="auto"/>
          <w:sz w:val="24"/>
          <w:highlight w:val="none"/>
        </w:rPr>
        <w:t>（5）每天作业结束回场后，未做好车辆清洗工作的，每辆车每发现一次扣1分；未停放在业主指定的车位的，每辆车每发现一次在当月考核中扣1分。</w:t>
      </w:r>
    </w:p>
    <w:p>
      <w:pPr>
        <w:spacing w:line="460" w:lineRule="exact"/>
        <w:ind w:firstLine="470" w:firstLineChars="196"/>
        <w:rPr>
          <w:bCs/>
          <w:color w:val="auto"/>
          <w:sz w:val="24"/>
          <w:highlight w:val="none"/>
        </w:rPr>
      </w:pPr>
      <w:r>
        <w:rPr>
          <w:rFonts w:hint="eastAsia"/>
          <w:bCs/>
          <w:color w:val="auto"/>
          <w:sz w:val="24"/>
          <w:highlight w:val="none"/>
        </w:rPr>
        <w:t>（6）未按照车辆的要求进行车辆定期保养，每辆车每发现一次扣6分；车辆有故障后，未及时送到指定的维修点维修的，每辆车每发现一次在当月考核中扣3分。</w:t>
      </w:r>
    </w:p>
    <w:p>
      <w:pPr>
        <w:spacing w:line="460" w:lineRule="exact"/>
        <w:ind w:firstLine="470" w:firstLineChars="196"/>
        <w:rPr>
          <w:bCs/>
          <w:color w:val="auto"/>
          <w:sz w:val="24"/>
          <w:highlight w:val="none"/>
        </w:rPr>
      </w:pPr>
      <w:r>
        <w:rPr>
          <w:rFonts w:hint="eastAsia"/>
          <w:bCs/>
          <w:color w:val="auto"/>
          <w:sz w:val="24"/>
          <w:highlight w:val="none"/>
        </w:rPr>
        <w:t>（7）未及时更换车辆中的易耗品而影响作业质量的，每发现一次扣3分。</w:t>
      </w:r>
    </w:p>
    <w:p>
      <w:pPr>
        <w:spacing w:line="460" w:lineRule="exact"/>
        <w:ind w:firstLine="470" w:firstLineChars="196"/>
        <w:rPr>
          <w:bCs/>
          <w:color w:val="auto"/>
          <w:sz w:val="24"/>
          <w:highlight w:val="none"/>
        </w:rPr>
      </w:pPr>
      <w:r>
        <w:rPr>
          <w:rFonts w:hint="eastAsia"/>
          <w:bCs/>
          <w:color w:val="auto"/>
          <w:sz w:val="24"/>
          <w:highlight w:val="none"/>
        </w:rPr>
        <w:t>四、其它</w:t>
      </w:r>
    </w:p>
    <w:p>
      <w:pPr>
        <w:spacing w:line="460" w:lineRule="exact"/>
        <w:ind w:firstLine="470" w:firstLineChars="196"/>
        <w:rPr>
          <w:bCs/>
          <w:color w:val="auto"/>
          <w:sz w:val="24"/>
          <w:highlight w:val="none"/>
        </w:rPr>
      </w:pPr>
      <w:r>
        <w:rPr>
          <w:rFonts w:hint="eastAsia"/>
          <w:bCs/>
          <w:color w:val="auto"/>
          <w:sz w:val="24"/>
          <w:highlight w:val="none"/>
        </w:rPr>
        <w:t>（1）为确保日常保洁工作的顺利开展，开发区保洁单位须提前3天提交下月工作计划到绍兴市上虞区虞发市政工程有限公司，不提交或延后提交，在当月考核中扣1分，未按计划实施的扣3分。</w:t>
      </w:r>
    </w:p>
    <w:p>
      <w:pPr>
        <w:spacing w:line="460" w:lineRule="exact"/>
        <w:ind w:firstLine="470" w:firstLineChars="196"/>
        <w:rPr>
          <w:bCs/>
          <w:color w:val="auto"/>
          <w:sz w:val="24"/>
          <w:highlight w:val="none"/>
        </w:rPr>
      </w:pPr>
      <w:r>
        <w:rPr>
          <w:rFonts w:hint="eastAsia"/>
          <w:bCs/>
          <w:color w:val="auto"/>
          <w:sz w:val="24"/>
          <w:highlight w:val="none"/>
        </w:rPr>
        <w:t>（2）确保安全生产，每发生一起轻伤及以上事故，在当月考核中扣5分；</w:t>
      </w:r>
    </w:p>
    <w:p>
      <w:pPr>
        <w:spacing w:line="460" w:lineRule="exact"/>
        <w:ind w:firstLine="470" w:firstLineChars="196"/>
        <w:rPr>
          <w:bCs/>
          <w:color w:val="auto"/>
          <w:sz w:val="24"/>
          <w:highlight w:val="none"/>
        </w:rPr>
      </w:pPr>
      <w:r>
        <w:rPr>
          <w:rFonts w:hint="eastAsia"/>
          <w:bCs/>
          <w:color w:val="auto"/>
          <w:sz w:val="24"/>
          <w:highlight w:val="none"/>
        </w:rPr>
        <w:t>（3）需服从绍兴市上虞区虞发市政工程有限公司的工作安排，作业人数每日不得少于</w:t>
      </w:r>
      <w:r>
        <w:rPr>
          <w:rFonts w:hint="eastAsia"/>
          <w:bCs/>
          <w:color w:val="FF0000"/>
          <w:sz w:val="24"/>
          <w:highlight w:val="none"/>
          <w:lang w:val="en-US" w:eastAsia="zh-CN"/>
        </w:rPr>
        <w:t>120</w:t>
      </w:r>
      <w:r>
        <w:rPr>
          <w:rFonts w:hint="eastAsia"/>
          <w:bCs/>
          <w:color w:val="FF0000"/>
          <w:sz w:val="24"/>
          <w:highlight w:val="none"/>
        </w:rPr>
        <w:t>人</w:t>
      </w:r>
      <w:r>
        <w:rPr>
          <w:rFonts w:hint="eastAsia"/>
          <w:bCs/>
          <w:color w:val="auto"/>
          <w:sz w:val="24"/>
          <w:highlight w:val="none"/>
        </w:rPr>
        <w:t>（含管理人员），每少1人/次扣0.5分，责令整改后仍不到位，每缺少1人，扣2分。</w:t>
      </w:r>
    </w:p>
    <w:p>
      <w:pPr>
        <w:spacing w:line="460" w:lineRule="exact"/>
        <w:ind w:firstLine="470" w:firstLineChars="196"/>
        <w:rPr>
          <w:bCs/>
          <w:color w:val="auto"/>
          <w:sz w:val="24"/>
          <w:highlight w:val="none"/>
        </w:rPr>
      </w:pPr>
      <w:r>
        <w:rPr>
          <w:rFonts w:hint="eastAsia"/>
          <w:bCs/>
          <w:color w:val="auto"/>
          <w:sz w:val="24"/>
          <w:highlight w:val="none"/>
        </w:rPr>
        <w:t>（4）对有时限要求的突击性任务，</w:t>
      </w:r>
      <w:r>
        <w:rPr>
          <w:rFonts w:hint="eastAsia"/>
          <w:bCs/>
          <w:color w:val="FF0000"/>
          <w:sz w:val="24"/>
          <w:highlight w:val="none"/>
        </w:rPr>
        <w:t>无故延迟</w:t>
      </w:r>
      <w:r>
        <w:rPr>
          <w:rFonts w:hint="eastAsia"/>
          <w:bCs/>
          <w:color w:val="FF0000"/>
          <w:sz w:val="24"/>
          <w:highlight w:val="none"/>
          <w:lang w:val="en-US" w:eastAsia="zh-CN"/>
        </w:rPr>
        <w:t>的当月考核扣5分，并按延迟天数以2000元每天的标准扣款</w:t>
      </w:r>
      <w:r>
        <w:rPr>
          <w:rFonts w:hint="eastAsia"/>
          <w:bCs/>
          <w:color w:val="FF0000"/>
          <w:sz w:val="24"/>
          <w:highlight w:val="none"/>
        </w:rPr>
        <w:t>。</w:t>
      </w:r>
    </w:p>
    <w:p>
      <w:pPr>
        <w:spacing w:line="460" w:lineRule="exact"/>
        <w:ind w:firstLine="470" w:firstLineChars="196"/>
        <w:rPr>
          <w:bCs/>
          <w:color w:val="auto"/>
          <w:sz w:val="24"/>
          <w:highlight w:val="none"/>
        </w:rPr>
      </w:pPr>
      <w:r>
        <w:rPr>
          <w:rFonts w:hint="eastAsia"/>
          <w:bCs/>
          <w:color w:val="auto"/>
          <w:sz w:val="24"/>
          <w:highlight w:val="none"/>
        </w:rPr>
        <w:t>（5）因管理不力，造成较大社会影响、投诉或新闻媒体曝光的，当月考核起评分为80分。</w:t>
      </w:r>
    </w:p>
    <w:p>
      <w:pPr>
        <w:rPr>
          <w:rFonts w:ascii="宋体" w:hAnsi="宋体" w:cs="宋体"/>
          <w:b/>
          <w:color w:val="auto"/>
          <w:sz w:val="24"/>
          <w:highlight w:val="none"/>
        </w:rPr>
      </w:pPr>
      <w:bookmarkStart w:id="443" w:name="_Toc6463"/>
      <w:r>
        <w:rPr>
          <w:rFonts w:ascii="宋体" w:hAnsi="宋体" w:cs="宋体"/>
          <w:b/>
          <w:color w:val="auto"/>
          <w:sz w:val="24"/>
          <w:highlight w:val="none"/>
        </w:rPr>
        <w:br w:type="page"/>
      </w:r>
    </w:p>
    <w:p>
      <w:pPr>
        <w:spacing w:after="156" w:afterLines="50"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采购合同</w:t>
      </w:r>
      <w:bookmarkEnd w:id="443"/>
    </w:p>
    <w:p>
      <w:pPr>
        <w:spacing w:line="360" w:lineRule="auto"/>
        <w:rPr>
          <w:rFonts w:ascii="宋体" w:hAnsi="宋体" w:cs="宋体"/>
          <w:color w:val="auto"/>
          <w:kern w:val="0"/>
          <w:sz w:val="24"/>
          <w:highlight w:val="none"/>
        </w:rPr>
      </w:pPr>
      <w:r>
        <w:rPr>
          <w:rFonts w:hint="eastAsia" w:ascii="宋体" w:hAnsi="宋体" w:cs="宋体"/>
          <w:color w:val="auto"/>
          <w:kern w:val="0"/>
          <w:szCs w:val="21"/>
          <w:highlight w:val="none"/>
        </w:rPr>
        <w:t xml:space="preserve">　 </w:t>
      </w:r>
    </w:p>
    <w:p>
      <w:pPr>
        <w:spacing w:line="360" w:lineRule="auto"/>
        <w:ind w:firstLine="720" w:firstLineChars="300"/>
        <w:jc w:val="left"/>
        <w:rPr>
          <w:rFonts w:ascii="宋体" w:hAnsi="宋体" w:cs="宋体"/>
          <w:color w:val="auto"/>
          <w:kern w:val="0"/>
          <w:sz w:val="24"/>
          <w:highlight w:val="none"/>
        </w:rPr>
      </w:pPr>
      <w:r>
        <w:rPr>
          <w:rFonts w:hint="eastAsia" w:ascii="宋体" w:hAnsi="宋体" w:cs="宋体"/>
          <w:color w:val="auto"/>
          <w:kern w:val="0"/>
          <w:sz w:val="24"/>
          <w:highlight w:val="none"/>
        </w:rPr>
        <w:t>合同编号：（2023）第</w:t>
      </w:r>
      <w:r>
        <w:rPr>
          <w:rFonts w:hint="eastAsia" w:ascii="宋体" w:hAnsi="宋体" w:cs="宋体"/>
          <w:color w:val="auto"/>
          <w:kern w:val="0"/>
          <w:sz w:val="24"/>
          <w:highlight w:val="none"/>
          <w:u w:val="single"/>
        </w:rPr>
        <w:t>　　</w:t>
      </w:r>
      <w:r>
        <w:rPr>
          <w:rFonts w:hint="eastAsia" w:ascii="宋体" w:hAnsi="宋体" w:cs="宋体"/>
          <w:color w:val="auto"/>
          <w:kern w:val="0"/>
          <w:sz w:val="24"/>
          <w:highlight w:val="none"/>
        </w:rPr>
        <w:t>号</w:t>
      </w:r>
    </w:p>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签订日期：2023年</w:t>
      </w:r>
      <w:r>
        <w:rPr>
          <w:rFonts w:hint="eastAsia" w:ascii="宋体" w:hAnsi="宋体" w:cs="宋体"/>
          <w:color w:val="auto"/>
          <w:kern w:val="0"/>
          <w:sz w:val="24"/>
          <w:highlight w:val="none"/>
          <w:u w:val="single"/>
        </w:rPr>
        <w:t>　　</w:t>
      </w:r>
      <w:r>
        <w:rPr>
          <w:rFonts w:hint="eastAsia" w:ascii="宋体" w:hAnsi="宋体" w:cs="宋体"/>
          <w:color w:val="auto"/>
          <w:kern w:val="0"/>
          <w:sz w:val="24"/>
          <w:highlight w:val="none"/>
        </w:rPr>
        <w:t>月</w:t>
      </w:r>
      <w:r>
        <w:rPr>
          <w:rFonts w:hint="eastAsia" w:ascii="宋体" w:hAnsi="宋体" w:cs="宋体"/>
          <w:color w:val="auto"/>
          <w:kern w:val="0"/>
          <w:sz w:val="24"/>
          <w:highlight w:val="none"/>
          <w:u w:val="single"/>
        </w:rPr>
        <w:t>　　</w:t>
      </w:r>
      <w:r>
        <w:rPr>
          <w:rFonts w:hint="eastAsia" w:ascii="宋体" w:hAnsi="宋体" w:cs="宋体"/>
          <w:color w:val="auto"/>
          <w:kern w:val="0"/>
          <w:sz w:val="24"/>
          <w:highlight w:val="none"/>
        </w:rPr>
        <w:t>日</w:t>
      </w:r>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kern w:val="0"/>
          <w:sz w:val="24"/>
          <w:highlight w:val="none"/>
        </w:rPr>
        <w:t>　采购单位</w:t>
      </w:r>
      <w:r>
        <w:rPr>
          <w:rFonts w:hint="eastAsia" w:ascii="宋体" w:hAnsi="宋体" w:cs="宋体"/>
          <w:color w:val="auto"/>
          <w:sz w:val="24"/>
          <w:highlight w:val="none"/>
        </w:rPr>
        <w:t>：</w:t>
      </w:r>
      <w:r>
        <w:rPr>
          <w:rFonts w:hint="eastAsia" w:ascii="宋体" w:hAnsi="宋体" w:cs="宋体"/>
          <w:color w:val="auto"/>
          <w:sz w:val="24"/>
          <w:highlight w:val="none"/>
          <w:u w:val="single"/>
        </w:rPr>
        <w:t>　　　　　　　　　　　　　　　　　　　　</w:t>
      </w:r>
      <w:r>
        <w:rPr>
          <w:rFonts w:hint="eastAsia" w:ascii="宋体" w:hAnsi="宋体" w:cs="宋体"/>
          <w:color w:val="auto"/>
          <w:sz w:val="24"/>
          <w:highlight w:val="none"/>
        </w:rPr>
        <w:t>（甲方）</w:t>
      </w:r>
    </w:p>
    <w:p>
      <w:pPr>
        <w:spacing w:line="360" w:lineRule="auto"/>
        <w:ind w:firstLine="720" w:firstLineChars="300"/>
        <w:jc w:val="left"/>
        <w:rPr>
          <w:rFonts w:ascii="宋体" w:hAnsi="宋体" w:cs="宋体"/>
          <w:color w:val="auto"/>
          <w:sz w:val="24"/>
          <w:highlight w:val="none"/>
          <w:u w:val="single"/>
        </w:rPr>
      </w:pPr>
      <w:r>
        <w:rPr>
          <w:rFonts w:hint="eastAsia" w:ascii="宋体" w:hAnsi="宋体" w:cs="宋体"/>
          <w:color w:val="auto"/>
          <w:sz w:val="24"/>
          <w:highlight w:val="none"/>
        </w:rPr>
        <w:t>中标单位：</w:t>
      </w:r>
      <w:r>
        <w:rPr>
          <w:rFonts w:hint="eastAsia" w:ascii="宋体" w:hAnsi="宋体" w:cs="宋体"/>
          <w:color w:val="auto"/>
          <w:sz w:val="24"/>
          <w:highlight w:val="none"/>
          <w:u w:val="single"/>
        </w:rPr>
        <w:t>　　　　　　　　　　　　　　　　　　　　</w:t>
      </w:r>
      <w:r>
        <w:rPr>
          <w:rFonts w:hint="eastAsia" w:ascii="宋体" w:hAnsi="宋体" w:cs="宋体"/>
          <w:color w:val="auto"/>
          <w:sz w:val="24"/>
          <w:highlight w:val="none"/>
        </w:rPr>
        <w:t>（乙方）</w:t>
      </w:r>
    </w:p>
    <w:p>
      <w:pPr>
        <w:spacing w:line="360" w:lineRule="auto"/>
        <w:ind w:firstLine="720" w:firstLineChars="300"/>
        <w:jc w:val="left"/>
        <w:rPr>
          <w:rFonts w:ascii="宋体" w:hAnsi="宋体" w:cs="宋体"/>
          <w:color w:val="auto"/>
          <w:kern w:val="0"/>
          <w:sz w:val="24"/>
          <w:highlight w:val="none"/>
        </w:rPr>
      </w:pPr>
      <w:r>
        <w:rPr>
          <w:rFonts w:hint="eastAsia" w:ascii="宋体" w:hAnsi="宋体" w:cs="宋体"/>
          <w:color w:val="auto"/>
          <w:kern w:val="0"/>
          <w:sz w:val="24"/>
          <w:highlight w:val="none"/>
        </w:rPr>
        <w:t>根据《中华人民共和国民法典》、招标文件、乙方投标文件的规定，经公开招标，签订本合同。</w:t>
      </w:r>
    </w:p>
    <w:p>
      <w:pPr>
        <w:numPr>
          <w:ilvl w:val="0"/>
          <w:numId w:val="41"/>
        </w:numPr>
        <w:spacing w:before="156" w:beforeLines="50" w:after="156" w:afterLines="50"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项目内容及合同价格</w:t>
      </w:r>
    </w:p>
    <w:p>
      <w:pPr>
        <w:tabs>
          <w:tab w:val="left" w:pos="2462"/>
        </w:tabs>
        <w:spacing w:line="520" w:lineRule="exact"/>
        <w:ind w:firstLine="360" w:firstLineChars="150"/>
        <w:jc w:val="left"/>
        <w:rPr>
          <w:rFonts w:ascii="宋体" w:hAnsi="宋体" w:cs="宋体"/>
          <w:color w:val="auto"/>
          <w:kern w:val="0"/>
          <w:sz w:val="24"/>
          <w:highlight w:val="none"/>
        </w:rPr>
      </w:pPr>
      <w:r>
        <w:rPr>
          <w:rFonts w:hint="eastAsia" w:ascii="宋体" w:hAnsi="宋体" w:cs="宋体"/>
          <w:color w:val="auto"/>
          <w:kern w:val="0"/>
          <w:sz w:val="24"/>
          <w:highlight w:val="none"/>
        </w:rPr>
        <w:t>本项目为</w:t>
      </w:r>
      <w:r>
        <w:rPr>
          <w:rFonts w:hint="eastAsia" w:ascii="宋体" w:hAnsi="宋体" w:cs="宋体"/>
          <w:color w:val="auto"/>
          <w:sz w:val="24"/>
          <w:highlight w:val="none"/>
        </w:rPr>
        <w:t>2023-2024年度杭州湾上虞经济技术开发区道路、绿化带保洁服务项目。</w:t>
      </w:r>
      <w:r>
        <w:rPr>
          <w:rFonts w:hint="eastAsia" w:ascii="宋体" w:hAnsi="宋体" w:cs="宋体"/>
          <w:color w:val="auto"/>
          <w:kern w:val="0"/>
          <w:sz w:val="24"/>
          <w:highlight w:val="none"/>
        </w:rPr>
        <w:t>其中保洁I标（道路）面积为1000095.04平方</w:t>
      </w:r>
      <w:r>
        <w:rPr>
          <w:rFonts w:hint="eastAsia" w:ascii="宋体" w:hAnsi="宋体" w:cs="宋体"/>
          <w:color w:val="auto"/>
          <w:kern w:val="0"/>
          <w:sz w:val="24"/>
          <w:highlight w:val="none"/>
          <w:lang w:val="en-US" w:eastAsia="zh-CN"/>
        </w:rPr>
        <w:t>米</w:t>
      </w:r>
      <w:r>
        <w:rPr>
          <w:rFonts w:hint="eastAsia" w:ascii="宋体" w:hAnsi="宋体" w:cs="宋体"/>
          <w:color w:val="auto"/>
          <w:kern w:val="0"/>
          <w:sz w:val="24"/>
          <w:highlight w:val="none"/>
        </w:rPr>
        <w:t>；保洁I标（绿化带）面积为1265106.5平方</w:t>
      </w:r>
      <w:r>
        <w:rPr>
          <w:rFonts w:hint="eastAsia" w:ascii="宋体" w:hAnsi="宋体" w:cs="宋体"/>
          <w:color w:val="auto"/>
          <w:kern w:val="0"/>
          <w:sz w:val="24"/>
          <w:highlight w:val="none"/>
          <w:lang w:val="en-US" w:eastAsia="zh-CN"/>
        </w:rPr>
        <w:t>米</w:t>
      </w:r>
      <w:r>
        <w:rPr>
          <w:rFonts w:hint="eastAsia" w:ascii="宋体" w:hAnsi="宋体" w:cs="宋体"/>
          <w:b/>
          <w:bCs/>
          <w:color w:val="auto"/>
          <w:kern w:val="0"/>
          <w:sz w:val="24"/>
          <w:highlight w:val="none"/>
        </w:rPr>
        <w:t>；</w:t>
      </w:r>
      <w:r>
        <w:rPr>
          <w:rFonts w:hint="eastAsia" w:ascii="宋体" w:hAnsi="宋体" w:cs="宋体"/>
          <w:color w:val="auto"/>
          <w:kern w:val="0"/>
          <w:sz w:val="24"/>
          <w:highlight w:val="none"/>
        </w:rPr>
        <w:t>共计面积2265201.54平方</w:t>
      </w:r>
      <w:r>
        <w:rPr>
          <w:rFonts w:hint="eastAsia" w:ascii="宋体" w:hAnsi="宋体" w:cs="宋体"/>
          <w:color w:val="auto"/>
          <w:kern w:val="0"/>
          <w:sz w:val="24"/>
          <w:highlight w:val="none"/>
          <w:lang w:val="en-US" w:eastAsia="zh-CN"/>
        </w:rPr>
        <w:t>米</w:t>
      </w:r>
      <w:r>
        <w:rPr>
          <w:rFonts w:hint="eastAsia" w:ascii="宋体" w:hAnsi="宋体" w:cs="宋体"/>
          <w:color w:val="auto"/>
          <w:kern w:val="0"/>
          <w:sz w:val="24"/>
          <w:highlight w:val="none"/>
        </w:rPr>
        <w:t>。保洁II标（道路）面积为1098311.98平方</w:t>
      </w:r>
      <w:r>
        <w:rPr>
          <w:rFonts w:hint="eastAsia" w:ascii="宋体" w:hAnsi="宋体" w:cs="宋体"/>
          <w:color w:val="auto"/>
          <w:kern w:val="0"/>
          <w:sz w:val="24"/>
          <w:highlight w:val="none"/>
          <w:lang w:val="en-US" w:eastAsia="zh-CN"/>
        </w:rPr>
        <w:t>米</w:t>
      </w:r>
      <w:r>
        <w:rPr>
          <w:rFonts w:hint="eastAsia" w:ascii="宋体" w:hAnsi="宋体" w:cs="宋体"/>
          <w:b/>
          <w:bCs/>
          <w:color w:val="auto"/>
          <w:kern w:val="0"/>
          <w:sz w:val="24"/>
          <w:highlight w:val="none"/>
        </w:rPr>
        <w:t>；</w:t>
      </w:r>
      <w:r>
        <w:rPr>
          <w:rFonts w:hint="eastAsia" w:ascii="宋体" w:hAnsi="宋体" w:cs="宋体"/>
          <w:color w:val="auto"/>
          <w:kern w:val="0"/>
          <w:sz w:val="24"/>
          <w:highlight w:val="none"/>
        </w:rPr>
        <w:t>保洁II标（绿化带）面积为680494.19平方</w:t>
      </w:r>
      <w:r>
        <w:rPr>
          <w:rFonts w:hint="eastAsia" w:ascii="宋体" w:hAnsi="宋体" w:cs="宋体"/>
          <w:color w:val="auto"/>
          <w:kern w:val="0"/>
          <w:sz w:val="24"/>
          <w:highlight w:val="none"/>
          <w:lang w:val="en-US" w:eastAsia="zh-CN"/>
        </w:rPr>
        <w:t>米</w:t>
      </w:r>
      <w:r>
        <w:rPr>
          <w:rFonts w:hint="eastAsia" w:ascii="宋体" w:hAnsi="宋体" w:cs="宋体"/>
          <w:b/>
          <w:bCs/>
          <w:color w:val="auto"/>
          <w:kern w:val="0"/>
          <w:sz w:val="24"/>
          <w:highlight w:val="none"/>
        </w:rPr>
        <w:t>；</w:t>
      </w:r>
      <w:r>
        <w:rPr>
          <w:rFonts w:hint="eastAsia" w:ascii="宋体" w:hAnsi="宋体" w:cs="宋体"/>
          <w:color w:val="auto"/>
          <w:kern w:val="0"/>
          <w:sz w:val="24"/>
          <w:highlight w:val="none"/>
        </w:rPr>
        <w:t>共计面积1778806.17平方</w:t>
      </w:r>
      <w:r>
        <w:rPr>
          <w:rFonts w:hint="eastAsia" w:ascii="宋体" w:hAnsi="宋体" w:cs="宋体"/>
          <w:color w:val="auto"/>
          <w:kern w:val="0"/>
          <w:sz w:val="24"/>
          <w:highlight w:val="none"/>
          <w:lang w:val="en-US" w:eastAsia="zh-CN"/>
        </w:rPr>
        <w:t>米</w:t>
      </w:r>
      <w:r>
        <w:rPr>
          <w:rFonts w:hint="eastAsia" w:ascii="宋体" w:hAnsi="宋体" w:cs="宋体"/>
          <w:color w:val="auto"/>
          <w:kern w:val="0"/>
          <w:sz w:val="24"/>
          <w:highlight w:val="none"/>
        </w:rPr>
        <w:t>。具体详见清单。本项目服务期为二年。</w:t>
      </w:r>
    </w:p>
    <w:tbl>
      <w:tblPr>
        <w:tblStyle w:val="30"/>
        <w:tblW w:w="8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1"/>
        <w:gridCol w:w="1587"/>
        <w:gridCol w:w="1587"/>
        <w:gridCol w:w="1150"/>
        <w:gridCol w:w="889"/>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8" w:hRule="atLeast"/>
          <w:jc w:val="center"/>
        </w:trPr>
        <w:tc>
          <w:tcPr>
            <w:tcW w:w="1211" w:type="dxa"/>
            <w:vMerge w:val="restart"/>
            <w:noWrap/>
            <w:vAlign w:val="center"/>
          </w:tcPr>
          <w:p>
            <w:pPr>
              <w:spacing w:line="360" w:lineRule="auto"/>
              <w:jc w:val="center"/>
              <w:rPr>
                <w:rFonts w:hint="eastAsia" w:ascii="宋体" w:hAnsi="宋体" w:eastAsia="宋体" w:cs="宋体"/>
                <w:b/>
                <w:bCs/>
                <w:color w:val="auto"/>
                <w:kern w:val="0"/>
                <w:sz w:val="24"/>
                <w:highlight w:val="none"/>
                <w:lang w:eastAsia="zh-CN"/>
              </w:rPr>
            </w:pPr>
            <w:r>
              <w:rPr>
                <w:rFonts w:hint="eastAsia" w:ascii="宋体" w:hAnsi="宋体" w:cs="宋体"/>
                <w:b/>
                <w:bCs/>
                <w:color w:val="FF0000"/>
                <w:kern w:val="0"/>
                <w:sz w:val="24"/>
                <w:highlight w:val="none"/>
                <w:lang w:val="en-US" w:eastAsia="zh-CN"/>
              </w:rPr>
              <w:t>合同价格</w:t>
            </w:r>
          </w:p>
        </w:tc>
        <w:tc>
          <w:tcPr>
            <w:tcW w:w="1587" w:type="dxa"/>
            <w:noWrap/>
            <w:vAlign w:val="center"/>
          </w:tcPr>
          <w:p>
            <w:pPr>
              <w:spacing w:line="360" w:lineRule="auto"/>
              <w:jc w:val="center"/>
              <w:rPr>
                <w:rFonts w:hint="default" w:ascii="宋体" w:hAnsi="宋体" w:cs="宋体"/>
                <w:b/>
                <w:bCs/>
                <w:color w:val="FF0000"/>
                <w:kern w:val="0"/>
                <w:sz w:val="24"/>
                <w:highlight w:val="none"/>
                <w:lang w:val="en-US" w:eastAsia="zh-CN"/>
              </w:rPr>
            </w:pPr>
            <w:r>
              <w:rPr>
                <w:rFonts w:hint="eastAsia" w:ascii="宋体" w:hAnsi="宋体" w:cs="宋体"/>
                <w:b/>
                <w:bCs/>
                <w:color w:val="FF0000"/>
                <w:kern w:val="0"/>
                <w:sz w:val="24"/>
                <w:highlight w:val="none"/>
                <w:lang w:val="en-US" w:eastAsia="zh-CN"/>
              </w:rPr>
              <w:t>分项</w:t>
            </w:r>
          </w:p>
        </w:tc>
        <w:tc>
          <w:tcPr>
            <w:tcW w:w="1587" w:type="dxa"/>
            <w:noWrap/>
            <w:vAlign w:val="center"/>
          </w:tcPr>
          <w:p>
            <w:pPr>
              <w:spacing w:line="360" w:lineRule="auto"/>
              <w:jc w:val="center"/>
              <w:rPr>
                <w:rFonts w:hint="default" w:ascii="宋体" w:hAnsi="宋体" w:eastAsia="宋体" w:cs="宋体"/>
                <w:b/>
                <w:bCs/>
                <w:color w:val="auto"/>
                <w:kern w:val="0"/>
                <w:sz w:val="24"/>
                <w:highlight w:val="none"/>
                <w:lang w:val="en-US" w:eastAsia="zh-CN"/>
              </w:rPr>
            </w:pPr>
            <w:r>
              <w:rPr>
                <w:rFonts w:hint="eastAsia" w:ascii="宋体" w:hAnsi="宋体" w:cs="宋体"/>
                <w:b/>
                <w:bCs/>
                <w:color w:val="auto"/>
                <w:kern w:val="0"/>
                <w:sz w:val="24"/>
                <w:highlight w:val="none"/>
                <w:lang w:val="en-US" w:eastAsia="zh-CN"/>
              </w:rPr>
              <w:t>每年每平方米</w:t>
            </w:r>
            <w:r>
              <w:rPr>
                <w:rFonts w:hint="eastAsia" w:ascii="宋体" w:hAnsi="宋体" w:cs="宋体"/>
                <w:b/>
                <w:bCs/>
                <w:color w:val="FF0000"/>
                <w:kern w:val="0"/>
                <w:sz w:val="24"/>
                <w:highlight w:val="none"/>
                <w:lang w:val="en-US" w:eastAsia="zh-CN"/>
              </w:rPr>
              <w:t>综合</w:t>
            </w:r>
            <w:r>
              <w:rPr>
                <w:rFonts w:hint="eastAsia" w:ascii="宋体" w:hAnsi="宋体" w:cs="宋体"/>
                <w:b/>
                <w:bCs/>
                <w:color w:val="auto"/>
                <w:kern w:val="0"/>
                <w:sz w:val="24"/>
                <w:highlight w:val="none"/>
                <w:lang w:val="en-US" w:eastAsia="zh-CN"/>
              </w:rPr>
              <w:t>单价（元）</w:t>
            </w:r>
          </w:p>
        </w:tc>
        <w:tc>
          <w:tcPr>
            <w:tcW w:w="1150" w:type="dxa"/>
            <w:noWrap/>
            <w:vAlign w:val="center"/>
          </w:tcPr>
          <w:p>
            <w:pPr>
              <w:spacing w:line="360" w:lineRule="auto"/>
              <w:jc w:val="center"/>
              <w:rPr>
                <w:rFonts w:hint="default" w:ascii="宋体" w:hAnsi="宋体" w:cs="宋体"/>
                <w:b/>
                <w:bCs/>
                <w:color w:val="auto"/>
                <w:kern w:val="0"/>
                <w:sz w:val="24"/>
                <w:highlight w:val="none"/>
                <w:lang w:val="en-US" w:eastAsia="zh-CN"/>
              </w:rPr>
            </w:pPr>
            <w:r>
              <w:rPr>
                <w:rFonts w:hint="eastAsia" w:ascii="宋体" w:hAnsi="宋体" w:cs="宋体"/>
                <w:b/>
                <w:bCs/>
                <w:color w:val="auto"/>
                <w:kern w:val="0"/>
                <w:sz w:val="24"/>
                <w:highlight w:val="none"/>
                <w:lang w:val="en-US" w:eastAsia="zh-CN"/>
              </w:rPr>
              <w:t>面积（平方米）</w:t>
            </w:r>
          </w:p>
        </w:tc>
        <w:tc>
          <w:tcPr>
            <w:tcW w:w="889" w:type="dxa"/>
            <w:noWrap/>
            <w:vAlign w:val="center"/>
          </w:tcPr>
          <w:p>
            <w:pPr>
              <w:spacing w:line="360" w:lineRule="auto"/>
              <w:jc w:val="center"/>
              <w:rPr>
                <w:rFonts w:hint="default" w:ascii="宋体" w:hAnsi="宋体" w:eastAsia="宋体" w:cs="宋体"/>
                <w:b/>
                <w:bCs/>
                <w:color w:val="auto"/>
                <w:kern w:val="0"/>
                <w:sz w:val="24"/>
                <w:highlight w:val="none"/>
                <w:lang w:val="en-US" w:eastAsia="zh-CN"/>
              </w:rPr>
            </w:pPr>
            <w:r>
              <w:rPr>
                <w:rFonts w:hint="eastAsia" w:ascii="宋体" w:hAnsi="宋体" w:cs="宋体"/>
                <w:b/>
                <w:bCs/>
                <w:color w:val="auto"/>
                <w:kern w:val="0"/>
                <w:sz w:val="24"/>
                <w:highlight w:val="none"/>
                <w:lang w:val="en-US" w:eastAsia="zh-CN"/>
              </w:rPr>
              <w:t>服务期限（年）</w:t>
            </w:r>
          </w:p>
        </w:tc>
        <w:tc>
          <w:tcPr>
            <w:tcW w:w="2412" w:type="dxa"/>
            <w:noWrap/>
            <w:vAlign w:val="center"/>
          </w:tcPr>
          <w:p>
            <w:pPr>
              <w:spacing w:line="360" w:lineRule="auto"/>
              <w:jc w:val="center"/>
              <w:rPr>
                <w:rFonts w:hint="eastAsia" w:ascii="宋体" w:hAnsi="宋体" w:cs="宋体"/>
                <w:b/>
                <w:bCs/>
                <w:color w:val="auto"/>
                <w:kern w:val="0"/>
                <w:sz w:val="24"/>
                <w:highlight w:val="none"/>
                <w:lang w:val="en-US" w:eastAsia="zh-CN"/>
              </w:rPr>
            </w:pPr>
            <w:r>
              <w:rPr>
                <w:rFonts w:hint="eastAsia" w:ascii="宋体" w:hAnsi="宋体" w:cs="宋体"/>
                <w:b/>
                <w:bCs/>
                <w:color w:val="auto"/>
                <w:kern w:val="0"/>
                <w:sz w:val="24"/>
                <w:highlight w:val="none"/>
                <w:lang w:val="en-US" w:eastAsia="zh-CN"/>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6" w:hRule="atLeast"/>
          <w:jc w:val="center"/>
        </w:trPr>
        <w:tc>
          <w:tcPr>
            <w:tcW w:w="1211" w:type="dxa"/>
            <w:vMerge w:val="continue"/>
            <w:noWrap/>
            <w:vAlign w:val="center"/>
          </w:tcPr>
          <w:p>
            <w:pPr>
              <w:spacing w:line="360" w:lineRule="auto"/>
              <w:jc w:val="center"/>
              <w:rPr>
                <w:rFonts w:hint="eastAsia" w:ascii="宋体" w:hAnsi="宋体" w:cs="宋体"/>
                <w:b/>
                <w:bCs/>
                <w:color w:val="auto"/>
                <w:kern w:val="0"/>
                <w:sz w:val="24"/>
                <w:highlight w:val="none"/>
              </w:rPr>
            </w:pPr>
          </w:p>
        </w:tc>
        <w:tc>
          <w:tcPr>
            <w:tcW w:w="1587" w:type="dxa"/>
            <w:noWrap/>
            <w:vAlign w:val="center"/>
          </w:tcPr>
          <w:p>
            <w:pPr>
              <w:spacing w:line="360" w:lineRule="auto"/>
              <w:jc w:val="center"/>
              <w:rPr>
                <w:rFonts w:hint="default" w:ascii="宋体" w:hAnsi="宋体" w:eastAsia="宋体" w:cs="宋体"/>
                <w:b/>
                <w:bCs/>
                <w:color w:val="FF0000"/>
                <w:kern w:val="0"/>
                <w:sz w:val="24"/>
                <w:highlight w:val="none"/>
                <w:lang w:val="en-US" w:eastAsia="zh-CN"/>
              </w:rPr>
            </w:pPr>
            <w:r>
              <w:rPr>
                <w:rFonts w:hint="eastAsia" w:ascii="宋体" w:hAnsi="宋体" w:cs="宋体"/>
                <w:b/>
                <w:bCs/>
                <w:color w:val="FF0000"/>
                <w:kern w:val="0"/>
                <w:sz w:val="24"/>
                <w:highlight w:val="none"/>
                <w:lang w:val="en-US" w:eastAsia="zh-CN"/>
              </w:rPr>
              <w:t>道路保洁</w:t>
            </w:r>
          </w:p>
        </w:tc>
        <w:tc>
          <w:tcPr>
            <w:tcW w:w="1587" w:type="dxa"/>
            <w:noWrap/>
            <w:vAlign w:val="center"/>
          </w:tcPr>
          <w:p>
            <w:pPr>
              <w:spacing w:line="360" w:lineRule="auto"/>
              <w:jc w:val="center"/>
              <w:rPr>
                <w:rFonts w:hint="default" w:ascii="宋体" w:hAnsi="宋体" w:cs="宋体"/>
                <w:b/>
                <w:bCs/>
                <w:color w:val="auto"/>
                <w:kern w:val="0"/>
                <w:sz w:val="24"/>
                <w:highlight w:val="none"/>
                <w:lang w:val="en-US" w:eastAsia="zh-CN"/>
              </w:rPr>
            </w:pPr>
            <w:r>
              <w:rPr>
                <w:rFonts w:hint="eastAsia" w:ascii="宋体" w:hAnsi="宋体" w:cs="宋体"/>
                <w:b/>
                <w:bCs/>
                <w:color w:val="auto"/>
                <w:kern w:val="0"/>
                <w:sz w:val="24"/>
                <w:highlight w:val="none"/>
                <w:u w:val="single"/>
                <w:lang w:val="en-US" w:eastAsia="zh-CN"/>
              </w:rPr>
              <w:t xml:space="preserve">      </w:t>
            </w:r>
            <w:r>
              <w:rPr>
                <w:rFonts w:hint="eastAsia" w:ascii="宋体" w:hAnsi="宋体" w:cs="宋体"/>
                <w:b/>
                <w:bCs/>
                <w:color w:val="auto"/>
                <w:kern w:val="0"/>
                <w:sz w:val="24"/>
                <w:highlight w:val="none"/>
                <w:lang w:val="en-US" w:eastAsia="zh-CN"/>
              </w:rPr>
              <w:t>元</w:t>
            </w:r>
          </w:p>
        </w:tc>
        <w:tc>
          <w:tcPr>
            <w:tcW w:w="1150" w:type="dxa"/>
            <w:noWrap/>
            <w:vAlign w:val="center"/>
          </w:tcPr>
          <w:p>
            <w:pPr>
              <w:spacing w:line="360" w:lineRule="auto"/>
              <w:jc w:val="center"/>
              <w:rPr>
                <w:rFonts w:hint="eastAsia" w:ascii="宋体" w:hAnsi="宋体" w:cs="宋体"/>
                <w:b/>
                <w:bCs/>
                <w:color w:val="auto"/>
                <w:kern w:val="0"/>
                <w:sz w:val="24"/>
                <w:highlight w:val="none"/>
                <w:lang w:val="en-US" w:eastAsia="zh-CN"/>
              </w:rPr>
            </w:pPr>
          </w:p>
        </w:tc>
        <w:tc>
          <w:tcPr>
            <w:tcW w:w="889" w:type="dxa"/>
            <w:noWrap/>
            <w:vAlign w:val="center"/>
          </w:tcPr>
          <w:p>
            <w:pPr>
              <w:spacing w:line="360" w:lineRule="auto"/>
              <w:jc w:val="center"/>
              <w:rPr>
                <w:rFonts w:hint="eastAsia" w:ascii="宋体" w:hAnsi="宋体" w:eastAsia="宋体" w:cs="宋体"/>
                <w:b/>
                <w:bCs/>
                <w:color w:val="auto"/>
                <w:kern w:val="0"/>
                <w:sz w:val="24"/>
                <w:highlight w:val="none"/>
                <w:lang w:val="en-US" w:eastAsia="zh-CN"/>
              </w:rPr>
            </w:pPr>
            <w:r>
              <w:rPr>
                <w:rFonts w:hint="eastAsia" w:ascii="宋体" w:hAnsi="宋体" w:cs="宋体"/>
                <w:b/>
                <w:bCs/>
                <w:color w:val="auto"/>
                <w:kern w:val="0"/>
                <w:sz w:val="24"/>
                <w:highlight w:val="none"/>
                <w:lang w:val="en-US" w:eastAsia="zh-CN"/>
              </w:rPr>
              <w:t>2</w:t>
            </w:r>
          </w:p>
        </w:tc>
        <w:tc>
          <w:tcPr>
            <w:tcW w:w="2412" w:type="dxa"/>
            <w:noWrap/>
            <w:vAlign w:val="center"/>
          </w:tcPr>
          <w:p>
            <w:pPr>
              <w:spacing w:line="360" w:lineRule="auto"/>
              <w:jc w:val="both"/>
              <w:rPr>
                <w:rFonts w:hint="eastAsia" w:ascii="宋体" w:hAnsi="宋体" w:cs="宋体"/>
                <w:b/>
                <w:bCs/>
                <w:color w:val="auto"/>
                <w:kern w:val="0"/>
                <w:sz w:val="24"/>
                <w:highlight w:val="none"/>
              </w:rPr>
            </w:pPr>
            <w:r>
              <w:rPr>
                <w:rFonts w:hint="eastAsia" w:ascii="宋体" w:hAnsi="宋体" w:cs="宋体"/>
                <w:b/>
                <w:bCs/>
                <w:color w:val="auto"/>
                <w:kern w:val="0"/>
                <w:sz w:val="24"/>
                <w:highlight w:val="none"/>
                <w:lang w:eastAsia="zh-CN"/>
              </w:rPr>
              <w:t>小写：</w:t>
            </w:r>
            <w:r>
              <w:rPr>
                <w:rFonts w:hint="eastAsia" w:ascii="宋体" w:hAnsi="宋体" w:cs="宋体"/>
                <w:b/>
                <w:bCs/>
                <w:color w:val="auto"/>
                <w:kern w:val="0"/>
                <w:sz w:val="24"/>
                <w:highlight w:val="none"/>
                <w:u w:val="single"/>
                <w:lang w:val="en-US" w:eastAsia="zh-CN"/>
              </w:rPr>
              <w:t xml:space="preserve">           </w:t>
            </w:r>
            <w:r>
              <w:rPr>
                <w:rFonts w:hint="eastAsia" w:ascii="宋体" w:hAnsi="宋体" w:cs="宋体"/>
                <w:b/>
                <w:bCs/>
                <w:color w:val="auto"/>
                <w:kern w:val="0"/>
                <w:sz w:val="24"/>
                <w:highlight w:val="none"/>
              </w:rPr>
              <w:t>元</w:t>
            </w:r>
          </w:p>
          <w:p>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（大写：</w:t>
            </w:r>
            <w:r>
              <w:rPr>
                <w:rFonts w:hint="eastAsia" w:ascii="宋体" w:hAnsi="宋体" w:cs="宋体"/>
                <w:b/>
                <w:bCs/>
                <w:color w:val="auto"/>
                <w:kern w:val="0"/>
                <w:sz w:val="24"/>
                <w:highlight w:val="none"/>
                <w:u w:val="single"/>
                <w:lang w:val="en-US" w:eastAsia="zh-CN"/>
              </w:rPr>
              <w:t xml:space="preserve">       </w:t>
            </w:r>
            <w:r>
              <w:rPr>
                <w:rFonts w:hint="eastAsia" w:ascii="宋体" w:hAnsi="宋体" w:cs="宋体"/>
                <w:b/>
                <w:bCs/>
                <w:color w:val="auto"/>
                <w:kern w:val="0"/>
                <w:sz w:val="24"/>
                <w:highlight w:val="none"/>
              </w:rPr>
              <w:t>元</w:t>
            </w:r>
            <w:r>
              <w:rPr>
                <w:rFonts w:hint="eastAsia" w:ascii="宋体" w:hAnsi="宋体" w:cs="宋体"/>
                <w:b/>
                <w:bCs/>
                <w:color w:val="auto"/>
                <w:kern w:val="0"/>
                <w:sz w:val="24"/>
                <w:highlight w:val="none"/>
                <w:lang w:eastAsia="zh-CN"/>
              </w:rPr>
              <w:t>整</w:t>
            </w:r>
            <w:r>
              <w:rPr>
                <w:rFonts w:hint="eastAsia" w:ascii="宋体" w:hAnsi="宋体" w:cs="宋体"/>
                <w:b/>
                <w:bCs/>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8" w:hRule="atLeast"/>
          <w:jc w:val="center"/>
        </w:trPr>
        <w:tc>
          <w:tcPr>
            <w:tcW w:w="1211" w:type="dxa"/>
            <w:vMerge w:val="continue"/>
            <w:noWrap/>
            <w:vAlign w:val="center"/>
          </w:tcPr>
          <w:p>
            <w:pPr>
              <w:spacing w:line="360" w:lineRule="auto"/>
              <w:jc w:val="center"/>
              <w:rPr>
                <w:rFonts w:hint="eastAsia" w:ascii="宋体" w:hAnsi="宋体" w:cs="宋体"/>
                <w:b/>
                <w:bCs/>
                <w:color w:val="auto"/>
                <w:kern w:val="0"/>
                <w:sz w:val="24"/>
                <w:highlight w:val="none"/>
              </w:rPr>
            </w:pPr>
          </w:p>
        </w:tc>
        <w:tc>
          <w:tcPr>
            <w:tcW w:w="1587" w:type="dxa"/>
            <w:noWrap/>
            <w:vAlign w:val="center"/>
          </w:tcPr>
          <w:p>
            <w:pPr>
              <w:spacing w:line="360" w:lineRule="auto"/>
              <w:jc w:val="center"/>
              <w:rPr>
                <w:rFonts w:hint="default" w:ascii="宋体" w:hAnsi="宋体" w:eastAsia="宋体" w:cs="宋体"/>
                <w:b/>
                <w:bCs/>
                <w:color w:val="FF0000"/>
                <w:kern w:val="0"/>
                <w:sz w:val="24"/>
                <w:highlight w:val="none"/>
                <w:lang w:val="en-US" w:eastAsia="zh-CN"/>
              </w:rPr>
            </w:pPr>
            <w:r>
              <w:rPr>
                <w:rFonts w:hint="eastAsia" w:ascii="宋体" w:hAnsi="宋体" w:cs="宋体"/>
                <w:b/>
                <w:bCs/>
                <w:color w:val="FF0000"/>
                <w:kern w:val="0"/>
                <w:sz w:val="24"/>
                <w:highlight w:val="none"/>
                <w:lang w:val="en-US" w:eastAsia="zh-CN"/>
              </w:rPr>
              <w:t>绿化带保洁</w:t>
            </w:r>
          </w:p>
        </w:tc>
        <w:tc>
          <w:tcPr>
            <w:tcW w:w="1587" w:type="dxa"/>
            <w:noWrap/>
            <w:vAlign w:val="center"/>
          </w:tcPr>
          <w:p>
            <w:pPr>
              <w:spacing w:line="360" w:lineRule="auto"/>
              <w:jc w:val="center"/>
              <w:rPr>
                <w:rFonts w:hint="eastAsia" w:ascii="宋体" w:hAnsi="宋体" w:cs="宋体"/>
                <w:b/>
                <w:bCs/>
                <w:color w:val="auto"/>
                <w:kern w:val="0"/>
                <w:sz w:val="24"/>
                <w:highlight w:val="none"/>
                <w:u w:val="single"/>
                <w:lang w:val="en-US" w:eastAsia="zh-CN"/>
              </w:rPr>
            </w:pPr>
            <w:r>
              <w:rPr>
                <w:rFonts w:hint="eastAsia" w:ascii="宋体" w:hAnsi="宋体" w:cs="宋体"/>
                <w:b/>
                <w:bCs/>
                <w:color w:val="auto"/>
                <w:kern w:val="0"/>
                <w:sz w:val="24"/>
                <w:highlight w:val="none"/>
                <w:u w:val="single"/>
                <w:lang w:val="en-US" w:eastAsia="zh-CN"/>
              </w:rPr>
              <w:t xml:space="preserve">      </w:t>
            </w:r>
            <w:r>
              <w:rPr>
                <w:rFonts w:hint="eastAsia" w:ascii="宋体" w:hAnsi="宋体" w:cs="宋体"/>
                <w:b/>
                <w:bCs/>
                <w:color w:val="auto"/>
                <w:kern w:val="0"/>
                <w:sz w:val="24"/>
                <w:highlight w:val="none"/>
                <w:lang w:val="en-US" w:eastAsia="zh-CN"/>
              </w:rPr>
              <w:t>元</w:t>
            </w:r>
          </w:p>
        </w:tc>
        <w:tc>
          <w:tcPr>
            <w:tcW w:w="1150" w:type="dxa"/>
            <w:noWrap/>
            <w:vAlign w:val="center"/>
          </w:tcPr>
          <w:p>
            <w:pPr>
              <w:spacing w:line="360" w:lineRule="auto"/>
              <w:jc w:val="center"/>
              <w:rPr>
                <w:rFonts w:hint="eastAsia" w:ascii="宋体" w:hAnsi="宋体" w:cs="宋体"/>
                <w:b/>
                <w:bCs/>
                <w:color w:val="auto"/>
                <w:kern w:val="0"/>
                <w:sz w:val="24"/>
                <w:highlight w:val="none"/>
                <w:lang w:val="en-US" w:eastAsia="zh-CN"/>
              </w:rPr>
            </w:pPr>
          </w:p>
        </w:tc>
        <w:tc>
          <w:tcPr>
            <w:tcW w:w="889" w:type="dxa"/>
            <w:noWrap/>
            <w:vAlign w:val="center"/>
          </w:tcPr>
          <w:p>
            <w:pPr>
              <w:spacing w:line="360" w:lineRule="auto"/>
              <w:jc w:val="center"/>
              <w:rPr>
                <w:rFonts w:hint="eastAsia" w:ascii="宋体" w:hAnsi="宋体" w:cs="宋体"/>
                <w:b/>
                <w:bCs/>
                <w:color w:val="auto"/>
                <w:kern w:val="0"/>
                <w:sz w:val="24"/>
                <w:highlight w:val="none"/>
                <w:lang w:val="en-US" w:eastAsia="zh-CN"/>
              </w:rPr>
            </w:pPr>
            <w:r>
              <w:rPr>
                <w:rFonts w:hint="eastAsia" w:ascii="宋体" w:hAnsi="宋体" w:cs="宋体"/>
                <w:b/>
                <w:bCs/>
                <w:color w:val="auto"/>
                <w:kern w:val="0"/>
                <w:sz w:val="24"/>
                <w:highlight w:val="none"/>
                <w:lang w:val="en-US" w:eastAsia="zh-CN"/>
              </w:rPr>
              <w:t>2</w:t>
            </w:r>
          </w:p>
        </w:tc>
        <w:tc>
          <w:tcPr>
            <w:tcW w:w="2412" w:type="dxa"/>
            <w:noWrap/>
            <w:vAlign w:val="center"/>
          </w:tcPr>
          <w:p>
            <w:pPr>
              <w:spacing w:line="360" w:lineRule="auto"/>
              <w:jc w:val="both"/>
              <w:rPr>
                <w:rFonts w:hint="eastAsia" w:ascii="宋体" w:hAnsi="宋体" w:cs="宋体"/>
                <w:b/>
                <w:bCs/>
                <w:color w:val="auto"/>
                <w:kern w:val="0"/>
                <w:sz w:val="24"/>
                <w:highlight w:val="none"/>
              </w:rPr>
            </w:pPr>
            <w:r>
              <w:rPr>
                <w:rFonts w:hint="eastAsia" w:ascii="宋体" w:hAnsi="宋体" w:cs="宋体"/>
                <w:b/>
                <w:bCs/>
                <w:color w:val="auto"/>
                <w:kern w:val="0"/>
                <w:sz w:val="24"/>
                <w:highlight w:val="none"/>
                <w:lang w:eastAsia="zh-CN"/>
              </w:rPr>
              <w:t>小写：</w:t>
            </w:r>
            <w:r>
              <w:rPr>
                <w:rFonts w:hint="eastAsia" w:ascii="宋体" w:hAnsi="宋体" w:cs="宋体"/>
                <w:b/>
                <w:bCs/>
                <w:color w:val="auto"/>
                <w:kern w:val="0"/>
                <w:sz w:val="24"/>
                <w:highlight w:val="none"/>
                <w:u w:val="single"/>
                <w:lang w:val="en-US" w:eastAsia="zh-CN"/>
              </w:rPr>
              <w:t xml:space="preserve">           </w:t>
            </w:r>
            <w:r>
              <w:rPr>
                <w:rFonts w:hint="eastAsia" w:ascii="宋体" w:hAnsi="宋体" w:cs="宋体"/>
                <w:b/>
                <w:bCs/>
                <w:color w:val="auto"/>
                <w:kern w:val="0"/>
                <w:sz w:val="24"/>
                <w:highlight w:val="none"/>
              </w:rPr>
              <w:t>元</w:t>
            </w:r>
          </w:p>
          <w:p>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（大写：</w:t>
            </w:r>
            <w:r>
              <w:rPr>
                <w:rFonts w:hint="eastAsia" w:ascii="宋体" w:hAnsi="宋体" w:cs="宋体"/>
                <w:b/>
                <w:bCs/>
                <w:color w:val="auto"/>
                <w:kern w:val="0"/>
                <w:sz w:val="24"/>
                <w:highlight w:val="none"/>
                <w:u w:val="single"/>
                <w:lang w:val="en-US" w:eastAsia="zh-CN"/>
              </w:rPr>
              <w:t xml:space="preserve">       </w:t>
            </w:r>
            <w:r>
              <w:rPr>
                <w:rFonts w:hint="eastAsia" w:ascii="宋体" w:hAnsi="宋体" w:cs="宋体"/>
                <w:b/>
                <w:bCs/>
                <w:color w:val="auto"/>
                <w:kern w:val="0"/>
                <w:sz w:val="24"/>
                <w:highlight w:val="none"/>
              </w:rPr>
              <w:t>元</w:t>
            </w:r>
            <w:r>
              <w:rPr>
                <w:rFonts w:hint="eastAsia" w:ascii="宋体" w:hAnsi="宋体" w:cs="宋体"/>
                <w:b/>
                <w:bCs/>
                <w:color w:val="auto"/>
                <w:kern w:val="0"/>
                <w:sz w:val="24"/>
                <w:highlight w:val="none"/>
                <w:lang w:eastAsia="zh-CN"/>
              </w:rPr>
              <w:t>整</w:t>
            </w:r>
            <w:r>
              <w:rPr>
                <w:rFonts w:hint="eastAsia" w:ascii="宋体" w:hAnsi="宋体" w:cs="宋体"/>
                <w:b/>
                <w:bCs/>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6" w:hRule="atLeast"/>
          <w:jc w:val="center"/>
        </w:trPr>
        <w:tc>
          <w:tcPr>
            <w:tcW w:w="8836" w:type="dxa"/>
            <w:gridSpan w:val="6"/>
            <w:noWrap/>
            <w:vAlign w:val="center"/>
          </w:tcPr>
          <w:p>
            <w:pPr>
              <w:autoSpaceDE w:val="0"/>
              <w:autoSpaceDN w:val="0"/>
              <w:adjustRightInd w:val="0"/>
              <w:spacing w:line="360" w:lineRule="auto"/>
              <w:ind w:firstLine="480" w:firstLineChars="200"/>
              <w:jc w:val="left"/>
              <w:rPr>
                <w:rFonts w:hint="eastAsia" w:ascii="宋体" w:hAnsi="宋体" w:cs="宋体"/>
                <w:bCs/>
                <w:color w:val="FF0000"/>
                <w:sz w:val="24"/>
                <w:highlight w:val="none"/>
                <w:lang w:val="en-US" w:eastAsia="zh-CN"/>
              </w:rPr>
            </w:pPr>
            <w:r>
              <w:rPr>
                <w:rFonts w:hint="eastAsia" w:ascii="宋体" w:hAnsi="宋体" w:cs="宋体"/>
                <w:bCs/>
                <w:color w:val="FF0000"/>
                <w:sz w:val="24"/>
                <w:highlight w:val="none"/>
                <w:lang w:val="en-US" w:eastAsia="zh-CN"/>
              </w:rPr>
              <w:t>综合单</w:t>
            </w:r>
            <w:r>
              <w:rPr>
                <w:rFonts w:hint="eastAsia" w:ascii="宋体" w:hAnsi="宋体" w:cs="宋体"/>
                <w:bCs/>
                <w:color w:val="FF0000"/>
                <w:sz w:val="24"/>
                <w:highlight w:val="none"/>
              </w:rPr>
              <w:t>价</w:t>
            </w:r>
            <w:r>
              <w:rPr>
                <w:rFonts w:hint="eastAsia" w:ascii="宋体" w:hAnsi="宋体" w:cs="宋体"/>
                <w:bCs/>
                <w:color w:val="auto"/>
                <w:sz w:val="24"/>
                <w:highlight w:val="none"/>
              </w:rPr>
              <w:t>统一为人民币计价，</w:t>
            </w:r>
            <w:r>
              <w:rPr>
                <w:rFonts w:hint="eastAsia"/>
                <w:b/>
                <w:color w:val="auto"/>
                <w:sz w:val="24"/>
                <w:highlight w:val="none"/>
              </w:rPr>
              <w:t>应</w:t>
            </w:r>
            <w:r>
              <w:rPr>
                <w:b/>
                <w:color w:val="auto"/>
                <w:sz w:val="24"/>
                <w:highlight w:val="none"/>
              </w:rPr>
              <w:t>包括</w:t>
            </w:r>
            <w:r>
              <w:rPr>
                <w:rFonts w:hint="eastAsia"/>
                <w:b/>
                <w:color w:val="auto"/>
                <w:sz w:val="24"/>
                <w:highlight w:val="none"/>
              </w:rPr>
              <w:t>但不限于完成本项目服务可能发生的全部费用包括</w:t>
            </w:r>
            <w:r>
              <w:rPr>
                <w:rFonts w:hint="eastAsia" w:hAnsi="宋体" w:cs="宋体"/>
                <w:b/>
                <w:bCs/>
                <w:color w:val="auto"/>
                <w:sz w:val="24"/>
                <w:highlight w:val="none"/>
              </w:rPr>
              <w:t>保洁、管理人员的意外保险、</w:t>
            </w:r>
            <w:r>
              <w:rPr>
                <w:rFonts w:hint="eastAsia"/>
                <w:b/>
                <w:color w:val="auto"/>
                <w:sz w:val="24"/>
                <w:highlight w:val="none"/>
              </w:rPr>
              <w:t>工资福利、社保、服装费、办公用品、劳动用品、工器具、管理费、税费、垃圾清扫清运设备费用、运输费用、燃油、保养维修、垃圾处置及清运费用及不可预见费等所有费用</w:t>
            </w:r>
            <w:r>
              <w:rPr>
                <w:rFonts w:hint="eastAsia" w:hAnsi="宋体" w:cs="宋体"/>
                <w:color w:val="auto"/>
                <w:kern w:val="0"/>
                <w:sz w:val="24"/>
                <w:highlight w:val="none"/>
              </w:rPr>
              <w:t>。</w:t>
            </w:r>
          </w:p>
        </w:tc>
      </w:tr>
    </w:tbl>
    <w:p>
      <w:pPr>
        <w:numPr>
          <w:ilvl w:val="0"/>
          <w:numId w:val="41"/>
        </w:numPr>
        <w:spacing w:before="156" w:beforeLines="50" w:after="156" w:afterLines="50"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付款方式及要求</w:t>
      </w:r>
    </w:p>
    <w:p>
      <w:pPr>
        <w:spacing w:line="460" w:lineRule="exact"/>
        <w:ind w:firstLine="470" w:firstLineChars="196"/>
        <w:rPr>
          <w:rFonts w:hint="eastAsia"/>
          <w:bCs/>
          <w:color w:val="auto"/>
          <w:sz w:val="24"/>
          <w:highlight w:val="none"/>
        </w:rPr>
      </w:pPr>
      <w:r>
        <w:rPr>
          <w:rFonts w:hint="eastAsia"/>
          <w:bCs/>
          <w:color w:val="auto"/>
          <w:sz w:val="24"/>
          <w:highlight w:val="none"/>
        </w:rPr>
        <w:t>1、</w:t>
      </w:r>
      <w:r>
        <w:rPr>
          <w:rFonts w:hint="eastAsia"/>
          <w:bCs/>
          <w:color w:val="FF0000"/>
          <w:sz w:val="24"/>
          <w:highlight w:val="none"/>
          <w:lang w:eastAsia="zh-CN"/>
        </w:rPr>
        <w:t>付款方式：</w:t>
      </w:r>
      <w:r>
        <w:rPr>
          <w:rFonts w:hint="eastAsia"/>
          <w:bCs/>
          <w:color w:val="auto"/>
          <w:sz w:val="24"/>
          <w:highlight w:val="none"/>
        </w:rPr>
        <w:t>服务费用按月计算，每季度支付一次，在次季度首月15日前支付95%，剩余5%在</w:t>
      </w:r>
      <w:r>
        <w:rPr>
          <w:rFonts w:hint="eastAsia"/>
          <w:bCs/>
          <w:color w:val="FF0000"/>
          <w:sz w:val="24"/>
          <w:highlight w:val="none"/>
          <w:lang w:val="en-US" w:eastAsia="zh-CN"/>
        </w:rPr>
        <w:t>服务期满</w:t>
      </w:r>
      <w:r>
        <w:rPr>
          <w:rFonts w:hint="eastAsia"/>
          <w:bCs/>
          <w:color w:val="auto"/>
          <w:sz w:val="24"/>
          <w:highlight w:val="none"/>
        </w:rPr>
        <w:t>后7个工作日内支付，同时资金支付还需结合考核办法。</w:t>
      </w:r>
    </w:p>
    <w:p>
      <w:pPr>
        <w:spacing w:line="460" w:lineRule="exact"/>
        <w:ind w:firstLine="470" w:firstLineChars="196"/>
        <w:rPr>
          <w:bCs/>
          <w:color w:val="auto"/>
          <w:sz w:val="24"/>
          <w:highlight w:val="none"/>
        </w:rPr>
      </w:pPr>
      <w:r>
        <w:rPr>
          <w:rFonts w:hint="eastAsia"/>
          <w:bCs/>
          <w:color w:val="auto"/>
          <w:sz w:val="24"/>
          <w:highlight w:val="none"/>
          <w:lang w:val="en-US" w:eastAsia="zh-CN"/>
        </w:rPr>
        <w:t>2、</w:t>
      </w:r>
      <w:r>
        <w:rPr>
          <w:rFonts w:hint="eastAsia"/>
          <w:bCs/>
          <w:color w:val="FF0000"/>
          <w:sz w:val="24"/>
          <w:highlight w:val="none"/>
          <w:lang w:val="en-US" w:eastAsia="zh-CN"/>
        </w:rPr>
        <w:t>考核办法：</w:t>
      </w:r>
      <w:r>
        <w:rPr>
          <w:rFonts w:hint="eastAsia"/>
          <w:bCs/>
          <w:color w:val="auto"/>
          <w:sz w:val="24"/>
          <w:highlight w:val="none"/>
        </w:rPr>
        <w:t>月考核平均扣分在1—5分（含5分），月承包款可</w:t>
      </w:r>
      <w:r>
        <w:rPr>
          <w:rFonts w:hint="eastAsia"/>
          <w:bCs/>
          <w:color w:val="FF0000"/>
          <w:sz w:val="24"/>
          <w:highlight w:val="none"/>
          <w:lang w:val="en-US" w:eastAsia="zh-CN"/>
        </w:rPr>
        <w:t>计</w:t>
      </w:r>
      <w:r>
        <w:rPr>
          <w:rFonts w:hint="eastAsia"/>
          <w:bCs/>
          <w:color w:val="auto"/>
          <w:sz w:val="24"/>
          <w:highlight w:val="none"/>
        </w:rPr>
        <w:t>100%；月考核平均扣分在5—10分（含10分），按平均月考核扣分在5分以上的每增加1分，月承包款扣除0.5%；月考核平均扣分在10—15分（含15分），按月考核平均扣分在10分以上的每增加一分，月承包款扣除1%；月考核平均扣分在15—20分（含20分），按月考核平均扣分在15分以上的每增加一分，月承包款扣除1.5%；月考核平均扣分在20分以上的，向中标单位提出严重警告，并按每增加1分，月承包款扣除3%；上述考核扣分及扣除承包款时，采用累进制。对有时限要求的突击性任务，</w:t>
      </w:r>
      <w:r>
        <w:rPr>
          <w:rFonts w:hint="eastAsia"/>
          <w:bCs/>
          <w:color w:val="FF0000"/>
          <w:sz w:val="24"/>
          <w:highlight w:val="none"/>
        </w:rPr>
        <w:t>无故延迟</w:t>
      </w:r>
      <w:r>
        <w:rPr>
          <w:rFonts w:hint="eastAsia"/>
          <w:bCs/>
          <w:color w:val="FF0000"/>
          <w:sz w:val="24"/>
          <w:highlight w:val="none"/>
          <w:lang w:val="en-US" w:eastAsia="zh-CN"/>
        </w:rPr>
        <w:t>的当月考核扣5分，并按延迟天数以2000元每天的标准扣款</w:t>
      </w:r>
      <w:r>
        <w:rPr>
          <w:rFonts w:hint="eastAsia"/>
          <w:bCs/>
          <w:color w:val="FF0000"/>
          <w:sz w:val="24"/>
          <w:highlight w:val="none"/>
        </w:rPr>
        <w:t>。</w:t>
      </w:r>
      <w:r>
        <w:rPr>
          <w:rFonts w:hint="eastAsia"/>
          <w:bCs/>
          <w:color w:val="auto"/>
          <w:sz w:val="24"/>
          <w:highlight w:val="none"/>
        </w:rPr>
        <w:t>因管理不力，造成较大社会影响、投诉或新闻媒体曝光的，当月考核起评分为80分。</w:t>
      </w:r>
    </w:p>
    <w:p>
      <w:pPr>
        <w:spacing w:line="500" w:lineRule="exact"/>
        <w:ind w:firstLine="600"/>
        <w:rPr>
          <w:b/>
          <w:color w:val="auto"/>
          <w:sz w:val="24"/>
          <w:highlight w:val="none"/>
        </w:rPr>
      </w:pPr>
      <w:r>
        <w:rPr>
          <w:rFonts w:hint="eastAsia"/>
          <w:b/>
          <w:color w:val="auto"/>
          <w:sz w:val="24"/>
          <w:highlight w:val="none"/>
          <w:lang w:val="en-US" w:eastAsia="zh-CN"/>
        </w:rPr>
        <w:t>3</w:t>
      </w:r>
      <w:r>
        <w:rPr>
          <w:rFonts w:hint="eastAsia"/>
          <w:b/>
          <w:color w:val="auto"/>
          <w:sz w:val="24"/>
          <w:highlight w:val="none"/>
        </w:rPr>
        <w:t>、本项目服务期限为 2年（24个月），时间以甲方开具开工报告为准。招标人与中标单位自成交通知书发出起的 30日内签订服务合同。</w:t>
      </w:r>
    </w:p>
    <w:p>
      <w:pPr>
        <w:numPr>
          <w:ilvl w:val="0"/>
          <w:numId w:val="41"/>
        </w:numPr>
        <w:spacing w:before="156" w:beforeLines="50" w:after="156" w:afterLines="50"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履约保证金</w:t>
      </w:r>
    </w:p>
    <w:p>
      <w:pPr>
        <w:spacing w:line="4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、中标人在收到中标通知书后，需以银行转账、现金或工程保函向采购人提供合同总价1%的履约保证金，在中标人与采购人签订合同前递交。</w:t>
      </w:r>
    </w:p>
    <w:p>
      <w:pPr>
        <w:spacing w:line="460" w:lineRule="exact"/>
        <w:ind w:firstLine="480" w:firstLineChars="200"/>
        <w:rPr>
          <w:rStyle w:val="72"/>
          <w:rFonts w:ascii="宋体" w:hAnsi="宋体" w:cs="宋体"/>
          <w:color w:val="auto"/>
          <w:szCs w:val="24"/>
          <w:highlight w:val="none"/>
        </w:rPr>
      </w:pPr>
      <w:r>
        <w:rPr>
          <w:rFonts w:hint="eastAsia" w:ascii="宋体" w:hAnsi="宋体"/>
          <w:color w:val="auto"/>
          <w:sz w:val="24"/>
          <w:highlight w:val="none"/>
        </w:rPr>
        <w:t>2、乙方在履约期间未出现违约行为，采购人将在服务期满，并经验收合格后10个工作日内予以退还履约保证金</w:t>
      </w:r>
      <w:r>
        <w:rPr>
          <w:rFonts w:ascii="宋体" w:hAnsi="宋体"/>
          <w:color w:val="auto"/>
          <w:sz w:val="24"/>
          <w:highlight w:val="none"/>
        </w:rPr>
        <w:t>(</w:t>
      </w:r>
      <w:r>
        <w:rPr>
          <w:rFonts w:hint="eastAsia" w:ascii="宋体" w:hAnsi="宋体"/>
          <w:color w:val="auto"/>
          <w:sz w:val="24"/>
          <w:highlight w:val="none"/>
        </w:rPr>
        <w:t>不计息</w:t>
      </w:r>
      <w:r>
        <w:rPr>
          <w:rFonts w:ascii="宋体" w:hAnsi="宋体"/>
          <w:color w:val="auto"/>
          <w:sz w:val="24"/>
          <w:highlight w:val="none"/>
        </w:rPr>
        <w:t>)</w:t>
      </w:r>
      <w:r>
        <w:rPr>
          <w:rFonts w:hint="eastAsia" w:ascii="宋体" w:hAnsi="宋体"/>
          <w:color w:val="auto"/>
          <w:sz w:val="24"/>
          <w:highlight w:val="none"/>
        </w:rPr>
        <w:t>。</w:t>
      </w:r>
    </w:p>
    <w:p>
      <w:pPr>
        <w:numPr>
          <w:ilvl w:val="0"/>
          <w:numId w:val="41"/>
        </w:numPr>
        <w:spacing w:before="156" w:beforeLines="50" w:after="156" w:afterLines="50"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保洁管理要点及内容</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 1）道路路面、桥面、车道、人行道、沿街商铺退让带、绿化隔离带、绿化退让带、绿化景观带、桥栏杆、公交设施（公交站台、站牌、候车亭、公共自行车棚等）的清扫保洁、垃圾处置；道路上混凝土车辆漏洒混凝土清除、水闸管理；</w:t>
      </w:r>
    </w:p>
    <w:p>
      <w:pPr>
        <w:tabs>
          <w:tab w:val="left" w:pos="2462"/>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2）沿街果壳箱、垃圾桶内垃圾的清运，果壳箱、垃圾桶的清洗。</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3）景观带内铺装、自行车道、绿化、栏杆、景观桥等所有设施的保洁；</w:t>
      </w:r>
    </w:p>
    <w:p>
      <w:pPr>
        <w:numPr>
          <w:ilvl w:val="0"/>
          <w:numId w:val="41"/>
        </w:numPr>
        <w:spacing w:before="156" w:beforeLines="50" w:after="156" w:afterLines="50"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双方职责</w:t>
      </w:r>
    </w:p>
    <w:p>
      <w:pPr>
        <w:tabs>
          <w:tab w:val="left" w:pos="840"/>
        </w:tabs>
        <w:spacing w:line="500" w:lineRule="exact"/>
        <w:ind w:left="540"/>
        <w:jc w:val="left"/>
        <w:rPr>
          <w:rFonts w:asciiTheme="majorEastAsia" w:hAnsiTheme="majorEastAsia" w:eastAsiaTheme="majorEastAsia" w:cstheme="majorEastAsia"/>
          <w:b/>
          <w:bCs/>
          <w:color w:val="auto"/>
          <w:kern w:val="0"/>
          <w:sz w:val="24"/>
          <w:highlight w:val="none"/>
        </w:rPr>
      </w:pPr>
      <w:r>
        <w:rPr>
          <w:rFonts w:hint="eastAsia" w:asciiTheme="majorEastAsia" w:hAnsiTheme="majorEastAsia" w:eastAsiaTheme="majorEastAsia" w:cstheme="majorEastAsia"/>
          <w:b/>
          <w:bCs/>
          <w:color w:val="auto"/>
          <w:kern w:val="0"/>
          <w:sz w:val="24"/>
          <w:highlight w:val="none"/>
        </w:rPr>
        <w:t>（1）、需方的责任和义务</w:t>
      </w:r>
    </w:p>
    <w:p>
      <w:pPr>
        <w:spacing w:line="500" w:lineRule="exact"/>
        <w:ind w:firstLine="480" w:firstLineChars="200"/>
        <w:jc w:val="left"/>
        <w:rPr>
          <w:rFonts w:ascii="宋体"/>
          <w:color w:val="auto"/>
          <w:kern w:val="0"/>
          <w:sz w:val="24"/>
          <w:highlight w:val="none"/>
        </w:rPr>
      </w:pPr>
      <w:r>
        <w:rPr>
          <w:rFonts w:hint="eastAsia" w:ascii="宋体"/>
          <w:color w:val="auto"/>
          <w:kern w:val="0"/>
          <w:sz w:val="24"/>
          <w:highlight w:val="none"/>
        </w:rPr>
        <w:t>1、杭州湾上虞经济技术开发区道路、绿化带保洁考核由需方组织实施；</w:t>
      </w:r>
    </w:p>
    <w:p>
      <w:pPr>
        <w:spacing w:line="500" w:lineRule="exact"/>
        <w:ind w:firstLine="480" w:firstLineChars="200"/>
        <w:jc w:val="left"/>
        <w:rPr>
          <w:rFonts w:ascii="宋体"/>
          <w:color w:val="auto"/>
          <w:kern w:val="0"/>
          <w:sz w:val="24"/>
          <w:highlight w:val="none"/>
        </w:rPr>
      </w:pPr>
      <w:r>
        <w:rPr>
          <w:rFonts w:hint="eastAsia" w:ascii="宋体"/>
          <w:color w:val="auto"/>
          <w:kern w:val="0"/>
          <w:sz w:val="24"/>
          <w:highlight w:val="none"/>
        </w:rPr>
        <w:t>2、需</w:t>
      </w:r>
      <w:r>
        <w:rPr>
          <w:rFonts w:hint="eastAsia" w:ascii="宋体" w:hAnsi="宋体"/>
          <w:color w:val="auto"/>
          <w:kern w:val="0"/>
          <w:sz w:val="24"/>
          <w:highlight w:val="none"/>
        </w:rPr>
        <w:t>方每天实施巡查，按巡查结果每天进行打分，打分结果作为考核依据，考核按招标文件确定的《考核办法》执行，总分为100分；</w:t>
      </w:r>
    </w:p>
    <w:p>
      <w:pPr>
        <w:spacing w:line="500" w:lineRule="exact"/>
        <w:ind w:firstLine="480" w:firstLineChars="200"/>
        <w:jc w:val="left"/>
        <w:rPr>
          <w:rFonts w:ascii="宋体"/>
          <w:color w:val="auto"/>
          <w:kern w:val="0"/>
          <w:sz w:val="24"/>
          <w:highlight w:val="none"/>
        </w:rPr>
      </w:pPr>
      <w:r>
        <w:rPr>
          <w:rFonts w:hint="eastAsia" w:ascii="宋体"/>
          <w:color w:val="auto"/>
          <w:kern w:val="0"/>
          <w:sz w:val="24"/>
          <w:highlight w:val="none"/>
        </w:rPr>
        <w:t>3、需方有权要求供方整改不符合规章制度和违反程序的操作；</w:t>
      </w:r>
    </w:p>
    <w:p>
      <w:pPr>
        <w:spacing w:line="500" w:lineRule="exact"/>
        <w:ind w:firstLine="480" w:firstLineChars="200"/>
        <w:jc w:val="left"/>
        <w:rPr>
          <w:rFonts w:ascii="宋体"/>
          <w:color w:val="auto"/>
          <w:kern w:val="0"/>
          <w:sz w:val="24"/>
          <w:highlight w:val="none"/>
        </w:rPr>
      </w:pPr>
      <w:r>
        <w:rPr>
          <w:rFonts w:hint="eastAsia" w:ascii="宋体"/>
          <w:color w:val="auto"/>
          <w:kern w:val="0"/>
          <w:sz w:val="24"/>
          <w:highlight w:val="none"/>
        </w:rPr>
        <w:t>4、对需方交办的其它任务完成情况，以需方相关领导评价为依据，进行扣减分。</w:t>
      </w:r>
    </w:p>
    <w:p>
      <w:pPr>
        <w:spacing w:line="500" w:lineRule="exact"/>
        <w:ind w:firstLine="480" w:firstLineChars="200"/>
        <w:jc w:val="left"/>
        <w:rPr>
          <w:rFonts w:ascii="宋体"/>
          <w:color w:val="auto"/>
          <w:kern w:val="0"/>
          <w:sz w:val="24"/>
          <w:highlight w:val="none"/>
        </w:rPr>
      </w:pPr>
      <w:r>
        <w:rPr>
          <w:rFonts w:hint="eastAsia" w:ascii="宋体"/>
          <w:color w:val="auto"/>
          <w:kern w:val="0"/>
          <w:sz w:val="24"/>
          <w:highlight w:val="none"/>
        </w:rPr>
        <w:t>5、保洁工作中的保洁车辆用水由需方提供。</w:t>
      </w:r>
    </w:p>
    <w:p>
      <w:pPr>
        <w:spacing w:line="500" w:lineRule="exact"/>
        <w:ind w:firstLine="482" w:firstLineChars="200"/>
        <w:jc w:val="left"/>
        <w:rPr>
          <w:rFonts w:ascii="宋体"/>
          <w:b/>
          <w:bCs/>
          <w:color w:val="auto"/>
          <w:kern w:val="0"/>
          <w:sz w:val="24"/>
          <w:highlight w:val="none"/>
        </w:rPr>
      </w:pPr>
      <w:r>
        <w:rPr>
          <w:rFonts w:hint="eastAsia" w:ascii="宋体"/>
          <w:b/>
          <w:bCs/>
          <w:color w:val="auto"/>
          <w:kern w:val="0"/>
          <w:sz w:val="24"/>
          <w:highlight w:val="none"/>
        </w:rPr>
        <w:t>（2）、供方的责任和义务</w:t>
      </w:r>
    </w:p>
    <w:p>
      <w:pPr>
        <w:spacing w:line="500" w:lineRule="exact"/>
        <w:ind w:firstLine="480" w:firstLineChars="200"/>
        <w:jc w:val="left"/>
        <w:rPr>
          <w:rFonts w:ascii="宋体"/>
          <w:color w:val="auto"/>
          <w:kern w:val="0"/>
          <w:sz w:val="24"/>
          <w:highlight w:val="none"/>
        </w:rPr>
      </w:pPr>
      <w:r>
        <w:rPr>
          <w:rFonts w:hint="eastAsia" w:ascii="宋体"/>
          <w:color w:val="auto"/>
          <w:kern w:val="0"/>
          <w:sz w:val="24"/>
          <w:highlight w:val="none"/>
        </w:rPr>
        <w:t>1、供方必须严格遵守《劳动法》的有关规定，加强对工作人员的培训和教育，爱护公共财物，确保安全工作，杜绝各类事故。需方如临时有紧急工作任务，供方必须无条件调动人员，保证完成工作；</w:t>
      </w:r>
    </w:p>
    <w:p>
      <w:pPr>
        <w:spacing w:line="500" w:lineRule="exact"/>
        <w:ind w:firstLine="480" w:firstLineChars="200"/>
        <w:jc w:val="left"/>
        <w:rPr>
          <w:rFonts w:ascii="宋体"/>
          <w:color w:val="auto"/>
          <w:kern w:val="0"/>
          <w:sz w:val="24"/>
          <w:highlight w:val="none"/>
        </w:rPr>
      </w:pPr>
      <w:r>
        <w:rPr>
          <w:rFonts w:hint="eastAsia" w:ascii="宋体"/>
          <w:color w:val="auto"/>
          <w:kern w:val="0"/>
          <w:sz w:val="24"/>
          <w:highlight w:val="none"/>
        </w:rPr>
        <w:t>2、按要求配好工作人员，确保工作质量，若需方提出任何需要整改的意见，供方应立即予以整改，供方也可向需方提出合理化意见和建议；</w:t>
      </w:r>
    </w:p>
    <w:p>
      <w:pPr>
        <w:spacing w:line="500" w:lineRule="exact"/>
        <w:ind w:firstLine="480" w:firstLineChars="200"/>
        <w:jc w:val="left"/>
        <w:rPr>
          <w:rFonts w:ascii="宋体"/>
          <w:color w:val="auto"/>
          <w:kern w:val="0"/>
          <w:sz w:val="24"/>
          <w:highlight w:val="none"/>
        </w:rPr>
      </w:pPr>
      <w:r>
        <w:rPr>
          <w:rFonts w:hint="eastAsia" w:ascii="宋体"/>
          <w:color w:val="auto"/>
          <w:kern w:val="0"/>
          <w:sz w:val="24"/>
          <w:highlight w:val="none"/>
        </w:rPr>
        <w:t>3、供方工作人员要统一工作服装，并佩挂统一工作证，遵守需方各项内部规章制度；</w:t>
      </w:r>
    </w:p>
    <w:p>
      <w:pPr>
        <w:spacing w:line="500" w:lineRule="exact"/>
        <w:ind w:firstLine="480" w:firstLineChars="200"/>
        <w:jc w:val="left"/>
        <w:rPr>
          <w:rFonts w:ascii="宋体"/>
          <w:color w:val="auto"/>
          <w:kern w:val="0"/>
          <w:sz w:val="24"/>
          <w:highlight w:val="none"/>
        </w:rPr>
      </w:pPr>
      <w:r>
        <w:rPr>
          <w:rFonts w:hint="eastAsia" w:ascii="宋体"/>
          <w:color w:val="auto"/>
          <w:kern w:val="0"/>
          <w:sz w:val="24"/>
          <w:highlight w:val="none"/>
        </w:rPr>
        <w:t>4、供方对保洁范围内的阴井盖完好情况进行巡查，发现阴井盖损坏、破坏、缺失的，以书面形式及时报告需方，未及时报告导致严重事故的，有权追究相关责任；</w:t>
      </w:r>
    </w:p>
    <w:p>
      <w:pPr>
        <w:spacing w:line="500" w:lineRule="exact"/>
        <w:ind w:firstLine="480" w:firstLineChars="200"/>
        <w:jc w:val="left"/>
        <w:rPr>
          <w:rFonts w:ascii="宋体"/>
          <w:color w:val="auto"/>
          <w:kern w:val="0"/>
          <w:sz w:val="24"/>
          <w:highlight w:val="none"/>
        </w:rPr>
      </w:pPr>
      <w:r>
        <w:rPr>
          <w:rFonts w:hint="eastAsia" w:ascii="宋体"/>
          <w:color w:val="auto"/>
          <w:kern w:val="0"/>
          <w:sz w:val="24"/>
          <w:highlight w:val="none"/>
        </w:rPr>
        <w:t>5、供方在被委托期间，发生作业人员（含管理人员）伤亡由供方承担一切费用，需方概不承担任何责任。</w:t>
      </w:r>
    </w:p>
    <w:p>
      <w:pPr>
        <w:spacing w:line="500" w:lineRule="exact"/>
        <w:ind w:firstLine="480" w:firstLineChars="200"/>
        <w:jc w:val="left"/>
        <w:rPr>
          <w:rFonts w:ascii="宋体"/>
          <w:color w:val="auto"/>
          <w:kern w:val="0"/>
          <w:sz w:val="24"/>
          <w:highlight w:val="none"/>
        </w:rPr>
      </w:pPr>
      <w:r>
        <w:rPr>
          <w:rFonts w:hint="eastAsia" w:ascii="宋体"/>
          <w:color w:val="auto"/>
          <w:kern w:val="0"/>
          <w:sz w:val="24"/>
          <w:highlight w:val="none"/>
        </w:rPr>
        <w:t>6、供方用工</w:t>
      </w:r>
      <w:r>
        <w:rPr>
          <w:rFonts w:hint="eastAsia" w:ascii="宋体" w:hAnsi="宋体"/>
          <w:color w:val="auto"/>
          <w:sz w:val="24"/>
          <w:highlight w:val="none"/>
        </w:rPr>
        <w:t>须符合国家有关法律规定，</w:t>
      </w:r>
      <w:r>
        <w:rPr>
          <w:rFonts w:hint="eastAsia" w:ascii="宋体"/>
          <w:color w:val="auto"/>
          <w:kern w:val="0"/>
          <w:sz w:val="24"/>
          <w:highlight w:val="none"/>
        </w:rPr>
        <w:t>签订用工协议，办理各种用工手续，如因用工不当，给需方造成损失由供方承担一切责任。</w:t>
      </w:r>
    </w:p>
    <w:p>
      <w:pPr>
        <w:spacing w:line="500" w:lineRule="exact"/>
        <w:ind w:firstLine="480" w:firstLineChars="200"/>
        <w:jc w:val="left"/>
        <w:rPr>
          <w:rFonts w:ascii="宋体"/>
          <w:color w:val="auto"/>
          <w:kern w:val="0"/>
          <w:sz w:val="24"/>
          <w:highlight w:val="none"/>
        </w:rPr>
      </w:pPr>
      <w:r>
        <w:rPr>
          <w:rFonts w:hint="eastAsia" w:ascii="宋体"/>
          <w:color w:val="auto"/>
          <w:kern w:val="0"/>
          <w:sz w:val="24"/>
          <w:highlight w:val="none"/>
        </w:rPr>
        <w:t>7、供方在承包期内，因工作不力月度考核分低于80分的，向供方单位下发责令限期整改通知书，累计二个月度考核分低于80分的，将解除承包合同。</w:t>
      </w:r>
    </w:p>
    <w:p>
      <w:pPr>
        <w:spacing w:line="500" w:lineRule="exact"/>
        <w:ind w:firstLine="480" w:firstLineChars="200"/>
        <w:jc w:val="left"/>
        <w:rPr>
          <w:rFonts w:ascii="宋体"/>
          <w:color w:val="auto"/>
          <w:kern w:val="0"/>
          <w:sz w:val="24"/>
          <w:highlight w:val="none"/>
        </w:rPr>
      </w:pPr>
      <w:r>
        <w:rPr>
          <w:rFonts w:hint="eastAsia" w:ascii="宋体"/>
          <w:color w:val="auto"/>
          <w:kern w:val="0"/>
          <w:sz w:val="24"/>
          <w:highlight w:val="none"/>
        </w:rPr>
        <w:t>8、未按要求购置必备劳保用品、装备、工作服、保洁工具、卫生用品等，经需方书面督促二次(含)以上未整改的，由需方负责采办</w:t>
      </w:r>
      <w:r>
        <w:rPr>
          <w:rFonts w:hint="eastAsia" w:ascii="宋体"/>
          <w:kern w:val="0"/>
          <w:sz w:val="24"/>
          <w:lang w:eastAsia="zh-CN"/>
        </w:rPr>
        <w:t>，</w:t>
      </w:r>
      <w:r>
        <w:rPr>
          <w:rFonts w:hint="eastAsia" w:ascii="宋体"/>
          <w:color w:val="FF0000"/>
          <w:kern w:val="0"/>
          <w:sz w:val="24"/>
          <w:lang w:val="en-US" w:eastAsia="zh-CN"/>
        </w:rPr>
        <w:t>该费用由供方承担，在保洁款中扣除。</w:t>
      </w:r>
    </w:p>
    <w:p>
      <w:pPr>
        <w:spacing w:line="500" w:lineRule="exact"/>
        <w:ind w:firstLine="480" w:firstLineChars="200"/>
        <w:jc w:val="left"/>
        <w:rPr>
          <w:rFonts w:ascii="宋体"/>
          <w:color w:val="auto"/>
          <w:kern w:val="0"/>
          <w:sz w:val="24"/>
          <w:highlight w:val="none"/>
        </w:rPr>
      </w:pPr>
      <w:r>
        <w:rPr>
          <w:rFonts w:hint="eastAsia" w:ascii="宋体"/>
          <w:color w:val="auto"/>
          <w:kern w:val="0"/>
          <w:sz w:val="24"/>
          <w:highlight w:val="none"/>
        </w:rPr>
        <w:t>9、对某些需紧急处置的情况，在接到需方通知后，供方应无条件在规定时间内完成。供方如处置不及时，需方有权指派其他人员突击工作</w:t>
      </w:r>
      <w:r>
        <w:rPr>
          <w:rFonts w:hint="eastAsia" w:ascii="宋体"/>
          <w:kern w:val="0"/>
          <w:sz w:val="24"/>
          <w:lang w:eastAsia="zh-CN"/>
        </w:rPr>
        <w:t>，</w:t>
      </w:r>
      <w:r>
        <w:rPr>
          <w:rFonts w:hint="eastAsia" w:ascii="宋体"/>
          <w:color w:val="FF0000"/>
          <w:kern w:val="0"/>
          <w:sz w:val="24"/>
          <w:lang w:val="en-US" w:eastAsia="zh-CN"/>
        </w:rPr>
        <w:t>该费用由供方承担，在保洁款中扣除。</w:t>
      </w:r>
      <w:r>
        <w:rPr>
          <w:rFonts w:hint="eastAsia" w:ascii="宋体"/>
          <w:color w:val="auto"/>
          <w:kern w:val="0"/>
          <w:sz w:val="24"/>
          <w:highlight w:val="none"/>
        </w:rPr>
        <w:t>对供方累计三次(含)以上未完成需方交办的任务，需方有权扣除相应履约保证金并终止承包合同。</w:t>
      </w:r>
    </w:p>
    <w:p>
      <w:pPr>
        <w:spacing w:line="500" w:lineRule="exact"/>
        <w:ind w:firstLine="480" w:firstLineChars="200"/>
        <w:jc w:val="left"/>
        <w:rPr>
          <w:color w:val="auto"/>
          <w:highlight w:val="none"/>
        </w:rPr>
      </w:pPr>
      <w:r>
        <w:rPr>
          <w:rFonts w:hint="eastAsia" w:ascii="宋体"/>
          <w:color w:val="auto"/>
          <w:kern w:val="0"/>
          <w:sz w:val="24"/>
          <w:highlight w:val="none"/>
        </w:rPr>
        <w:t>10、供方违反《劳动法》有关规定或无正当理由拖欠、克扣员工工资的，需方有权动用履约保证金进行处理。履约保证金不足支付的，需方有权在承包款中直接扣除。</w:t>
      </w:r>
    </w:p>
    <w:p>
      <w:pPr>
        <w:spacing w:line="500" w:lineRule="exact"/>
        <w:ind w:firstLine="480" w:firstLineChars="200"/>
        <w:jc w:val="left"/>
        <w:rPr>
          <w:rFonts w:ascii="宋体"/>
          <w:color w:val="auto"/>
          <w:kern w:val="0"/>
          <w:sz w:val="24"/>
          <w:highlight w:val="none"/>
        </w:rPr>
      </w:pPr>
      <w:r>
        <w:rPr>
          <w:rFonts w:hint="eastAsia" w:ascii="宋体"/>
          <w:color w:val="auto"/>
          <w:kern w:val="0"/>
          <w:sz w:val="24"/>
          <w:highlight w:val="none"/>
        </w:rPr>
        <w:t>11、供方有合理化的建议，经需方认可后方可执行。</w:t>
      </w:r>
    </w:p>
    <w:p>
      <w:pPr>
        <w:spacing w:line="500" w:lineRule="exact"/>
        <w:ind w:firstLine="482" w:firstLineChars="200"/>
        <w:jc w:val="left"/>
        <w:rPr>
          <w:rFonts w:ascii="宋体"/>
          <w:b/>
          <w:bCs/>
          <w:color w:val="auto"/>
          <w:kern w:val="0"/>
          <w:sz w:val="24"/>
          <w:highlight w:val="none"/>
        </w:rPr>
      </w:pPr>
      <w:r>
        <w:rPr>
          <w:rFonts w:hint="eastAsia" w:ascii="宋体"/>
          <w:b/>
          <w:bCs/>
          <w:color w:val="auto"/>
          <w:kern w:val="0"/>
          <w:sz w:val="24"/>
          <w:highlight w:val="none"/>
        </w:rPr>
        <w:t>（3）、供方规范作业要求</w:t>
      </w:r>
    </w:p>
    <w:p>
      <w:pPr>
        <w:spacing w:line="500" w:lineRule="exact"/>
        <w:ind w:firstLine="480" w:firstLineChars="200"/>
        <w:jc w:val="left"/>
        <w:rPr>
          <w:rFonts w:ascii="宋体"/>
          <w:color w:val="auto"/>
          <w:kern w:val="0"/>
          <w:sz w:val="24"/>
          <w:highlight w:val="none"/>
        </w:rPr>
      </w:pPr>
      <w:r>
        <w:rPr>
          <w:rFonts w:hint="eastAsia" w:ascii="宋体"/>
          <w:color w:val="auto"/>
          <w:kern w:val="0"/>
          <w:sz w:val="24"/>
          <w:highlight w:val="none"/>
        </w:rPr>
        <w:t>1、所有作业人员配证上岗，携带GPS定位设备。工作期间不得无故缺岗、离岗，不得迟到早退，不得消极怠工，不得酒后作业；不得集聚闲聊，工期休息单次不得超过10分钟；不做与作业无关的事；不得捡拾、买卖废品；不得擅自向责任区内单位、个人收取任何费用（如发现擅自收取费用的情况，当月</w:t>
      </w:r>
      <w:r>
        <w:rPr>
          <w:rFonts w:hint="eastAsia" w:ascii="宋体"/>
          <w:color w:val="FF0000"/>
          <w:kern w:val="0"/>
          <w:sz w:val="24"/>
          <w:highlight w:val="none"/>
          <w:lang w:val="en-US" w:eastAsia="zh-CN"/>
        </w:rPr>
        <w:t>考核</w:t>
      </w:r>
      <w:r>
        <w:rPr>
          <w:rFonts w:hint="eastAsia" w:ascii="宋体"/>
          <w:color w:val="FF0000"/>
          <w:kern w:val="0"/>
          <w:sz w:val="24"/>
          <w:lang w:val="en-US" w:eastAsia="zh-CN"/>
        </w:rPr>
        <w:t>起评分为80分</w:t>
      </w:r>
      <w:r>
        <w:rPr>
          <w:rFonts w:hint="eastAsia" w:ascii="宋体"/>
          <w:color w:val="auto"/>
          <w:kern w:val="0"/>
          <w:sz w:val="24"/>
          <w:highlight w:val="none"/>
        </w:rPr>
        <w:t>，同时依据情节严重性对承包人进行所收取费用的3-10倍金额的罚款）。</w:t>
      </w:r>
    </w:p>
    <w:p>
      <w:pPr>
        <w:spacing w:line="500" w:lineRule="exact"/>
        <w:ind w:firstLine="480" w:firstLineChars="200"/>
        <w:jc w:val="left"/>
        <w:rPr>
          <w:rFonts w:ascii="宋体"/>
          <w:color w:val="auto"/>
          <w:kern w:val="0"/>
          <w:sz w:val="24"/>
          <w:highlight w:val="none"/>
        </w:rPr>
      </w:pPr>
      <w:r>
        <w:rPr>
          <w:rFonts w:hint="eastAsia" w:ascii="宋体"/>
          <w:color w:val="auto"/>
          <w:kern w:val="0"/>
          <w:sz w:val="24"/>
          <w:highlight w:val="none"/>
        </w:rPr>
        <w:t>2、作业人员应文明作业，不得将垃圾、污水扫到、溅到行人身上，不得将垃圾堆放或停留在窨井盖上，不得将垃圾扫入或倒入窨井、道路绿地、河道等处，不得焚烧垃圾，必须运送至指定地点；清扫作业中不得漏扫、甩扫；责任区交接处清扫保洁过界10米。</w:t>
      </w:r>
    </w:p>
    <w:p>
      <w:pPr>
        <w:spacing w:line="500" w:lineRule="exact"/>
        <w:ind w:firstLine="480" w:firstLineChars="200"/>
        <w:jc w:val="left"/>
        <w:rPr>
          <w:rFonts w:ascii="宋体"/>
          <w:color w:val="auto"/>
          <w:kern w:val="0"/>
          <w:sz w:val="24"/>
          <w:highlight w:val="none"/>
        </w:rPr>
      </w:pPr>
      <w:r>
        <w:rPr>
          <w:rFonts w:hint="eastAsia" w:ascii="宋体"/>
          <w:color w:val="auto"/>
          <w:kern w:val="0"/>
          <w:sz w:val="24"/>
          <w:highlight w:val="none"/>
        </w:rPr>
        <w:t>3、作业车辆应配置定位设备和行车记录设备，标志应清晰，保持外观清洁，每日清洗后方可上路；垃圾收集清运车辆的垃圾装运量应以车辆的额定荷载和有效容积为限，不得超重、超高超速运输，不得悬挂杂物，装卸垃圾应符合作业要求，不得乱倒、乱卸、乱抛、焚烧垃圾。</w:t>
      </w:r>
    </w:p>
    <w:p>
      <w:pPr>
        <w:spacing w:line="500" w:lineRule="exact"/>
        <w:ind w:firstLine="480" w:firstLineChars="200"/>
        <w:jc w:val="left"/>
        <w:rPr>
          <w:rFonts w:ascii="宋体"/>
          <w:color w:val="auto"/>
          <w:kern w:val="0"/>
          <w:sz w:val="24"/>
          <w:highlight w:val="none"/>
        </w:rPr>
      </w:pPr>
      <w:r>
        <w:rPr>
          <w:rFonts w:hint="eastAsia" w:ascii="宋体"/>
          <w:color w:val="auto"/>
          <w:kern w:val="0"/>
          <w:sz w:val="24"/>
          <w:highlight w:val="none"/>
        </w:rPr>
        <w:t>4、垃圾清运完毕，应打扫周边环境，做到人走地净。</w:t>
      </w:r>
    </w:p>
    <w:p>
      <w:pPr>
        <w:spacing w:line="500" w:lineRule="exact"/>
        <w:ind w:firstLine="480" w:firstLineChars="200"/>
        <w:jc w:val="left"/>
        <w:rPr>
          <w:rFonts w:ascii="宋体"/>
          <w:color w:val="auto"/>
          <w:kern w:val="0"/>
          <w:sz w:val="24"/>
          <w:highlight w:val="none"/>
        </w:rPr>
      </w:pPr>
      <w:r>
        <w:rPr>
          <w:rFonts w:hint="eastAsia" w:ascii="宋体"/>
          <w:color w:val="auto"/>
          <w:kern w:val="0"/>
          <w:sz w:val="24"/>
          <w:highlight w:val="none"/>
        </w:rPr>
        <w:t>5、作业车辆应经常检查，及时发现排除故障，不得带故障运行；洒水车作业时应适当控制车速、水压等，避免把水溅到路边的行人；所有车辆停放必须遵守交通法规。</w:t>
      </w:r>
    </w:p>
    <w:p>
      <w:pPr>
        <w:spacing w:line="500" w:lineRule="exact"/>
        <w:ind w:firstLine="480" w:firstLineChars="200"/>
        <w:jc w:val="left"/>
        <w:rPr>
          <w:rFonts w:ascii="宋体"/>
          <w:color w:val="auto"/>
          <w:kern w:val="0"/>
          <w:sz w:val="24"/>
          <w:highlight w:val="none"/>
        </w:rPr>
      </w:pPr>
      <w:r>
        <w:rPr>
          <w:rFonts w:hint="eastAsia" w:ascii="宋体"/>
          <w:color w:val="auto"/>
          <w:kern w:val="0"/>
          <w:sz w:val="24"/>
          <w:highlight w:val="none"/>
        </w:rPr>
        <w:t>6、清扫保洁应根据业主的要求和自身实际作业标准建立相关台账，车辆做好车辆使用记录。</w:t>
      </w:r>
    </w:p>
    <w:p>
      <w:pPr>
        <w:spacing w:line="500" w:lineRule="exact"/>
        <w:ind w:firstLine="480" w:firstLineChars="200"/>
        <w:jc w:val="left"/>
        <w:rPr>
          <w:rFonts w:ascii="宋体"/>
          <w:color w:val="auto"/>
          <w:kern w:val="0"/>
          <w:sz w:val="24"/>
          <w:highlight w:val="none"/>
        </w:rPr>
      </w:pPr>
      <w:r>
        <w:rPr>
          <w:rFonts w:hint="eastAsia" w:ascii="宋体"/>
          <w:color w:val="auto"/>
          <w:kern w:val="0"/>
          <w:sz w:val="24"/>
          <w:highlight w:val="none"/>
        </w:rPr>
        <w:t>7、环境卫生人员必须穿着反光安全工作服、佩证上岗（证件上须附有人员照片、人员姓名、清扫路段等信息）；作业时，应按车行线反方向清扫，保洁车辆停放应地点适宜，不能太靠近车行线，车容应整洁；作业期间，人员必须衣冠整洁，不得穿拖鞋上岗。</w:t>
      </w:r>
    </w:p>
    <w:p>
      <w:pPr>
        <w:spacing w:line="500" w:lineRule="exact"/>
        <w:ind w:firstLine="480" w:firstLineChars="200"/>
        <w:jc w:val="left"/>
        <w:rPr>
          <w:rFonts w:ascii="宋体"/>
          <w:color w:val="auto"/>
          <w:kern w:val="0"/>
          <w:sz w:val="24"/>
          <w:highlight w:val="none"/>
        </w:rPr>
      </w:pPr>
      <w:r>
        <w:rPr>
          <w:rFonts w:hint="eastAsia" w:ascii="宋体"/>
          <w:color w:val="auto"/>
          <w:kern w:val="0"/>
          <w:sz w:val="24"/>
          <w:highlight w:val="none"/>
        </w:rPr>
        <w:t>8、清扫保洁时间内，保洁人员应文明作业，不得将垃圾、污水扫到、溅到行人身上，禁止将垃圾堆放或停留在窨井盖上，禁止将垃圾扫入或倒入窨井、道路绿地、河道等处，清扫作业期间不得漏扫、甩扫；垃圾直接清运至地点，不得中途转运垃圾，不得焚烧垃圾，垃圾日产日清。</w:t>
      </w:r>
    </w:p>
    <w:p>
      <w:pPr>
        <w:spacing w:line="500" w:lineRule="exact"/>
        <w:ind w:firstLine="480" w:firstLineChars="200"/>
        <w:jc w:val="left"/>
        <w:rPr>
          <w:rFonts w:ascii="宋体"/>
          <w:color w:val="auto"/>
          <w:kern w:val="0"/>
          <w:sz w:val="24"/>
          <w:highlight w:val="none"/>
        </w:rPr>
      </w:pPr>
      <w:r>
        <w:rPr>
          <w:rFonts w:hint="eastAsia" w:ascii="宋体"/>
          <w:color w:val="auto"/>
          <w:kern w:val="0"/>
          <w:sz w:val="24"/>
          <w:highlight w:val="none"/>
        </w:rPr>
        <w:t>9、机械化作业车辆驾驶员须遵循车辆安全作业规定、遵守交通规则，不得无牌作业，不得违章作业。</w:t>
      </w:r>
    </w:p>
    <w:p>
      <w:pPr>
        <w:spacing w:line="500" w:lineRule="exact"/>
        <w:ind w:firstLine="480" w:firstLineChars="200"/>
        <w:jc w:val="left"/>
        <w:rPr>
          <w:rFonts w:ascii="宋体"/>
          <w:color w:val="auto"/>
          <w:kern w:val="0"/>
          <w:sz w:val="24"/>
          <w:highlight w:val="none"/>
        </w:rPr>
      </w:pPr>
      <w:r>
        <w:rPr>
          <w:rFonts w:hint="eastAsia" w:ascii="宋体"/>
          <w:color w:val="auto"/>
          <w:kern w:val="0"/>
          <w:sz w:val="24"/>
          <w:highlight w:val="none"/>
        </w:rPr>
        <w:t>10、其他要求：遇有重大活动或突发事件，及时组织力量做好清扫保洁等保障工作，及时听从业主的指挥和调度；每年6-9月份清扫保洁时间相应延长；遇有不可抗力因素，承包人应无条件配合采购人做好保洁和垃圾清运工作。</w:t>
      </w:r>
    </w:p>
    <w:p>
      <w:pPr>
        <w:spacing w:line="500" w:lineRule="exact"/>
        <w:ind w:firstLine="482" w:firstLineChars="200"/>
        <w:jc w:val="left"/>
        <w:rPr>
          <w:rFonts w:ascii="宋体"/>
          <w:b/>
          <w:bCs/>
          <w:color w:val="auto"/>
          <w:kern w:val="0"/>
          <w:sz w:val="24"/>
          <w:highlight w:val="none"/>
        </w:rPr>
      </w:pPr>
      <w:r>
        <w:rPr>
          <w:rFonts w:hint="eastAsia" w:ascii="宋体"/>
          <w:b/>
          <w:bCs/>
          <w:color w:val="auto"/>
          <w:kern w:val="0"/>
          <w:sz w:val="24"/>
          <w:highlight w:val="none"/>
        </w:rPr>
        <w:t>（4）、供方公司内部管理规范要求</w:t>
      </w:r>
    </w:p>
    <w:p>
      <w:pPr>
        <w:spacing w:line="500" w:lineRule="exact"/>
        <w:ind w:firstLine="480" w:firstLineChars="200"/>
        <w:jc w:val="left"/>
        <w:rPr>
          <w:rFonts w:ascii="宋体"/>
          <w:color w:val="auto"/>
          <w:kern w:val="0"/>
          <w:sz w:val="24"/>
          <w:highlight w:val="none"/>
        </w:rPr>
      </w:pPr>
      <w:r>
        <w:rPr>
          <w:rFonts w:hint="eastAsia" w:ascii="宋体"/>
          <w:color w:val="auto"/>
          <w:kern w:val="0"/>
          <w:sz w:val="24"/>
          <w:highlight w:val="none"/>
        </w:rPr>
        <w:t>1、规范作业人员岗位职责管理，与作业人员签订岗位职责承诺书，严格按照采购人要求制作作业人员花名册，标明人员姓名（照片）、岗位、负责区域、工作时段、社保缴纳、人身意外险等信息，花名册彩色刊印提交采购人考核时核对，各岗位人员调整时，须在当天上报，以便采购人督查。</w:t>
      </w:r>
    </w:p>
    <w:p>
      <w:pPr>
        <w:spacing w:line="500" w:lineRule="exact"/>
        <w:ind w:firstLine="480" w:firstLineChars="200"/>
        <w:jc w:val="left"/>
        <w:rPr>
          <w:rFonts w:ascii="宋体"/>
          <w:color w:val="auto"/>
          <w:kern w:val="0"/>
          <w:sz w:val="24"/>
          <w:highlight w:val="none"/>
        </w:rPr>
      </w:pPr>
      <w:r>
        <w:rPr>
          <w:rFonts w:hint="eastAsia" w:ascii="宋体"/>
          <w:color w:val="auto"/>
          <w:kern w:val="0"/>
          <w:sz w:val="24"/>
          <w:highlight w:val="none"/>
        </w:rPr>
        <w:t>2、制定详细的作业方案以及应急作业预案；制定企业内部管理方案（包括：服务质量规范及内部考核制度、人员奖惩制度、安全生产及文明生产保障措施、应急方案、环境保护措施等），确保所有工作稳步进行。方案调整应及时上报采购人，经批准后方可执行。</w:t>
      </w:r>
    </w:p>
    <w:p>
      <w:pPr>
        <w:spacing w:line="500" w:lineRule="exact"/>
        <w:ind w:firstLine="480" w:firstLineChars="200"/>
        <w:jc w:val="left"/>
        <w:rPr>
          <w:rFonts w:ascii="宋体"/>
          <w:color w:val="auto"/>
          <w:kern w:val="0"/>
          <w:sz w:val="24"/>
          <w:highlight w:val="none"/>
        </w:rPr>
      </w:pPr>
      <w:r>
        <w:rPr>
          <w:rFonts w:hint="eastAsia" w:ascii="宋体"/>
          <w:color w:val="auto"/>
          <w:kern w:val="0"/>
          <w:sz w:val="24"/>
          <w:highlight w:val="none"/>
        </w:rPr>
        <w:t>3、加强内部作业管理，合同期内中标单位应加强作业管理，加强安全作业控制，项目管理人员应跟班作业，加强保洁巡视，做好巡视记录，每天检查员工清扫保洁及垃圾清运的时间、任务量等日常工作。</w:t>
      </w:r>
    </w:p>
    <w:p>
      <w:pPr>
        <w:spacing w:line="500" w:lineRule="exact"/>
        <w:ind w:firstLine="480" w:firstLineChars="200"/>
        <w:jc w:val="left"/>
        <w:rPr>
          <w:rFonts w:ascii="宋体"/>
          <w:color w:val="auto"/>
          <w:kern w:val="0"/>
          <w:sz w:val="24"/>
          <w:highlight w:val="none"/>
        </w:rPr>
      </w:pPr>
      <w:r>
        <w:rPr>
          <w:rFonts w:hint="eastAsia" w:ascii="宋体"/>
          <w:color w:val="auto"/>
          <w:kern w:val="0"/>
          <w:sz w:val="24"/>
          <w:highlight w:val="none"/>
        </w:rPr>
        <w:t>4、建立并规范作业台账，按规定建立规范、详细的养护作业台帐，做好养护工作量日报、月报及年报，按时上报各类报表并协助调查、解决来电来信来访等问题。</w:t>
      </w:r>
    </w:p>
    <w:p>
      <w:pPr>
        <w:spacing w:line="500" w:lineRule="exact"/>
        <w:ind w:firstLine="480" w:firstLineChars="200"/>
        <w:jc w:val="left"/>
        <w:rPr>
          <w:rFonts w:ascii="宋体"/>
          <w:color w:val="auto"/>
          <w:kern w:val="0"/>
          <w:sz w:val="24"/>
          <w:highlight w:val="none"/>
        </w:rPr>
      </w:pPr>
      <w:r>
        <w:rPr>
          <w:rFonts w:hint="eastAsia" w:ascii="宋体"/>
          <w:color w:val="auto"/>
          <w:kern w:val="0"/>
          <w:sz w:val="24"/>
          <w:highlight w:val="none"/>
        </w:rPr>
        <w:t>5、严格落实一线作业人员年龄结构，提升服务质量，本次项目所需的作业人员均由中标单位自行招聘，所招聘的人员必须在规定年龄以内</w:t>
      </w:r>
      <w:r>
        <w:rPr>
          <w:rFonts w:hint="eastAsia" w:ascii="宋体"/>
          <w:color w:val="FF0000"/>
          <w:kern w:val="0"/>
          <w:sz w:val="24"/>
          <w:highlight w:val="none"/>
          <w:lang w:eastAsia="zh-CN"/>
        </w:rPr>
        <w:t>（</w:t>
      </w:r>
      <w:r>
        <w:rPr>
          <w:rFonts w:hint="eastAsia" w:ascii="宋体"/>
          <w:color w:val="FF0000"/>
          <w:kern w:val="0"/>
          <w:sz w:val="24"/>
          <w:highlight w:val="none"/>
        </w:rPr>
        <w:t>男性应为60周岁以下，女性应为50周岁以下</w:t>
      </w:r>
      <w:r>
        <w:rPr>
          <w:rFonts w:hint="eastAsia" w:ascii="宋体"/>
          <w:color w:val="FF0000"/>
          <w:kern w:val="0"/>
          <w:sz w:val="24"/>
          <w:highlight w:val="none"/>
          <w:lang w:eastAsia="zh-CN"/>
        </w:rPr>
        <w:t>）</w:t>
      </w:r>
      <w:r>
        <w:rPr>
          <w:rFonts w:hint="eastAsia" w:ascii="宋体"/>
          <w:color w:val="FF0000"/>
          <w:kern w:val="0"/>
          <w:sz w:val="24"/>
          <w:highlight w:val="none"/>
        </w:rPr>
        <w:t>，</w:t>
      </w:r>
      <w:r>
        <w:rPr>
          <w:rFonts w:hint="eastAsia" w:ascii="宋体"/>
          <w:color w:val="FF0000"/>
          <w:kern w:val="0"/>
          <w:sz w:val="24"/>
          <w:highlight w:val="none"/>
          <w:lang w:val="en-US" w:eastAsia="zh-CN"/>
        </w:rPr>
        <w:t>结合本项目的投标承诺，</w:t>
      </w:r>
      <w:r>
        <w:rPr>
          <w:rFonts w:hint="eastAsia" w:ascii="宋体"/>
          <w:color w:val="auto"/>
          <w:kern w:val="0"/>
          <w:sz w:val="24"/>
          <w:highlight w:val="none"/>
        </w:rPr>
        <w:t>优化作业人员年龄结构。</w:t>
      </w:r>
    </w:p>
    <w:p>
      <w:pPr>
        <w:spacing w:line="500" w:lineRule="exact"/>
        <w:ind w:firstLine="480" w:firstLineChars="200"/>
        <w:jc w:val="left"/>
        <w:rPr>
          <w:rFonts w:ascii="宋体"/>
          <w:color w:val="auto"/>
          <w:kern w:val="0"/>
          <w:sz w:val="24"/>
          <w:highlight w:val="none"/>
        </w:rPr>
      </w:pPr>
      <w:r>
        <w:rPr>
          <w:rFonts w:hint="eastAsia" w:ascii="宋体"/>
          <w:color w:val="auto"/>
          <w:kern w:val="0"/>
          <w:sz w:val="24"/>
          <w:highlight w:val="none"/>
        </w:rPr>
        <w:t>6、加强作业人员安全作业、文明作业教育。中标单位应定期组织所有一线作业人员进行安全文明作业教育，不断提升一线作业人员的业务能力。新入作业人员应安排合理的培训，以确保每个投入一线工作的作业人员具备合格的作业能力。</w:t>
      </w:r>
    </w:p>
    <w:p>
      <w:pPr>
        <w:spacing w:line="500" w:lineRule="exact"/>
        <w:ind w:firstLine="480" w:firstLineChars="200"/>
        <w:jc w:val="left"/>
        <w:rPr>
          <w:rFonts w:ascii="宋体"/>
          <w:color w:val="auto"/>
          <w:kern w:val="0"/>
          <w:sz w:val="24"/>
          <w:highlight w:val="none"/>
        </w:rPr>
      </w:pPr>
      <w:r>
        <w:rPr>
          <w:rFonts w:hint="eastAsia" w:ascii="宋体"/>
          <w:color w:val="auto"/>
          <w:kern w:val="0"/>
          <w:sz w:val="24"/>
          <w:highlight w:val="none"/>
        </w:rPr>
        <w:t>7、加强作业车辆管理，中标单位应加强作业车辆的日常管理，确保专车专用，遵守交通规则，文明行驶，安全行驶。</w:t>
      </w:r>
    </w:p>
    <w:p>
      <w:pPr>
        <w:spacing w:line="500" w:lineRule="exact"/>
        <w:ind w:firstLine="480" w:firstLineChars="200"/>
        <w:jc w:val="left"/>
        <w:rPr>
          <w:rFonts w:ascii="宋体"/>
          <w:color w:val="auto"/>
          <w:kern w:val="0"/>
          <w:sz w:val="24"/>
          <w:highlight w:val="none"/>
        </w:rPr>
      </w:pPr>
      <w:r>
        <w:rPr>
          <w:rFonts w:hint="eastAsia" w:ascii="宋体"/>
          <w:color w:val="auto"/>
          <w:kern w:val="0"/>
          <w:sz w:val="24"/>
          <w:highlight w:val="none"/>
        </w:rPr>
        <w:t>8、建设信息化的环卫作业管理系统，推动环卫作业管理的智慧化、科学化，进一步提高环卫作业的效率，规范作业流程，提升服务质量。例如：录入所有作业人员及车辆详细信息，通过GPS定位和作业轨迹记录系统，实时监控和记录所有一线作业人员和车辆的在岗情况、作业时间、作业轨迹和作业频次，加强人员、车辆的在岗管理；通过科学的方法，收集和分析区域内各类垃圾的分布状况，科学调度垃圾清运力量，确保垃圾清运时效；通过即时指挥系统，确保卫生问题及时处置；通过数据分享，向采购人传递所有环卫作业管理信息，确保采购人能够随时掌握保洁服务动态，及时对保洁情况与质量进行监管和处置等等。</w:t>
      </w:r>
    </w:p>
    <w:p>
      <w:pPr>
        <w:tabs>
          <w:tab w:val="left" w:pos="0"/>
        </w:tabs>
        <w:spacing w:before="156" w:beforeLines="50" w:after="156" w:afterLines="50" w:line="360" w:lineRule="auto"/>
        <w:ind w:left="420" w:leftChars="200"/>
        <w:rPr>
          <w:rFonts w:ascii="宋体"/>
          <w:color w:val="auto"/>
          <w:kern w:val="0"/>
          <w:sz w:val="24"/>
          <w:highlight w:val="none"/>
        </w:rPr>
      </w:pPr>
      <w:r>
        <w:rPr>
          <w:rFonts w:hint="eastAsia" w:ascii="宋体"/>
          <w:color w:val="auto"/>
          <w:kern w:val="0"/>
          <w:sz w:val="24"/>
          <w:highlight w:val="none"/>
        </w:rPr>
        <w:t>9、管理团队人员每日在岗，做好在岗签到和工作记录。</w:t>
      </w:r>
    </w:p>
    <w:p>
      <w:pPr>
        <w:tabs>
          <w:tab w:val="left" w:pos="0"/>
        </w:tabs>
        <w:spacing w:before="156" w:beforeLines="50" w:after="156" w:afterLines="50" w:line="360" w:lineRule="auto"/>
        <w:ind w:left="420" w:leftChars="200"/>
        <w:rPr>
          <w:rFonts w:ascii="宋体" w:hAnsi="宋体" w:cs="宋体"/>
          <w:b/>
          <w:color w:val="auto"/>
          <w:sz w:val="24"/>
          <w:highlight w:val="none"/>
        </w:rPr>
      </w:pPr>
      <w:r>
        <w:rPr>
          <w:rFonts w:hint="eastAsia" w:ascii="宋体" w:hAnsi="宋体" w:cs="宋体"/>
          <w:b/>
          <w:color w:val="auto"/>
          <w:sz w:val="24"/>
          <w:highlight w:val="none"/>
        </w:rPr>
        <w:t>六、人员编制</w:t>
      </w:r>
    </w:p>
    <w:p>
      <w:pPr>
        <w:tabs>
          <w:tab w:val="left" w:pos="0"/>
        </w:tabs>
        <w:spacing w:before="156" w:beforeLines="50" w:after="156" w:afterLines="50" w:line="360" w:lineRule="auto"/>
        <w:ind w:firstLine="480" w:firstLineChars="200"/>
        <w:rPr>
          <w:rFonts w:ascii="宋体" w:hAnsi="宋体"/>
          <w:color w:val="auto"/>
          <w:sz w:val="24"/>
          <w:highlight w:val="none"/>
        </w:rPr>
      </w:pPr>
      <w:r>
        <w:rPr>
          <w:rFonts w:hint="eastAsia" w:ascii="宋体"/>
          <w:color w:val="auto"/>
          <w:kern w:val="0"/>
          <w:sz w:val="24"/>
          <w:highlight w:val="none"/>
        </w:rPr>
        <w:t>要求按时完成作业任务，保证作业质量。配备人员每天不少于120名。保洁人员须符合国家有关法律规定，身体健康，严格落实一线作业人员年龄结构，提升服务质量，本次项目所需的作业人员均由中标单位自行招聘，所招聘的人员必须在规定年龄以内</w:t>
      </w:r>
      <w:r>
        <w:rPr>
          <w:rFonts w:hint="eastAsia" w:ascii="宋体"/>
          <w:color w:val="FF0000"/>
          <w:kern w:val="0"/>
          <w:sz w:val="24"/>
          <w:highlight w:val="none"/>
          <w:lang w:eastAsia="zh-CN"/>
        </w:rPr>
        <w:t>（</w:t>
      </w:r>
      <w:r>
        <w:rPr>
          <w:rFonts w:hint="eastAsia" w:ascii="宋体"/>
          <w:color w:val="FF0000"/>
          <w:kern w:val="0"/>
          <w:sz w:val="24"/>
          <w:highlight w:val="none"/>
        </w:rPr>
        <w:t>男性应为60周岁以下，女性应为50周岁以下</w:t>
      </w:r>
      <w:r>
        <w:rPr>
          <w:rFonts w:hint="eastAsia" w:ascii="宋体"/>
          <w:color w:val="FF0000"/>
          <w:kern w:val="0"/>
          <w:sz w:val="24"/>
          <w:highlight w:val="none"/>
          <w:lang w:eastAsia="zh-CN"/>
        </w:rPr>
        <w:t>）</w:t>
      </w:r>
      <w:r>
        <w:rPr>
          <w:rFonts w:hint="eastAsia" w:ascii="宋体"/>
          <w:color w:val="FF0000"/>
          <w:kern w:val="0"/>
          <w:sz w:val="24"/>
          <w:highlight w:val="none"/>
        </w:rPr>
        <w:t>，</w:t>
      </w:r>
      <w:r>
        <w:rPr>
          <w:rFonts w:hint="eastAsia" w:ascii="宋体"/>
          <w:color w:val="FF0000"/>
          <w:kern w:val="0"/>
          <w:sz w:val="24"/>
          <w:highlight w:val="none"/>
          <w:lang w:val="en-US" w:eastAsia="zh-CN"/>
        </w:rPr>
        <w:t>结合本项目的投标承诺，</w:t>
      </w:r>
      <w:r>
        <w:rPr>
          <w:rFonts w:hint="eastAsia" w:ascii="宋体"/>
          <w:color w:val="auto"/>
          <w:kern w:val="0"/>
          <w:sz w:val="24"/>
          <w:highlight w:val="none"/>
        </w:rPr>
        <w:t>优化作业人员年龄结构。每日安排晚上值班人员，应对突发事件，如交通事故事发现场的清扫等。</w:t>
      </w:r>
      <w:r>
        <w:rPr>
          <w:rFonts w:hint="eastAsia" w:ascii="宋体" w:hAnsi="宋体"/>
          <w:color w:val="auto"/>
          <w:sz w:val="24"/>
          <w:highlight w:val="none"/>
        </w:rPr>
        <w:t>保洁人员须符合国家有关法律规定，身体健康，并按月按时发放清扫保洁人员工资、不发生拖欠</w:t>
      </w:r>
      <w:r>
        <w:rPr>
          <w:rFonts w:hint="eastAsia" w:ascii="宋体" w:hAnsi="宋体"/>
          <w:b/>
          <w:color w:val="auto"/>
          <w:sz w:val="24"/>
          <w:highlight w:val="none"/>
        </w:rPr>
        <w:t>。</w:t>
      </w:r>
      <w:r>
        <w:rPr>
          <w:rFonts w:hint="eastAsia" w:ascii="宋体" w:hAnsi="宋体"/>
          <w:color w:val="auto"/>
          <w:sz w:val="24"/>
          <w:highlight w:val="none"/>
        </w:rPr>
        <w:t>同时按规定发放各类补贴。在中标后</w:t>
      </w:r>
      <w:r>
        <w:rPr>
          <w:rFonts w:ascii="宋体" w:hAnsi="宋体"/>
          <w:color w:val="auto"/>
          <w:sz w:val="24"/>
          <w:highlight w:val="none"/>
        </w:rPr>
        <w:t>15</w:t>
      </w:r>
      <w:r>
        <w:rPr>
          <w:rFonts w:hint="eastAsia" w:ascii="宋体" w:hAnsi="宋体"/>
          <w:color w:val="auto"/>
          <w:sz w:val="24"/>
          <w:highlight w:val="none"/>
        </w:rPr>
        <w:t>个工作日内给每位保洁作业人员办理好意外保险手续。</w:t>
      </w:r>
    </w:p>
    <w:p>
      <w:pPr>
        <w:tabs>
          <w:tab w:val="left" w:pos="0"/>
        </w:tabs>
        <w:spacing w:before="156" w:beforeLines="50" w:after="156" w:afterLines="50"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七、违约责任</w:t>
      </w:r>
    </w:p>
    <w:p>
      <w:pPr>
        <w:spacing w:line="460" w:lineRule="exact"/>
        <w:ind w:left="239" w:leftChars="114" w:firstLine="480" w:firstLineChars="200"/>
        <w:jc w:val="left"/>
        <w:rPr>
          <w:rFonts w:ascii="宋体"/>
          <w:color w:val="auto"/>
          <w:kern w:val="0"/>
          <w:sz w:val="24"/>
          <w:highlight w:val="none"/>
        </w:rPr>
      </w:pPr>
      <w:r>
        <w:rPr>
          <w:rFonts w:hint="eastAsia" w:ascii="宋体"/>
          <w:color w:val="auto"/>
          <w:kern w:val="0"/>
          <w:sz w:val="24"/>
          <w:highlight w:val="none"/>
        </w:rPr>
        <w:t>1、如需方未按合同规定期限向供方付费，经供方催讨后仍未支付时，对逾期未付的费用每逾期一天，按应付金额的3‰支付滞纳金（双方有争议除外）。</w:t>
      </w:r>
    </w:p>
    <w:p>
      <w:pPr>
        <w:spacing w:line="460" w:lineRule="exact"/>
        <w:ind w:left="239" w:leftChars="114" w:firstLine="480" w:firstLineChars="200"/>
        <w:jc w:val="left"/>
        <w:rPr>
          <w:rFonts w:ascii="宋体"/>
          <w:color w:val="auto"/>
          <w:kern w:val="0"/>
          <w:sz w:val="24"/>
          <w:highlight w:val="none"/>
        </w:rPr>
      </w:pPr>
      <w:r>
        <w:rPr>
          <w:rFonts w:hint="eastAsia" w:ascii="宋体"/>
          <w:color w:val="auto"/>
          <w:kern w:val="0"/>
          <w:sz w:val="24"/>
          <w:highlight w:val="none"/>
        </w:rPr>
        <w:t>2、如供方未能按合同要求进行服务（按考核标准）给需方造成恶劣影响和损失时，需方有权向供方收取合同金额3‰的违约金。</w:t>
      </w:r>
    </w:p>
    <w:p>
      <w:pPr>
        <w:tabs>
          <w:tab w:val="left" w:pos="0"/>
        </w:tabs>
        <w:spacing w:before="156" w:beforeLines="50" w:after="156" w:afterLines="50" w:line="360" w:lineRule="auto"/>
        <w:ind w:left="420" w:leftChars="200"/>
        <w:rPr>
          <w:rFonts w:ascii="宋体" w:hAnsi="宋体" w:cs="宋体"/>
          <w:b/>
          <w:color w:val="auto"/>
          <w:sz w:val="24"/>
          <w:highlight w:val="none"/>
        </w:rPr>
      </w:pPr>
      <w:r>
        <w:rPr>
          <w:rFonts w:hint="eastAsia" w:ascii="宋体" w:hAnsi="宋体" w:cs="宋体"/>
          <w:b/>
          <w:color w:val="auto"/>
          <w:sz w:val="24"/>
          <w:highlight w:val="none"/>
        </w:rPr>
        <w:t>八、附则</w:t>
      </w:r>
    </w:p>
    <w:p>
      <w:pPr>
        <w:pStyle w:val="2"/>
        <w:spacing w:line="360" w:lineRule="auto"/>
        <w:ind w:firstLine="480" w:firstLineChars="200"/>
        <w:rPr>
          <w:b w:val="0"/>
          <w:color w:val="auto"/>
          <w:kern w:val="0"/>
          <w:sz w:val="24"/>
          <w:szCs w:val="24"/>
          <w:highlight w:val="none"/>
        </w:rPr>
      </w:pPr>
      <w:r>
        <w:rPr>
          <w:rFonts w:hint="eastAsia"/>
          <w:b w:val="0"/>
          <w:color w:val="auto"/>
          <w:kern w:val="0"/>
          <w:sz w:val="24"/>
          <w:szCs w:val="24"/>
          <w:highlight w:val="none"/>
        </w:rPr>
        <w:t>在本项目服务期内，如有保洁面积增减，在不改变合同其他条款的前提下，减少面积应在计量时按实核减，增加面积采购人可以与供应商协商签订补充合同，保洁人员及增加面积按实调整，单价按原中标单位的商务标进行调整，合同履约保证金不作调整。</w:t>
      </w:r>
    </w:p>
    <w:p>
      <w:pPr>
        <w:tabs>
          <w:tab w:val="left" w:pos="0"/>
        </w:tabs>
        <w:spacing w:before="156" w:beforeLines="50" w:after="156" w:afterLines="50" w:line="360" w:lineRule="auto"/>
        <w:ind w:left="420" w:leftChars="200"/>
        <w:rPr>
          <w:rFonts w:ascii="宋体" w:hAnsi="宋体" w:cs="宋体"/>
          <w:b/>
          <w:color w:val="auto"/>
          <w:sz w:val="24"/>
          <w:highlight w:val="none"/>
        </w:rPr>
      </w:pPr>
      <w:r>
        <w:rPr>
          <w:rFonts w:hint="eastAsia" w:ascii="宋体" w:hAnsi="宋体" w:cs="宋体"/>
          <w:b/>
          <w:color w:val="auto"/>
          <w:sz w:val="24"/>
          <w:highlight w:val="none"/>
        </w:rPr>
        <w:t>九、合同的变更与终止</w:t>
      </w:r>
    </w:p>
    <w:p>
      <w:pPr>
        <w:spacing w:line="460" w:lineRule="exact"/>
        <w:ind w:firstLine="480" w:firstLineChars="200"/>
        <w:jc w:val="left"/>
        <w:rPr>
          <w:rFonts w:ascii="宋体"/>
          <w:color w:val="auto"/>
          <w:kern w:val="0"/>
          <w:sz w:val="24"/>
          <w:highlight w:val="none"/>
        </w:rPr>
      </w:pPr>
      <w:r>
        <w:rPr>
          <w:rFonts w:hint="eastAsia" w:ascii="宋体"/>
          <w:color w:val="auto"/>
          <w:kern w:val="0"/>
          <w:sz w:val="24"/>
          <w:highlight w:val="none"/>
        </w:rPr>
        <w:t>1、合同的变更与提前终止必须采用书面形式；</w:t>
      </w:r>
    </w:p>
    <w:p>
      <w:pPr>
        <w:spacing w:line="460" w:lineRule="exact"/>
        <w:ind w:firstLine="480" w:firstLineChars="200"/>
        <w:jc w:val="left"/>
        <w:rPr>
          <w:rFonts w:ascii="宋体"/>
          <w:color w:val="auto"/>
          <w:kern w:val="0"/>
          <w:sz w:val="24"/>
          <w:highlight w:val="none"/>
        </w:rPr>
      </w:pPr>
      <w:r>
        <w:rPr>
          <w:rFonts w:hint="eastAsia" w:ascii="宋体"/>
          <w:color w:val="auto"/>
          <w:kern w:val="0"/>
          <w:sz w:val="24"/>
          <w:highlight w:val="none"/>
        </w:rPr>
        <w:t>2、本合同规定的履行期限届满，合同自行终止；</w:t>
      </w:r>
    </w:p>
    <w:p>
      <w:pPr>
        <w:spacing w:line="460" w:lineRule="exact"/>
        <w:ind w:firstLine="480" w:firstLineChars="200"/>
        <w:jc w:val="left"/>
        <w:rPr>
          <w:rFonts w:ascii="宋体"/>
          <w:color w:val="auto"/>
          <w:kern w:val="0"/>
          <w:sz w:val="24"/>
          <w:highlight w:val="none"/>
        </w:rPr>
      </w:pPr>
      <w:r>
        <w:rPr>
          <w:rFonts w:hint="eastAsia" w:ascii="宋体"/>
          <w:color w:val="auto"/>
          <w:kern w:val="0"/>
          <w:sz w:val="24"/>
          <w:highlight w:val="none"/>
        </w:rPr>
        <w:t>3、在合同履行过程中，如遇不可抗的因素，双方协商以补充合同方式解决；</w:t>
      </w:r>
    </w:p>
    <w:p>
      <w:pPr>
        <w:spacing w:line="460" w:lineRule="exact"/>
        <w:ind w:firstLine="480" w:firstLineChars="200"/>
        <w:jc w:val="left"/>
        <w:rPr>
          <w:rFonts w:ascii="宋体"/>
          <w:color w:val="auto"/>
          <w:kern w:val="0"/>
          <w:sz w:val="24"/>
          <w:highlight w:val="none"/>
        </w:rPr>
      </w:pPr>
      <w:r>
        <w:rPr>
          <w:rFonts w:hint="eastAsia" w:ascii="宋体"/>
          <w:color w:val="auto"/>
          <w:kern w:val="0"/>
          <w:sz w:val="24"/>
          <w:highlight w:val="none"/>
        </w:rPr>
        <w:t>4、合同内容变更、提前终止必须提前一个月书面通知对方（合同签订首个月除外）。</w:t>
      </w:r>
    </w:p>
    <w:p>
      <w:pPr>
        <w:tabs>
          <w:tab w:val="left" w:pos="0"/>
        </w:tabs>
        <w:spacing w:before="156" w:beforeLines="50" w:after="156" w:afterLines="50" w:line="360" w:lineRule="auto"/>
        <w:ind w:left="420" w:leftChars="200"/>
        <w:rPr>
          <w:rFonts w:ascii="宋体" w:hAnsi="宋体" w:cs="宋体"/>
          <w:b/>
          <w:color w:val="auto"/>
          <w:sz w:val="24"/>
          <w:highlight w:val="none"/>
        </w:rPr>
      </w:pPr>
      <w:r>
        <w:rPr>
          <w:rFonts w:hint="eastAsia" w:ascii="宋体" w:hAnsi="宋体" w:cs="宋体"/>
          <w:b/>
          <w:color w:val="auto"/>
          <w:sz w:val="24"/>
          <w:highlight w:val="none"/>
        </w:rPr>
        <w:t>十、合同解除</w:t>
      </w:r>
    </w:p>
    <w:p>
      <w:pPr>
        <w:spacing w:line="460" w:lineRule="exact"/>
        <w:ind w:left="360" w:firstLine="540" w:firstLineChars="225"/>
        <w:jc w:val="left"/>
        <w:rPr>
          <w:rFonts w:ascii="宋体"/>
          <w:color w:val="auto"/>
          <w:kern w:val="0"/>
          <w:sz w:val="24"/>
          <w:highlight w:val="none"/>
        </w:rPr>
      </w:pPr>
      <w:r>
        <w:rPr>
          <w:rFonts w:hint="eastAsia" w:ascii="宋体"/>
          <w:color w:val="auto"/>
          <w:kern w:val="0"/>
          <w:sz w:val="24"/>
          <w:highlight w:val="none"/>
        </w:rPr>
        <w:t>1、合同签订后一个月内供方承诺的</w:t>
      </w:r>
      <w:r>
        <w:rPr>
          <w:rFonts w:hint="eastAsia" w:ascii="宋体"/>
          <w:color w:val="FF0000"/>
          <w:kern w:val="0"/>
          <w:sz w:val="24"/>
          <w:highlight w:val="none"/>
        </w:rPr>
        <w:t>作业人员</w:t>
      </w:r>
      <w:r>
        <w:rPr>
          <w:rFonts w:hint="eastAsia" w:ascii="宋体"/>
          <w:color w:val="FF0000"/>
          <w:kern w:val="0"/>
          <w:sz w:val="24"/>
          <w:highlight w:val="none"/>
          <w:lang w:eastAsia="zh-CN"/>
        </w:rPr>
        <w:t>、</w:t>
      </w:r>
      <w:r>
        <w:rPr>
          <w:rFonts w:hint="eastAsia" w:ascii="宋体"/>
          <w:color w:val="FF0000"/>
          <w:kern w:val="0"/>
          <w:sz w:val="24"/>
          <w:highlight w:val="none"/>
          <w:lang w:val="en-US" w:eastAsia="zh-CN"/>
        </w:rPr>
        <w:t>车辆、设备等</w:t>
      </w:r>
      <w:r>
        <w:rPr>
          <w:rFonts w:hint="eastAsia" w:ascii="宋体"/>
          <w:color w:val="auto"/>
          <w:kern w:val="0"/>
          <w:sz w:val="24"/>
          <w:highlight w:val="none"/>
        </w:rPr>
        <w:t>不到位的，需方可以单方面解除合同，并罚没履约保证金，</w:t>
      </w:r>
      <w:r>
        <w:rPr>
          <w:rFonts w:hint="eastAsia"/>
          <w:color w:val="auto"/>
          <w:sz w:val="24"/>
          <w:highlight w:val="none"/>
        </w:rPr>
        <w:t>若产生损失的可要求中标人赔偿相应损失</w:t>
      </w:r>
      <w:r>
        <w:rPr>
          <w:rFonts w:hint="eastAsia" w:ascii="宋体"/>
          <w:color w:val="auto"/>
          <w:kern w:val="0"/>
          <w:sz w:val="24"/>
          <w:highlight w:val="none"/>
        </w:rPr>
        <w:t>；</w:t>
      </w:r>
    </w:p>
    <w:p>
      <w:pPr>
        <w:spacing w:line="500" w:lineRule="exact"/>
        <w:ind w:firstLine="720" w:firstLineChars="300"/>
        <w:jc w:val="left"/>
        <w:rPr>
          <w:rFonts w:ascii="宋体"/>
          <w:color w:val="auto"/>
          <w:kern w:val="0"/>
          <w:sz w:val="24"/>
          <w:highlight w:val="none"/>
        </w:rPr>
      </w:pPr>
      <w:r>
        <w:rPr>
          <w:rFonts w:hint="eastAsia" w:ascii="宋体"/>
          <w:color w:val="auto"/>
          <w:kern w:val="0"/>
          <w:sz w:val="24"/>
          <w:highlight w:val="none"/>
        </w:rPr>
        <w:t>2、供方在承包期内，因工作不力月度考核分低于80分的，向供方单位下发责令限期整改通知书，累计二个月度考核分低于80分的，将解除承包合同。</w:t>
      </w:r>
    </w:p>
    <w:p>
      <w:pPr>
        <w:tabs>
          <w:tab w:val="left" w:pos="0"/>
        </w:tabs>
        <w:spacing w:before="156" w:beforeLines="50" w:after="156" w:afterLines="50" w:line="360" w:lineRule="auto"/>
        <w:ind w:left="420" w:leftChars="200"/>
        <w:rPr>
          <w:rFonts w:ascii="宋体" w:hAnsi="宋体" w:cs="宋体"/>
          <w:b/>
          <w:color w:val="auto"/>
          <w:sz w:val="24"/>
          <w:highlight w:val="none"/>
        </w:rPr>
      </w:pPr>
      <w:r>
        <w:rPr>
          <w:rFonts w:hint="eastAsia" w:ascii="宋体" w:hAnsi="宋体"/>
          <w:b/>
          <w:color w:val="auto"/>
          <w:sz w:val="24"/>
          <w:highlight w:val="none"/>
        </w:rPr>
        <w:t>十一、仲裁与起诉</w:t>
      </w:r>
    </w:p>
    <w:p>
      <w:pPr>
        <w:spacing w:line="360" w:lineRule="auto"/>
        <w:ind w:left="420" w:leftChars="200"/>
        <w:rPr>
          <w:color w:val="auto"/>
          <w:highlight w:val="none"/>
        </w:rPr>
      </w:pPr>
      <w:r>
        <w:rPr>
          <w:rFonts w:hint="eastAsia" w:ascii="宋体" w:hAnsi="宋体"/>
          <w:color w:val="auto"/>
          <w:sz w:val="24"/>
          <w:highlight w:val="none"/>
        </w:rPr>
        <w:t>本合同项目所在地为上虞区，本合同发生争议产生的诉讼，可向项目所在地有管辖权的法院提起诉讼。</w:t>
      </w:r>
    </w:p>
    <w:p>
      <w:pPr>
        <w:tabs>
          <w:tab w:val="left" w:pos="0"/>
        </w:tabs>
        <w:spacing w:before="156" w:beforeLines="50" w:after="156" w:afterLines="50" w:line="360" w:lineRule="auto"/>
        <w:ind w:left="420" w:leftChars="200"/>
        <w:rPr>
          <w:rFonts w:ascii="宋体" w:hAnsi="宋体" w:cs="宋体"/>
          <w:b/>
          <w:color w:val="auto"/>
          <w:sz w:val="24"/>
          <w:highlight w:val="none"/>
        </w:rPr>
      </w:pPr>
      <w:r>
        <w:rPr>
          <w:rFonts w:hint="eastAsia" w:ascii="宋体" w:hAnsi="宋体"/>
          <w:b/>
          <w:color w:val="auto"/>
          <w:sz w:val="24"/>
          <w:highlight w:val="none"/>
        </w:rPr>
        <w:t>十二、合同生效及其他</w:t>
      </w:r>
    </w:p>
    <w:p>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（1）合同经双方法定代表人或委托代理人签字并加盖单位公章后生效。</w:t>
      </w:r>
    </w:p>
    <w:p>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（2）合同执行中，如需修改或补充合同内容，由双方协商另签署书面修改或补充协议为主合同不可分割的一部分。</w:t>
      </w:r>
    </w:p>
    <w:p>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（3）本合同未尽事宜，双方可以增加条款或补充协议的形式加以补充，但增加或补充协议的条款不得对招标文件作实质性修改。补充协议与本合同具有相同的法律效力。</w:t>
      </w:r>
    </w:p>
    <w:p>
      <w:pPr>
        <w:pStyle w:val="15"/>
        <w:snapToGrid w:val="0"/>
        <w:spacing w:line="360" w:lineRule="auto"/>
        <w:ind w:firstLine="410" w:firstLineChars="171"/>
        <w:rPr>
          <w:color w:val="auto"/>
          <w:highlight w:val="none"/>
        </w:rPr>
      </w:pPr>
      <w:r>
        <w:rPr>
          <w:rFonts w:hint="eastAsia" w:hAnsi="宋体"/>
          <w:color w:val="auto"/>
          <w:sz w:val="24"/>
          <w:highlight w:val="none"/>
        </w:rPr>
        <w:t>（4）</w:t>
      </w:r>
      <w:r>
        <w:rPr>
          <w:rFonts w:ascii="Verdana" w:hAnsi="Verdana" w:cs="Arial"/>
          <w:color w:val="auto"/>
          <w:kern w:val="0"/>
          <w:sz w:val="24"/>
          <w:highlight w:val="none"/>
        </w:rPr>
        <w:t>合同双方确认，本合同及合同约定的其它文件组成部分中的各项约定都是通过法定招标过程形成的合法成果，如果</w:t>
      </w:r>
      <w:r>
        <w:rPr>
          <w:rFonts w:hint="eastAsia" w:ascii="Verdana" w:hAnsi="Verdana" w:cs="Arial"/>
          <w:color w:val="auto"/>
          <w:kern w:val="0"/>
          <w:sz w:val="24"/>
          <w:highlight w:val="none"/>
        </w:rPr>
        <w:t>中标单位的投标文件与招标文件要求不一致的，履约时应以有利于采购人的条款执行</w:t>
      </w:r>
      <w:r>
        <w:rPr>
          <w:rFonts w:ascii="Verdana" w:hAnsi="Verdana" w:cs="Arial"/>
          <w:color w:val="auto"/>
          <w:kern w:val="0"/>
          <w:sz w:val="24"/>
          <w:highlight w:val="none"/>
        </w:rPr>
        <w:t>。如果不一致条款不是合同双方真实意思的表示，对合同双方不形成任何合同或法律约束力。合同双方也不存在且也不会签订任何背离合同实质性内容的其他协议或合同。如果存在或签订背离本合同实质性内容的其他协议或合同，也不是合同双方真实意思的表示，对合同双方不构成任何合同或法律约束力。</w:t>
      </w:r>
    </w:p>
    <w:p>
      <w:pPr>
        <w:pStyle w:val="15"/>
        <w:snapToGrid w:val="0"/>
        <w:spacing w:line="360" w:lineRule="auto"/>
        <w:ind w:firstLine="410" w:firstLineChars="171"/>
        <w:rPr>
          <w:rFonts w:ascii="Verdana" w:hAnsi="Verdana" w:cs="Arial"/>
          <w:color w:val="auto"/>
          <w:kern w:val="0"/>
          <w:sz w:val="24"/>
          <w:highlight w:val="none"/>
        </w:rPr>
      </w:pPr>
      <w:r>
        <w:rPr>
          <w:rFonts w:hint="eastAsia" w:ascii="Verdana" w:hAnsi="Verdana" w:cs="Arial"/>
          <w:color w:val="auto"/>
          <w:kern w:val="0"/>
          <w:sz w:val="24"/>
          <w:highlight w:val="none"/>
        </w:rPr>
        <w:t>（5）本合同一式　肆 份，甲方和乙方各执　贰　份。</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2"/>
        <w:gridCol w:w="2330"/>
        <w:gridCol w:w="1612"/>
        <w:gridCol w:w="2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432" w:type="dxa"/>
            <w:noWrap/>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甲方</w:t>
            </w:r>
          </w:p>
        </w:tc>
        <w:tc>
          <w:tcPr>
            <w:tcW w:w="2330" w:type="dxa"/>
            <w:noWrap/>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（盖章）</w:t>
            </w:r>
          </w:p>
        </w:tc>
        <w:tc>
          <w:tcPr>
            <w:tcW w:w="1612" w:type="dxa"/>
            <w:noWrap/>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乙方</w:t>
            </w:r>
          </w:p>
        </w:tc>
        <w:tc>
          <w:tcPr>
            <w:tcW w:w="2686" w:type="dxa"/>
            <w:noWrap/>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432" w:type="dxa"/>
            <w:noWrap/>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代表签名</w:t>
            </w:r>
          </w:p>
        </w:tc>
        <w:tc>
          <w:tcPr>
            <w:tcW w:w="2330" w:type="dxa"/>
            <w:noWrap/>
            <w:vAlign w:val="center"/>
          </w:tcPr>
          <w:p>
            <w:pPr>
              <w:spacing w:line="360" w:lineRule="auto"/>
              <w:jc w:val="center"/>
              <w:rPr>
                <w:rFonts w:ascii="宋体" w:hAnsi="宋体" w:cs="宋体"/>
                <w:color w:val="auto"/>
                <w:kern w:val="0"/>
                <w:sz w:val="24"/>
                <w:highlight w:val="none"/>
              </w:rPr>
            </w:pPr>
          </w:p>
        </w:tc>
        <w:tc>
          <w:tcPr>
            <w:tcW w:w="1612" w:type="dxa"/>
            <w:noWrap/>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代表签名</w:t>
            </w:r>
          </w:p>
        </w:tc>
        <w:tc>
          <w:tcPr>
            <w:tcW w:w="2686" w:type="dxa"/>
            <w:noWrap/>
            <w:vAlign w:val="center"/>
          </w:tcPr>
          <w:p>
            <w:pPr>
              <w:spacing w:line="360" w:lineRule="auto"/>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432" w:type="dxa"/>
            <w:noWrap/>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地址</w:t>
            </w:r>
          </w:p>
        </w:tc>
        <w:tc>
          <w:tcPr>
            <w:tcW w:w="2330" w:type="dxa"/>
            <w:noWrap/>
            <w:vAlign w:val="center"/>
          </w:tcPr>
          <w:p>
            <w:pPr>
              <w:spacing w:line="360" w:lineRule="auto"/>
              <w:jc w:val="center"/>
              <w:rPr>
                <w:rFonts w:ascii="宋体" w:hAnsi="宋体" w:cs="宋体"/>
                <w:color w:val="auto"/>
                <w:kern w:val="0"/>
                <w:sz w:val="24"/>
                <w:highlight w:val="none"/>
              </w:rPr>
            </w:pPr>
          </w:p>
        </w:tc>
        <w:tc>
          <w:tcPr>
            <w:tcW w:w="1612" w:type="dxa"/>
            <w:noWrap/>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地址</w:t>
            </w:r>
          </w:p>
        </w:tc>
        <w:tc>
          <w:tcPr>
            <w:tcW w:w="2686" w:type="dxa"/>
            <w:noWrap/>
            <w:vAlign w:val="center"/>
          </w:tcPr>
          <w:p>
            <w:pPr>
              <w:spacing w:line="360" w:lineRule="auto"/>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432" w:type="dxa"/>
            <w:noWrap/>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电话</w:t>
            </w:r>
          </w:p>
        </w:tc>
        <w:tc>
          <w:tcPr>
            <w:tcW w:w="2330" w:type="dxa"/>
            <w:noWrap/>
            <w:vAlign w:val="center"/>
          </w:tcPr>
          <w:p>
            <w:pPr>
              <w:spacing w:line="360" w:lineRule="auto"/>
              <w:jc w:val="center"/>
              <w:rPr>
                <w:rFonts w:ascii="宋体" w:hAnsi="宋体" w:cs="宋体"/>
                <w:color w:val="auto"/>
                <w:kern w:val="0"/>
                <w:sz w:val="24"/>
                <w:highlight w:val="none"/>
              </w:rPr>
            </w:pPr>
          </w:p>
        </w:tc>
        <w:tc>
          <w:tcPr>
            <w:tcW w:w="1612" w:type="dxa"/>
            <w:noWrap/>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电话</w:t>
            </w:r>
          </w:p>
        </w:tc>
        <w:tc>
          <w:tcPr>
            <w:tcW w:w="2686" w:type="dxa"/>
            <w:noWrap/>
            <w:vAlign w:val="center"/>
          </w:tcPr>
          <w:p>
            <w:pPr>
              <w:spacing w:line="360" w:lineRule="auto"/>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432" w:type="dxa"/>
            <w:noWrap/>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开户银行</w:t>
            </w:r>
          </w:p>
        </w:tc>
        <w:tc>
          <w:tcPr>
            <w:tcW w:w="2330" w:type="dxa"/>
            <w:noWrap/>
            <w:vAlign w:val="center"/>
          </w:tcPr>
          <w:p>
            <w:pPr>
              <w:spacing w:line="360" w:lineRule="auto"/>
              <w:jc w:val="center"/>
              <w:rPr>
                <w:rFonts w:ascii="宋体" w:hAnsi="宋体" w:cs="宋体"/>
                <w:color w:val="auto"/>
                <w:kern w:val="0"/>
                <w:sz w:val="24"/>
                <w:highlight w:val="none"/>
              </w:rPr>
            </w:pPr>
          </w:p>
        </w:tc>
        <w:tc>
          <w:tcPr>
            <w:tcW w:w="1612" w:type="dxa"/>
            <w:noWrap/>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开户银行</w:t>
            </w:r>
          </w:p>
        </w:tc>
        <w:tc>
          <w:tcPr>
            <w:tcW w:w="2686" w:type="dxa"/>
            <w:noWrap/>
            <w:vAlign w:val="center"/>
          </w:tcPr>
          <w:p>
            <w:pPr>
              <w:spacing w:line="360" w:lineRule="auto"/>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432" w:type="dxa"/>
            <w:noWrap/>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帐号</w:t>
            </w:r>
          </w:p>
        </w:tc>
        <w:tc>
          <w:tcPr>
            <w:tcW w:w="2330" w:type="dxa"/>
            <w:noWrap/>
            <w:vAlign w:val="center"/>
          </w:tcPr>
          <w:p>
            <w:pPr>
              <w:spacing w:line="360" w:lineRule="auto"/>
              <w:jc w:val="center"/>
              <w:rPr>
                <w:rFonts w:ascii="宋体" w:hAnsi="宋体" w:cs="宋体"/>
                <w:color w:val="auto"/>
                <w:kern w:val="0"/>
                <w:sz w:val="24"/>
                <w:highlight w:val="none"/>
              </w:rPr>
            </w:pPr>
          </w:p>
        </w:tc>
        <w:tc>
          <w:tcPr>
            <w:tcW w:w="1612" w:type="dxa"/>
            <w:noWrap/>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帐号</w:t>
            </w:r>
          </w:p>
        </w:tc>
        <w:tc>
          <w:tcPr>
            <w:tcW w:w="2686" w:type="dxa"/>
            <w:noWrap/>
            <w:vAlign w:val="center"/>
          </w:tcPr>
          <w:p>
            <w:pPr>
              <w:spacing w:line="360" w:lineRule="auto"/>
              <w:jc w:val="center"/>
              <w:rPr>
                <w:rFonts w:ascii="宋体" w:hAnsi="宋体" w:cs="宋体"/>
                <w:color w:val="auto"/>
                <w:kern w:val="0"/>
                <w:sz w:val="24"/>
                <w:highlight w:val="none"/>
              </w:rPr>
            </w:pPr>
          </w:p>
        </w:tc>
      </w:tr>
    </w:tbl>
    <w:p>
      <w:pPr>
        <w:rPr>
          <w:rFonts w:ascii="宋体" w:hAnsi="宋体" w:cs="宋体"/>
          <w:color w:val="auto"/>
          <w:sz w:val="24"/>
          <w:highlight w:val="none"/>
        </w:rPr>
      </w:pPr>
      <w:r>
        <w:rPr>
          <w:rFonts w:ascii="宋体" w:hAnsi="宋体" w:cs="宋体"/>
          <w:color w:val="auto"/>
          <w:sz w:val="24"/>
          <w:highlight w:val="none"/>
        </w:rPr>
        <w:br w:type="page"/>
      </w:r>
    </w:p>
    <w:p>
      <w:pPr>
        <w:pStyle w:val="29"/>
        <w:ind w:firstLine="480"/>
        <w:rPr>
          <w:rFonts w:ascii="宋体" w:hAnsi="宋体" w:cs="宋体"/>
          <w:color w:val="auto"/>
          <w:sz w:val="24"/>
          <w:highlight w:val="none"/>
        </w:rPr>
      </w:pPr>
    </w:p>
    <w:p>
      <w:pPr>
        <w:spacing w:line="360" w:lineRule="auto"/>
        <w:jc w:val="center"/>
        <w:outlineLvl w:val="0"/>
        <w:rPr>
          <w:rFonts w:ascii="宋体" w:hAnsi="宋体" w:cs="宋体"/>
          <w:b/>
          <w:color w:val="auto"/>
          <w:sz w:val="36"/>
          <w:szCs w:val="36"/>
          <w:highlight w:val="none"/>
        </w:rPr>
      </w:pPr>
      <w:bookmarkStart w:id="444" w:name="_Toc2226"/>
      <w:r>
        <w:rPr>
          <w:rFonts w:hint="eastAsia" w:ascii="宋体" w:hAnsi="宋体" w:cs="宋体"/>
          <w:b/>
          <w:color w:val="auto"/>
          <w:sz w:val="36"/>
          <w:szCs w:val="36"/>
          <w:highlight w:val="none"/>
        </w:rPr>
        <w:t>第六部分</w:t>
      </w:r>
      <w:bookmarkEnd w:id="436"/>
      <w:bookmarkEnd w:id="437"/>
      <w:r>
        <w:rPr>
          <w:rFonts w:hint="eastAsia" w:ascii="宋体" w:hAnsi="宋体" w:cs="宋体"/>
          <w:b/>
          <w:color w:val="auto"/>
          <w:sz w:val="36"/>
          <w:szCs w:val="36"/>
          <w:highlight w:val="none"/>
        </w:rPr>
        <w:t>应提交的有关格式范例</w:t>
      </w:r>
      <w:bookmarkEnd w:id="444"/>
    </w:p>
    <w:p>
      <w:pPr>
        <w:spacing w:line="360" w:lineRule="auto"/>
        <w:ind w:firstLine="480" w:firstLineChars="200"/>
        <w:outlineLvl w:val="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投标人按照以下格式编制投标文件，并将资格文件、商务技术文件、报价文件分别上传，并与招标文件的评分要点准确设置关联点。</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此格式内容仅为参考模板，具体内容投标人应根据招标文件要求进行调整。未按以下格式编制投标文件或因格式不规范、页码不清等原因引发的一切后果由投标人自行承担。</w:t>
      </w:r>
    </w:p>
    <w:p>
      <w:pPr>
        <w:spacing w:line="360" w:lineRule="auto"/>
        <w:jc w:val="center"/>
        <w:rPr>
          <w:rFonts w:ascii="宋体" w:hAnsi="宋体" w:cs="宋体"/>
          <w:b/>
          <w:color w:val="auto"/>
          <w:kern w:val="0"/>
          <w:sz w:val="36"/>
          <w:szCs w:val="36"/>
          <w:highlight w:val="none"/>
        </w:rPr>
      </w:pPr>
      <w:r>
        <w:rPr>
          <w:rFonts w:hint="eastAsia" w:ascii="宋体" w:hAnsi="宋体" w:cs="宋体"/>
          <w:b/>
          <w:color w:val="auto"/>
          <w:sz w:val="24"/>
          <w:highlight w:val="none"/>
        </w:rPr>
        <w:br w:type="page"/>
      </w:r>
      <w:r>
        <w:rPr>
          <w:rFonts w:hint="eastAsia" w:ascii="宋体" w:hAnsi="宋体" w:cs="宋体"/>
          <w:b/>
          <w:color w:val="auto"/>
          <w:kern w:val="0"/>
          <w:sz w:val="36"/>
          <w:szCs w:val="36"/>
          <w:highlight w:val="none"/>
        </w:rPr>
        <w:t>资格文件部分</w:t>
      </w:r>
    </w:p>
    <w:p>
      <w:pPr>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（1）法定代表人授权书；（格式见附件）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（2）声明书；（格式见附件）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事业单位的，则提供有效的《事业单位法人证书》副本复印件并加盖单位公章；</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采购活动，由单位负责人签署相关文件材料；</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）前一年度资产负债表等财务报表资料文件；(新成立的公司，必须提供情况说明)</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）具有履行合同所必需的设备和专业技术、售后保障等能力的承诺函；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）提供有效的依法缴纳税收证明（完税凭证或税务部门出具的证明）和提供有效的依法缴纳社会保障资金证明（缴纳凭证或人社部门出具的证明）；</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）参加采购活动前三年内，没有重大违法记录、严重 失信行为和行贿记录的声明。</w:t>
      </w:r>
    </w:p>
    <w:p>
      <w:pPr>
        <w:pStyle w:val="12"/>
        <w:ind w:firstLine="486"/>
        <w:rPr>
          <w:rFonts w:ascii="宋体" w:hAnsi="宋体" w:cs="宋体"/>
          <w:color w:val="auto"/>
          <w:highlight w:val="none"/>
        </w:rPr>
      </w:pPr>
    </w:p>
    <w:p>
      <w:pPr>
        <w:pStyle w:val="12"/>
        <w:ind w:firstLine="486"/>
        <w:rPr>
          <w:rFonts w:ascii="宋体" w:hAnsi="宋体" w:cs="宋体"/>
          <w:color w:val="auto"/>
          <w:highlight w:val="none"/>
        </w:rPr>
      </w:pPr>
    </w:p>
    <w:p>
      <w:pPr>
        <w:pStyle w:val="12"/>
        <w:ind w:firstLine="486"/>
        <w:rPr>
          <w:rFonts w:ascii="宋体" w:hAnsi="宋体" w:cs="宋体"/>
          <w:color w:val="auto"/>
          <w:highlight w:val="none"/>
        </w:rPr>
      </w:pPr>
    </w:p>
    <w:p>
      <w:pPr>
        <w:pStyle w:val="12"/>
        <w:ind w:firstLine="486"/>
        <w:rPr>
          <w:rFonts w:ascii="宋体" w:hAnsi="宋体" w:cs="宋体"/>
          <w:color w:val="auto"/>
          <w:highlight w:val="none"/>
        </w:rPr>
      </w:pPr>
    </w:p>
    <w:p>
      <w:pPr>
        <w:pStyle w:val="12"/>
        <w:ind w:firstLine="486"/>
        <w:rPr>
          <w:rFonts w:ascii="宋体" w:hAnsi="宋体" w:cs="宋体"/>
          <w:color w:val="auto"/>
          <w:highlight w:val="none"/>
        </w:rPr>
      </w:pPr>
    </w:p>
    <w:p>
      <w:pPr>
        <w:pStyle w:val="12"/>
        <w:ind w:firstLine="486"/>
        <w:rPr>
          <w:rFonts w:ascii="宋体" w:hAnsi="宋体" w:cs="宋体"/>
          <w:color w:val="auto"/>
          <w:highlight w:val="none"/>
        </w:rPr>
      </w:pPr>
    </w:p>
    <w:p>
      <w:pPr>
        <w:pStyle w:val="12"/>
        <w:ind w:firstLine="486"/>
        <w:rPr>
          <w:rFonts w:ascii="宋体" w:hAnsi="宋体" w:cs="宋体"/>
          <w:color w:val="auto"/>
          <w:highlight w:val="none"/>
        </w:rPr>
      </w:pPr>
    </w:p>
    <w:p>
      <w:pPr>
        <w:pStyle w:val="2"/>
        <w:rPr>
          <w:rFonts w:hAnsi="宋体" w:cs="宋体"/>
          <w:b w:val="0"/>
          <w:color w:val="auto"/>
          <w:sz w:val="24"/>
          <w:szCs w:val="24"/>
          <w:highlight w:val="none"/>
        </w:rPr>
      </w:pPr>
      <w:bookmarkStart w:id="445" w:name="_Toc24699"/>
      <w:r>
        <w:rPr>
          <w:rFonts w:hint="eastAsia" w:hAnsi="宋体" w:cs="宋体"/>
          <w:color w:val="auto"/>
          <w:sz w:val="24"/>
          <w:szCs w:val="24"/>
          <w:highlight w:val="none"/>
        </w:rPr>
        <w:t>附件一：</w:t>
      </w:r>
    </w:p>
    <w:p>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法定代表人授权书</w:t>
      </w:r>
      <w:bookmarkEnd w:id="445"/>
    </w:p>
    <w:p>
      <w:pPr>
        <w:pStyle w:val="6"/>
        <w:spacing w:line="360" w:lineRule="auto"/>
        <w:rPr>
          <w:rFonts w:ascii="宋体" w:hAnsi="宋体" w:cs="宋体"/>
          <w:color w:val="auto"/>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绍兴市上虞区虞发市政工程有限公司：</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浙江建诚工程管理咨询有限公司：</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rPr>
        <w:t xml:space="preserve">  （投标人全称） </w:t>
      </w:r>
      <w:r>
        <w:rPr>
          <w:rFonts w:hint="eastAsia" w:ascii="宋体" w:hAnsi="宋体" w:cs="宋体"/>
          <w:color w:val="auto"/>
          <w:sz w:val="24"/>
          <w:highlight w:val="none"/>
        </w:rPr>
        <w:t>法定代表人授权</w:t>
      </w:r>
      <w:r>
        <w:rPr>
          <w:rFonts w:hint="eastAsia" w:ascii="宋体" w:hAnsi="宋体" w:cs="宋体"/>
          <w:color w:val="auto"/>
          <w:sz w:val="24"/>
          <w:highlight w:val="none"/>
          <w:u w:val="single"/>
        </w:rPr>
        <w:t>（授权代表名称）</w:t>
      </w:r>
      <w:r>
        <w:rPr>
          <w:rFonts w:hint="eastAsia" w:ascii="宋体" w:hAnsi="宋体" w:cs="宋体"/>
          <w:color w:val="auto"/>
          <w:sz w:val="24"/>
          <w:highlight w:val="none"/>
        </w:rPr>
        <w:t>为授权代表，参加贵处组织的</w:t>
      </w:r>
      <w:r>
        <w:rPr>
          <w:rFonts w:hint="eastAsia" w:ascii="宋体" w:hAnsi="宋体" w:cs="宋体"/>
          <w:color w:val="auto"/>
          <w:sz w:val="24"/>
          <w:highlight w:val="none"/>
          <w:u w:val="single"/>
          <w:lang w:val="en-US" w:eastAsia="zh-CN"/>
        </w:rPr>
        <w:t xml:space="preserve">       （项目名称）     </w:t>
      </w:r>
      <w:r>
        <w:rPr>
          <w:rFonts w:hint="eastAsia" w:ascii="宋体" w:hAnsi="宋体" w:cs="宋体"/>
          <w:color w:val="auto"/>
          <w:sz w:val="24"/>
          <w:highlight w:val="none"/>
        </w:rPr>
        <w:t>项目</w:t>
      </w:r>
      <w:r>
        <w:rPr>
          <w:rFonts w:hint="eastAsia" w:ascii="宋体" w:hAnsi="宋体" w:cs="宋体"/>
          <w:color w:val="auto"/>
          <w:sz w:val="24"/>
          <w:highlight w:val="none"/>
          <w:u w:val="single"/>
        </w:rPr>
        <w:t>（括号内填写招标编号）</w:t>
      </w:r>
      <w:r>
        <w:rPr>
          <w:rFonts w:hint="eastAsia" w:ascii="宋体" w:hAnsi="宋体" w:cs="宋体"/>
          <w:color w:val="auto"/>
          <w:sz w:val="24"/>
          <w:highlight w:val="none"/>
        </w:rPr>
        <w:t>，授权处理招投标活动中的一切事宜。</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法定代表人签字：</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投标人全称：（盖章）</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日期：</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授权代表姓名：</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职务：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详细通讯地址：</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传真：</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电话：</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邮政编码：</w:t>
      </w:r>
    </w:p>
    <w:p>
      <w:pPr>
        <w:pStyle w:val="15"/>
        <w:snapToGrid w:val="0"/>
        <w:spacing w:line="360" w:lineRule="auto"/>
        <w:rPr>
          <w:rFonts w:hAnsi="宋体" w:cs="宋体"/>
          <w:color w:val="auto"/>
          <w:sz w:val="24"/>
          <w:highlight w:val="none"/>
        </w:rPr>
      </w:pPr>
    </w:p>
    <w:p>
      <w:pPr>
        <w:pStyle w:val="15"/>
        <w:snapToGrid w:val="0"/>
        <w:spacing w:line="360" w:lineRule="auto"/>
        <w:rPr>
          <w:rFonts w:hAnsi="宋体" w:cs="宋体"/>
          <w:color w:val="auto"/>
          <w:sz w:val="24"/>
          <w:highlight w:val="none"/>
        </w:rPr>
      </w:pPr>
    </w:p>
    <w:p>
      <w:pPr>
        <w:pStyle w:val="15"/>
        <w:snapToGrid w:val="0"/>
        <w:spacing w:line="360" w:lineRule="auto"/>
        <w:rPr>
          <w:rFonts w:hAnsi="宋体" w:cs="宋体"/>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附：授权代表身份证复印件（正反面）</w:t>
      </w:r>
    </w:p>
    <w:p>
      <w:pPr>
        <w:spacing w:line="360" w:lineRule="auto"/>
        <w:rPr>
          <w:rFonts w:ascii="宋体" w:hAnsi="宋体" w:cs="宋体"/>
          <w:b/>
          <w:color w:val="auto"/>
          <w:sz w:val="24"/>
          <w:highlight w:val="none"/>
        </w:rPr>
      </w:pPr>
    </w:p>
    <w:p>
      <w:pPr>
        <w:pStyle w:val="12"/>
        <w:ind w:firstLine="486"/>
        <w:rPr>
          <w:rFonts w:ascii="宋体" w:hAnsi="宋体" w:cs="宋体"/>
          <w:color w:val="auto"/>
          <w:highlight w:val="none"/>
        </w:rPr>
      </w:pPr>
    </w:p>
    <w:p>
      <w:pPr>
        <w:snapToGrid w:val="0"/>
        <w:spacing w:before="50" w:after="156" w:afterLines="50"/>
        <w:jc w:val="left"/>
        <w:rPr>
          <w:rFonts w:ascii="宋体" w:hAnsi="宋体" w:cs="宋体"/>
          <w:b/>
          <w:bCs/>
          <w:color w:val="auto"/>
          <w:sz w:val="24"/>
          <w:highlight w:val="none"/>
          <w:lang w:val="zh-CN"/>
        </w:rPr>
      </w:pPr>
      <w:r>
        <w:rPr>
          <w:rFonts w:hint="eastAsia" w:ascii="宋体" w:hAnsi="宋体" w:cs="宋体"/>
          <w:b/>
          <w:bCs/>
          <w:color w:val="auto"/>
          <w:sz w:val="24"/>
          <w:highlight w:val="none"/>
        </w:rPr>
        <w:br w:type="page"/>
      </w:r>
      <w:r>
        <w:rPr>
          <w:rFonts w:hint="eastAsia" w:ascii="宋体" w:hAnsi="宋体" w:cs="宋体"/>
          <w:b/>
          <w:bCs/>
          <w:color w:val="auto"/>
          <w:sz w:val="24"/>
          <w:highlight w:val="none"/>
          <w:lang w:val="zh-CN"/>
        </w:rPr>
        <w:t>附件二：</w:t>
      </w:r>
    </w:p>
    <w:p>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声 明 书</w:t>
      </w:r>
    </w:p>
    <w:p>
      <w:pPr>
        <w:spacing w:line="360" w:lineRule="auto"/>
        <w:ind w:firstLine="420" w:firstLineChars="200"/>
        <w:rPr>
          <w:rFonts w:ascii="宋体" w:hAnsi="宋体" w:cs="宋体"/>
          <w:color w:val="auto"/>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绍兴市上虞区虞发市政工程有限公司：</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浙江建诚工程管理咨询有限公司：</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rPr>
        <w:t>（投标人名称）</w:t>
      </w:r>
      <w:r>
        <w:rPr>
          <w:rFonts w:hint="eastAsia" w:ascii="宋体" w:hAnsi="宋体" w:cs="宋体"/>
          <w:color w:val="auto"/>
          <w:sz w:val="24"/>
          <w:highlight w:val="none"/>
        </w:rPr>
        <w:t>系中华人民共和国合法企业，经营地址</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（姓名）</w:t>
      </w:r>
      <w:r>
        <w:rPr>
          <w:rFonts w:hint="eastAsia" w:ascii="宋体" w:hAnsi="宋体" w:cs="宋体"/>
          <w:color w:val="auto"/>
          <w:sz w:val="24"/>
          <w:highlight w:val="none"/>
        </w:rPr>
        <w:t>系</w:t>
      </w:r>
      <w:r>
        <w:rPr>
          <w:rFonts w:hint="eastAsia" w:ascii="宋体" w:hAnsi="宋体" w:cs="宋体"/>
          <w:color w:val="auto"/>
          <w:sz w:val="24"/>
          <w:highlight w:val="none"/>
          <w:u w:val="single"/>
        </w:rPr>
        <w:t>（投标人名称）</w:t>
      </w:r>
      <w:r>
        <w:rPr>
          <w:rFonts w:hint="eastAsia" w:ascii="宋体" w:hAnsi="宋体" w:cs="宋体"/>
          <w:color w:val="auto"/>
          <w:sz w:val="24"/>
          <w:highlight w:val="none"/>
        </w:rPr>
        <w:t>的法定代表人，我方愿意参加贵方组织的</w:t>
      </w:r>
      <w:r>
        <w:rPr>
          <w:rFonts w:hint="eastAsia" w:ascii="宋体" w:hAnsi="宋体" w:cs="宋体"/>
          <w:color w:val="auto"/>
          <w:sz w:val="24"/>
          <w:highlight w:val="none"/>
          <w:u w:val="single"/>
        </w:rPr>
        <w:t>（招标项目名称）（编号为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的投标，为此，我方就本次投标有关事项郑重声明如下：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1、我方已详细审查全部招标文件，同意招标文件的各项要求。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2、我方向贵方提交的所有投标文件、资料都是准确的和真实的。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3、若中标，我方将按招标文件规定履行合同责任和义务。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4、我方不是采购人的附属机构；在获知本项目采购信息后，与采购人聘请的为此项目提供咨询服务的公司及其附属机构没有任何联系。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5、投标文件自开标日起有效期为90天。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6、我方参与本项目前3年内的经营活动中没有重大违法记录；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7、我方通过“信用中国”网站（www.creditchina.gov.cn）、中国政府采购网（www.ccgp.gov.cn）查询，未被列入失信被执行人、重大税收违法案件当事人名单、政府采购严重违法失信行为记录名单。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8、以上事项如有虚假或隐瞒，我方愿意承担一切后果，并不再寻求任何旨在减轻或免除法律责任的辩解。</w:t>
      </w:r>
    </w:p>
    <w:p>
      <w:pPr>
        <w:pStyle w:val="12"/>
        <w:rPr>
          <w:rFonts w:ascii="宋体" w:hAnsi="宋体" w:cs="宋体"/>
          <w:color w:val="auto"/>
          <w:highlight w:val="none"/>
        </w:rPr>
      </w:pPr>
    </w:p>
    <w:p>
      <w:pPr>
        <w:pStyle w:val="12"/>
        <w:rPr>
          <w:rFonts w:ascii="宋体" w:hAnsi="宋体" w:cs="宋体"/>
          <w:color w:val="auto"/>
          <w:highlight w:val="none"/>
        </w:rPr>
      </w:pPr>
    </w:p>
    <w:p>
      <w:pPr>
        <w:pStyle w:val="15"/>
        <w:spacing w:line="420" w:lineRule="auto"/>
        <w:rPr>
          <w:rFonts w:hAnsi="宋体" w:cs="宋体"/>
          <w:color w:val="auto"/>
          <w:sz w:val="24"/>
          <w:highlight w:val="none"/>
        </w:rPr>
      </w:pPr>
      <w:r>
        <w:rPr>
          <w:rFonts w:hint="eastAsia" w:hAnsi="宋体" w:cs="宋体"/>
          <w:color w:val="auto"/>
          <w:sz w:val="24"/>
          <w:highlight w:val="none"/>
        </w:rPr>
        <w:t xml:space="preserve">                                  投标人全称（盖章）：</w:t>
      </w:r>
    </w:p>
    <w:p>
      <w:pPr>
        <w:pStyle w:val="15"/>
        <w:spacing w:line="420" w:lineRule="auto"/>
        <w:rPr>
          <w:rFonts w:hAnsi="宋体" w:cs="宋体"/>
          <w:color w:val="auto"/>
          <w:sz w:val="24"/>
          <w:highlight w:val="none"/>
        </w:rPr>
      </w:pPr>
      <w:r>
        <w:rPr>
          <w:rFonts w:hint="eastAsia" w:hAnsi="宋体" w:cs="宋体"/>
          <w:color w:val="auto"/>
          <w:sz w:val="24"/>
          <w:highlight w:val="none"/>
        </w:rPr>
        <w:t xml:space="preserve">                                  法定代表人或授权委托人（签字或盖章）：</w:t>
      </w:r>
    </w:p>
    <w:p>
      <w:pPr>
        <w:spacing w:line="420" w:lineRule="auto"/>
        <w:ind w:firstLine="4080" w:firstLineChars="1700"/>
        <w:rPr>
          <w:rFonts w:ascii="宋体" w:hAnsi="宋体" w:cs="宋体"/>
          <w:color w:val="auto"/>
          <w:sz w:val="36"/>
          <w:highlight w:val="none"/>
        </w:rPr>
      </w:pPr>
      <w:r>
        <w:rPr>
          <w:rFonts w:hint="eastAsia" w:ascii="宋体" w:hAnsi="宋体" w:cs="宋体"/>
          <w:color w:val="auto"/>
          <w:sz w:val="24"/>
          <w:highlight w:val="none"/>
        </w:rPr>
        <w:t>日   期：</w:t>
      </w:r>
    </w:p>
    <w:p>
      <w:pPr>
        <w:pStyle w:val="12"/>
        <w:ind w:firstLine="566"/>
        <w:rPr>
          <w:rFonts w:ascii="宋体" w:hAnsi="宋体" w:cs="宋体"/>
          <w:color w:val="auto"/>
          <w:sz w:val="28"/>
          <w:szCs w:val="28"/>
          <w:highlight w:val="none"/>
        </w:rPr>
      </w:pPr>
    </w:p>
    <w:p>
      <w:pPr>
        <w:pStyle w:val="6"/>
        <w:rPr>
          <w:rFonts w:ascii="宋体" w:hAnsi="宋体" w:cs="宋体"/>
          <w:color w:val="auto"/>
          <w:highlight w:val="none"/>
        </w:rPr>
      </w:pPr>
    </w:p>
    <w:p>
      <w:pPr>
        <w:spacing w:line="360" w:lineRule="auto"/>
        <w:rPr>
          <w:rFonts w:ascii="宋体" w:hAnsi="宋体" w:cs="宋体"/>
          <w:b/>
          <w:color w:val="auto"/>
          <w:kern w:val="0"/>
          <w:sz w:val="36"/>
          <w:szCs w:val="36"/>
          <w:highlight w:val="none"/>
        </w:rPr>
      </w:pPr>
    </w:p>
    <w:p>
      <w:pPr>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w:t>
      </w:r>
    </w:p>
    <w:p>
      <w:pPr>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pStyle w:val="64"/>
        <w:numPr>
          <w:ilvl w:val="0"/>
          <w:numId w:val="42"/>
        </w:numPr>
        <w:spacing w:before="0"/>
        <w:ind w:firstLine="480" w:firstLineChars="0"/>
        <w:rPr>
          <w:rFonts w:ascii="宋体"/>
          <w:color w:val="auto"/>
          <w:highlight w:val="none"/>
        </w:rPr>
      </w:pPr>
      <w:r>
        <w:rPr>
          <w:rFonts w:hint="eastAsia" w:ascii="宋体" w:hAnsi="宋体" w:cs="宋体"/>
          <w:color w:val="auto"/>
          <w:highlight w:val="none"/>
        </w:rPr>
        <w:t>评分对应表（格式见附件，主要用于评委对应评分内容）</w:t>
      </w:r>
    </w:p>
    <w:p>
      <w:pPr>
        <w:pStyle w:val="64"/>
        <w:numPr>
          <w:ilvl w:val="0"/>
          <w:numId w:val="42"/>
        </w:numPr>
        <w:spacing w:before="0"/>
        <w:ind w:firstLine="480" w:firstLineChars="0"/>
        <w:rPr>
          <w:rFonts w:ascii="宋体"/>
          <w:color w:val="auto"/>
          <w:highlight w:val="none"/>
        </w:rPr>
      </w:pPr>
      <w:r>
        <w:rPr>
          <w:rFonts w:hint="eastAsia" w:ascii="宋体" w:hAnsi="宋体" w:cs="宋体"/>
          <w:color w:val="auto"/>
          <w:highlight w:val="none"/>
        </w:rPr>
        <w:t>供应商商务技术文件中资信分自评表（格式见附件）；</w:t>
      </w:r>
    </w:p>
    <w:p>
      <w:pPr>
        <w:pStyle w:val="64"/>
        <w:numPr>
          <w:ilvl w:val="0"/>
          <w:numId w:val="42"/>
        </w:numPr>
        <w:spacing w:before="0"/>
        <w:ind w:firstLine="480" w:firstLineChars="0"/>
        <w:rPr>
          <w:rFonts w:ascii="宋体"/>
          <w:color w:val="auto"/>
          <w:highlight w:val="none"/>
        </w:rPr>
      </w:pPr>
      <w:r>
        <w:rPr>
          <w:rFonts w:hint="eastAsia" w:ascii="宋体" w:hAnsi="宋体" w:cs="宋体"/>
          <w:color w:val="auto"/>
          <w:highlight w:val="none"/>
        </w:rPr>
        <w:t>技术响应及建议表（格式见附件）；</w:t>
      </w:r>
    </w:p>
    <w:p>
      <w:pPr>
        <w:pStyle w:val="64"/>
        <w:numPr>
          <w:ilvl w:val="0"/>
          <w:numId w:val="42"/>
        </w:numPr>
        <w:spacing w:before="0"/>
        <w:ind w:firstLine="480" w:firstLineChars="0"/>
        <w:rPr>
          <w:rFonts w:ascii="宋体"/>
          <w:color w:val="auto"/>
          <w:highlight w:val="none"/>
        </w:rPr>
      </w:pPr>
      <w:r>
        <w:rPr>
          <w:rFonts w:hint="eastAsia" w:ascii="宋体" w:hAnsi="宋体" w:cs="宋体"/>
          <w:color w:val="auto"/>
          <w:highlight w:val="none"/>
        </w:rPr>
        <w:t>商务响应表（格式见附件）；</w:t>
      </w:r>
    </w:p>
    <w:p>
      <w:pPr>
        <w:pStyle w:val="64"/>
        <w:numPr>
          <w:ilvl w:val="0"/>
          <w:numId w:val="42"/>
        </w:numPr>
        <w:spacing w:before="0"/>
        <w:ind w:firstLine="480" w:firstLineChars="0"/>
        <w:rPr>
          <w:rFonts w:ascii="宋体" w:hAnsi="宋体" w:cs="宋体"/>
          <w:color w:val="auto"/>
          <w:highlight w:val="none"/>
        </w:rPr>
      </w:pPr>
      <w:r>
        <w:rPr>
          <w:rFonts w:hint="eastAsia" w:ascii="宋体" w:hAnsi="宋体" w:cs="宋体"/>
          <w:color w:val="auto"/>
          <w:highlight w:val="none"/>
        </w:rPr>
        <w:t>本项目人员配置情况</w:t>
      </w:r>
    </w:p>
    <w:p>
      <w:pPr>
        <w:pStyle w:val="64"/>
        <w:numPr>
          <w:ilvl w:val="0"/>
          <w:numId w:val="42"/>
        </w:numPr>
        <w:spacing w:before="0"/>
        <w:ind w:firstLine="480" w:firstLineChars="0"/>
        <w:rPr>
          <w:rFonts w:ascii="宋体" w:hAnsi="宋体" w:cs="宋体"/>
          <w:color w:val="auto"/>
          <w:highlight w:val="none"/>
        </w:rPr>
      </w:pPr>
      <w:r>
        <w:rPr>
          <w:rFonts w:hint="eastAsia" w:ascii="宋体" w:hAnsi="宋体" w:cs="宋体"/>
          <w:color w:val="auto"/>
          <w:highlight w:val="none"/>
        </w:rPr>
        <w:t>作业设备能力</w:t>
      </w:r>
    </w:p>
    <w:p>
      <w:pPr>
        <w:pStyle w:val="64"/>
        <w:numPr>
          <w:ilvl w:val="0"/>
          <w:numId w:val="42"/>
        </w:numPr>
        <w:spacing w:before="0"/>
        <w:ind w:firstLine="480" w:firstLineChars="0"/>
        <w:rPr>
          <w:rFonts w:ascii="宋体" w:hAnsi="宋体" w:cs="宋体"/>
          <w:color w:val="auto"/>
          <w:highlight w:val="none"/>
        </w:rPr>
      </w:pPr>
      <w:r>
        <w:rPr>
          <w:rFonts w:hint="eastAsia" w:ascii="宋体" w:hAnsi="宋体" w:cs="宋体"/>
          <w:color w:val="auto"/>
          <w:highlight w:val="none"/>
        </w:rPr>
        <w:t>绿化带保洁方案</w:t>
      </w:r>
    </w:p>
    <w:p>
      <w:pPr>
        <w:pStyle w:val="64"/>
        <w:numPr>
          <w:ilvl w:val="0"/>
          <w:numId w:val="42"/>
        </w:numPr>
        <w:spacing w:before="0"/>
        <w:ind w:firstLine="480" w:firstLineChars="0"/>
        <w:rPr>
          <w:rFonts w:ascii="宋体" w:hAnsi="宋体" w:cs="宋体"/>
          <w:color w:val="auto"/>
          <w:highlight w:val="none"/>
        </w:rPr>
      </w:pPr>
      <w:r>
        <w:rPr>
          <w:rFonts w:hint="eastAsia" w:ascii="宋体" w:hAnsi="宋体" w:cs="宋体"/>
          <w:color w:val="auto"/>
          <w:highlight w:val="none"/>
        </w:rPr>
        <w:t>道路保洁方案</w:t>
      </w:r>
    </w:p>
    <w:p>
      <w:pPr>
        <w:pStyle w:val="64"/>
        <w:numPr>
          <w:ilvl w:val="0"/>
          <w:numId w:val="42"/>
        </w:numPr>
        <w:spacing w:before="0"/>
        <w:ind w:firstLine="480" w:firstLineChars="0"/>
        <w:rPr>
          <w:rFonts w:ascii="宋体" w:hAnsi="宋体" w:cs="宋体"/>
          <w:color w:val="auto"/>
          <w:highlight w:val="none"/>
        </w:rPr>
      </w:pPr>
      <w:r>
        <w:rPr>
          <w:rFonts w:hint="eastAsia" w:ascii="宋体" w:hAnsi="宋体" w:cs="宋体"/>
          <w:color w:val="auto"/>
          <w:highlight w:val="none"/>
        </w:rPr>
        <w:t>特殊时期应急保障方案</w:t>
      </w:r>
    </w:p>
    <w:p>
      <w:pPr>
        <w:pStyle w:val="64"/>
        <w:numPr>
          <w:ilvl w:val="0"/>
          <w:numId w:val="42"/>
        </w:numPr>
        <w:spacing w:before="0"/>
        <w:ind w:firstLine="480" w:firstLineChars="0"/>
        <w:rPr>
          <w:rFonts w:ascii="宋体" w:hAnsi="宋体" w:cs="宋体"/>
          <w:color w:val="auto"/>
          <w:highlight w:val="none"/>
        </w:rPr>
      </w:pPr>
      <w:r>
        <w:rPr>
          <w:rFonts w:hint="eastAsia" w:ascii="宋体" w:hAnsi="宋体" w:cs="宋体"/>
          <w:color w:val="auto"/>
          <w:highlight w:val="none"/>
        </w:rPr>
        <w:t>安全措施及安全教育方案</w:t>
      </w:r>
    </w:p>
    <w:p>
      <w:pPr>
        <w:pStyle w:val="64"/>
        <w:numPr>
          <w:ilvl w:val="0"/>
          <w:numId w:val="42"/>
        </w:numPr>
        <w:spacing w:before="0"/>
        <w:ind w:firstLine="480" w:firstLineChars="0"/>
        <w:rPr>
          <w:rFonts w:ascii="宋体" w:hAnsi="宋体" w:cs="宋体"/>
          <w:color w:val="auto"/>
          <w:highlight w:val="none"/>
        </w:rPr>
      </w:pPr>
      <w:r>
        <w:rPr>
          <w:rFonts w:hint="eastAsia" w:ascii="宋体" w:hAnsi="宋体" w:cs="宋体"/>
          <w:color w:val="auto"/>
          <w:highlight w:val="none"/>
        </w:rPr>
        <w:t>企业业绩</w:t>
      </w:r>
    </w:p>
    <w:p>
      <w:pPr>
        <w:pStyle w:val="64"/>
        <w:numPr>
          <w:ilvl w:val="0"/>
          <w:numId w:val="42"/>
        </w:numPr>
        <w:spacing w:before="0"/>
        <w:ind w:firstLine="480" w:firstLineChars="0"/>
        <w:rPr>
          <w:rFonts w:ascii="宋体" w:hAnsi="宋体" w:cs="宋体"/>
          <w:color w:val="auto"/>
          <w:highlight w:val="none"/>
        </w:rPr>
      </w:pPr>
      <w:r>
        <w:rPr>
          <w:rFonts w:hint="eastAsia" w:ascii="宋体" w:hAnsi="宋体" w:cs="宋体"/>
          <w:color w:val="auto"/>
          <w:highlight w:val="none"/>
        </w:rPr>
        <w:t>现场负责人业绩</w:t>
      </w:r>
    </w:p>
    <w:p>
      <w:pPr>
        <w:pStyle w:val="64"/>
        <w:numPr>
          <w:ilvl w:val="0"/>
          <w:numId w:val="42"/>
        </w:numPr>
        <w:spacing w:before="0"/>
        <w:ind w:firstLine="480" w:firstLineChars="0"/>
        <w:rPr>
          <w:rFonts w:ascii="宋体" w:hAnsi="宋体" w:cs="宋体"/>
          <w:color w:val="auto"/>
          <w:highlight w:val="none"/>
        </w:rPr>
      </w:pPr>
      <w:r>
        <w:rPr>
          <w:rFonts w:hint="eastAsia" w:ascii="宋体" w:hAnsi="宋体" w:cs="宋体"/>
          <w:color w:val="auto"/>
          <w:highlight w:val="none"/>
        </w:rPr>
        <w:t>企业荣誉</w:t>
      </w:r>
    </w:p>
    <w:p>
      <w:pPr>
        <w:pStyle w:val="64"/>
        <w:numPr>
          <w:ilvl w:val="0"/>
          <w:numId w:val="42"/>
        </w:numPr>
        <w:spacing w:before="0"/>
        <w:ind w:firstLine="480" w:firstLineChars="0"/>
        <w:rPr>
          <w:rFonts w:ascii="宋体" w:hAnsi="宋体" w:cs="宋体"/>
          <w:color w:val="auto"/>
          <w:highlight w:val="none"/>
        </w:rPr>
      </w:pPr>
      <w:r>
        <w:rPr>
          <w:rFonts w:hint="eastAsia" w:ascii="宋体" w:hAnsi="宋体" w:cs="宋体"/>
          <w:color w:val="auto"/>
          <w:highlight w:val="none"/>
        </w:rPr>
        <w:t>认证</w:t>
      </w:r>
    </w:p>
    <w:p>
      <w:pPr>
        <w:pStyle w:val="64"/>
        <w:numPr>
          <w:ilvl w:val="0"/>
          <w:numId w:val="42"/>
        </w:numPr>
        <w:spacing w:before="0"/>
        <w:ind w:firstLine="480" w:firstLineChars="0"/>
        <w:rPr>
          <w:rFonts w:ascii="宋体"/>
          <w:color w:val="auto"/>
          <w:highlight w:val="none"/>
        </w:rPr>
      </w:pPr>
      <w:r>
        <w:rPr>
          <w:rFonts w:hint="eastAsia" w:ascii="宋体" w:hAnsi="宋体" w:cs="宋体"/>
          <w:color w:val="auto"/>
          <w:highlight w:val="none"/>
        </w:rPr>
        <w:t>供应商认为需要的其他文件资料。</w:t>
      </w:r>
    </w:p>
    <w:p>
      <w:pPr>
        <w:pStyle w:val="64"/>
        <w:spacing w:before="0"/>
        <w:ind w:left="420" w:firstLine="0" w:firstLineChars="0"/>
        <w:rPr>
          <w:rFonts w:ascii="宋体"/>
          <w:color w:val="auto"/>
          <w:highlight w:val="none"/>
        </w:rPr>
      </w:pPr>
    </w:p>
    <w:p>
      <w:pPr>
        <w:pStyle w:val="64"/>
        <w:spacing w:before="0"/>
        <w:ind w:left="420" w:leftChars="200" w:firstLine="0" w:firstLineChars="0"/>
        <w:rPr>
          <w:rFonts w:ascii="宋体"/>
          <w:color w:val="auto"/>
          <w:highlight w:val="none"/>
        </w:rPr>
      </w:pPr>
    </w:p>
    <w:p>
      <w:pPr>
        <w:pStyle w:val="12"/>
        <w:ind w:firstLine="566"/>
        <w:rPr>
          <w:rFonts w:ascii="宋体" w:hAnsi="宋体" w:cs="宋体"/>
          <w:color w:val="auto"/>
          <w:sz w:val="28"/>
          <w:szCs w:val="28"/>
          <w:highlight w:val="none"/>
        </w:rPr>
      </w:pPr>
    </w:p>
    <w:p>
      <w:pPr>
        <w:pStyle w:val="12"/>
        <w:rPr>
          <w:rFonts w:ascii="宋体" w:hAnsi="宋体" w:cs="宋体"/>
          <w:color w:val="auto"/>
          <w:sz w:val="28"/>
          <w:szCs w:val="28"/>
          <w:highlight w:val="none"/>
        </w:rPr>
      </w:pPr>
    </w:p>
    <w:p>
      <w:pPr>
        <w:pStyle w:val="12"/>
        <w:rPr>
          <w:rFonts w:ascii="宋体" w:hAnsi="宋体" w:cs="宋体"/>
          <w:color w:val="auto"/>
          <w:sz w:val="28"/>
          <w:szCs w:val="28"/>
          <w:highlight w:val="none"/>
        </w:rPr>
      </w:pPr>
    </w:p>
    <w:p>
      <w:pPr>
        <w:pStyle w:val="12"/>
        <w:rPr>
          <w:rFonts w:ascii="宋体" w:hAnsi="宋体" w:cs="宋体"/>
          <w:color w:val="auto"/>
          <w:sz w:val="28"/>
          <w:szCs w:val="28"/>
          <w:highlight w:val="none"/>
        </w:rPr>
      </w:pPr>
    </w:p>
    <w:p>
      <w:pPr>
        <w:pStyle w:val="12"/>
        <w:rPr>
          <w:rFonts w:ascii="宋体" w:hAnsi="宋体" w:cs="宋体"/>
          <w:color w:val="auto"/>
          <w:sz w:val="28"/>
          <w:szCs w:val="28"/>
          <w:highlight w:val="none"/>
        </w:rPr>
      </w:pPr>
    </w:p>
    <w:p>
      <w:pPr>
        <w:pStyle w:val="12"/>
        <w:rPr>
          <w:rFonts w:ascii="宋体" w:hAnsi="宋体" w:cs="宋体"/>
          <w:color w:val="auto"/>
          <w:sz w:val="28"/>
          <w:szCs w:val="28"/>
          <w:highlight w:val="none"/>
        </w:rPr>
      </w:pPr>
    </w:p>
    <w:p>
      <w:pPr>
        <w:pStyle w:val="12"/>
        <w:ind w:left="0" w:leftChars="0"/>
        <w:jc w:val="left"/>
        <w:rPr>
          <w:rFonts w:ascii="宋体" w:hAnsi="宋体" w:cs="宋体"/>
          <w:b/>
          <w:bCs/>
          <w:color w:val="auto"/>
          <w:sz w:val="24"/>
          <w:highlight w:val="none"/>
          <w:lang w:val="zh-CN"/>
        </w:rPr>
      </w:pPr>
      <w:bookmarkStart w:id="446" w:name="_Toc10131"/>
      <w:r>
        <w:rPr>
          <w:rFonts w:hint="eastAsia" w:ascii="宋体" w:hAnsi="宋体" w:cs="宋体"/>
          <w:b/>
          <w:bCs/>
          <w:color w:val="auto"/>
          <w:sz w:val="24"/>
          <w:highlight w:val="none"/>
          <w:lang w:val="zh-CN"/>
        </w:rPr>
        <w:t>附件三：</w:t>
      </w:r>
    </w:p>
    <w:p>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评分对应表</w:t>
      </w:r>
    </w:p>
    <w:p>
      <w:pPr>
        <w:snapToGrid w:val="0"/>
        <w:spacing w:before="50"/>
        <w:jc w:val="center"/>
        <w:rPr>
          <w:rFonts w:ascii="宋体" w:hAnsi="宋体" w:cs="宋体"/>
          <w:b/>
          <w:color w:val="auto"/>
          <w:sz w:val="32"/>
          <w:szCs w:val="32"/>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项目名称：</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采购编号：</w:t>
      </w:r>
    </w:p>
    <w:tbl>
      <w:tblPr>
        <w:tblStyle w:val="30"/>
        <w:tblW w:w="892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97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 w:val="24"/>
                <w:highlight w:val="none"/>
              </w:rPr>
            </w:pPr>
            <w:r>
              <w:rPr>
                <w:rFonts w:hint="eastAsia" w:ascii="宋体" w:hAnsi="宋体" w:cs="宋体"/>
                <w:color w:val="auto"/>
                <w:sz w:val="24"/>
                <w:highlight w:val="none"/>
              </w:rPr>
              <w:t>评分项目</w:t>
            </w:r>
          </w:p>
        </w:tc>
        <w:tc>
          <w:tcPr>
            <w:tcW w:w="306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 w:val="24"/>
                <w:highlight w:val="none"/>
              </w:rPr>
            </w:pPr>
            <w:r>
              <w:rPr>
                <w:rFonts w:hint="eastAsia" w:ascii="宋体" w:hAnsi="宋体" w:cs="宋体"/>
                <w:color w:val="auto"/>
                <w:sz w:val="24"/>
                <w:highlight w:val="none"/>
              </w:rPr>
              <w:t>投标文件对应资料</w:t>
            </w:r>
          </w:p>
        </w:tc>
        <w:tc>
          <w:tcPr>
            <w:tcW w:w="197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 w:val="24"/>
                <w:highlight w:val="none"/>
              </w:rPr>
            </w:pPr>
            <w:r>
              <w:rPr>
                <w:rFonts w:hint="eastAsia" w:ascii="宋体" w:hAnsi="宋体" w:cs="宋体"/>
                <w:color w:val="auto"/>
                <w:sz w:val="24"/>
                <w:highlight w:val="none"/>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 w:val="24"/>
                <w:highlight w:val="none"/>
              </w:rPr>
            </w:pPr>
            <w:r>
              <w:rPr>
                <w:rFonts w:hint="eastAsia" w:ascii="宋体" w:hAnsi="宋体" w:cs="宋体"/>
                <w:color w:val="auto"/>
                <w:sz w:val="24"/>
                <w:highlight w:val="none"/>
              </w:rPr>
              <w:t>对应评分办法及评分标准</w:t>
            </w:r>
          </w:p>
          <w:p>
            <w:pPr>
              <w:jc w:val="center"/>
              <w:rPr>
                <w:rFonts w:ascii="宋体" w:hAnsi="宋体" w:cs="宋体"/>
                <w:color w:val="auto"/>
                <w:sz w:val="24"/>
                <w:highlight w:val="none"/>
              </w:rPr>
            </w:pPr>
            <w:r>
              <w:rPr>
                <w:rFonts w:hint="eastAsia" w:ascii="宋体" w:hAnsi="宋体" w:cs="宋体"/>
                <w:color w:val="auto"/>
                <w:sz w:val="24"/>
                <w:highlight w:val="none"/>
              </w:rPr>
              <w:t>（报价除外）</w:t>
            </w:r>
          </w:p>
        </w:tc>
        <w:tc>
          <w:tcPr>
            <w:tcW w:w="306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 w:val="24"/>
                <w:highlight w:val="none"/>
              </w:rPr>
            </w:pPr>
          </w:p>
        </w:tc>
        <w:tc>
          <w:tcPr>
            <w:tcW w:w="197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 w:val="24"/>
                <w:highlight w:val="none"/>
              </w:rPr>
            </w:pPr>
            <w:r>
              <w:rPr>
                <w:rFonts w:hint="eastAsia" w:ascii="宋体" w:hAnsi="宋体" w:cs="宋体"/>
                <w:color w:val="auto"/>
                <w:sz w:val="24"/>
                <w:highlight w:val="none"/>
              </w:rPr>
              <w:t>……</w:t>
            </w:r>
          </w:p>
        </w:tc>
        <w:tc>
          <w:tcPr>
            <w:tcW w:w="306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 w:val="24"/>
                <w:highlight w:val="none"/>
              </w:rPr>
            </w:pPr>
          </w:p>
        </w:tc>
        <w:tc>
          <w:tcPr>
            <w:tcW w:w="197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 w:val="24"/>
                <w:highlight w:val="none"/>
              </w:rPr>
            </w:pPr>
          </w:p>
        </w:tc>
        <w:tc>
          <w:tcPr>
            <w:tcW w:w="306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 w:val="24"/>
                <w:highlight w:val="none"/>
              </w:rPr>
            </w:pPr>
          </w:p>
        </w:tc>
        <w:tc>
          <w:tcPr>
            <w:tcW w:w="197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jc w:val="center"/>
              <w:rPr>
                <w:rFonts w:ascii="宋体" w:hAnsi="宋体" w:cs="宋体"/>
                <w:color w:val="auto"/>
                <w:sz w:val="24"/>
                <w:highlight w:val="none"/>
              </w:rPr>
            </w:pPr>
          </w:p>
        </w:tc>
        <w:tc>
          <w:tcPr>
            <w:tcW w:w="3060"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jc w:val="center"/>
              <w:rPr>
                <w:rFonts w:ascii="宋体" w:hAnsi="宋体" w:cs="宋体"/>
                <w:color w:val="auto"/>
                <w:sz w:val="24"/>
                <w:highlight w:val="none"/>
              </w:rPr>
            </w:pPr>
          </w:p>
        </w:tc>
        <w:tc>
          <w:tcPr>
            <w:tcW w:w="1977"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jc w:val="center"/>
              <w:rPr>
                <w:rFonts w:ascii="宋体" w:hAnsi="宋体" w:cs="宋体"/>
                <w:color w:val="auto"/>
                <w:sz w:val="24"/>
                <w:highlight w:val="none"/>
              </w:rPr>
            </w:pPr>
          </w:p>
        </w:tc>
        <w:tc>
          <w:tcPr>
            <w:tcW w:w="3060"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jc w:val="center"/>
              <w:rPr>
                <w:rFonts w:ascii="宋体" w:hAnsi="宋体" w:cs="宋体"/>
                <w:color w:val="auto"/>
                <w:sz w:val="24"/>
                <w:highlight w:val="none"/>
              </w:rPr>
            </w:pPr>
          </w:p>
        </w:tc>
        <w:tc>
          <w:tcPr>
            <w:tcW w:w="1977"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jc w:val="center"/>
              <w:rPr>
                <w:rFonts w:ascii="宋体" w:hAnsi="宋体" w:cs="宋体"/>
                <w:color w:val="auto"/>
                <w:sz w:val="24"/>
                <w:highlight w:val="none"/>
              </w:rPr>
            </w:pPr>
          </w:p>
        </w:tc>
        <w:tc>
          <w:tcPr>
            <w:tcW w:w="3060"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jc w:val="center"/>
              <w:rPr>
                <w:rFonts w:ascii="宋体" w:hAnsi="宋体" w:cs="宋体"/>
                <w:color w:val="auto"/>
                <w:sz w:val="24"/>
                <w:highlight w:val="none"/>
              </w:rPr>
            </w:pPr>
          </w:p>
        </w:tc>
        <w:tc>
          <w:tcPr>
            <w:tcW w:w="1977"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jc w:val="center"/>
              <w:rPr>
                <w:rFonts w:ascii="宋体" w:hAnsi="宋体" w:cs="宋体"/>
                <w:color w:val="auto"/>
                <w:sz w:val="24"/>
                <w:highlight w:val="none"/>
              </w:rPr>
            </w:pPr>
          </w:p>
        </w:tc>
        <w:tc>
          <w:tcPr>
            <w:tcW w:w="3060"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jc w:val="center"/>
              <w:rPr>
                <w:rFonts w:ascii="宋体" w:hAnsi="宋体" w:cs="宋体"/>
                <w:color w:val="auto"/>
                <w:sz w:val="24"/>
                <w:highlight w:val="none"/>
              </w:rPr>
            </w:pPr>
          </w:p>
        </w:tc>
        <w:tc>
          <w:tcPr>
            <w:tcW w:w="1977"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jc w:val="center"/>
              <w:rPr>
                <w:rFonts w:ascii="宋体" w:hAnsi="宋体" w:cs="宋体"/>
                <w:color w:val="auto"/>
                <w:sz w:val="24"/>
                <w:highlight w:val="none"/>
              </w:rPr>
            </w:pPr>
          </w:p>
        </w:tc>
      </w:tr>
    </w:tbl>
    <w:p>
      <w:pPr>
        <w:spacing w:line="360" w:lineRule="auto"/>
        <w:ind w:firstLine="480" w:firstLineChars="200"/>
        <w:rPr>
          <w:rFonts w:ascii="宋体" w:hAnsi="宋体" w:cs="宋体"/>
          <w:color w:val="auto"/>
          <w:sz w:val="24"/>
          <w:highlight w:val="none"/>
        </w:rPr>
      </w:pPr>
    </w:p>
    <w:p>
      <w:pPr>
        <w:pStyle w:val="27"/>
        <w:rPr>
          <w:rFonts w:ascii="宋体" w:hAnsi="宋体" w:cs="宋体"/>
          <w:color w:val="auto"/>
          <w:highlight w:val="none"/>
        </w:rPr>
      </w:pPr>
    </w:p>
    <w:p>
      <w:pPr>
        <w:rPr>
          <w:color w:val="auto"/>
          <w:highlight w:val="none"/>
        </w:rPr>
      </w:pPr>
    </w:p>
    <w:p>
      <w:pPr>
        <w:pStyle w:val="15"/>
        <w:spacing w:line="420" w:lineRule="auto"/>
        <w:rPr>
          <w:rFonts w:hAnsi="宋体" w:cs="宋体"/>
          <w:color w:val="auto"/>
          <w:sz w:val="24"/>
          <w:highlight w:val="none"/>
        </w:rPr>
      </w:pPr>
      <w:r>
        <w:rPr>
          <w:rFonts w:hint="eastAsia" w:hAnsi="宋体" w:cs="宋体"/>
          <w:color w:val="auto"/>
          <w:sz w:val="24"/>
          <w:highlight w:val="none"/>
        </w:rPr>
        <w:t xml:space="preserve">                                  投标人全称（盖章）：</w:t>
      </w:r>
    </w:p>
    <w:p>
      <w:pPr>
        <w:pStyle w:val="15"/>
        <w:spacing w:line="420" w:lineRule="auto"/>
        <w:rPr>
          <w:rFonts w:hAnsi="宋体" w:cs="宋体"/>
          <w:color w:val="auto"/>
          <w:sz w:val="24"/>
          <w:highlight w:val="none"/>
        </w:rPr>
      </w:pPr>
      <w:r>
        <w:rPr>
          <w:rFonts w:hint="eastAsia" w:hAnsi="宋体" w:cs="宋体"/>
          <w:color w:val="auto"/>
          <w:sz w:val="24"/>
          <w:highlight w:val="none"/>
        </w:rPr>
        <w:t xml:space="preserve">                                  法定代表人或授权委托人（签字或盖章）：</w:t>
      </w:r>
    </w:p>
    <w:p>
      <w:pPr>
        <w:spacing w:line="420" w:lineRule="auto"/>
        <w:ind w:firstLine="4080" w:firstLineChars="1700"/>
        <w:rPr>
          <w:rFonts w:ascii="宋体" w:hAnsi="宋体" w:cs="宋体"/>
          <w:color w:val="auto"/>
          <w:sz w:val="36"/>
          <w:highlight w:val="none"/>
        </w:rPr>
      </w:pPr>
      <w:r>
        <w:rPr>
          <w:rFonts w:hint="eastAsia" w:ascii="宋体" w:hAnsi="宋体" w:cs="宋体"/>
          <w:color w:val="auto"/>
          <w:sz w:val="24"/>
          <w:highlight w:val="none"/>
        </w:rPr>
        <w:t>日   期：</w:t>
      </w:r>
    </w:p>
    <w:p>
      <w:pPr>
        <w:pStyle w:val="2"/>
        <w:rPr>
          <w:rFonts w:hAnsi="宋体" w:cs="宋体"/>
          <w:bCs/>
          <w:color w:val="auto"/>
          <w:sz w:val="24"/>
          <w:szCs w:val="24"/>
          <w:highlight w:val="none"/>
        </w:rPr>
      </w:pPr>
      <w:r>
        <w:rPr>
          <w:rFonts w:hint="eastAsia" w:hAnsi="宋体" w:cs="宋体"/>
          <w:bCs/>
          <w:color w:val="auto"/>
          <w:sz w:val="24"/>
          <w:szCs w:val="24"/>
          <w:highlight w:val="none"/>
        </w:rPr>
        <w:br w:type="page"/>
      </w:r>
      <w:r>
        <w:rPr>
          <w:rFonts w:hint="eastAsia" w:hAnsi="宋体" w:cs="宋体"/>
          <w:bCs/>
          <w:color w:val="auto"/>
          <w:sz w:val="24"/>
          <w:szCs w:val="24"/>
          <w:highlight w:val="none"/>
        </w:rPr>
        <w:t>附件四：</w:t>
      </w:r>
    </w:p>
    <w:p>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投标人商务技术文件中资信分自评表</w:t>
      </w:r>
      <w:bookmarkEnd w:id="446"/>
    </w:p>
    <w:p>
      <w:pPr>
        <w:snapToGrid w:val="0"/>
        <w:spacing w:before="50"/>
        <w:jc w:val="center"/>
        <w:rPr>
          <w:rFonts w:ascii="宋体" w:hAnsi="宋体" w:cs="宋体"/>
          <w:b/>
          <w:color w:val="auto"/>
          <w:sz w:val="32"/>
          <w:szCs w:val="32"/>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项目名称：</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采购编号：</w:t>
      </w:r>
    </w:p>
    <w:tbl>
      <w:tblPr>
        <w:tblStyle w:val="3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2"/>
        <w:gridCol w:w="2387"/>
        <w:gridCol w:w="1462"/>
        <w:gridCol w:w="2415"/>
        <w:gridCol w:w="1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noWrap/>
            <w:vAlign w:val="center"/>
          </w:tcPr>
          <w:p>
            <w:pPr>
              <w:jc w:val="center"/>
              <w:rPr>
                <w:rFonts w:ascii="宋体" w:hAnsi="宋体" w:cs="宋体"/>
                <w:color w:val="auto"/>
                <w:sz w:val="24"/>
                <w:highlight w:val="none"/>
              </w:rPr>
            </w:pPr>
            <w:r>
              <w:rPr>
                <w:rFonts w:hint="eastAsia" w:ascii="宋体" w:hAnsi="宋体" w:cs="宋体"/>
                <w:color w:val="auto"/>
                <w:sz w:val="24"/>
                <w:highlight w:val="none"/>
              </w:rPr>
              <w:t>序号</w:t>
            </w:r>
          </w:p>
        </w:tc>
        <w:tc>
          <w:tcPr>
            <w:tcW w:w="2387" w:type="dxa"/>
            <w:noWrap/>
            <w:vAlign w:val="center"/>
          </w:tcPr>
          <w:p>
            <w:pPr>
              <w:jc w:val="center"/>
              <w:rPr>
                <w:rFonts w:ascii="宋体" w:hAnsi="宋体" w:cs="宋体"/>
                <w:color w:val="auto"/>
                <w:sz w:val="24"/>
                <w:highlight w:val="none"/>
              </w:rPr>
            </w:pPr>
            <w:r>
              <w:rPr>
                <w:rFonts w:hint="eastAsia" w:ascii="宋体" w:hAnsi="宋体" w:cs="宋体"/>
                <w:color w:val="auto"/>
                <w:sz w:val="24"/>
                <w:highlight w:val="none"/>
              </w:rPr>
              <w:t>资信分内容</w:t>
            </w:r>
          </w:p>
        </w:tc>
        <w:tc>
          <w:tcPr>
            <w:tcW w:w="1462" w:type="dxa"/>
            <w:noWrap/>
            <w:vAlign w:val="center"/>
          </w:tcPr>
          <w:p>
            <w:pPr>
              <w:jc w:val="center"/>
              <w:rPr>
                <w:rFonts w:ascii="宋体" w:hAnsi="宋体" w:cs="宋体"/>
                <w:color w:val="auto"/>
                <w:sz w:val="24"/>
                <w:highlight w:val="none"/>
              </w:rPr>
            </w:pPr>
            <w:r>
              <w:rPr>
                <w:rFonts w:hint="eastAsia" w:ascii="宋体" w:hAnsi="宋体" w:cs="宋体"/>
                <w:color w:val="auto"/>
                <w:sz w:val="24"/>
                <w:highlight w:val="none"/>
              </w:rPr>
              <w:t>自评得分</w:t>
            </w:r>
          </w:p>
        </w:tc>
        <w:tc>
          <w:tcPr>
            <w:tcW w:w="2415" w:type="dxa"/>
            <w:tcBorders>
              <w:right w:val="single" w:color="auto" w:sz="4" w:space="0"/>
            </w:tcBorders>
            <w:noWrap/>
            <w:vAlign w:val="center"/>
          </w:tcPr>
          <w:p>
            <w:pPr>
              <w:jc w:val="center"/>
              <w:rPr>
                <w:rFonts w:ascii="宋体" w:hAnsi="宋体" w:cs="宋体"/>
                <w:color w:val="auto"/>
                <w:sz w:val="24"/>
                <w:highlight w:val="none"/>
              </w:rPr>
            </w:pPr>
            <w:r>
              <w:rPr>
                <w:rFonts w:hint="eastAsia" w:ascii="宋体" w:hAnsi="宋体" w:cs="宋体"/>
                <w:color w:val="auto"/>
                <w:sz w:val="24"/>
                <w:highlight w:val="none"/>
              </w:rPr>
              <w:t>投标文件对应资料</w:t>
            </w:r>
          </w:p>
        </w:tc>
        <w:tc>
          <w:tcPr>
            <w:tcW w:w="1746" w:type="dxa"/>
            <w:tcBorders>
              <w:left w:val="single" w:color="auto" w:sz="4" w:space="0"/>
            </w:tcBorders>
            <w:noWrap/>
            <w:vAlign w:val="center"/>
          </w:tcPr>
          <w:p>
            <w:pPr>
              <w:jc w:val="center"/>
              <w:rPr>
                <w:rFonts w:ascii="宋体" w:hAnsi="宋体" w:cs="宋体"/>
                <w:color w:val="auto"/>
                <w:sz w:val="24"/>
                <w:highlight w:val="none"/>
              </w:rPr>
            </w:pPr>
            <w:r>
              <w:rPr>
                <w:rFonts w:hint="eastAsia" w:ascii="宋体" w:hAnsi="宋体" w:cs="宋体"/>
                <w:color w:val="auto"/>
                <w:sz w:val="24"/>
                <w:highlight w:val="none"/>
              </w:rPr>
              <w:t>投标文件页码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noWrap/>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2387" w:type="dxa"/>
            <w:noWrap/>
          </w:tcPr>
          <w:p>
            <w:pPr>
              <w:jc w:val="center"/>
              <w:rPr>
                <w:rFonts w:ascii="宋体" w:hAnsi="宋体" w:cs="宋体"/>
                <w:color w:val="auto"/>
                <w:sz w:val="24"/>
                <w:highlight w:val="none"/>
              </w:rPr>
            </w:pPr>
          </w:p>
        </w:tc>
        <w:tc>
          <w:tcPr>
            <w:tcW w:w="1462" w:type="dxa"/>
            <w:noWrap/>
          </w:tcPr>
          <w:p>
            <w:pPr>
              <w:jc w:val="center"/>
              <w:rPr>
                <w:rFonts w:ascii="宋体" w:hAnsi="宋体" w:cs="宋体"/>
                <w:color w:val="auto"/>
                <w:sz w:val="24"/>
                <w:highlight w:val="none"/>
              </w:rPr>
            </w:pPr>
          </w:p>
        </w:tc>
        <w:tc>
          <w:tcPr>
            <w:tcW w:w="2415" w:type="dxa"/>
            <w:tcBorders>
              <w:right w:val="single" w:color="auto" w:sz="4" w:space="0"/>
            </w:tcBorders>
            <w:noWrap/>
          </w:tcPr>
          <w:p>
            <w:pPr>
              <w:jc w:val="center"/>
              <w:rPr>
                <w:rFonts w:ascii="宋体" w:hAnsi="宋体" w:cs="宋体"/>
                <w:color w:val="auto"/>
                <w:sz w:val="24"/>
                <w:highlight w:val="none"/>
              </w:rPr>
            </w:pPr>
          </w:p>
        </w:tc>
        <w:tc>
          <w:tcPr>
            <w:tcW w:w="1746" w:type="dxa"/>
            <w:tcBorders>
              <w:left w:val="single" w:color="auto" w:sz="4" w:space="0"/>
            </w:tcBorders>
            <w:noWrap/>
          </w:tcPr>
          <w:p>
            <w:pPr>
              <w:jc w:val="center"/>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noWrap/>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2387" w:type="dxa"/>
            <w:noWrap/>
          </w:tcPr>
          <w:p>
            <w:pPr>
              <w:jc w:val="center"/>
              <w:rPr>
                <w:rFonts w:ascii="宋体" w:hAnsi="宋体" w:cs="宋体"/>
                <w:color w:val="auto"/>
                <w:sz w:val="24"/>
                <w:highlight w:val="none"/>
              </w:rPr>
            </w:pPr>
          </w:p>
        </w:tc>
        <w:tc>
          <w:tcPr>
            <w:tcW w:w="1462" w:type="dxa"/>
            <w:noWrap/>
          </w:tcPr>
          <w:p>
            <w:pPr>
              <w:jc w:val="center"/>
              <w:rPr>
                <w:rFonts w:ascii="宋体" w:hAnsi="宋体" w:cs="宋体"/>
                <w:color w:val="auto"/>
                <w:sz w:val="24"/>
                <w:highlight w:val="none"/>
              </w:rPr>
            </w:pPr>
          </w:p>
        </w:tc>
        <w:tc>
          <w:tcPr>
            <w:tcW w:w="2415" w:type="dxa"/>
            <w:tcBorders>
              <w:right w:val="single" w:color="auto" w:sz="4" w:space="0"/>
            </w:tcBorders>
            <w:noWrap/>
          </w:tcPr>
          <w:p>
            <w:pPr>
              <w:jc w:val="center"/>
              <w:rPr>
                <w:rFonts w:ascii="宋体" w:hAnsi="宋体" w:cs="宋体"/>
                <w:color w:val="auto"/>
                <w:sz w:val="24"/>
                <w:highlight w:val="none"/>
              </w:rPr>
            </w:pPr>
          </w:p>
        </w:tc>
        <w:tc>
          <w:tcPr>
            <w:tcW w:w="1746" w:type="dxa"/>
            <w:tcBorders>
              <w:left w:val="single" w:color="auto" w:sz="4" w:space="0"/>
            </w:tcBorders>
            <w:noWrap/>
          </w:tcPr>
          <w:p>
            <w:pPr>
              <w:jc w:val="center"/>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noWrap/>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2387" w:type="dxa"/>
            <w:noWrap/>
          </w:tcPr>
          <w:p>
            <w:pPr>
              <w:jc w:val="center"/>
              <w:rPr>
                <w:rFonts w:ascii="宋体" w:hAnsi="宋体" w:cs="宋体"/>
                <w:color w:val="auto"/>
                <w:sz w:val="24"/>
                <w:highlight w:val="none"/>
              </w:rPr>
            </w:pPr>
          </w:p>
        </w:tc>
        <w:tc>
          <w:tcPr>
            <w:tcW w:w="1462" w:type="dxa"/>
            <w:noWrap/>
          </w:tcPr>
          <w:p>
            <w:pPr>
              <w:jc w:val="center"/>
              <w:rPr>
                <w:rFonts w:ascii="宋体" w:hAnsi="宋体" w:cs="宋体"/>
                <w:color w:val="auto"/>
                <w:sz w:val="24"/>
                <w:highlight w:val="none"/>
              </w:rPr>
            </w:pPr>
          </w:p>
        </w:tc>
        <w:tc>
          <w:tcPr>
            <w:tcW w:w="2415" w:type="dxa"/>
            <w:tcBorders>
              <w:right w:val="single" w:color="auto" w:sz="4" w:space="0"/>
            </w:tcBorders>
            <w:noWrap/>
          </w:tcPr>
          <w:p>
            <w:pPr>
              <w:jc w:val="center"/>
              <w:rPr>
                <w:rFonts w:ascii="宋体" w:hAnsi="宋体" w:cs="宋体"/>
                <w:color w:val="auto"/>
                <w:sz w:val="24"/>
                <w:highlight w:val="none"/>
              </w:rPr>
            </w:pPr>
          </w:p>
        </w:tc>
        <w:tc>
          <w:tcPr>
            <w:tcW w:w="1746" w:type="dxa"/>
            <w:tcBorders>
              <w:left w:val="single" w:color="auto" w:sz="4" w:space="0"/>
            </w:tcBorders>
            <w:noWrap/>
          </w:tcPr>
          <w:p>
            <w:pPr>
              <w:jc w:val="center"/>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noWrap/>
            <w:vAlign w:val="center"/>
          </w:tcPr>
          <w:p>
            <w:pPr>
              <w:jc w:val="center"/>
              <w:rPr>
                <w:rFonts w:ascii="宋体" w:hAnsi="宋体" w:cs="宋体"/>
                <w:color w:val="auto"/>
                <w:sz w:val="24"/>
                <w:highlight w:val="none"/>
              </w:rPr>
            </w:pPr>
            <w:r>
              <w:rPr>
                <w:rFonts w:hint="eastAsia" w:ascii="宋体" w:hAnsi="宋体" w:cs="宋体"/>
                <w:color w:val="auto"/>
                <w:sz w:val="24"/>
                <w:highlight w:val="none"/>
              </w:rPr>
              <w:t>4</w:t>
            </w:r>
          </w:p>
        </w:tc>
        <w:tc>
          <w:tcPr>
            <w:tcW w:w="2387" w:type="dxa"/>
            <w:noWrap/>
          </w:tcPr>
          <w:p>
            <w:pPr>
              <w:jc w:val="center"/>
              <w:rPr>
                <w:rFonts w:ascii="宋体" w:hAnsi="宋体" w:cs="宋体"/>
                <w:color w:val="auto"/>
                <w:sz w:val="24"/>
                <w:highlight w:val="none"/>
              </w:rPr>
            </w:pPr>
          </w:p>
        </w:tc>
        <w:tc>
          <w:tcPr>
            <w:tcW w:w="1462" w:type="dxa"/>
            <w:noWrap/>
          </w:tcPr>
          <w:p>
            <w:pPr>
              <w:jc w:val="center"/>
              <w:rPr>
                <w:rFonts w:ascii="宋体" w:hAnsi="宋体" w:cs="宋体"/>
                <w:color w:val="auto"/>
                <w:sz w:val="24"/>
                <w:highlight w:val="none"/>
              </w:rPr>
            </w:pPr>
          </w:p>
        </w:tc>
        <w:tc>
          <w:tcPr>
            <w:tcW w:w="2415" w:type="dxa"/>
            <w:tcBorders>
              <w:right w:val="single" w:color="auto" w:sz="4" w:space="0"/>
            </w:tcBorders>
            <w:noWrap/>
          </w:tcPr>
          <w:p>
            <w:pPr>
              <w:jc w:val="center"/>
              <w:rPr>
                <w:rFonts w:ascii="宋体" w:hAnsi="宋体" w:cs="宋体"/>
                <w:color w:val="auto"/>
                <w:sz w:val="24"/>
                <w:highlight w:val="none"/>
              </w:rPr>
            </w:pPr>
          </w:p>
        </w:tc>
        <w:tc>
          <w:tcPr>
            <w:tcW w:w="1746" w:type="dxa"/>
            <w:tcBorders>
              <w:left w:val="single" w:color="auto" w:sz="4" w:space="0"/>
            </w:tcBorders>
            <w:noWrap/>
          </w:tcPr>
          <w:p>
            <w:pPr>
              <w:jc w:val="center"/>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noWrap/>
            <w:vAlign w:val="center"/>
          </w:tcPr>
          <w:p>
            <w:pPr>
              <w:jc w:val="center"/>
              <w:rPr>
                <w:rFonts w:ascii="宋体" w:hAnsi="宋体" w:cs="宋体"/>
                <w:color w:val="auto"/>
                <w:sz w:val="24"/>
                <w:highlight w:val="none"/>
              </w:rPr>
            </w:pPr>
            <w:r>
              <w:rPr>
                <w:rFonts w:hint="eastAsia" w:ascii="宋体" w:hAnsi="宋体" w:cs="宋体"/>
                <w:color w:val="auto"/>
                <w:sz w:val="24"/>
                <w:highlight w:val="none"/>
              </w:rPr>
              <w:t>5</w:t>
            </w:r>
          </w:p>
        </w:tc>
        <w:tc>
          <w:tcPr>
            <w:tcW w:w="2387" w:type="dxa"/>
            <w:noWrap/>
          </w:tcPr>
          <w:p>
            <w:pPr>
              <w:jc w:val="center"/>
              <w:rPr>
                <w:rFonts w:ascii="宋体" w:hAnsi="宋体" w:cs="宋体"/>
                <w:color w:val="auto"/>
                <w:sz w:val="24"/>
                <w:highlight w:val="none"/>
              </w:rPr>
            </w:pPr>
          </w:p>
        </w:tc>
        <w:tc>
          <w:tcPr>
            <w:tcW w:w="1462" w:type="dxa"/>
            <w:noWrap/>
          </w:tcPr>
          <w:p>
            <w:pPr>
              <w:jc w:val="center"/>
              <w:rPr>
                <w:rFonts w:ascii="宋体" w:hAnsi="宋体" w:cs="宋体"/>
                <w:color w:val="auto"/>
                <w:sz w:val="24"/>
                <w:highlight w:val="none"/>
              </w:rPr>
            </w:pPr>
          </w:p>
        </w:tc>
        <w:tc>
          <w:tcPr>
            <w:tcW w:w="2415" w:type="dxa"/>
            <w:tcBorders>
              <w:right w:val="single" w:color="auto" w:sz="4" w:space="0"/>
            </w:tcBorders>
            <w:noWrap/>
          </w:tcPr>
          <w:p>
            <w:pPr>
              <w:jc w:val="center"/>
              <w:rPr>
                <w:rFonts w:ascii="宋体" w:hAnsi="宋体" w:cs="宋体"/>
                <w:color w:val="auto"/>
                <w:sz w:val="24"/>
                <w:highlight w:val="none"/>
              </w:rPr>
            </w:pPr>
          </w:p>
        </w:tc>
        <w:tc>
          <w:tcPr>
            <w:tcW w:w="1746" w:type="dxa"/>
            <w:tcBorders>
              <w:left w:val="single" w:color="auto" w:sz="4" w:space="0"/>
            </w:tcBorders>
            <w:noWrap/>
          </w:tcPr>
          <w:p>
            <w:pPr>
              <w:jc w:val="center"/>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noWrap/>
            <w:vAlign w:val="center"/>
          </w:tcPr>
          <w:p>
            <w:pPr>
              <w:jc w:val="center"/>
              <w:rPr>
                <w:rFonts w:ascii="宋体" w:hAnsi="宋体" w:cs="宋体"/>
                <w:color w:val="auto"/>
                <w:sz w:val="24"/>
                <w:highlight w:val="none"/>
              </w:rPr>
            </w:pPr>
            <w:r>
              <w:rPr>
                <w:rFonts w:hint="eastAsia" w:ascii="宋体" w:hAnsi="宋体" w:cs="宋体"/>
                <w:color w:val="auto"/>
                <w:sz w:val="24"/>
                <w:highlight w:val="none"/>
              </w:rPr>
              <w:t>6</w:t>
            </w:r>
          </w:p>
        </w:tc>
        <w:tc>
          <w:tcPr>
            <w:tcW w:w="2387" w:type="dxa"/>
            <w:noWrap/>
          </w:tcPr>
          <w:p>
            <w:pPr>
              <w:jc w:val="center"/>
              <w:rPr>
                <w:rFonts w:ascii="宋体" w:hAnsi="宋体" w:cs="宋体"/>
                <w:color w:val="auto"/>
                <w:sz w:val="24"/>
                <w:highlight w:val="none"/>
              </w:rPr>
            </w:pPr>
          </w:p>
        </w:tc>
        <w:tc>
          <w:tcPr>
            <w:tcW w:w="1462" w:type="dxa"/>
            <w:noWrap/>
          </w:tcPr>
          <w:p>
            <w:pPr>
              <w:jc w:val="center"/>
              <w:rPr>
                <w:rFonts w:ascii="宋体" w:hAnsi="宋体" w:cs="宋体"/>
                <w:color w:val="auto"/>
                <w:sz w:val="24"/>
                <w:highlight w:val="none"/>
              </w:rPr>
            </w:pPr>
          </w:p>
        </w:tc>
        <w:tc>
          <w:tcPr>
            <w:tcW w:w="2415" w:type="dxa"/>
            <w:tcBorders>
              <w:right w:val="single" w:color="auto" w:sz="4" w:space="0"/>
            </w:tcBorders>
            <w:noWrap/>
          </w:tcPr>
          <w:p>
            <w:pPr>
              <w:jc w:val="center"/>
              <w:rPr>
                <w:rFonts w:ascii="宋体" w:hAnsi="宋体" w:cs="宋体"/>
                <w:color w:val="auto"/>
                <w:sz w:val="24"/>
                <w:highlight w:val="none"/>
              </w:rPr>
            </w:pPr>
          </w:p>
        </w:tc>
        <w:tc>
          <w:tcPr>
            <w:tcW w:w="1746" w:type="dxa"/>
            <w:tcBorders>
              <w:left w:val="single" w:color="auto" w:sz="4" w:space="0"/>
            </w:tcBorders>
            <w:noWrap/>
          </w:tcPr>
          <w:p>
            <w:pPr>
              <w:jc w:val="center"/>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noWrap/>
            <w:vAlign w:val="center"/>
          </w:tcPr>
          <w:p>
            <w:pPr>
              <w:jc w:val="center"/>
              <w:rPr>
                <w:rFonts w:ascii="宋体" w:hAnsi="宋体" w:cs="宋体"/>
                <w:color w:val="auto"/>
                <w:sz w:val="24"/>
                <w:highlight w:val="none"/>
              </w:rPr>
            </w:pPr>
            <w:r>
              <w:rPr>
                <w:rFonts w:hint="eastAsia" w:ascii="宋体" w:hAnsi="宋体" w:cs="宋体"/>
                <w:color w:val="auto"/>
                <w:sz w:val="24"/>
                <w:highlight w:val="none"/>
              </w:rPr>
              <w:t>7</w:t>
            </w:r>
          </w:p>
        </w:tc>
        <w:tc>
          <w:tcPr>
            <w:tcW w:w="2387" w:type="dxa"/>
            <w:noWrap/>
          </w:tcPr>
          <w:p>
            <w:pPr>
              <w:jc w:val="center"/>
              <w:rPr>
                <w:rFonts w:ascii="宋体" w:hAnsi="宋体" w:cs="宋体"/>
                <w:color w:val="auto"/>
                <w:sz w:val="24"/>
                <w:highlight w:val="none"/>
              </w:rPr>
            </w:pPr>
          </w:p>
        </w:tc>
        <w:tc>
          <w:tcPr>
            <w:tcW w:w="1462" w:type="dxa"/>
            <w:noWrap/>
          </w:tcPr>
          <w:p>
            <w:pPr>
              <w:jc w:val="center"/>
              <w:rPr>
                <w:rFonts w:ascii="宋体" w:hAnsi="宋体" w:cs="宋体"/>
                <w:color w:val="auto"/>
                <w:sz w:val="24"/>
                <w:highlight w:val="none"/>
              </w:rPr>
            </w:pPr>
          </w:p>
        </w:tc>
        <w:tc>
          <w:tcPr>
            <w:tcW w:w="2415" w:type="dxa"/>
            <w:tcBorders>
              <w:right w:val="single" w:color="auto" w:sz="4" w:space="0"/>
            </w:tcBorders>
            <w:noWrap/>
          </w:tcPr>
          <w:p>
            <w:pPr>
              <w:jc w:val="center"/>
              <w:rPr>
                <w:rFonts w:ascii="宋体" w:hAnsi="宋体" w:cs="宋体"/>
                <w:color w:val="auto"/>
                <w:sz w:val="24"/>
                <w:highlight w:val="none"/>
              </w:rPr>
            </w:pPr>
          </w:p>
        </w:tc>
        <w:tc>
          <w:tcPr>
            <w:tcW w:w="1746" w:type="dxa"/>
            <w:tcBorders>
              <w:left w:val="single" w:color="auto" w:sz="4" w:space="0"/>
            </w:tcBorders>
            <w:noWrap/>
          </w:tcPr>
          <w:p>
            <w:pPr>
              <w:jc w:val="center"/>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noWrap/>
            <w:vAlign w:val="center"/>
          </w:tcPr>
          <w:p>
            <w:pPr>
              <w:jc w:val="center"/>
              <w:rPr>
                <w:rFonts w:ascii="宋体" w:hAnsi="宋体" w:cs="宋体"/>
                <w:color w:val="auto"/>
                <w:sz w:val="24"/>
                <w:highlight w:val="none"/>
              </w:rPr>
            </w:pPr>
            <w:r>
              <w:rPr>
                <w:rFonts w:hint="eastAsia" w:ascii="宋体" w:hAnsi="宋体" w:cs="宋体"/>
                <w:color w:val="auto"/>
                <w:sz w:val="24"/>
                <w:highlight w:val="none"/>
              </w:rPr>
              <w:t>8</w:t>
            </w:r>
          </w:p>
        </w:tc>
        <w:tc>
          <w:tcPr>
            <w:tcW w:w="2387" w:type="dxa"/>
            <w:noWrap/>
          </w:tcPr>
          <w:p>
            <w:pPr>
              <w:jc w:val="center"/>
              <w:rPr>
                <w:rFonts w:ascii="宋体" w:hAnsi="宋体" w:cs="宋体"/>
                <w:color w:val="auto"/>
                <w:sz w:val="24"/>
                <w:highlight w:val="none"/>
              </w:rPr>
            </w:pPr>
          </w:p>
        </w:tc>
        <w:tc>
          <w:tcPr>
            <w:tcW w:w="1462" w:type="dxa"/>
            <w:noWrap/>
          </w:tcPr>
          <w:p>
            <w:pPr>
              <w:jc w:val="center"/>
              <w:rPr>
                <w:rFonts w:ascii="宋体" w:hAnsi="宋体" w:cs="宋体"/>
                <w:color w:val="auto"/>
                <w:sz w:val="24"/>
                <w:highlight w:val="none"/>
              </w:rPr>
            </w:pPr>
          </w:p>
        </w:tc>
        <w:tc>
          <w:tcPr>
            <w:tcW w:w="2415" w:type="dxa"/>
            <w:tcBorders>
              <w:right w:val="single" w:color="auto" w:sz="4" w:space="0"/>
            </w:tcBorders>
            <w:noWrap/>
          </w:tcPr>
          <w:p>
            <w:pPr>
              <w:jc w:val="center"/>
              <w:rPr>
                <w:rFonts w:ascii="宋体" w:hAnsi="宋体" w:cs="宋体"/>
                <w:color w:val="auto"/>
                <w:sz w:val="24"/>
                <w:highlight w:val="none"/>
              </w:rPr>
            </w:pPr>
          </w:p>
        </w:tc>
        <w:tc>
          <w:tcPr>
            <w:tcW w:w="1746" w:type="dxa"/>
            <w:tcBorders>
              <w:left w:val="single" w:color="auto" w:sz="4" w:space="0"/>
            </w:tcBorders>
            <w:noWrap/>
          </w:tcPr>
          <w:p>
            <w:pPr>
              <w:jc w:val="center"/>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noWrap/>
            <w:vAlign w:val="center"/>
          </w:tcPr>
          <w:p>
            <w:pPr>
              <w:jc w:val="center"/>
              <w:rPr>
                <w:rFonts w:ascii="宋体" w:hAnsi="宋体" w:cs="宋体"/>
                <w:color w:val="auto"/>
                <w:sz w:val="24"/>
                <w:highlight w:val="none"/>
              </w:rPr>
            </w:pPr>
            <w:r>
              <w:rPr>
                <w:rFonts w:hint="eastAsia" w:ascii="宋体" w:hAnsi="宋体" w:cs="宋体"/>
                <w:color w:val="auto"/>
                <w:sz w:val="24"/>
                <w:highlight w:val="none"/>
              </w:rPr>
              <w:t>合计</w:t>
            </w:r>
          </w:p>
        </w:tc>
        <w:tc>
          <w:tcPr>
            <w:tcW w:w="2387" w:type="dxa"/>
            <w:noWrap/>
          </w:tcPr>
          <w:p>
            <w:pPr>
              <w:jc w:val="center"/>
              <w:rPr>
                <w:rFonts w:ascii="宋体" w:hAnsi="宋体" w:cs="宋体"/>
                <w:color w:val="auto"/>
                <w:sz w:val="24"/>
                <w:highlight w:val="none"/>
              </w:rPr>
            </w:pPr>
          </w:p>
        </w:tc>
        <w:tc>
          <w:tcPr>
            <w:tcW w:w="1462" w:type="dxa"/>
            <w:noWrap/>
          </w:tcPr>
          <w:p>
            <w:pPr>
              <w:jc w:val="center"/>
              <w:rPr>
                <w:rFonts w:ascii="宋体" w:hAnsi="宋体" w:cs="宋体"/>
                <w:color w:val="auto"/>
                <w:sz w:val="24"/>
                <w:highlight w:val="none"/>
              </w:rPr>
            </w:pPr>
          </w:p>
        </w:tc>
        <w:tc>
          <w:tcPr>
            <w:tcW w:w="2415" w:type="dxa"/>
            <w:tcBorders>
              <w:right w:val="single" w:color="auto" w:sz="4" w:space="0"/>
            </w:tcBorders>
            <w:noWrap/>
          </w:tcPr>
          <w:p>
            <w:pPr>
              <w:jc w:val="center"/>
              <w:rPr>
                <w:rFonts w:ascii="宋体" w:hAnsi="宋体" w:cs="宋体"/>
                <w:color w:val="auto"/>
                <w:sz w:val="24"/>
                <w:highlight w:val="none"/>
              </w:rPr>
            </w:pPr>
          </w:p>
        </w:tc>
        <w:tc>
          <w:tcPr>
            <w:tcW w:w="1746" w:type="dxa"/>
            <w:tcBorders>
              <w:left w:val="single" w:color="auto" w:sz="4" w:space="0"/>
            </w:tcBorders>
            <w:noWrap/>
          </w:tcPr>
          <w:p>
            <w:pPr>
              <w:jc w:val="center"/>
              <w:rPr>
                <w:rFonts w:ascii="宋体" w:hAnsi="宋体" w:cs="宋体"/>
                <w:color w:val="auto"/>
                <w:sz w:val="24"/>
                <w:highlight w:val="none"/>
              </w:rPr>
            </w:pPr>
          </w:p>
        </w:tc>
      </w:tr>
    </w:tbl>
    <w:p>
      <w:pPr>
        <w:spacing w:line="360" w:lineRule="auto"/>
        <w:ind w:firstLine="480" w:firstLineChars="200"/>
        <w:rPr>
          <w:rFonts w:ascii="宋体" w:hAnsi="宋体" w:cs="宋体"/>
          <w:color w:val="auto"/>
          <w:sz w:val="24"/>
          <w:highlight w:val="none"/>
        </w:rPr>
      </w:pPr>
    </w:p>
    <w:p>
      <w:pPr>
        <w:spacing w:line="360" w:lineRule="auto"/>
        <w:ind w:left="3780" w:leftChars="1800" w:firstLine="480" w:firstLineChars="200"/>
        <w:rPr>
          <w:rFonts w:ascii="宋体" w:hAnsi="宋体" w:cs="宋体"/>
          <w:color w:val="auto"/>
          <w:sz w:val="24"/>
          <w:highlight w:val="none"/>
        </w:rPr>
      </w:pPr>
    </w:p>
    <w:p>
      <w:pPr>
        <w:pStyle w:val="15"/>
        <w:spacing w:line="420" w:lineRule="auto"/>
        <w:rPr>
          <w:rFonts w:hAnsi="宋体" w:cs="宋体"/>
          <w:color w:val="auto"/>
          <w:sz w:val="24"/>
          <w:highlight w:val="none"/>
        </w:rPr>
      </w:pPr>
      <w:r>
        <w:rPr>
          <w:rFonts w:hint="eastAsia" w:hAnsi="宋体" w:cs="宋体"/>
          <w:color w:val="auto"/>
          <w:sz w:val="24"/>
          <w:highlight w:val="none"/>
        </w:rPr>
        <w:t xml:space="preserve">                                  投标人全称（盖章）：</w:t>
      </w:r>
    </w:p>
    <w:p>
      <w:pPr>
        <w:pStyle w:val="15"/>
        <w:spacing w:line="420" w:lineRule="auto"/>
        <w:rPr>
          <w:rFonts w:hAnsi="宋体" w:cs="宋体"/>
          <w:color w:val="auto"/>
          <w:sz w:val="24"/>
          <w:highlight w:val="none"/>
        </w:rPr>
      </w:pPr>
      <w:r>
        <w:rPr>
          <w:rFonts w:hint="eastAsia" w:hAnsi="宋体" w:cs="宋体"/>
          <w:color w:val="auto"/>
          <w:sz w:val="24"/>
          <w:highlight w:val="none"/>
        </w:rPr>
        <w:t xml:space="preserve">                                  法定代表人或授权委托人（签字或盖章）：</w:t>
      </w:r>
    </w:p>
    <w:p>
      <w:pPr>
        <w:spacing w:line="420" w:lineRule="auto"/>
        <w:ind w:firstLine="4080" w:firstLineChars="1700"/>
        <w:rPr>
          <w:rFonts w:ascii="宋体" w:hAnsi="宋体" w:cs="宋体"/>
          <w:color w:val="auto"/>
          <w:sz w:val="36"/>
          <w:highlight w:val="none"/>
        </w:rPr>
      </w:pPr>
      <w:r>
        <w:rPr>
          <w:rFonts w:hint="eastAsia" w:ascii="宋体" w:hAnsi="宋体" w:cs="宋体"/>
          <w:color w:val="auto"/>
          <w:sz w:val="24"/>
          <w:highlight w:val="none"/>
        </w:rPr>
        <w:t xml:space="preserve"> 日   期：</w:t>
      </w:r>
    </w:p>
    <w:p>
      <w:pPr>
        <w:snapToGrid w:val="0"/>
        <w:spacing w:before="50" w:after="156" w:afterLines="50"/>
        <w:jc w:val="left"/>
        <w:rPr>
          <w:rFonts w:ascii="宋体" w:hAnsi="宋体" w:cs="宋体"/>
          <w:b/>
          <w:bCs/>
          <w:color w:val="auto"/>
          <w:sz w:val="24"/>
          <w:highlight w:val="none"/>
          <w:lang w:val="zh-CN"/>
        </w:rPr>
      </w:pPr>
    </w:p>
    <w:p>
      <w:pPr>
        <w:pStyle w:val="2"/>
        <w:rPr>
          <w:rFonts w:hAnsi="宋体" w:cs="宋体"/>
          <w:bCs/>
          <w:color w:val="auto"/>
          <w:sz w:val="24"/>
          <w:szCs w:val="24"/>
          <w:highlight w:val="none"/>
        </w:rPr>
      </w:pPr>
      <w:bookmarkStart w:id="447" w:name="_Toc2823"/>
      <w:r>
        <w:rPr>
          <w:rFonts w:hint="eastAsia" w:hAnsi="宋体" w:cs="宋体"/>
          <w:bCs/>
          <w:color w:val="auto"/>
          <w:sz w:val="24"/>
          <w:szCs w:val="24"/>
          <w:highlight w:val="none"/>
        </w:rPr>
        <w:br w:type="page"/>
      </w:r>
      <w:r>
        <w:rPr>
          <w:rFonts w:hint="eastAsia" w:hAnsi="宋体" w:cs="宋体"/>
          <w:bCs/>
          <w:color w:val="auto"/>
          <w:sz w:val="24"/>
          <w:szCs w:val="24"/>
          <w:highlight w:val="none"/>
        </w:rPr>
        <w:t>附件五：</w:t>
      </w:r>
    </w:p>
    <w:p>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技术响应及建议表</w:t>
      </w:r>
      <w:bookmarkEnd w:id="447"/>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项目名称：</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采购编号：</w:t>
      </w:r>
    </w:p>
    <w:p>
      <w:pPr>
        <w:spacing w:line="360" w:lineRule="auto"/>
        <w:ind w:firstLine="480" w:firstLineChars="200"/>
        <w:rPr>
          <w:rFonts w:ascii="宋体" w:hAnsi="宋体" w:cs="宋体"/>
          <w:color w:val="auto"/>
          <w:sz w:val="24"/>
          <w:highlight w:val="none"/>
        </w:rPr>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1980"/>
        <w:gridCol w:w="2520"/>
        <w:gridCol w:w="1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noWrap/>
            <w:vAlign w:val="center"/>
          </w:tcPr>
          <w:p>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序号</w:t>
            </w:r>
          </w:p>
        </w:tc>
        <w:tc>
          <w:tcPr>
            <w:tcW w:w="1440" w:type="dxa"/>
            <w:noWrap/>
            <w:vAlign w:val="center"/>
          </w:tcPr>
          <w:p>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名称</w:t>
            </w:r>
          </w:p>
        </w:tc>
        <w:tc>
          <w:tcPr>
            <w:tcW w:w="1980" w:type="dxa"/>
            <w:noWrap/>
            <w:vAlign w:val="center"/>
          </w:tcPr>
          <w:p>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招标文件要求</w:t>
            </w:r>
          </w:p>
        </w:tc>
        <w:tc>
          <w:tcPr>
            <w:tcW w:w="2520" w:type="dxa"/>
            <w:noWrap/>
            <w:vAlign w:val="center"/>
          </w:tcPr>
          <w:p>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投标文件响应</w:t>
            </w:r>
          </w:p>
        </w:tc>
        <w:tc>
          <w:tcPr>
            <w:tcW w:w="1953" w:type="dxa"/>
            <w:noWrap/>
            <w:vAlign w:val="center"/>
          </w:tcPr>
          <w:p>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noWrap/>
            <w:vAlign w:val="center"/>
          </w:tcPr>
          <w:p>
            <w:pPr>
              <w:snapToGrid w:val="0"/>
              <w:spacing w:before="50" w:after="50"/>
              <w:jc w:val="center"/>
              <w:rPr>
                <w:rFonts w:ascii="宋体" w:hAnsi="宋体" w:cs="宋体"/>
                <w:color w:val="auto"/>
                <w:sz w:val="24"/>
                <w:highlight w:val="none"/>
              </w:rPr>
            </w:pPr>
          </w:p>
        </w:tc>
        <w:tc>
          <w:tcPr>
            <w:tcW w:w="1440" w:type="dxa"/>
            <w:noWrap/>
            <w:vAlign w:val="center"/>
          </w:tcPr>
          <w:p>
            <w:pPr>
              <w:snapToGrid w:val="0"/>
              <w:spacing w:before="50" w:after="50"/>
              <w:jc w:val="center"/>
              <w:rPr>
                <w:rFonts w:ascii="宋体" w:hAnsi="宋体" w:cs="宋体"/>
                <w:color w:val="auto"/>
                <w:sz w:val="24"/>
                <w:highlight w:val="none"/>
              </w:rPr>
            </w:pPr>
          </w:p>
        </w:tc>
        <w:tc>
          <w:tcPr>
            <w:tcW w:w="1980" w:type="dxa"/>
            <w:noWrap/>
            <w:vAlign w:val="center"/>
          </w:tcPr>
          <w:p>
            <w:pPr>
              <w:snapToGrid w:val="0"/>
              <w:spacing w:before="50" w:after="50"/>
              <w:jc w:val="center"/>
              <w:rPr>
                <w:rFonts w:ascii="宋体" w:hAnsi="宋体" w:cs="宋体"/>
                <w:color w:val="auto"/>
                <w:sz w:val="24"/>
                <w:highlight w:val="none"/>
              </w:rPr>
            </w:pPr>
          </w:p>
        </w:tc>
        <w:tc>
          <w:tcPr>
            <w:tcW w:w="2520" w:type="dxa"/>
            <w:noWrap/>
            <w:vAlign w:val="center"/>
          </w:tcPr>
          <w:p>
            <w:pPr>
              <w:snapToGrid w:val="0"/>
              <w:spacing w:before="50" w:after="50"/>
              <w:jc w:val="center"/>
              <w:rPr>
                <w:rFonts w:ascii="宋体" w:hAnsi="宋体" w:cs="宋体"/>
                <w:color w:val="auto"/>
                <w:sz w:val="24"/>
                <w:highlight w:val="none"/>
              </w:rPr>
            </w:pPr>
          </w:p>
        </w:tc>
        <w:tc>
          <w:tcPr>
            <w:tcW w:w="1953" w:type="dxa"/>
            <w:noWrap/>
            <w:vAlign w:val="center"/>
          </w:tcPr>
          <w:p>
            <w:pPr>
              <w:snapToGrid w:val="0"/>
              <w:spacing w:before="50" w:after="5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noWrap/>
            <w:vAlign w:val="center"/>
          </w:tcPr>
          <w:p>
            <w:pPr>
              <w:snapToGrid w:val="0"/>
              <w:spacing w:before="50" w:after="50"/>
              <w:jc w:val="center"/>
              <w:rPr>
                <w:rFonts w:ascii="宋体" w:hAnsi="宋体" w:cs="宋体"/>
                <w:color w:val="auto"/>
                <w:sz w:val="24"/>
                <w:highlight w:val="none"/>
              </w:rPr>
            </w:pPr>
          </w:p>
        </w:tc>
        <w:tc>
          <w:tcPr>
            <w:tcW w:w="1440" w:type="dxa"/>
            <w:noWrap/>
            <w:vAlign w:val="center"/>
          </w:tcPr>
          <w:p>
            <w:pPr>
              <w:snapToGrid w:val="0"/>
              <w:spacing w:before="50" w:after="50"/>
              <w:jc w:val="center"/>
              <w:rPr>
                <w:rFonts w:ascii="宋体" w:hAnsi="宋体" w:cs="宋体"/>
                <w:color w:val="auto"/>
                <w:sz w:val="24"/>
                <w:highlight w:val="none"/>
              </w:rPr>
            </w:pPr>
          </w:p>
        </w:tc>
        <w:tc>
          <w:tcPr>
            <w:tcW w:w="1980" w:type="dxa"/>
            <w:noWrap/>
            <w:vAlign w:val="center"/>
          </w:tcPr>
          <w:p>
            <w:pPr>
              <w:snapToGrid w:val="0"/>
              <w:spacing w:before="50" w:after="50"/>
              <w:jc w:val="center"/>
              <w:rPr>
                <w:rFonts w:ascii="宋体" w:hAnsi="宋体" w:cs="宋体"/>
                <w:color w:val="auto"/>
                <w:sz w:val="24"/>
                <w:highlight w:val="none"/>
              </w:rPr>
            </w:pPr>
          </w:p>
        </w:tc>
        <w:tc>
          <w:tcPr>
            <w:tcW w:w="2520" w:type="dxa"/>
            <w:noWrap/>
            <w:vAlign w:val="center"/>
          </w:tcPr>
          <w:p>
            <w:pPr>
              <w:snapToGrid w:val="0"/>
              <w:spacing w:before="50" w:after="50"/>
              <w:jc w:val="center"/>
              <w:rPr>
                <w:rFonts w:ascii="宋体" w:hAnsi="宋体" w:cs="宋体"/>
                <w:color w:val="auto"/>
                <w:sz w:val="24"/>
                <w:highlight w:val="none"/>
              </w:rPr>
            </w:pPr>
          </w:p>
        </w:tc>
        <w:tc>
          <w:tcPr>
            <w:tcW w:w="1953" w:type="dxa"/>
            <w:noWrap/>
            <w:vAlign w:val="center"/>
          </w:tcPr>
          <w:p>
            <w:pPr>
              <w:snapToGrid w:val="0"/>
              <w:spacing w:before="50" w:after="5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noWrap/>
            <w:vAlign w:val="center"/>
          </w:tcPr>
          <w:p>
            <w:pPr>
              <w:snapToGrid w:val="0"/>
              <w:spacing w:before="50" w:after="50"/>
              <w:jc w:val="center"/>
              <w:rPr>
                <w:rFonts w:ascii="宋体" w:hAnsi="宋体" w:cs="宋体"/>
                <w:color w:val="auto"/>
                <w:sz w:val="24"/>
                <w:highlight w:val="none"/>
              </w:rPr>
            </w:pPr>
          </w:p>
        </w:tc>
        <w:tc>
          <w:tcPr>
            <w:tcW w:w="1440" w:type="dxa"/>
            <w:noWrap/>
            <w:vAlign w:val="center"/>
          </w:tcPr>
          <w:p>
            <w:pPr>
              <w:snapToGrid w:val="0"/>
              <w:spacing w:before="50" w:after="50"/>
              <w:jc w:val="center"/>
              <w:rPr>
                <w:rFonts w:ascii="宋体" w:hAnsi="宋体" w:cs="宋体"/>
                <w:color w:val="auto"/>
                <w:sz w:val="24"/>
                <w:highlight w:val="none"/>
              </w:rPr>
            </w:pPr>
          </w:p>
        </w:tc>
        <w:tc>
          <w:tcPr>
            <w:tcW w:w="1980" w:type="dxa"/>
            <w:noWrap/>
            <w:vAlign w:val="center"/>
          </w:tcPr>
          <w:p>
            <w:pPr>
              <w:snapToGrid w:val="0"/>
              <w:spacing w:before="50" w:after="50"/>
              <w:jc w:val="center"/>
              <w:rPr>
                <w:rFonts w:ascii="宋体" w:hAnsi="宋体" w:cs="宋体"/>
                <w:color w:val="auto"/>
                <w:sz w:val="24"/>
                <w:highlight w:val="none"/>
              </w:rPr>
            </w:pPr>
          </w:p>
        </w:tc>
        <w:tc>
          <w:tcPr>
            <w:tcW w:w="2520" w:type="dxa"/>
            <w:noWrap/>
            <w:vAlign w:val="center"/>
          </w:tcPr>
          <w:p>
            <w:pPr>
              <w:snapToGrid w:val="0"/>
              <w:spacing w:before="50" w:after="50"/>
              <w:jc w:val="center"/>
              <w:rPr>
                <w:rFonts w:ascii="宋体" w:hAnsi="宋体" w:cs="宋体"/>
                <w:color w:val="auto"/>
                <w:sz w:val="24"/>
                <w:highlight w:val="none"/>
              </w:rPr>
            </w:pPr>
          </w:p>
        </w:tc>
        <w:tc>
          <w:tcPr>
            <w:tcW w:w="1953" w:type="dxa"/>
            <w:noWrap/>
            <w:vAlign w:val="center"/>
          </w:tcPr>
          <w:p>
            <w:pPr>
              <w:snapToGrid w:val="0"/>
              <w:spacing w:before="50" w:after="5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noWrap/>
            <w:vAlign w:val="center"/>
          </w:tcPr>
          <w:p>
            <w:pPr>
              <w:snapToGrid w:val="0"/>
              <w:spacing w:before="50" w:after="50"/>
              <w:jc w:val="center"/>
              <w:rPr>
                <w:rFonts w:ascii="宋体" w:hAnsi="宋体" w:cs="宋体"/>
                <w:color w:val="auto"/>
                <w:sz w:val="24"/>
                <w:highlight w:val="none"/>
              </w:rPr>
            </w:pPr>
          </w:p>
        </w:tc>
        <w:tc>
          <w:tcPr>
            <w:tcW w:w="1440" w:type="dxa"/>
            <w:noWrap/>
            <w:vAlign w:val="center"/>
          </w:tcPr>
          <w:p>
            <w:pPr>
              <w:snapToGrid w:val="0"/>
              <w:spacing w:before="50" w:after="50"/>
              <w:jc w:val="center"/>
              <w:rPr>
                <w:rFonts w:ascii="宋体" w:hAnsi="宋体" w:cs="宋体"/>
                <w:color w:val="auto"/>
                <w:sz w:val="24"/>
                <w:highlight w:val="none"/>
              </w:rPr>
            </w:pPr>
          </w:p>
        </w:tc>
        <w:tc>
          <w:tcPr>
            <w:tcW w:w="1980" w:type="dxa"/>
            <w:noWrap/>
            <w:vAlign w:val="center"/>
          </w:tcPr>
          <w:p>
            <w:pPr>
              <w:snapToGrid w:val="0"/>
              <w:spacing w:before="50" w:after="50"/>
              <w:jc w:val="center"/>
              <w:rPr>
                <w:rFonts w:ascii="宋体" w:hAnsi="宋体" w:cs="宋体"/>
                <w:color w:val="auto"/>
                <w:sz w:val="24"/>
                <w:highlight w:val="none"/>
              </w:rPr>
            </w:pPr>
          </w:p>
        </w:tc>
        <w:tc>
          <w:tcPr>
            <w:tcW w:w="2520" w:type="dxa"/>
            <w:noWrap/>
            <w:vAlign w:val="center"/>
          </w:tcPr>
          <w:p>
            <w:pPr>
              <w:snapToGrid w:val="0"/>
              <w:spacing w:before="50" w:after="50"/>
              <w:jc w:val="center"/>
              <w:rPr>
                <w:rFonts w:ascii="宋体" w:hAnsi="宋体" w:cs="宋体"/>
                <w:color w:val="auto"/>
                <w:sz w:val="24"/>
                <w:highlight w:val="none"/>
              </w:rPr>
            </w:pPr>
          </w:p>
        </w:tc>
        <w:tc>
          <w:tcPr>
            <w:tcW w:w="1953" w:type="dxa"/>
            <w:noWrap/>
            <w:vAlign w:val="center"/>
          </w:tcPr>
          <w:p>
            <w:pPr>
              <w:snapToGrid w:val="0"/>
              <w:spacing w:before="50" w:after="5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noWrap/>
            <w:vAlign w:val="center"/>
          </w:tcPr>
          <w:p>
            <w:pPr>
              <w:snapToGrid w:val="0"/>
              <w:spacing w:before="50" w:after="50"/>
              <w:jc w:val="center"/>
              <w:rPr>
                <w:rFonts w:ascii="宋体" w:hAnsi="宋体" w:cs="宋体"/>
                <w:color w:val="auto"/>
                <w:sz w:val="24"/>
                <w:highlight w:val="none"/>
              </w:rPr>
            </w:pPr>
          </w:p>
        </w:tc>
        <w:tc>
          <w:tcPr>
            <w:tcW w:w="1440" w:type="dxa"/>
            <w:noWrap/>
            <w:vAlign w:val="center"/>
          </w:tcPr>
          <w:p>
            <w:pPr>
              <w:snapToGrid w:val="0"/>
              <w:spacing w:before="50" w:after="50"/>
              <w:jc w:val="center"/>
              <w:rPr>
                <w:rFonts w:ascii="宋体" w:hAnsi="宋体" w:cs="宋体"/>
                <w:color w:val="auto"/>
                <w:sz w:val="24"/>
                <w:highlight w:val="none"/>
              </w:rPr>
            </w:pPr>
          </w:p>
        </w:tc>
        <w:tc>
          <w:tcPr>
            <w:tcW w:w="1980" w:type="dxa"/>
            <w:noWrap/>
            <w:vAlign w:val="center"/>
          </w:tcPr>
          <w:p>
            <w:pPr>
              <w:snapToGrid w:val="0"/>
              <w:spacing w:before="50" w:after="50"/>
              <w:jc w:val="center"/>
              <w:rPr>
                <w:rFonts w:ascii="宋体" w:hAnsi="宋体" w:cs="宋体"/>
                <w:color w:val="auto"/>
                <w:sz w:val="24"/>
                <w:highlight w:val="none"/>
              </w:rPr>
            </w:pPr>
          </w:p>
        </w:tc>
        <w:tc>
          <w:tcPr>
            <w:tcW w:w="2520" w:type="dxa"/>
            <w:noWrap/>
            <w:vAlign w:val="center"/>
          </w:tcPr>
          <w:p>
            <w:pPr>
              <w:snapToGrid w:val="0"/>
              <w:spacing w:before="50" w:after="50"/>
              <w:jc w:val="center"/>
              <w:rPr>
                <w:rFonts w:ascii="宋体" w:hAnsi="宋体" w:cs="宋体"/>
                <w:color w:val="auto"/>
                <w:sz w:val="24"/>
                <w:highlight w:val="none"/>
              </w:rPr>
            </w:pPr>
          </w:p>
        </w:tc>
        <w:tc>
          <w:tcPr>
            <w:tcW w:w="1953" w:type="dxa"/>
            <w:noWrap/>
            <w:vAlign w:val="center"/>
          </w:tcPr>
          <w:p>
            <w:pPr>
              <w:snapToGrid w:val="0"/>
              <w:spacing w:before="50" w:after="5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160" w:type="dxa"/>
            <w:gridSpan w:val="2"/>
            <w:noWrap/>
            <w:vAlign w:val="center"/>
          </w:tcPr>
          <w:p>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投标建议</w:t>
            </w:r>
          </w:p>
        </w:tc>
        <w:tc>
          <w:tcPr>
            <w:tcW w:w="6453" w:type="dxa"/>
            <w:gridSpan w:val="3"/>
            <w:noWrap/>
            <w:vAlign w:val="center"/>
          </w:tcPr>
          <w:p>
            <w:pPr>
              <w:spacing w:line="360" w:lineRule="auto"/>
              <w:jc w:val="center"/>
              <w:rPr>
                <w:rFonts w:ascii="宋体" w:hAnsi="宋体" w:cs="宋体"/>
                <w:color w:val="auto"/>
                <w:sz w:val="24"/>
                <w:highlight w:val="none"/>
              </w:rPr>
            </w:pPr>
          </w:p>
        </w:tc>
      </w:tr>
    </w:tbl>
    <w:p>
      <w:pPr>
        <w:snapToGrid w:val="0"/>
        <w:spacing w:line="360" w:lineRule="auto"/>
        <w:rPr>
          <w:rFonts w:ascii="宋体" w:hAnsi="宋体" w:cs="宋体"/>
          <w:color w:val="auto"/>
          <w:sz w:val="24"/>
          <w:highlight w:val="none"/>
        </w:rPr>
      </w:pPr>
    </w:p>
    <w:p>
      <w:pPr>
        <w:pStyle w:val="15"/>
        <w:spacing w:line="360" w:lineRule="auto"/>
        <w:rPr>
          <w:rFonts w:hAnsi="宋体" w:cs="宋体"/>
          <w:color w:val="auto"/>
          <w:sz w:val="24"/>
          <w:highlight w:val="none"/>
        </w:rPr>
      </w:pPr>
      <w:r>
        <w:rPr>
          <w:rFonts w:hint="eastAsia" w:hAnsi="宋体" w:cs="宋体"/>
          <w:color w:val="auto"/>
          <w:sz w:val="24"/>
          <w:highlight w:val="none"/>
        </w:rPr>
        <w:t>注：名称可基于项目清单根据投标人实际情况调整。</w:t>
      </w:r>
    </w:p>
    <w:p>
      <w:pPr>
        <w:rPr>
          <w:rFonts w:ascii="宋体" w:hAnsi="宋体" w:cs="宋体"/>
          <w:color w:val="auto"/>
          <w:sz w:val="24"/>
          <w:highlight w:val="none"/>
        </w:rPr>
      </w:pPr>
    </w:p>
    <w:p>
      <w:pPr>
        <w:pStyle w:val="12"/>
        <w:rPr>
          <w:color w:val="auto"/>
          <w:highlight w:val="none"/>
        </w:rPr>
      </w:pPr>
    </w:p>
    <w:p>
      <w:pPr>
        <w:snapToGrid w:val="0"/>
        <w:spacing w:line="360" w:lineRule="auto"/>
        <w:rPr>
          <w:rFonts w:ascii="宋体" w:hAnsi="宋体" w:cs="宋体"/>
          <w:color w:val="auto"/>
          <w:sz w:val="24"/>
          <w:highlight w:val="none"/>
        </w:rPr>
      </w:pPr>
    </w:p>
    <w:p>
      <w:pPr>
        <w:pStyle w:val="15"/>
        <w:spacing w:line="420" w:lineRule="auto"/>
        <w:rPr>
          <w:rFonts w:hAnsi="宋体" w:cs="宋体"/>
          <w:color w:val="auto"/>
          <w:sz w:val="24"/>
          <w:highlight w:val="none"/>
        </w:rPr>
      </w:pPr>
      <w:r>
        <w:rPr>
          <w:rFonts w:hint="eastAsia" w:hAnsi="宋体" w:cs="宋体"/>
          <w:color w:val="auto"/>
          <w:sz w:val="24"/>
          <w:highlight w:val="none"/>
        </w:rPr>
        <w:t xml:space="preserve">                                  投标人全称（盖章）：</w:t>
      </w:r>
    </w:p>
    <w:p>
      <w:pPr>
        <w:pStyle w:val="15"/>
        <w:spacing w:line="420" w:lineRule="auto"/>
        <w:rPr>
          <w:rFonts w:hAnsi="宋体" w:cs="宋体"/>
          <w:color w:val="auto"/>
          <w:sz w:val="24"/>
          <w:highlight w:val="none"/>
        </w:rPr>
      </w:pPr>
      <w:r>
        <w:rPr>
          <w:rFonts w:hint="eastAsia" w:hAnsi="宋体" w:cs="宋体"/>
          <w:color w:val="auto"/>
          <w:sz w:val="24"/>
          <w:highlight w:val="none"/>
        </w:rPr>
        <w:t xml:space="preserve">                                  法定代表人或授权委托人（签字或盖章）：</w:t>
      </w:r>
    </w:p>
    <w:p>
      <w:pPr>
        <w:spacing w:line="420" w:lineRule="auto"/>
        <w:rPr>
          <w:rFonts w:ascii="宋体" w:hAnsi="宋体" w:cs="宋体"/>
          <w:color w:val="auto"/>
          <w:sz w:val="36"/>
          <w:highlight w:val="none"/>
        </w:rPr>
      </w:pPr>
      <w:r>
        <w:rPr>
          <w:rFonts w:hint="eastAsia" w:ascii="宋体" w:hAnsi="宋体" w:cs="宋体"/>
          <w:color w:val="auto"/>
          <w:sz w:val="24"/>
          <w:highlight w:val="none"/>
        </w:rPr>
        <w:t xml:space="preserve">                                  日   期：</w:t>
      </w:r>
    </w:p>
    <w:p>
      <w:pPr>
        <w:pStyle w:val="2"/>
        <w:rPr>
          <w:rFonts w:hAnsi="宋体" w:cs="宋体"/>
          <w:bCs/>
          <w:color w:val="auto"/>
          <w:sz w:val="24"/>
          <w:szCs w:val="24"/>
          <w:highlight w:val="none"/>
        </w:rPr>
      </w:pPr>
      <w:r>
        <w:rPr>
          <w:rFonts w:hint="eastAsia" w:hAnsi="宋体" w:cs="宋体"/>
          <w:bCs/>
          <w:color w:val="auto"/>
          <w:sz w:val="24"/>
          <w:szCs w:val="24"/>
          <w:highlight w:val="none"/>
        </w:rPr>
        <w:br w:type="page"/>
      </w:r>
      <w:r>
        <w:rPr>
          <w:rFonts w:hint="eastAsia" w:hAnsi="宋体" w:cs="宋体"/>
          <w:bCs/>
          <w:color w:val="auto"/>
          <w:sz w:val="24"/>
          <w:szCs w:val="24"/>
          <w:highlight w:val="none"/>
        </w:rPr>
        <w:t>附件六：</w:t>
      </w:r>
    </w:p>
    <w:p>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商务响应表</w:t>
      </w:r>
    </w:p>
    <w:p>
      <w:pPr>
        <w:snapToGrid w:val="0"/>
        <w:spacing w:before="50"/>
        <w:jc w:val="center"/>
        <w:rPr>
          <w:rFonts w:ascii="宋体" w:hAnsi="宋体" w:cs="宋体"/>
          <w:b/>
          <w:color w:val="auto"/>
          <w:sz w:val="32"/>
          <w:szCs w:val="32"/>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项目名称：</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采购编号：</w:t>
      </w:r>
    </w:p>
    <w:tbl>
      <w:tblPr>
        <w:tblStyle w:val="30"/>
        <w:tblW w:w="943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54"/>
        <w:gridCol w:w="2700"/>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项目</w:t>
            </w:r>
          </w:p>
        </w:tc>
        <w:tc>
          <w:tcPr>
            <w:tcW w:w="270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招标文件要求</w:t>
            </w:r>
          </w:p>
        </w:tc>
        <w:tc>
          <w:tcPr>
            <w:tcW w:w="126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是否</w:t>
            </w:r>
          </w:p>
          <w:p>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响应</w:t>
            </w:r>
          </w:p>
        </w:tc>
        <w:tc>
          <w:tcPr>
            <w:tcW w:w="302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服务时间及地点</w:t>
            </w:r>
          </w:p>
        </w:tc>
        <w:tc>
          <w:tcPr>
            <w:tcW w:w="270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highlight w:val="none"/>
              </w:rPr>
            </w:pPr>
          </w:p>
        </w:tc>
        <w:tc>
          <w:tcPr>
            <w:tcW w:w="302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付款条件</w:t>
            </w:r>
          </w:p>
        </w:tc>
        <w:tc>
          <w:tcPr>
            <w:tcW w:w="270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highlight w:val="none"/>
              </w:rPr>
            </w:pPr>
          </w:p>
        </w:tc>
        <w:tc>
          <w:tcPr>
            <w:tcW w:w="302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违约责任及争议解决方式</w:t>
            </w:r>
          </w:p>
        </w:tc>
        <w:tc>
          <w:tcPr>
            <w:tcW w:w="270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highlight w:val="none"/>
              </w:rPr>
            </w:pPr>
          </w:p>
        </w:tc>
        <w:tc>
          <w:tcPr>
            <w:tcW w:w="302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本地化服务</w:t>
            </w:r>
          </w:p>
        </w:tc>
        <w:tc>
          <w:tcPr>
            <w:tcW w:w="270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highlight w:val="none"/>
              </w:rPr>
            </w:pPr>
          </w:p>
        </w:tc>
        <w:tc>
          <w:tcPr>
            <w:tcW w:w="302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技术培训</w:t>
            </w:r>
          </w:p>
        </w:tc>
        <w:tc>
          <w:tcPr>
            <w:tcW w:w="270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highlight w:val="none"/>
              </w:rPr>
            </w:pPr>
          </w:p>
        </w:tc>
        <w:tc>
          <w:tcPr>
            <w:tcW w:w="302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经验或业绩要求</w:t>
            </w:r>
          </w:p>
        </w:tc>
        <w:tc>
          <w:tcPr>
            <w:tcW w:w="270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highlight w:val="none"/>
              </w:rPr>
            </w:pPr>
          </w:p>
        </w:tc>
        <w:tc>
          <w:tcPr>
            <w:tcW w:w="302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w:t>
            </w:r>
          </w:p>
        </w:tc>
        <w:tc>
          <w:tcPr>
            <w:tcW w:w="270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highlight w:val="none"/>
              </w:rPr>
            </w:pPr>
          </w:p>
        </w:tc>
        <w:tc>
          <w:tcPr>
            <w:tcW w:w="302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24"/>
                <w:highlight w:val="none"/>
              </w:rPr>
            </w:pPr>
          </w:p>
        </w:tc>
      </w:tr>
    </w:tbl>
    <w:p>
      <w:pPr>
        <w:spacing w:line="360" w:lineRule="auto"/>
        <w:ind w:left="3780" w:leftChars="1800" w:firstLine="480" w:firstLineChars="200"/>
        <w:rPr>
          <w:rFonts w:ascii="宋体" w:hAnsi="宋体" w:cs="宋体"/>
          <w:color w:val="auto"/>
          <w:sz w:val="24"/>
          <w:highlight w:val="none"/>
        </w:rPr>
      </w:pPr>
    </w:p>
    <w:p>
      <w:pPr>
        <w:spacing w:line="360" w:lineRule="auto"/>
        <w:ind w:left="3780" w:leftChars="1800" w:firstLine="480" w:firstLineChars="200"/>
        <w:rPr>
          <w:rFonts w:ascii="宋体" w:hAnsi="宋体" w:cs="宋体"/>
          <w:color w:val="auto"/>
          <w:sz w:val="24"/>
          <w:highlight w:val="none"/>
        </w:rPr>
      </w:pPr>
    </w:p>
    <w:p>
      <w:pPr>
        <w:spacing w:line="360" w:lineRule="auto"/>
        <w:ind w:left="3780" w:leftChars="1800" w:firstLine="480" w:firstLineChars="200"/>
        <w:rPr>
          <w:rFonts w:ascii="宋体" w:hAnsi="宋体" w:cs="宋体"/>
          <w:color w:val="auto"/>
          <w:sz w:val="24"/>
          <w:highlight w:val="none"/>
        </w:rPr>
      </w:pPr>
    </w:p>
    <w:p>
      <w:pPr>
        <w:pStyle w:val="15"/>
        <w:spacing w:line="420" w:lineRule="auto"/>
        <w:rPr>
          <w:rFonts w:hAnsi="宋体" w:cs="宋体"/>
          <w:color w:val="auto"/>
          <w:sz w:val="24"/>
          <w:highlight w:val="none"/>
        </w:rPr>
      </w:pPr>
      <w:r>
        <w:rPr>
          <w:rFonts w:hint="eastAsia" w:hAnsi="宋体" w:cs="宋体"/>
          <w:color w:val="auto"/>
          <w:sz w:val="24"/>
          <w:highlight w:val="none"/>
        </w:rPr>
        <w:t xml:space="preserve">                                  投标人全称（盖章）：</w:t>
      </w:r>
    </w:p>
    <w:p>
      <w:pPr>
        <w:pStyle w:val="15"/>
        <w:spacing w:line="420" w:lineRule="auto"/>
        <w:rPr>
          <w:rFonts w:hAnsi="宋体" w:cs="宋体"/>
          <w:color w:val="auto"/>
          <w:sz w:val="24"/>
          <w:highlight w:val="none"/>
        </w:rPr>
      </w:pPr>
      <w:r>
        <w:rPr>
          <w:rFonts w:hint="eastAsia" w:hAnsi="宋体" w:cs="宋体"/>
          <w:color w:val="auto"/>
          <w:sz w:val="24"/>
          <w:highlight w:val="none"/>
        </w:rPr>
        <w:t xml:space="preserve">                                  法定代表人或授权委托人（签字或盖章）：</w:t>
      </w:r>
    </w:p>
    <w:p>
      <w:pPr>
        <w:spacing w:line="420" w:lineRule="auto"/>
        <w:ind w:firstLine="4080" w:firstLineChars="1700"/>
        <w:rPr>
          <w:rFonts w:ascii="宋体" w:hAnsi="宋体" w:cs="宋体"/>
          <w:color w:val="auto"/>
          <w:sz w:val="36"/>
          <w:highlight w:val="none"/>
        </w:rPr>
      </w:pPr>
      <w:r>
        <w:rPr>
          <w:rFonts w:hint="eastAsia" w:ascii="宋体" w:hAnsi="宋体" w:cs="宋体"/>
          <w:color w:val="auto"/>
          <w:sz w:val="24"/>
          <w:highlight w:val="none"/>
        </w:rPr>
        <w:t>日   期：</w:t>
      </w:r>
    </w:p>
    <w:p>
      <w:pPr>
        <w:pStyle w:val="29"/>
        <w:rPr>
          <w:color w:val="auto"/>
          <w:highlight w:val="none"/>
        </w:rPr>
      </w:pPr>
    </w:p>
    <w:p>
      <w:pPr>
        <w:pStyle w:val="29"/>
        <w:rPr>
          <w:color w:val="auto"/>
          <w:highlight w:val="none"/>
        </w:rPr>
      </w:pPr>
    </w:p>
    <w:p>
      <w:pPr>
        <w:pStyle w:val="29"/>
        <w:rPr>
          <w:color w:val="auto"/>
          <w:highlight w:val="none"/>
        </w:rPr>
      </w:pPr>
    </w:p>
    <w:p>
      <w:pPr>
        <w:pStyle w:val="29"/>
        <w:rPr>
          <w:color w:val="auto"/>
          <w:highlight w:val="none"/>
        </w:rPr>
      </w:pPr>
    </w:p>
    <w:p>
      <w:pPr>
        <w:pStyle w:val="29"/>
        <w:rPr>
          <w:color w:val="auto"/>
          <w:highlight w:val="none"/>
        </w:rPr>
      </w:pPr>
    </w:p>
    <w:p>
      <w:pPr>
        <w:pStyle w:val="29"/>
        <w:rPr>
          <w:color w:val="auto"/>
          <w:highlight w:val="none"/>
        </w:rPr>
      </w:pPr>
    </w:p>
    <w:p>
      <w:pPr>
        <w:pStyle w:val="29"/>
        <w:rPr>
          <w:color w:val="auto"/>
          <w:highlight w:val="none"/>
        </w:rPr>
      </w:pPr>
    </w:p>
    <w:p>
      <w:pPr>
        <w:pStyle w:val="29"/>
        <w:ind w:left="0" w:leftChars="0" w:firstLine="0" w:firstLineChars="0"/>
        <w:rPr>
          <w:rFonts w:ascii="宋体" w:hAnsi="宋体" w:cs="宋体"/>
          <w:b/>
          <w:bCs/>
          <w:color w:val="auto"/>
          <w:sz w:val="24"/>
          <w:highlight w:val="none"/>
          <w:lang w:val="zh-CN"/>
        </w:rPr>
      </w:pPr>
    </w:p>
    <w:p>
      <w:pPr>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r>
        <w:rPr>
          <w:rFonts w:hint="eastAsia" w:ascii="宋体" w:hAnsi="宋体" w:cs="宋体"/>
          <w:b/>
          <w:color w:val="auto"/>
          <w:kern w:val="0"/>
          <w:sz w:val="36"/>
          <w:szCs w:val="36"/>
          <w:highlight w:val="none"/>
        </w:rPr>
        <w:t>报价文件</w:t>
      </w:r>
    </w:p>
    <w:p>
      <w:pPr>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pStyle w:val="12"/>
        <w:ind w:firstLine="723"/>
        <w:rPr>
          <w:rFonts w:ascii="宋体" w:hAnsi="宋体" w:cs="宋体"/>
          <w:b/>
          <w:color w:val="auto"/>
          <w:kern w:val="0"/>
          <w:sz w:val="36"/>
          <w:szCs w:val="36"/>
          <w:highlight w:val="none"/>
        </w:rPr>
      </w:pPr>
    </w:p>
    <w:p>
      <w:pPr>
        <w:tabs>
          <w:tab w:val="left" w:pos="1440"/>
          <w:tab w:val="left" w:pos="1620"/>
          <w:tab w:val="left" w:pos="1800"/>
          <w:tab w:val="left" w:pos="1980"/>
        </w:tabs>
        <w:autoSpaceDE w:val="0"/>
        <w:autoSpaceDN w:val="0"/>
        <w:spacing w:line="360" w:lineRule="auto"/>
        <w:ind w:left="420" w:leftChars="200" w:firstLine="240" w:firstLineChars="100"/>
        <w:textAlignment w:val="bottom"/>
        <w:rPr>
          <w:rFonts w:ascii="宋体" w:hAnsi="宋体" w:cs="宋体"/>
          <w:color w:val="auto"/>
          <w:sz w:val="24"/>
          <w:highlight w:val="none"/>
        </w:rPr>
      </w:pPr>
      <w:r>
        <w:rPr>
          <w:rFonts w:hint="eastAsia" w:ascii="宋体" w:hAnsi="宋体" w:cs="宋体"/>
          <w:color w:val="auto"/>
          <w:sz w:val="24"/>
          <w:highlight w:val="none"/>
        </w:rPr>
        <w:t>（1）投标函（格式见附件）；</w:t>
      </w:r>
    </w:p>
    <w:p>
      <w:pPr>
        <w:tabs>
          <w:tab w:val="left" w:pos="1440"/>
          <w:tab w:val="left" w:pos="1620"/>
          <w:tab w:val="left" w:pos="1800"/>
          <w:tab w:val="left" w:pos="1980"/>
        </w:tabs>
        <w:autoSpaceDE w:val="0"/>
        <w:autoSpaceDN w:val="0"/>
        <w:spacing w:line="360" w:lineRule="auto"/>
        <w:ind w:left="420" w:leftChars="200" w:firstLine="240" w:firstLineChars="100"/>
        <w:textAlignment w:val="bottom"/>
        <w:rPr>
          <w:rFonts w:ascii="宋体" w:hAnsi="宋体" w:cs="宋体"/>
          <w:color w:val="auto"/>
          <w:sz w:val="24"/>
          <w:highlight w:val="none"/>
        </w:rPr>
      </w:pPr>
      <w:r>
        <w:rPr>
          <w:rFonts w:hint="eastAsia" w:ascii="宋体" w:hAnsi="宋体" w:cs="宋体"/>
          <w:color w:val="auto"/>
          <w:sz w:val="24"/>
          <w:highlight w:val="none"/>
        </w:rPr>
        <w:t>（2）开标一览表（格式见附件）；</w:t>
      </w:r>
    </w:p>
    <w:p>
      <w:pPr>
        <w:tabs>
          <w:tab w:val="left" w:pos="1440"/>
          <w:tab w:val="left" w:pos="1620"/>
          <w:tab w:val="left" w:pos="1800"/>
          <w:tab w:val="left" w:pos="1980"/>
        </w:tabs>
        <w:autoSpaceDE w:val="0"/>
        <w:autoSpaceDN w:val="0"/>
        <w:spacing w:line="360" w:lineRule="auto"/>
        <w:ind w:left="420" w:leftChars="200" w:firstLine="240" w:firstLineChars="100"/>
        <w:textAlignment w:val="bottom"/>
        <w:rPr>
          <w:rFonts w:hint="eastAsia" w:ascii="宋体" w:hAnsi="宋体" w:eastAsia="宋体" w:cs="宋体"/>
          <w:color w:val="auto"/>
          <w:sz w:val="24"/>
          <w:highlight w:val="none"/>
          <w:lang w:eastAsia="zh-CN"/>
        </w:rPr>
      </w:pPr>
      <w:r>
        <w:rPr>
          <w:rFonts w:hint="eastAsia" w:ascii="宋体" w:hAnsi="宋体" w:cs="宋体"/>
          <w:color w:val="auto"/>
          <w:sz w:val="24"/>
          <w:highlight w:val="none"/>
        </w:rPr>
        <w:t>（3）投标报价明细表（格式见附件）</w:t>
      </w:r>
      <w:r>
        <w:rPr>
          <w:rFonts w:hint="eastAsia" w:ascii="宋体" w:hAnsi="宋体" w:cs="宋体"/>
          <w:color w:val="auto"/>
          <w:sz w:val="24"/>
          <w:highlight w:val="none"/>
          <w:lang w:eastAsia="zh-CN"/>
        </w:rPr>
        <w:t>；</w:t>
      </w:r>
    </w:p>
    <w:p>
      <w:pPr>
        <w:tabs>
          <w:tab w:val="left" w:pos="1440"/>
          <w:tab w:val="left" w:pos="1620"/>
          <w:tab w:val="left" w:pos="1800"/>
          <w:tab w:val="left" w:pos="1980"/>
        </w:tabs>
        <w:autoSpaceDE w:val="0"/>
        <w:autoSpaceDN w:val="0"/>
        <w:spacing w:line="360" w:lineRule="auto"/>
        <w:ind w:left="420" w:leftChars="200" w:firstLine="240" w:firstLineChars="100"/>
        <w:textAlignment w:val="bottom"/>
        <w:rPr>
          <w:rFonts w:ascii="宋体" w:hAnsi="宋体" w:cs="宋体"/>
          <w:color w:val="FF0000"/>
          <w:sz w:val="24"/>
          <w:highlight w:val="none"/>
        </w:rPr>
      </w:pPr>
      <w:r>
        <w:rPr>
          <w:rFonts w:hint="eastAsia" w:ascii="宋体" w:hAnsi="宋体" w:eastAsia="宋体" w:cs="宋体"/>
          <w:color w:val="FF0000"/>
          <w:sz w:val="24"/>
          <w:highlight w:val="none"/>
          <w:lang w:eastAsia="zh-CN"/>
        </w:rPr>
        <w:t>（</w:t>
      </w:r>
      <w:r>
        <w:rPr>
          <w:rFonts w:hint="eastAsia" w:ascii="宋体" w:hAnsi="宋体" w:eastAsia="宋体" w:cs="宋体"/>
          <w:color w:val="FF0000"/>
          <w:sz w:val="24"/>
          <w:highlight w:val="none"/>
          <w:lang w:val="en-US" w:eastAsia="zh-CN"/>
        </w:rPr>
        <w:t>4</w:t>
      </w:r>
      <w:r>
        <w:rPr>
          <w:rFonts w:hint="eastAsia" w:ascii="宋体" w:hAnsi="宋体" w:eastAsia="宋体" w:cs="宋体"/>
          <w:color w:val="FF0000"/>
          <w:sz w:val="24"/>
          <w:highlight w:val="none"/>
          <w:lang w:eastAsia="zh-CN"/>
        </w:rPr>
        <w:t>）</w:t>
      </w:r>
      <w:r>
        <w:rPr>
          <w:rFonts w:hint="eastAsia" w:ascii="宋体" w:hAnsi="宋体" w:eastAsia="宋体" w:cs="宋体"/>
          <w:color w:val="FF0000"/>
          <w:sz w:val="24"/>
          <w:highlight w:val="none"/>
        </w:rPr>
        <w:t>每人工资标准投标报价明细表</w:t>
      </w:r>
      <w:r>
        <w:rPr>
          <w:rFonts w:hint="eastAsia" w:ascii="宋体" w:hAnsi="宋体" w:cs="宋体"/>
          <w:color w:val="FF0000"/>
          <w:sz w:val="24"/>
          <w:highlight w:val="none"/>
        </w:rPr>
        <w:t>（格式见附件）。</w:t>
      </w:r>
    </w:p>
    <w:p>
      <w:pPr>
        <w:pStyle w:val="12"/>
        <w:ind w:firstLine="560"/>
        <w:rPr>
          <w:rFonts w:ascii="宋体" w:hAnsi="宋体" w:cs="宋体"/>
          <w:color w:val="auto"/>
          <w:sz w:val="28"/>
          <w:szCs w:val="28"/>
          <w:highlight w:val="none"/>
        </w:rPr>
      </w:pPr>
    </w:p>
    <w:p>
      <w:pPr>
        <w:pStyle w:val="12"/>
        <w:ind w:firstLine="560"/>
        <w:rPr>
          <w:rFonts w:ascii="宋体" w:hAnsi="宋体" w:cs="宋体"/>
          <w:color w:val="auto"/>
          <w:sz w:val="28"/>
          <w:szCs w:val="28"/>
          <w:highlight w:val="none"/>
        </w:rPr>
      </w:pPr>
    </w:p>
    <w:p>
      <w:pPr>
        <w:pStyle w:val="12"/>
        <w:ind w:firstLine="560"/>
        <w:rPr>
          <w:rFonts w:ascii="宋体" w:hAnsi="宋体" w:cs="宋体"/>
          <w:color w:val="auto"/>
          <w:sz w:val="28"/>
          <w:szCs w:val="28"/>
          <w:highlight w:val="none"/>
        </w:rPr>
      </w:pPr>
    </w:p>
    <w:p>
      <w:pPr>
        <w:pStyle w:val="12"/>
        <w:ind w:firstLine="560"/>
        <w:rPr>
          <w:rFonts w:ascii="宋体" w:hAnsi="宋体" w:cs="宋体"/>
          <w:color w:val="auto"/>
          <w:sz w:val="28"/>
          <w:szCs w:val="28"/>
          <w:highlight w:val="none"/>
        </w:rPr>
      </w:pPr>
    </w:p>
    <w:p>
      <w:pPr>
        <w:pStyle w:val="12"/>
        <w:ind w:firstLine="560"/>
        <w:rPr>
          <w:rFonts w:ascii="宋体" w:hAnsi="宋体" w:cs="宋体"/>
          <w:color w:val="auto"/>
          <w:sz w:val="28"/>
          <w:szCs w:val="28"/>
          <w:highlight w:val="none"/>
        </w:rPr>
      </w:pPr>
    </w:p>
    <w:p>
      <w:pPr>
        <w:pStyle w:val="12"/>
        <w:ind w:firstLine="560"/>
        <w:rPr>
          <w:rFonts w:ascii="宋体" w:hAnsi="宋体" w:cs="宋体"/>
          <w:color w:val="auto"/>
          <w:sz w:val="28"/>
          <w:szCs w:val="28"/>
          <w:highlight w:val="none"/>
        </w:rPr>
      </w:pPr>
    </w:p>
    <w:p>
      <w:pPr>
        <w:pStyle w:val="12"/>
        <w:ind w:firstLine="560"/>
        <w:rPr>
          <w:rFonts w:ascii="宋体" w:hAnsi="宋体" w:cs="宋体"/>
          <w:color w:val="auto"/>
          <w:sz w:val="28"/>
          <w:szCs w:val="28"/>
          <w:highlight w:val="none"/>
        </w:rPr>
      </w:pPr>
    </w:p>
    <w:p>
      <w:pPr>
        <w:pStyle w:val="12"/>
        <w:ind w:firstLine="560"/>
        <w:rPr>
          <w:rFonts w:ascii="宋体" w:hAnsi="宋体" w:cs="宋体"/>
          <w:color w:val="auto"/>
          <w:sz w:val="28"/>
          <w:szCs w:val="28"/>
          <w:highlight w:val="none"/>
        </w:rPr>
      </w:pPr>
    </w:p>
    <w:p>
      <w:pPr>
        <w:pStyle w:val="12"/>
        <w:ind w:firstLine="560"/>
        <w:rPr>
          <w:rFonts w:ascii="宋体" w:hAnsi="宋体" w:cs="宋体"/>
          <w:color w:val="auto"/>
          <w:sz w:val="28"/>
          <w:szCs w:val="28"/>
          <w:highlight w:val="none"/>
        </w:rPr>
      </w:pPr>
    </w:p>
    <w:p>
      <w:pPr>
        <w:pStyle w:val="2"/>
        <w:rPr>
          <w:rFonts w:hAnsi="宋体" w:cs="宋体"/>
          <w:bCs/>
          <w:color w:val="auto"/>
          <w:sz w:val="24"/>
          <w:szCs w:val="24"/>
          <w:highlight w:val="none"/>
          <w:lang w:val="zh-CN"/>
        </w:rPr>
      </w:pPr>
      <w:r>
        <w:rPr>
          <w:rFonts w:hint="eastAsia" w:hAnsi="宋体" w:cs="宋体"/>
          <w:color w:val="auto"/>
          <w:szCs w:val="28"/>
          <w:highlight w:val="none"/>
        </w:rPr>
        <w:br w:type="page"/>
      </w:r>
      <w:bookmarkStart w:id="448" w:name="_Toc3094"/>
      <w:r>
        <w:rPr>
          <w:rFonts w:hint="eastAsia" w:hAnsi="宋体" w:cs="宋体"/>
          <w:bCs/>
          <w:color w:val="auto"/>
          <w:sz w:val="24"/>
          <w:szCs w:val="24"/>
          <w:highlight w:val="none"/>
          <w:lang w:val="zh-CN"/>
        </w:rPr>
        <w:t>附件</w:t>
      </w:r>
      <w:bookmarkStart w:id="449" w:name="_Toc130094924"/>
      <w:bookmarkStart w:id="450" w:name="_Toc98731770"/>
      <w:r>
        <w:rPr>
          <w:rFonts w:hint="eastAsia" w:hAnsi="宋体" w:cs="宋体"/>
          <w:bCs/>
          <w:color w:val="auto"/>
          <w:sz w:val="24"/>
          <w:szCs w:val="24"/>
          <w:highlight w:val="none"/>
          <w:lang w:val="en-US" w:eastAsia="zh-CN"/>
        </w:rPr>
        <w:t>七</w:t>
      </w:r>
      <w:r>
        <w:rPr>
          <w:rFonts w:hint="eastAsia" w:hAnsi="宋体" w:cs="宋体"/>
          <w:bCs/>
          <w:color w:val="auto"/>
          <w:sz w:val="24"/>
          <w:szCs w:val="24"/>
          <w:highlight w:val="none"/>
        </w:rPr>
        <w:t>：</w:t>
      </w:r>
    </w:p>
    <w:p>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投 标 函</w:t>
      </w:r>
      <w:bookmarkEnd w:id="448"/>
      <w:bookmarkEnd w:id="449"/>
      <w:bookmarkEnd w:id="450"/>
    </w:p>
    <w:p>
      <w:pPr>
        <w:spacing w:line="360" w:lineRule="auto"/>
        <w:ind w:firstLine="480" w:firstLineChars="200"/>
        <w:rPr>
          <w:rFonts w:ascii="宋体" w:hAnsi="宋体" w:cs="宋体"/>
          <w:color w:val="auto"/>
          <w:sz w:val="24"/>
          <w:highlight w:val="none"/>
          <w:u w:val="singl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绍兴市上虞区虞发市政工程有限公司：</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浙江建诚工程管理咨询有限公司：</w:t>
      </w:r>
    </w:p>
    <w:p>
      <w:pPr>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我单位认真研究了关于</w:t>
      </w:r>
      <w:r>
        <w:rPr>
          <w:rFonts w:hint="eastAsia" w:ascii="宋体" w:hAnsi="宋体" w:cs="宋体"/>
          <w:color w:val="auto"/>
          <w:sz w:val="24"/>
          <w:highlight w:val="none"/>
          <w:u w:val="single"/>
          <w:lang w:val="en-US" w:eastAsia="zh-CN"/>
        </w:rPr>
        <w:t xml:space="preserve">           （项目名称）  </w:t>
      </w:r>
      <w:r>
        <w:rPr>
          <w:rFonts w:hint="eastAsia" w:ascii="宋体" w:hAnsi="宋体" w:cs="宋体"/>
          <w:color w:val="auto"/>
          <w:sz w:val="24"/>
          <w:highlight w:val="none"/>
        </w:rPr>
        <w:t>的招标文件，包括修改文件（如有的话）以及全部参考资料和有关附件。我们完全理解并接受招标文件的各项规定和要求，对招标文件的合理性、合法性不再有异议。如招标文件前后有矛盾的，我方完全同意按贵方的理解处理。我单位承诺：</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495300</wp:posOffset>
                </wp:positionV>
                <wp:extent cx="63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39pt;height:0pt;width:0.05pt;z-index:251659264;mso-width-relative:page;mso-height-relative:page;" filled="f" stroked="t" coordsize="21600,21600" o:allowincell="f" o:gfxdata="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&#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k9JBrSAAAABwEAAA8AAAAAAAAAAQAgAAAAIgAAAGRy&#10;cy9kb3ducmV2LnhtbFBLAQIUABQAAAAIAIdO4kBc6Rvv0gEAAJQDAAAOAAAAAAAAAAEAIAAAACEB&#10;AABkcnMvZTJvRG9jLnhtbFBLBQYAAAAABgAGAFkBAABlBQAAAAA=&#10;">
                <v:fill on="f" focussize="0,0"/>
                <v:stroke color="#000000" joinstyle="round"/>
                <v:imagedata o:title=""/>
                <o:lock v:ext="edit" aspectratio="f"/>
              </v:line>
            </w:pict>
          </mc:Fallback>
        </mc:AlternateContent>
      </w:r>
      <w:r>
        <w:rPr>
          <w:rFonts w:hint="eastAsia" w:ascii="宋体" w:hAnsi="宋体" w:cs="宋体"/>
          <w:color w:val="auto"/>
          <w:sz w:val="24"/>
          <w:highlight w:val="none"/>
        </w:rPr>
        <w:t>1、一旦我单位中标，我单位愿意承接开标一览表中所列的技术服务，工期为：。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2、我单位同意提供按照</w:t>
      </w:r>
      <w:r>
        <w:rPr>
          <w:rFonts w:hint="eastAsia" w:ascii="宋体" w:hAnsi="宋体" w:cs="宋体"/>
          <w:bCs/>
          <w:color w:val="auto"/>
          <w:sz w:val="24"/>
          <w:highlight w:val="none"/>
        </w:rPr>
        <w:t>采购人的可能要求与其投标有关的一切数据和资料，完全理解采购人不一定要接受最低价者作为中标人</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3、一旦我单位中标，我们保证按照招标文件的要求，完成服务。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4、如果我单位中标，我方将按照要求提交履约保证金，严格履行合同义务。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5、除非另行达成协议并生效，你方的中标通知书和本投标函将构成约束你我双方的合同。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6、我单位承诺，一旦发生招标文件第二部分第12条规定情形之一的，承担该条款约定的责任。</w:t>
      </w:r>
    </w:p>
    <w:p>
      <w:pPr>
        <w:pStyle w:val="15"/>
        <w:snapToGrid w:val="0"/>
        <w:spacing w:line="360" w:lineRule="auto"/>
        <w:ind w:left="480"/>
        <w:jc w:val="left"/>
        <w:rPr>
          <w:rFonts w:hAnsi="宋体" w:cs="宋体"/>
          <w:color w:val="auto"/>
          <w:sz w:val="24"/>
          <w:highlight w:val="none"/>
        </w:rPr>
      </w:pPr>
    </w:p>
    <w:p>
      <w:pPr>
        <w:spacing w:line="360" w:lineRule="auto"/>
        <w:ind w:firstLine="480" w:firstLineChars="200"/>
        <w:rPr>
          <w:rFonts w:ascii="宋体" w:hAnsi="宋体" w:cs="宋体"/>
          <w:bCs/>
          <w:color w:val="auto"/>
          <w:sz w:val="24"/>
          <w:szCs w:val="21"/>
          <w:highlight w:val="none"/>
        </w:rPr>
      </w:pPr>
      <w:r>
        <w:rPr>
          <w:rFonts w:hint="eastAsia" w:ascii="宋体" w:hAnsi="宋体" w:cs="宋体"/>
          <w:bCs/>
          <w:color w:val="auto"/>
          <w:sz w:val="24"/>
          <w:szCs w:val="21"/>
          <w:highlight w:val="none"/>
        </w:rPr>
        <w:t>地址：</w:t>
      </w:r>
      <w:r>
        <w:rPr>
          <w:rFonts w:hint="eastAsia" w:ascii="宋体" w:hAnsi="宋体" w:cs="宋体"/>
          <w:bCs/>
          <w:color w:val="auto"/>
          <w:sz w:val="24"/>
          <w:szCs w:val="21"/>
          <w:highlight w:val="none"/>
          <w:lang w:val="en-US" w:eastAsia="zh-CN"/>
        </w:rPr>
        <w:t xml:space="preserve">                     </w:t>
      </w:r>
      <w:r>
        <w:rPr>
          <w:rFonts w:hint="eastAsia" w:ascii="宋体" w:hAnsi="宋体" w:cs="宋体"/>
          <w:bCs/>
          <w:color w:val="auto"/>
          <w:sz w:val="24"/>
          <w:szCs w:val="21"/>
          <w:highlight w:val="none"/>
        </w:rPr>
        <w:t>邮编：</w:t>
      </w:r>
    </w:p>
    <w:p>
      <w:pPr>
        <w:spacing w:line="360" w:lineRule="auto"/>
        <w:ind w:firstLine="480" w:firstLineChars="200"/>
        <w:rPr>
          <w:rFonts w:ascii="宋体" w:hAnsi="宋体" w:cs="宋体"/>
          <w:bCs/>
          <w:color w:val="auto"/>
          <w:sz w:val="24"/>
          <w:szCs w:val="21"/>
          <w:highlight w:val="none"/>
          <w:u w:val="single"/>
        </w:rPr>
      </w:pPr>
      <w:r>
        <w:rPr>
          <w:rFonts w:hint="eastAsia" w:ascii="宋体" w:hAnsi="宋体" w:cs="宋体"/>
          <w:bCs/>
          <w:color w:val="auto"/>
          <w:sz w:val="24"/>
          <w:szCs w:val="21"/>
          <w:highlight w:val="none"/>
        </w:rPr>
        <w:t>电话：</w:t>
      </w:r>
      <w:r>
        <w:rPr>
          <w:rFonts w:hint="eastAsia" w:ascii="宋体" w:hAnsi="宋体" w:cs="宋体"/>
          <w:bCs/>
          <w:color w:val="auto"/>
          <w:sz w:val="24"/>
          <w:szCs w:val="21"/>
          <w:highlight w:val="none"/>
          <w:lang w:val="en-US" w:eastAsia="zh-CN"/>
        </w:rPr>
        <w:t xml:space="preserve">                     </w:t>
      </w:r>
      <w:r>
        <w:rPr>
          <w:rFonts w:hint="eastAsia" w:ascii="宋体" w:hAnsi="宋体" w:cs="宋体"/>
          <w:bCs/>
          <w:color w:val="auto"/>
          <w:sz w:val="24"/>
          <w:szCs w:val="21"/>
          <w:highlight w:val="none"/>
        </w:rPr>
        <w:t>传真：</w:t>
      </w:r>
    </w:p>
    <w:p>
      <w:pPr>
        <w:spacing w:line="360" w:lineRule="auto"/>
        <w:ind w:firstLine="480" w:firstLineChars="200"/>
        <w:rPr>
          <w:rFonts w:ascii="宋体" w:hAnsi="宋体" w:cs="宋体"/>
          <w:bCs/>
          <w:color w:val="auto"/>
          <w:sz w:val="24"/>
          <w:szCs w:val="21"/>
          <w:highlight w:val="none"/>
        </w:rPr>
      </w:pPr>
      <w:r>
        <w:rPr>
          <w:rFonts w:hint="eastAsia" w:ascii="宋体" w:hAnsi="宋体" w:cs="宋体"/>
          <w:bCs/>
          <w:color w:val="auto"/>
          <w:sz w:val="24"/>
          <w:szCs w:val="21"/>
          <w:highlight w:val="none"/>
        </w:rPr>
        <w:t>供应商代表姓名：</w:t>
      </w:r>
      <w:r>
        <w:rPr>
          <w:rFonts w:hint="eastAsia" w:ascii="宋体" w:hAnsi="宋体" w:cs="宋体"/>
          <w:bCs/>
          <w:color w:val="auto"/>
          <w:sz w:val="24"/>
          <w:szCs w:val="21"/>
          <w:highlight w:val="none"/>
          <w:lang w:val="en-US" w:eastAsia="zh-CN"/>
        </w:rPr>
        <w:t xml:space="preserve">           </w:t>
      </w:r>
      <w:r>
        <w:rPr>
          <w:rFonts w:hint="eastAsia" w:ascii="宋体" w:hAnsi="宋体" w:cs="宋体"/>
          <w:bCs/>
          <w:color w:val="auto"/>
          <w:sz w:val="24"/>
          <w:szCs w:val="21"/>
          <w:highlight w:val="none"/>
        </w:rPr>
        <w:t>职务：</w:t>
      </w:r>
    </w:p>
    <w:p>
      <w:pPr>
        <w:spacing w:line="360" w:lineRule="auto"/>
        <w:ind w:firstLine="480" w:firstLineChars="200"/>
        <w:rPr>
          <w:rFonts w:ascii="宋体" w:hAnsi="宋体" w:cs="宋体"/>
          <w:bCs/>
          <w:color w:val="auto"/>
          <w:sz w:val="24"/>
          <w:szCs w:val="21"/>
          <w:highlight w:val="none"/>
          <w:u w:val="single"/>
        </w:rPr>
      </w:pPr>
      <w:r>
        <w:rPr>
          <w:rFonts w:hint="eastAsia" w:ascii="宋体" w:hAnsi="宋体" w:cs="宋体"/>
          <w:bCs/>
          <w:color w:val="auto"/>
          <w:sz w:val="24"/>
          <w:szCs w:val="21"/>
          <w:highlight w:val="none"/>
        </w:rPr>
        <w:t>供应商名称</w:t>
      </w:r>
      <w:r>
        <w:rPr>
          <w:rFonts w:hint="eastAsia" w:ascii="宋体" w:hAnsi="宋体" w:cs="宋体"/>
          <w:bCs/>
          <w:color w:val="auto"/>
          <w:sz w:val="24"/>
          <w:szCs w:val="21"/>
          <w:highlight w:val="none"/>
          <w:u w:val="single"/>
        </w:rPr>
        <w:t>：                   　　　</w:t>
      </w:r>
    </w:p>
    <w:p>
      <w:pPr>
        <w:spacing w:line="360" w:lineRule="auto"/>
        <w:ind w:firstLine="480" w:firstLineChars="200"/>
        <w:rPr>
          <w:rFonts w:ascii="宋体" w:hAnsi="宋体" w:cs="宋体"/>
          <w:bCs/>
          <w:color w:val="auto"/>
          <w:sz w:val="24"/>
          <w:szCs w:val="21"/>
          <w:highlight w:val="none"/>
        </w:rPr>
      </w:pPr>
      <w:r>
        <w:rPr>
          <w:rFonts w:hint="eastAsia" w:ascii="宋体" w:hAnsi="宋体" w:cs="宋体"/>
          <w:bCs/>
          <w:color w:val="auto"/>
          <w:sz w:val="24"/>
          <w:szCs w:val="21"/>
          <w:highlight w:val="none"/>
        </w:rPr>
        <w:t xml:space="preserve">（公章）：                   </w:t>
      </w:r>
    </w:p>
    <w:p>
      <w:pPr>
        <w:spacing w:line="360" w:lineRule="auto"/>
        <w:ind w:left="3780" w:leftChars="1800" w:firstLine="480" w:firstLineChars="200"/>
        <w:rPr>
          <w:rFonts w:ascii="宋体" w:hAnsi="宋体" w:cs="宋体"/>
          <w:color w:val="auto"/>
          <w:sz w:val="24"/>
          <w:highlight w:val="none"/>
        </w:rPr>
      </w:pPr>
      <w:r>
        <w:rPr>
          <w:rFonts w:hint="eastAsia" w:ascii="宋体" w:hAnsi="宋体" w:cs="宋体"/>
          <w:color w:val="auto"/>
          <w:sz w:val="24"/>
          <w:highlight w:val="none"/>
        </w:rPr>
        <w:t xml:space="preserve">法定代表人签名（或签名章）：                       </w:t>
      </w:r>
    </w:p>
    <w:p>
      <w:pPr>
        <w:spacing w:line="360" w:lineRule="auto"/>
        <w:ind w:left="3780" w:leftChars="1800" w:firstLine="480" w:firstLineChars="200"/>
        <w:rPr>
          <w:rFonts w:ascii="宋体" w:hAnsi="宋体" w:cs="宋体"/>
          <w:color w:val="auto"/>
          <w:sz w:val="24"/>
          <w:highlight w:val="none"/>
        </w:rPr>
      </w:pPr>
      <w:r>
        <w:rPr>
          <w:rFonts w:hint="eastAsia" w:ascii="宋体" w:hAnsi="宋体" w:cs="宋体"/>
          <w:color w:val="auto"/>
          <w:sz w:val="24"/>
          <w:highlight w:val="none"/>
        </w:rPr>
        <w:t>日 期：</w:t>
      </w:r>
    </w:p>
    <w:p>
      <w:pPr>
        <w:spacing w:line="360" w:lineRule="auto"/>
        <w:ind w:firstLine="5280" w:firstLineChars="2200"/>
        <w:rPr>
          <w:rFonts w:ascii="宋体" w:hAnsi="宋体" w:cs="宋体"/>
          <w:bCs/>
          <w:color w:val="auto"/>
          <w:sz w:val="24"/>
          <w:szCs w:val="21"/>
          <w:highlight w:val="none"/>
        </w:rPr>
      </w:pPr>
    </w:p>
    <w:p>
      <w:pPr>
        <w:pStyle w:val="2"/>
        <w:rPr>
          <w:rFonts w:hAnsi="宋体" w:cs="宋体"/>
          <w:bCs/>
          <w:color w:val="auto"/>
          <w:sz w:val="24"/>
          <w:szCs w:val="24"/>
          <w:highlight w:val="none"/>
          <w:lang w:val="zh-CN"/>
        </w:rPr>
        <w:sectPr>
          <w:pgSz w:w="11906" w:h="16838"/>
          <w:pgMar w:top="1440" w:right="1800" w:bottom="1440" w:left="1800" w:header="851" w:footer="992" w:gutter="0"/>
          <w:cols w:space="720" w:num="1"/>
          <w:docGrid w:type="lines" w:linePitch="312" w:charSpace="0"/>
        </w:sectPr>
      </w:pPr>
      <w:bookmarkStart w:id="451" w:name="_Toc12011"/>
    </w:p>
    <w:p>
      <w:pPr>
        <w:pStyle w:val="15"/>
        <w:spacing w:line="460" w:lineRule="atLeast"/>
        <w:rPr>
          <w:rFonts w:hAnsi="宋体"/>
          <w:b/>
          <w:bCs/>
          <w:color w:val="auto"/>
          <w:sz w:val="24"/>
          <w:highlight w:val="none"/>
        </w:rPr>
      </w:pPr>
      <w:r>
        <w:rPr>
          <w:rFonts w:hint="eastAsia" w:hAnsi="宋体"/>
          <w:b/>
          <w:bCs/>
          <w:color w:val="auto"/>
          <w:sz w:val="24"/>
          <w:highlight w:val="none"/>
        </w:rPr>
        <w:t>附件</w:t>
      </w:r>
      <w:r>
        <w:rPr>
          <w:rFonts w:hint="eastAsia" w:hAnsi="宋体"/>
          <w:b/>
          <w:bCs/>
          <w:color w:val="auto"/>
          <w:sz w:val="24"/>
          <w:highlight w:val="none"/>
          <w:lang w:val="en-US" w:eastAsia="zh-CN"/>
        </w:rPr>
        <w:t>八</w:t>
      </w:r>
      <w:r>
        <w:rPr>
          <w:rFonts w:hint="eastAsia" w:hAnsi="宋体"/>
          <w:b/>
          <w:bCs/>
          <w:color w:val="auto"/>
          <w:sz w:val="24"/>
          <w:highlight w:val="none"/>
        </w:rPr>
        <w:t>：</w:t>
      </w:r>
    </w:p>
    <w:p>
      <w:pPr>
        <w:spacing w:line="360" w:lineRule="auto"/>
        <w:jc w:val="center"/>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开标一览表</w:t>
      </w:r>
      <w:r>
        <w:rPr>
          <w:rFonts w:hint="eastAsia" w:ascii="宋体" w:hAnsi="宋体" w:cs="宋体"/>
          <w:b/>
          <w:bCs/>
          <w:color w:val="auto"/>
          <w:sz w:val="32"/>
          <w:szCs w:val="32"/>
          <w:highlight w:val="none"/>
          <w:lang w:eastAsia="zh-CN"/>
        </w:rPr>
        <w:t>（</w:t>
      </w:r>
      <w:r>
        <w:rPr>
          <w:rFonts w:hint="eastAsia" w:ascii="宋体" w:hAnsi="宋体" w:cs="宋体"/>
          <w:b/>
          <w:bCs/>
          <w:color w:val="auto"/>
          <w:sz w:val="32"/>
          <w:szCs w:val="32"/>
          <w:highlight w:val="none"/>
          <w:lang w:val="en-US" w:eastAsia="zh-CN"/>
        </w:rPr>
        <w:t>I标</w:t>
      </w:r>
      <w:r>
        <w:rPr>
          <w:rFonts w:hint="eastAsia" w:ascii="宋体" w:hAnsi="宋体" w:cs="宋体"/>
          <w:b/>
          <w:bCs/>
          <w:color w:val="auto"/>
          <w:sz w:val="32"/>
          <w:szCs w:val="32"/>
          <w:highlight w:val="none"/>
          <w:lang w:eastAsia="zh-CN"/>
        </w:rPr>
        <w:t>）</w:t>
      </w:r>
    </w:p>
    <w:p>
      <w:pPr>
        <w:pStyle w:val="15"/>
        <w:spacing w:line="460" w:lineRule="atLeast"/>
        <w:rPr>
          <w:rFonts w:hAnsi="宋体"/>
          <w:color w:val="auto"/>
          <w:sz w:val="24"/>
          <w:highlight w:val="none"/>
        </w:rPr>
      </w:pPr>
    </w:p>
    <w:bookmarkEnd w:id="451"/>
    <w:p>
      <w:pPr>
        <w:spacing w:line="360" w:lineRule="auto"/>
        <w:ind w:firstLine="480" w:firstLineChars="200"/>
        <w:rPr>
          <w:rFonts w:ascii="宋体" w:hAnsi="宋体" w:cs="宋体"/>
          <w:color w:val="auto"/>
          <w:sz w:val="24"/>
          <w:highlight w:val="none"/>
        </w:rPr>
      </w:pPr>
      <w:bookmarkStart w:id="452" w:name="_Toc7196"/>
      <w:r>
        <w:rPr>
          <w:rFonts w:hint="eastAsia" w:ascii="宋体" w:hAnsi="宋体" w:cs="宋体"/>
          <w:color w:val="auto"/>
          <w:sz w:val="24"/>
          <w:highlight w:val="none"/>
        </w:rPr>
        <w:t>项目名称：</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项目编号：</w:t>
      </w:r>
    </w:p>
    <w:tbl>
      <w:tblPr>
        <w:tblStyle w:val="30"/>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4"/>
        <w:gridCol w:w="1333"/>
        <w:gridCol w:w="1370"/>
        <w:gridCol w:w="1010"/>
        <w:gridCol w:w="937"/>
        <w:gridCol w:w="2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1" w:hRule="atLeast"/>
          <w:jc w:val="center"/>
        </w:trPr>
        <w:tc>
          <w:tcPr>
            <w:tcW w:w="1274" w:type="dxa"/>
            <w:vMerge w:val="restart"/>
            <w:noWrap/>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投标报价</w:t>
            </w:r>
          </w:p>
        </w:tc>
        <w:tc>
          <w:tcPr>
            <w:tcW w:w="1333" w:type="dxa"/>
            <w:noWrap/>
            <w:vAlign w:val="center"/>
          </w:tcPr>
          <w:p>
            <w:pPr>
              <w:spacing w:line="360" w:lineRule="auto"/>
              <w:jc w:val="center"/>
              <w:rPr>
                <w:rFonts w:hint="eastAsia" w:ascii="宋体" w:hAnsi="宋体" w:eastAsia="宋体" w:cs="宋体"/>
                <w:b/>
                <w:bCs/>
                <w:color w:val="FF0000"/>
                <w:kern w:val="0"/>
                <w:sz w:val="24"/>
                <w:highlight w:val="none"/>
                <w:lang w:val="en-US" w:eastAsia="zh-CN"/>
              </w:rPr>
            </w:pPr>
            <w:r>
              <w:rPr>
                <w:rFonts w:hint="eastAsia" w:ascii="宋体" w:hAnsi="宋体" w:cs="宋体"/>
                <w:b/>
                <w:bCs/>
                <w:color w:val="FF0000"/>
                <w:kern w:val="0"/>
                <w:sz w:val="24"/>
                <w:highlight w:val="none"/>
                <w:lang w:val="en-US" w:eastAsia="zh-CN"/>
              </w:rPr>
              <w:t>分项</w:t>
            </w:r>
          </w:p>
        </w:tc>
        <w:tc>
          <w:tcPr>
            <w:tcW w:w="1370" w:type="dxa"/>
            <w:noWrap/>
            <w:vAlign w:val="center"/>
          </w:tcPr>
          <w:p>
            <w:pPr>
              <w:spacing w:line="360" w:lineRule="auto"/>
              <w:jc w:val="center"/>
              <w:rPr>
                <w:rFonts w:hint="default" w:ascii="宋体" w:hAnsi="宋体" w:eastAsia="宋体" w:cs="宋体"/>
                <w:b/>
                <w:bCs/>
                <w:color w:val="auto"/>
                <w:kern w:val="0"/>
                <w:sz w:val="24"/>
                <w:highlight w:val="none"/>
                <w:lang w:val="en-US" w:eastAsia="zh-CN"/>
              </w:rPr>
            </w:pPr>
            <w:r>
              <w:rPr>
                <w:rFonts w:hint="eastAsia" w:ascii="宋体" w:hAnsi="宋体" w:cs="宋体"/>
                <w:b/>
                <w:bCs/>
                <w:color w:val="auto"/>
                <w:kern w:val="0"/>
                <w:sz w:val="24"/>
                <w:highlight w:val="none"/>
                <w:lang w:val="en-US" w:eastAsia="zh-CN"/>
              </w:rPr>
              <w:t>每年每平方米</w:t>
            </w:r>
            <w:r>
              <w:rPr>
                <w:rFonts w:hint="eastAsia" w:ascii="宋体" w:hAnsi="宋体" w:cs="宋体"/>
                <w:b/>
                <w:bCs/>
                <w:color w:val="FF0000"/>
                <w:kern w:val="0"/>
                <w:sz w:val="24"/>
                <w:highlight w:val="none"/>
                <w:lang w:val="en-US" w:eastAsia="zh-CN"/>
              </w:rPr>
              <w:t>综合</w:t>
            </w:r>
            <w:r>
              <w:rPr>
                <w:rFonts w:hint="eastAsia" w:ascii="宋体" w:hAnsi="宋体" w:cs="宋体"/>
                <w:b/>
                <w:bCs/>
                <w:color w:val="auto"/>
                <w:kern w:val="0"/>
                <w:sz w:val="24"/>
                <w:highlight w:val="none"/>
                <w:lang w:val="en-US" w:eastAsia="zh-CN"/>
              </w:rPr>
              <w:t>单价（元）</w:t>
            </w:r>
          </w:p>
        </w:tc>
        <w:tc>
          <w:tcPr>
            <w:tcW w:w="1010" w:type="dxa"/>
            <w:noWrap/>
            <w:vAlign w:val="center"/>
          </w:tcPr>
          <w:p>
            <w:pPr>
              <w:spacing w:line="360" w:lineRule="auto"/>
              <w:jc w:val="center"/>
              <w:rPr>
                <w:rFonts w:hint="default" w:ascii="宋体" w:hAnsi="宋体" w:cs="宋体"/>
                <w:b/>
                <w:bCs/>
                <w:color w:val="auto"/>
                <w:kern w:val="0"/>
                <w:sz w:val="24"/>
                <w:highlight w:val="none"/>
                <w:lang w:val="en-US" w:eastAsia="zh-CN"/>
              </w:rPr>
            </w:pPr>
            <w:r>
              <w:rPr>
                <w:rFonts w:hint="eastAsia" w:ascii="宋体" w:hAnsi="宋体" w:cs="宋体"/>
                <w:b/>
                <w:bCs/>
                <w:color w:val="auto"/>
                <w:kern w:val="0"/>
                <w:sz w:val="24"/>
                <w:highlight w:val="none"/>
                <w:lang w:val="en-US" w:eastAsia="zh-CN"/>
              </w:rPr>
              <w:t>面积（平方米）</w:t>
            </w:r>
          </w:p>
        </w:tc>
        <w:tc>
          <w:tcPr>
            <w:tcW w:w="937" w:type="dxa"/>
            <w:noWrap/>
            <w:vAlign w:val="center"/>
          </w:tcPr>
          <w:p>
            <w:pPr>
              <w:spacing w:line="360" w:lineRule="auto"/>
              <w:jc w:val="center"/>
              <w:rPr>
                <w:rFonts w:hint="default" w:ascii="宋体" w:hAnsi="宋体" w:eastAsia="宋体" w:cs="宋体"/>
                <w:b/>
                <w:bCs/>
                <w:color w:val="auto"/>
                <w:kern w:val="0"/>
                <w:sz w:val="24"/>
                <w:highlight w:val="none"/>
                <w:lang w:val="en-US" w:eastAsia="zh-CN"/>
              </w:rPr>
            </w:pPr>
            <w:r>
              <w:rPr>
                <w:rFonts w:hint="eastAsia" w:ascii="宋体" w:hAnsi="宋体" w:cs="宋体"/>
                <w:b/>
                <w:bCs/>
                <w:color w:val="auto"/>
                <w:kern w:val="0"/>
                <w:sz w:val="24"/>
                <w:highlight w:val="none"/>
                <w:lang w:val="en-US" w:eastAsia="zh-CN"/>
              </w:rPr>
              <w:t>服务期限（年）</w:t>
            </w:r>
          </w:p>
        </w:tc>
        <w:tc>
          <w:tcPr>
            <w:tcW w:w="2752" w:type="dxa"/>
            <w:noWrap/>
            <w:vAlign w:val="center"/>
          </w:tcPr>
          <w:p>
            <w:pPr>
              <w:spacing w:line="360" w:lineRule="auto"/>
              <w:jc w:val="center"/>
              <w:rPr>
                <w:rFonts w:hint="eastAsia" w:ascii="宋体" w:hAnsi="宋体" w:cs="宋体"/>
                <w:b/>
                <w:bCs/>
                <w:color w:val="auto"/>
                <w:kern w:val="0"/>
                <w:sz w:val="24"/>
                <w:highlight w:val="none"/>
                <w:lang w:val="en-US" w:eastAsia="zh-CN"/>
              </w:rPr>
            </w:pPr>
            <w:r>
              <w:rPr>
                <w:rFonts w:hint="eastAsia" w:ascii="宋体" w:hAnsi="宋体" w:cs="宋体"/>
                <w:b/>
                <w:bCs/>
                <w:color w:val="auto"/>
                <w:kern w:val="0"/>
                <w:sz w:val="24"/>
                <w:highlight w:val="none"/>
                <w:lang w:val="en-US" w:eastAsia="zh-CN"/>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1" w:hRule="atLeast"/>
          <w:jc w:val="center"/>
        </w:trPr>
        <w:tc>
          <w:tcPr>
            <w:tcW w:w="1274" w:type="dxa"/>
            <w:vMerge w:val="continue"/>
            <w:noWrap/>
            <w:vAlign w:val="center"/>
          </w:tcPr>
          <w:p>
            <w:pPr>
              <w:spacing w:line="360" w:lineRule="auto"/>
              <w:jc w:val="center"/>
              <w:rPr>
                <w:rFonts w:hint="eastAsia" w:ascii="宋体" w:hAnsi="宋体" w:cs="宋体"/>
                <w:b/>
                <w:bCs/>
                <w:color w:val="auto"/>
                <w:kern w:val="0"/>
                <w:sz w:val="24"/>
                <w:highlight w:val="none"/>
              </w:rPr>
            </w:pPr>
          </w:p>
        </w:tc>
        <w:tc>
          <w:tcPr>
            <w:tcW w:w="1333" w:type="dxa"/>
            <w:noWrap/>
            <w:vAlign w:val="center"/>
          </w:tcPr>
          <w:p>
            <w:pPr>
              <w:spacing w:line="360" w:lineRule="auto"/>
              <w:jc w:val="center"/>
              <w:rPr>
                <w:rFonts w:hint="default" w:ascii="宋体" w:hAnsi="宋体" w:eastAsia="宋体" w:cs="宋体"/>
                <w:b/>
                <w:bCs/>
                <w:color w:val="FF0000"/>
                <w:kern w:val="0"/>
                <w:sz w:val="24"/>
                <w:highlight w:val="none"/>
                <w:lang w:val="en-US" w:eastAsia="zh-CN"/>
              </w:rPr>
            </w:pPr>
            <w:r>
              <w:rPr>
                <w:rFonts w:hint="eastAsia" w:ascii="宋体" w:hAnsi="宋体" w:cs="宋体"/>
                <w:b/>
                <w:bCs/>
                <w:color w:val="FF0000"/>
                <w:kern w:val="0"/>
                <w:sz w:val="24"/>
                <w:highlight w:val="none"/>
                <w:lang w:val="en-US" w:eastAsia="zh-CN"/>
              </w:rPr>
              <w:t>道路保洁</w:t>
            </w:r>
          </w:p>
        </w:tc>
        <w:tc>
          <w:tcPr>
            <w:tcW w:w="1370" w:type="dxa"/>
            <w:noWrap/>
            <w:vAlign w:val="center"/>
          </w:tcPr>
          <w:p>
            <w:pPr>
              <w:spacing w:line="360" w:lineRule="auto"/>
              <w:jc w:val="center"/>
              <w:rPr>
                <w:rFonts w:hint="default" w:ascii="宋体" w:hAnsi="宋体" w:cs="宋体"/>
                <w:b/>
                <w:bCs/>
                <w:color w:val="auto"/>
                <w:kern w:val="0"/>
                <w:sz w:val="24"/>
                <w:highlight w:val="none"/>
                <w:lang w:val="en-US" w:eastAsia="zh-CN"/>
              </w:rPr>
            </w:pPr>
            <w:r>
              <w:rPr>
                <w:rFonts w:hint="eastAsia" w:ascii="宋体" w:hAnsi="宋体" w:cs="宋体"/>
                <w:b/>
                <w:bCs/>
                <w:color w:val="auto"/>
                <w:kern w:val="0"/>
                <w:sz w:val="24"/>
                <w:highlight w:val="none"/>
                <w:u w:val="single"/>
                <w:lang w:val="en-US" w:eastAsia="zh-CN"/>
              </w:rPr>
              <w:t xml:space="preserve">      </w:t>
            </w:r>
            <w:r>
              <w:rPr>
                <w:rFonts w:hint="eastAsia" w:ascii="宋体" w:hAnsi="宋体" w:cs="宋体"/>
                <w:b/>
                <w:bCs/>
                <w:color w:val="auto"/>
                <w:kern w:val="0"/>
                <w:sz w:val="24"/>
                <w:highlight w:val="none"/>
                <w:lang w:val="en-US" w:eastAsia="zh-CN"/>
              </w:rPr>
              <w:t>元</w:t>
            </w:r>
          </w:p>
        </w:tc>
        <w:tc>
          <w:tcPr>
            <w:tcW w:w="1010" w:type="dxa"/>
            <w:noWrap/>
            <w:vAlign w:val="center"/>
          </w:tcPr>
          <w:p>
            <w:pPr>
              <w:spacing w:line="360" w:lineRule="auto"/>
              <w:jc w:val="center"/>
              <w:rPr>
                <w:rFonts w:hint="eastAsia" w:ascii="宋体" w:hAnsi="宋体" w:cs="宋体"/>
                <w:b/>
                <w:bCs/>
                <w:color w:val="auto"/>
                <w:kern w:val="0"/>
                <w:sz w:val="24"/>
                <w:highlight w:val="none"/>
                <w:lang w:val="en-US" w:eastAsia="zh-CN"/>
              </w:rPr>
            </w:pPr>
          </w:p>
        </w:tc>
        <w:tc>
          <w:tcPr>
            <w:tcW w:w="937" w:type="dxa"/>
            <w:noWrap/>
            <w:vAlign w:val="center"/>
          </w:tcPr>
          <w:p>
            <w:pPr>
              <w:spacing w:line="360" w:lineRule="auto"/>
              <w:jc w:val="center"/>
              <w:rPr>
                <w:rFonts w:hint="eastAsia" w:ascii="宋体" w:hAnsi="宋体" w:eastAsia="宋体" w:cs="宋体"/>
                <w:b/>
                <w:bCs/>
                <w:color w:val="auto"/>
                <w:kern w:val="0"/>
                <w:sz w:val="24"/>
                <w:highlight w:val="none"/>
                <w:lang w:val="en-US" w:eastAsia="zh-CN"/>
              </w:rPr>
            </w:pPr>
            <w:r>
              <w:rPr>
                <w:rFonts w:hint="eastAsia" w:ascii="宋体" w:hAnsi="宋体" w:cs="宋体"/>
                <w:b/>
                <w:bCs/>
                <w:color w:val="auto"/>
                <w:kern w:val="0"/>
                <w:sz w:val="24"/>
                <w:highlight w:val="none"/>
                <w:lang w:val="en-US" w:eastAsia="zh-CN"/>
              </w:rPr>
              <w:t>2</w:t>
            </w:r>
          </w:p>
        </w:tc>
        <w:tc>
          <w:tcPr>
            <w:tcW w:w="2752" w:type="dxa"/>
            <w:noWrap/>
            <w:vAlign w:val="center"/>
          </w:tcPr>
          <w:p>
            <w:pPr>
              <w:spacing w:line="360" w:lineRule="auto"/>
              <w:jc w:val="both"/>
              <w:rPr>
                <w:rFonts w:hint="eastAsia" w:ascii="宋体" w:hAnsi="宋体" w:cs="宋体"/>
                <w:b/>
                <w:bCs/>
                <w:color w:val="auto"/>
                <w:kern w:val="0"/>
                <w:sz w:val="24"/>
                <w:highlight w:val="none"/>
              </w:rPr>
            </w:pPr>
            <w:r>
              <w:rPr>
                <w:rFonts w:hint="eastAsia" w:ascii="宋体" w:hAnsi="宋体" w:cs="宋体"/>
                <w:b/>
                <w:bCs/>
                <w:color w:val="auto"/>
                <w:kern w:val="0"/>
                <w:sz w:val="24"/>
                <w:highlight w:val="none"/>
                <w:lang w:eastAsia="zh-CN"/>
              </w:rPr>
              <w:t>小写：</w:t>
            </w:r>
            <w:r>
              <w:rPr>
                <w:rFonts w:hint="eastAsia" w:ascii="宋体" w:hAnsi="宋体" w:cs="宋体"/>
                <w:b/>
                <w:bCs/>
                <w:color w:val="auto"/>
                <w:kern w:val="0"/>
                <w:sz w:val="24"/>
                <w:highlight w:val="none"/>
                <w:u w:val="single"/>
                <w:lang w:val="en-US" w:eastAsia="zh-CN"/>
              </w:rPr>
              <w:t xml:space="preserve">           </w:t>
            </w:r>
            <w:r>
              <w:rPr>
                <w:rFonts w:hint="eastAsia" w:ascii="宋体" w:hAnsi="宋体" w:cs="宋体"/>
                <w:b/>
                <w:bCs/>
                <w:color w:val="auto"/>
                <w:kern w:val="0"/>
                <w:sz w:val="24"/>
                <w:highlight w:val="none"/>
              </w:rPr>
              <w:t>元</w:t>
            </w:r>
          </w:p>
          <w:p>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（大写：</w:t>
            </w:r>
            <w:r>
              <w:rPr>
                <w:rFonts w:hint="eastAsia" w:ascii="宋体" w:hAnsi="宋体" w:cs="宋体"/>
                <w:b/>
                <w:bCs/>
                <w:color w:val="auto"/>
                <w:kern w:val="0"/>
                <w:sz w:val="24"/>
                <w:highlight w:val="none"/>
                <w:u w:val="single"/>
                <w:lang w:val="en-US" w:eastAsia="zh-CN"/>
              </w:rPr>
              <w:t xml:space="preserve">         </w:t>
            </w:r>
            <w:r>
              <w:rPr>
                <w:rFonts w:hint="eastAsia" w:ascii="宋体" w:hAnsi="宋体" w:cs="宋体"/>
                <w:b/>
                <w:bCs/>
                <w:color w:val="auto"/>
                <w:kern w:val="0"/>
                <w:sz w:val="24"/>
                <w:highlight w:val="none"/>
              </w:rPr>
              <w:t>元</w:t>
            </w:r>
            <w:r>
              <w:rPr>
                <w:rFonts w:hint="eastAsia" w:ascii="宋体" w:hAnsi="宋体" w:cs="宋体"/>
                <w:b/>
                <w:bCs/>
                <w:color w:val="auto"/>
                <w:kern w:val="0"/>
                <w:sz w:val="24"/>
                <w:highlight w:val="none"/>
                <w:lang w:eastAsia="zh-CN"/>
              </w:rPr>
              <w:t>整</w:t>
            </w:r>
            <w:r>
              <w:rPr>
                <w:rFonts w:hint="eastAsia" w:ascii="宋体" w:hAnsi="宋体" w:cs="宋体"/>
                <w:b/>
                <w:bCs/>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1" w:hRule="atLeast"/>
          <w:jc w:val="center"/>
        </w:trPr>
        <w:tc>
          <w:tcPr>
            <w:tcW w:w="1274" w:type="dxa"/>
            <w:vMerge w:val="continue"/>
            <w:noWrap/>
            <w:vAlign w:val="center"/>
          </w:tcPr>
          <w:p>
            <w:pPr>
              <w:spacing w:line="360" w:lineRule="auto"/>
              <w:jc w:val="center"/>
              <w:rPr>
                <w:rFonts w:hint="eastAsia" w:ascii="宋体" w:hAnsi="宋体" w:cs="宋体"/>
                <w:b/>
                <w:bCs/>
                <w:color w:val="auto"/>
                <w:kern w:val="0"/>
                <w:sz w:val="24"/>
                <w:highlight w:val="none"/>
              </w:rPr>
            </w:pPr>
          </w:p>
        </w:tc>
        <w:tc>
          <w:tcPr>
            <w:tcW w:w="1333" w:type="dxa"/>
            <w:noWrap/>
            <w:vAlign w:val="center"/>
          </w:tcPr>
          <w:p>
            <w:pPr>
              <w:spacing w:line="360" w:lineRule="auto"/>
              <w:jc w:val="center"/>
              <w:rPr>
                <w:rFonts w:hint="default" w:ascii="宋体" w:hAnsi="宋体" w:eastAsia="宋体" w:cs="宋体"/>
                <w:b/>
                <w:bCs/>
                <w:color w:val="FF0000"/>
                <w:kern w:val="0"/>
                <w:sz w:val="24"/>
                <w:highlight w:val="none"/>
                <w:lang w:val="en-US" w:eastAsia="zh-CN"/>
              </w:rPr>
            </w:pPr>
            <w:r>
              <w:rPr>
                <w:rFonts w:hint="eastAsia" w:ascii="宋体" w:hAnsi="宋体" w:cs="宋体"/>
                <w:b/>
                <w:bCs/>
                <w:color w:val="FF0000"/>
                <w:kern w:val="0"/>
                <w:sz w:val="24"/>
                <w:highlight w:val="none"/>
                <w:lang w:val="en-US" w:eastAsia="zh-CN"/>
              </w:rPr>
              <w:t>绿化带保洁</w:t>
            </w:r>
          </w:p>
        </w:tc>
        <w:tc>
          <w:tcPr>
            <w:tcW w:w="1370" w:type="dxa"/>
            <w:noWrap/>
            <w:vAlign w:val="center"/>
          </w:tcPr>
          <w:p>
            <w:pPr>
              <w:spacing w:line="360" w:lineRule="auto"/>
              <w:jc w:val="center"/>
              <w:rPr>
                <w:rFonts w:hint="eastAsia" w:ascii="宋体" w:hAnsi="宋体" w:cs="宋体"/>
                <w:b/>
                <w:bCs/>
                <w:color w:val="auto"/>
                <w:kern w:val="0"/>
                <w:sz w:val="24"/>
                <w:highlight w:val="none"/>
                <w:u w:val="single"/>
                <w:lang w:val="en-US" w:eastAsia="zh-CN"/>
              </w:rPr>
            </w:pPr>
            <w:r>
              <w:rPr>
                <w:rFonts w:hint="eastAsia" w:ascii="宋体" w:hAnsi="宋体" w:cs="宋体"/>
                <w:b/>
                <w:bCs/>
                <w:color w:val="auto"/>
                <w:kern w:val="0"/>
                <w:sz w:val="24"/>
                <w:highlight w:val="none"/>
                <w:u w:val="single"/>
                <w:lang w:val="en-US" w:eastAsia="zh-CN"/>
              </w:rPr>
              <w:t xml:space="preserve">      </w:t>
            </w:r>
            <w:r>
              <w:rPr>
                <w:rFonts w:hint="eastAsia" w:ascii="宋体" w:hAnsi="宋体" w:cs="宋体"/>
                <w:b/>
                <w:bCs/>
                <w:color w:val="auto"/>
                <w:kern w:val="0"/>
                <w:sz w:val="24"/>
                <w:highlight w:val="none"/>
                <w:lang w:val="en-US" w:eastAsia="zh-CN"/>
              </w:rPr>
              <w:t>元</w:t>
            </w:r>
          </w:p>
        </w:tc>
        <w:tc>
          <w:tcPr>
            <w:tcW w:w="1010" w:type="dxa"/>
            <w:noWrap/>
            <w:vAlign w:val="center"/>
          </w:tcPr>
          <w:p>
            <w:pPr>
              <w:spacing w:line="360" w:lineRule="auto"/>
              <w:jc w:val="center"/>
              <w:rPr>
                <w:rFonts w:hint="eastAsia" w:ascii="宋体" w:hAnsi="宋体" w:cs="宋体"/>
                <w:b/>
                <w:bCs/>
                <w:color w:val="auto"/>
                <w:kern w:val="0"/>
                <w:sz w:val="24"/>
                <w:highlight w:val="none"/>
                <w:lang w:val="en-US" w:eastAsia="zh-CN"/>
              </w:rPr>
            </w:pPr>
          </w:p>
        </w:tc>
        <w:tc>
          <w:tcPr>
            <w:tcW w:w="937" w:type="dxa"/>
            <w:noWrap/>
            <w:vAlign w:val="center"/>
          </w:tcPr>
          <w:p>
            <w:pPr>
              <w:spacing w:line="360" w:lineRule="auto"/>
              <w:jc w:val="center"/>
              <w:rPr>
                <w:rFonts w:hint="eastAsia" w:ascii="宋体" w:hAnsi="宋体" w:cs="宋体"/>
                <w:b/>
                <w:bCs/>
                <w:color w:val="auto"/>
                <w:kern w:val="0"/>
                <w:sz w:val="24"/>
                <w:highlight w:val="none"/>
                <w:lang w:val="en-US" w:eastAsia="zh-CN"/>
              </w:rPr>
            </w:pPr>
            <w:r>
              <w:rPr>
                <w:rFonts w:hint="eastAsia" w:ascii="宋体" w:hAnsi="宋体" w:cs="宋体"/>
                <w:b/>
                <w:bCs/>
                <w:color w:val="auto"/>
                <w:kern w:val="0"/>
                <w:sz w:val="24"/>
                <w:highlight w:val="none"/>
                <w:lang w:val="en-US" w:eastAsia="zh-CN"/>
              </w:rPr>
              <w:t>2</w:t>
            </w:r>
          </w:p>
        </w:tc>
        <w:tc>
          <w:tcPr>
            <w:tcW w:w="2752" w:type="dxa"/>
            <w:noWrap/>
            <w:vAlign w:val="center"/>
          </w:tcPr>
          <w:p>
            <w:pPr>
              <w:spacing w:line="360" w:lineRule="auto"/>
              <w:jc w:val="both"/>
              <w:rPr>
                <w:rFonts w:hint="eastAsia" w:ascii="宋体" w:hAnsi="宋体" w:cs="宋体"/>
                <w:b/>
                <w:bCs/>
                <w:color w:val="auto"/>
                <w:kern w:val="0"/>
                <w:sz w:val="24"/>
                <w:highlight w:val="none"/>
              </w:rPr>
            </w:pPr>
            <w:r>
              <w:rPr>
                <w:rFonts w:hint="eastAsia" w:ascii="宋体" w:hAnsi="宋体" w:cs="宋体"/>
                <w:b/>
                <w:bCs/>
                <w:color w:val="auto"/>
                <w:kern w:val="0"/>
                <w:sz w:val="24"/>
                <w:highlight w:val="none"/>
                <w:lang w:eastAsia="zh-CN"/>
              </w:rPr>
              <w:t>小写：</w:t>
            </w:r>
            <w:r>
              <w:rPr>
                <w:rFonts w:hint="eastAsia" w:ascii="宋体" w:hAnsi="宋体" w:cs="宋体"/>
                <w:b/>
                <w:bCs/>
                <w:color w:val="auto"/>
                <w:kern w:val="0"/>
                <w:sz w:val="24"/>
                <w:highlight w:val="none"/>
                <w:u w:val="single"/>
                <w:lang w:val="en-US" w:eastAsia="zh-CN"/>
              </w:rPr>
              <w:t xml:space="preserve">           </w:t>
            </w:r>
            <w:r>
              <w:rPr>
                <w:rFonts w:hint="eastAsia" w:ascii="宋体" w:hAnsi="宋体" w:cs="宋体"/>
                <w:b/>
                <w:bCs/>
                <w:color w:val="auto"/>
                <w:kern w:val="0"/>
                <w:sz w:val="24"/>
                <w:highlight w:val="none"/>
              </w:rPr>
              <w:t>元</w:t>
            </w:r>
          </w:p>
          <w:p>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（大写：</w:t>
            </w:r>
            <w:r>
              <w:rPr>
                <w:rFonts w:hint="eastAsia" w:ascii="宋体" w:hAnsi="宋体" w:cs="宋体"/>
                <w:b/>
                <w:bCs/>
                <w:color w:val="auto"/>
                <w:kern w:val="0"/>
                <w:sz w:val="24"/>
                <w:highlight w:val="none"/>
                <w:u w:val="single"/>
                <w:lang w:val="en-US" w:eastAsia="zh-CN"/>
              </w:rPr>
              <w:t xml:space="preserve">         </w:t>
            </w:r>
            <w:r>
              <w:rPr>
                <w:rFonts w:hint="eastAsia" w:ascii="宋体" w:hAnsi="宋体" w:cs="宋体"/>
                <w:b/>
                <w:bCs/>
                <w:color w:val="auto"/>
                <w:kern w:val="0"/>
                <w:sz w:val="24"/>
                <w:highlight w:val="none"/>
              </w:rPr>
              <w:t>元</w:t>
            </w:r>
            <w:r>
              <w:rPr>
                <w:rFonts w:hint="eastAsia" w:ascii="宋体" w:hAnsi="宋体" w:cs="宋体"/>
                <w:b/>
                <w:bCs/>
                <w:color w:val="auto"/>
                <w:kern w:val="0"/>
                <w:sz w:val="24"/>
                <w:highlight w:val="none"/>
                <w:lang w:eastAsia="zh-CN"/>
              </w:rPr>
              <w:t>整</w:t>
            </w:r>
            <w:r>
              <w:rPr>
                <w:rFonts w:hint="eastAsia" w:ascii="宋体" w:hAnsi="宋体" w:cs="宋体"/>
                <w:b/>
                <w:bCs/>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5" w:hRule="atLeast"/>
          <w:jc w:val="center"/>
        </w:trPr>
        <w:tc>
          <w:tcPr>
            <w:tcW w:w="8676" w:type="dxa"/>
            <w:gridSpan w:val="6"/>
            <w:noWrap/>
            <w:vAlign w:val="center"/>
          </w:tcPr>
          <w:p>
            <w:pPr>
              <w:autoSpaceDE w:val="0"/>
              <w:autoSpaceDN w:val="0"/>
              <w:adjustRightInd w:val="0"/>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投标</w:t>
            </w:r>
            <w:r>
              <w:rPr>
                <w:rFonts w:hint="eastAsia" w:ascii="宋体" w:hAnsi="宋体" w:cs="宋体"/>
                <w:bCs/>
                <w:color w:val="FF0000"/>
                <w:sz w:val="24"/>
                <w:highlight w:val="none"/>
                <w:lang w:val="en-US" w:eastAsia="zh-CN"/>
              </w:rPr>
              <w:t>综合单</w:t>
            </w:r>
            <w:r>
              <w:rPr>
                <w:rFonts w:hint="eastAsia" w:ascii="宋体" w:hAnsi="宋体" w:cs="宋体"/>
                <w:bCs/>
                <w:color w:val="FF0000"/>
                <w:sz w:val="24"/>
                <w:highlight w:val="none"/>
              </w:rPr>
              <w:t>价</w:t>
            </w:r>
            <w:r>
              <w:rPr>
                <w:rFonts w:hint="eastAsia" w:ascii="宋体" w:hAnsi="宋体" w:cs="宋体"/>
                <w:bCs/>
                <w:color w:val="auto"/>
                <w:sz w:val="24"/>
                <w:highlight w:val="none"/>
              </w:rPr>
              <w:t>统一为人民币计价，</w:t>
            </w:r>
            <w:r>
              <w:rPr>
                <w:rFonts w:hint="eastAsia"/>
                <w:b/>
                <w:color w:val="auto"/>
                <w:sz w:val="24"/>
                <w:highlight w:val="none"/>
              </w:rPr>
              <w:t>应</w:t>
            </w:r>
            <w:r>
              <w:rPr>
                <w:b/>
                <w:color w:val="auto"/>
                <w:sz w:val="24"/>
                <w:highlight w:val="none"/>
              </w:rPr>
              <w:t>包括</w:t>
            </w:r>
            <w:r>
              <w:rPr>
                <w:rFonts w:hint="eastAsia"/>
                <w:b/>
                <w:color w:val="auto"/>
                <w:sz w:val="24"/>
                <w:highlight w:val="none"/>
              </w:rPr>
              <w:t>但不限于完成本项目服务可能发生的全部费用包括</w:t>
            </w:r>
            <w:r>
              <w:rPr>
                <w:rFonts w:hint="eastAsia" w:hAnsi="宋体" w:cs="宋体"/>
                <w:b/>
                <w:bCs/>
                <w:color w:val="auto"/>
                <w:sz w:val="24"/>
                <w:highlight w:val="none"/>
              </w:rPr>
              <w:t>保洁、管理人员的意外保险、</w:t>
            </w:r>
            <w:r>
              <w:rPr>
                <w:rFonts w:hint="eastAsia"/>
                <w:b/>
                <w:color w:val="auto"/>
                <w:sz w:val="24"/>
                <w:highlight w:val="none"/>
              </w:rPr>
              <w:t>工资福利、社保、服装费、办公用品、劳动用品、工器具、管理费、税费、垃圾清扫清运设备费用、运输费用、燃油、保养维修、垃圾处置及清运费用及不可预见费等所有费用</w:t>
            </w:r>
            <w:r>
              <w:rPr>
                <w:rFonts w:hint="eastAsia" w:hAnsi="宋体" w:cs="宋体"/>
                <w:color w:val="auto"/>
                <w:kern w:val="0"/>
                <w:sz w:val="24"/>
                <w:highlight w:val="none"/>
              </w:rPr>
              <w:t>。</w:t>
            </w:r>
          </w:p>
        </w:tc>
      </w:tr>
    </w:tbl>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注: </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1、报价一经涂改，应在涂改处加盖单位公章或者由法定代表人或授权委托人签字或盖章，否则其投标作无效标处理。</w:t>
      </w: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pStyle w:val="15"/>
        <w:spacing w:line="420" w:lineRule="auto"/>
        <w:rPr>
          <w:rFonts w:hAnsi="宋体" w:cs="宋体"/>
          <w:color w:val="auto"/>
          <w:sz w:val="24"/>
          <w:highlight w:val="none"/>
        </w:rPr>
      </w:pPr>
      <w:r>
        <w:rPr>
          <w:rFonts w:hint="eastAsia" w:hAnsi="宋体" w:cs="宋体"/>
          <w:color w:val="auto"/>
          <w:sz w:val="24"/>
          <w:highlight w:val="none"/>
        </w:rPr>
        <w:t xml:space="preserve">                                  投标人全称（盖章）：</w:t>
      </w:r>
    </w:p>
    <w:p>
      <w:pPr>
        <w:pStyle w:val="15"/>
        <w:spacing w:line="420" w:lineRule="auto"/>
        <w:rPr>
          <w:rFonts w:hAnsi="宋体" w:cs="宋体"/>
          <w:color w:val="auto"/>
          <w:sz w:val="24"/>
          <w:highlight w:val="none"/>
        </w:rPr>
      </w:pPr>
      <w:r>
        <w:rPr>
          <w:rFonts w:hint="eastAsia" w:hAnsi="宋体" w:cs="宋体"/>
          <w:color w:val="auto"/>
          <w:sz w:val="24"/>
          <w:highlight w:val="none"/>
        </w:rPr>
        <w:t xml:space="preserve">                                  法定代表人或授权委托人（签字或盖章）：</w:t>
      </w:r>
    </w:p>
    <w:p>
      <w:pPr>
        <w:spacing w:line="420" w:lineRule="auto"/>
        <w:ind w:firstLine="4080" w:firstLineChars="1700"/>
        <w:rPr>
          <w:rFonts w:ascii="宋体" w:hAnsi="宋体" w:cs="宋体"/>
          <w:color w:val="auto"/>
          <w:sz w:val="36"/>
          <w:highlight w:val="none"/>
        </w:rPr>
      </w:pPr>
      <w:r>
        <w:rPr>
          <w:rFonts w:hint="eastAsia" w:ascii="宋体" w:hAnsi="宋体" w:cs="宋体"/>
          <w:color w:val="auto"/>
          <w:sz w:val="24"/>
          <w:highlight w:val="none"/>
        </w:rPr>
        <w:t>日   期：</w:t>
      </w:r>
    </w:p>
    <w:p>
      <w:pPr>
        <w:spacing w:line="360" w:lineRule="auto"/>
        <w:jc w:val="center"/>
        <w:rPr>
          <w:rFonts w:hint="eastAsia" w:ascii="宋体" w:hAnsi="宋体" w:cs="宋体"/>
          <w:b/>
          <w:bCs/>
          <w:color w:val="auto"/>
          <w:sz w:val="32"/>
          <w:szCs w:val="32"/>
          <w:highlight w:val="none"/>
        </w:rPr>
      </w:pPr>
    </w:p>
    <w:p>
      <w:pPr>
        <w:spacing w:line="360" w:lineRule="auto"/>
        <w:jc w:val="center"/>
        <w:rPr>
          <w:rFonts w:hint="eastAsia" w:ascii="宋体" w:hAnsi="宋体" w:cs="宋体"/>
          <w:b/>
          <w:bCs/>
          <w:color w:val="auto"/>
          <w:sz w:val="32"/>
          <w:szCs w:val="32"/>
          <w:highlight w:val="none"/>
        </w:rPr>
      </w:pPr>
    </w:p>
    <w:p>
      <w:pPr>
        <w:spacing w:line="360" w:lineRule="auto"/>
        <w:jc w:val="center"/>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开标一览表</w:t>
      </w:r>
      <w:r>
        <w:rPr>
          <w:rFonts w:hint="eastAsia" w:ascii="宋体" w:hAnsi="宋体" w:cs="宋体"/>
          <w:b/>
          <w:bCs/>
          <w:color w:val="auto"/>
          <w:sz w:val="32"/>
          <w:szCs w:val="32"/>
          <w:highlight w:val="none"/>
          <w:lang w:eastAsia="zh-CN"/>
        </w:rPr>
        <w:t>（</w:t>
      </w:r>
      <w:r>
        <w:rPr>
          <w:rFonts w:hint="eastAsia" w:ascii="宋体" w:hAnsi="宋体" w:cs="宋体"/>
          <w:b/>
          <w:bCs/>
          <w:color w:val="auto"/>
          <w:sz w:val="32"/>
          <w:szCs w:val="32"/>
          <w:highlight w:val="none"/>
          <w:lang w:val="en-US" w:eastAsia="zh-CN"/>
        </w:rPr>
        <w:t>II标</w:t>
      </w:r>
      <w:r>
        <w:rPr>
          <w:rFonts w:hint="eastAsia" w:ascii="宋体" w:hAnsi="宋体" w:cs="宋体"/>
          <w:b/>
          <w:bCs/>
          <w:color w:val="auto"/>
          <w:sz w:val="32"/>
          <w:szCs w:val="32"/>
          <w:highlight w:val="none"/>
          <w:lang w:eastAsia="zh-CN"/>
        </w:rPr>
        <w:t>）</w:t>
      </w:r>
    </w:p>
    <w:p>
      <w:pPr>
        <w:pStyle w:val="15"/>
        <w:spacing w:line="460" w:lineRule="atLeast"/>
        <w:rPr>
          <w:rFonts w:hAnsi="宋体"/>
          <w:color w:val="auto"/>
          <w:sz w:val="24"/>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项目名称：</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项目编号：</w:t>
      </w:r>
    </w:p>
    <w:tbl>
      <w:tblPr>
        <w:tblStyle w:val="30"/>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4"/>
        <w:gridCol w:w="1333"/>
        <w:gridCol w:w="1370"/>
        <w:gridCol w:w="1010"/>
        <w:gridCol w:w="937"/>
        <w:gridCol w:w="2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1" w:hRule="atLeast"/>
          <w:jc w:val="center"/>
        </w:trPr>
        <w:tc>
          <w:tcPr>
            <w:tcW w:w="1274" w:type="dxa"/>
            <w:vMerge w:val="restart"/>
            <w:noWrap/>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投标报价</w:t>
            </w:r>
          </w:p>
        </w:tc>
        <w:tc>
          <w:tcPr>
            <w:tcW w:w="1333" w:type="dxa"/>
            <w:noWrap/>
            <w:vAlign w:val="center"/>
          </w:tcPr>
          <w:p>
            <w:pPr>
              <w:spacing w:line="360" w:lineRule="auto"/>
              <w:jc w:val="center"/>
              <w:rPr>
                <w:rFonts w:hint="eastAsia" w:ascii="宋体" w:hAnsi="宋体" w:eastAsia="宋体" w:cs="宋体"/>
                <w:b/>
                <w:bCs/>
                <w:color w:val="FF0000"/>
                <w:kern w:val="0"/>
                <w:sz w:val="24"/>
                <w:highlight w:val="none"/>
                <w:lang w:val="en-US" w:eastAsia="zh-CN"/>
              </w:rPr>
            </w:pPr>
            <w:r>
              <w:rPr>
                <w:rFonts w:hint="eastAsia" w:ascii="宋体" w:hAnsi="宋体" w:cs="宋体"/>
                <w:b/>
                <w:bCs/>
                <w:color w:val="FF0000"/>
                <w:kern w:val="0"/>
                <w:sz w:val="24"/>
                <w:highlight w:val="none"/>
                <w:lang w:val="en-US" w:eastAsia="zh-CN"/>
              </w:rPr>
              <w:t>分项</w:t>
            </w:r>
          </w:p>
        </w:tc>
        <w:tc>
          <w:tcPr>
            <w:tcW w:w="1370" w:type="dxa"/>
            <w:noWrap/>
            <w:vAlign w:val="center"/>
          </w:tcPr>
          <w:p>
            <w:pPr>
              <w:spacing w:line="360" w:lineRule="auto"/>
              <w:jc w:val="center"/>
              <w:rPr>
                <w:rFonts w:hint="default" w:ascii="宋体" w:hAnsi="宋体" w:eastAsia="宋体" w:cs="宋体"/>
                <w:b/>
                <w:bCs/>
                <w:color w:val="auto"/>
                <w:kern w:val="0"/>
                <w:sz w:val="24"/>
                <w:highlight w:val="none"/>
                <w:lang w:val="en-US" w:eastAsia="zh-CN"/>
              </w:rPr>
            </w:pPr>
            <w:r>
              <w:rPr>
                <w:rFonts w:hint="eastAsia" w:ascii="宋体" w:hAnsi="宋体" w:cs="宋体"/>
                <w:b/>
                <w:bCs/>
                <w:color w:val="auto"/>
                <w:kern w:val="0"/>
                <w:sz w:val="24"/>
                <w:highlight w:val="none"/>
                <w:lang w:val="en-US" w:eastAsia="zh-CN"/>
              </w:rPr>
              <w:t>每年每平方米</w:t>
            </w:r>
            <w:r>
              <w:rPr>
                <w:rFonts w:hint="eastAsia" w:ascii="宋体" w:hAnsi="宋体" w:cs="宋体"/>
                <w:b/>
                <w:bCs/>
                <w:color w:val="FF0000"/>
                <w:kern w:val="0"/>
                <w:sz w:val="24"/>
                <w:highlight w:val="none"/>
                <w:lang w:val="en-US" w:eastAsia="zh-CN"/>
              </w:rPr>
              <w:t>综合</w:t>
            </w:r>
            <w:r>
              <w:rPr>
                <w:rFonts w:hint="eastAsia" w:ascii="宋体" w:hAnsi="宋体" w:cs="宋体"/>
                <w:b/>
                <w:bCs/>
                <w:color w:val="auto"/>
                <w:kern w:val="0"/>
                <w:sz w:val="24"/>
                <w:highlight w:val="none"/>
                <w:lang w:val="en-US" w:eastAsia="zh-CN"/>
              </w:rPr>
              <w:t>单价（元）</w:t>
            </w:r>
          </w:p>
        </w:tc>
        <w:tc>
          <w:tcPr>
            <w:tcW w:w="1010" w:type="dxa"/>
            <w:noWrap/>
            <w:vAlign w:val="center"/>
          </w:tcPr>
          <w:p>
            <w:pPr>
              <w:spacing w:line="360" w:lineRule="auto"/>
              <w:jc w:val="center"/>
              <w:rPr>
                <w:rFonts w:hint="default" w:ascii="宋体" w:hAnsi="宋体" w:cs="宋体"/>
                <w:b/>
                <w:bCs/>
                <w:color w:val="auto"/>
                <w:kern w:val="0"/>
                <w:sz w:val="24"/>
                <w:highlight w:val="none"/>
                <w:lang w:val="en-US" w:eastAsia="zh-CN"/>
              </w:rPr>
            </w:pPr>
            <w:r>
              <w:rPr>
                <w:rFonts w:hint="eastAsia" w:ascii="宋体" w:hAnsi="宋体" w:cs="宋体"/>
                <w:b/>
                <w:bCs/>
                <w:color w:val="auto"/>
                <w:kern w:val="0"/>
                <w:sz w:val="24"/>
                <w:highlight w:val="none"/>
                <w:lang w:val="en-US" w:eastAsia="zh-CN"/>
              </w:rPr>
              <w:t>面积（平方米）</w:t>
            </w:r>
          </w:p>
        </w:tc>
        <w:tc>
          <w:tcPr>
            <w:tcW w:w="937" w:type="dxa"/>
            <w:noWrap/>
            <w:vAlign w:val="center"/>
          </w:tcPr>
          <w:p>
            <w:pPr>
              <w:spacing w:line="360" w:lineRule="auto"/>
              <w:jc w:val="center"/>
              <w:rPr>
                <w:rFonts w:hint="default" w:ascii="宋体" w:hAnsi="宋体" w:eastAsia="宋体" w:cs="宋体"/>
                <w:b/>
                <w:bCs/>
                <w:color w:val="auto"/>
                <w:kern w:val="0"/>
                <w:sz w:val="24"/>
                <w:highlight w:val="none"/>
                <w:lang w:val="en-US" w:eastAsia="zh-CN"/>
              </w:rPr>
            </w:pPr>
            <w:r>
              <w:rPr>
                <w:rFonts w:hint="eastAsia" w:ascii="宋体" w:hAnsi="宋体" w:cs="宋体"/>
                <w:b/>
                <w:bCs/>
                <w:color w:val="auto"/>
                <w:kern w:val="0"/>
                <w:sz w:val="24"/>
                <w:highlight w:val="none"/>
                <w:lang w:val="en-US" w:eastAsia="zh-CN"/>
              </w:rPr>
              <w:t>服务期限（年）</w:t>
            </w:r>
          </w:p>
        </w:tc>
        <w:tc>
          <w:tcPr>
            <w:tcW w:w="2752" w:type="dxa"/>
            <w:noWrap/>
            <w:vAlign w:val="center"/>
          </w:tcPr>
          <w:p>
            <w:pPr>
              <w:spacing w:line="360" w:lineRule="auto"/>
              <w:jc w:val="center"/>
              <w:rPr>
                <w:rFonts w:hint="eastAsia" w:ascii="宋体" w:hAnsi="宋体" w:cs="宋体"/>
                <w:b/>
                <w:bCs/>
                <w:color w:val="auto"/>
                <w:kern w:val="0"/>
                <w:sz w:val="24"/>
                <w:highlight w:val="none"/>
                <w:lang w:val="en-US" w:eastAsia="zh-CN"/>
              </w:rPr>
            </w:pPr>
            <w:r>
              <w:rPr>
                <w:rFonts w:hint="eastAsia" w:ascii="宋体" w:hAnsi="宋体" w:cs="宋体"/>
                <w:b/>
                <w:bCs/>
                <w:color w:val="auto"/>
                <w:kern w:val="0"/>
                <w:sz w:val="24"/>
                <w:highlight w:val="none"/>
                <w:lang w:val="en-US" w:eastAsia="zh-CN"/>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1" w:hRule="atLeast"/>
          <w:jc w:val="center"/>
        </w:trPr>
        <w:tc>
          <w:tcPr>
            <w:tcW w:w="1274" w:type="dxa"/>
            <w:vMerge w:val="continue"/>
            <w:noWrap/>
            <w:vAlign w:val="center"/>
          </w:tcPr>
          <w:p>
            <w:pPr>
              <w:spacing w:line="360" w:lineRule="auto"/>
              <w:jc w:val="center"/>
              <w:rPr>
                <w:rFonts w:hint="eastAsia" w:ascii="宋体" w:hAnsi="宋体" w:cs="宋体"/>
                <w:b/>
                <w:bCs/>
                <w:color w:val="auto"/>
                <w:kern w:val="0"/>
                <w:sz w:val="24"/>
                <w:highlight w:val="none"/>
              </w:rPr>
            </w:pPr>
          </w:p>
        </w:tc>
        <w:tc>
          <w:tcPr>
            <w:tcW w:w="1333" w:type="dxa"/>
            <w:noWrap/>
            <w:vAlign w:val="center"/>
          </w:tcPr>
          <w:p>
            <w:pPr>
              <w:spacing w:line="360" w:lineRule="auto"/>
              <w:jc w:val="center"/>
              <w:rPr>
                <w:rFonts w:hint="default" w:ascii="宋体" w:hAnsi="宋体" w:eastAsia="宋体" w:cs="宋体"/>
                <w:b/>
                <w:bCs/>
                <w:color w:val="FF0000"/>
                <w:kern w:val="0"/>
                <w:sz w:val="24"/>
                <w:highlight w:val="none"/>
                <w:lang w:val="en-US" w:eastAsia="zh-CN"/>
              </w:rPr>
            </w:pPr>
            <w:r>
              <w:rPr>
                <w:rFonts w:hint="eastAsia" w:ascii="宋体" w:hAnsi="宋体" w:cs="宋体"/>
                <w:b/>
                <w:bCs/>
                <w:color w:val="FF0000"/>
                <w:kern w:val="0"/>
                <w:sz w:val="24"/>
                <w:highlight w:val="none"/>
                <w:lang w:val="en-US" w:eastAsia="zh-CN"/>
              </w:rPr>
              <w:t>道路保洁</w:t>
            </w:r>
          </w:p>
        </w:tc>
        <w:tc>
          <w:tcPr>
            <w:tcW w:w="1370" w:type="dxa"/>
            <w:noWrap/>
            <w:vAlign w:val="center"/>
          </w:tcPr>
          <w:p>
            <w:pPr>
              <w:spacing w:line="360" w:lineRule="auto"/>
              <w:jc w:val="center"/>
              <w:rPr>
                <w:rFonts w:hint="default" w:ascii="宋体" w:hAnsi="宋体" w:cs="宋体"/>
                <w:b/>
                <w:bCs/>
                <w:color w:val="auto"/>
                <w:kern w:val="0"/>
                <w:sz w:val="24"/>
                <w:highlight w:val="none"/>
                <w:lang w:val="en-US" w:eastAsia="zh-CN"/>
              </w:rPr>
            </w:pPr>
            <w:r>
              <w:rPr>
                <w:rFonts w:hint="eastAsia" w:ascii="宋体" w:hAnsi="宋体" w:cs="宋体"/>
                <w:b/>
                <w:bCs/>
                <w:color w:val="auto"/>
                <w:kern w:val="0"/>
                <w:sz w:val="24"/>
                <w:highlight w:val="none"/>
                <w:u w:val="single"/>
                <w:lang w:val="en-US" w:eastAsia="zh-CN"/>
              </w:rPr>
              <w:t xml:space="preserve">      </w:t>
            </w:r>
            <w:r>
              <w:rPr>
                <w:rFonts w:hint="eastAsia" w:ascii="宋体" w:hAnsi="宋体" w:cs="宋体"/>
                <w:b/>
                <w:bCs/>
                <w:color w:val="auto"/>
                <w:kern w:val="0"/>
                <w:sz w:val="24"/>
                <w:highlight w:val="none"/>
                <w:lang w:val="en-US" w:eastAsia="zh-CN"/>
              </w:rPr>
              <w:t>元</w:t>
            </w:r>
          </w:p>
        </w:tc>
        <w:tc>
          <w:tcPr>
            <w:tcW w:w="1010" w:type="dxa"/>
            <w:noWrap/>
            <w:vAlign w:val="center"/>
          </w:tcPr>
          <w:p>
            <w:pPr>
              <w:spacing w:line="360" w:lineRule="auto"/>
              <w:jc w:val="center"/>
              <w:rPr>
                <w:rFonts w:hint="eastAsia" w:ascii="宋体" w:hAnsi="宋体" w:cs="宋体"/>
                <w:b/>
                <w:bCs/>
                <w:color w:val="auto"/>
                <w:kern w:val="0"/>
                <w:sz w:val="24"/>
                <w:highlight w:val="none"/>
                <w:lang w:val="en-US" w:eastAsia="zh-CN"/>
              </w:rPr>
            </w:pPr>
          </w:p>
        </w:tc>
        <w:tc>
          <w:tcPr>
            <w:tcW w:w="937" w:type="dxa"/>
            <w:noWrap/>
            <w:vAlign w:val="center"/>
          </w:tcPr>
          <w:p>
            <w:pPr>
              <w:spacing w:line="360" w:lineRule="auto"/>
              <w:jc w:val="center"/>
              <w:rPr>
                <w:rFonts w:hint="eastAsia" w:ascii="宋体" w:hAnsi="宋体" w:eastAsia="宋体" w:cs="宋体"/>
                <w:b/>
                <w:bCs/>
                <w:color w:val="auto"/>
                <w:kern w:val="0"/>
                <w:sz w:val="24"/>
                <w:highlight w:val="none"/>
                <w:lang w:val="en-US" w:eastAsia="zh-CN"/>
              </w:rPr>
            </w:pPr>
            <w:r>
              <w:rPr>
                <w:rFonts w:hint="eastAsia" w:ascii="宋体" w:hAnsi="宋体" w:cs="宋体"/>
                <w:b/>
                <w:bCs/>
                <w:color w:val="auto"/>
                <w:kern w:val="0"/>
                <w:sz w:val="24"/>
                <w:highlight w:val="none"/>
                <w:lang w:val="en-US" w:eastAsia="zh-CN"/>
              </w:rPr>
              <w:t>2</w:t>
            </w:r>
          </w:p>
        </w:tc>
        <w:tc>
          <w:tcPr>
            <w:tcW w:w="2752" w:type="dxa"/>
            <w:noWrap/>
            <w:vAlign w:val="center"/>
          </w:tcPr>
          <w:p>
            <w:pPr>
              <w:spacing w:line="360" w:lineRule="auto"/>
              <w:jc w:val="both"/>
              <w:rPr>
                <w:rFonts w:hint="eastAsia" w:ascii="宋体" w:hAnsi="宋体" w:cs="宋体"/>
                <w:b/>
                <w:bCs/>
                <w:color w:val="auto"/>
                <w:kern w:val="0"/>
                <w:sz w:val="24"/>
                <w:highlight w:val="none"/>
              </w:rPr>
            </w:pPr>
            <w:r>
              <w:rPr>
                <w:rFonts w:hint="eastAsia" w:ascii="宋体" w:hAnsi="宋体" w:cs="宋体"/>
                <w:b/>
                <w:bCs/>
                <w:color w:val="auto"/>
                <w:kern w:val="0"/>
                <w:sz w:val="24"/>
                <w:highlight w:val="none"/>
                <w:lang w:eastAsia="zh-CN"/>
              </w:rPr>
              <w:t>小写：</w:t>
            </w:r>
            <w:r>
              <w:rPr>
                <w:rFonts w:hint="eastAsia" w:ascii="宋体" w:hAnsi="宋体" w:cs="宋体"/>
                <w:b/>
                <w:bCs/>
                <w:color w:val="auto"/>
                <w:kern w:val="0"/>
                <w:sz w:val="24"/>
                <w:highlight w:val="none"/>
                <w:u w:val="single"/>
                <w:lang w:val="en-US" w:eastAsia="zh-CN"/>
              </w:rPr>
              <w:t xml:space="preserve">           </w:t>
            </w:r>
            <w:r>
              <w:rPr>
                <w:rFonts w:hint="eastAsia" w:ascii="宋体" w:hAnsi="宋体" w:cs="宋体"/>
                <w:b/>
                <w:bCs/>
                <w:color w:val="auto"/>
                <w:kern w:val="0"/>
                <w:sz w:val="24"/>
                <w:highlight w:val="none"/>
              </w:rPr>
              <w:t>元</w:t>
            </w:r>
          </w:p>
          <w:p>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（大写：</w:t>
            </w:r>
            <w:r>
              <w:rPr>
                <w:rFonts w:hint="eastAsia" w:ascii="宋体" w:hAnsi="宋体" w:cs="宋体"/>
                <w:b/>
                <w:bCs/>
                <w:color w:val="auto"/>
                <w:kern w:val="0"/>
                <w:sz w:val="24"/>
                <w:highlight w:val="none"/>
                <w:u w:val="single"/>
                <w:lang w:val="en-US" w:eastAsia="zh-CN"/>
              </w:rPr>
              <w:t xml:space="preserve">         </w:t>
            </w:r>
            <w:r>
              <w:rPr>
                <w:rFonts w:hint="eastAsia" w:ascii="宋体" w:hAnsi="宋体" w:cs="宋体"/>
                <w:b/>
                <w:bCs/>
                <w:color w:val="auto"/>
                <w:kern w:val="0"/>
                <w:sz w:val="24"/>
                <w:highlight w:val="none"/>
              </w:rPr>
              <w:t>元</w:t>
            </w:r>
            <w:r>
              <w:rPr>
                <w:rFonts w:hint="eastAsia" w:ascii="宋体" w:hAnsi="宋体" w:cs="宋体"/>
                <w:b/>
                <w:bCs/>
                <w:color w:val="auto"/>
                <w:kern w:val="0"/>
                <w:sz w:val="24"/>
                <w:highlight w:val="none"/>
                <w:lang w:eastAsia="zh-CN"/>
              </w:rPr>
              <w:t>整</w:t>
            </w:r>
            <w:r>
              <w:rPr>
                <w:rFonts w:hint="eastAsia" w:ascii="宋体" w:hAnsi="宋体" w:cs="宋体"/>
                <w:b/>
                <w:bCs/>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1" w:hRule="atLeast"/>
          <w:jc w:val="center"/>
        </w:trPr>
        <w:tc>
          <w:tcPr>
            <w:tcW w:w="1274" w:type="dxa"/>
            <w:vMerge w:val="continue"/>
            <w:noWrap/>
            <w:vAlign w:val="center"/>
          </w:tcPr>
          <w:p>
            <w:pPr>
              <w:spacing w:line="360" w:lineRule="auto"/>
              <w:jc w:val="center"/>
              <w:rPr>
                <w:rFonts w:hint="eastAsia" w:ascii="宋体" w:hAnsi="宋体" w:cs="宋体"/>
                <w:b/>
                <w:bCs/>
                <w:color w:val="auto"/>
                <w:kern w:val="0"/>
                <w:sz w:val="24"/>
                <w:highlight w:val="none"/>
              </w:rPr>
            </w:pPr>
          </w:p>
        </w:tc>
        <w:tc>
          <w:tcPr>
            <w:tcW w:w="1333" w:type="dxa"/>
            <w:noWrap/>
            <w:vAlign w:val="center"/>
          </w:tcPr>
          <w:p>
            <w:pPr>
              <w:spacing w:line="360" w:lineRule="auto"/>
              <w:jc w:val="center"/>
              <w:rPr>
                <w:rFonts w:hint="default" w:ascii="宋体" w:hAnsi="宋体" w:eastAsia="宋体" w:cs="宋体"/>
                <w:b/>
                <w:bCs/>
                <w:color w:val="FF0000"/>
                <w:kern w:val="0"/>
                <w:sz w:val="24"/>
                <w:highlight w:val="none"/>
                <w:lang w:val="en-US" w:eastAsia="zh-CN"/>
              </w:rPr>
            </w:pPr>
            <w:r>
              <w:rPr>
                <w:rFonts w:hint="eastAsia" w:ascii="宋体" w:hAnsi="宋体" w:cs="宋体"/>
                <w:b/>
                <w:bCs/>
                <w:color w:val="FF0000"/>
                <w:kern w:val="0"/>
                <w:sz w:val="24"/>
                <w:highlight w:val="none"/>
                <w:lang w:val="en-US" w:eastAsia="zh-CN"/>
              </w:rPr>
              <w:t>绿化带保洁</w:t>
            </w:r>
          </w:p>
        </w:tc>
        <w:tc>
          <w:tcPr>
            <w:tcW w:w="1370" w:type="dxa"/>
            <w:noWrap/>
            <w:vAlign w:val="center"/>
          </w:tcPr>
          <w:p>
            <w:pPr>
              <w:spacing w:line="360" w:lineRule="auto"/>
              <w:jc w:val="center"/>
              <w:rPr>
                <w:rFonts w:hint="eastAsia" w:ascii="宋体" w:hAnsi="宋体" w:cs="宋体"/>
                <w:b/>
                <w:bCs/>
                <w:color w:val="auto"/>
                <w:kern w:val="0"/>
                <w:sz w:val="24"/>
                <w:highlight w:val="none"/>
                <w:u w:val="single"/>
                <w:lang w:val="en-US" w:eastAsia="zh-CN"/>
              </w:rPr>
            </w:pPr>
            <w:r>
              <w:rPr>
                <w:rFonts w:hint="eastAsia" w:ascii="宋体" w:hAnsi="宋体" w:cs="宋体"/>
                <w:b/>
                <w:bCs/>
                <w:color w:val="auto"/>
                <w:kern w:val="0"/>
                <w:sz w:val="24"/>
                <w:highlight w:val="none"/>
                <w:u w:val="single"/>
                <w:lang w:val="en-US" w:eastAsia="zh-CN"/>
              </w:rPr>
              <w:t xml:space="preserve">      </w:t>
            </w:r>
            <w:r>
              <w:rPr>
                <w:rFonts w:hint="eastAsia" w:ascii="宋体" w:hAnsi="宋体" w:cs="宋体"/>
                <w:b/>
                <w:bCs/>
                <w:color w:val="auto"/>
                <w:kern w:val="0"/>
                <w:sz w:val="24"/>
                <w:highlight w:val="none"/>
                <w:lang w:val="en-US" w:eastAsia="zh-CN"/>
              </w:rPr>
              <w:t>元</w:t>
            </w:r>
          </w:p>
        </w:tc>
        <w:tc>
          <w:tcPr>
            <w:tcW w:w="1010" w:type="dxa"/>
            <w:noWrap/>
            <w:vAlign w:val="center"/>
          </w:tcPr>
          <w:p>
            <w:pPr>
              <w:spacing w:line="360" w:lineRule="auto"/>
              <w:jc w:val="center"/>
              <w:rPr>
                <w:rFonts w:hint="eastAsia" w:ascii="宋体" w:hAnsi="宋体" w:cs="宋体"/>
                <w:b/>
                <w:bCs/>
                <w:color w:val="auto"/>
                <w:kern w:val="0"/>
                <w:sz w:val="24"/>
                <w:highlight w:val="none"/>
                <w:lang w:val="en-US" w:eastAsia="zh-CN"/>
              </w:rPr>
            </w:pPr>
          </w:p>
        </w:tc>
        <w:tc>
          <w:tcPr>
            <w:tcW w:w="937" w:type="dxa"/>
            <w:noWrap/>
            <w:vAlign w:val="center"/>
          </w:tcPr>
          <w:p>
            <w:pPr>
              <w:spacing w:line="360" w:lineRule="auto"/>
              <w:jc w:val="center"/>
              <w:rPr>
                <w:rFonts w:hint="eastAsia" w:ascii="宋体" w:hAnsi="宋体" w:cs="宋体"/>
                <w:b/>
                <w:bCs/>
                <w:color w:val="auto"/>
                <w:kern w:val="0"/>
                <w:sz w:val="24"/>
                <w:highlight w:val="none"/>
                <w:lang w:val="en-US" w:eastAsia="zh-CN"/>
              </w:rPr>
            </w:pPr>
            <w:r>
              <w:rPr>
                <w:rFonts w:hint="eastAsia" w:ascii="宋体" w:hAnsi="宋体" w:cs="宋体"/>
                <w:b/>
                <w:bCs/>
                <w:color w:val="auto"/>
                <w:kern w:val="0"/>
                <w:sz w:val="24"/>
                <w:highlight w:val="none"/>
                <w:lang w:val="en-US" w:eastAsia="zh-CN"/>
              </w:rPr>
              <w:t>2</w:t>
            </w:r>
          </w:p>
        </w:tc>
        <w:tc>
          <w:tcPr>
            <w:tcW w:w="2752" w:type="dxa"/>
            <w:noWrap/>
            <w:vAlign w:val="center"/>
          </w:tcPr>
          <w:p>
            <w:pPr>
              <w:spacing w:line="360" w:lineRule="auto"/>
              <w:jc w:val="both"/>
              <w:rPr>
                <w:rFonts w:hint="eastAsia" w:ascii="宋体" w:hAnsi="宋体" w:cs="宋体"/>
                <w:b/>
                <w:bCs/>
                <w:color w:val="auto"/>
                <w:kern w:val="0"/>
                <w:sz w:val="24"/>
                <w:highlight w:val="none"/>
              </w:rPr>
            </w:pPr>
            <w:r>
              <w:rPr>
                <w:rFonts w:hint="eastAsia" w:ascii="宋体" w:hAnsi="宋体" w:cs="宋体"/>
                <w:b/>
                <w:bCs/>
                <w:color w:val="auto"/>
                <w:kern w:val="0"/>
                <w:sz w:val="24"/>
                <w:highlight w:val="none"/>
                <w:lang w:eastAsia="zh-CN"/>
              </w:rPr>
              <w:t>小写：</w:t>
            </w:r>
            <w:r>
              <w:rPr>
                <w:rFonts w:hint="eastAsia" w:ascii="宋体" w:hAnsi="宋体" w:cs="宋体"/>
                <w:b/>
                <w:bCs/>
                <w:color w:val="auto"/>
                <w:kern w:val="0"/>
                <w:sz w:val="24"/>
                <w:highlight w:val="none"/>
                <w:u w:val="single"/>
                <w:lang w:val="en-US" w:eastAsia="zh-CN"/>
              </w:rPr>
              <w:t xml:space="preserve">           </w:t>
            </w:r>
            <w:r>
              <w:rPr>
                <w:rFonts w:hint="eastAsia" w:ascii="宋体" w:hAnsi="宋体" w:cs="宋体"/>
                <w:b/>
                <w:bCs/>
                <w:color w:val="auto"/>
                <w:kern w:val="0"/>
                <w:sz w:val="24"/>
                <w:highlight w:val="none"/>
              </w:rPr>
              <w:t>元</w:t>
            </w:r>
          </w:p>
          <w:p>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（大写：</w:t>
            </w:r>
            <w:r>
              <w:rPr>
                <w:rFonts w:hint="eastAsia" w:ascii="宋体" w:hAnsi="宋体" w:cs="宋体"/>
                <w:b/>
                <w:bCs/>
                <w:color w:val="auto"/>
                <w:kern w:val="0"/>
                <w:sz w:val="24"/>
                <w:highlight w:val="none"/>
                <w:u w:val="single"/>
                <w:lang w:val="en-US" w:eastAsia="zh-CN"/>
              </w:rPr>
              <w:t xml:space="preserve">         </w:t>
            </w:r>
            <w:r>
              <w:rPr>
                <w:rFonts w:hint="eastAsia" w:ascii="宋体" w:hAnsi="宋体" w:cs="宋体"/>
                <w:b/>
                <w:bCs/>
                <w:color w:val="auto"/>
                <w:kern w:val="0"/>
                <w:sz w:val="24"/>
                <w:highlight w:val="none"/>
              </w:rPr>
              <w:t>元</w:t>
            </w:r>
            <w:r>
              <w:rPr>
                <w:rFonts w:hint="eastAsia" w:ascii="宋体" w:hAnsi="宋体" w:cs="宋体"/>
                <w:b/>
                <w:bCs/>
                <w:color w:val="auto"/>
                <w:kern w:val="0"/>
                <w:sz w:val="24"/>
                <w:highlight w:val="none"/>
                <w:lang w:eastAsia="zh-CN"/>
              </w:rPr>
              <w:t>整</w:t>
            </w:r>
            <w:r>
              <w:rPr>
                <w:rFonts w:hint="eastAsia" w:ascii="宋体" w:hAnsi="宋体" w:cs="宋体"/>
                <w:b/>
                <w:bCs/>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5" w:hRule="atLeast"/>
          <w:jc w:val="center"/>
        </w:trPr>
        <w:tc>
          <w:tcPr>
            <w:tcW w:w="8676" w:type="dxa"/>
            <w:gridSpan w:val="6"/>
            <w:noWrap/>
            <w:vAlign w:val="center"/>
          </w:tcPr>
          <w:p>
            <w:pPr>
              <w:autoSpaceDE w:val="0"/>
              <w:autoSpaceDN w:val="0"/>
              <w:adjustRightInd w:val="0"/>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投标</w:t>
            </w:r>
            <w:r>
              <w:rPr>
                <w:rFonts w:hint="eastAsia" w:ascii="宋体" w:hAnsi="宋体" w:cs="宋体"/>
                <w:bCs/>
                <w:color w:val="FF0000"/>
                <w:sz w:val="24"/>
                <w:highlight w:val="none"/>
                <w:lang w:val="en-US" w:eastAsia="zh-CN"/>
              </w:rPr>
              <w:t>综合单</w:t>
            </w:r>
            <w:r>
              <w:rPr>
                <w:rFonts w:hint="eastAsia" w:ascii="宋体" w:hAnsi="宋体" w:cs="宋体"/>
                <w:bCs/>
                <w:color w:val="FF0000"/>
                <w:sz w:val="24"/>
                <w:highlight w:val="none"/>
              </w:rPr>
              <w:t>价</w:t>
            </w:r>
            <w:r>
              <w:rPr>
                <w:rFonts w:hint="eastAsia" w:ascii="宋体" w:hAnsi="宋体" w:cs="宋体"/>
                <w:bCs/>
                <w:color w:val="auto"/>
                <w:sz w:val="24"/>
                <w:highlight w:val="none"/>
              </w:rPr>
              <w:t>统一为人民币计价，</w:t>
            </w:r>
            <w:r>
              <w:rPr>
                <w:rFonts w:hint="eastAsia"/>
                <w:b/>
                <w:color w:val="auto"/>
                <w:sz w:val="24"/>
                <w:highlight w:val="none"/>
              </w:rPr>
              <w:t>应</w:t>
            </w:r>
            <w:r>
              <w:rPr>
                <w:b/>
                <w:color w:val="auto"/>
                <w:sz w:val="24"/>
                <w:highlight w:val="none"/>
              </w:rPr>
              <w:t>包括</w:t>
            </w:r>
            <w:r>
              <w:rPr>
                <w:rFonts w:hint="eastAsia"/>
                <w:b/>
                <w:color w:val="auto"/>
                <w:sz w:val="24"/>
                <w:highlight w:val="none"/>
              </w:rPr>
              <w:t>但不限于完成本项目服务可能发生的全部费用包括</w:t>
            </w:r>
            <w:r>
              <w:rPr>
                <w:rFonts w:hint="eastAsia" w:hAnsi="宋体" w:cs="宋体"/>
                <w:b/>
                <w:bCs/>
                <w:color w:val="auto"/>
                <w:sz w:val="24"/>
                <w:highlight w:val="none"/>
              </w:rPr>
              <w:t>保洁、管理人员的意外保险、</w:t>
            </w:r>
            <w:r>
              <w:rPr>
                <w:rFonts w:hint="eastAsia"/>
                <w:b/>
                <w:color w:val="auto"/>
                <w:sz w:val="24"/>
                <w:highlight w:val="none"/>
              </w:rPr>
              <w:t>工资福利、社保、服装费、办公用品、劳动用品、工器具、管理费、税费、垃圾清扫清运设备费用、运输费用、燃油、保养维修、垃圾处置及清运费用及不可预见费等所有费用</w:t>
            </w:r>
            <w:r>
              <w:rPr>
                <w:rFonts w:hint="eastAsia" w:hAnsi="宋体" w:cs="宋体"/>
                <w:color w:val="auto"/>
                <w:kern w:val="0"/>
                <w:sz w:val="24"/>
                <w:highlight w:val="none"/>
              </w:rPr>
              <w:t>。</w:t>
            </w:r>
          </w:p>
        </w:tc>
      </w:tr>
    </w:tbl>
    <w:p>
      <w:pPr>
        <w:spacing w:line="360" w:lineRule="auto"/>
        <w:jc w:val="left"/>
        <w:rPr>
          <w:rFonts w:hint="eastAsia" w:ascii="宋体" w:hAnsi="宋体" w:cs="宋体"/>
          <w:color w:val="auto"/>
          <w:sz w:val="24"/>
          <w:highlight w:val="none"/>
        </w:rPr>
      </w:pP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注: </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1、报价一经涂改，应在涂改处加盖单位公章或者由法定代表人或授权委托人签字或盖章，否则其投标作无效标处理。</w:t>
      </w: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pStyle w:val="15"/>
        <w:spacing w:line="420" w:lineRule="auto"/>
        <w:rPr>
          <w:rFonts w:hAnsi="宋体" w:cs="宋体"/>
          <w:color w:val="auto"/>
          <w:sz w:val="24"/>
          <w:highlight w:val="none"/>
        </w:rPr>
      </w:pPr>
      <w:r>
        <w:rPr>
          <w:rFonts w:hint="eastAsia" w:hAnsi="宋体" w:cs="宋体"/>
          <w:color w:val="auto"/>
          <w:sz w:val="24"/>
          <w:highlight w:val="none"/>
        </w:rPr>
        <w:t xml:space="preserve">                                  投标人全称（盖章）：</w:t>
      </w:r>
    </w:p>
    <w:p>
      <w:pPr>
        <w:pStyle w:val="15"/>
        <w:spacing w:line="420" w:lineRule="auto"/>
        <w:rPr>
          <w:rFonts w:hAnsi="宋体" w:cs="宋体"/>
          <w:color w:val="auto"/>
          <w:sz w:val="24"/>
          <w:highlight w:val="none"/>
        </w:rPr>
      </w:pPr>
      <w:r>
        <w:rPr>
          <w:rFonts w:hint="eastAsia" w:hAnsi="宋体" w:cs="宋体"/>
          <w:color w:val="auto"/>
          <w:sz w:val="24"/>
          <w:highlight w:val="none"/>
        </w:rPr>
        <w:t xml:space="preserve">                                  法定代表人或授权委托人（签字或盖章）：</w:t>
      </w:r>
    </w:p>
    <w:p>
      <w:pPr>
        <w:spacing w:line="420" w:lineRule="auto"/>
        <w:ind w:firstLine="4080" w:firstLineChars="1700"/>
        <w:rPr>
          <w:rFonts w:ascii="宋体" w:hAnsi="宋体" w:cs="宋体"/>
          <w:color w:val="auto"/>
          <w:sz w:val="36"/>
          <w:highlight w:val="none"/>
        </w:rPr>
      </w:pPr>
      <w:r>
        <w:rPr>
          <w:rFonts w:hint="eastAsia" w:ascii="宋体" w:hAnsi="宋体" w:cs="宋体"/>
          <w:color w:val="auto"/>
          <w:sz w:val="24"/>
          <w:highlight w:val="none"/>
        </w:rPr>
        <w:t>日   期：</w:t>
      </w:r>
    </w:p>
    <w:p>
      <w:pPr>
        <w:pStyle w:val="2"/>
        <w:rPr>
          <w:rFonts w:hint="eastAsia" w:hAnsi="宋体" w:cs="宋体"/>
          <w:bCs/>
          <w:color w:val="auto"/>
          <w:sz w:val="24"/>
          <w:szCs w:val="24"/>
          <w:highlight w:val="none"/>
          <w:lang w:val="zh-CN"/>
        </w:rPr>
      </w:pPr>
    </w:p>
    <w:p>
      <w:pPr>
        <w:pStyle w:val="2"/>
        <w:rPr>
          <w:rFonts w:hint="eastAsia" w:hAnsi="宋体" w:cs="宋体"/>
          <w:bCs/>
          <w:color w:val="auto"/>
          <w:sz w:val="24"/>
          <w:szCs w:val="24"/>
          <w:highlight w:val="none"/>
          <w:lang w:val="zh-CN"/>
        </w:rPr>
      </w:pPr>
    </w:p>
    <w:p>
      <w:pPr>
        <w:pStyle w:val="2"/>
        <w:rPr>
          <w:rFonts w:hAnsi="宋体" w:cs="宋体"/>
          <w:bCs/>
          <w:color w:val="auto"/>
          <w:sz w:val="24"/>
          <w:szCs w:val="24"/>
          <w:highlight w:val="none"/>
          <w:lang w:val="zh-CN"/>
        </w:rPr>
      </w:pPr>
      <w:r>
        <w:rPr>
          <w:rFonts w:hint="eastAsia" w:hAnsi="宋体" w:cs="宋体"/>
          <w:bCs/>
          <w:color w:val="auto"/>
          <w:sz w:val="24"/>
          <w:szCs w:val="24"/>
          <w:highlight w:val="none"/>
          <w:lang w:val="zh-CN"/>
        </w:rPr>
        <w:br w:type="page"/>
      </w:r>
      <w:r>
        <w:rPr>
          <w:rFonts w:hint="eastAsia" w:hAnsi="宋体" w:cs="宋体"/>
          <w:bCs/>
          <w:color w:val="auto"/>
          <w:sz w:val="24"/>
          <w:szCs w:val="24"/>
          <w:highlight w:val="none"/>
          <w:lang w:val="zh-CN"/>
        </w:rPr>
        <w:t>附件</w:t>
      </w:r>
      <w:r>
        <w:rPr>
          <w:rFonts w:hint="eastAsia" w:hAnsi="宋体" w:cs="宋体"/>
          <w:bCs/>
          <w:color w:val="auto"/>
          <w:sz w:val="24"/>
          <w:szCs w:val="24"/>
          <w:highlight w:val="none"/>
          <w:lang w:val="en-US" w:eastAsia="zh-CN"/>
        </w:rPr>
        <w:t>九</w:t>
      </w:r>
      <w:r>
        <w:rPr>
          <w:rFonts w:hint="eastAsia" w:hAnsi="宋体" w:cs="宋体"/>
          <w:bCs/>
          <w:color w:val="auto"/>
          <w:sz w:val="24"/>
          <w:szCs w:val="24"/>
          <w:highlight w:val="none"/>
        </w:rPr>
        <w:t>：</w:t>
      </w:r>
    </w:p>
    <w:p>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投标报价明细表</w:t>
      </w:r>
      <w:bookmarkEnd w:id="452"/>
    </w:p>
    <w:p>
      <w:pPr>
        <w:pStyle w:val="15"/>
        <w:spacing w:line="360" w:lineRule="auto"/>
        <w:jc w:val="center"/>
        <w:rPr>
          <w:rFonts w:hAnsi="宋体"/>
          <w:b/>
          <w:bCs/>
          <w:color w:val="FF0000"/>
          <w:sz w:val="24"/>
          <w:szCs w:val="24"/>
          <w:highlight w:val="none"/>
        </w:rPr>
      </w:pPr>
      <w:r>
        <w:rPr>
          <w:rFonts w:hint="eastAsia" w:hAnsi="宋体"/>
          <w:b/>
          <w:bCs/>
          <w:color w:val="FF0000"/>
          <w:sz w:val="24"/>
          <w:szCs w:val="24"/>
          <w:highlight w:val="none"/>
        </w:rPr>
        <w:t>(按</w:t>
      </w:r>
      <w:r>
        <w:rPr>
          <w:rFonts w:hint="eastAsia"/>
          <w:b/>
          <w:bCs/>
          <w:color w:val="FF0000"/>
          <w:sz w:val="24"/>
          <w:szCs w:val="24"/>
          <w:highlight w:val="none"/>
        </w:rPr>
        <w:t>Ⅰ标、</w:t>
      </w:r>
      <w:r>
        <w:rPr>
          <w:b/>
          <w:bCs/>
          <w:color w:val="FF0000"/>
          <w:sz w:val="24"/>
          <w:szCs w:val="24"/>
          <w:highlight w:val="none"/>
        </w:rPr>
        <w:fldChar w:fldCharType="begin"/>
      </w:r>
      <w:r>
        <w:rPr>
          <w:b/>
          <w:bCs/>
          <w:color w:val="FF0000"/>
          <w:sz w:val="24"/>
          <w:szCs w:val="24"/>
          <w:highlight w:val="none"/>
        </w:rPr>
        <w:instrText xml:space="preserve"> </w:instrText>
      </w:r>
      <w:r>
        <w:rPr>
          <w:rFonts w:hint="eastAsia"/>
          <w:b/>
          <w:bCs/>
          <w:color w:val="FF0000"/>
          <w:sz w:val="24"/>
          <w:szCs w:val="24"/>
          <w:highlight w:val="none"/>
        </w:rPr>
        <w:instrText xml:space="preserve">= 2 \* ROMAN</w:instrText>
      </w:r>
      <w:r>
        <w:rPr>
          <w:b/>
          <w:bCs/>
          <w:color w:val="FF0000"/>
          <w:sz w:val="24"/>
          <w:szCs w:val="24"/>
          <w:highlight w:val="none"/>
        </w:rPr>
        <w:instrText xml:space="preserve"> </w:instrText>
      </w:r>
      <w:r>
        <w:rPr>
          <w:b/>
          <w:bCs/>
          <w:color w:val="FF0000"/>
          <w:sz w:val="24"/>
          <w:szCs w:val="24"/>
          <w:highlight w:val="none"/>
        </w:rPr>
        <w:fldChar w:fldCharType="separate"/>
      </w:r>
      <w:r>
        <w:rPr>
          <w:b/>
          <w:bCs/>
          <w:color w:val="FF0000"/>
          <w:sz w:val="24"/>
          <w:szCs w:val="24"/>
          <w:highlight w:val="none"/>
        </w:rPr>
        <w:t>II</w:t>
      </w:r>
      <w:r>
        <w:rPr>
          <w:b/>
          <w:bCs/>
          <w:color w:val="FF0000"/>
          <w:sz w:val="24"/>
          <w:szCs w:val="24"/>
          <w:highlight w:val="none"/>
        </w:rPr>
        <w:fldChar w:fldCharType="end"/>
      </w:r>
      <w:r>
        <w:rPr>
          <w:rFonts w:hint="eastAsia"/>
          <w:b/>
          <w:bCs/>
          <w:color w:val="FF0000"/>
          <w:sz w:val="24"/>
          <w:szCs w:val="24"/>
          <w:highlight w:val="none"/>
        </w:rPr>
        <w:t>标分别填写</w:t>
      </w:r>
      <w:r>
        <w:rPr>
          <w:rFonts w:hint="eastAsia"/>
          <w:b/>
          <w:bCs/>
          <w:color w:val="FF0000"/>
          <w:sz w:val="24"/>
          <w:szCs w:val="24"/>
          <w:highlight w:val="none"/>
          <w:lang w:eastAsia="zh-CN"/>
        </w:rPr>
        <w:t>，作为每年每平方米综合单价计算依据</w:t>
      </w:r>
      <w:r>
        <w:rPr>
          <w:rFonts w:hint="eastAsia"/>
          <w:b/>
          <w:bCs/>
          <w:color w:val="FF0000"/>
          <w:sz w:val="24"/>
          <w:szCs w:val="24"/>
          <w:highlight w:val="none"/>
        </w:rPr>
        <w:t>)</w:t>
      </w:r>
    </w:p>
    <w:p>
      <w:pPr>
        <w:spacing w:line="360" w:lineRule="auto"/>
        <w:ind w:firstLine="480" w:firstLineChars="200"/>
        <w:rPr>
          <w:rFonts w:hint="eastAsia"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项目名称：</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采购编号：</w:t>
      </w:r>
    </w:p>
    <w:p>
      <w:pPr>
        <w:spacing w:line="360" w:lineRule="auto"/>
        <w:ind w:firstLine="480" w:firstLineChars="200"/>
        <w:rPr>
          <w:rFonts w:ascii="宋体" w:hAnsi="宋体" w:cs="宋体"/>
          <w:color w:val="auto"/>
          <w:sz w:val="24"/>
          <w:highlight w:val="none"/>
        </w:rPr>
      </w:pPr>
      <w:r>
        <w:rPr>
          <w:rFonts w:hint="eastAsia" w:ascii="宋体" w:hAnsi="宋体" w:cs="宋体"/>
          <w:color w:val="FF0000"/>
          <w:sz w:val="24"/>
          <w:highlight w:val="none"/>
          <w:lang w:val="en-US" w:eastAsia="zh-CN"/>
        </w:rPr>
        <w:t>标段号：</w:t>
      </w:r>
      <w:r>
        <w:rPr>
          <w:rFonts w:hint="eastAsia" w:ascii="宋体" w:hAnsi="宋体" w:cs="宋体"/>
          <w:color w:val="auto"/>
          <w:sz w:val="24"/>
          <w:highlight w:val="none"/>
        </w:rPr>
        <w:t xml:space="preserve">   </w:t>
      </w:r>
    </w:p>
    <w:tbl>
      <w:tblPr>
        <w:tblStyle w:val="30"/>
        <w:tblW w:w="8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900"/>
        <w:gridCol w:w="875"/>
        <w:gridCol w:w="549"/>
        <w:gridCol w:w="755"/>
        <w:gridCol w:w="921"/>
        <w:gridCol w:w="1610"/>
        <w:gridCol w:w="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11" w:type="dxa"/>
            <w:vMerge w:val="restart"/>
            <w:noWrap/>
            <w:vAlign w:val="center"/>
          </w:tcPr>
          <w:p>
            <w:pPr>
              <w:spacing w:line="360" w:lineRule="auto"/>
              <w:jc w:val="center"/>
              <w:rPr>
                <w:rFonts w:ascii="宋体" w:hAnsi="宋体" w:cs="宋体"/>
                <w:color w:val="FF0000"/>
                <w:sz w:val="24"/>
                <w:highlight w:val="none"/>
              </w:rPr>
            </w:pPr>
            <w:r>
              <w:rPr>
                <w:rFonts w:hint="eastAsia" w:ascii="宋体" w:hAnsi="宋体" w:cs="宋体"/>
                <w:color w:val="FF0000"/>
                <w:sz w:val="24"/>
                <w:highlight w:val="none"/>
              </w:rPr>
              <w:t>序号</w:t>
            </w:r>
          </w:p>
        </w:tc>
        <w:tc>
          <w:tcPr>
            <w:tcW w:w="1900" w:type="dxa"/>
            <w:vMerge w:val="restart"/>
            <w:noWrap/>
            <w:vAlign w:val="center"/>
          </w:tcPr>
          <w:p>
            <w:pPr>
              <w:spacing w:line="360" w:lineRule="auto"/>
              <w:jc w:val="center"/>
              <w:rPr>
                <w:rFonts w:ascii="宋体" w:hAnsi="宋体" w:cs="宋体"/>
                <w:color w:val="FF0000"/>
                <w:sz w:val="24"/>
                <w:highlight w:val="none"/>
              </w:rPr>
            </w:pPr>
            <w:r>
              <w:rPr>
                <w:rFonts w:hint="eastAsia" w:ascii="宋体" w:hAnsi="宋体" w:cs="宋体"/>
                <w:color w:val="FF0000"/>
                <w:sz w:val="24"/>
                <w:highlight w:val="none"/>
              </w:rPr>
              <w:t>名称</w:t>
            </w:r>
          </w:p>
        </w:tc>
        <w:tc>
          <w:tcPr>
            <w:tcW w:w="875" w:type="dxa"/>
            <w:vMerge w:val="restart"/>
            <w:noWrap/>
            <w:vAlign w:val="center"/>
          </w:tcPr>
          <w:p>
            <w:pPr>
              <w:spacing w:line="360" w:lineRule="auto"/>
              <w:jc w:val="center"/>
              <w:rPr>
                <w:rFonts w:hint="default" w:ascii="宋体" w:hAnsi="宋体" w:eastAsia="宋体" w:cs="宋体"/>
                <w:color w:val="FF0000"/>
                <w:sz w:val="24"/>
                <w:highlight w:val="none"/>
                <w:lang w:val="en-US" w:eastAsia="zh-CN"/>
              </w:rPr>
            </w:pPr>
            <w:r>
              <w:rPr>
                <w:rFonts w:hint="eastAsia" w:ascii="宋体" w:hAnsi="宋体" w:cs="宋体"/>
                <w:color w:val="FF0000"/>
                <w:sz w:val="24"/>
                <w:highlight w:val="none"/>
                <w:lang w:val="en-US" w:eastAsia="zh-CN"/>
              </w:rPr>
              <w:t>规格等</w:t>
            </w:r>
          </w:p>
        </w:tc>
        <w:tc>
          <w:tcPr>
            <w:tcW w:w="549" w:type="dxa"/>
            <w:vMerge w:val="restart"/>
            <w:noWrap/>
            <w:vAlign w:val="center"/>
          </w:tcPr>
          <w:p>
            <w:pPr>
              <w:spacing w:line="360" w:lineRule="auto"/>
              <w:jc w:val="center"/>
              <w:rPr>
                <w:rFonts w:ascii="宋体" w:hAnsi="宋体" w:cs="宋体"/>
                <w:color w:val="FF0000"/>
                <w:sz w:val="24"/>
                <w:highlight w:val="none"/>
              </w:rPr>
            </w:pPr>
            <w:r>
              <w:rPr>
                <w:rFonts w:hint="eastAsia" w:ascii="宋体" w:hAnsi="宋体" w:cs="宋体"/>
                <w:color w:val="FF0000"/>
                <w:sz w:val="24"/>
                <w:highlight w:val="none"/>
              </w:rPr>
              <w:t>单位</w:t>
            </w:r>
          </w:p>
        </w:tc>
        <w:tc>
          <w:tcPr>
            <w:tcW w:w="755" w:type="dxa"/>
            <w:vMerge w:val="restart"/>
            <w:noWrap/>
            <w:vAlign w:val="center"/>
          </w:tcPr>
          <w:p>
            <w:pPr>
              <w:spacing w:line="360" w:lineRule="auto"/>
              <w:jc w:val="center"/>
              <w:rPr>
                <w:rFonts w:ascii="宋体" w:hAnsi="宋体" w:cs="宋体"/>
                <w:color w:val="FF0000"/>
                <w:sz w:val="24"/>
                <w:highlight w:val="none"/>
              </w:rPr>
            </w:pPr>
            <w:r>
              <w:rPr>
                <w:rFonts w:hint="eastAsia" w:ascii="宋体" w:hAnsi="宋体" w:cs="宋体"/>
                <w:color w:val="FF0000"/>
                <w:sz w:val="24"/>
                <w:highlight w:val="none"/>
              </w:rPr>
              <w:t>数量</w:t>
            </w:r>
          </w:p>
        </w:tc>
        <w:tc>
          <w:tcPr>
            <w:tcW w:w="921" w:type="dxa"/>
            <w:vMerge w:val="restart"/>
            <w:noWrap/>
            <w:vAlign w:val="center"/>
          </w:tcPr>
          <w:p>
            <w:pPr>
              <w:spacing w:line="360" w:lineRule="auto"/>
              <w:jc w:val="center"/>
              <w:rPr>
                <w:rFonts w:hint="default" w:ascii="宋体" w:hAnsi="宋体" w:eastAsia="宋体" w:cs="宋体"/>
                <w:color w:val="FF0000"/>
                <w:sz w:val="24"/>
                <w:highlight w:val="none"/>
                <w:lang w:val="en-US" w:eastAsia="zh-CN"/>
              </w:rPr>
            </w:pPr>
            <w:r>
              <w:rPr>
                <w:rFonts w:hint="eastAsia" w:ascii="宋体" w:hAnsi="宋体" w:cs="宋体"/>
                <w:color w:val="FF0000"/>
                <w:sz w:val="24"/>
                <w:highlight w:val="none"/>
                <w:lang w:val="en-US" w:eastAsia="zh-CN"/>
              </w:rPr>
              <w:t>服务期</w:t>
            </w:r>
          </w:p>
        </w:tc>
        <w:tc>
          <w:tcPr>
            <w:tcW w:w="2526" w:type="dxa"/>
            <w:gridSpan w:val="2"/>
            <w:noWrap/>
            <w:vAlign w:val="center"/>
          </w:tcPr>
          <w:p>
            <w:pPr>
              <w:spacing w:line="360" w:lineRule="auto"/>
              <w:jc w:val="center"/>
              <w:rPr>
                <w:rFonts w:hint="eastAsia" w:ascii="宋体" w:hAnsi="宋体" w:eastAsia="宋体" w:cs="宋体"/>
                <w:color w:val="FF0000"/>
                <w:sz w:val="24"/>
                <w:highlight w:val="none"/>
                <w:lang w:eastAsia="zh-CN"/>
              </w:rPr>
            </w:pPr>
            <w:r>
              <w:rPr>
                <w:rFonts w:hint="eastAsia" w:ascii="宋体" w:hAnsi="宋体" w:cs="宋体"/>
                <w:color w:val="FF0000"/>
                <w:sz w:val="24"/>
                <w:highlight w:val="none"/>
              </w:rPr>
              <w:t>报价</w:t>
            </w:r>
            <w:r>
              <w:rPr>
                <w:rFonts w:hint="eastAsia" w:ascii="宋体" w:hAnsi="宋体" w:cs="宋体"/>
                <w:color w:val="FF0000"/>
                <w:sz w:val="24"/>
                <w:highlight w:val="none"/>
                <w:lang w:eastAsia="zh-CN"/>
              </w:rPr>
              <w:t>（</w:t>
            </w:r>
            <w:r>
              <w:rPr>
                <w:rFonts w:hint="eastAsia" w:ascii="宋体" w:hAnsi="宋体" w:cs="宋体"/>
                <w:color w:val="FF0000"/>
                <w:sz w:val="24"/>
                <w:highlight w:val="none"/>
                <w:lang w:val="en-US" w:eastAsia="zh-CN"/>
              </w:rPr>
              <w:t>元</w:t>
            </w:r>
            <w:r>
              <w:rPr>
                <w:rFonts w:hint="eastAsia" w:ascii="宋体" w:hAnsi="宋体" w:cs="宋体"/>
                <w:color w:val="FF000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11" w:type="dxa"/>
            <w:vMerge w:val="continue"/>
            <w:noWrap/>
          </w:tcPr>
          <w:p>
            <w:pPr>
              <w:spacing w:line="360" w:lineRule="auto"/>
              <w:rPr>
                <w:rFonts w:ascii="宋体" w:hAnsi="宋体" w:cs="宋体"/>
                <w:color w:val="FF0000"/>
                <w:sz w:val="24"/>
                <w:highlight w:val="none"/>
              </w:rPr>
            </w:pPr>
          </w:p>
        </w:tc>
        <w:tc>
          <w:tcPr>
            <w:tcW w:w="1900" w:type="dxa"/>
            <w:vMerge w:val="continue"/>
            <w:noWrap/>
          </w:tcPr>
          <w:p>
            <w:pPr>
              <w:spacing w:line="360" w:lineRule="auto"/>
              <w:rPr>
                <w:rFonts w:ascii="宋体" w:hAnsi="宋体" w:cs="宋体"/>
                <w:color w:val="FF0000"/>
                <w:sz w:val="24"/>
                <w:highlight w:val="none"/>
              </w:rPr>
            </w:pPr>
          </w:p>
        </w:tc>
        <w:tc>
          <w:tcPr>
            <w:tcW w:w="875" w:type="dxa"/>
            <w:vMerge w:val="continue"/>
            <w:noWrap/>
          </w:tcPr>
          <w:p>
            <w:pPr>
              <w:spacing w:line="360" w:lineRule="auto"/>
              <w:rPr>
                <w:rFonts w:ascii="宋体" w:hAnsi="宋体" w:cs="宋体"/>
                <w:color w:val="FF0000"/>
                <w:sz w:val="24"/>
                <w:highlight w:val="none"/>
              </w:rPr>
            </w:pPr>
          </w:p>
        </w:tc>
        <w:tc>
          <w:tcPr>
            <w:tcW w:w="549" w:type="dxa"/>
            <w:vMerge w:val="continue"/>
            <w:noWrap/>
          </w:tcPr>
          <w:p>
            <w:pPr>
              <w:spacing w:line="360" w:lineRule="auto"/>
              <w:rPr>
                <w:rFonts w:ascii="宋体" w:hAnsi="宋体" w:cs="宋体"/>
                <w:color w:val="FF0000"/>
                <w:sz w:val="24"/>
                <w:highlight w:val="none"/>
              </w:rPr>
            </w:pPr>
          </w:p>
        </w:tc>
        <w:tc>
          <w:tcPr>
            <w:tcW w:w="755" w:type="dxa"/>
            <w:vMerge w:val="continue"/>
            <w:noWrap/>
          </w:tcPr>
          <w:p>
            <w:pPr>
              <w:spacing w:line="360" w:lineRule="auto"/>
              <w:rPr>
                <w:rFonts w:ascii="宋体" w:hAnsi="宋体" w:cs="宋体"/>
                <w:color w:val="FF0000"/>
                <w:sz w:val="24"/>
                <w:highlight w:val="none"/>
              </w:rPr>
            </w:pPr>
          </w:p>
        </w:tc>
        <w:tc>
          <w:tcPr>
            <w:tcW w:w="921" w:type="dxa"/>
            <w:vMerge w:val="continue"/>
            <w:noWrap/>
          </w:tcPr>
          <w:p>
            <w:pPr>
              <w:spacing w:line="360" w:lineRule="auto"/>
              <w:rPr>
                <w:rFonts w:ascii="宋体" w:hAnsi="宋体" w:cs="宋体"/>
                <w:color w:val="FF0000"/>
                <w:sz w:val="24"/>
                <w:highlight w:val="none"/>
              </w:rPr>
            </w:pPr>
          </w:p>
        </w:tc>
        <w:tc>
          <w:tcPr>
            <w:tcW w:w="1610" w:type="dxa"/>
            <w:noWrap/>
          </w:tcPr>
          <w:p>
            <w:pPr>
              <w:spacing w:line="360" w:lineRule="auto"/>
              <w:jc w:val="center"/>
              <w:rPr>
                <w:rFonts w:ascii="宋体" w:hAnsi="宋体" w:cs="宋体"/>
                <w:color w:val="FF0000"/>
                <w:sz w:val="24"/>
                <w:highlight w:val="none"/>
              </w:rPr>
            </w:pPr>
            <w:r>
              <w:rPr>
                <w:rFonts w:hint="eastAsia" w:ascii="宋体" w:hAnsi="宋体" w:cs="宋体"/>
                <w:color w:val="FF0000"/>
                <w:sz w:val="24"/>
                <w:highlight w:val="none"/>
                <w:lang w:val="en-US" w:eastAsia="zh-CN"/>
              </w:rPr>
              <w:t>子项</w:t>
            </w:r>
            <w:r>
              <w:rPr>
                <w:rFonts w:hint="eastAsia" w:ascii="宋体" w:hAnsi="宋体" w:cs="宋体"/>
                <w:color w:val="FF0000"/>
                <w:sz w:val="24"/>
                <w:highlight w:val="none"/>
              </w:rPr>
              <w:t>单价</w:t>
            </w:r>
          </w:p>
        </w:tc>
        <w:tc>
          <w:tcPr>
            <w:tcW w:w="916" w:type="dxa"/>
            <w:noWrap/>
          </w:tcPr>
          <w:p>
            <w:pPr>
              <w:spacing w:line="360" w:lineRule="auto"/>
              <w:jc w:val="center"/>
              <w:rPr>
                <w:rFonts w:ascii="宋体" w:hAnsi="宋体" w:cs="宋体"/>
                <w:color w:val="FF0000"/>
                <w:sz w:val="24"/>
                <w:highlight w:val="none"/>
              </w:rPr>
            </w:pPr>
            <w:r>
              <w:rPr>
                <w:rFonts w:hint="eastAsia" w:ascii="宋体" w:hAnsi="宋体" w:cs="宋体"/>
                <w:color w:val="FF0000"/>
                <w:sz w:val="24"/>
                <w:highlight w:val="none"/>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8237" w:type="dxa"/>
            <w:gridSpan w:val="8"/>
            <w:noWrap/>
          </w:tcPr>
          <w:p>
            <w:pPr>
              <w:spacing w:line="360" w:lineRule="auto"/>
              <w:jc w:val="center"/>
              <w:rPr>
                <w:rFonts w:hint="default" w:ascii="宋体" w:hAnsi="宋体" w:eastAsia="宋体" w:cs="宋体"/>
                <w:color w:val="FF0000"/>
                <w:sz w:val="24"/>
                <w:highlight w:val="none"/>
                <w:lang w:val="en-US" w:eastAsia="zh-CN"/>
              </w:rPr>
            </w:pPr>
            <w:r>
              <w:rPr>
                <w:rFonts w:hint="eastAsia" w:ascii="宋体" w:hAnsi="宋体" w:cs="宋体"/>
                <w:b/>
                <w:bCs/>
                <w:color w:val="FF0000"/>
                <w:sz w:val="24"/>
                <w:highlight w:val="none"/>
                <w:lang w:val="en-US" w:eastAsia="zh-CN"/>
              </w:rPr>
              <w:t>道路保洁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11" w:type="dxa"/>
            <w:noWrap/>
          </w:tcPr>
          <w:p>
            <w:pPr>
              <w:spacing w:line="360" w:lineRule="auto"/>
              <w:rPr>
                <w:rFonts w:ascii="宋体" w:hAnsi="宋体" w:cs="宋体"/>
                <w:color w:val="FF0000"/>
                <w:sz w:val="24"/>
                <w:highlight w:val="none"/>
              </w:rPr>
            </w:pPr>
            <w:r>
              <w:rPr>
                <w:rFonts w:hint="eastAsia" w:ascii="宋体" w:hAnsi="宋体" w:cs="宋体"/>
                <w:color w:val="FF0000"/>
                <w:sz w:val="24"/>
                <w:highlight w:val="none"/>
              </w:rPr>
              <w:t>一</w:t>
            </w:r>
          </w:p>
        </w:tc>
        <w:tc>
          <w:tcPr>
            <w:tcW w:w="1900" w:type="dxa"/>
            <w:noWrap/>
          </w:tcPr>
          <w:p>
            <w:pPr>
              <w:spacing w:line="360" w:lineRule="auto"/>
              <w:rPr>
                <w:rFonts w:hint="default" w:ascii="宋体" w:hAnsi="宋体" w:eastAsia="宋体" w:cs="宋体"/>
                <w:b/>
                <w:color w:val="FF0000"/>
                <w:sz w:val="24"/>
                <w:highlight w:val="none"/>
                <w:lang w:val="en-US" w:eastAsia="zh-CN"/>
              </w:rPr>
            </w:pPr>
            <w:r>
              <w:rPr>
                <w:rFonts w:hint="eastAsia" w:ascii="宋体" w:hAnsi="宋体" w:cs="宋体"/>
                <w:b/>
                <w:color w:val="FF0000"/>
                <w:sz w:val="24"/>
                <w:highlight w:val="none"/>
                <w:lang w:val="en-US" w:eastAsia="zh-CN"/>
              </w:rPr>
              <w:t>保洁人员</w:t>
            </w:r>
          </w:p>
        </w:tc>
        <w:tc>
          <w:tcPr>
            <w:tcW w:w="875" w:type="dxa"/>
            <w:noWrap/>
          </w:tcPr>
          <w:p>
            <w:pPr>
              <w:spacing w:line="360" w:lineRule="auto"/>
              <w:rPr>
                <w:rFonts w:hint="eastAsia" w:ascii="宋体" w:hAnsi="宋体" w:cs="宋体"/>
                <w:b/>
                <w:color w:val="FF0000"/>
                <w:sz w:val="24"/>
                <w:highlight w:val="none"/>
              </w:rPr>
            </w:pPr>
          </w:p>
        </w:tc>
        <w:tc>
          <w:tcPr>
            <w:tcW w:w="549" w:type="dxa"/>
            <w:noWrap/>
          </w:tcPr>
          <w:p>
            <w:pPr>
              <w:spacing w:line="360" w:lineRule="auto"/>
              <w:rPr>
                <w:rFonts w:ascii="宋体" w:hAnsi="宋体" w:cs="宋体"/>
                <w:color w:val="FF0000"/>
                <w:sz w:val="24"/>
                <w:highlight w:val="none"/>
              </w:rPr>
            </w:pPr>
          </w:p>
        </w:tc>
        <w:tc>
          <w:tcPr>
            <w:tcW w:w="755" w:type="dxa"/>
            <w:noWrap/>
          </w:tcPr>
          <w:p>
            <w:pPr>
              <w:spacing w:line="360" w:lineRule="auto"/>
              <w:rPr>
                <w:rFonts w:ascii="宋体" w:hAnsi="宋体" w:cs="宋体"/>
                <w:color w:val="FF0000"/>
                <w:sz w:val="24"/>
                <w:highlight w:val="none"/>
              </w:rPr>
            </w:pPr>
          </w:p>
        </w:tc>
        <w:tc>
          <w:tcPr>
            <w:tcW w:w="921" w:type="dxa"/>
            <w:noWrap/>
          </w:tcPr>
          <w:p>
            <w:pPr>
              <w:spacing w:line="360" w:lineRule="auto"/>
              <w:rPr>
                <w:rFonts w:ascii="宋体" w:hAnsi="宋体" w:cs="宋体"/>
                <w:color w:val="FF0000"/>
                <w:sz w:val="24"/>
                <w:highlight w:val="none"/>
              </w:rPr>
            </w:pPr>
          </w:p>
        </w:tc>
        <w:tc>
          <w:tcPr>
            <w:tcW w:w="1610" w:type="dxa"/>
            <w:noWrap/>
          </w:tcPr>
          <w:p>
            <w:pPr>
              <w:spacing w:line="360" w:lineRule="auto"/>
              <w:jc w:val="center"/>
              <w:rPr>
                <w:rFonts w:ascii="宋体" w:hAnsi="宋体" w:cs="宋体"/>
                <w:color w:val="FF0000"/>
                <w:sz w:val="24"/>
                <w:highlight w:val="none"/>
              </w:rPr>
            </w:pPr>
          </w:p>
        </w:tc>
        <w:tc>
          <w:tcPr>
            <w:tcW w:w="916" w:type="dxa"/>
            <w:noWrap/>
          </w:tcPr>
          <w:p>
            <w:pPr>
              <w:spacing w:line="360" w:lineRule="auto"/>
              <w:jc w:val="center"/>
              <w:rPr>
                <w:rFonts w:ascii="宋体" w:hAnsi="宋体" w:cs="宋体"/>
                <w:color w:val="FF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11" w:type="dxa"/>
            <w:noWrap/>
          </w:tcPr>
          <w:p>
            <w:pPr>
              <w:spacing w:line="360" w:lineRule="auto"/>
              <w:rPr>
                <w:rFonts w:ascii="宋体" w:hAnsi="宋体" w:cs="宋体"/>
                <w:color w:val="FF0000"/>
                <w:sz w:val="24"/>
                <w:highlight w:val="none"/>
              </w:rPr>
            </w:pPr>
            <w:r>
              <w:rPr>
                <w:rFonts w:hint="eastAsia" w:ascii="宋体" w:hAnsi="宋体" w:cs="宋体"/>
                <w:color w:val="FF0000"/>
                <w:sz w:val="24"/>
                <w:highlight w:val="none"/>
              </w:rPr>
              <w:t>1.1</w:t>
            </w:r>
          </w:p>
        </w:tc>
        <w:tc>
          <w:tcPr>
            <w:tcW w:w="1900" w:type="dxa"/>
            <w:noWrap/>
          </w:tcPr>
          <w:p>
            <w:pPr>
              <w:spacing w:line="360" w:lineRule="auto"/>
              <w:rPr>
                <w:rFonts w:hint="default" w:ascii="宋体" w:hAnsi="宋体" w:eastAsia="宋体" w:cs="宋体"/>
                <w:color w:val="FF0000"/>
                <w:sz w:val="24"/>
                <w:highlight w:val="none"/>
                <w:lang w:val="en-US" w:eastAsia="zh-CN"/>
              </w:rPr>
            </w:pPr>
            <w:r>
              <w:rPr>
                <w:rFonts w:hint="eastAsia" w:ascii="宋体" w:hAnsi="宋体" w:cs="宋体"/>
                <w:color w:val="FF0000"/>
                <w:sz w:val="24"/>
                <w:highlight w:val="none"/>
                <w:lang w:val="en-US" w:eastAsia="zh-CN"/>
              </w:rPr>
              <w:t>项目负责人</w:t>
            </w:r>
          </w:p>
        </w:tc>
        <w:tc>
          <w:tcPr>
            <w:tcW w:w="875" w:type="dxa"/>
            <w:noWrap/>
          </w:tcPr>
          <w:p>
            <w:pPr>
              <w:spacing w:line="360" w:lineRule="auto"/>
              <w:rPr>
                <w:rFonts w:hint="eastAsia" w:ascii="宋体" w:hAnsi="宋体" w:cs="宋体"/>
                <w:color w:val="FF0000"/>
                <w:sz w:val="24"/>
                <w:highlight w:val="none"/>
              </w:rPr>
            </w:pPr>
          </w:p>
        </w:tc>
        <w:tc>
          <w:tcPr>
            <w:tcW w:w="549" w:type="dxa"/>
            <w:noWrap/>
          </w:tcPr>
          <w:p>
            <w:pPr>
              <w:spacing w:line="360" w:lineRule="auto"/>
              <w:jc w:val="center"/>
              <w:rPr>
                <w:rFonts w:hint="eastAsia" w:ascii="宋体" w:hAnsi="宋体" w:eastAsia="宋体" w:cs="宋体"/>
                <w:color w:val="FF0000"/>
                <w:sz w:val="24"/>
                <w:highlight w:val="none"/>
                <w:lang w:val="en-US" w:eastAsia="zh-CN"/>
              </w:rPr>
            </w:pPr>
            <w:r>
              <w:rPr>
                <w:rFonts w:hint="eastAsia" w:ascii="宋体" w:hAnsi="宋体" w:cs="宋体"/>
                <w:color w:val="FF0000"/>
                <w:sz w:val="24"/>
                <w:highlight w:val="none"/>
                <w:lang w:val="en-US" w:eastAsia="zh-CN"/>
              </w:rPr>
              <w:t>人</w:t>
            </w:r>
          </w:p>
        </w:tc>
        <w:tc>
          <w:tcPr>
            <w:tcW w:w="755" w:type="dxa"/>
            <w:noWrap/>
          </w:tcPr>
          <w:p>
            <w:pPr>
              <w:spacing w:line="360" w:lineRule="auto"/>
              <w:jc w:val="center"/>
              <w:rPr>
                <w:rFonts w:hint="eastAsia" w:ascii="宋体" w:hAnsi="宋体" w:eastAsia="宋体" w:cs="宋体"/>
                <w:color w:val="FF0000"/>
                <w:sz w:val="24"/>
                <w:highlight w:val="none"/>
                <w:lang w:val="en-US" w:eastAsia="zh-CN"/>
              </w:rPr>
            </w:pPr>
            <w:r>
              <w:rPr>
                <w:rFonts w:hint="eastAsia" w:ascii="宋体" w:hAnsi="宋体" w:cs="宋体"/>
                <w:color w:val="FF0000"/>
                <w:sz w:val="24"/>
                <w:highlight w:val="none"/>
                <w:lang w:val="en-US" w:eastAsia="zh-CN"/>
              </w:rPr>
              <w:t>1</w:t>
            </w:r>
          </w:p>
        </w:tc>
        <w:tc>
          <w:tcPr>
            <w:tcW w:w="921" w:type="dxa"/>
            <w:noWrap/>
          </w:tcPr>
          <w:p>
            <w:pPr>
              <w:spacing w:line="360" w:lineRule="auto"/>
              <w:jc w:val="center"/>
              <w:rPr>
                <w:rFonts w:hint="default" w:ascii="宋体" w:hAnsi="宋体" w:eastAsia="宋体" w:cs="宋体"/>
                <w:color w:val="FF0000"/>
                <w:sz w:val="24"/>
                <w:highlight w:val="none"/>
                <w:lang w:val="en-US" w:eastAsia="zh-CN"/>
              </w:rPr>
            </w:pPr>
            <w:r>
              <w:rPr>
                <w:rFonts w:hint="eastAsia" w:ascii="宋体" w:hAnsi="宋体" w:cs="宋体"/>
                <w:color w:val="FF0000"/>
                <w:sz w:val="24"/>
                <w:highlight w:val="none"/>
                <w:lang w:val="en-US" w:eastAsia="zh-CN"/>
              </w:rPr>
              <w:t>1年</w:t>
            </w:r>
          </w:p>
        </w:tc>
        <w:tc>
          <w:tcPr>
            <w:tcW w:w="1610" w:type="dxa"/>
            <w:noWrap/>
          </w:tcPr>
          <w:p>
            <w:pPr>
              <w:spacing w:line="360" w:lineRule="auto"/>
              <w:rPr>
                <w:rFonts w:ascii="宋体" w:hAnsi="宋体" w:cs="宋体"/>
                <w:color w:val="FF0000"/>
                <w:sz w:val="24"/>
                <w:highlight w:val="none"/>
              </w:rPr>
            </w:pPr>
          </w:p>
        </w:tc>
        <w:tc>
          <w:tcPr>
            <w:tcW w:w="916" w:type="dxa"/>
            <w:noWrap/>
          </w:tcPr>
          <w:p>
            <w:pPr>
              <w:spacing w:line="360" w:lineRule="auto"/>
              <w:rPr>
                <w:rFonts w:ascii="宋体" w:hAnsi="宋体" w:cs="宋体"/>
                <w:color w:val="FF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1" w:type="dxa"/>
            <w:noWrap/>
          </w:tcPr>
          <w:p>
            <w:pPr>
              <w:spacing w:line="360" w:lineRule="auto"/>
              <w:rPr>
                <w:rFonts w:ascii="宋体" w:hAnsi="宋体" w:cs="宋体"/>
                <w:color w:val="FF0000"/>
                <w:sz w:val="24"/>
                <w:highlight w:val="none"/>
              </w:rPr>
            </w:pPr>
            <w:r>
              <w:rPr>
                <w:rFonts w:hint="eastAsia" w:ascii="宋体" w:hAnsi="宋体" w:cs="宋体"/>
                <w:color w:val="FF0000"/>
                <w:sz w:val="24"/>
                <w:highlight w:val="none"/>
              </w:rPr>
              <w:t>1.2</w:t>
            </w:r>
          </w:p>
        </w:tc>
        <w:tc>
          <w:tcPr>
            <w:tcW w:w="1900" w:type="dxa"/>
            <w:noWrap/>
          </w:tcPr>
          <w:p>
            <w:pPr>
              <w:spacing w:line="360" w:lineRule="auto"/>
              <w:rPr>
                <w:rFonts w:hint="eastAsia" w:ascii="宋体" w:hAnsi="宋体" w:eastAsia="宋体" w:cs="宋体"/>
                <w:color w:val="FF0000"/>
                <w:sz w:val="24"/>
                <w:highlight w:val="none"/>
                <w:lang w:val="en-US" w:eastAsia="zh-CN"/>
              </w:rPr>
            </w:pPr>
            <w:r>
              <w:rPr>
                <w:rFonts w:hint="eastAsia" w:ascii="宋体" w:hAnsi="宋体" w:cs="宋体"/>
                <w:color w:val="FF0000"/>
                <w:sz w:val="24"/>
                <w:highlight w:val="none"/>
                <w:lang w:val="en-US" w:eastAsia="zh-CN"/>
              </w:rPr>
              <w:t>安管员</w:t>
            </w:r>
          </w:p>
        </w:tc>
        <w:tc>
          <w:tcPr>
            <w:tcW w:w="875" w:type="dxa"/>
            <w:noWrap/>
          </w:tcPr>
          <w:p>
            <w:pPr>
              <w:spacing w:line="360" w:lineRule="auto"/>
              <w:rPr>
                <w:rFonts w:hint="eastAsia" w:ascii="宋体" w:hAnsi="宋体" w:cs="宋体"/>
                <w:color w:val="FF0000"/>
                <w:sz w:val="24"/>
                <w:highlight w:val="none"/>
              </w:rPr>
            </w:pPr>
          </w:p>
        </w:tc>
        <w:tc>
          <w:tcPr>
            <w:tcW w:w="549" w:type="dxa"/>
            <w:noWrap/>
          </w:tcPr>
          <w:p>
            <w:pPr>
              <w:spacing w:line="360" w:lineRule="auto"/>
              <w:rPr>
                <w:rFonts w:ascii="宋体" w:hAnsi="宋体" w:cs="宋体"/>
                <w:color w:val="FF0000"/>
                <w:sz w:val="24"/>
                <w:highlight w:val="none"/>
              </w:rPr>
            </w:pPr>
          </w:p>
        </w:tc>
        <w:tc>
          <w:tcPr>
            <w:tcW w:w="755" w:type="dxa"/>
            <w:noWrap/>
          </w:tcPr>
          <w:p>
            <w:pPr>
              <w:spacing w:line="360" w:lineRule="auto"/>
              <w:rPr>
                <w:rFonts w:ascii="宋体" w:hAnsi="宋体" w:cs="宋体"/>
                <w:color w:val="FF0000"/>
                <w:sz w:val="24"/>
                <w:highlight w:val="none"/>
              </w:rPr>
            </w:pPr>
          </w:p>
        </w:tc>
        <w:tc>
          <w:tcPr>
            <w:tcW w:w="921" w:type="dxa"/>
            <w:noWrap/>
          </w:tcPr>
          <w:p>
            <w:pPr>
              <w:spacing w:line="360" w:lineRule="auto"/>
              <w:jc w:val="center"/>
              <w:rPr>
                <w:rFonts w:ascii="宋体" w:hAnsi="宋体" w:cs="宋体"/>
                <w:color w:val="FF0000"/>
                <w:sz w:val="24"/>
                <w:highlight w:val="none"/>
              </w:rPr>
            </w:pPr>
            <w:r>
              <w:rPr>
                <w:rFonts w:hint="eastAsia" w:ascii="宋体" w:hAnsi="宋体" w:cs="宋体"/>
                <w:color w:val="FF0000"/>
                <w:sz w:val="24"/>
                <w:highlight w:val="none"/>
                <w:lang w:val="en-US" w:eastAsia="zh-CN"/>
              </w:rPr>
              <w:t>1年</w:t>
            </w:r>
          </w:p>
        </w:tc>
        <w:tc>
          <w:tcPr>
            <w:tcW w:w="1610" w:type="dxa"/>
            <w:noWrap/>
          </w:tcPr>
          <w:p>
            <w:pPr>
              <w:spacing w:line="360" w:lineRule="auto"/>
              <w:rPr>
                <w:rFonts w:ascii="宋体" w:hAnsi="宋体" w:cs="宋体"/>
                <w:color w:val="FF0000"/>
                <w:sz w:val="24"/>
                <w:highlight w:val="none"/>
              </w:rPr>
            </w:pPr>
          </w:p>
        </w:tc>
        <w:tc>
          <w:tcPr>
            <w:tcW w:w="916" w:type="dxa"/>
            <w:noWrap/>
          </w:tcPr>
          <w:p>
            <w:pPr>
              <w:spacing w:line="360" w:lineRule="auto"/>
              <w:rPr>
                <w:rFonts w:ascii="宋体" w:hAnsi="宋体" w:cs="宋体"/>
                <w:color w:val="FF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11" w:type="dxa"/>
            <w:noWrap/>
          </w:tcPr>
          <w:p>
            <w:pPr>
              <w:spacing w:line="360" w:lineRule="auto"/>
              <w:rPr>
                <w:rFonts w:ascii="宋体" w:hAnsi="宋体" w:cs="宋体"/>
                <w:color w:val="FF0000"/>
                <w:sz w:val="24"/>
                <w:highlight w:val="none"/>
              </w:rPr>
            </w:pPr>
            <w:r>
              <w:rPr>
                <w:rFonts w:hint="eastAsia" w:ascii="宋体" w:hAnsi="宋体" w:cs="宋体"/>
                <w:color w:val="FF0000"/>
                <w:sz w:val="24"/>
                <w:highlight w:val="none"/>
              </w:rPr>
              <w:t>1.3</w:t>
            </w:r>
          </w:p>
        </w:tc>
        <w:tc>
          <w:tcPr>
            <w:tcW w:w="1900" w:type="dxa"/>
            <w:noWrap/>
          </w:tcPr>
          <w:p>
            <w:pPr>
              <w:spacing w:line="360" w:lineRule="auto"/>
              <w:rPr>
                <w:rFonts w:hint="default" w:ascii="宋体" w:hAnsi="宋体" w:eastAsia="宋体" w:cs="宋体"/>
                <w:color w:val="FF0000"/>
                <w:sz w:val="24"/>
                <w:highlight w:val="none"/>
                <w:lang w:val="en-US" w:eastAsia="zh-CN"/>
              </w:rPr>
            </w:pPr>
            <w:r>
              <w:rPr>
                <w:rFonts w:hint="eastAsia" w:ascii="宋体" w:hAnsi="宋体" w:cs="宋体"/>
                <w:color w:val="FF0000"/>
                <w:sz w:val="24"/>
                <w:highlight w:val="none"/>
                <w:lang w:val="en-US" w:eastAsia="zh-CN"/>
              </w:rPr>
              <w:t>车辆管理人员</w:t>
            </w:r>
          </w:p>
        </w:tc>
        <w:tc>
          <w:tcPr>
            <w:tcW w:w="875" w:type="dxa"/>
            <w:noWrap/>
          </w:tcPr>
          <w:p>
            <w:pPr>
              <w:spacing w:line="360" w:lineRule="auto"/>
              <w:rPr>
                <w:rFonts w:hint="eastAsia" w:ascii="宋体" w:hAnsi="宋体" w:cs="宋体"/>
                <w:color w:val="FF0000"/>
                <w:sz w:val="24"/>
                <w:highlight w:val="none"/>
              </w:rPr>
            </w:pPr>
          </w:p>
        </w:tc>
        <w:tc>
          <w:tcPr>
            <w:tcW w:w="549" w:type="dxa"/>
            <w:noWrap/>
          </w:tcPr>
          <w:p>
            <w:pPr>
              <w:spacing w:line="360" w:lineRule="auto"/>
              <w:rPr>
                <w:rFonts w:ascii="宋体" w:hAnsi="宋体" w:cs="宋体"/>
                <w:color w:val="FF0000"/>
                <w:sz w:val="24"/>
                <w:highlight w:val="none"/>
              </w:rPr>
            </w:pPr>
          </w:p>
        </w:tc>
        <w:tc>
          <w:tcPr>
            <w:tcW w:w="755" w:type="dxa"/>
            <w:noWrap/>
          </w:tcPr>
          <w:p>
            <w:pPr>
              <w:spacing w:line="360" w:lineRule="auto"/>
              <w:rPr>
                <w:rFonts w:ascii="宋体" w:hAnsi="宋体" w:cs="宋体"/>
                <w:color w:val="FF0000"/>
                <w:sz w:val="24"/>
                <w:highlight w:val="none"/>
              </w:rPr>
            </w:pPr>
          </w:p>
        </w:tc>
        <w:tc>
          <w:tcPr>
            <w:tcW w:w="921" w:type="dxa"/>
            <w:noWrap/>
          </w:tcPr>
          <w:p>
            <w:pPr>
              <w:spacing w:line="360" w:lineRule="auto"/>
              <w:jc w:val="center"/>
              <w:rPr>
                <w:rFonts w:ascii="宋体" w:hAnsi="宋体" w:cs="宋体"/>
                <w:color w:val="FF0000"/>
                <w:sz w:val="24"/>
                <w:highlight w:val="none"/>
              </w:rPr>
            </w:pPr>
            <w:r>
              <w:rPr>
                <w:rFonts w:hint="eastAsia" w:ascii="宋体" w:hAnsi="宋体" w:cs="宋体"/>
                <w:color w:val="FF0000"/>
                <w:sz w:val="24"/>
                <w:highlight w:val="none"/>
                <w:lang w:val="en-US" w:eastAsia="zh-CN"/>
              </w:rPr>
              <w:t>1年</w:t>
            </w:r>
          </w:p>
        </w:tc>
        <w:tc>
          <w:tcPr>
            <w:tcW w:w="1610" w:type="dxa"/>
            <w:noWrap/>
          </w:tcPr>
          <w:p>
            <w:pPr>
              <w:spacing w:line="360" w:lineRule="auto"/>
              <w:rPr>
                <w:rFonts w:ascii="宋体" w:hAnsi="宋体" w:cs="宋体"/>
                <w:color w:val="FF0000"/>
                <w:sz w:val="24"/>
                <w:highlight w:val="none"/>
              </w:rPr>
            </w:pPr>
          </w:p>
        </w:tc>
        <w:tc>
          <w:tcPr>
            <w:tcW w:w="916" w:type="dxa"/>
            <w:noWrap/>
          </w:tcPr>
          <w:p>
            <w:pPr>
              <w:spacing w:line="360" w:lineRule="auto"/>
              <w:rPr>
                <w:rFonts w:ascii="宋体" w:hAnsi="宋体" w:cs="宋体"/>
                <w:color w:val="FF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11" w:type="dxa"/>
            <w:noWrap/>
          </w:tcPr>
          <w:p>
            <w:pPr>
              <w:spacing w:line="360" w:lineRule="auto"/>
              <w:rPr>
                <w:rFonts w:hint="eastAsia" w:ascii="宋体" w:hAnsi="宋体" w:cs="宋体"/>
                <w:color w:val="FF0000"/>
                <w:sz w:val="24"/>
                <w:highlight w:val="none"/>
              </w:rPr>
            </w:pPr>
          </w:p>
        </w:tc>
        <w:tc>
          <w:tcPr>
            <w:tcW w:w="1900" w:type="dxa"/>
            <w:noWrap/>
          </w:tcPr>
          <w:p>
            <w:pPr>
              <w:spacing w:line="360" w:lineRule="auto"/>
              <w:rPr>
                <w:rFonts w:hint="eastAsia" w:ascii="宋体" w:hAnsi="宋体" w:cs="宋体"/>
                <w:color w:val="FF0000"/>
                <w:sz w:val="24"/>
                <w:highlight w:val="none"/>
              </w:rPr>
            </w:pPr>
            <w:r>
              <w:rPr>
                <w:rFonts w:hint="eastAsia" w:ascii="宋体" w:hAnsi="宋体" w:cs="宋体"/>
                <w:color w:val="FF0000"/>
                <w:sz w:val="24"/>
                <w:highlight w:val="none"/>
                <w:lang w:val="en-US" w:eastAsia="zh-CN"/>
              </w:rPr>
              <w:t>... ...</w:t>
            </w:r>
          </w:p>
        </w:tc>
        <w:tc>
          <w:tcPr>
            <w:tcW w:w="875" w:type="dxa"/>
            <w:noWrap/>
          </w:tcPr>
          <w:p>
            <w:pPr>
              <w:spacing w:line="360" w:lineRule="auto"/>
              <w:rPr>
                <w:rFonts w:hint="eastAsia" w:ascii="宋体" w:hAnsi="宋体" w:cs="宋体"/>
                <w:color w:val="FF0000"/>
                <w:sz w:val="24"/>
                <w:highlight w:val="none"/>
                <w:lang w:val="en-US" w:eastAsia="zh-CN"/>
              </w:rPr>
            </w:pPr>
          </w:p>
        </w:tc>
        <w:tc>
          <w:tcPr>
            <w:tcW w:w="549" w:type="dxa"/>
            <w:noWrap/>
          </w:tcPr>
          <w:p>
            <w:pPr>
              <w:spacing w:line="360" w:lineRule="auto"/>
              <w:rPr>
                <w:rFonts w:ascii="宋体" w:hAnsi="宋体" w:cs="宋体"/>
                <w:color w:val="FF0000"/>
                <w:sz w:val="24"/>
                <w:highlight w:val="none"/>
              </w:rPr>
            </w:pPr>
          </w:p>
        </w:tc>
        <w:tc>
          <w:tcPr>
            <w:tcW w:w="755" w:type="dxa"/>
            <w:noWrap/>
          </w:tcPr>
          <w:p>
            <w:pPr>
              <w:spacing w:line="360" w:lineRule="auto"/>
              <w:rPr>
                <w:rFonts w:ascii="宋体" w:hAnsi="宋体" w:cs="宋体"/>
                <w:color w:val="FF0000"/>
                <w:sz w:val="24"/>
                <w:highlight w:val="none"/>
              </w:rPr>
            </w:pPr>
          </w:p>
        </w:tc>
        <w:tc>
          <w:tcPr>
            <w:tcW w:w="921" w:type="dxa"/>
            <w:noWrap/>
          </w:tcPr>
          <w:p>
            <w:pPr>
              <w:spacing w:line="360" w:lineRule="auto"/>
              <w:jc w:val="center"/>
              <w:rPr>
                <w:rFonts w:ascii="宋体" w:hAnsi="宋体" w:cs="宋体"/>
                <w:color w:val="FF0000"/>
                <w:sz w:val="24"/>
                <w:highlight w:val="none"/>
              </w:rPr>
            </w:pPr>
          </w:p>
        </w:tc>
        <w:tc>
          <w:tcPr>
            <w:tcW w:w="1610" w:type="dxa"/>
            <w:noWrap/>
          </w:tcPr>
          <w:p>
            <w:pPr>
              <w:spacing w:line="360" w:lineRule="auto"/>
              <w:rPr>
                <w:rFonts w:ascii="宋体" w:hAnsi="宋体" w:cs="宋体"/>
                <w:color w:val="FF0000"/>
                <w:sz w:val="24"/>
                <w:highlight w:val="none"/>
              </w:rPr>
            </w:pPr>
          </w:p>
        </w:tc>
        <w:tc>
          <w:tcPr>
            <w:tcW w:w="916" w:type="dxa"/>
            <w:noWrap/>
          </w:tcPr>
          <w:p>
            <w:pPr>
              <w:spacing w:line="360" w:lineRule="auto"/>
              <w:rPr>
                <w:rFonts w:ascii="宋体" w:hAnsi="宋体" w:cs="宋体"/>
                <w:color w:val="FF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11" w:type="dxa"/>
            <w:noWrap/>
          </w:tcPr>
          <w:p>
            <w:pPr>
              <w:spacing w:line="360" w:lineRule="auto"/>
              <w:rPr>
                <w:rFonts w:ascii="宋体" w:hAnsi="宋体" w:cs="宋体"/>
                <w:color w:val="FF0000"/>
                <w:sz w:val="24"/>
                <w:highlight w:val="none"/>
              </w:rPr>
            </w:pPr>
            <w:r>
              <w:rPr>
                <w:rFonts w:hint="eastAsia" w:ascii="宋体" w:hAnsi="宋体" w:cs="宋体"/>
                <w:color w:val="FF0000"/>
                <w:sz w:val="24"/>
                <w:highlight w:val="none"/>
              </w:rPr>
              <w:t>二</w:t>
            </w:r>
          </w:p>
        </w:tc>
        <w:tc>
          <w:tcPr>
            <w:tcW w:w="1900" w:type="dxa"/>
            <w:noWrap/>
          </w:tcPr>
          <w:p>
            <w:pPr>
              <w:spacing w:line="360" w:lineRule="auto"/>
              <w:rPr>
                <w:rFonts w:hint="eastAsia" w:ascii="宋体" w:hAnsi="宋体" w:eastAsia="宋体" w:cs="宋体"/>
                <w:b/>
                <w:color w:val="FF0000"/>
                <w:sz w:val="24"/>
                <w:highlight w:val="none"/>
                <w:lang w:val="en-US" w:eastAsia="zh-CN"/>
              </w:rPr>
            </w:pPr>
            <w:r>
              <w:rPr>
                <w:rFonts w:hint="eastAsia" w:ascii="宋体" w:hAnsi="宋体" w:cs="宋体"/>
                <w:b/>
                <w:color w:val="FF0000"/>
                <w:sz w:val="24"/>
                <w:highlight w:val="none"/>
                <w:lang w:val="en-US" w:eastAsia="zh-CN"/>
              </w:rPr>
              <w:t>车辆</w:t>
            </w:r>
          </w:p>
        </w:tc>
        <w:tc>
          <w:tcPr>
            <w:tcW w:w="875" w:type="dxa"/>
            <w:noWrap/>
          </w:tcPr>
          <w:p>
            <w:pPr>
              <w:spacing w:line="360" w:lineRule="auto"/>
              <w:rPr>
                <w:rFonts w:hint="eastAsia" w:ascii="宋体" w:hAnsi="宋体" w:cs="宋体"/>
                <w:b/>
                <w:color w:val="FF0000"/>
                <w:sz w:val="24"/>
                <w:highlight w:val="none"/>
              </w:rPr>
            </w:pPr>
          </w:p>
        </w:tc>
        <w:tc>
          <w:tcPr>
            <w:tcW w:w="549" w:type="dxa"/>
            <w:noWrap/>
          </w:tcPr>
          <w:p>
            <w:pPr>
              <w:spacing w:line="360" w:lineRule="auto"/>
              <w:rPr>
                <w:rFonts w:ascii="宋体" w:hAnsi="宋体" w:cs="宋体"/>
                <w:color w:val="FF0000"/>
                <w:sz w:val="24"/>
                <w:highlight w:val="none"/>
              </w:rPr>
            </w:pPr>
          </w:p>
        </w:tc>
        <w:tc>
          <w:tcPr>
            <w:tcW w:w="755" w:type="dxa"/>
            <w:noWrap/>
          </w:tcPr>
          <w:p>
            <w:pPr>
              <w:spacing w:line="360" w:lineRule="auto"/>
              <w:rPr>
                <w:rFonts w:ascii="宋体" w:hAnsi="宋体" w:cs="宋体"/>
                <w:color w:val="FF0000"/>
                <w:sz w:val="24"/>
                <w:highlight w:val="none"/>
              </w:rPr>
            </w:pPr>
          </w:p>
        </w:tc>
        <w:tc>
          <w:tcPr>
            <w:tcW w:w="921" w:type="dxa"/>
            <w:noWrap/>
          </w:tcPr>
          <w:p>
            <w:pPr>
              <w:spacing w:line="360" w:lineRule="auto"/>
              <w:jc w:val="center"/>
              <w:rPr>
                <w:rFonts w:ascii="宋体" w:hAnsi="宋体" w:cs="宋体"/>
                <w:color w:val="FF0000"/>
                <w:sz w:val="24"/>
                <w:highlight w:val="none"/>
              </w:rPr>
            </w:pPr>
          </w:p>
        </w:tc>
        <w:tc>
          <w:tcPr>
            <w:tcW w:w="1610" w:type="dxa"/>
            <w:noWrap/>
          </w:tcPr>
          <w:p>
            <w:pPr>
              <w:spacing w:line="360" w:lineRule="auto"/>
              <w:rPr>
                <w:rFonts w:ascii="宋体" w:hAnsi="宋体" w:cs="宋体"/>
                <w:color w:val="FF0000"/>
                <w:sz w:val="24"/>
                <w:highlight w:val="none"/>
              </w:rPr>
            </w:pPr>
          </w:p>
        </w:tc>
        <w:tc>
          <w:tcPr>
            <w:tcW w:w="916" w:type="dxa"/>
            <w:noWrap/>
          </w:tcPr>
          <w:p>
            <w:pPr>
              <w:spacing w:line="360" w:lineRule="auto"/>
              <w:rPr>
                <w:rFonts w:ascii="宋体" w:hAnsi="宋体" w:cs="宋体"/>
                <w:color w:val="FF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11" w:type="dxa"/>
            <w:noWrap/>
          </w:tcPr>
          <w:p>
            <w:pPr>
              <w:spacing w:line="360" w:lineRule="auto"/>
              <w:rPr>
                <w:rFonts w:ascii="宋体" w:hAnsi="宋体" w:cs="宋体"/>
                <w:color w:val="FF0000"/>
                <w:sz w:val="24"/>
                <w:highlight w:val="none"/>
              </w:rPr>
            </w:pPr>
            <w:r>
              <w:rPr>
                <w:rFonts w:hint="eastAsia" w:ascii="宋体" w:hAnsi="宋体" w:cs="宋体"/>
                <w:color w:val="FF0000"/>
                <w:sz w:val="24"/>
                <w:highlight w:val="none"/>
              </w:rPr>
              <w:t>2.1</w:t>
            </w:r>
          </w:p>
        </w:tc>
        <w:tc>
          <w:tcPr>
            <w:tcW w:w="1900" w:type="dxa"/>
            <w:noWrap/>
          </w:tcPr>
          <w:p>
            <w:pPr>
              <w:spacing w:line="360" w:lineRule="auto"/>
              <w:rPr>
                <w:rFonts w:hint="eastAsia" w:ascii="宋体" w:hAnsi="宋体" w:eastAsia="宋体" w:cs="宋体"/>
                <w:color w:val="FF0000"/>
                <w:sz w:val="24"/>
                <w:highlight w:val="none"/>
                <w:lang w:eastAsia="zh-CN"/>
              </w:rPr>
            </w:pPr>
            <w:r>
              <w:rPr>
                <w:rFonts w:hint="eastAsia" w:ascii="宋体" w:hAnsi="宋体" w:cs="宋体"/>
                <w:color w:val="FF0000"/>
                <w:sz w:val="24"/>
                <w:highlight w:val="none"/>
                <w:lang w:val="en-US" w:eastAsia="zh-CN"/>
              </w:rPr>
              <w:t>洒水车</w:t>
            </w:r>
          </w:p>
        </w:tc>
        <w:tc>
          <w:tcPr>
            <w:tcW w:w="875" w:type="dxa"/>
            <w:noWrap/>
          </w:tcPr>
          <w:p>
            <w:pPr>
              <w:spacing w:line="360" w:lineRule="auto"/>
              <w:rPr>
                <w:rFonts w:hint="eastAsia" w:ascii="宋体" w:hAnsi="宋体" w:cs="宋体"/>
                <w:color w:val="FF0000"/>
                <w:sz w:val="24"/>
                <w:highlight w:val="none"/>
              </w:rPr>
            </w:pPr>
          </w:p>
        </w:tc>
        <w:tc>
          <w:tcPr>
            <w:tcW w:w="549" w:type="dxa"/>
            <w:noWrap/>
          </w:tcPr>
          <w:p>
            <w:pPr>
              <w:spacing w:line="360" w:lineRule="auto"/>
              <w:rPr>
                <w:rFonts w:ascii="宋体" w:hAnsi="宋体" w:cs="宋体"/>
                <w:color w:val="FF0000"/>
                <w:sz w:val="24"/>
                <w:highlight w:val="none"/>
              </w:rPr>
            </w:pPr>
          </w:p>
        </w:tc>
        <w:tc>
          <w:tcPr>
            <w:tcW w:w="755" w:type="dxa"/>
            <w:noWrap/>
          </w:tcPr>
          <w:p>
            <w:pPr>
              <w:spacing w:line="360" w:lineRule="auto"/>
              <w:rPr>
                <w:rFonts w:ascii="宋体" w:hAnsi="宋体" w:cs="宋体"/>
                <w:color w:val="FF0000"/>
                <w:sz w:val="24"/>
                <w:highlight w:val="none"/>
              </w:rPr>
            </w:pPr>
          </w:p>
        </w:tc>
        <w:tc>
          <w:tcPr>
            <w:tcW w:w="921" w:type="dxa"/>
            <w:noWrap/>
          </w:tcPr>
          <w:p>
            <w:pPr>
              <w:spacing w:line="360" w:lineRule="auto"/>
              <w:jc w:val="center"/>
              <w:rPr>
                <w:rFonts w:ascii="宋体" w:hAnsi="宋体" w:cs="宋体"/>
                <w:color w:val="FF0000"/>
                <w:sz w:val="24"/>
                <w:highlight w:val="none"/>
              </w:rPr>
            </w:pPr>
            <w:r>
              <w:rPr>
                <w:rFonts w:hint="eastAsia" w:ascii="宋体" w:hAnsi="宋体" w:cs="宋体"/>
                <w:color w:val="FF0000"/>
                <w:sz w:val="24"/>
                <w:highlight w:val="none"/>
                <w:lang w:val="en-US" w:eastAsia="zh-CN"/>
              </w:rPr>
              <w:t>1年</w:t>
            </w:r>
          </w:p>
        </w:tc>
        <w:tc>
          <w:tcPr>
            <w:tcW w:w="1610" w:type="dxa"/>
            <w:noWrap/>
          </w:tcPr>
          <w:p>
            <w:pPr>
              <w:spacing w:line="360" w:lineRule="auto"/>
              <w:rPr>
                <w:rFonts w:ascii="宋体" w:hAnsi="宋体" w:cs="宋体"/>
                <w:color w:val="FF0000"/>
                <w:sz w:val="24"/>
                <w:highlight w:val="none"/>
              </w:rPr>
            </w:pPr>
          </w:p>
        </w:tc>
        <w:tc>
          <w:tcPr>
            <w:tcW w:w="916" w:type="dxa"/>
            <w:noWrap/>
          </w:tcPr>
          <w:p>
            <w:pPr>
              <w:spacing w:line="360" w:lineRule="auto"/>
              <w:rPr>
                <w:rFonts w:ascii="宋体" w:hAnsi="宋体" w:cs="宋体"/>
                <w:color w:val="FF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11" w:type="dxa"/>
            <w:noWrap/>
          </w:tcPr>
          <w:p>
            <w:pPr>
              <w:spacing w:line="360" w:lineRule="auto"/>
              <w:rPr>
                <w:rFonts w:ascii="宋体" w:hAnsi="宋体" w:cs="宋体"/>
                <w:color w:val="FF0000"/>
                <w:sz w:val="24"/>
                <w:highlight w:val="none"/>
              </w:rPr>
            </w:pPr>
            <w:r>
              <w:rPr>
                <w:rFonts w:hint="eastAsia" w:ascii="宋体" w:hAnsi="宋体" w:cs="宋体"/>
                <w:color w:val="FF0000"/>
                <w:sz w:val="24"/>
                <w:highlight w:val="none"/>
              </w:rPr>
              <w:t>2.2</w:t>
            </w:r>
          </w:p>
        </w:tc>
        <w:tc>
          <w:tcPr>
            <w:tcW w:w="1900" w:type="dxa"/>
            <w:noWrap/>
          </w:tcPr>
          <w:p>
            <w:pPr>
              <w:spacing w:line="360" w:lineRule="auto"/>
              <w:rPr>
                <w:rFonts w:hint="default" w:ascii="宋体" w:hAnsi="宋体" w:eastAsia="宋体" w:cs="宋体"/>
                <w:color w:val="FF0000"/>
                <w:sz w:val="24"/>
                <w:highlight w:val="none"/>
                <w:lang w:val="en-US" w:eastAsia="zh-CN"/>
              </w:rPr>
            </w:pPr>
            <w:r>
              <w:rPr>
                <w:rFonts w:hint="eastAsia" w:ascii="宋体" w:hAnsi="宋体" w:cs="宋体"/>
                <w:color w:val="FF0000"/>
                <w:sz w:val="24"/>
                <w:highlight w:val="none"/>
                <w:lang w:val="en-US" w:eastAsia="zh-CN"/>
              </w:rPr>
              <w:t>垃圾清运车</w:t>
            </w:r>
          </w:p>
        </w:tc>
        <w:tc>
          <w:tcPr>
            <w:tcW w:w="875" w:type="dxa"/>
            <w:noWrap/>
          </w:tcPr>
          <w:p>
            <w:pPr>
              <w:spacing w:line="360" w:lineRule="auto"/>
              <w:rPr>
                <w:rFonts w:hint="eastAsia" w:ascii="宋体" w:hAnsi="宋体" w:cs="宋体"/>
                <w:color w:val="FF0000"/>
                <w:sz w:val="24"/>
                <w:highlight w:val="none"/>
              </w:rPr>
            </w:pPr>
          </w:p>
        </w:tc>
        <w:tc>
          <w:tcPr>
            <w:tcW w:w="549" w:type="dxa"/>
            <w:noWrap/>
          </w:tcPr>
          <w:p>
            <w:pPr>
              <w:spacing w:line="360" w:lineRule="auto"/>
              <w:rPr>
                <w:rFonts w:ascii="宋体" w:hAnsi="宋体" w:cs="宋体"/>
                <w:color w:val="FF0000"/>
                <w:sz w:val="24"/>
                <w:highlight w:val="none"/>
              </w:rPr>
            </w:pPr>
          </w:p>
        </w:tc>
        <w:tc>
          <w:tcPr>
            <w:tcW w:w="755" w:type="dxa"/>
            <w:noWrap/>
          </w:tcPr>
          <w:p>
            <w:pPr>
              <w:spacing w:line="360" w:lineRule="auto"/>
              <w:rPr>
                <w:rFonts w:ascii="宋体" w:hAnsi="宋体" w:cs="宋体"/>
                <w:color w:val="FF0000"/>
                <w:sz w:val="24"/>
                <w:highlight w:val="none"/>
              </w:rPr>
            </w:pPr>
          </w:p>
        </w:tc>
        <w:tc>
          <w:tcPr>
            <w:tcW w:w="921" w:type="dxa"/>
            <w:noWrap/>
          </w:tcPr>
          <w:p>
            <w:pPr>
              <w:spacing w:line="360" w:lineRule="auto"/>
              <w:jc w:val="center"/>
              <w:rPr>
                <w:rFonts w:ascii="宋体" w:hAnsi="宋体" w:cs="宋体"/>
                <w:color w:val="FF0000"/>
                <w:sz w:val="24"/>
                <w:highlight w:val="none"/>
              </w:rPr>
            </w:pPr>
            <w:r>
              <w:rPr>
                <w:rFonts w:hint="eastAsia" w:ascii="宋体" w:hAnsi="宋体" w:cs="宋体"/>
                <w:color w:val="FF0000"/>
                <w:sz w:val="24"/>
                <w:highlight w:val="none"/>
                <w:lang w:val="en-US" w:eastAsia="zh-CN"/>
              </w:rPr>
              <w:t>1年</w:t>
            </w:r>
          </w:p>
        </w:tc>
        <w:tc>
          <w:tcPr>
            <w:tcW w:w="1610" w:type="dxa"/>
            <w:noWrap/>
          </w:tcPr>
          <w:p>
            <w:pPr>
              <w:spacing w:line="360" w:lineRule="auto"/>
              <w:rPr>
                <w:rFonts w:ascii="宋体" w:hAnsi="宋体" w:cs="宋体"/>
                <w:color w:val="FF0000"/>
                <w:sz w:val="24"/>
                <w:highlight w:val="none"/>
              </w:rPr>
            </w:pPr>
          </w:p>
        </w:tc>
        <w:tc>
          <w:tcPr>
            <w:tcW w:w="916" w:type="dxa"/>
            <w:noWrap/>
          </w:tcPr>
          <w:p>
            <w:pPr>
              <w:spacing w:line="360" w:lineRule="auto"/>
              <w:rPr>
                <w:rFonts w:ascii="宋体" w:hAnsi="宋体" w:cs="宋体"/>
                <w:color w:val="FF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11" w:type="dxa"/>
            <w:noWrap/>
          </w:tcPr>
          <w:p>
            <w:pPr>
              <w:spacing w:line="360" w:lineRule="auto"/>
              <w:rPr>
                <w:rFonts w:hint="eastAsia" w:ascii="宋体" w:hAnsi="宋体" w:cs="宋体"/>
                <w:color w:val="FF0000"/>
                <w:sz w:val="24"/>
                <w:highlight w:val="none"/>
              </w:rPr>
            </w:pPr>
          </w:p>
        </w:tc>
        <w:tc>
          <w:tcPr>
            <w:tcW w:w="1900" w:type="dxa"/>
            <w:noWrap/>
          </w:tcPr>
          <w:p>
            <w:pPr>
              <w:spacing w:line="360" w:lineRule="auto"/>
              <w:rPr>
                <w:rFonts w:hint="default" w:ascii="宋体" w:hAnsi="宋体" w:eastAsia="宋体" w:cs="宋体"/>
                <w:color w:val="FF0000"/>
                <w:sz w:val="24"/>
                <w:highlight w:val="none"/>
                <w:lang w:val="en-US" w:eastAsia="zh-CN"/>
              </w:rPr>
            </w:pPr>
            <w:r>
              <w:rPr>
                <w:rFonts w:hint="eastAsia" w:ascii="宋体" w:hAnsi="宋体" w:cs="宋体"/>
                <w:color w:val="FF0000"/>
                <w:sz w:val="24"/>
                <w:highlight w:val="none"/>
                <w:lang w:val="en-US" w:eastAsia="zh-CN"/>
              </w:rPr>
              <w:t>... ...</w:t>
            </w:r>
          </w:p>
        </w:tc>
        <w:tc>
          <w:tcPr>
            <w:tcW w:w="875" w:type="dxa"/>
            <w:noWrap/>
          </w:tcPr>
          <w:p>
            <w:pPr>
              <w:spacing w:line="360" w:lineRule="auto"/>
              <w:rPr>
                <w:rFonts w:hint="eastAsia" w:ascii="宋体" w:hAnsi="宋体" w:cs="宋体"/>
                <w:color w:val="FF0000"/>
                <w:sz w:val="24"/>
                <w:highlight w:val="none"/>
                <w:lang w:val="en-US" w:eastAsia="zh-CN"/>
              </w:rPr>
            </w:pPr>
          </w:p>
        </w:tc>
        <w:tc>
          <w:tcPr>
            <w:tcW w:w="549" w:type="dxa"/>
            <w:noWrap/>
          </w:tcPr>
          <w:p>
            <w:pPr>
              <w:spacing w:line="360" w:lineRule="auto"/>
              <w:rPr>
                <w:rFonts w:ascii="宋体" w:hAnsi="宋体" w:cs="宋体"/>
                <w:color w:val="FF0000"/>
                <w:sz w:val="24"/>
                <w:highlight w:val="none"/>
              </w:rPr>
            </w:pPr>
          </w:p>
        </w:tc>
        <w:tc>
          <w:tcPr>
            <w:tcW w:w="755" w:type="dxa"/>
            <w:noWrap/>
          </w:tcPr>
          <w:p>
            <w:pPr>
              <w:spacing w:line="360" w:lineRule="auto"/>
              <w:rPr>
                <w:rFonts w:ascii="宋体" w:hAnsi="宋体" w:cs="宋体"/>
                <w:color w:val="FF0000"/>
                <w:sz w:val="24"/>
                <w:highlight w:val="none"/>
              </w:rPr>
            </w:pPr>
          </w:p>
        </w:tc>
        <w:tc>
          <w:tcPr>
            <w:tcW w:w="921" w:type="dxa"/>
            <w:noWrap/>
          </w:tcPr>
          <w:p>
            <w:pPr>
              <w:spacing w:line="360" w:lineRule="auto"/>
              <w:rPr>
                <w:rFonts w:ascii="宋体" w:hAnsi="宋体" w:cs="宋体"/>
                <w:color w:val="FF0000"/>
                <w:sz w:val="24"/>
                <w:highlight w:val="none"/>
              </w:rPr>
            </w:pPr>
          </w:p>
        </w:tc>
        <w:tc>
          <w:tcPr>
            <w:tcW w:w="1610" w:type="dxa"/>
            <w:noWrap/>
          </w:tcPr>
          <w:p>
            <w:pPr>
              <w:spacing w:line="360" w:lineRule="auto"/>
              <w:rPr>
                <w:rFonts w:ascii="宋体" w:hAnsi="宋体" w:cs="宋体"/>
                <w:color w:val="FF0000"/>
                <w:sz w:val="24"/>
                <w:highlight w:val="none"/>
              </w:rPr>
            </w:pPr>
          </w:p>
        </w:tc>
        <w:tc>
          <w:tcPr>
            <w:tcW w:w="916" w:type="dxa"/>
            <w:noWrap/>
          </w:tcPr>
          <w:p>
            <w:pPr>
              <w:spacing w:line="360" w:lineRule="auto"/>
              <w:rPr>
                <w:rFonts w:ascii="宋体" w:hAnsi="宋体" w:cs="宋体"/>
                <w:color w:val="FF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237" w:type="dxa"/>
            <w:gridSpan w:val="8"/>
            <w:noWrap/>
          </w:tcPr>
          <w:p>
            <w:pPr>
              <w:spacing w:line="360" w:lineRule="auto"/>
              <w:jc w:val="center"/>
              <w:rPr>
                <w:rFonts w:hint="default" w:ascii="宋体" w:hAnsi="宋体" w:eastAsia="宋体" w:cs="宋体"/>
                <w:color w:val="FF0000"/>
                <w:sz w:val="24"/>
                <w:highlight w:val="none"/>
                <w:lang w:val="en-US" w:eastAsia="zh-CN"/>
              </w:rPr>
            </w:pPr>
            <w:r>
              <w:rPr>
                <w:rFonts w:hint="eastAsia" w:ascii="宋体" w:hAnsi="宋体" w:cs="宋体"/>
                <w:b/>
                <w:bCs/>
                <w:color w:val="FF0000"/>
                <w:sz w:val="24"/>
                <w:highlight w:val="none"/>
                <w:lang w:val="en-US" w:eastAsia="zh-CN"/>
              </w:rPr>
              <w:t>绿化带保洁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11" w:type="dxa"/>
            <w:noWrap/>
            <w:vAlign w:val="top"/>
          </w:tcPr>
          <w:p>
            <w:pPr>
              <w:spacing w:line="360" w:lineRule="auto"/>
              <w:rPr>
                <w:rFonts w:hint="eastAsia" w:ascii="宋体" w:hAnsi="宋体" w:cs="宋体"/>
                <w:color w:val="FF0000"/>
                <w:sz w:val="24"/>
                <w:highlight w:val="none"/>
              </w:rPr>
            </w:pPr>
            <w:r>
              <w:rPr>
                <w:rFonts w:hint="eastAsia" w:ascii="宋体" w:hAnsi="宋体" w:cs="宋体"/>
                <w:color w:val="FF0000"/>
                <w:sz w:val="24"/>
                <w:highlight w:val="none"/>
              </w:rPr>
              <w:t>一</w:t>
            </w:r>
          </w:p>
        </w:tc>
        <w:tc>
          <w:tcPr>
            <w:tcW w:w="1900" w:type="dxa"/>
            <w:noWrap/>
            <w:vAlign w:val="top"/>
          </w:tcPr>
          <w:p>
            <w:pPr>
              <w:spacing w:line="360" w:lineRule="auto"/>
              <w:rPr>
                <w:rFonts w:hint="eastAsia" w:ascii="宋体" w:hAnsi="宋体" w:cs="宋体"/>
                <w:color w:val="FF0000"/>
                <w:sz w:val="24"/>
                <w:highlight w:val="none"/>
                <w:lang w:val="en-US" w:eastAsia="zh-CN"/>
              </w:rPr>
            </w:pPr>
            <w:r>
              <w:rPr>
                <w:rFonts w:hint="eastAsia" w:ascii="宋体" w:hAnsi="宋体" w:cs="宋体"/>
                <w:b/>
                <w:color w:val="FF0000"/>
                <w:sz w:val="24"/>
                <w:highlight w:val="none"/>
                <w:lang w:val="en-US" w:eastAsia="zh-CN"/>
              </w:rPr>
              <w:t>保洁人员</w:t>
            </w:r>
          </w:p>
        </w:tc>
        <w:tc>
          <w:tcPr>
            <w:tcW w:w="875" w:type="dxa"/>
            <w:noWrap/>
            <w:vAlign w:val="top"/>
          </w:tcPr>
          <w:p>
            <w:pPr>
              <w:spacing w:line="360" w:lineRule="auto"/>
              <w:rPr>
                <w:rFonts w:hint="eastAsia" w:ascii="宋体" w:hAnsi="宋体" w:cs="宋体"/>
                <w:color w:val="FF0000"/>
                <w:sz w:val="24"/>
                <w:highlight w:val="none"/>
                <w:lang w:val="en-US" w:eastAsia="zh-CN"/>
              </w:rPr>
            </w:pPr>
          </w:p>
        </w:tc>
        <w:tc>
          <w:tcPr>
            <w:tcW w:w="549" w:type="dxa"/>
            <w:noWrap/>
            <w:vAlign w:val="top"/>
          </w:tcPr>
          <w:p>
            <w:pPr>
              <w:spacing w:line="360" w:lineRule="auto"/>
              <w:rPr>
                <w:rFonts w:ascii="宋体" w:hAnsi="宋体" w:cs="宋体"/>
                <w:color w:val="FF0000"/>
                <w:sz w:val="24"/>
                <w:highlight w:val="none"/>
              </w:rPr>
            </w:pPr>
          </w:p>
        </w:tc>
        <w:tc>
          <w:tcPr>
            <w:tcW w:w="755" w:type="dxa"/>
            <w:noWrap/>
            <w:vAlign w:val="top"/>
          </w:tcPr>
          <w:p>
            <w:pPr>
              <w:spacing w:line="360" w:lineRule="auto"/>
              <w:rPr>
                <w:rFonts w:ascii="宋体" w:hAnsi="宋体" w:cs="宋体"/>
                <w:color w:val="FF0000"/>
                <w:sz w:val="24"/>
                <w:highlight w:val="none"/>
              </w:rPr>
            </w:pPr>
          </w:p>
        </w:tc>
        <w:tc>
          <w:tcPr>
            <w:tcW w:w="921" w:type="dxa"/>
            <w:noWrap/>
            <w:vAlign w:val="top"/>
          </w:tcPr>
          <w:p>
            <w:pPr>
              <w:spacing w:line="360" w:lineRule="auto"/>
              <w:rPr>
                <w:rFonts w:ascii="宋体" w:hAnsi="宋体" w:cs="宋体"/>
                <w:color w:val="FF0000"/>
                <w:sz w:val="24"/>
                <w:highlight w:val="none"/>
              </w:rPr>
            </w:pPr>
          </w:p>
        </w:tc>
        <w:tc>
          <w:tcPr>
            <w:tcW w:w="1610" w:type="dxa"/>
            <w:noWrap/>
            <w:vAlign w:val="top"/>
          </w:tcPr>
          <w:p>
            <w:pPr>
              <w:spacing w:line="360" w:lineRule="auto"/>
              <w:jc w:val="center"/>
              <w:rPr>
                <w:rFonts w:ascii="宋体" w:hAnsi="宋体" w:cs="宋体"/>
                <w:color w:val="FF0000"/>
                <w:sz w:val="24"/>
                <w:highlight w:val="none"/>
              </w:rPr>
            </w:pPr>
          </w:p>
        </w:tc>
        <w:tc>
          <w:tcPr>
            <w:tcW w:w="916" w:type="dxa"/>
            <w:noWrap/>
            <w:vAlign w:val="top"/>
          </w:tcPr>
          <w:p>
            <w:pPr>
              <w:spacing w:line="360" w:lineRule="auto"/>
              <w:jc w:val="center"/>
              <w:rPr>
                <w:rFonts w:ascii="宋体" w:hAnsi="宋体" w:cs="宋体"/>
                <w:color w:val="FF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11" w:type="dxa"/>
            <w:noWrap/>
            <w:vAlign w:val="top"/>
          </w:tcPr>
          <w:p>
            <w:pPr>
              <w:spacing w:line="360" w:lineRule="auto"/>
              <w:rPr>
                <w:rFonts w:hint="eastAsia" w:ascii="宋体" w:hAnsi="宋体" w:cs="宋体"/>
                <w:color w:val="FF0000"/>
                <w:sz w:val="24"/>
                <w:highlight w:val="none"/>
              </w:rPr>
            </w:pPr>
            <w:r>
              <w:rPr>
                <w:rFonts w:hint="eastAsia" w:ascii="宋体" w:hAnsi="宋体" w:cs="宋体"/>
                <w:color w:val="FF0000"/>
                <w:sz w:val="24"/>
                <w:highlight w:val="none"/>
              </w:rPr>
              <w:t>1.1</w:t>
            </w:r>
          </w:p>
        </w:tc>
        <w:tc>
          <w:tcPr>
            <w:tcW w:w="1900" w:type="dxa"/>
            <w:noWrap/>
            <w:vAlign w:val="top"/>
          </w:tcPr>
          <w:p>
            <w:pPr>
              <w:spacing w:line="360" w:lineRule="auto"/>
              <w:rPr>
                <w:rFonts w:hint="eastAsia" w:ascii="宋体" w:hAnsi="宋体" w:cs="宋体"/>
                <w:color w:val="FF0000"/>
                <w:sz w:val="24"/>
                <w:highlight w:val="none"/>
                <w:lang w:val="en-US" w:eastAsia="zh-CN"/>
              </w:rPr>
            </w:pPr>
            <w:r>
              <w:rPr>
                <w:rFonts w:hint="eastAsia" w:ascii="宋体" w:hAnsi="宋体" w:cs="宋体"/>
                <w:color w:val="FF0000"/>
                <w:sz w:val="24"/>
                <w:highlight w:val="none"/>
                <w:lang w:val="en-US" w:eastAsia="zh-CN"/>
              </w:rPr>
              <w:t>项目负责人</w:t>
            </w:r>
          </w:p>
        </w:tc>
        <w:tc>
          <w:tcPr>
            <w:tcW w:w="875" w:type="dxa"/>
            <w:noWrap/>
            <w:vAlign w:val="top"/>
          </w:tcPr>
          <w:p>
            <w:pPr>
              <w:spacing w:line="360" w:lineRule="auto"/>
              <w:rPr>
                <w:rFonts w:hint="eastAsia" w:ascii="宋体" w:hAnsi="宋体" w:cs="宋体"/>
                <w:color w:val="FF0000"/>
                <w:sz w:val="24"/>
                <w:highlight w:val="none"/>
                <w:lang w:val="en-US" w:eastAsia="zh-CN"/>
              </w:rPr>
            </w:pPr>
          </w:p>
        </w:tc>
        <w:tc>
          <w:tcPr>
            <w:tcW w:w="549" w:type="dxa"/>
            <w:noWrap/>
            <w:vAlign w:val="top"/>
          </w:tcPr>
          <w:p>
            <w:pPr>
              <w:spacing w:line="360" w:lineRule="auto"/>
              <w:jc w:val="center"/>
              <w:rPr>
                <w:rFonts w:ascii="宋体" w:hAnsi="宋体" w:cs="宋体"/>
                <w:color w:val="FF0000"/>
                <w:sz w:val="24"/>
                <w:highlight w:val="none"/>
              </w:rPr>
            </w:pPr>
            <w:r>
              <w:rPr>
                <w:rFonts w:hint="eastAsia" w:ascii="宋体" w:hAnsi="宋体" w:cs="宋体"/>
                <w:color w:val="FF0000"/>
                <w:sz w:val="24"/>
                <w:highlight w:val="none"/>
                <w:lang w:val="en-US" w:eastAsia="zh-CN"/>
              </w:rPr>
              <w:t>人</w:t>
            </w:r>
          </w:p>
        </w:tc>
        <w:tc>
          <w:tcPr>
            <w:tcW w:w="755" w:type="dxa"/>
            <w:noWrap/>
            <w:vAlign w:val="top"/>
          </w:tcPr>
          <w:p>
            <w:pPr>
              <w:spacing w:line="360" w:lineRule="auto"/>
              <w:jc w:val="center"/>
              <w:rPr>
                <w:rFonts w:ascii="宋体" w:hAnsi="宋体" w:cs="宋体"/>
                <w:color w:val="FF0000"/>
                <w:sz w:val="24"/>
                <w:highlight w:val="none"/>
              </w:rPr>
            </w:pPr>
            <w:r>
              <w:rPr>
                <w:rFonts w:hint="eastAsia" w:ascii="宋体" w:hAnsi="宋体" w:cs="宋体"/>
                <w:color w:val="FF0000"/>
                <w:sz w:val="24"/>
                <w:highlight w:val="none"/>
                <w:lang w:val="en-US" w:eastAsia="zh-CN"/>
              </w:rPr>
              <w:t>1</w:t>
            </w:r>
          </w:p>
        </w:tc>
        <w:tc>
          <w:tcPr>
            <w:tcW w:w="921" w:type="dxa"/>
            <w:noWrap/>
            <w:vAlign w:val="top"/>
          </w:tcPr>
          <w:p>
            <w:pPr>
              <w:spacing w:line="360" w:lineRule="auto"/>
              <w:jc w:val="center"/>
              <w:rPr>
                <w:rFonts w:ascii="宋体" w:hAnsi="宋体" w:cs="宋体"/>
                <w:color w:val="FF0000"/>
                <w:sz w:val="24"/>
                <w:highlight w:val="none"/>
              </w:rPr>
            </w:pPr>
            <w:r>
              <w:rPr>
                <w:rFonts w:hint="eastAsia" w:ascii="宋体" w:hAnsi="宋体" w:cs="宋体"/>
                <w:color w:val="FF0000"/>
                <w:sz w:val="24"/>
                <w:highlight w:val="none"/>
                <w:lang w:val="en-US" w:eastAsia="zh-CN"/>
              </w:rPr>
              <w:t>1年</w:t>
            </w:r>
          </w:p>
        </w:tc>
        <w:tc>
          <w:tcPr>
            <w:tcW w:w="1610" w:type="dxa"/>
            <w:noWrap/>
            <w:vAlign w:val="top"/>
          </w:tcPr>
          <w:p>
            <w:pPr>
              <w:spacing w:line="360" w:lineRule="auto"/>
              <w:rPr>
                <w:rFonts w:ascii="宋体" w:hAnsi="宋体" w:cs="宋体"/>
                <w:color w:val="FF0000"/>
                <w:sz w:val="24"/>
                <w:highlight w:val="none"/>
              </w:rPr>
            </w:pPr>
          </w:p>
        </w:tc>
        <w:tc>
          <w:tcPr>
            <w:tcW w:w="916" w:type="dxa"/>
            <w:noWrap/>
            <w:vAlign w:val="top"/>
          </w:tcPr>
          <w:p>
            <w:pPr>
              <w:spacing w:line="360" w:lineRule="auto"/>
              <w:rPr>
                <w:rFonts w:ascii="宋体" w:hAnsi="宋体" w:cs="宋体"/>
                <w:color w:val="FF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11" w:type="dxa"/>
            <w:noWrap/>
            <w:vAlign w:val="top"/>
          </w:tcPr>
          <w:p>
            <w:pPr>
              <w:spacing w:line="360" w:lineRule="auto"/>
              <w:rPr>
                <w:rFonts w:hint="eastAsia" w:ascii="宋体" w:hAnsi="宋体" w:cs="宋体"/>
                <w:color w:val="FF0000"/>
                <w:sz w:val="24"/>
                <w:highlight w:val="none"/>
              </w:rPr>
            </w:pPr>
            <w:r>
              <w:rPr>
                <w:rFonts w:hint="eastAsia" w:ascii="宋体" w:hAnsi="宋体" w:cs="宋体"/>
                <w:color w:val="FF0000"/>
                <w:sz w:val="24"/>
                <w:highlight w:val="none"/>
              </w:rPr>
              <w:t>1.2</w:t>
            </w:r>
          </w:p>
        </w:tc>
        <w:tc>
          <w:tcPr>
            <w:tcW w:w="1900" w:type="dxa"/>
            <w:noWrap/>
            <w:vAlign w:val="top"/>
          </w:tcPr>
          <w:p>
            <w:pPr>
              <w:spacing w:line="360" w:lineRule="auto"/>
              <w:rPr>
                <w:rFonts w:hint="eastAsia" w:ascii="宋体" w:hAnsi="宋体" w:cs="宋体"/>
                <w:color w:val="FF0000"/>
                <w:sz w:val="24"/>
                <w:highlight w:val="none"/>
                <w:lang w:val="en-US" w:eastAsia="zh-CN"/>
              </w:rPr>
            </w:pPr>
            <w:r>
              <w:rPr>
                <w:rFonts w:hint="eastAsia" w:ascii="宋体" w:hAnsi="宋体" w:cs="宋体"/>
                <w:color w:val="FF0000"/>
                <w:sz w:val="24"/>
                <w:highlight w:val="none"/>
                <w:lang w:val="en-US" w:eastAsia="zh-CN"/>
              </w:rPr>
              <w:t>安管员</w:t>
            </w:r>
          </w:p>
        </w:tc>
        <w:tc>
          <w:tcPr>
            <w:tcW w:w="875" w:type="dxa"/>
            <w:noWrap/>
            <w:vAlign w:val="top"/>
          </w:tcPr>
          <w:p>
            <w:pPr>
              <w:spacing w:line="360" w:lineRule="auto"/>
              <w:rPr>
                <w:rFonts w:hint="eastAsia" w:ascii="宋体" w:hAnsi="宋体" w:cs="宋体"/>
                <w:color w:val="FF0000"/>
                <w:sz w:val="24"/>
                <w:highlight w:val="none"/>
                <w:lang w:val="en-US" w:eastAsia="zh-CN"/>
              </w:rPr>
            </w:pPr>
          </w:p>
        </w:tc>
        <w:tc>
          <w:tcPr>
            <w:tcW w:w="549" w:type="dxa"/>
            <w:noWrap/>
            <w:vAlign w:val="top"/>
          </w:tcPr>
          <w:p>
            <w:pPr>
              <w:spacing w:line="360" w:lineRule="auto"/>
              <w:rPr>
                <w:rFonts w:ascii="宋体" w:hAnsi="宋体" w:cs="宋体"/>
                <w:color w:val="FF0000"/>
                <w:sz w:val="24"/>
                <w:highlight w:val="none"/>
              </w:rPr>
            </w:pPr>
          </w:p>
        </w:tc>
        <w:tc>
          <w:tcPr>
            <w:tcW w:w="755" w:type="dxa"/>
            <w:noWrap/>
            <w:vAlign w:val="top"/>
          </w:tcPr>
          <w:p>
            <w:pPr>
              <w:spacing w:line="360" w:lineRule="auto"/>
              <w:rPr>
                <w:rFonts w:ascii="宋体" w:hAnsi="宋体" w:cs="宋体"/>
                <w:color w:val="FF0000"/>
                <w:sz w:val="24"/>
                <w:highlight w:val="none"/>
              </w:rPr>
            </w:pPr>
          </w:p>
        </w:tc>
        <w:tc>
          <w:tcPr>
            <w:tcW w:w="921" w:type="dxa"/>
            <w:noWrap/>
            <w:vAlign w:val="top"/>
          </w:tcPr>
          <w:p>
            <w:pPr>
              <w:spacing w:line="360" w:lineRule="auto"/>
              <w:jc w:val="center"/>
              <w:rPr>
                <w:rFonts w:ascii="宋体" w:hAnsi="宋体" w:cs="宋体"/>
                <w:color w:val="FF0000"/>
                <w:sz w:val="24"/>
                <w:highlight w:val="none"/>
              </w:rPr>
            </w:pPr>
            <w:r>
              <w:rPr>
                <w:rFonts w:hint="eastAsia" w:ascii="宋体" w:hAnsi="宋体" w:cs="宋体"/>
                <w:color w:val="FF0000"/>
                <w:sz w:val="24"/>
                <w:highlight w:val="none"/>
                <w:lang w:val="en-US" w:eastAsia="zh-CN"/>
              </w:rPr>
              <w:t>1年</w:t>
            </w:r>
          </w:p>
        </w:tc>
        <w:tc>
          <w:tcPr>
            <w:tcW w:w="1610" w:type="dxa"/>
            <w:noWrap/>
            <w:vAlign w:val="top"/>
          </w:tcPr>
          <w:p>
            <w:pPr>
              <w:spacing w:line="360" w:lineRule="auto"/>
              <w:rPr>
                <w:rFonts w:ascii="宋体" w:hAnsi="宋体" w:cs="宋体"/>
                <w:color w:val="FF0000"/>
                <w:sz w:val="24"/>
                <w:highlight w:val="none"/>
              </w:rPr>
            </w:pPr>
          </w:p>
        </w:tc>
        <w:tc>
          <w:tcPr>
            <w:tcW w:w="916" w:type="dxa"/>
            <w:noWrap/>
            <w:vAlign w:val="top"/>
          </w:tcPr>
          <w:p>
            <w:pPr>
              <w:spacing w:line="360" w:lineRule="auto"/>
              <w:rPr>
                <w:rFonts w:ascii="宋体" w:hAnsi="宋体" w:cs="宋体"/>
                <w:color w:val="FF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11" w:type="dxa"/>
            <w:noWrap/>
            <w:vAlign w:val="top"/>
          </w:tcPr>
          <w:p>
            <w:pPr>
              <w:spacing w:line="360" w:lineRule="auto"/>
              <w:rPr>
                <w:rFonts w:hint="eastAsia" w:ascii="宋体" w:hAnsi="宋体" w:cs="宋体"/>
                <w:color w:val="FF0000"/>
                <w:sz w:val="24"/>
                <w:highlight w:val="none"/>
              </w:rPr>
            </w:pPr>
            <w:r>
              <w:rPr>
                <w:rFonts w:hint="eastAsia" w:ascii="宋体" w:hAnsi="宋体" w:cs="宋体"/>
                <w:color w:val="FF0000"/>
                <w:sz w:val="24"/>
                <w:highlight w:val="none"/>
              </w:rPr>
              <w:t>1.3</w:t>
            </w:r>
          </w:p>
        </w:tc>
        <w:tc>
          <w:tcPr>
            <w:tcW w:w="1900" w:type="dxa"/>
            <w:noWrap/>
            <w:vAlign w:val="top"/>
          </w:tcPr>
          <w:p>
            <w:pPr>
              <w:spacing w:line="360" w:lineRule="auto"/>
              <w:rPr>
                <w:rFonts w:hint="eastAsia" w:ascii="宋体" w:hAnsi="宋体" w:cs="宋体"/>
                <w:color w:val="FF0000"/>
                <w:sz w:val="24"/>
                <w:highlight w:val="none"/>
                <w:lang w:val="en-US" w:eastAsia="zh-CN"/>
              </w:rPr>
            </w:pPr>
            <w:r>
              <w:rPr>
                <w:rFonts w:hint="eastAsia" w:ascii="宋体" w:hAnsi="宋体" w:cs="宋体"/>
                <w:color w:val="FF0000"/>
                <w:sz w:val="24"/>
                <w:highlight w:val="none"/>
                <w:lang w:val="en-US" w:eastAsia="zh-CN"/>
              </w:rPr>
              <w:t>车辆管理人员</w:t>
            </w:r>
          </w:p>
        </w:tc>
        <w:tc>
          <w:tcPr>
            <w:tcW w:w="875" w:type="dxa"/>
            <w:noWrap/>
            <w:vAlign w:val="top"/>
          </w:tcPr>
          <w:p>
            <w:pPr>
              <w:spacing w:line="360" w:lineRule="auto"/>
              <w:rPr>
                <w:rFonts w:hint="eastAsia" w:ascii="宋体" w:hAnsi="宋体" w:cs="宋体"/>
                <w:color w:val="FF0000"/>
                <w:sz w:val="24"/>
                <w:highlight w:val="none"/>
                <w:lang w:val="en-US" w:eastAsia="zh-CN"/>
              </w:rPr>
            </w:pPr>
          </w:p>
        </w:tc>
        <w:tc>
          <w:tcPr>
            <w:tcW w:w="549" w:type="dxa"/>
            <w:noWrap/>
            <w:vAlign w:val="top"/>
          </w:tcPr>
          <w:p>
            <w:pPr>
              <w:spacing w:line="360" w:lineRule="auto"/>
              <w:rPr>
                <w:rFonts w:ascii="宋体" w:hAnsi="宋体" w:cs="宋体"/>
                <w:color w:val="FF0000"/>
                <w:sz w:val="24"/>
                <w:highlight w:val="none"/>
              </w:rPr>
            </w:pPr>
          </w:p>
        </w:tc>
        <w:tc>
          <w:tcPr>
            <w:tcW w:w="755" w:type="dxa"/>
            <w:noWrap/>
            <w:vAlign w:val="top"/>
          </w:tcPr>
          <w:p>
            <w:pPr>
              <w:spacing w:line="360" w:lineRule="auto"/>
              <w:rPr>
                <w:rFonts w:ascii="宋体" w:hAnsi="宋体" w:cs="宋体"/>
                <w:color w:val="FF0000"/>
                <w:sz w:val="24"/>
                <w:highlight w:val="none"/>
              </w:rPr>
            </w:pPr>
          </w:p>
        </w:tc>
        <w:tc>
          <w:tcPr>
            <w:tcW w:w="921" w:type="dxa"/>
            <w:noWrap/>
            <w:vAlign w:val="top"/>
          </w:tcPr>
          <w:p>
            <w:pPr>
              <w:spacing w:line="360" w:lineRule="auto"/>
              <w:jc w:val="center"/>
              <w:rPr>
                <w:rFonts w:ascii="宋体" w:hAnsi="宋体" w:cs="宋体"/>
                <w:color w:val="FF0000"/>
                <w:sz w:val="24"/>
                <w:highlight w:val="none"/>
              </w:rPr>
            </w:pPr>
            <w:r>
              <w:rPr>
                <w:rFonts w:hint="eastAsia" w:ascii="宋体" w:hAnsi="宋体" w:cs="宋体"/>
                <w:color w:val="FF0000"/>
                <w:sz w:val="24"/>
                <w:highlight w:val="none"/>
                <w:lang w:val="en-US" w:eastAsia="zh-CN"/>
              </w:rPr>
              <w:t>1年</w:t>
            </w:r>
          </w:p>
        </w:tc>
        <w:tc>
          <w:tcPr>
            <w:tcW w:w="1610" w:type="dxa"/>
            <w:noWrap/>
            <w:vAlign w:val="top"/>
          </w:tcPr>
          <w:p>
            <w:pPr>
              <w:spacing w:line="360" w:lineRule="auto"/>
              <w:rPr>
                <w:rFonts w:ascii="宋体" w:hAnsi="宋体" w:cs="宋体"/>
                <w:color w:val="FF0000"/>
                <w:sz w:val="24"/>
                <w:highlight w:val="none"/>
              </w:rPr>
            </w:pPr>
          </w:p>
        </w:tc>
        <w:tc>
          <w:tcPr>
            <w:tcW w:w="916" w:type="dxa"/>
            <w:noWrap/>
            <w:vAlign w:val="top"/>
          </w:tcPr>
          <w:p>
            <w:pPr>
              <w:spacing w:line="360" w:lineRule="auto"/>
              <w:rPr>
                <w:rFonts w:ascii="宋体" w:hAnsi="宋体" w:cs="宋体"/>
                <w:color w:val="FF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11" w:type="dxa"/>
            <w:noWrap/>
            <w:vAlign w:val="top"/>
          </w:tcPr>
          <w:p>
            <w:pPr>
              <w:spacing w:line="360" w:lineRule="auto"/>
              <w:rPr>
                <w:rFonts w:hint="eastAsia" w:ascii="宋体" w:hAnsi="宋体" w:cs="宋体"/>
                <w:color w:val="FF0000"/>
                <w:sz w:val="24"/>
                <w:highlight w:val="none"/>
              </w:rPr>
            </w:pPr>
          </w:p>
        </w:tc>
        <w:tc>
          <w:tcPr>
            <w:tcW w:w="1900" w:type="dxa"/>
            <w:noWrap/>
            <w:vAlign w:val="top"/>
          </w:tcPr>
          <w:p>
            <w:pPr>
              <w:spacing w:line="360" w:lineRule="auto"/>
              <w:rPr>
                <w:rFonts w:hint="eastAsia" w:ascii="宋体" w:hAnsi="宋体" w:cs="宋体"/>
                <w:color w:val="FF0000"/>
                <w:sz w:val="24"/>
                <w:highlight w:val="none"/>
                <w:lang w:val="en-US" w:eastAsia="zh-CN"/>
              </w:rPr>
            </w:pPr>
            <w:r>
              <w:rPr>
                <w:rFonts w:hint="eastAsia" w:ascii="宋体" w:hAnsi="宋体" w:cs="宋体"/>
                <w:color w:val="FF0000"/>
                <w:sz w:val="24"/>
                <w:highlight w:val="none"/>
                <w:lang w:val="en-US" w:eastAsia="zh-CN"/>
              </w:rPr>
              <w:t>... ...</w:t>
            </w:r>
          </w:p>
        </w:tc>
        <w:tc>
          <w:tcPr>
            <w:tcW w:w="875" w:type="dxa"/>
            <w:noWrap/>
            <w:vAlign w:val="top"/>
          </w:tcPr>
          <w:p>
            <w:pPr>
              <w:spacing w:line="360" w:lineRule="auto"/>
              <w:rPr>
                <w:rFonts w:hint="eastAsia" w:ascii="宋体" w:hAnsi="宋体" w:cs="宋体"/>
                <w:color w:val="FF0000"/>
                <w:sz w:val="24"/>
                <w:highlight w:val="none"/>
                <w:lang w:val="en-US" w:eastAsia="zh-CN"/>
              </w:rPr>
            </w:pPr>
          </w:p>
        </w:tc>
        <w:tc>
          <w:tcPr>
            <w:tcW w:w="549" w:type="dxa"/>
            <w:noWrap/>
            <w:vAlign w:val="top"/>
          </w:tcPr>
          <w:p>
            <w:pPr>
              <w:spacing w:line="360" w:lineRule="auto"/>
              <w:rPr>
                <w:rFonts w:ascii="宋体" w:hAnsi="宋体" w:cs="宋体"/>
                <w:color w:val="FF0000"/>
                <w:sz w:val="24"/>
                <w:highlight w:val="none"/>
              </w:rPr>
            </w:pPr>
          </w:p>
        </w:tc>
        <w:tc>
          <w:tcPr>
            <w:tcW w:w="755" w:type="dxa"/>
            <w:noWrap/>
            <w:vAlign w:val="top"/>
          </w:tcPr>
          <w:p>
            <w:pPr>
              <w:spacing w:line="360" w:lineRule="auto"/>
              <w:rPr>
                <w:rFonts w:ascii="宋体" w:hAnsi="宋体" w:cs="宋体"/>
                <w:color w:val="FF0000"/>
                <w:sz w:val="24"/>
                <w:highlight w:val="none"/>
              </w:rPr>
            </w:pPr>
          </w:p>
        </w:tc>
        <w:tc>
          <w:tcPr>
            <w:tcW w:w="921" w:type="dxa"/>
            <w:noWrap/>
            <w:vAlign w:val="top"/>
          </w:tcPr>
          <w:p>
            <w:pPr>
              <w:spacing w:line="360" w:lineRule="auto"/>
              <w:jc w:val="center"/>
              <w:rPr>
                <w:rFonts w:ascii="宋体" w:hAnsi="宋体" w:cs="宋体"/>
                <w:color w:val="FF0000"/>
                <w:sz w:val="24"/>
                <w:highlight w:val="none"/>
              </w:rPr>
            </w:pPr>
          </w:p>
        </w:tc>
        <w:tc>
          <w:tcPr>
            <w:tcW w:w="1610" w:type="dxa"/>
            <w:noWrap/>
            <w:vAlign w:val="top"/>
          </w:tcPr>
          <w:p>
            <w:pPr>
              <w:spacing w:line="360" w:lineRule="auto"/>
              <w:rPr>
                <w:rFonts w:ascii="宋体" w:hAnsi="宋体" w:cs="宋体"/>
                <w:color w:val="FF0000"/>
                <w:sz w:val="24"/>
                <w:highlight w:val="none"/>
              </w:rPr>
            </w:pPr>
          </w:p>
        </w:tc>
        <w:tc>
          <w:tcPr>
            <w:tcW w:w="916" w:type="dxa"/>
            <w:noWrap/>
            <w:vAlign w:val="top"/>
          </w:tcPr>
          <w:p>
            <w:pPr>
              <w:spacing w:line="360" w:lineRule="auto"/>
              <w:rPr>
                <w:rFonts w:ascii="宋体" w:hAnsi="宋体" w:cs="宋体"/>
                <w:color w:val="FF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11" w:type="dxa"/>
            <w:noWrap/>
            <w:vAlign w:val="top"/>
          </w:tcPr>
          <w:p>
            <w:pPr>
              <w:spacing w:line="360" w:lineRule="auto"/>
              <w:rPr>
                <w:rFonts w:hint="eastAsia" w:ascii="宋体" w:hAnsi="宋体" w:cs="宋体"/>
                <w:color w:val="FF0000"/>
                <w:sz w:val="24"/>
                <w:highlight w:val="none"/>
              </w:rPr>
            </w:pPr>
            <w:r>
              <w:rPr>
                <w:rFonts w:hint="eastAsia" w:ascii="宋体" w:hAnsi="宋体" w:cs="宋体"/>
                <w:color w:val="FF0000"/>
                <w:sz w:val="24"/>
                <w:highlight w:val="none"/>
              </w:rPr>
              <w:t>二</w:t>
            </w:r>
          </w:p>
        </w:tc>
        <w:tc>
          <w:tcPr>
            <w:tcW w:w="1900" w:type="dxa"/>
            <w:noWrap/>
            <w:vAlign w:val="top"/>
          </w:tcPr>
          <w:p>
            <w:pPr>
              <w:spacing w:line="360" w:lineRule="auto"/>
              <w:rPr>
                <w:rFonts w:hint="eastAsia" w:ascii="宋体" w:hAnsi="宋体" w:cs="宋体"/>
                <w:color w:val="FF0000"/>
                <w:sz w:val="24"/>
                <w:highlight w:val="none"/>
                <w:lang w:val="en-US" w:eastAsia="zh-CN"/>
              </w:rPr>
            </w:pPr>
            <w:r>
              <w:rPr>
                <w:rFonts w:hint="eastAsia" w:ascii="宋体" w:hAnsi="宋体" w:cs="宋体"/>
                <w:b/>
                <w:color w:val="FF0000"/>
                <w:sz w:val="24"/>
                <w:highlight w:val="none"/>
                <w:lang w:val="en-US" w:eastAsia="zh-CN"/>
              </w:rPr>
              <w:t>车辆</w:t>
            </w:r>
          </w:p>
        </w:tc>
        <w:tc>
          <w:tcPr>
            <w:tcW w:w="875" w:type="dxa"/>
            <w:noWrap/>
            <w:vAlign w:val="top"/>
          </w:tcPr>
          <w:p>
            <w:pPr>
              <w:spacing w:line="360" w:lineRule="auto"/>
              <w:rPr>
                <w:rFonts w:hint="eastAsia" w:ascii="宋体" w:hAnsi="宋体" w:cs="宋体"/>
                <w:color w:val="FF0000"/>
                <w:sz w:val="24"/>
                <w:highlight w:val="none"/>
                <w:lang w:val="en-US" w:eastAsia="zh-CN"/>
              </w:rPr>
            </w:pPr>
          </w:p>
        </w:tc>
        <w:tc>
          <w:tcPr>
            <w:tcW w:w="549" w:type="dxa"/>
            <w:noWrap/>
            <w:vAlign w:val="top"/>
          </w:tcPr>
          <w:p>
            <w:pPr>
              <w:spacing w:line="360" w:lineRule="auto"/>
              <w:rPr>
                <w:rFonts w:ascii="宋体" w:hAnsi="宋体" w:cs="宋体"/>
                <w:color w:val="FF0000"/>
                <w:sz w:val="24"/>
                <w:highlight w:val="none"/>
              </w:rPr>
            </w:pPr>
          </w:p>
        </w:tc>
        <w:tc>
          <w:tcPr>
            <w:tcW w:w="755" w:type="dxa"/>
            <w:noWrap/>
            <w:vAlign w:val="top"/>
          </w:tcPr>
          <w:p>
            <w:pPr>
              <w:spacing w:line="360" w:lineRule="auto"/>
              <w:rPr>
                <w:rFonts w:ascii="宋体" w:hAnsi="宋体" w:cs="宋体"/>
                <w:color w:val="FF0000"/>
                <w:sz w:val="24"/>
                <w:highlight w:val="none"/>
              </w:rPr>
            </w:pPr>
          </w:p>
        </w:tc>
        <w:tc>
          <w:tcPr>
            <w:tcW w:w="921" w:type="dxa"/>
            <w:noWrap/>
            <w:vAlign w:val="top"/>
          </w:tcPr>
          <w:p>
            <w:pPr>
              <w:spacing w:line="360" w:lineRule="auto"/>
              <w:jc w:val="center"/>
              <w:rPr>
                <w:rFonts w:ascii="宋体" w:hAnsi="宋体" w:cs="宋体"/>
                <w:color w:val="FF0000"/>
                <w:sz w:val="24"/>
                <w:highlight w:val="none"/>
              </w:rPr>
            </w:pPr>
          </w:p>
        </w:tc>
        <w:tc>
          <w:tcPr>
            <w:tcW w:w="1610" w:type="dxa"/>
            <w:noWrap/>
            <w:vAlign w:val="top"/>
          </w:tcPr>
          <w:p>
            <w:pPr>
              <w:spacing w:line="360" w:lineRule="auto"/>
              <w:rPr>
                <w:rFonts w:ascii="宋体" w:hAnsi="宋体" w:cs="宋体"/>
                <w:color w:val="FF0000"/>
                <w:sz w:val="24"/>
                <w:highlight w:val="none"/>
              </w:rPr>
            </w:pPr>
          </w:p>
        </w:tc>
        <w:tc>
          <w:tcPr>
            <w:tcW w:w="916" w:type="dxa"/>
            <w:noWrap/>
            <w:vAlign w:val="top"/>
          </w:tcPr>
          <w:p>
            <w:pPr>
              <w:spacing w:line="360" w:lineRule="auto"/>
              <w:rPr>
                <w:rFonts w:ascii="宋体" w:hAnsi="宋体" w:cs="宋体"/>
                <w:color w:val="FF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11" w:type="dxa"/>
            <w:noWrap/>
            <w:vAlign w:val="top"/>
          </w:tcPr>
          <w:p>
            <w:pPr>
              <w:spacing w:line="360" w:lineRule="auto"/>
              <w:rPr>
                <w:rFonts w:hint="eastAsia" w:ascii="宋体" w:hAnsi="宋体" w:cs="宋体"/>
                <w:color w:val="FF0000"/>
                <w:sz w:val="24"/>
                <w:highlight w:val="none"/>
              </w:rPr>
            </w:pPr>
            <w:r>
              <w:rPr>
                <w:rFonts w:hint="eastAsia" w:ascii="宋体" w:hAnsi="宋体" w:cs="宋体"/>
                <w:color w:val="FF0000"/>
                <w:sz w:val="24"/>
                <w:highlight w:val="none"/>
              </w:rPr>
              <w:t>2.1</w:t>
            </w:r>
          </w:p>
        </w:tc>
        <w:tc>
          <w:tcPr>
            <w:tcW w:w="1900" w:type="dxa"/>
            <w:noWrap/>
            <w:vAlign w:val="top"/>
          </w:tcPr>
          <w:p>
            <w:pPr>
              <w:spacing w:line="360" w:lineRule="auto"/>
              <w:rPr>
                <w:rFonts w:hint="eastAsia" w:ascii="宋体" w:hAnsi="宋体" w:cs="宋体"/>
                <w:color w:val="FF0000"/>
                <w:sz w:val="24"/>
                <w:highlight w:val="none"/>
                <w:lang w:val="en-US" w:eastAsia="zh-CN"/>
              </w:rPr>
            </w:pPr>
            <w:r>
              <w:rPr>
                <w:rFonts w:hint="eastAsia" w:ascii="宋体" w:hAnsi="宋体" w:cs="宋体"/>
                <w:color w:val="FF0000"/>
                <w:sz w:val="24"/>
                <w:highlight w:val="none"/>
                <w:lang w:val="en-US" w:eastAsia="zh-CN"/>
              </w:rPr>
              <w:t>洒水车</w:t>
            </w:r>
          </w:p>
        </w:tc>
        <w:tc>
          <w:tcPr>
            <w:tcW w:w="875" w:type="dxa"/>
            <w:noWrap/>
            <w:vAlign w:val="top"/>
          </w:tcPr>
          <w:p>
            <w:pPr>
              <w:spacing w:line="360" w:lineRule="auto"/>
              <w:rPr>
                <w:rFonts w:hint="eastAsia" w:ascii="宋体" w:hAnsi="宋体" w:cs="宋体"/>
                <w:color w:val="FF0000"/>
                <w:sz w:val="24"/>
                <w:highlight w:val="none"/>
                <w:lang w:val="en-US" w:eastAsia="zh-CN"/>
              </w:rPr>
            </w:pPr>
          </w:p>
        </w:tc>
        <w:tc>
          <w:tcPr>
            <w:tcW w:w="549" w:type="dxa"/>
            <w:noWrap/>
            <w:vAlign w:val="top"/>
          </w:tcPr>
          <w:p>
            <w:pPr>
              <w:spacing w:line="360" w:lineRule="auto"/>
              <w:rPr>
                <w:rFonts w:ascii="宋体" w:hAnsi="宋体" w:cs="宋体"/>
                <w:color w:val="FF0000"/>
                <w:sz w:val="24"/>
                <w:highlight w:val="none"/>
              </w:rPr>
            </w:pPr>
          </w:p>
        </w:tc>
        <w:tc>
          <w:tcPr>
            <w:tcW w:w="755" w:type="dxa"/>
            <w:noWrap/>
            <w:vAlign w:val="top"/>
          </w:tcPr>
          <w:p>
            <w:pPr>
              <w:spacing w:line="360" w:lineRule="auto"/>
              <w:rPr>
                <w:rFonts w:ascii="宋体" w:hAnsi="宋体" w:cs="宋体"/>
                <w:color w:val="FF0000"/>
                <w:sz w:val="24"/>
                <w:highlight w:val="none"/>
              </w:rPr>
            </w:pPr>
          </w:p>
        </w:tc>
        <w:tc>
          <w:tcPr>
            <w:tcW w:w="921" w:type="dxa"/>
            <w:noWrap/>
            <w:vAlign w:val="top"/>
          </w:tcPr>
          <w:p>
            <w:pPr>
              <w:spacing w:line="360" w:lineRule="auto"/>
              <w:jc w:val="center"/>
              <w:rPr>
                <w:rFonts w:ascii="宋体" w:hAnsi="宋体" w:cs="宋体"/>
                <w:color w:val="FF0000"/>
                <w:sz w:val="24"/>
                <w:highlight w:val="none"/>
              </w:rPr>
            </w:pPr>
            <w:r>
              <w:rPr>
                <w:rFonts w:hint="eastAsia" w:ascii="宋体" w:hAnsi="宋体" w:cs="宋体"/>
                <w:color w:val="FF0000"/>
                <w:sz w:val="24"/>
                <w:highlight w:val="none"/>
                <w:lang w:val="en-US" w:eastAsia="zh-CN"/>
              </w:rPr>
              <w:t>1年</w:t>
            </w:r>
          </w:p>
        </w:tc>
        <w:tc>
          <w:tcPr>
            <w:tcW w:w="1610" w:type="dxa"/>
            <w:noWrap/>
            <w:vAlign w:val="top"/>
          </w:tcPr>
          <w:p>
            <w:pPr>
              <w:spacing w:line="360" w:lineRule="auto"/>
              <w:rPr>
                <w:rFonts w:ascii="宋体" w:hAnsi="宋体" w:cs="宋体"/>
                <w:color w:val="FF0000"/>
                <w:sz w:val="24"/>
                <w:highlight w:val="none"/>
              </w:rPr>
            </w:pPr>
          </w:p>
        </w:tc>
        <w:tc>
          <w:tcPr>
            <w:tcW w:w="916" w:type="dxa"/>
            <w:noWrap/>
            <w:vAlign w:val="top"/>
          </w:tcPr>
          <w:p>
            <w:pPr>
              <w:spacing w:line="360" w:lineRule="auto"/>
              <w:rPr>
                <w:rFonts w:ascii="宋体" w:hAnsi="宋体" w:cs="宋体"/>
                <w:color w:val="FF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11" w:type="dxa"/>
            <w:noWrap/>
            <w:vAlign w:val="top"/>
          </w:tcPr>
          <w:p>
            <w:pPr>
              <w:spacing w:line="360" w:lineRule="auto"/>
              <w:rPr>
                <w:rFonts w:hint="eastAsia" w:ascii="宋体" w:hAnsi="宋体" w:cs="宋体"/>
                <w:color w:val="FF0000"/>
                <w:sz w:val="24"/>
                <w:highlight w:val="none"/>
              </w:rPr>
            </w:pPr>
            <w:r>
              <w:rPr>
                <w:rFonts w:hint="eastAsia" w:ascii="宋体" w:hAnsi="宋体" w:cs="宋体"/>
                <w:color w:val="FF0000"/>
                <w:sz w:val="24"/>
                <w:highlight w:val="none"/>
              </w:rPr>
              <w:t>2.2</w:t>
            </w:r>
          </w:p>
        </w:tc>
        <w:tc>
          <w:tcPr>
            <w:tcW w:w="1900" w:type="dxa"/>
            <w:noWrap/>
            <w:vAlign w:val="top"/>
          </w:tcPr>
          <w:p>
            <w:pPr>
              <w:spacing w:line="360" w:lineRule="auto"/>
              <w:rPr>
                <w:rFonts w:hint="eastAsia" w:ascii="宋体" w:hAnsi="宋体" w:cs="宋体"/>
                <w:color w:val="FF0000"/>
                <w:sz w:val="24"/>
                <w:highlight w:val="none"/>
                <w:lang w:val="en-US" w:eastAsia="zh-CN"/>
              </w:rPr>
            </w:pPr>
            <w:r>
              <w:rPr>
                <w:rFonts w:hint="eastAsia" w:ascii="宋体" w:hAnsi="宋体" w:cs="宋体"/>
                <w:color w:val="FF0000"/>
                <w:sz w:val="24"/>
                <w:highlight w:val="none"/>
                <w:lang w:val="en-US" w:eastAsia="zh-CN"/>
              </w:rPr>
              <w:t>垃圾清运车</w:t>
            </w:r>
          </w:p>
        </w:tc>
        <w:tc>
          <w:tcPr>
            <w:tcW w:w="875" w:type="dxa"/>
            <w:noWrap/>
            <w:vAlign w:val="top"/>
          </w:tcPr>
          <w:p>
            <w:pPr>
              <w:spacing w:line="360" w:lineRule="auto"/>
              <w:rPr>
                <w:rFonts w:hint="eastAsia" w:ascii="宋体" w:hAnsi="宋体" w:cs="宋体"/>
                <w:color w:val="FF0000"/>
                <w:sz w:val="24"/>
                <w:highlight w:val="none"/>
                <w:lang w:val="en-US" w:eastAsia="zh-CN"/>
              </w:rPr>
            </w:pPr>
          </w:p>
        </w:tc>
        <w:tc>
          <w:tcPr>
            <w:tcW w:w="549" w:type="dxa"/>
            <w:noWrap/>
            <w:vAlign w:val="top"/>
          </w:tcPr>
          <w:p>
            <w:pPr>
              <w:spacing w:line="360" w:lineRule="auto"/>
              <w:rPr>
                <w:rFonts w:ascii="宋体" w:hAnsi="宋体" w:cs="宋体"/>
                <w:color w:val="FF0000"/>
                <w:sz w:val="24"/>
                <w:highlight w:val="none"/>
              </w:rPr>
            </w:pPr>
          </w:p>
        </w:tc>
        <w:tc>
          <w:tcPr>
            <w:tcW w:w="755" w:type="dxa"/>
            <w:noWrap/>
            <w:vAlign w:val="top"/>
          </w:tcPr>
          <w:p>
            <w:pPr>
              <w:spacing w:line="360" w:lineRule="auto"/>
              <w:rPr>
                <w:rFonts w:ascii="宋体" w:hAnsi="宋体" w:cs="宋体"/>
                <w:color w:val="FF0000"/>
                <w:sz w:val="24"/>
                <w:highlight w:val="none"/>
              </w:rPr>
            </w:pPr>
          </w:p>
        </w:tc>
        <w:tc>
          <w:tcPr>
            <w:tcW w:w="921" w:type="dxa"/>
            <w:noWrap/>
            <w:vAlign w:val="top"/>
          </w:tcPr>
          <w:p>
            <w:pPr>
              <w:spacing w:line="360" w:lineRule="auto"/>
              <w:jc w:val="center"/>
              <w:rPr>
                <w:rFonts w:ascii="宋体" w:hAnsi="宋体" w:cs="宋体"/>
                <w:color w:val="FF0000"/>
                <w:sz w:val="24"/>
                <w:highlight w:val="none"/>
              </w:rPr>
            </w:pPr>
            <w:r>
              <w:rPr>
                <w:rFonts w:hint="eastAsia" w:ascii="宋体" w:hAnsi="宋体" w:cs="宋体"/>
                <w:color w:val="FF0000"/>
                <w:sz w:val="24"/>
                <w:highlight w:val="none"/>
                <w:lang w:val="en-US" w:eastAsia="zh-CN"/>
              </w:rPr>
              <w:t>1年</w:t>
            </w:r>
          </w:p>
        </w:tc>
        <w:tc>
          <w:tcPr>
            <w:tcW w:w="1610" w:type="dxa"/>
            <w:noWrap/>
            <w:vAlign w:val="top"/>
          </w:tcPr>
          <w:p>
            <w:pPr>
              <w:spacing w:line="360" w:lineRule="auto"/>
              <w:rPr>
                <w:rFonts w:ascii="宋体" w:hAnsi="宋体" w:cs="宋体"/>
                <w:color w:val="FF0000"/>
                <w:sz w:val="24"/>
                <w:highlight w:val="none"/>
              </w:rPr>
            </w:pPr>
          </w:p>
        </w:tc>
        <w:tc>
          <w:tcPr>
            <w:tcW w:w="916" w:type="dxa"/>
            <w:noWrap/>
            <w:vAlign w:val="top"/>
          </w:tcPr>
          <w:p>
            <w:pPr>
              <w:spacing w:line="360" w:lineRule="auto"/>
              <w:rPr>
                <w:rFonts w:ascii="宋体" w:hAnsi="宋体" w:cs="宋体"/>
                <w:color w:val="FF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11" w:type="dxa"/>
            <w:noWrap/>
            <w:vAlign w:val="top"/>
          </w:tcPr>
          <w:p>
            <w:pPr>
              <w:spacing w:line="360" w:lineRule="auto"/>
              <w:rPr>
                <w:rFonts w:hint="eastAsia" w:ascii="宋体" w:hAnsi="宋体" w:cs="宋体"/>
                <w:color w:val="FF0000"/>
                <w:sz w:val="24"/>
                <w:highlight w:val="none"/>
              </w:rPr>
            </w:pPr>
          </w:p>
        </w:tc>
        <w:tc>
          <w:tcPr>
            <w:tcW w:w="1900" w:type="dxa"/>
            <w:noWrap/>
            <w:vAlign w:val="top"/>
          </w:tcPr>
          <w:p>
            <w:pPr>
              <w:spacing w:line="360" w:lineRule="auto"/>
              <w:rPr>
                <w:rFonts w:hint="eastAsia" w:ascii="宋体" w:hAnsi="宋体" w:cs="宋体"/>
                <w:color w:val="FF0000"/>
                <w:sz w:val="24"/>
                <w:highlight w:val="none"/>
                <w:lang w:val="en-US" w:eastAsia="zh-CN"/>
              </w:rPr>
            </w:pPr>
            <w:r>
              <w:rPr>
                <w:rFonts w:hint="eastAsia" w:ascii="宋体" w:hAnsi="宋体" w:cs="宋体"/>
                <w:color w:val="FF0000"/>
                <w:sz w:val="24"/>
                <w:highlight w:val="none"/>
                <w:lang w:val="en-US" w:eastAsia="zh-CN"/>
              </w:rPr>
              <w:t>... ...</w:t>
            </w:r>
          </w:p>
        </w:tc>
        <w:tc>
          <w:tcPr>
            <w:tcW w:w="875" w:type="dxa"/>
            <w:noWrap/>
            <w:vAlign w:val="top"/>
          </w:tcPr>
          <w:p>
            <w:pPr>
              <w:spacing w:line="360" w:lineRule="auto"/>
              <w:rPr>
                <w:rFonts w:hint="eastAsia" w:ascii="宋体" w:hAnsi="宋体" w:cs="宋体"/>
                <w:color w:val="FF0000"/>
                <w:sz w:val="24"/>
                <w:highlight w:val="none"/>
                <w:lang w:val="en-US" w:eastAsia="zh-CN"/>
              </w:rPr>
            </w:pPr>
          </w:p>
        </w:tc>
        <w:tc>
          <w:tcPr>
            <w:tcW w:w="549" w:type="dxa"/>
            <w:noWrap/>
            <w:vAlign w:val="top"/>
          </w:tcPr>
          <w:p>
            <w:pPr>
              <w:spacing w:line="360" w:lineRule="auto"/>
              <w:rPr>
                <w:rFonts w:ascii="宋体" w:hAnsi="宋体" w:cs="宋体"/>
                <w:color w:val="FF0000"/>
                <w:sz w:val="24"/>
                <w:highlight w:val="none"/>
              </w:rPr>
            </w:pPr>
          </w:p>
        </w:tc>
        <w:tc>
          <w:tcPr>
            <w:tcW w:w="755" w:type="dxa"/>
            <w:noWrap/>
            <w:vAlign w:val="top"/>
          </w:tcPr>
          <w:p>
            <w:pPr>
              <w:spacing w:line="360" w:lineRule="auto"/>
              <w:rPr>
                <w:rFonts w:ascii="宋体" w:hAnsi="宋体" w:cs="宋体"/>
                <w:color w:val="FF0000"/>
                <w:sz w:val="24"/>
                <w:highlight w:val="none"/>
              </w:rPr>
            </w:pPr>
          </w:p>
        </w:tc>
        <w:tc>
          <w:tcPr>
            <w:tcW w:w="921" w:type="dxa"/>
            <w:noWrap/>
            <w:vAlign w:val="top"/>
          </w:tcPr>
          <w:p>
            <w:pPr>
              <w:spacing w:line="360" w:lineRule="auto"/>
              <w:rPr>
                <w:rFonts w:ascii="宋体" w:hAnsi="宋体" w:cs="宋体"/>
                <w:color w:val="FF0000"/>
                <w:sz w:val="24"/>
                <w:highlight w:val="none"/>
              </w:rPr>
            </w:pPr>
          </w:p>
        </w:tc>
        <w:tc>
          <w:tcPr>
            <w:tcW w:w="1610" w:type="dxa"/>
            <w:noWrap/>
            <w:vAlign w:val="top"/>
          </w:tcPr>
          <w:p>
            <w:pPr>
              <w:spacing w:line="360" w:lineRule="auto"/>
              <w:rPr>
                <w:rFonts w:ascii="宋体" w:hAnsi="宋体" w:cs="宋体"/>
                <w:color w:val="FF0000"/>
                <w:sz w:val="24"/>
                <w:highlight w:val="none"/>
              </w:rPr>
            </w:pPr>
          </w:p>
        </w:tc>
        <w:tc>
          <w:tcPr>
            <w:tcW w:w="916" w:type="dxa"/>
            <w:noWrap/>
            <w:vAlign w:val="top"/>
          </w:tcPr>
          <w:p>
            <w:pPr>
              <w:spacing w:line="360" w:lineRule="auto"/>
              <w:rPr>
                <w:rFonts w:ascii="宋体" w:hAnsi="宋体" w:cs="宋体"/>
                <w:color w:val="FF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711" w:type="dxa"/>
            <w:noWrap/>
          </w:tcPr>
          <w:p>
            <w:pPr>
              <w:spacing w:line="360" w:lineRule="auto"/>
              <w:rPr>
                <w:rFonts w:hint="eastAsia" w:ascii="宋体" w:hAnsi="宋体" w:eastAsia="宋体" w:cs="宋体"/>
                <w:b/>
                <w:color w:val="FF0000"/>
                <w:sz w:val="24"/>
                <w:highlight w:val="none"/>
                <w:lang w:eastAsia="zh-CN"/>
              </w:rPr>
            </w:pPr>
            <w:r>
              <w:rPr>
                <w:rFonts w:hint="eastAsia" w:ascii="宋体" w:hAnsi="宋体" w:cs="宋体"/>
                <w:b/>
                <w:color w:val="FF0000"/>
                <w:sz w:val="24"/>
                <w:highlight w:val="none"/>
                <w:lang w:val="en-US" w:eastAsia="zh-CN"/>
              </w:rPr>
              <w:t>三</w:t>
            </w:r>
          </w:p>
        </w:tc>
        <w:tc>
          <w:tcPr>
            <w:tcW w:w="1900" w:type="dxa"/>
            <w:noWrap/>
          </w:tcPr>
          <w:p>
            <w:pPr>
              <w:spacing w:line="360" w:lineRule="auto"/>
              <w:rPr>
                <w:rFonts w:ascii="宋体" w:hAnsi="宋体" w:cs="宋体"/>
                <w:b/>
                <w:color w:val="FF0000"/>
                <w:sz w:val="24"/>
                <w:highlight w:val="none"/>
              </w:rPr>
            </w:pPr>
            <w:r>
              <w:rPr>
                <w:rFonts w:hint="eastAsia" w:ascii="宋体" w:hAnsi="宋体" w:cs="宋体"/>
                <w:b/>
                <w:color w:val="FF0000"/>
                <w:sz w:val="24"/>
                <w:highlight w:val="none"/>
              </w:rPr>
              <w:t>其它</w:t>
            </w:r>
          </w:p>
        </w:tc>
        <w:tc>
          <w:tcPr>
            <w:tcW w:w="875" w:type="dxa"/>
            <w:noWrap/>
          </w:tcPr>
          <w:p>
            <w:pPr>
              <w:spacing w:line="360" w:lineRule="auto"/>
              <w:rPr>
                <w:rFonts w:hint="eastAsia" w:ascii="宋体" w:hAnsi="宋体" w:cs="宋体"/>
                <w:b/>
                <w:color w:val="FF0000"/>
                <w:sz w:val="24"/>
                <w:highlight w:val="none"/>
              </w:rPr>
            </w:pPr>
          </w:p>
        </w:tc>
        <w:tc>
          <w:tcPr>
            <w:tcW w:w="549" w:type="dxa"/>
            <w:noWrap/>
          </w:tcPr>
          <w:p>
            <w:pPr>
              <w:spacing w:line="360" w:lineRule="auto"/>
              <w:rPr>
                <w:rFonts w:ascii="宋体" w:hAnsi="宋体" w:cs="宋体"/>
                <w:color w:val="FF0000"/>
                <w:sz w:val="24"/>
                <w:highlight w:val="none"/>
              </w:rPr>
            </w:pPr>
          </w:p>
        </w:tc>
        <w:tc>
          <w:tcPr>
            <w:tcW w:w="755" w:type="dxa"/>
            <w:noWrap/>
          </w:tcPr>
          <w:p>
            <w:pPr>
              <w:spacing w:line="360" w:lineRule="auto"/>
              <w:rPr>
                <w:rFonts w:ascii="宋体" w:hAnsi="宋体" w:cs="宋体"/>
                <w:color w:val="FF0000"/>
                <w:sz w:val="24"/>
                <w:highlight w:val="none"/>
              </w:rPr>
            </w:pPr>
          </w:p>
        </w:tc>
        <w:tc>
          <w:tcPr>
            <w:tcW w:w="921" w:type="dxa"/>
            <w:noWrap/>
          </w:tcPr>
          <w:p>
            <w:pPr>
              <w:spacing w:line="360" w:lineRule="auto"/>
              <w:rPr>
                <w:rFonts w:ascii="宋体" w:hAnsi="宋体" w:cs="宋体"/>
                <w:color w:val="FF0000"/>
                <w:sz w:val="24"/>
                <w:highlight w:val="none"/>
              </w:rPr>
            </w:pPr>
          </w:p>
        </w:tc>
        <w:tc>
          <w:tcPr>
            <w:tcW w:w="1610" w:type="dxa"/>
            <w:noWrap/>
          </w:tcPr>
          <w:p>
            <w:pPr>
              <w:spacing w:line="360" w:lineRule="auto"/>
              <w:rPr>
                <w:rFonts w:ascii="宋体" w:hAnsi="宋体" w:cs="宋体"/>
                <w:color w:val="FF0000"/>
                <w:sz w:val="24"/>
                <w:highlight w:val="none"/>
              </w:rPr>
            </w:pPr>
          </w:p>
        </w:tc>
        <w:tc>
          <w:tcPr>
            <w:tcW w:w="916" w:type="dxa"/>
            <w:noWrap/>
          </w:tcPr>
          <w:p>
            <w:pPr>
              <w:spacing w:line="360" w:lineRule="auto"/>
              <w:rPr>
                <w:rFonts w:ascii="宋体" w:hAnsi="宋体" w:cs="宋体"/>
                <w:color w:val="FF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11" w:type="dxa"/>
            <w:noWrap/>
          </w:tcPr>
          <w:p>
            <w:pPr>
              <w:spacing w:line="360" w:lineRule="auto"/>
              <w:rPr>
                <w:rFonts w:hint="eastAsia" w:ascii="宋体" w:hAnsi="宋体" w:cs="宋体"/>
                <w:b/>
                <w:color w:val="FF0000"/>
                <w:sz w:val="24"/>
                <w:highlight w:val="none"/>
                <w:lang w:val="en-US" w:eastAsia="zh-CN"/>
              </w:rPr>
            </w:pPr>
          </w:p>
        </w:tc>
        <w:tc>
          <w:tcPr>
            <w:tcW w:w="1900" w:type="dxa"/>
            <w:noWrap/>
          </w:tcPr>
          <w:p>
            <w:pPr>
              <w:spacing w:line="360" w:lineRule="auto"/>
              <w:rPr>
                <w:rFonts w:hint="eastAsia" w:ascii="宋体" w:hAnsi="宋体" w:cs="宋体"/>
                <w:b/>
                <w:color w:val="FF0000"/>
                <w:sz w:val="24"/>
                <w:highlight w:val="none"/>
              </w:rPr>
            </w:pPr>
            <w:r>
              <w:rPr>
                <w:rFonts w:hint="eastAsia" w:ascii="宋体" w:hAnsi="宋体" w:cs="宋体"/>
                <w:color w:val="FF0000"/>
                <w:sz w:val="24"/>
                <w:highlight w:val="none"/>
                <w:lang w:val="en-US" w:eastAsia="zh-CN"/>
              </w:rPr>
              <w:t>... ...</w:t>
            </w:r>
          </w:p>
        </w:tc>
        <w:tc>
          <w:tcPr>
            <w:tcW w:w="875" w:type="dxa"/>
            <w:noWrap/>
          </w:tcPr>
          <w:p>
            <w:pPr>
              <w:spacing w:line="360" w:lineRule="auto"/>
              <w:rPr>
                <w:rFonts w:hint="eastAsia" w:ascii="宋体" w:hAnsi="宋体" w:cs="宋体"/>
                <w:color w:val="FF0000"/>
                <w:sz w:val="24"/>
                <w:highlight w:val="none"/>
                <w:lang w:val="en-US" w:eastAsia="zh-CN"/>
              </w:rPr>
            </w:pPr>
          </w:p>
        </w:tc>
        <w:tc>
          <w:tcPr>
            <w:tcW w:w="549" w:type="dxa"/>
            <w:noWrap/>
          </w:tcPr>
          <w:p>
            <w:pPr>
              <w:spacing w:line="360" w:lineRule="auto"/>
              <w:rPr>
                <w:rFonts w:ascii="宋体" w:hAnsi="宋体" w:cs="宋体"/>
                <w:color w:val="FF0000"/>
                <w:sz w:val="24"/>
                <w:highlight w:val="none"/>
              </w:rPr>
            </w:pPr>
          </w:p>
        </w:tc>
        <w:tc>
          <w:tcPr>
            <w:tcW w:w="755" w:type="dxa"/>
            <w:noWrap/>
          </w:tcPr>
          <w:p>
            <w:pPr>
              <w:spacing w:line="360" w:lineRule="auto"/>
              <w:rPr>
                <w:rFonts w:ascii="宋体" w:hAnsi="宋体" w:cs="宋体"/>
                <w:color w:val="FF0000"/>
                <w:sz w:val="24"/>
                <w:highlight w:val="none"/>
              </w:rPr>
            </w:pPr>
          </w:p>
        </w:tc>
        <w:tc>
          <w:tcPr>
            <w:tcW w:w="921" w:type="dxa"/>
            <w:noWrap/>
          </w:tcPr>
          <w:p>
            <w:pPr>
              <w:spacing w:line="360" w:lineRule="auto"/>
              <w:rPr>
                <w:rFonts w:ascii="宋体" w:hAnsi="宋体" w:cs="宋体"/>
                <w:color w:val="FF0000"/>
                <w:sz w:val="24"/>
                <w:highlight w:val="none"/>
              </w:rPr>
            </w:pPr>
          </w:p>
        </w:tc>
        <w:tc>
          <w:tcPr>
            <w:tcW w:w="1610" w:type="dxa"/>
            <w:noWrap/>
          </w:tcPr>
          <w:p>
            <w:pPr>
              <w:spacing w:line="360" w:lineRule="auto"/>
              <w:rPr>
                <w:rFonts w:ascii="宋体" w:hAnsi="宋体" w:cs="宋体"/>
                <w:color w:val="FF0000"/>
                <w:sz w:val="24"/>
                <w:highlight w:val="none"/>
              </w:rPr>
            </w:pPr>
          </w:p>
        </w:tc>
        <w:tc>
          <w:tcPr>
            <w:tcW w:w="916" w:type="dxa"/>
            <w:noWrap/>
          </w:tcPr>
          <w:p>
            <w:pPr>
              <w:spacing w:line="360" w:lineRule="auto"/>
              <w:rPr>
                <w:rFonts w:ascii="宋体" w:hAnsi="宋体" w:cs="宋体"/>
                <w:color w:val="FF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611" w:type="dxa"/>
            <w:gridSpan w:val="2"/>
            <w:noWrap/>
            <w:vAlign w:val="center"/>
          </w:tcPr>
          <w:p>
            <w:pPr>
              <w:spacing w:line="360" w:lineRule="auto"/>
              <w:jc w:val="center"/>
              <w:rPr>
                <w:rFonts w:ascii="宋体" w:hAnsi="宋体" w:cs="宋体"/>
                <w:color w:val="FF0000"/>
                <w:sz w:val="24"/>
                <w:highlight w:val="none"/>
              </w:rPr>
            </w:pPr>
            <w:r>
              <w:rPr>
                <w:rFonts w:hint="eastAsia" w:ascii="宋体" w:hAnsi="宋体" w:cs="宋体"/>
                <w:color w:val="FF0000"/>
                <w:sz w:val="24"/>
                <w:highlight w:val="none"/>
              </w:rPr>
              <w:t>总  计</w:t>
            </w:r>
          </w:p>
        </w:tc>
        <w:tc>
          <w:tcPr>
            <w:tcW w:w="4710" w:type="dxa"/>
            <w:gridSpan w:val="5"/>
            <w:noWrap/>
          </w:tcPr>
          <w:p>
            <w:pPr>
              <w:spacing w:line="360" w:lineRule="auto"/>
              <w:rPr>
                <w:rFonts w:ascii="宋体" w:hAnsi="宋体" w:cs="宋体"/>
                <w:color w:val="FF0000"/>
                <w:sz w:val="24"/>
                <w:highlight w:val="none"/>
              </w:rPr>
            </w:pPr>
          </w:p>
        </w:tc>
        <w:tc>
          <w:tcPr>
            <w:tcW w:w="916" w:type="dxa"/>
            <w:noWrap/>
          </w:tcPr>
          <w:p>
            <w:pPr>
              <w:spacing w:line="360" w:lineRule="auto"/>
              <w:rPr>
                <w:rFonts w:ascii="宋体" w:hAnsi="宋体" w:cs="宋体"/>
                <w:color w:val="FF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611" w:type="dxa"/>
            <w:gridSpan w:val="2"/>
            <w:noWrap/>
            <w:vAlign w:val="center"/>
          </w:tcPr>
          <w:p>
            <w:pPr>
              <w:spacing w:line="360" w:lineRule="auto"/>
              <w:jc w:val="center"/>
              <w:rPr>
                <w:rFonts w:hint="default" w:ascii="宋体" w:hAnsi="宋体" w:eastAsia="宋体" w:cs="宋体"/>
                <w:color w:val="FF0000"/>
                <w:sz w:val="24"/>
                <w:highlight w:val="none"/>
                <w:lang w:val="en-US" w:eastAsia="zh-CN"/>
              </w:rPr>
            </w:pPr>
            <w:r>
              <w:rPr>
                <w:rFonts w:hint="eastAsia" w:ascii="宋体" w:hAnsi="宋体" w:cs="宋体"/>
                <w:color w:val="FF0000"/>
                <w:sz w:val="24"/>
                <w:highlight w:val="none"/>
                <w:lang w:val="en-US" w:eastAsia="zh-CN"/>
              </w:rPr>
              <w:t>I标、II标道路保洁面积</w:t>
            </w:r>
          </w:p>
        </w:tc>
        <w:tc>
          <w:tcPr>
            <w:tcW w:w="5626" w:type="dxa"/>
            <w:gridSpan w:val="6"/>
            <w:noWrap/>
          </w:tcPr>
          <w:p>
            <w:pPr>
              <w:spacing w:line="360" w:lineRule="auto"/>
              <w:rPr>
                <w:rFonts w:ascii="宋体" w:hAnsi="宋体" w:cs="宋体"/>
                <w:color w:val="FF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611" w:type="dxa"/>
            <w:gridSpan w:val="2"/>
            <w:noWrap/>
            <w:vAlign w:val="center"/>
          </w:tcPr>
          <w:p>
            <w:pPr>
              <w:spacing w:line="360" w:lineRule="auto"/>
              <w:jc w:val="center"/>
              <w:rPr>
                <w:rFonts w:hint="default" w:ascii="宋体" w:hAnsi="宋体" w:cs="宋体"/>
                <w:color w:val="FF0000"/>
                <w:sz w:val="24"/>
                <w:highlight w:val="none"/>
                <w:lang w:val="en-US" w:eastAsia="zh-CN"/>
              </w:rPr>
            </w:pPr>
            <w:r>
              <w:rPr>
                <w:rFonts w:hint="eastAsia" w:ascii="宋体" w:hAnsi="宋体" w:cs="宋体"/>
                <w:color w:val="FF0000"/>
                <w:sz w:val="24"/>
                <w:highlight w:val="none"/>
                <w:lang w:val="en-US" w:eastAsia="zh-CN"/>
              </w:rPr>
              <w:t>I标、II标绿化带保洁面积</w:t>
            </w:r>
          </w:p>
        </w:tc>
        <w:tc>
          <w:tcPr>
            <w:tcW w:w="5626" w:type="dxa"/>
            <w:gridSpan w:val="6"/>
            <w:noWrap/>
          </w:tcPr>
          <w:p>
            <w:pPr>
              <w:spacing w:line="360" w:lineRule="auto"/>
              <w:rPr>
                <w:rFonts w:ascii="宋体" w:hAnsi="宋体" w:cs="宋体"/>
                <w:color w:val="FF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jc w:val="center"/>
        </w:trPr>
        <w:tc>
          <w:tcPr>
            <w:tcW w:w="2611" w:type="dxa"/>
            <w:gridSpan w:val="2"/>
            <w:noWrap/>
            <w:vAlign w:val="center"/>
          </w:tcPr>
          <w:p>
            <w:pPr>
              <w:pStyle w:val="15"/>
              <w:spacing w:line="360" w:lineRule="auto"/>
              <w:jc w:val="center"/>
              <w:rPr>
                <w:rFonts w:hint="eastAsia" w:ascii="宋体" w:eastAsia="宋体"/>
                <w:b/>
                <w:bCs/>
                <w:color w:val="FF0000"/>
                <w:sz w:val="24"/>
                <w:szCs w:val="24"/>
                <w:highlight w:val="none"/>
                <w:lang w:eastAsia="zh-CN"/>
              </w:rPr>
            </w:pPr>
            <w:r>
              <w:rPr>
                <w:rFonts w:hint="eastAsia"/>
                <w:b/>
                <w:bCs/>
                <w:color w:val="FF0000"/>
                <w:sz w:val="24"/>
                <w:szCs w:val="24"/>
                <w:highlight w:val="none"/>
                <w:lang w:eastAsia="zh-CN"/>
              </w:rPr>
              <w:t>每年每平</w:t>
            </w:r>
            <w:r>
              <w:rPr>
                <w:rFonts w:hint="eastAsia" w:ascii="宋体" w:eastAsia="宋体"/>
                <w:b/>
                <w:bCs/>
                <w:color w:val="FF0000"/>
                <w:sz w:val="24"/>
                <w:szCs w:val="24"/>
                <w:highlight w:val="none"/>
                <w:lang w:eastAsia="zh-CN"/>
              </w:rPr>
              <w:t>方米</w:t>
            </w:r>
          </w:p>
          <w:p>
            <w:pPr>
              <w:pStyle w:val="15"/>
              <w:spacing w:line="360" w:lineRule="auto"/>
              <w:jc w:val="center"/>
              <w:rPr>
                <w:rFonts w:hint="eastAsia" w:ascii="宋体" w:hAnsi="宋体" w:cs="宋体"/>
                <w:color w:val="FF0000"/>
                <w:sz w:val="24"/>
                <w:highlight w:val="none"/>
              </w:rPr>
            </w:pPr>
            <w:r>
              <w:rPr>
                <w:rFonts w:hint="eastAsia" w:ascii="宋体" w:eastAsia="宋体"/>
                <w:b/>
                <w:bCs/>
                <w:color w:val="FF0000"/>
                <w:sz w:val="24"/>
                <w:szCs w:val="24"/>
                <w:highlight w:val="none"/>
                <w:lang w:eastAsia="zh-CN"/>
              </w:rPr>
              <w:t>综合单价</w:t>
            </w:r>
            <w:r>
              <w:rPr>
                <w:rFonts w:hint="eastAsia"/>
                <w:b/>
                <w:bCs/>
                <w:color w:val="FF0000"/>
                <w:sz w:val="24"/>
                <w:szCs w:val="24"/>
                <w:highlight w:val="none"/>
                <w:lang w:eastAsia="zh-CN"/>
              </w:rPr>
              <w:t>（</w:t>
            </w:r>
            <w:r>
              <w:rPr>
                <w:rFonts w:hint="eastAsia"/>
                <w:b/>
                <w:bCs/>
                <w:color w:val="FF0000"/>
                <w:sz w:val="24"/>
                <w:szCs w:val="24"/>
                <w:highlight w:val="none"/>
                <w:lang w:val="en-US" w:eastAsia="zh-CN"/>
              </w:rPr>
              <w:t>道路保洁</w:t>
            </w:r>
            <w:r>
              <w:rPr>
                <w:rFonts w:hint="eastAsia"/>
                <w:b/>
                <w:bCs/>
                <w:color w:val="FF0000"/>
                <w:sz w:val="24"/>
                <w:szCs w:val="24"/>
                <w:highlight w:val="none"/>
                <w:lang w:eastAsia="zh-CN"/>
              </w:rPr>
              <w:t>）</w:t>
            </w:r>
          </w:p>
        </w:tc>
        <w:tc>
          <w:tcPr>
            <w:tcW w:w="5626" w:type="dxa"/>
            <w:gridSpan w:val="6"/>
            <w:noWrap/>
            <w:vAlign w:val="center"/>
          </w:tcPr>
          <w:p>
            <w:pPr>
              <w:pStyle w:val="15"/>
              <w:spacing w:line="360" w:lineRule="auto"/>
              <w:jc w:val="both"/>
              <w:rPr>
                <w:rFonts w:hint="eastAsia" w:ascii="宋体" w:hAnsi="宋体" w:cs="宋体"/>
                <w:b/>
                <w:bCs/>
                <w:color w:val="FF0000"/>
                <w:kern w:val="0"/>
                <w:sz w:val="24"/>
                <w:highlight w:val="none"/>
                <w:lang w:val="en-US" w:eastAsia="zh-CN"/>
              </w:rPr>
            </w:pPr>
            <w:r>
              <w:rPr>
                <w:rFonts w:hint="eastAsia" w:ascii="宋体" w:hAnsi="宋体" w:cs="宋体"/>
                <w:b/>
                <w:bCs/>
                <w:color w:val="FF0000"/>
                <w:kern w:val="0"/>
                <w:sz w:val="24"/>
                <w:highlight w:val="none"/>
                <w:u w:val="single"/>
                <w:lang w:val="en-US" w:eastAsia="zh-CN"/>
              </w:rPr>
              <w:t xml:space="preserve">=                </w:t>
            </w:r>
            <w:r>
              <w:rPr>
                <w:rFonts w:hint="eastAsia" w:ascii="宋体" w:hAnsi="宋体" w:cs="宋体"/>
                <w:b/>
                <w:bCs/>
                <w:color w:val="FF0000"/>
                <w:kern w:val="0"/>
                <w:sz w:val="24"/>
                <w:highlight w:val="none"/>
                <w:lang w:val="en-US" w:eastAsia="zh-CN"/>
              </w:rPr>
              <w:t>元；</w:t>
            </w:r>
          </w:p>
          <w:p>
            <w:pPr>
              <w:rPr>
                <w:rFonts w:hint="eastAsia" w:ascii="宋体" w:hAnsi="宋体" w:cs="宋体"/>
                <w:b/>
                <w:bCs/>
                <w:color w:val="FF0000"/>
                <w:kern w:val="0"/>
                <w:sz w:val="24"/>
                <w:highlight w:val="none"/>
                <w:lang w:val="en-US" w:eastAsia="zh-CN"/>
              </w:rPr>
            </w:pPr>
            <w:r>
              <w:rPr>
                <w:rFonts w:hint="eastAsia" w:ascii="宋体" w:hAnsi="宋体" w:cs="宋体"/>
                <w:b/>
                <w:bCs/>
                <w:color w:val="FF0000"/>
                <w:kern w:val="0"/>
                <w:sz w:val="24"/>
                <w:highlight w:val="none"/>
                <w:lang w:val="en-US" w:eastAsia="zh-CN"/>
              </w:rPr>
              <w:t>（注：</w:t>
            </w:r>
            <w:r>
              <w:rPr>
                <w:rFonts w:hint="eastAsia"/>
                <w:b/>
                <w:bCs/>
                <w:color w:val="FF0000"/>
                <w:sz w:val="24"/>
                <w:szCs w:val="24"/>
                <w:highlight w:val="none"/>
                <w:lang w:eastAsia="zh-CN"/>
              </w:rPr>
              <w:t>每年每平方米</w:t>
            </w:r>
            <w:r>
              <w:rPr>
                <w:rFonts w:hint="eastAsia" w:ascii="宋体" w:hAnsi="宋体" w:cs="宋体"/>
                <w:b/>
                <w:bCs/>
                <w:color w:val="FF0000"/>
                <w:kern w:val="0"/>
                <w:sz w:val="24"/>
                <w:highlight w:val="none"/>
                <w:lang w:val="en-US" w:eastAsia="zh-CN"/>
              </w:rPr>
              <w:t>综合单价=合计金额/保洁面积，计算时</w:t>
            </w:r>
            <w:r>
              <w:rPr>
                <w:rFonts w:hint="eastAsia" w:ascii="宋体" w:hAnsi="宋体" w:eastAsia="宋体" w:cs="宋体"/>
                <w:b/>
                <w:bCs/>
                <w:color w:val="FF0000"/>
                <w:kern w:val="0"/>
                <w:sz w:val="24"/>
                <w:highlight w:val="none"/>
                <w:lang w:val="en-US" w:eastAsia="zh-CN"/>
              </w:rPr>
              <w:t>四舍五入精确到元）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jc w:val="center"/>
        </w:trPr>
        <w:tc>
          <w:tcPr>
            <w:tcW w:w="2611" w:type="dxa"/>
            <w:gridSpan w:val="2"/>
            <w:noWrap/>
            <w:vAlign w:val="center"/>
          </w:tcPr>
          <w:p>
            <w:pPr>
              <w:pStyle w:val="15"/>
              <w:spacing w:line="360" w:lineRule="auto"/>
              <w:jc w:val="center"/>
              <w:rPr>
                <w:rFonts w:hint="eastAsia" w:ascii="宋体" w:eastAsia="宋体"/>
                <w:b/>
                <w:bCs/>
                <w:color w:val="FF0000"/>
                <w:sz w:val="24"/>
                <w:szCs w:val="24"/>
                <w:highlight w:val="none"/>
                <w:lang w:eastAsia="zh-CN"/>
              </w:rPr>
            </w:pPr>
            <w:r>
              <w:rPr>
                <w:rFonts w:hint="eastAsia"/>
                <w:b/>
                <w:bCs/>
                <w:color w:val="FF0000"/>
                <w:sz w:val="24"/>
                <w:szCs w:val="24"/>
                <w:highlight w:val="none"/>
                <w:lang w:eastAsia="zh-CN"/>
              </w:rPr>
              <w:t>每年每平</w:t>
            </w:r>
            <w:r>
              <w:rPr>
                <w:rFonts w:hint="eastAsia" w:ascii="宋体" w:eastAsia="宋体"/>
                <w:b/>
                <w:bCs/>
                <w:color w:val="FF0000"/>
                <w:sz w:val="24"/>
                <w:szCs w:val="24"/>
                <w:highlight w:val="none"/>
                <w:lang w:eastAsia="zh-CN"/>
              </w:rPr>
              <w:t>方米</w:t>
            </w:r>
          </w:p>
          <w:p>
            <w:pPr>
              <w:pStyle w:val="15"/>
              <w:spacing w:line="360" w:lineRule="auto"/>
              <w:jc w:val="center"/>
              <w:rPr>
                <w:rFonts w:hint="eastAsia" w:ascii="宋体" w:eastAsia="宋体"/>
                <w:b/>
                <w:bCs/>
                <w:color w:val="FF0000"/>
                <w:sz w:val="24"/>
                <w:szCs w:val="24"/>
                <w:highlight w:val="none"/>
                <w:lang w:eastAsia="zh-CN"/>
              </w:rPr>
            </w:pPr>
            <w:r>
              <w:rPr>
                <w:rFonts w:hint="eastAsia" w:ascii="宋体" w:eastAsia="宋体"/>
                <w:b/>
                <w:bCs/>
                <w:color w:val="FF0000"/>
                <w:sz w:val="24"/>
                <w:szCs w:val="24"/>
                <w:highlight w:val="none"/>
                <w:lang w:eastAsia="zh-CN"/>
              </w:rPr>
              <w:t>综合单价</w:t>
            </w:r>
            <w:r>
              <w:rPr>
                <w:rFonts w:hint="eastAsia"/>
                <w:b/>
                <w:bCs/>
                <w:color w:val="FF0000"/>
                <w:sz w:val="24"/>
                <w:szCs w:val="24"/>
                <w:highlight w:val="none"/>
                <w:lang w:eastAsia="zh-CN"/>
              </w:rPr>
              <w:t>（</w:t>
            </w:r>
            <w:r>
              <w:rPr>
                <w:rFonts w:hint="eastAsia"/>
                <w:b/>
                <w:bCs/>
                <w:color w:val="FF0000"/>
                <w:sz w:val="24"/>
                <w:szCs w:val="24"/>
                <w:highlight w:val="none"/>
                <w:lang w:val="en-US" w:eastAsia="zh-CN"/>
              </w:rPr>
              <w:t>绿化带保洁</w:t>
            </w:r>
            <w:r>
              <w:rPr>
                <w:rFonts w:hint="eastAsia"/>
                <w:b/>
                <w:bCs/>
                <w:color w:val="FF0000"/>
                <w:sz w:val="24"/>
                <w:szCs w:val="24"/>
                <w:highlight w:val="none"/>
                <w:lang w:eastAsia="zh-CN"/>
              </w:rPr>
              <w:t>）</w:t>
            </w:r>
          </w:p>
        </w:tc>
        <w:tc>
          <w:tcPr>
            <w:tcW w:w="5626" w:type="dxa"/>
            <w:gridSpan w:val="6"/>
            <w:noWrap/>
            <w:vAlign w:val="center"/>
          </w:tcPr>
          <w:p>
            <w:pPr>
              <w:pStyle w:val="15"/>
              <w:spacing w:line="360" w:lineRule="auto"/>
              <w:jc w:val="both"/>
              <w:rPr>
                <w:rFonts w:hint="eastAsia" w:ascii="宋体" w:hAnsi="宋体" w:cs="宋体"/>
                <w:b/>
                <w:bCs/>
                <w:color w:val="FF0000"/>
                <w:kern w:val="0"/>
                <w:sz w:val="24"/>
                <w:highlight w:val="none"/>
                <w:lang w:val="en-US" w:eastAsia="zh-CN"/>
              </w:rPr>
            </w:pPr>
            <w:r>
              <w:rPr>
                <w:rFonts w:hint="eastAsia" w:ascii="宋体" w:hAnsi="宋体" w:cs="宋体"/>
                <w:b/>
                <w:bCs/>
                <w:color w:val="FF0000"/>
                <w:kern w:val="0"/>
                <w:sz w:val="24"/>
                <w:highlight w:val="none"/>
                <w:u w:val="single"/>
                <w:lang w:val="en-US" w:eastAsia="zh-CN"/>
              </w:rPr>
              <w:t xml:space="preserve">=                </w:t>
            </w:r>
            <w:r>
              <w:rPr>
                <w:rFonts w:hint="eastAsia" w:ascii="宋体" w:hAnsi="宋体" w:cs="宋体"/>
                <w:b/>
                <w:bCs/>
                <w:color w:val="FF0000"/>
                <w:kern w:val="0"/>
                <w:sz w:val="24"/>
                <w:highlight w:val="none"/>
                <w:lang w:val="en-US" w:eastAsia="zh-CN"/>
              </w:rPr>
              <w:t>元；</w:t>
            </w:r>
          </w:p>
          <w:p>
            <w:pPr>
              <w:rPr>
                <w:rFonts w:hint="eastAsia" w:ascii="宋体" w:hAnsi="宋体" w:cs="宋体"/>
                <w:b/>
                <w:bCs/>
                <w:color w:val="FF0000"/>
                <w:kern w:val="0"/>
                <w:sz w:val="24"/>
                <w:highlight w:val="none"/>
                <w:lang w:val="en-US" w:eastAsia="zh-CN"/>
              </w:rPr>
            </w:pPr>
            <w:r>
              <w:rPr>
                <w:rFonts w:hint="eastAsia" w:ascii="宋体" w:hAnsi="宋体" w:cs="宋体"/>
                <w:b/>
                <w:bCs/>
                <w:color w:val="FF0000"/>
                <w:kern w:val="0"/>
                <w:sz w:val="24"/>
                <w:highlight w:val="none"/>
                <w:lang w:val="en-US" w:eastAsia="zh-CN"/>
              </w:rPr>
              <w:t>（注：</w:t>
            </w:r>
            <w:r>
              <w:rPr>
                <w:rFonts w:hint="eastAsia"/>
                <w:b/>
                <w:bCs/>
                <w:color w:val="FF0000"/>
                <w:sz w:val="24"/>
                <w:szCs w:val="24"/>
                <w:highlight w:val="none"/>
                <w:lang w:eastAsia="zh-CN"/>
              </w:rPr>
              <w:t>每年每平方米</w:t>
            </w:r>
            <w:r>
              <w:rPr>
                <w:rFonts w:hint="eastAsia" w:ascii="宋体" w:hAnsi="宋体" w:cs="宋体"/>
                <w:b/>
                <w:bCs/>
                <w:color w:val="FF0000"/>
                <w:kern w:val="0"/>
                <w:sz w:val="24"/>
                <w:highlight w:val="none"/>
                <w:lang w:val="en-US" w:eastAsia="zh-CN"/>
              </w:rPr>
              <w:t>综合单价=合计金额/保洁面积，计算时</w:t>
            </w:r>
            <w:r>
              <w:rPr>
                <w:rFonts w:hint="eastAsia" w:ascii="宋体" w:hAnsi="宋体" w:eastAsia="宋体" w:cs="宋体"/>
                <w:b/>
                <w:bCs/>
                <w:color w:val="FF0000"/>
                <w:kern w:val="0"/>
                <w:sz w:val="24"/>
                <w:highlight w:val="none"/>
                <w:lang w:val="en-US" w:eastAsia="zh-CN"/>
              </w:rPr>
              <w:t>四舍五入精确到元）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3" w:hRule="atLeast"/>
          <w:jc w:val="center"/>
        </w:trPr>
        <w:tc>
          <w:tcPr>
            <w:tcW w:w="8237" w:type="dxa"/>
            <w:gridSpan w:val="8"/>
            <w:noWrap/>
            <w:vAlign w:val="center"/>
          </w:tcPr>
          <w:p>
            <w:pPr>
              <w:spacing w:line="360" w:lineRule="auto"/>
              <w:ind w:firstLine="480" w:firstLineChars="200"/>
              <w:rPr>
                <w:rFonts w:hint="eastAsia" w:hAnsi="宋体" w:cs="宋体"/>
                <w:color w:val="FF0000"/>
                <w:kern w:val="0"/>
                <w:sz w:val="24"/>
                <w:highlight w:val="none"/>
              </w:rPr>
            </w:pPr>
            <w:r>
              <w:rPr>
                <w:rFonts w:hint="eastAsia" w:hAnsi="宋体" w:cs="宋体"/>
                <w:color w:val="FF0000"/>
                <w:kern w:val="0"/>
                <w:sz w:val="24"/>
                <w:highlight w:val="none"/>
              </w:rPr>
              <w:t>投标</w:t>
            </w:r>
            <w:r>
              <w:rPr>
                <w:rFonts w:hint="eastAsia" w:hAnsi="宋体" w:cs="宋体"/>
                <w:color w:val="FF0000"/>
                <w:kern w:val="0"/>
                <w:sz w:val="24"/>
                <w:highlight w:val="none"/>
                <w:lang w:val="en-US" w:eastAsia="zh-CN"/>
              </w:rPr>
              <w:t>综合单</w:t>
            </w:r>
            <w:r>
              <w:rPr>
                <w:rFonts w:hint="eastAsia" w:hAnsi="宋体" w:cs="宋体"/>
                <w:color w:val="FF0000"/>
                <w:kern w:val="0"/>
                <w:sz w:val="24"/>
                <w:highlight w:val="none"/>
              </w:rPr>
              <w:t>价统一为人民币计价，</w:t>
            </w:r>
            <w:r>
              <w:rPr>
                <w:rFonts w:hint="eastAsia"/>
                <w:b/>
                <w:color w:val="FF0000"/>
                <w:sz w:val="24"/>
                <w:highlight w:val="none"/>
              </w:rPr>
              <w:t>应</w:t>
            </w:r>
            <w:r>
              <w:rPr>
                <w:b/>
                <w:color w:val="FF0000"/>
                <w:sz w:val="24"/>
                <w:highlight w:val="none"/>
              </w:rPr>
              <w:t>包括</w:t>
            </w:r>
            <w:r>
              <w:rPr>
                <w:rFonts w:hint="eastAsia"/>
                <w:b/>
                <w:color w:val="FF0000"/>
                <w:sz w:val="24"/>
                <w:highlight w:val="none"/>
              </w:rPr>
              <w:t>但不限于完成本项目服务可能发生的全部费用包括</w:t>
            </w:r>
            <w:r>
              <w:rPr>
                <w:rFonts w:hint="eastAsia" w:hAnsi="宋体" w:cs="宋体"/>
                <w:b/>
                <w:bCs/>
                <w:color w:val="FF0000"/>
                <w:sz w:val="24"/>
                <w:highlight w:val="none"/>
              </w:rPr>
              <w:t>保洁、管理人员的意外保险、</w:t>
            </w:r>
            <w:r>
              <w:rPr>
                <w:rFonts w:hint="eastAsia"/>
                <w:b/>
                <w:color w:val="FF0000"/>
                <w:sz w:val="24"/>
                <w:highlight w:val="none"/>
              </w:rPr>
              <w:t>工资福利、社保、服装费、办公用品、劳动用品、工器具、管理费、税费、垃圾清扫清运设备费用、运输费用、燃油、保养维修、垃圾处置及清运费用及不可预见费等所有费用</w:t>
            </w:r>
            <w:r>
              <w:rPr>
                <w:rFonts w:hint="eastAsia" w:hAnsi="宋体" w:cs="宋体"/>
                <w:color w:val="FF0000"/>
                <w:kern w:val="0"/>
                <w:sz w:val="24"/>
                <w:highlight w:val="none"/>
              </w:rPr>
              <w:t>。</w:t>
            </w:r>
          </w:p>
        </w:tc>
      </w:tr>
    </w:tbl>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注：表格不够可自行拓展。</w:t>
      </w:r>
    </w:p>
    <w:p>
      <w:pPr>
        <w:pStyle w:val="15"/>
        <w:spacing w:line="360" w:lineRule="auto"/>
        <w:rPr>
          <w:rFonts w:hAnsi="宋体" w:cs="宋体"/>
          <w:color w:val="auto"/>
          <w:sz w:val="24"/>
          <w:highlight w:val="none"/>
        </w:rPr>
      </w:pPr>
    </w:p>
    <w:p>
      <w:pPr>
        <w:pStyle w:val="15"/>
        <w:spacing w:line="420" w:lineRule="auto"/>
        <w:rPr>
          <w:rFonts w:hAnsi="宋体" w:cs="宋体"/>
          <w:color w:val="auto"/>
          <w:sz w:val="24"/>
          <w:highlight w:val="none"/>
        </w:rPr>
      </w:pPr>
      <w:r>
        <w:rPr>
          <w:rFonts w:hint="eastAsia" w:hAnsi="宋体" w:cs="宋体"/>
          <w:color w:val="auto"/>
          <w:sz w:val="24"/>
          <w:highlight w:val="none"/>
        </w:rPr>
        <w:t xml:space="preserve">                                  投标人全称（盖章）：</w:t>
      </w:r>
    </w:p>
    <w:p>
      <w:pPr>
        <w:pStyle w:val="15"/>
        <w:spacing w:line="420" w:lineRule="auto"/>
        <w:rPr>
          <w:rFonts w:hAnsi="宋体" w:cs="宋体"/>
          <w:color w:val="auto"/>
          <w:sz w:val="24"/>
          <w:highlight w:val="none"/>
        </w:rPr>
      </w:pPr>
      <w:r>
        <w:rPr>
          <w:rFonts w:hint="eastAsia" w:hAnsi="宋体" w:cs="宋体"/>
          <w:color w:val="auto"/>
          <w:sz w:val="24"/>
          <w:highlight w:val="none"/>
        </w:rPr>
        <w:t xml:space="preserve">                                  法定代表人或授权委托人（签字或盖章）：</w:t>
      </w:r>
    </w:p>
    <w:p>
      <w:pPr>
        <w:spacing w:line="420" w:lineRule="auto"/>
        <w:ind w:firstLine="4080" w:firstLineChars="1700"/>
        <w:rPr>
          <w:rFonts w:ascii="宋体" w:hAnsi="宋体" w:cs="宋体"/>
          <w:color w:val="auto"/>
          <w:sz w:val="36"/>
          <w:highlight w:val="none"/>
        </w:rPr>
      </w:pPr>
      <w:r>
        <w:rPr>
          <w:rFonts w:hint="eastAsia" w:ascii="宋体" w:hAnsi="宋体" w:cs="宋体"/>
          <w:color w:val="auto"/>
          <w:sz w:val="24"/>
          <w:highlight w:val="none"/>
        </w:rPr>
        <w:t>日   期：</w:t>
      </w:r>
    </w:p>
    <w:p>
      <w:pPr>
        <w:spacing w:line="360" w:lineRule="auto"/>
        <w:jc w:val="center"/>
        <w:rPr>
          <w:rFonts w:hint="eastAsia" w:ascii="宋体" w:hAnsi="宋体" w:cs="宋体"/>
          <w:b/>
          <w:bCs/>
          <w:color w:val="auto"/>
          <w:sz w:val="32"/>
          <w:szCs w:val="32"/>
          <w:highlight w:val="none"/>
        </w:rPr>
      </w:pPr>
    </w:p>
    <w:p>
      <w:pPr>
        <w:spacing w:line="360" w:lineRule="auto"/>
        <w:jc w:val="center"/>
        <w:rPr>
          <w:rFonts w:hint="eastAsia" w:ascii="宋体" w:hAnsi="宋体" w:cs="宋体"/>
          <w:b/>
          <w:bCs/>
          <w:color w:val="auto"/>
          <w:sz w:val="32"/>
          <w:szCs w:val="32"/>
          <w:highlight w:val="none"/>
        </w:rPr>
      </w:pPr>
    </w:p>
    <w:p>
      <w:pPr>
        <w:spacing w:line="360" w:lineRule="auto"/>
        <w:jc w:val="center"/>
        <w:rPr>
          <w:rFonts w:hint="eastAsia" w:ascii="宋体" w:hAnsi="宋体" w:cs="宋体"/>
          <w:b/>
          <w:bCs/>
          <w:color w:val="auto"/>
          <w:sz w:val="32"/>
          <w:szCs w:val="32"/>
          <w:highlight w:val="none"/>
        </w:rPr>
      </w:pPr>
    </w:p>
    <w:p>
      <w:pPr>
        <w:pStyle w:val="2"/>
      </w:pPr>
      <w:r>
        <w:rPr>
          <w:rFonts w:hint="eastAsia" w:hAnsi="宋体" w:cs="宋体"/>
          <w:bCs/>
          <w:color w:val="auto"/>
          <w:sz w:val="24"/>
          <w:szCs w:val="24"/>
          <w:highlight w:val="none"/>
          <w:lang w:val="zh-CN"/>
        </w:rPr>
        <w:t>附件</w:t>
      </w:r>
      <w:r>
        <w:rPr>
          <w:rFonts w:hint="eastAsia" w:hAnsi="宋体" w:cs="宋体"/>
          <w:bCs/>
          <w:color w:val="auto"/>
          <w:sz w:val="24"/>
          <w:szCs w:val="24"/>
          <w:highlight w:val="none"/>
        </w:rPr>
        <w:t>十：</w:t>
      </w:r>
    </w:p>
    <w:p>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每人工资标准投标报价明细表</w:t>
      </w:r>
    </w:p>
    <w:p>
      <w:pPr>
        <w:pStyle w:val="15"/>
        <w:spacing w:line="288" w:lineRule="auto"/>
        <w:jc w:val="center"/>
        <w:rPr>
          <w:rFonts w:hAnsi="宋体" w:cs="宋体"/>
          <w:color w:val="auto"/>
          <w:sz w:val="24"/>
          <w:szCs w:val="24"/>
          <w:highlight w:val="none"/>
        </w:rPr>
      </w:pPr>
      <w:r>
        <w:rPr>
          <w:rFonts w:hint="eastAsia" w:hAnsi="宋体" w:cs="宋体"/>
          <w:color w:val="auto"/>
          <w:sz w:val="24"/>
          <w:szCs w:val="24"/>
          <w:highlight w:val="none"/>
        </w:rPr>
        <w:t>人员工资费用：包括基本工资、加班工资、节假日工资、福利、高温、社保、公积金等费用组成。</w:t>
      </w:r>
    </w:p>
    <w:p>
      <w:pPr>
        <w:pStyle w:val="15"/>
        <w:spacing w:line="288" w:lineRule="auto"/>
        <w:jc w:val="left"/>
        <w:rPr>
          <w:rFonts w:hAnsi="宋体" w:cs="宋体"/>
          <w:color w:val="auto"/>
          <w:sz w:val="24"/>
          <w:szCs w:val="24"/>
          <w:highlight w:val="none"/>
        </w:rPr>
      </w:pPr>
      <w:r>
        <w:rPr>
          <w:rFonts w:hint="eastAsia" w:hAnsi="宋体" w:cs="宋体"/>
          <w:color w:val="auto"/>
          <w:sz w:val="24"/>
          <w:szCs w:val="24"/>
          <w:highlight w:val="none"/>
        </w:rPr>
        <w:t>项目名称：</w:t>
      </w:r>
    </w:p>
    <w:p>
      <w:pPr>
        <w:pStyle w:val="15"/>
        <w:spacing w:line="288" w:lineRule="auto"/>
        <w:jc w:val="left"/>
        <w:rPr>
          <w:rFonts w:hAnsi="宋体" w:cs="宋体"/>
          <w:color w:val="auto"/>
          <w:sz w:val="24"/>
          <w:szCs w:val="24"/>
          <w:highlight w:val="none"/>
        </w:rPr>
      </w:pPr>
      <w:r>
        <w:rPr>
          <w:rFonts w:hint="eastAsia" w:hAnsi="宋体" w:cs="宋体"/>
          <w:color w:val="auto"/>
          <w:sz w:val="24"/>
          <w:szCs w:val="24"/>
          <w:highlight w:val="none"/>
        </w:rPr>
        <w:t>采购编号：</w:t>
      </w:r>
    </w:p>
    <w:tbl>
      <w:tblPr>
        <w:tblStyle w:val="30"/>
        <w:tblW w:w="8374" w:type="dxa"/>
        <w:jc w:val="center"/>
        <w:tblLayout w:type="fixed"/>
        <w:tblCellMar>
          <w:top w:w="0" w:type="dxa"/>
          <w:left w:w="108" w:type="dxa"/>
          <w:bottom w:w="0" w:type="dxa"/>
          <w:right w:w="108" w:type="dxa"/>
        </w:tblCellMar>
      </w:tblPr>
      <w:tblGrid>
        <w:gridCol w:w="541"/>
        <w:gridCol w:w="631"/>
        <w:gridCol w:w="934"/>
        <w:gridCol w:w="593"/>
        <w:gridCol w:w="616"/>
        <w:gridCol w:w="672"/>
        <w:gridCol w:w="541"/>
        <w:gridCol w:w="758"/>
        <w:gridCol w:w="1751"/>
        <w:gridCol w:w="1337"/>
      </w:tblGrid>
      <w:tr>
        <w:tblPrEx>
          <w:tblCellMar>
            <w:top w:w="0" w:type="dxa"/>
            <w:left w:w="108" w:type="dxa"/>
            <w:bottom w:w="0" w:type="dxa"/>
            <w:right w:w="108" w:type="dxa"/>
          </w:tblCellMar>
        </w:tblPrEx>
        <w:trPr>
          <w:trHeight w:val="1473" w:hRule="atLeast"/>
          <w:jc w:val="center"/>
        </w:trPr>
        <w:tc>
          <w:tcPr>
            <w:tcW w:w="541" w:type="dxa"/>
            <w:tcBorders>
              <w:top w:val="single" w:color="auto" w:sz="4" w:space="0"/>
              <w:left w:val="single" w:color="auto" w:sz="4" w:space="0"/>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序号</w:t>
            </w:r>
          </w:p>
        </w:tc>
        <w:tc>
          <w:tcPr>
            <w:tcW w:w="631"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项目名称</w:t>
            </w:r>
          </w:p>
        </w:tc>
        <w:tc>
          <w:tcPr>
            <w:tcW w:w="934"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费用组成</w:t>
            </w:r>
          </w:p>
        </w:tc>
        <w:tc>
          <w:tcPr>
            <w:tcW w:w="593"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单位</w:t>
            </w:r>
          </w:p>
        </w:tc>
        <w:tc>
          <w:tcPr>
            <w:tcW w:w="616"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计薪天数</w:t>
            </w:r>
          </w:p>
        </w:tc>
        <w:tc>
          <w:tcPr>
            <w:tcW w:w="672"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单价</w:t>
            </w:r>
          </w:p>
        </w:tc>
        <w:tc>
          <w:tcPr>
            <w:tcW w:w="541"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月数</w:t>
            </w:r>
          </w:p>
        </w:tc>
        <w:tc>
          <w:tcPr>
            <w:tcW w:w="758"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金额</w:t>
            </w:r>
          </w:p>
        </w:tc>
        <w:tc>
          <w:tcPr>
            <w:tcW w:w="1751"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备注</w:t>
            </w:r>
          </w:p>
        </w:tc>
        <w:tc>
          <w:tcPr>
            <w:tcW w:w="1337"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政策依据</w:t>
            </w:r>
          </w:p>
        </w:tc>
      </w:tr>
      <w:tr>
        <w:tblPrEx>
          <w:tblCellMar>
            <w:top w:w="0" w:type="dxa"/>
            <w:left w:w="108" w:type="dxa"/>
            <w:bottom w:w="0" w:type="dxa"/>
            <w:right w:w="108" w:type="dxa"/>
          </w:tblCellMar>
        </w:tblPrEx>
        <w:trPr>
          <w:trHeight w:val="4034" w:hRule="atLeast"/>
          <w:jc w:val="center"/>
        </w:trPr>
        <w:tc>
          <w:tcPr>
            <w:tcW w:w="541" w:type="dxa"/>
            <w:vMerge w:val="restart"/>
            <w:tcBorders>
              <w:top w:val="single" w:color="auto" w:sz="4" w:space="0"/>
              <w:left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一</w:t>
            </w:r>
          </w:p>
        </w:tc>
        <w:tc>
          <w:tcPr>
            <w:tcW w:w="631" w:type="dxa"/>
            <w:vMerge w:val="restart"/>
            <w:tcBorders>
              <w:top w:val="single" w:color="auto" w:sz="4" w:space="0"/>
              <w:left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工资</w:t>
            </w:r>
          </w:p>
        </w:tc>
        <w:tc>
          <w:tcPr>
            <w:tcW w:w="934"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基本工资</w:t>
            </w:r>
          </w:p>
        </w:tc>
        <w:tc>
          <w:tcPr>
            <w:tcW w:w="593"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月</w:t>
            </w:r>
          </w:p>
        </w:tc>
        <w:tc>
          <w:tcPr>
            <w:tcW w:w="616"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1</w:t>
            </w:r>
          </w:p>
        </w:tc>
        <w:tc>
          <w:tcPr>
            <w:tcW w:w="672"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p>
        </w:tc>
        <w:tc>
          <w:tcPr>
            <w:tcW w:w="541"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12</w:t>
            </w:r>
          </w:p>
        </w:tc>
        <w:tc>
          <w:tcPr>
            <w:tcW w:w="758"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p>
        </w:tc>
        <w:tc>
          <w:tcPr>
            <w:tcW w:w="1751"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p>
        </w:tc>
        <w:tc>
          <w:tcPr>
            <w:tcW w:w="1337"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结合本项目具体情况，要求本次员工基本工资最低不得低于绍兴市本年度最低工资标准（绍政发[2021]21号）2070元/月</w:t>
            </w:r>
          </w:p>
        </w:tc>
      </w:tr>
      <w:tr>
        <w:tblPrEx>
          <w:tblCellMar>
            <w:top w:w="0" w:type="dxa"/>
            <w:left w:w="108" w:type="dxa"/>
            <w:bottom w:w="0" w:type="dxa"/>
            <w:right w:w="108" w:type="dxa"/>
          </w:tblCellMar>
        </w:tblPrEx>
        <w:trPr>
          <w:trHeight w:val="2570" w:hRule="atLeast"/>
          <w:jc w:val="center"/>
        </w:trPr>
        <w:tc>
          <w:tcPr>
            <w:tcW w:w="541" w:type="dxa"/>
            <w:vMerge w:val="continue"/>
            <w:tcBorders>
              <w:left w:val="single" w:color="auto" w:sz="4" w:space="0"/>
              <w:right w:val="single" w:color="auto" w:sz="4" w:space="0"/>
            </w:tcBorders>
            <w:vAlign w:val="center"/>
          </w:tcPr>
          <w:p>
            <w:pPr>
              <w:pStyle w:val="15"/>
              <w:spacing w:line="288" w:lineRule="auto"/>
              <w:jc w:val="center"/>
              <w:rPr>
                <w:rFonts w:hAnsi="宋体"/>
                <w:color w:val="auto"/>
                <w:highlight w:val="none"/>
              </w:rPr>
            </w:pPr>
          </w:p>
        </w:tc>
        <w:tc>
          <w:tcPr>
            <w:tcW w:w="631" w:type="dxa"/>
            <w:vMerge w:val="continue"/>
            <w:tcBorders>
              <w:left w:val="single" w:color="auto" w:sz="4" w:space="0"/>
              <w:right w:val="single" w:color="auto" w:sz="4" w:space="0"/>
            </w:tcBorders>
            <w:vAlign w:val="center"/>
          </w:tcPr>
          <w:p>
            <w:pPr>
              <w:pStyle w:val="15"/>
              <w:spacing w:line="288" w:lineRule="auto"/>
              <w:jc w:val="center"/>
              <w:rPr>
                <w:rFonts w:hAnsi="宋体"/>
                <w:color w:val="auto"/>
                <w:highlight w:val="none"/>
              </w:rPr>
            </w:pPr>
          </w:p>
        </w:tc>
        <w:tc>
          <w:tcPr>
            <w:tcW w:w="934"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法定节假日</w:t>
            </w:r>
          </w:p>
        </w:tc>
        <w:tc>
          <w:tcPr>
            <w:tcW w:w="593"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天/年</w:t>
            </w:r>
          </w:p>
        </w:tc>
        <w:tc>
          <w:tcPr>
            <w:tcW w:w="616"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11</w:t>
            </w:r>
          </w:p>
        </w:tc>
        <w:tc>
          <w:tcPr>
            <w:tcW w:w="672"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p>
        </w:tc>
        <w:tc>
          <w:tcPr>
            <w:tcW w:w="541"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w:t>
            </w:r>
          </w:p>
        </w:tc>
        <w:tc>
          <w:tcPr>
            <w:tcW w:w="758"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p>
        </w:tc>
        <w:tc>
          <w:tcPr>
            <w:tcW w:w="1751"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每一名工作员工一年法定节假日补贴费用：每人每月最低工资标准×12个月÷250天（法定工作日）×3倍×11天</w:t>
            </w:r>
          </w:p>
        </w:tc>
        <w:tc>
          <w:tcPr>
            <w:tcW w:w="1337"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《劳动法》第44条第（三）款规定）</w:t>
            </w:r>
          </w:p>
        </w:tc>
      </w:tr>
      <w:tr>
        <w:tblPrEx>
          <w:tblCellMar>
            <w:top w:w="0" w:type="dxa"/>
            <w:left w:w="108" w:type="dxa"/>
            <w:bottom w:w="0" w:type="dxa"/>
            <w:right w:w="108" w:type="dxa"/>
          </w:tblCellMar>
        </w:tblPrEx>
        <w:trPr>
          <w:trHeight w:val="4766" w:hRule="atLeast"/>
          <w:jc w:val="center"/>
        </w:trPr>
        <w:tc>
          <w:tcPr>
            <w:tcW w:w="541" w:type="dxa"/>
            <w:vMerge w:val="continue"/>
            <w:tcBorders>
              <w:left w:val="single" w:color="auto" w:sz="4" w:space="0"/>
              <w:right w:val="single" w:color="auto" w:sz="4" w:space="0"/>
            </w:tcBorders>
            <w:vAlign w:val="center"/>
          </w:tcPr>
          <w:p>
            <w:pPr>
              <w:pStyle w:val="15"/>
              <w:spacing w:line="288" w:lineRule="auto"/>
              <w:jc w:val="center"/>
              <w:rPr>
                <w:rFonts w:hAnsi="宋体"/>
                <w:color w:val="auto"/>
                <w:highlight w:val="none"/>
              </w:rPr>
            </w:pPr>
          </w:p>
        </w:tc>
        <w:tc>
          <w:tcPr>
            <w:tcW w:w="631" w:type="dxa"/>
            <w:vMerge w:val="continue"/>
            <w:tcBorders>
              <w:left w:val="single" w:color="auto" w:sz="4" w:space="0"/>
              <w:right w:val="single" w:color="auto" w:sz="4" w:space="0"/>
            </w:tcBorders>
            <w:vAlign w:val="center"/>
          </w:tcPr>
          <w:p>
            <w:pPr>
              <w:pStyle w:val="15"/>
              <w:spacing w:line="288" w:lineRule="auto"/>
              <w:jc w:val="center"/>
              <w:rPr>
                <w:rFonts w:hAnsi="宋体"/>
                <w:color w:val="auto"/>
                <w:highlight w:val="none"/>
              </w:rPr>
            </w:pPr>
          </w:p>
        </w:tc>
        <w:tc>
          <w:tcPr>
            <w:tcW w:w="934"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双休日加班费</w:t>
            </w:r>
          </w:p>
        </w:tc>
        <w:tc>
          <w:tcPr>
            <w:tcW w:w="593"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天/年</w:t>
            </w:r>
          </w:p>
        </w:tc>
        <w:tc>
          <w:tcPr>
            <w:tcW w:w="616"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104</w:t>
            </w:r>
          </w:p>
        </w:tc>
        <w:tc>
          <w:tcPr>
            <w:tcW w:w="672"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p>
        </w:tc>
        <w:tc>
          <w:tcPr>
            <w:tcW w:w="541"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w:t>
            </w:r>
          </w:p>
        </w:tc>
        <w:tc>
          <w:tcPr>
            <w:tcW w:w="758"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p>
        </w:tc>
        <w:tc>
          <w:tcPr>
            <w:tcW w:w="1751"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每一名工作员工一年休息日加班费用：每人每月最低工资标准×12个月÷250天（法定工作日）×2倍×104天</w:t>
            </w:r>
          </w:p>
        </w:tc>
        <w:tc>
          <w:tcPr>
            <w:tcW w:w="1337"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《劳动法》第44条第（三）款规定）工作人员做五休一，其中每周需有二天休息日加班，按年度104天计取，不得低于最低发放工资标准的两倍发放加班费。</w:t>
            </w:r>
          </w:p>
        </w:tc>
      </w:tr>
      <w:tr>
        <w:tblPrEx>
          <w:tblCellMar>
            <w:top w:w="0" w:type="dxa"/>
            <w:left w:w="108" w:type="dxa"/>
            <w:bottom w:w="0" w:type="dxa"/>
            <w:right w:w="108" w:type="dxa"/>
          </w:tblCellMar>
        </w:tblPrEx>
        <w:trPr>
          <w:trHeight w:val="496" w:hRule="atLeast"/>
          <w:jc w:val="center"/>
        </w:trPr>
        <w:tc>
          <w:tcPr>
            <w:tcW w:w="541" w:type="dxa"/>
            <w:vMerge w:val="continue"/>
            <w:tcBorders>
              <w:left w:val="single" w:color="auto" w:sz="4" w:space="0"/>
              <w:bottom w:val="single" w:color="auto" w:sz="4" w:space="0"/>
              <w:right w:val="single" w:color="auto" w:sz="4" w:space="0"/>
            </w:tcBorders>
            <w:vAlign w:val="center"/>
          </w:tcPr>
          <w:p>
            <w:pPr>
              <w:pStyle w:val="15"/>
              <w:spacing w:line="288" w:lineRule="auto"/>
              <w:jc w:val="center"/>
              <w:rPr>
                <w:rFonts w:hAnsi="宋体"/>
                <w:color w:val="auto"/>
                <w:highlight w:val="none"/>
              </w:rPr>
            </w:pPr>
          </w:p>
        </w:tc>
        <w:tc>
          <w:tcPr>
            <w:tcW w:w="631" w:type="dxa"/>
            <w:vMerge w:val="continue"/>
            <w:tcBorders>
              <w:left w:val="single" w:color="auto" w:sz="4" w:space="0"/>
              <w:bottom w:val="single" w:color="auto" w:sz="4" w:space="0"/>
              <w:right w:val="single" w:color="auto" w:sz="4" w:space="0"/>
            </w:tcBorders>
            <w:vAlign w:val="center"/>
          </w:tcPr>
          <w:p>
            <w:pPr>
              <w:pStyle w:val="15"/>
              <w:spacing w:line="288" w:lineRule="auto"/>
              <w:jc w:val="center"/>
              <w:rPr>
                <w:rFonts w:hAnsi="宋体"/>
                <w:color w:val="auto"/>
                <w:highlight w:val="none"/>
              </w:rPr>
            </w:pPr>
          </w:p>
        </w:tc>
        <w:tc>
          <w:tcPr>
            <w:tcW w:w="3356" w:type="dxa"/>
            <w:gridSpan w:val="5"/>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合计</w:t>
            </w:r>
          </w:p>
        </w:tc>
        <w:tc>
          <w:tcPr>
            <w:tcW w:w="3846" w:type="dxa"/>
            <w:gridSpan w:val="3"/>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p>
        </w:tc>
      </w:tr>
      <w:tr>
        <w:tblPrEx>
          <w:tblCellMar>
            <w:top w:w="0" w:type="dxa"/>
            <w:left w:w="108" w:type="dxa"/>
            <w:bottom w:w="0" w:type="dxa"/>
            <w:right w:w="108" w:type="dxa"/>
          </w:tblCellMar>
        </w:tblPrEx>
        <w:trPr>
          <w:trHeight w:val="1839" w:hRule="atLeast"/>
          <w:jc w:val="center"/>
        </w:trPr>
        <w:tc>
          <w:tcPr>
            <w:tcW w:w="541" w:type="dxa"/>
            <w:vMerge w:val="restart"/>
            <w:tcBorders>
              <w:top w:val="single" w:color="auto" w:sz="4" w:space="0"/>
              <w:left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二</w:t>
            </w:r>
          </w:p>
        </w:tc>
        <w:tc>
          <w:tcPr>
            <w:tcW w:w="631" w:type="dxa"/>
            <w:vMerge w:val="restart"/>
            <w:tcBorders>
              <w:top w:val="single" w:color="auto" w:sz="4" w:space="0"/>
              <w:left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福利费</w:t>
            </w:r>
          </w:p>
        </w:tc>
        <w:tc>
          <w:tcPr>
            <w:tcW w:w="934"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夏季高温补贴</w:t>
            </w:r>
          </w:p>
        </w:tc>
        <w:tc>
          <w:tcPr>
            <w:tcW w:w="593"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月</w:t>
            </w:r>
          </w:p>
        </w:tc>
        <w:tc>
          <w:tcPr>
            <w:tcW w:w="616"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p>
        </w:tc>
        <w:tc>
          <w:tcPr>
            <w:tcW w:w="672"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p>
        </w:tc>
        <w:tc>
          <w:tcPr>
            <w:tcW w:w="541"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4</w:t>
            </w:r>
          </w:p>
        </w:tc>
        <w:tc>
          <w:tcPr>
            <w:tcW w:w="758"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p>
        </w:tc>
        <w:tc>
          <w:tcPr>
            <w:tcW w:w="1751"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规定高温费按300元/月发放，一年按4个月计发高温费，每人每年共1200元）</w:t>
            </w:r>
          </w:p>
        </w:tc>
        <w:tc>
          <w:tcPr>
            <w:tcW w:w="1337"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按照（2018年65号文件《高温津贴实施办法》</w:t>
            </w:r>
          </w:p>
        </w:tc>
      </w:tr>
      <w:tr>
        <w:tblPrEx>
          <w:tblCellMar>
            <w:top w:w="0" w:type="dxa"/>
            <w:left w:w="108" w:type="dxa"/>
            <w:bottom w:w="0" w:type="dxa"/>
            <w:right w:w="108" w:type="dxa"/>
          </w:tblCellMar>
        </w:tblPrEx>
        <w:trPr>
          <w:trHeight w:val="1108" w:hRule="atLeast"/>
          <w:jc w:val="center"/>
        </w:trPr>
        <w:tc>
          <w:tcPr>
            <w:tcW w:w="541" w:type="dxa"/>
            <w:vMerge w:val="continue"/>
            <w:tcBorders>
              <w:left w:val="single" w:color="auto" w:sz="4" w:space="0"/>
              <w:right w:val="single" w:color="auto" w:sz="4" w:space="0"/>
            </w:tcBorders>
            <w:vAlign w:val="center"/>
          </w:tcPr>
          <w:p>
            <w:pPr>
              <w:pStyle w:val="15"/>
              <w:spacing w:line="288" w:lineRule="auto"/>
              <w:jc w:val="center"/>
              <w:rPr>
                <w:rFonts w:hAnsi="宋体"/>
                <w:color w:val="auto"/>
                <w:highlight w:val="none"/>
              </w:rPr>
            </w:pPr>
          </w:p>
        </w:tc>
        <w:tc>
          <w:tcPr>
            <w:tcW w:w="631" w:type="dxa"/>
            <w:vMerge w:val="continue"/>
            <w:tcBorders>
              <w:left w:val="single" w:color="auto" w:sz="4" w:space="0"/>
              <w:right w:val="single" w:color="auto" w:sz="4" w:space="0"/>
            </w:tcBorders>
            <w:vAlign w:val="center"/>
          </w:tcPr>
          <w:p>
            <w:pPr>
              <w:pStyle w:val="15"/>
              <w:spacing w:line="288" w:lineRule="auto"/>
              <w:jc w:val="center"/>
              <w:rPr>
                <w:rFonts w:hAnsi="宋体"/>
                <w:color w:val="auto"/>
                <w:highlight w:val="none"/>
              </w:rPr>
            </w:pPr>
          </w:p>
        </w:tc>
        <w:tc>
          <w:tcPr>
            <w:tcW w:w="934"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节日福利费</w:t>
            </w:r>
          </w:p>
        </w:tc>
        <w:tc>
          <w:tcPr>
            <w:tcW w:w="593"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年</w:t>
            </w:r>
          </w:p>
        </w:tc>
        <w:tc>
          <w:tcPr>
            <w:tcW w:w="616"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p>
        </w:tc>
        <w:tc>
          <w:tcPr>
            <w:tcW w:w="672"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p>
        </w:tc>
        <w:tc>
          <w:tcPr>
            <w:tcW w:w="541"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w:t>
            </w:r>
          </w:p>
        </w:tc>
        <w:tc>
          <w:tcPr>
            <w:tcW w:w="758"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p>
        </w:tc>
        <w:tc>
          <w:tcPr>
            <w:tcW w:w="1751"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节假日福利按年度不低于1900元/人计取</w:t>
            </w:r>
          </w:p>
        </w:tc>
        <w:tc>
          <w:tcPr>
            <w:tcW w:w="1337"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p>
        </w:tc>
      </w:tr>
      <w:tr>
        <w:tblPrEx>
          <w:tblCellMar>
            <w:top w:w="0" w:type="dxa"/>
            <w:left w:w="108" w:type="dxa"/>
            <w:bottom w:w="0" w:type="dxa"/>
            <w:right w:w="108" w:type="dxa"/>
          </w:tblCellMar>
        </w:tblPrEx>
        <w:trPr>
          <w:trHeight w:val="2570" w:hRule="atLeast"/>
          <w:jc w:val="center"/>
        </w:trPr>
        <w:tc>
          <w:tcPr>
            <w:tcW w:w="541" w:type="dxa"/>
            <w:vMerge w:val="continue"/>
            <w:tcBorders>
              <w:left w:val="single" w:color="auto" w:sz="4" w:space="0"/>
              <w:right w:val="single" w:color="auto" w:sz="4" w:space="0"/>
            </w:tcBorders>
            <w:vAlign w:val="center"/>
          </w:tcPr>
          <w:p>
            <w:pPr>
              <w:pStyle w:val="15"/>
              <w:spacing w:line="288" w:lineRule="auto"/>
              <w:jc w:val="center"/>
              <w:rPr>
                <w:rFonts w:hAnsi="宋体"/>
                <w:color w:val="auto"/>
                <w:highlight w:val="none"/>
              </w:rPr>
            </w:pPr>
          </w:p>
        </w:tc>
        <w:tc>
          <w:tcPr>
            <w:tcW w:w="631" w:type="dxa"/>
            <w:vMerge w:val="continue"/>
            <w:tcBorders>
              <w:left w:val="single" w:color="auto" w:sz="4" w:space="0"/>
              <w:right w:val="single" w:color="auto" w:sz="4" w:space="0"/>
            </w:tcBorders>
            <w:vAlign w:val="center"/>
          </w:tcPr>
          <w:p>
            <w:pPr>
              <w:pStyle w:val="15"/>
              <w:spacing w:line="288" w:lineRule="auto"/>
              <w:jc w:val="center"/>
              <w:rPr>
                <w:rFonts w:hAnsi="宋体"/>
                <w:color w:val="auto"/>
                <w:highlight w:val="none"/>
              </w:rPr>
            </w:pPr>
          </w:p>
        </w:tc>
        <w:tc>
          <w:tcPr>
            <w:tcW w:w="934"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意外保险</w:t>
            </w:r>
          </w:p>
        </w:tc>
        <w:tc>
          <w:tcPr>
            <w:tcW w:w="593"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p>
        </w:tc>
        <w:tc>
          <w:tcPr>
            <w:tcW w:w="616"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p>
        </w:tc>
        <w:tc>
          <w:tcPr>
            <w:tcW w:w="672"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p>
        </w:tc>
        <w:tc>
          <w:tcPr>
            <w:tcW w:w="541"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w:t>
            </w:r>
          </w:p>
        </w:tc>
        <w:tc>
          <w:tcPr>
            <w:tcW w:w="758"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p>
        </w:tc>
        <w:tc>
          <w:tcPr>
            <w:tcW w:w="1751"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中标人须为职工办理职工意外伤害保险，实现100%全覆盖。职工意外伤害保险每人每年不少于400元</w:t>
            </w:r>
          </w:p>
        </w:tc>
        <w:tc>
          <w:tcPr>
            <w:tcW w:w="1337"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p>
        </w:tc>
      </w:tr>
      <w:tr>
        <w:tblPrEx>
          <w:tblCellMar>
            <w:top w:w="0" w:type="dxa"/>
            <w:left w:w="108" w:type="dxa"/>
            <w:bottom w:w="0" w:type="dxa"/>
            <w:right w:w="108" w:type="dxa"/>
          </w:tblCellMar>
        </w:tblPrEx>
        <w:trPr>
          <w:trHeight w:val="1108" w:hRule="atLeast"/>
          <w:jc w:val="center"/>
        </w:trPr>
        <w:tc>
          <w:tcPr>
            <w:tcW w:w="541" w:type="dxa"/>
            <w:vMerge w:val="continue"/>
            <w:tcBorders>
              <w:left w:val="single" w:color="auto" w:sz="4" w:space="0"/>
              <w:right w:val="single" w:color="auto" w:sz="4" w:space="0"/>
            </w:tcBorders>
            <w:vAlign w:val="center"/>
          </w:tcPr>
          <w:p>
            <w:pPr>
              <w:pStyle w:val="15"/>
              <w:spacing w:line="288" w:lineRule="auto"/>
              <w:jc w:val="center"/>
              <w:rPr>
                <w:rFonts w:hAnsi="宋体"/>
                <w:color w:val="auto"/>
                <w:highlight w:val="none"/>
              </w:rPr>
            </w:pPr>
          </w:p>
        </w:tc>
        <w:tc>
          <w:tcPr>
            <w:tcW w:w="631" w:type="dxa"/>
            <w:vMerge w:val="continue"/>
            <w:tcBorders>
              <w:left w:val="single" w:color="auto" w:sz="4" w:space="0"/>
              <w:right w:val="single" w:color="auto" w:sz="4" w:space="0"/>
            </w:tcBorders>
            <w:vAlign w:val="center"/>
          </w:tcPr>
          <w:p>
            <w:pPr>
              <w:pStyle w:val="15"/>
              <w:spacing w:line="288" w:lineRule="auto"/>
              <w:jc w:val="center"/>
              <w:rPr>
                <w:rFonts w:hAnsi="宋体"/>
                <w:color w:val="auto"/>
                <w:highlight w:val="none"/>
              </w:rPr>
            </w:pPr>
          </w:p>
        </w:tc>
        <w:tc>
          <w:tcPr>
            <w:tcW w:w="934"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防护用品</w:t>
            </w:r>
          </w:p>
        </w:tc>
        <w:tc>
          <w:tcPr>
            <w:tcW w:w="593"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年</w:t>
            </w:r>
          </w:p>
        </w:tc>
        <w:tc>
          <w:tcPr>
            <w:tcW w:w="616"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p>
        </w:tc>
        <w:tc>
          <w:tcPr>
            <w:tcW w:w="672"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p>
        </w:tc>
        <w:tc>
          <w:tcPr>
            <w:tcW w:w="541"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w:t>
            </w:r>
          </w:p>
        </w:tc>
        <w:tc>
          <w:tcPr>
            <w:tcW w:w="758"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p>
        </w:tc>
        <w:tc>
          <w:tcPr>
            <w:tcW w:w="1751"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防护用品（手套、毛巾、口罩、雨靴、雨衣、工作服等</w:t>
            </w:r>
          </w:p>
        </w:tc>
        <w:tc>
          <w:tcPr>
            <w:tcW w:w="1337"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p>
          <w:p>
            <w:pPr>
              <w:pStyle w:val="15"/>
              <w:spacing w:line="288" w:lineRule="auto"/>
              <w:jc w:val="center"/>
              <w:rPr>
                <w:rFonts w:hAnsi="宋体"/>
                <w:color w:val="auto"/>
                <w:highlight w:val="none"/>
              </w:rPr>
            </w:pPr>
          </w:p>
        </w:tc>
      </w:tr>
      <w:tr>
        <w:tblPrEx>
          <w:tblCellMar>
            <w:top w:w="0" w:type="dxa"/>
            <w:left w:w="108" w:type="dxa"/>
            <w:bottom w:w="0" w:type="dxa"/>
            <w:right w:w="108" w:type="dxa"/>
          </w:tblCellMar>
        </w:tblPrEx>
        <w:trPr>
          <w:trHeight w:val="482" w:hRule="atLeast"/>
          <w:jc w:val="center"/>
        </w:trPr>
        <w:tc>
          <w:tcPr>
            <w:tcW w:w="541" w:type="dxa"/>
            <w:vMerge w:val="continue"/>
            <w:tcBorders>
              <w:left w:val="single" w:color="auto" w:sz="4" w:space="0"/>
              <w:bottom w:val="single" w:color="auto" w:sz="4" w:space="0"/>
              <w:right w:val="single" w:color="auto" w:sz="4" w:space="0"/>
            </w:tcBorders>
            <w:vAlign w:val="center"/>
          </w:tcPr>
          <w:p>
            <w:pPr>
              <w:pStyle w:val="15"/>
              <w:spacing w:line="288" w:lineRule="auto"/>
              <w:jc w:val="center"/>
              <w:rPr>
                <w:rFonts w:hAnsi="宋体"/>
                <w:color w:val="auto"/>
                <w:highlight w:val="none"/>
              </w:rPr>
            </w:pPr>
          </w:p>
        </w:tc>
        <w:tc>
          <w:tcPr>
            <w:tcW w:w="631" w:type="dxa"/>
            <w:vMerge w:val="continue"/>
            <w:tcBorders>
              <w:left w:val="single" w:color="auto" w:sz="4" w:space="0"/>
              <w:bottom w:val="single" w:color="auto" w:sz="4" w:space="0"/>
              <w:right w:val="single" w:color="auto" w:sz="4" w:space="0"/>
            </w:tcBorders>
            <w:vAlign w:val="center"/>
          </w:tcPr>
          <w:p>
            <w:pPr>
              <w:pStyle w:val="15"/>
              <w:spacing w:line="288" w:lineRule="auto"/>
              <w:jc w:val="center"/>
              <w:rPr>
                <w:rFonts w:hAnsi="宋体"/>
                <w:color w:val="auto"/>
                <w:highlight w:val="none"/>
              </w:rPr>
            </w:pPr>
          </w:p>
        </w:tc>
        <w:tc>
          <w:tcPr>
            <w:tcW w:w="3356" w:type="dxa"/>
            <w:gridSpan w:val="5"/>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合计</w:t>
            </w:r>
          </w:p>
        </w:tc>
        <w:tc>
          <w:tcPr>
            <w:tcW w:w="3846" w:type="dxa"/>
            <w:gridSpan w:val="3"/>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p>
        </w:tc>
      </w:tr>
      <w:tr>
        <w:tblPrEx>
          <w:tblCellMar>
            <w:top w:w="0" w:type="dxa"/>
            <w:left w:w="108" w:type="dxa"/>
            <w:bottom w:w="0" w:type="dxa"/>
            <w:right w:w="108" w:type="dxa"/>
          </w:tblCellMar>
        </w:tblPrEx>
        <w:trPr>
          <w:trHeight w:val="741" w:hRule="atLeast"/>
          <w:jc w:val="center"/>
        </w:trPr>
        <w:tc>
          <w:tcPr>
            <w:tcW w:w="541" w:type="dxa"/>
            <w:vMerge w:val="restart"/>
            <w:tcBorders>
              <w:top w:val="single" w:color="auto" w:sz="4" w:space="0"/>
              <w:left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三</w:t>
            </w:r>
          </w:p>
        </w:tc>
        <w:tc>
          <w:tcPr>
            <w:tcW w:w="631" w:type="dxa"/>
            <w:vMerge w:val="restart"/>
            <w:tcBorders>
              <w:top w:val="single" w:color="auto" w:sz="4" w:space="0"/>
              <w:left w:val="single" w:color="auto" w:sz="4" w:space="0"/>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社会保障费</w:t>
            </w:r>
          </w:p>
        </w:tc>
        <w:tc>
          <w:tcPr>
            <w:tcW w:w="934"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养老保险</w:t>
            </w:r>
          </w:p>
        </w:tc>
        <w:tc>
          <w:tcPr>
            <w:tcW w:w="593"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月</w:t>
            </w:r>
          </w:p>
        </w:tc>
        <w:tc>
          <w:tcPr>
            <w:tcW w:w="616"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1</w:t>
            </w:r>
          </w:p>
        </w:tc>
        <w:tc>
          <w:tcPr>
            <w:tcW w:w="672"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p>
        </w:tc>
        <w:tc>
          <w:tcPr>
            <w:tcW w:w="541"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12</w:t>
            </w:r>
          </w:p>
        </w:tc>
        <w:tc>
          <w:tcPr>
            <w:tcW w:w="758"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p>
        </w:tc>
        <w:tc>
          <w:tcPr>
            <w:tcW w:w="1751"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单位部分</w:t>
            </w:r>
          </w:p>
        </w:tc>
        <w:tc>
          <w:tcPr>
            <w:tcW w:w="1337"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p>
        </w:tc>
      </w:tr>
      <w:tr>
        <w:tblPrEx>
          <w:tblCellMar>
            <w:top w:w="0" w:type="dxa"/>
            <w:left w:w="108" w:type="dxa"/>
            <w:bottom w:w="0" w:type="dxa"/>
            <w:right w:w="108" w:type="dxa"/>
          </w:tblCellMar>
        </w:tblPrEx>
        <w:trPr>
          <w:trHeight w:val="741" w:hRule="atLeast"/>
          <w:jc w:val="center"/>
        </w:trPr>
        <w:tc>
          <w:tcPr>
            <w:tcW w:w="541" w:type="dxa"/>
            <w:vMerge w:val="continue"/>
            <w:tcBorders>
              <w:left w:val="single" w:color="auto" w:sz="4" w:space="0"/>
              <w:right w:val="single" w:color="auto" w:sz="4" w:space="0"/>
            </w:tcBorders>
            <w:vAlign w:val="center"/>
          </w:tcPr>
          <w:p>
            <w:pPr>
              <w:pStyle w:val="15"/>
              <w:spacing w:line="288" w:lineRule="auto"/>
              <w:jc w:val="center"/>
              <w:rPr>
                <w:rFonts w:hAnsi="宋体"/>
                <w:color w:val="auto"/>
                <w:highlight w:val="none"/>
              </w:rPr>
            </w:pPr>
          </w:p>
        </w:tc>
        <w:tc>
          <w:tcPr>
            <w:tcW w:w="631" w:type="dxa"/>
            <w:vMerge w:val="continue"/>
            <w:tcBorders>
              <w:top w:val="single" w:color="auto" w:sz="4" w:space="0"/>
              <w:left w:val="single" w:color="auto" w:sz="4" w:space="0"/>
              <w:bottom w:val="single" w:color="auto" w:sz="4" w:space="0"/>
              <w:right w:val="single" w:color="auto" w:sz="4" w:space="0"/>
            </w:tcBorders>
            <w:vAlign w:val="center"/>
          </w:tcPr>
          <w:p>
            <w:pPr>
              <w:pStyle w:val="15"/>
              <w:spacing w:line="288" w:lineRule="auto"/>
              <w:jc w:val="center"/>
              <w:rPr>
                <w:rFonts w:hAnsi="宋体"/>
                <w:color w:val="auto"/>
                <w:highlight w:val="none"/>
              </w:rPr>
            </w:pPr>
          </w:p>
        </w:tc>
        <w:tc>
          <w:tcPr>
            <w:tcW w:w="934"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医疗保险</w:t>
            </w:r>
          </w:p>
        </w:tc>
        <w:tc>
          <w:tcPr>
            <w:tcW w:w="593"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月</w:t>
            </w:r>
          </w:p>
        </w:tc>
        <w:tc>
          <w:tcPr>
            <w:tcW w:w="616"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1</w:t>
            </w:r>
          </w:p>
        </w:tc>
        <w:tc>
          <w:tcPr>
            <w:tcW w:w="672"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p>
        </w:tc>
        <w:tc>
          <w:tcPr>
            <w:tcW w:w="541"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12</w:t>
            </w:r>
          </w:p>
        </w:tc>
        <w:tc>
          <w:tcPr>
            <w:tcW w:w="758"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p>
        </w:tc>
        <w:tc>
          <w:tcPr>
            <w:tcW w:w="1751"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单位部分</w:t>
            </w:r>
          </w:p>
        </w:tc>
        <w:tc>
          <w:tcPr>
            <w:tcW w:w="1337"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p>
        </w:tc>
      </w:tr>
      <w:tr>
        <w:tblPrEx>
          <w:tblCellMar>
            <w:top w:w="0" w:type="dxa"/>
            <w:left w:w="108" w:type="dxa"/>
            <w:bottom w:w="0" w:type="dxa"/>
            <w:right w:w="108" w:type="dxa"/>
          </w:tblCellMar>
        </w:tblPrEx>
        <w:trPr>
          <w:trHeight w:val="741" w:hRule="atLeast"/>
          <w:jc w:val="center"/>
        </w:trPr>
        <w:tc>
          <w:tcPr>
            <w:tcW w:w="541" w:type="dxa"/>
            <w:vMerge w:val="continue"/>
            <w:tcBorders>
              <w:left w:val="single" w:color="auto" w:sz="4" w:space="0"/>
              <w:right w:val="single" w:color="auto" w:sz="4" w:space="0"/>
            </w:tcBorders>
            <w:vAlign w:val="center"/>
          </w:tcPr>
          <w:p>
            <w:pPr>
              <w:pStyle w:val="15"/>
              <w:spacing w:line="288" w:lineRule="auto"/>
              <w:jc w:val="center"/>
              <w:rPr>
                <w:rFonts w:hAnsi="宋体"/>
                <w:color w:val="auto"/>
                <w:highlight w:val="none"/>
              </w:rPr>
            </w:pPr>
          </w:p>
        </w:tc>
        <w:tc>
          <w:tcPr>
            <w:tcW w:w="631" w:type="dxa"/>
            <w:vMerge w:val="continue"/>
            <w:tcBorders>
              <w:top w:val="single" w:color="auto" w:sz="4" w:space="0"/>
              <w:left w:val="single" w:color="auto" w:sz="4" w:space="0"/>
              <w:bottom w:val="single" w:color="auto" w:sz="4" w:space="0"/>
              <w:right w:val="single" w:color="auto" w:sz="4" w:space="0"/>
            </w:tcBorders>
            <w:vAlign w:val="center"/>
          </w:tcPr>
          <w:p>
            <w:pPr>
              <w:pStyle w:val="15"/>
              <w:spacing w:line="288" w:lineRule="auto"/>
              <w:jc w:val="center"/>
              <w:rPr>
                <w:rFonts w:hAnsi="宋体"/>
                <w:color w:val="auto"/>
                <w:highlight w:val="none"/>
              </w:rPr>
            </w:pPr>
          </w:p>
        </w:tc>
        <w:tc>
          <w:tcPr>
            <w:tcW w:w="934"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失业保险</w:t>
            </w:r>
          </w:p>
        </w:tc>
        <w:tc>
          <w:tcPr>
            <w:tcW w:w="593"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月</w:t>
            </w:r>
          </w:p>
        </w:tc>
        <w:tc>
          <w:tcPr>
            <w:tcW w:w="616"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1</w:t>
            </w:r>
          </w:p>
        </w:tc>
        <w:tc>
          <w:tcPr>
            <w:tcW w:w="672"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p>
        </w:tc>
        <w:tc>
          <w:tcPr>
            <w:tcW w:w="541"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12</w:t>
            </w:r>
          </w:p>
        </w:tc>
        <w:tc>
          <w:tcPr>
            <w:tcW w:w="758"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p>
        </w:tc>
        <w:tc>
          <w:tcPr>
            <w:tcW w:w="1751"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单位部分</w:t>
            </w:r>
          </w:p>
        </w:tc>
        <w:tc>
          <w:tcPr>
            <w:tcW w:w="1337"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p>
        </w:tc>
      </w:tr>
      <w:tr>
        <w:tblPrEx>
          <w:tblCellMar>
            <w:top w:w="0" w:type="dxa"/>
            <w:left w:w="108" w:type="dxa"/>
            <w:bottom w:w="0" w:type="dxa"/>
            <w:right w:w="108" w:type="dxa"/>
          </w:tblCellMar>
        </w:tblPrEx>
        <w:trPr>
          <w:trHeight w:val="741" w:hRule="atLeast"/>
          <w:jc w:val="center"/>
        </w:trPr>
        <w:tc>
          <w:tcPr>
            <w:tcW w:w="541" w:type="dxa"/>
            <w:vMerge w:val="continue"/>
            <w:tcBorders>
              <w:left w:val="single" w:color="auto" w:sz="4" w:space="0"/>
              <w:right w:val="single" w:color="auto" w:sz="4" w:space="0"/>
            </w:tcBorders>
            <w:vAlign w:val="center"/>
          </w:tcPr>
          <w:p>
            <w:pPr>
              <w:pStyle w:val="15"/>
              <w:spacing w:line="288" w:lineRule="auto"/>
              <w:jc w:val="center"/>
              <w:rPr>
                <w:rFonts w:hAnsi="宋体"/>
                <w:color w:val="auto"/>
                <w:highlight w:val="none"/>
              </w:rPr>
            </w:pPr>
          </w:p>
        </w:tc>
        <w:tc>
          <w:tcPr>
            <w:tcW w:w="631" w:type="dxa"/>
            <w:vMerge w:val="continue"/>
            <w:tcBorders>
              <w:top w:val="single" w:color="auto" w:sz="4" w:space="0"/>
              <w:left w:val="single" w:color="auto" w:sz="4" w:space="0"/>
              <w:bottom w:val="single" w:color="auto" w:sz="4" w:space="0"/>
              <w:right w:val="single" w:color="auto" w:sz="4" w:space="0"/>
            </w:tcBorders>
            <w:vAlign w:val="center"/>
          </w:tcPr>
          <w:p>
            <w:pPr>
              <w:pStyle w:val="15"/>
              <w:spacing w:line="288" w:lineRule="auto"/>
              <w:jc w:val="center"/>
              <w:rPr>
                <w:rFonts w:hAnsi="宋体"/>
                <w:color w:val="auto"/>
                <w:highlight w:val="none"/>
              </w:rPr>
            </w:pPr>
          </w:p>
        </w:tc>
        <w:tc>
          <w:tcPr>
            <w:tcW w:w="934"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工伤保险</w:t>
            </w:r>
          </w:p>
        </w:tc>
        <w:tc>
          <w:tcPr>
            <w:tcW w:w="593"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月</w:t>
            </w:r>
          </w:p>
        </w:tc>
        <w:tc>
          <w:tcPr>
            <w:tcW w:w="616"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1</w:t>
            </w:r>
          </w:p>
        </w:tc>
        <w:tc>
          <w:tcPr>
            <w:tcW w:w="672"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p>
        </w:tc>
        <w:tc>
          <w:tcPr>
            <w:tcW w:w="541"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12</w:t>
            </w:r>
          </w:p>
        </w:tc>
        <w:tc>
          <w:tcPr>
            <w:tcW w:w="758"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p>
        </w:tc>
        <w:tc>
          <w:tcPr>
            <w:tcW w:w="1751"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单位部分</w:t>
            </w:r>
          </w:p>
        </w:tc>
        <w:tc>
          <w:tcPr>
            <w:tcW w:w="1337"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p>
        </w:tc>
      </w:tr>
      <w:tr>
        <w:tblPrEx>
          <w:tblCellMar>
            <w:top w:w="0" w:type="dxa"/>
            <w:left w:w="108" w:type="dxa"/>
            <w:bottom w:w="0" w:type="dxa"/>
            <w:right w:w="108" w:type="dxa"/>
          </w:tblCellMar>
        </w:tblPrEx>
        <w:trPr>
          <w:trHeight w:val="741" w:hRule="atLeast"/>
          <w:jc w:val="center"/>
        </w:trPr>
        <w:tc>
          <w:tcPr>
            <w:tcW w:w="541" w:type="dxa"/>
            <w:vMerge w:val="continue"/>
            <w:tcBorders>
              <w:left w:val="single" w:color="auto" w:sz="4" w:space="0"/>
              <w:right w:val="single" w:color="auto" w:sz="4" w:space="0"/>
            </w:tcBorders>
            <w:vAlign w:val="center"/>
          </w:tcPr>
          <w:p>
            <w:pPr>
              <w:pStyle w:val="15"/>
              <w:spacing w:line="288" w:lineRule="auto"/>
              <w:jc w:val="center"/>
              <w:rPr>
                <w:rFonts w:hAnsi="宋体"/>
                <w:color w:val="auto"/>
                <w:highlight w:val="none"/>
              </w:rPr>
            </w:pPr>
          </w:p>
        </w:tc>
        <w:tc>
          <w:tcPr>
            <w:tcW w:w="631" w:type="dxa"/>
            <w:vMerge w:val="continue"/>
            <w:tcBorders>
              <w:top w:val="single" w:color="auto" w:sz="4" w:space="0"/>
              <w:left w:val="single" w:color="auto" w:sz="4" w:space="0"/>
              <w:bottom w:val="single" w:color="auto" w:sz="4" w:space="0"/>
              <w:right w:val="single" w:color="auto" w:sz="4" w:space="0"/>
            </w:tcBorders>
            <w:vAlign w:val="center"/>
          </w:tcPr>
          <w:p>
            <w:pPr>
              <w:pStyle w:val="15"/>
              <w:spacing w:line="288" w:lineRule="auto"/>
              <w:jc w:val="center"/>
              <w:rPr>
                <w:rFonts w:hAnsi="宋体"/>
                <w:color w:val="auto"/>
                <w:highlight w:val="none"/>
              </w:rPr>
            </w:pPr>
          </w:p>
        </w:tc>
        <w:tc>
          <w:tcPr>
            <w:tcW w:w="934"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生育保险</w:t>
            </w:r>
          </w:p>
        </w:tc>
        <w:tc>
          <w:tcPr>
            <w:tcW w:w="593"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月</w:t>
            </w:r>
          </w:p>
        </w:tc>
        <w:tc>
          <w:tcPr>
            <w:tcW w:w="616"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1</w:t>
            </w:r>
          </w:p>
        </w:tc>
        <w:tc>
          <w:tcPr>
            <w:tcW w:w="672"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p>
        </w:tc>
        <w:tc>
          <w:tcPr>
            <w:tcW w:w="541"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12</w:t>
            </w:r>
          </w:p>
        </w:tc>
        <w:tc>
          <w:tcPr>
            <w:tcW w:w="758"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p>
        </w:tc>
        <w:tc>
          <w:tcPr>
            <w:tcW w:w="1751"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单位部分</w:t>
            </w:r>
          </w:p>
        </w:tc>
        <w:tc>
          <w:tcPr>
            <w:tcW w:w="1337"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p>
        </w:tc>
      </w:tr>
      <w:tr>
        <w:tblPrEx>
          <w:tblCellMar>
            <w:top w:w="0" w:type="dxa"/>
            <w:left w:w="108" w:type="dxa"/>
            <w:bottom w:w="0" w:type="dxa"/>
            <w:right w:w="108" w:type="dxa"/>
          </w:tblCellMar>
        </w:tblPrEx>
        <w:trPr>
          <w:trHeight w:val="376" w:hRule="atLeast"/>
          <w:jc w:val="center"/>
        </w:trPr>
        <w:tc>
          <w:tcPr>
            <w:tcW w:w="541" w:type="dxa"/>
            <w:vMerge w:val="continue"/>
            <w:tcBorders>
              <w:left w:val="single" w:color="auto" w:sz="4" w:space="0"/>
              <w:right w:val="single" w:color="auto" w:sz="4" w:space="0"/>
            </w:tcBorders>
            <w:vAlign w:val="center"/>
          </w:tcPr>
          <w:p>
            <w:pPr>
              <w:pStyle w:val="15"/>
              <w:spacing w:line="288" w:lineRule="auto"/>
              <w:jc w:val="center"/>
              <w:rPr>
                <w:rFonts w:hAnsi="宋体"/>
                <w:color w:val="auto"/>
                <w:highlight w:val="none"/>
              </w:rPr>
            </w:pPr>
          </w:p>
        </w:tc>
        <w:tc>
          <w:tcPr>
            <w:tcW w:w="631" w:type="dxa"/>
            <w:vMerge w:val="continue"/>
            <w:tcBorders>
              <w:top w:val="single" w:color="auto" w:sz="4" w:space="0"/>
              <w:left w:val="single" w:color="auto" w:sz="4" w:space="0"/>
              <w:bottom w:val="single" w:color="auto" w:sz="4" w:space="0"/>
              <w:right w:val="single" w:color="auto" w:sz="4" w:space="0"/>
            </w:tcBorders>
            <w:vAlign w:val="center"/>
          </w:tcPr>
          <w:p>
            <w:pPr>
              <w:pStyle w:val="15"/>
              <w:spacing w:line="288" w:lineRule="auto"/>
              <w:jc w:val="center"/>
              <w:rPr>
                <w:rFonts w:hAnsi="宋体"/>
                <w:color w:val="auto"/>
                <w:highlight w:val="none"/>
              </w:rPr>
            </w:pPr>
          </w:p>
        </w:tc>
        <w:tc>
          <w:tcPr>
            <w:tcW w:w="934"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残保金</w:t>
            </w:r>
          </w:p>
        </w:tc>
        <w:tc>
          <w:tcPr>
            <w:tcW w:w="593"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月</w:t>
            </w:r>
          </w:p>
        </w:tc>
        <w:tc>
          <w:tcPr>
            <w:tcW w:w="616"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1</w:t>
            </w:r>
          </w:p>
        </w:tc>
        <w:tc>
          <w:tcPr>
            <w:tcW w:w="672"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p>
        </w:tc>
        <w:tc>
          <w:tcPr>
            <w:tcW w:w="541"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12</w:t>
            </w:r>
          </w:p>
        </w:tc>
        <w:tc>
          <w:tcPr>
            <w:tcW w:w="758"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p>
        </w:tc>
        <w:tc>
          <w:tcPr>
            <w:tcW w:w="1751"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单位部分</w:t>
            </w:r>
          </w:p>
        </w:tc>
        <w:tc>
          <w:tcPr>
            <w:tcW w:w="1337"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p>
        </w:tc>
      </w:tr>
      <w:tr>
        <w:tblPrEx>
          <w:tblCellMar>
            <w:top w:w="0" w:type="dxa"/>
            <w:left w:w="108" w:type="dxa"/>
            <w:bottom w:w="0" w:type="dxa"/>
            <w:right w:w="108" w:type="dxa"/>
          </w:tblCellMar>
        </w:tblPrEx>
        <w:trPr>
          <w:trHeight w:val="376" w:hRule="atLeast"/>
          <w:jc w:val="center"/>
        </w:trPr>
        <w:tc>
          <w:tcPr>
            <w:tcW w:w="541" w:type="dxa"/>
            <w:vMerge w:val="continue"/>
            <w:tcBorders>
              <w:left w:val="single" w:color="auto" w:sz="4" w:space="0"/>
              <w:right w:val="single" w:color="auto" w:sz="4" w:space="0"/>
            </w:tcBorders>
            <w:vAlign w:val="center"/>
          </w:tcPr>
          <w:p>
            <w:pPr>
              <w:pStyle w:val="15"/>
              <w:spacing w:line="288" w:lineRule="auto"/>
              <w:jc w:val="center"/>
              <w:rPr>
                <w:rFonts w:hAnsi="宋体"/>
                <w:color w:val="auto"/>
                <w:highlight w:val="none"/>
              </w:rPr>
            </w:pPr>
          </w:p>
        </w:tc>
        <w:tc>
          <w:tcPr>
            <w:tcW w:w="631" w:type="dxa"/>
            <w:vMerge w:val="continue"/>
            <w:tcBorders>
              <w:top w:val="single" w:color="auto" w:sz="4" w:space="0"/>
              <w:left w:val="single" w:color="auto" w:sz="4" w:space="0"/>
              <w:bottom w:val="single" w:color="auto" w:sz="4" w:space="0"/>
              <w:right w:val="single" w:color="auto" w:sz="4" w:space="0"/>
            </w:tcBorders>
            <w:vAlign w:val="center"/>
          </w:tcPr>
          <w:p>
            <w:pPr>
              <w:pStyle w:val="15"/>
              <w:spacing w:line="288" w:lineRule="auto"/>
              <w:jc w:val="center"/>
              <w:rPr>
                <w:rFonts w:hAnsi="宋体"/>
                <w:color w:val="auto"/>
                <w:highlight w:val="none"/>
              </w:rPr>
            </w:pPr>
          </w:p>
        </w:tc>
        <w:tc>
          <w:tcPr>
            <w:tcW w:w="3356" w:type="dxa"/>
            <w:gridSpan w:val="5"/>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1年合计</w:t>
            </w:r>
          </w:p>
        </w:tc>
        <w:tc>
          <w:tcPr>
            <w:tcW w:w="3846" w:type="dxa"/>
            <w:gridSpan w:val="3"/>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p>
        </w:tc>
      </w:tr>
      <w:tr>
        <w:tblPrEx>
          <w:tblCellMar>
            <w:top w:w="0" w:type="dxa"/>
            <w:left w:w="108" w:type="dxa"/>
            <w:bottom w:w="0" w:type="dxa"/>
            <w:right w:w="108" w:type="dxa"/>
          </w:tblCellMar>
        </w:tblPrEx>
        <w:trPr>
          <w:trHeight w:val="741" w:hRule="atLeast"/>
          <w:jc w:val="center"/>
        </w:trPr>
        <w:tc>
          <w:tcPr>
            <w:tcW w:w="541" w:type="dxa"/>
            <w:vMerge w:val="continue"/>
            <w:tcBorders>
              <w:left w:val="single" w:color="auto" w:sz="4" w:space="0"/>
              <w:bottom w:val="single" w:color="auto" w:sz="4" w:space="0"/>
              <w:right w:val="single" w:color="auto" w:sz="4" w:space="0"/>
            </w:tcBorders>
            <w:vAlign w:val="center"/>
          </w:tcPr>
          <w:p>
            <w:pPr>
              <w:pStyle w:val="15"/>
              <w:spacing w:line="288" w:lineRule="auto"/>
              <w:jc w:val="center"/>
              <w:rPr>
                <w:rFonts w:hAnsi="宋体"/>
                <w:color w:val="auto"/>
                <w:highlight w:val="none"/>
              </w:rPr>
            </w:pPr>
          </w:p>
        </w:tc>
        <w:tc>
          <w:tcPr>
            <w:tcW w:w="631" w:type="dxa"/>
            <w:tcBorders>
              <w:top w:val="single" w:color="auto" w:sz="4" w:space="0"/>
              <w:left w:val="single" w:color="auto" w:sz="4" w:space="0"/>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公积金</w:t>
            </w:r>
          </w:p>
        </w:tc>
        <w:tc>
          <w:tcPr>
            <w:tcW w:w="3356" w:type="dxa"/>
            <w:gridSpan w:val="5"/>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要按规定为其缴纳住房公积金，缴纳标准不低于职工工资的5%</w:t>
            </w:r>
          </w:p>
        </w:tc>
        <w:tc>
          <w:tcPr>
            <w:tcW w:w="3846" w:type="dxa"/>
            <w:gridSpan w:val="3"/>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p>
        </w:tc>
      </w:tr>
      <w:tr>
        <w:tblPrEx>
          <w:tblCellMar>
            <w:top w:w="0" w:type="dxa"/>
            <w:left w:w="108" w:type="dxa"/>
            <w:bottom w:w="0" w:type="dxa"/>
            <w:right w:w="108" w:type="dxa"/>
          </w:tblCellMar>
        </w:tblPrEx>
        <w:trPr>
          <w:trHeight w:val="456" w:hRule="atLeast"/>
          <w:jc w:val="center"/>
        </w:trPr>
        <w:tc>
          <w:tcPr>
            <w:tcW w:w="541" w:type="dxa"/>
            <w:tcBorders>
              <w:top w:val="single" w:color="auto" w:sz="4" w:space="0"/>
              <w:left w:val="single" w:color="auto" w:sz="4" w:space="0"/>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四</w:t>
            </w:r>
          </w:p>
        </w:tc>
        <w:tc>
          <w:tcPr>
            <w:tcW w:w="3987" w:type="dxa"/>
            <w:gridSpan w:val="6"/>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每人每年经费</w:t>
            </w:r>
          </w:p>
        </w:tc>
        <w:tc>
          <w:tcPr>
            <w:tcW w:w="3846" w:type="dxa"/>
            <w:gridSpan w:val="3"/>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olor w:val="auto"/>
                <w:highlight w:val="none"/>
              </w:rPr>
            </w:pPr>
            <w:r>
              <w:rPr>
                <w:rFonts w:hint="eastAsia" w:hAnsi="宋体"/>
                <w:color w:val="auto"/>
                <w:highlight w:val="none"/>
              </w:rPr>
              <w:t>大写：　　　　 元（小写：　　　　　）</w:t>
            </w:r>
          </w:p>
        </w:tc>
      </w:tr>
    </w:tbl>
    <w:p>
      <w:pPr>
        <w:pStyle w:val="15"/>
        <w:spacing w:line="288" w:lineRule="auto"/>
        <w:jc w:val="left"/>
        <w:rPr>
          <w:rFonts w:hAnsi="宋体" w:cs="宋体"/>
          <w:color w:val="auto"/>
          <w:sz w:val="24"/>
          <w:szCs w:val="24"/>
          <w:highlight w:val="none"/>
        </w:rPr>
      </w:pPr>
      <w:r>
        <w:rPr>
          <w:rFonts w:hint="eastAsia" w:hAnsi="宋体" w:cs="宋体"/>
          <w:color w:val="auto"/>
          <w:sz w:val="24"/>
          <w:szCs w:val="24"/>
          <w:highlight w:val="none"/>
        </w:rPr>
        <w:t>备注：</w:t>
      </w:r>
    </w:p>
    <w:p>
      <w:pPr>
        <w:pStyle w:val="15"/>
        <w:spacing w:line="288" w:lineRule="auto"/>
        <w:jc w:val="left"/>
        <w:rPr>
          <w:rFonts w:hAnsi="宋体" w:cs="宋体"/>
          <w:color w:val="auto"/>
          <w:sz w:val="24"/>
          <w:szCs w:val="24"/>
          <w:highlight w:val="none"/>
        </w:rPr>
      </w:pPr>
      <w:r>
        <w:rPr>
          <w:rFonts w:hint="eastAsia" w:hAnsi="宋体" w:cs="宋体"/>
          <w:color w:val="auto"/>
          <w:sz w:val="24"/>
          <w:szCs w:val="24"/>
          <w:highlight w:val="none"/>
        </w:rPr>
        <w:t>1、单项价格低于上述任何一项测算标准报价的，按无效报价处理（不能参与价格标评审）。</w:t>
      </w:r>
    </w:p>
    <w:p>
      <w:pPr>
        <w:pStyle w:val="15"/>
        <w:spacing w:line="288" w:lineRule="auto"/>
        <w:jc w:val="left"/>
        <w:rPr>
          <w:rFonts w:hAnsi="宋体" w:cs="宋体"/>
          <w:color w:val="auto"/>
          <w:sz w:val="24"/>
          <w:szCs w:val="24"/>
          <w:highlight w:val="none"/>
        </w:rPr>
      </w:pPr>
      <w:r>
        <w:rPr>
          <w:rFonts w:hint="eastAsia" w:hAnsi="宋体" w:cs="宋体"/>
          <w:color w:val="auto"/>
          <w:sz w:val="24"/>
          <w:szCs w:val="24"/>
          <w:highlight w:val="none"/>
        </w:rPr>
        <w:t>2、项目人员工资应分别列明计算，其中一般工作人员（包括一线养护工作人员（男、女工））年工资按照上表计算。</w:t>
      </w:r>
    </w:p>
    <w:p>
      <w:pPr>
        <w:pStyle w:val="15"/>
        <w:spacing w:line="288" w:lineRule="auto"/>
        <w:jc w:val="left"/>
        <w:rPr>
          <w:rFonts w:hAnsi="宋体" w:cs="宋体"/>
          <w:color w:val="auto"/>
          <w:sz w:val="24"/>
          <w:szCs w:val="24"/>
          <w:highlight w:val="none"/>
        </w:rPr>
      </w:pPr>
      <w:r>
        <w:rPr>
          <w:rFonts w:hint="eastAsia" w:hAnsi="宋体" w:cs="宋体"/>
          <w:color w:val="auto"/>
          <w:sz w:val="24"/>
          <w:szCs w:val="24"/>
          <w:highlight w:val="none"/>
        </w:rPr>
        <w:t>3、现场负责人、巡逻兼文员、驾驶员人员工资按照本地情况，由投标单位按照上表最低工资上浮，但不得低于上表绍兴市最低工资标准。</w:t>
      </w:r>
    </w:p>
    <w:p>
      <w:pPr>
        <w:pStyle w:val="15"/>
        <w:spacing w:line="420" w:lineRule="auto"/>
        <w:ind w:firstLine="4080" w:firstLineChars="1700"/>
        <w:rPr>
          <w:rFonts w:hAnsi="宋体" w:cs="宋体"/>
          <w:color w:val="auto"/>
          <w:sz w:val="24"/>
          <w:szCs w:val="24"/>
          <w:highlight w:val="none"/>
        </w:rPr>
      </w:pPr>
      <w:r>
        <w:rPr>
          <w:rFonts w:hint="eastAsia" w:hAnsi="宋体" w:cs="宋体"/>
          <w:color w:val="auto"/>
          <w:sz w:val="24"/>
          <w:szCs w:val="24"/>
          <w:highlight w:val="none"/>
        </w:rPr>
        <w:t>投标人全称（盖章）：</w:t>
      </w:r>
    </w:p>
    <w:p>
      <w:pPr>
        <w:pStyle w:val="15"/>
        <w:spacing w:line="420" w:lineRule="auto"/>
        <w:rPr>
          <w:rFonts w:hAnsi="宋体" w:cs="宋体"/>
          <w:color w:val="auto"/>
          <w:sz w:val="24"/>
          <w:szCs w:val="24"/>
          <w:highlight w:val="none"/>
        </w:rPr>
      </w:pPr>
      <w:r>
        <w:rPr>
          <w:rFonts w:hint="eastAsia" w:hAnsi="宋体" w:cs="宋体"/>
          <w:color w:val="auto"/>
          <w:sz w:val="24"/>
          <w:szCs w:val="24"/>
          <w:highlight w:val="none"/>
        </w:rPr>
        <w:t xml:space="preserve">                                  法定代表人或授权委托人（签字或盖章）：</w:t>
      </w:r>
    </w:p>
    <w:p>
      <w:pPr>
        <w:pStyle w:val="15"/>
        <w:spacing w:line="288" w:lineRule="auto"/>
        <w:jc w:val="center"/>
        <w:rPr>
          <w:rFonts w:hAnsi="宋体" w:cs="宋体"/>
          <w:color w:val="auto"/>
          <w:sz w:val="24"/>
          <w:szCs w:val="24"/>
          <w:highlight w:val="none"/>
        </w:rPr>
      </w:pPr>
      <w:r>
        <w:rPr>
          <w:rFonts w:hint="eastAsia" w:hAnsi="宋体" w:cs="宋体"/>
          <w:color w:val="auto"/>
          <w:sz w:val="24"/>
          <w:szCs w:val="24"/>
          <w:highlight w:val="none"/>
        </w:rPr>
        <w:t xml:space="preserve">        日   期：</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Verdana">
    <w:panose1 w:val="020B0604030504040204"/>
    <w:charset w:val="00"/>
    <w:family w:val="swiss"/>
    <w:pitch w:val="default"/>
    <w:sig w:usb0="A00006FF" w:usb1="4000205B" w:usb2="00000010" w:usb3="00000000" w:csb0="2000019F" w:csb1="00000000"/>
  </w:font>
  <w:font w:name="MS PGothic">
    <w:panose1 w:val="020B0600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Style w:val="33"/>
      </w:rPr>
    </w:pPr>
  </w:p>
  <w:p>
    <w:pPr>
      <w:pStyle w:val="1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Style w:val="33"/>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CZACpVFgIAABUEAAAOAAAAAAAA&#10;AAEAIAAAAB8BAABkcnMvZTJvRG9jLnhtbFBLBQYAAAAABgAGAFkBAACnBQ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mc:Fallback>
      </mc:AlternateContent>
    </w:r>
  </w:p>
  <w:p>
    <w:pPr>
      <w:pStyle w:val="1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9"/>
                            <w:jc w:val="center"/>
                          </w:pPr>
                          <w:r>
                            <w:fldChar w:fldCharType="begin"/>
                          </w:r>
                          <w:r>
                            <w:instrText xml:space="preserve">PAGE   \* MERGEFORMAT</w:instrText>
                          </w:r>
                          <w:r>
                            <w:fldChar w:fldCharType="separate"/>
                          </w:r>
                          <w:r>
                            <w:rPr>
                              <w:lang w:val="zh-CN"/>
                            </w:rPr>
                            <w:t>61</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WiW6wVAgAAFQQAAA4AAAAAAAAA&#10;AQAgAAAAHwEAAGRycy9lMm9Eb2MueG1sUEsFBgAAAAAGAAYAWQEAAKYFAAAAAA==&#10;">
              <v:fill on="f" focussize="0,0"/>
              <v:stroke on="f" weight="0.5pt"/>
              <v:imagedata o:title=""/>
              <o:lock v:ext="edit" aspectratio="f"/>
              <v:textbox inset="0mm,0mm,0mm,0mm" style="mso-fit-shape-to-text:t;">
                <w:txbxContent>
                  <w:p>
                    <w:pPr>
                      <w:pStyle w:val="19"/>
                      <w:jc w:val="center"/>
                    </w:pPr>
                    <w:r>
                      <w:fldChar w:fldCharType="begin"/>
                    </w:r>
                    <w:r>
                      <w:instrText xml:space="preserve">PAGE   \* MERGEFORMAT</w:instrText>
                    </w:r>
                    <w:r>
                      <w:fldChar w:fldCharType="separate"/>
                    </w:r>
                    <w:r>
                      <w:rPr>
                        <w:lang w:val="zh-CN"/>
                      </w:rPr>
                      <w:t>61</w:t>
                    </w:r>
                    <w:r>
                      <w:rPr>
                        <w:lang w:val="zh-CN"/>
                      </w:rPr>
                      <w:fldChar w:fldCharType="end"/>
                    </w:r>
                  </w:p>
                </w:txbxContent>
              </v:textbox>
            </v:shape>
          </w:pict>
        </mc:Fallback>
      </mc:AlternateContent>
    </w:r>
  </w:p>
  <w:p>
    <w:pPr>
      <w:pStyle w:val="1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ind w:left="1080" w:hanging="1080" w:hangingChars="600"/>
      <w:jc w:val="both"/>
      <w:rPr>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B173AF"/>
    <w:multiLevelType w:val="singleLevel"/>
    <w:tmpl w:val="84B173AF"/>
    <w:lvl w:ilvl="0" w:tentative="0">
      <w:start w:val="1"/>
      <w:numFmt w:val="decimal"/>
      <w:suff w:val="nothing"/>
      <w:lvlText w:val="%1．"/>
      <w:lvlJc w:val="left"/>
      <w:pPr>
        <w:ind w:left="0" w:firstLine="40"/>
      </w:pPr>
      <w:rPr>
        <w:rFonts w:hint="default"/>
      </w:rPr>
    </w:lvl>
  </w:abstractNum>
  <w:abstractNum w:abstractNumId="1">
    <w:nsid w:val="8CA00E09"/>
    <w:multiLevelType w:val="singleLevel"/>
    <w:tmpl w:val="8CA00E09"/>
    <w:lvl w:ilvl="0" w:tentative="0">
      <w:start w:val="1"/>
      <w:numFmt w:val="decimalEnclosedCircleChinese"/>
      <w:suff w:val="nothing"/>
      <w:lvlText w:val="%1　"/>
      <w:lvlJc w:val="left"/>
      <w:pPr>
        <w:ind w:left="0" w:firstLine="1134"/>
      </w:pPr>
      <w:rPr>
        <w:rFonts w:hint="eastAsia"/>
      </w:rPr>
    </w:lvl>
  </w:abstractNum>
  <w:abstractNum w:abstractNumId="2">
    <w:nsid w:val="9577F733"/>
    <w:multiLevelType w:val="singleLevel"/>
    <w:tmpl w:val="9577F733"/>
    <w:lvl w:ilvl="0" w:tentative="0">
      <w:start w:val="1"/>
      <w:numFmt w:val="decimal"/>
      <w:suff w:val="nothing"/>
      <w:lvlText w:val="10.%1 "/>
      <w:lvlJc w:val="left"/>
      <w:pPr>
        <w:tabs>
          <w:tab w:val="left" w:pos="0"/>
        </w:tabs>
        <w:ind w:left="0" w:firstLine="40"/>
      </w:pPr>
      <w:rPr>
        <w:rFonts w:hint="default" w:ascii="宋体" w:hAnsi="宋体" w:eastAsia="宋体" w:cs="宋体"/>
      </w:rPr>
    </w:lvl>
  </w:abstractNum>
  <w:abstractNum w:abstractNumId="3">
    <w:nsid w:val="960C84E7"/>
    <w:multiLevelType w:val="singleLevel"/>
    <w:tmpl w:val="960C84E7"/>
    <w:lvl w:ilvl="0" w:tentative="0">
      <w:start w:val="1"/>
      <w:numFmt w:val="decimal"/>
      <w:suff w:val="nothing"/>
      <w:lvlText w:val="14.%1 "/>
      <w:lvlJc w:val="left"/>
      <w:pPr>
        <w:tabs>
          <w:tab w:val="left" w:pos="0"/>
        </w:tabs>
        <w:ind w:left="0" w:firstLine="40"/>
      </w:pPr>
      <w:rPr>
        <w:rFonts w:hint="default" w:ascii="宋体" w:hAnsi="宋体" w:eastAsia="宋体" w:cs="宋体"/>
      </w:rPr>
    </w:lvl>
  </w:abstractNum>
  <w:abstractNum w:abstractNumId="4">
    <w:nsid w:val="97A5524B"/>
    <w:multiLevelType w:val="singleLevel"/>
    <w:tmpl w:val="97A5524B"/>
    <w:lvl w:ilvl="0" w:tentative="0">
      <w:start w:val="1"/>
      <w:numFmt w:val="decimal"/>
      <w:suff w:val="nothing"/>
      <w:lvlText w:val="%1、"/>
      <w:lvlJc w:val="left"/>
    </w:lvl>
  </w:abstractNum>
  <w:abstractNum w:abstractNumId="5">
    <w:nsid w:val="A04E93BA"/>
    <w:multiLevelType w:val="singleLevel"/>
    <w:tmpl w:val="A04E93BA"/>
    <w:lvl w:ilvl="0" w:tentative="0">
      <w:start w:val="1"/>
      <w:numFmt w:val="chineseCounting"/>
      <w:suff w:val="nothing"/>
      <w:lvlText w:val="%1、"/>
      <w:lvlJc w:val="left"/>
      <w:pPr>
        <w:tabs>
          <w:tab w:val="left" w:pos="0"/>
        </w:tabs>
        <w:ind w:left="0" w:firstLine="40"/>
      </w:pPr>
      <w:rPr>
        <w:rFonts w:hint="eastAsia" w:ascii="宋体" w:hAnsi="宋体" w:eastAsia="宋体" w:cs="宋体"/>
      </w:rPr>
    </w:lvl>
  </w:abstractNum>
  <w:abstractNum w:abstractNumId="6">
    <w:nsid w:val="A51B0742"/>
    <w:multiLevelType w:val="singleLevel"/>
    <w:tmpl w:val="A51B0742"/>
    <w:lvl w:ilvl="0" w:tentative="0">
      <w:start w:val="1"/>
      <w:numFmt w:val="decimalEnclosedCircleChinese"/>
      <w:suff w:val="nothing"/>
      <w:lvlText w:val="%1　"/>
      <w:lvlJc w:val="left"/>
      <w:pPr>
        <w:ind w:left="0" w:firstLine="1134"/>
      </w:pPr>
      <w:rPr>
        <w:rFonts w:hint="eastAsia"/>
      </w:rPr>
    </w:lvl>
  </w:abstractNum>
  <w:abstractNum w:abstractNumId="7">
    <w:nsid w:val="A623EEB2"/>
    <w:multiLevelType w:val="singleLevel"/>
    <w:tmpl w:val="A623EEB2"/>
    <w:lvl w:ilvl="0" w:tentative="0">
      <w:start w:val="1"/>
      <w:numFmt w:val="decimal"/>
      <w:suff w:val="nothing"/>
      <w:lvlText w:val="4.%1 "/>
      <w:lvlJc w:val="left"/>
      <w:pPr>
        <w:tabs>
          <w:tab w:val="left" w:pos="0"/>
        </w:tabs>
        <w:ind w:left="0" w:firstLine="40"/>
      </w:pPr>
      <w:rPr>
        <w:rFonts w:hint="default" w:ascii="宋体" w:hAnsi="宋体" w:eastAsia="宋体" w:cs="宋体"/>
      </w:rPr>
    </w:lvl>
  </w:abstractNum>
  <w:abstractNum w:abstractNumId="8">
    <w:nsid w:val="C65771D8"/>
    <w:multiLevelType w:val="singleLevel"/>
    <w:tmpl w:val="C65771D8"/>
    <w:lvl w:ilvl="0" w:tentative="0">
      <w:start w:val="1"/>
      <w:numFmt w:val="decimal"/>
      <w:suff w:val="nothing"/>
      <w:lvlText w:val="19.%1 "/>
      <w:lvlJc w:val="left"/>
      <w:pPr>
        <w:tabs>
          <w:tab w:val="left" w:pos="0"/>
        </w:tabs>
        <w:ind w:left="0" w:firstLine="40"/>
      </w:pPr>
      <w:rPr>
        <w:rFonts w:hint="default" w:ascii="宋体" w:hAnsi="宋体" w:eastAsia="宋体" w:cs="宋体"/>
      </w:rPr>
    </w:lvl>
  </w:abstractNum>
  <w:abstractNum w:abstractNumId="9">
    <w:nsid w:val="C88B87FA"/>
    <w:multiLevelType w:val="singleLevel"/>
    <w:tmpl w:val="C88B87FA"/>
    <w:lvl w:ilvl="0" w:tentative="0">
      <w:start w:val="1"/>
      <w:numFmt w:val="decimal"/>
      <w:suff w:val="nothing"/>
      <w:lvlText w:val="22.%1 "/>
      <w:lvlJc w:val="left"/>
      <w:pPr>
        <w:tabs>
          <w:tab w:val="left" w:pos="0"/>
        </w:tabs>
        <w:ind w:left="0" w:firstLine="40"/>
      </w:pPr>
      <w:rPr>
        <w:rFonts w:hint="default" w:ascii="宋体" w:hAnsi="宋体" w:eastAsia="宋体" w:cs="宋体"/>
      </w:rPr>
    </w:lvl>
  </w:abstractNum>
  <w:abstractNum w:abstractNumId="10">
    <w:nsid w:val="CA005832"/>
    <w:multiLevelType w:val="singleLevel"/>
    <w:tmpl w:val="CA005832"/>
    <w:lvl w:ilvl="0" w:tentative="0">
      <w:start w:val="1"/>
      <w:numFmt w:val="decimal"/>
      <w:suff w:val="nothing"/>
      <w:lvlText w:val="6.%1 "/>
      <w:lvlJc w:val="left"/>
      <w:pPr>
        <w:tabs>
          <w:tab w:val="left" w:pos="0"/>
        </w:tabs>
        <w:ind w:left="0" w:firstLine="40"/>
      </w:pPr>
      <w:rPr>
        <w:rFonts w:hint="default" w:ascii="宋体" w:hAnsi="宋体" w:eastAsia="宋体" w:cs="宋体"/>
      </w:rPr>
    </w:lvl>
  </w:abstractNum>
  <w:abstractNum w:abstractNumId="11">
    <w:nsid w:val="D5C663A9"/>
    <w:multiLevelType w:val="singleLevel"/>
    <w:tmpl w:val="D5C663A9"/>
    <w:lvl w:ilvl="0" w:tentative="0">
      <w:start w:val="1"/>
      <w:numFmt w:val="decimalEnclosedCircleChinese"/>
      <w:suff w:val="nothing"/>
      <w:lvlText w:val="%1　"/>
      <w:lvlJc w:val="left"/>
      <w:pPr>
        <w:ind w:left="0" w:firstLine="1134"/>
      </w:pPr>
      <w:rPr>
        <w:rFonts w:hint="eastAsia"/>
      </w:rPr>
    </w:lvl>
  </w:abstractNum>
  <w:abstractNum w:abstractNumId="12">
    <w:nsid w:val="DE8EBEF4"/>
    <w:multiLevelType w:val="singleLevel"/>
    <w:tmpl w:val="DE8EBEF4"/>
    <w:lvl w:ilvl="0" w:tentative="0">
      <w:start w:val="1"/>
      <w:numFmt w:val="decimal"/>
      <w:suff w:val="nothing"/>
      <w:lvlText w:val="25.%1 "/>
      <w:lvlJc w:val="left"/>
      <w:pPr>
        <w:tabs>
          <w:tab w:val="left" w:pos="0"/>
        </w:tabs>
        <w:ind w:left="0" w:firstLine="40"/>
      </w:pPr>
      <w:rPr>
        <w:rFonts w:hint="default" w:ascii="宋体" w:hAnsi="宋体" w:eastAsia="宋体" w:cs="宋体"/>
      </w:rPr>
    </w:lvl>
  </w:abstractNum>
  <w:abstractNum w:abstractNumId="13">
    <w:nsid w:val="E3D28C86"/>
    <w:multiLevelType w:val="singleLevel"/>
    <w:tmpl w:val="E3D28C86"/>
    <w:lvl w:ilvl="0" w:tentative="0">
      <w:start w:val="1"/>
      <w:numFmt w:val="decimal"/>
      <w:suff w:val="nothing"/>
      <w:lvlText w:val="18.%1 "/>
      <w:lvlJc w:val="left"/>
      <w:pPr>
        <w:tabs>
          <w:tab w:val="left" w:pos="0"/>
        </w:tabs>
        <w:ind w:left="0" w:firstLine="40"/>
      </w:pPr>
      <w:rPr>
        <w:rFonts w:hint="default" w:ascii="宋体" w:hAnsi="宋体" w:eastAsia="宋体" w:cs="宋体"/>
      </w:rPr>
    </w:lvl>
  </w:abstractNum>
  <w:abstractNum w:abstractNumId="14">
    <w:nsid w:val="EDC34A36"/>
    <w:multiLevelType w:val="singleLevel"/>
    <w:tmpl w:val="EDC34A36"/>
    <w:lvl w:ilvl="0" w:tentative="0">
      <w:start w:val="1"/>
      <w:numFmt w:val="decimal"/>
      <w:suff w:val="nothing"/>
      <w:lvlText w:val="12.%1 "/>
      <w:lvlJc w:val="left"/>
      <w:pPr>
        <w:tabs>
          <w:tab w:val="left" w:pos="0"/>
        </w:tabs>
        <w:ind w:left="0" w:firstLine="40"/>
      </w:pPr>
      <w:rPr>
        <w:rFonts w:hint="default" w:ascii="宋体" w:hAnsi="宋体" w:eastAsia="宋体" w:cs="宋体"/>
      </w:rPr>
    </w:lvl>
  </w:abstractNum>
  <w:abstractNum w:abstractNumId="15">
    <w:nsid w:val="0486B618"/>
    <w:multiLevelType w:val="singleLevel"/>
    <w:tmpl w:val="0486B618"/>
    <w:lvl w:ilvl="0" w:tentative="0">
      <w:start w:val="1"/>
      <w:numFmt w:val="decimalEnclosedCircleChinese"/>
      <w:suff w:val="nothing"/>
      <w:lvlText w:val="%1　"/>
      <w:lvlJc w:val="left"/>
      <w:pPr>
        <w:ind w:left="0" w:firstLine="1134"/>
      </w:pPr>
      <w:rPr>
        <w:rFonts w:hint="eastAsia"/>
      </w:rPr>
    </w:lvl>
  </w:abstractNum>
  <w:abstractNum w:abstractNumId="16">
    <w:nsid w:val="0EF9FA53"/>
    <w:multiLevelType w:val="singleLevel"/>
    <w:tmpl w:val="0EF9FA53"/>
    <w:lvl w:ilvl="0" w:tentative="0">
      <w:start w:val="3"/>
      <w:numFmt w:val="chineseCounting"/>
      <w:suff w:val="space"/>
      <w:lvlText w:val="第%1章"/>
      <w:lvlJc w:val="left"/>
      <w:rPr>
        <w:rFonts w:hint="eastAsia"/>
      </w:rPr>
    </w:lvl>
  </w:abstractNum>
  <w:abstractNum w:abstractNumId="17">
    <w:nsid w:val="139B6DF6"/>
    <w:multiLevelType w:val="singleLevel"/>
    <w:tmpl w:val="139B6DF6"/>
    <w:lvl w:ilvl="0" w:tentative="0">
      <w:start w:val="1"/>
      <w:numFmt w:val="decimal"/>
      <w:suff w:val="nothing"/>
      <w:lvlText w:val="9.%1 "/>
      <w:lvlJc w:val="left"/>
      <w:pPr>
        <w:tabs>
          <w:tab w:val="left" w:pos="0"/>
        </w:tabs>
        <w:ind w:left="0" w:firstLine="40"/>
      </w:pPr>
      <w:rPr>
        <w:rFonts w:hint="default" w:ascii="宋体" w:hAnsi="宋体" w:eastAsia="宋体" w:cs="宋体"/>
      </w:rPr>
    </w:lvl>
  </w:abstractNum>
  <w:abstractNum w:abstractNumId="18">
    <w:nsid w:val="1DBCF645"/>
    <w:multiLevelType w:val="singleLevel"/>
    <w:tmpl w:val="1DBCF645"/>
    <w:lvl w:ilvl="0" w:tentative="0">
      <w:start w:val="1"/>
      <w:numFmt w:val="decimalEnclosedCircleChinese"/>
      <w:suff w:val="nothing"/>
      <w:lvlText w:val="%1　"/>
      <w:lvlJc w:val="left"/>
      <w:pPr>
        <w:ind w:left="0" w:firstLine="397"/>
      </w:pPr>
      <w:rPr>
        <w:rFonts w:hint="eastAsia"/>
      </w:rPr>
    </w:lvl>
  </w:abstractNum>
  <w:abstractNum w:abstractNumId="19">
    <w:nsid w:val="1EC1A361"/>
    <w:multiLevelType w:val="singleLevel"/>
    <w:tmpl w:val="1EC1A361"/>
    <w:lvl w:ilvl="0" w:tentative="0">
      <w:start w:val="1"/>
      <w:numFmt w:val="decimalEnclosedCircleChinese"/>
      <w:suff w:val="nothing"/>
      <w:lvlText w:val="%1　"/>
      <w:lvlJc w:val="left"/>
      <w:pPr>
        <w:ind w:left="0" w:firstLine="397"/>
      </w:pPr>
      <w:rPr>
        <w:rFonts w:hint="eastAsia"/>
      </w:rPr>
    </w:lvl>
  </w:abstractNum>
  <w:abstractNum w:abstractNumId="20">
    <w:nsid w:val="22CAA529"/>
    <w:multiLevelType w:val="singleLevel"/>
    <w:tmpl w:val="22CAA529"/>
    <w:lvl w:ilvl="0" w:tentative="0">
      <w:start w:val="1"/>
      <w:numFmt w:val="decimal"/>
      <w:suff w:val="nothing"/>
      <w:lvlText w:val="16.%1 "/>
      <w:lvlJc w:val="left"/>
      <w:pPr>
        <w:ind w:left="0" w:firstLine="1134"/>
      </w:pPr>
      <w:rPr>
        <w:rFonts w:hint="default"/>
      </w:rPr>
    </w:lvl>
  </w:abstractNum>
  <w:abstractNum w:abstractNumId="21">
    <w:nsid w:val="25F33ADD"/>
    <w:multiLevelType w:val="singleLevel"/>
    <w:tmpl w:val="25F33ADD"/>
    <w:lvl w:ilvl="0" w:tentative="0">
      <w:start w:val="1"/>
      <w:numFmt w:val="decimalEnclosedCircleChinese"/>
      <w:suff w:val="nothing"/>
      <w:lvlText w:val="%1　"/>
      <w:lvlJc w:val="left"/>
      <w:pPr>
        <w:ind w:left="0" w:firstLine="1134"/>
      </w:pPr>
      <w:rPr>
        <w:rFonts w:hint="eastAsia"/>
      </w:rPr>
    </w:lvl>
  </w:abstractNum>
  <w:abstractNum w:abstractNumId="22">
    <w:nsid w:val="272BB4B6"/>
    <w:multiLevelType w:val="singleLevel"/>
    <w:tmpl w:val="272BB4B6"/>
    <w:lvl w:ilvl="0" w:tentative="0">
      <w:start w:val="1"/>
      <w:numFmt w:val="decimal"/>
      <w:suff w:val="nothing"/>
      <w:lvlText w:val="1.%1 "/>
      <w:lvlJc w:val="left"/>
      <w:pPr>
        <w:ind w:left="0" w:firstLine="397"/>
      </w:pPr>
      <w:rPr>
        <w:rFonts w:hint="default"/>
      </w:rPr>
    </w:lvl>
  </w:abstractNum>
  <w:abstractNum w:abstractNumId="23">
    <w:nsid w:val="31FBB5E1"/>
    <w:multiLevelType w:val="singleLevel"/>
    <w:tmpl w:val="31FBB5E1"/>
    <w:lvl w:ilvl="0" w:tentative="0">
      <w:start w:val="1"/>
      <w:numFmt w:val="decimal"/>
      <w:suff w:val="nothing"/>
      <w:lvlText w:val="23.%1 "/>
      <w:lvlJc w:val="left"/>
      <w:pPr>
        <w:tabs>
          <w:tab w:val="left" w:pos="0"/>
        </w:tabs>
        <w:ind w:left="0" w:firstLine="40"/>
      </w:pPr>
      <w:rPr>
        <w:rFonts w:hint="default" w:ascii="宋体" w:hAnsi="宋体" w:eastAsia="宋体" w:cs="宋体"/>
      </w:rPr>
    </w:lvl>
  </w:abstractNum>
  <w:abstractNum w:abstractNumId="24">
    <w:nsid w:val="3543FC97"/>
    <w:multiLevelType w:val="singleLevel"/>
    <w:tmpl w:val="3543FC97"/>
    <w:lvl w:ilvl="0" w:tentative="0">
      <w:start w:val="1"/>
      <w:numFmt w:val="decimal"/>
      <w:suff w:val="nothing"/>
      <w:lvlText w:val="17.%1 "/>
      <w:lvlJc w:val="left"/>
      <w:pPr>
        <w:tabs>
          <w:tab w:val="left" w:pos="0"/>
        </w:tabs>
        <w:ind w:left="0" w:firstLine="40"/>
      </w:pPr>
      <w:rPr>
        <w:rFonts w:hint="default" w:ascii="宋体" w:hAnsi="宋体" w:eastAsia="宋体" w:cs="宋体"/>
      </w:rPr>
    </w:lvl>
  </w:abstractNum>
  <w:abstractNum w:abstractNumId="25">
    <w:nsid w:val="3F34804C"/>
    <w:multiLevelType w:val="singleLevel"/>
    <w:tmpl w:val="3F34804C"/>
    <w:lvl w:ilvl="0" w:tentative="0">
      <w:start w:val="1"/>
      <w:numFmt w:val="decimal"/>
      <w:suff w:val="nothing"/>
      <w:lvlText w:val="21.%1 "/>
      <w:lvlJc w:val="left"/>
      <w:pPr>
        <w:tabs>
          <w:tab w:val="left" w:pos="0"/>
        </w:tabs>
        <w:ind w:left="0" w:firstLine="40"/>
      </w:pPr>
      <w:rPr>
        <w:rFonts w:hint="default" w:ascii="宋体" w:hAnsi="宋体" w:eastAsia="宋体" w:cs="宋体"/>
      </w:rPr>
    </w:lvl>
  </w:abstractNum>
  <w:abstractNum w:abstractNumId="26">
    <w:nsid w:val="43F94463"/>
    <w:multiLevelType w:val="singleLevel"/>
    <w:tmpl w:val="43F94463"/>
    <w:lvl w:ilvl="0" w:tentative="0">
      <w:start w:val="1"/>
      <w:numFmt w:val="decimalEnclosedCircleChinese"/>
      <w:suff w:val="nothing"/>
      <w:lvlText w:val="%1　"/>
      <w:lvlJc w:val="left"/>
      <w:pPr>
        <w:ind w:left="-60" w:firstLine="1134"/>
      </w:pPr>
      <w:rPr>
        <w:rFonts w:hint="eastAsia"/>
        <w:color w:val="auto"/>
      </w:rPr>
    </w:lvl>
  </w:abstractNum>
  <w:abstractNum w:abstractNumId="27">
    <w:nsid w:val="45C69E6A"/>
    <w:multiLevelType w:val="singleLevel"/>
    <w:tmpl w:val="45C69E6A"/>
    <w:lvl w:ilvl="0" w:tentative="0">
      <w:start w:val="1"/>
      <w:numFmt w:val="decimal"/>
      <w:suff w:val="nothing"/>
      <w:lvlText w:val="%1、"/>
      <w:lvlJc w:val="left"/>
    </w:lvl>
  </w:abstractNum>
  <w:abstractNum w:abstractNumId="28">
    <w:nsid w:val="466C6E1F"/>
    <w:multiLevelType w:val="multilevel"/>
    <w:tmpl w:val="466C6E1F"/>
    <w:lvl w:ilvl="0" w:tentative="0">
      <w:start w:val="1"/>
      <w:numFmt w:val="upperLetter"/>
      <w:pStyle w:val="4"/>
      <w:lvlText w:val="%1、"/>
      <w:lvlJc w:val="left"/>
      <w:pPr>
        <w:tabs>
          <w:tab w:val="left" w:pos="1275"/>
        </w:tabs>
        <w:ind w:left="1275" w:hanging="720"/>
      </w:pPr>
      <w:rPr>
        <w:rFonts w:hint="eastAsia" w:hAnsi="宋体"/>
      </w:rPr>
    </w:lvl>
    <w:lvl w:ilvl="1" w:tentative="0">
      <w:start w:val="1"/>
      <w:numFmt w:val="decimalEnclosedCircle"/>
      <w:lvlText w:val="%2"/>
      <w:lvlJc w:val="left"/>
      <w:pPr>
        <w:tabs>
          <w:tab w:val="left" w:pos="1335"/>
        </w:tabs>
        <w:ind w:left="1335" w:hanging="360"/>
      </w:pPr>
      <w:rPr>
        <w:rFonts w:hint="eastAsia" w:hAnsi="宋体"/>
      </w:rPr>
    </w:lvl>
    <w:lvl w:ilvl="2" w:tentative="0">
      <w:start w:val="1"/>
      <w:numFmt w:val="lowerRoman"/>
      <w:lvlText w:val="%3."/>
      <w:lvlJc w:val="right"/>
      <w:pPr>
        <w:tabs>
          <w:tab w:val="left" w:pos="1815"/>
        </w:tabs>
        <w:ind w:left="1815" w:hanging="420"/>
      </w:pPr>
    </w:lvl>
    <w:lvl w:ilvl="3" w:tentative="0">
      <w:start w:val="1"/>
      <w:numFmt w:val="decimal"/>
      <w:lvlText w:val="%4."/>
      <w:lvlJc w:val="left"/>
      <w:pPr>
        <w:tabs>
          <w:tab w:val="left" w:pos="2235"/>
        </w:tabs>
        <w:ind w:left="2235" w:hanging="420"/>
      </w:pPr>
    </w:lvl>
    <w:lvl w:ilvl="4" w:tentative="0">
      <w:start w:val="1"/>
      <w:numFmt w:val="lowerLetter"/>
      <w:lvlText w:val="%5)"/>
      <w:lvlJc w:val="left"/>
      <w:pPr>
        <w:tabs>
          <w:tab w:val="left" w:pos="2655"/>
        </w:tabs>
        <w:ind w:left="2655" w:hanging="420"/>
      </w:pPr>
    </w:lvl>
    <w:lvl w:ilvl="5" w:tentative="0">
      <w:start w:val="1"/>
      <w:numFmt w:val="lowerRoman"/>
      <w:lvlText w:val="%6."/>
      <w:lvlJc w:val="right"/>
      <w:pPr>
        <w:tabs>
          <w:tab w:val="left" w:pos="3075"/>
        </w:tabs>
        <w:ind w:left="3075" w:hanging="420"/>
      </w:pPr>
    </w:lvl>
    <w:lvl w:ilvl="6" w:tentative="0">
      <w:start w:val="1"/>
      <w:numFmt w:val="decimal"/>
      <w:lvlText w:val="%7."/>
      <w:lvlJc w:val="left"/>
      <w:pPr>
        <w:tabs>
          <w:tab w:val="left" w:pos="3495"/>
        </w:tabs>
        <w:ind w:left="3495" w:hanging="420"/>
      </w:pPr>
    </w:lvl>
    <w:lvl w:ilvl="7" w:tentative="0">
      <w:start w:val="1"/>
      <w:numFmt w:val="lowerLetter"/>
      <w:lvlText w:val="%8)"/>
      <w:lvlJc w:val="left"/>
      <w:pPr>
        <w:tabs>
          <w:tab w:val="left" w:pos="3915"/>
        </w:tabs>
        <w:ind w:left="3915" w:hanging="420"/>
      </w:pPr>
    </w:lvl>
    <w:lvl w:ilvl="8" w:tentative="0">
      <w:start w:val="1"/>
      <w:numFmt w:val="lowerRoman"/>
      <w:lvlText w:val="%9."/>
      <w:lvlJc w:val="right"/>
      <w:pPr>
        <w:tabs>
          <w:tab w:val="left" w:pos="4335"/>
        </w:tabs>
        <w:ind w:left="4335" w:hanging="420"/>
      </w:pPr>
    </w:lvl>
  </w:abstractNum>
  <w:abstractNum w:abstractNumId="29">
    <w:nsid w:val="474E1A63"/>
    <w:multiLevelType w:val="singleLevel"/>
    <w:tmpl w:val="474E1A63"/>
    <w:lvl w:ilvl="0" w:tentative="0">
      <w:start w:val="1"/>
      <w:numFmt w:val="decimalEnclosedCircleChinese"/>
      <w:suff w:val="nothing"/>
      <w:lvlText w:val="%1　"/>
      <w:lvlJc w:val="left"/>
      <w:pPr>
        <w:ind w:left="0" w:firstLine="1134"/>
      </w:pPr>
      <w:rPr>
        <w:rFonts w:hint="eastAsia"/>
      </w:rPr>
    </w:lvl>
  </w:abstractNum>
  <w:abstractNum w:abstractNumId="30">
    <w:nsid w:val="4A11519D"/>
    <w:multiLevelType w:val="singleLevel"/>
    <w:tmpl w:val="4A11519D"/>
    <w:lvl w:ilvl="0" w:tentative="0">
      <w:start w:val="1"/>
      <w:numFmt w:val="decimalEnclosedCircleChinese"/>
      <w:suff w:val="nothing"/>
      <w:lvlText w:val="%1　"/>
      <w:lvlJc w:val="left"/>
      <w:pPr>
        <w:ind w:left="-60" w:firstLine="1134"/>
      </w:pPr>
      <w:rPr>
        <w:rFonts w:hint="eastAsia"/>
        <w:color w:val="auto"/>
      </w:rPr>
    </w:lvl>
  </w:abstractNum>
  <w:abstractNum w:abstractNumId="31">
    <w:nsid w:val="4D4A2151"/>
    <w:multiLevelType w:val="singleLevel"/>
    <w:tmpl w:val="4D4A2151"/>
    <w:lvl w:ilvl="0" w:tentative="0">
      <w:start w:val="1"/>
      <w:numFmt w:val="decimal"/>
      <w:suff w:val="nothing"/>
      <w:lvlText w:val="%1．"/>
      <w:lvlJc w:val="left"/>
      <w:pPr>
        <w:ind w:left="0" w:firstLine="397"/>
      </w:pPr>
      <w:rPr>
        <w:rFonts w:hint="default"/>
      </w:rPr>
    </w:lvl>
  </w:abstractNum>
  <w:abstractNum w:abstractNumId="32">
    <w:nsid w:val="51450D3F"/>
    <w:multiLevelType w:val="singleLevel"/>
    <w:tmpl w:val="51450D3F"/>
    <w:lvl w:ilvl="0" w:tentative="0">
      <w:start w:val="1"/>
      <w:numFmt w:val="chineseCounting"/>
      <w:suff w:val="nothing"/>
      <w:lvlText w:val="%1、"/>
      <w:lvlJc w:val="left"/>
      <w:pPr>
        <w:tabs>
          <w:tab w:val="left" w:pos="0"/>
        </w:tabs>
        <w:ind w:left="0" w:firstLine="40"/>
      </w:pPr>
      <w:rPr>
        <w:rFonts w:hint="eastAsia" w:ascii="宋体" w:hAnsi="宋体" w:eastAsia="宋体" w:cs="宋体"/>
      </w:rPr>
    </w:lvl>
  </w:abstractNum>
  <w:abstractNum w:abstractNumId="33">
    <w:nsid w:val="5541E354"/>
    <w:multiLevelType w:val="singleLevel"/>
    <w:tmpl w:val="5541E354"/>
    <w:lvl w:ilvl="0" w:tentative="0">
      <w:start w:val="1"/>
      <w:numFmt w:val="decimal"/>
      <w:suff w:val="nothing"/>
      <w:lvlText w:val="24.17.%1 "/>
      <w:lvlJc w:val="left"/>
      <w:pPr>
        <w:tabs>
          <w:tab w:val="left" w:pos="0"/>
        </w:tabs>
        <w:ind w:left="0" w:firstLine="40"/>
      </w:pPr>
      <w:rPr>
        <w:rFonts w:hint="default" w:ascii="宋体" w:hAnsi="宋体" w:eastAsia="宋体" w:cs="宋体"/>
      </w:rPr>
    </w:lvl>
  </w:abstractNum>
  <w:abstractNum w:abstractNumId="34">
    <w:nsid w:val="56581EFE"/>
    <w:multiLevelType w:val="singleLevel"/>
    <w:tmpl w:val="56581EFE"/>
    <w:lvl w:ilvl="0" w:tentative="0">
      <w:start w:val="1"/>
      <w:numFmt w:val="decimal"/>
      <w:suff w:val="nothing"/>
      <w:lvlText w:val="24.%1 "/>
      <w:lvlJc w:val="left"/>
      <w:pPr>
        <w:ind w:left="0" w:firstLine="397"/>
      </w:pPr>
      <w:rPr>
        <w:rFonts w:hint="default"/>
      </w:rPr>
    </w:lvl>
  </w:abstractNum>
  <w:abstractNum w:abstractNumId="35">
    <w:nsid w:val="62705028"/>
    <w:multiLevelType w:val="singleLevel"/>
    <w:tmpl w:val="62705028"/>
    <w:lvl w:ilvl="0" w:tentative="0">
      <w:start w:val="1"/>
      <w:numFmt w:val="decimalEnclosedCircleChinese"/>
      <w:suff w:val="nothing"/>
      <w:lvlText w:val="%1　"/>
      <w:lvlJc w:val="left"/>
      <w:pPr>
        <w:ind w:left="0" w:firstLine="397"/>
      </w:pPr>
      <w:rPr>
        <w:rFonts w:hint="eastAsia"/>
      </w:rPr>
    </w:lvl>
  </w:abstractNum>
  <w:abstractNum w:abstractNumId="36">
    <w:nsid w:val="6271A596"/>
    <w:multiLevelType w:val="singleLevel"/>
    <w:tmpl w:val="6271A596"/>
    <w:lvl w:ilvl="0" w:tentative="0">
      <w:start w:val="1"/>
      <w:numFmt w:val="decimal"/>
      <w:suff w:val="nothing"/>
      <w:lvlText w:val="5.%1 "/>
      <w:lvlJc w:val="left"/>
      <w:pPr>
        <w:tabs>
          <w:tab w:val="left" w:pos="0"/>
        </w:tabs>
        <w:ind w:left="0" w:firstLine="40"/>
      </w:pPr>
      <w:rPr>
        <w:rFonts w:hint="default" w:ascii="宋体" w:hAnsi="宋体" w:eastAsia="宋体" w:cs="宋体"/>
      </w:rPr>
    </w:lvl>
  </w:abstractNum>
  <w:abstractNum w:abstractNumId="37">
    <w:nsid w:val="63557B35"/>
    <w:multiLevelType w:val="singleLevel"/>
    <w:tmpl w:val="63557B35"/>
    <w:lvl w:ilvl="0" w:tentative="0">
      <w:start w:val="1"/>
      <w:numFmt w:val="upperLetter"/>
      <w:pStyle w:val="5"/>
      <w:lvlText w:val="%1、"/>
      <w:lvlJc w:val="left"/>
      <w:pPr>
        <w:tabs>
          <w:tab w:val="left" w:pos="1035"/>
        </w:tabs>
        <w:ind w:left="1035" w:hanging="420"/>
      </w:pPr>
      <w:rPr>
        <w:rFonts w:hint="eastAsia"/>
      </w:rPr>
    </w:lvl>
  </w:abstractNum>
  <w:abstractNum w:abstractNumId="38">
    <w:nsid w:val="6EF32394"/>
    <w:multiLevelType w:val="singleLevel"/>
    <w:tmpl w:val="6EF32394"/>
    <w:lvl w:ilvl="0" w:tentative="0">
      <w:start w:val="1"/>
      <w:numFmt w:val="decimal"/>
      <w:suff w:val="nothing"/>
      <w:lvlText w:val="7.%1 "/>
      <w:lvlJc w:val="left"/>
      <w:pPr>
        <w:tabs>
          <w:tab w:val="left" w:pos="0"/>
        </w:tabs>
        <w:ind w:left="0" w:firstLine="40"/>
      </w:pPr>
      <w:rPr>
        <w:rFonts w:hint="default" w:ascii="宋体" w:hAnsi="宋体" w:eastAsia="宋体" w:cs="宋体"/>
      </w:rPr>
    </w:lvl>
  </w:abstractNum>
  <w:abstractNum w:abstractNumId="39">
    <w:nsid w:val="6F596645"/>
    <w:multiLevelType w:val="singleLevel"/>
    <w:tmpl w:val="6F596645"/>
    <w:lvl w:ilvl="0" w:tentative="0">
      <w:start w:val="1"/>
      <w:numFmt w:val="decimal"/>
      <w:suff w:val="nothing"/>
      <w:lvlText w:val="27.%1 "/>
      <w:lvlJc w:val="left"/>
      <w:pPr>
        <w:tabs>
          <w:tab w:val="left" w:pos="0"/>
        </w:tabs>
        <w:ind w:left="0" w:firstLine="40"/>
      </w:pPr>
      <w:rPr>
        <w:rFonts w:hint="default" w:ascii="宋体" w:hAnsi="宋体" w:eastAsia="宋体" w:cs="宋体"/>
      </w:rPr>
    </w:lvl>
  </w:abstractNum>
  <w:abstractNum w:abstractNumId="40">
    <w:nsid w:val="765D7662"/>
    <w:multiLevelType w:val="singleLevel"/>
    <w:tmpl w:val="765D7662"/>
    <w:lvl w:ilvl="0" w:tentative="0">
      <w:start w:val="2"/>
      <w:numFmt w:val="decimal"/>
      <w:suff w:val="nothing"/>
      <w:lvlText w:val="%1、"/>
      <w:lvlJc w:val="left"/>
      <w:pPr>
        <w:ind w:left="420"/>
      </w:pPr>
    </w:lvl>
  </w:abstractNum>
  <w:abstractNum w:abstractNumId="41">
    <w:nsid w:val="7B2826C6"/>
    <w:multiLevelType w:val="singleLevel"/>
    <w:tmpl w:val="7B2826C6"/>
    <w:lvl w:ilvl="0" w:tentative="0">
      <w:start w:val="1"/>
      <w:numFmt w:val="decimal"/>
      <w:suff w:val="nothing"/>
      <w:lvlText w:val="%1．"/>
      <w:lvlJc w:val="left"/>
      <w:pPr>
        <w:ind w:left="0" w:firstLine="397"/>
      </w:pPr>
      <w:rPr>
        <w:rFonts w:hint="default"/>
      </w:rPr>
    </w:lvl>
  </w:abstractNum>
  <w:num w:numId="1">
    <w:abstractNumId w:val="28"/>
  </w:num>
  <w:num w:numId="2">
    <w:abstractNumId w:val="37"/>
  </w:num>
  <w:num w:numId="3">
    <w:abstractNumId w:val="31"/>
  </w:num>
  <w:num w:numId="4">
    <w:abstractNumId w:val="18"/>
  </w:num>
  <w:num w:numId="5">
    <w:abstractNumId w:val="41"/>
  </w:num>
  <w:num w:numId="6">
    <w:abstractNumId w:val="19"/>
  </w:num>
  <w:num w:numId="7">
    <w:abstractNumId w:val="35"/>
  </w:num>
  <w:num w:numId="8">
    <w:abstractNumId w:val="0"/>
  </w:num>
  <w:num w:numId="9">
    <w:abstractNumId w:val="22"/>
  </w:num>
  <w:num w:numId="10">
    <w:abstractNumId w:val="6"/>
  </w:num>
  <w:num w:numId="11">
    <w:abstractNumId w:val="7"/>
  </w:num>
  <w:num w:numId="12">
    <w:abstractNumId w:val="15"/>
  </w:num>
  <w:num w:numId="13">
    <w:abstractNumId w:val="36"/>
  </w:num>
  <w:num w:numId="14">
    <w:abstractNumId w:val="10"/>
  </w:num>
  <w:num w:numId="15">
    <w:abstractNumId w:val="38"/>
  </w:num>
  <w:num w:numId="16">
    <w:abstractNumId w:val="17"/>
  </w:num>
  <w:num w:numId="17">
    <w:abstractNumId w:val="29"/>
  </w:num>
  <w:num w:numId="18">
    <w:abstractNumId w:val="26"/>
  </w:num>
  <w:num w:numId="19">
    <w:abstractNumId w:val="11"/>
  </w:num>
  <w:num w:numId="20">
    <w:abstractNumId w:val="2"/>
  </w:num>
  <w:num w:numId="21">
    <w:abstractNumId w:val="14"/>
  </w:num>
  <w:num w:numId="22">
    <w:abstractNumId w:val="3"/>
  </w:num>
  <w:num w:numId="23">
    <w:abstractNumId w:val="20"/>
  </w:num>
  <w:num w:numId="24">
    <w:abstractNumId w:val="24"/>
  </w:num>
  <w:num w:numId="25">
    <w:abstractNumId w:val="13"/>
  </w:num>
  <w:num w:numId="26">
    <w:abstractNumId w:val="8"/>
  </w:num>
  <w:num w:numId="27">
    <w:abstractNumId w:val="25"/>
  </w:num>
  <w:num w:numId="28">
    <w:abstractNumId w:val="9"/>
  </w:num>
  <w:num w:numId="29">
    <w:abstractNumId w:val="23"/>
  </w:num>
  <w:num w:numId="30">
    <w:abstractNumId w:val="34"/>
  </w:num>
  <w:num w:numId="31">
    <w:abstractNumId w:val="33"/>
  </w:num>
  <w:num w:numId="32">
    <w:abstractNumId w:val="12"/>
  </w:num>
  <w:num w:numId="33">
    <w:abstractNumId w:val="21"/>
  </w:num>
  <w:num w:numId="34">
    <w:abstractNumId w:val="39"/>
  </w:num>
  <w:num w:numId="35">
    <w:abstractNumId w:val="1"/>
  </w:num>
  <w:num w:numId="36">
    <w:abstractNumId w:val="4"/>
  </w:num>
  <w:num w:numId="37">
    <w:abstractNumId w:val="40"/>
  </w:num>
  <w:num w:numId="38">
    <w:abstractNumId w:val="27"/>
  </w:num>
  <w:num w:numId="39">
    <w:abstractNumId w:val="32"/>
  </w:num>
  <w:num w:numId="40">
    <w:abstractNumId w:val="16"/>
  </w:num>
  <w:num w:numId="41">
    <w:abstractNumId w:val="5"/>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val="1"/>
  <w:bordersDoNotSurroundFooter w:val="1"/>
  <w:doNotTrackMove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zNjA5ZjFmMTIzMDExYmU3OTJkYTIwZTcyZmIzM2EifQ=="/>
  </w:docVars>
  <w:rsids>
    <w:rsidRoot w:val="004B0811"/>
    <w:rsid w:val="00000049"/>
    <w:rsid w:val="00001DA3"/>
    <w:rsid w:val="00006204"/>
    <w:rsid w:val="00006818"/>
    <w:rsid w:val="000075DA"/>
    <w:rsid w:val="000077D0"/>
    <w:rsid w:val="00007AAB"/>
    <w:rsid w:val="000148D6"/>
    <w:rsid w:val="00015D59"/>
    <w:rsid w:val="00016095"/>
    <w:rsid w:val="00016B73"/>
    <w:rsid w:val="00017390"/>
    <w:rsid w:val="00017802"/>
    <w:rsid w:val="00020033"/>
    <w:rsid w:val="00020A81"/>
    <w:rsid w:val="000213B6"/>
    <w:rsid w:val="00024B66"/>
    <w:rsid w:val="00026361"/>
    <w:rsid w:val="000264F4"/>
    <w:rsid w:val="00027239"/>
    <w:rsid w:val="0003102E"/>
    <w:rsid w:val="0003167E"/>
    <w:rsid w:val="000328AC"/>
    <w:rsid w:val="00033D8A"/>
    <w:rsid w:val="00035C7B"/>
    <w:rsid w:val="00041E62"/>
    <w:rsid w:val="0004226E"/>
    <w:rsid w:val="00045CF2"/>
    <w:rsid w:val="000464E5"/>
    <w:rsid w:val="0004792A"/>
    <w:rsid w:val="0004794A"/>
    <w:rsid w:val="00047C53"/>
    <w:rsid w:val="00050858"/>
    <w:rsid w:val="000510A3"/>
    <w:rsid w:val="00052D30"/>
    <w:rsid w:val="00053264"/>
    <w:rsid w:val="000536AD"/>
    <w:rsid w:val="00055D77"/>
    <w:rsid w:val="00055F1C"/>
    <w:rsid w:val="00056840"/>
    <w:rsid w:val="000611ED"/>
    <w:rsid w:val="00062CA2"/>
    <w:rsid w:val="000635FE"/>
    <w:rsid w:val="00063E4F"/>
    <w:rsid w:val="0006491A"/>
    <w:rsid w:val="00066D6C"/>
    <w:rsid w:val="00067276"/>
    <w:rsid w:val="00070161"/>
    <w:rsid w:val="000708A0"/>
    <w:rsid w:val="00070FE2"/>
    <w:rsid w:val="00071029"/>
    <w:rsid w:val="00071C5B"/>
    <w:rsid w:val="00074863"/>
    <w:rsid w:val="00075387"/>
    <w:rsid w:val="00076F53"/>
    <w:rsid w:val="00087AF0"/>
    <w:rsid w:val="000912C7"/>
    <w:rsid w:val="0009279F"/>
    <w:rsid w:val="000929DA"/>
    <w:rsid w:val="00094E71"/>
    <w:rsid w:val="0009767A"/>
    <w:rsid w:val="00097953"/>
    <w:rsid w:val="000A241D"/>
    <w:rsid w:val="000A5490"/>
    <w:rsid w:val="000B0DE4"/>
    <w:rsid w:val="000B1151"/>
    <w:rsid w:val="000B1CDD"/>
    <w:rsid w:val="000B3611"/>
    <w:rsid w:val="000B4627"/>
    <w:rsid w:val="000B5F6E"/>
    <w:rsid w:val="000B76CD"/>
    <w:rsid w:val="000C2631"/>
    <w:rsid w:val="000C2AC6"/>
    <w:rsid w:val="000C663A"/>
    <w:rsid w:val="000C6E71"/>
    <w:rsid w:val="000D05CC"/>
    <w:rsid w:val="000D263B"/>
    <w:rsid w:val="000D2BAD"/>
    <w:rsid w:val="000D3604"/>
    <w:rsid w:val="000D3E6D"/>
    <w:rsid w:val="000D4E3C"/>
    <w:rsid w:val="000D504A"/>
    <w:rsid w:val="000E136C"/>
    <w:rsid w:val="000E1A92"/>
    <w:rsid w:val="000E1D06"/>
    <w:rsid w:val="000E21F5"/>
    <w:rsid w:val="000E3289"/>
    <w:rsid w:val="000E38B1"/>
    <w:rsid w:val="000E4664"/>
    <w:rsid w:val="000E4978"/>
    <w:rsid w:val="000E526A"/>
    <w:rsid w:val="000E5496"/>
    <w:rsid w:val="000E57E4"/>
    <w:rsid w:val="000E730F"/>
    <w:rsid w:val="000E76CC"/>
    <w:rsid w:val="000E7745"/>
    <w:rsid w:val="000F02FC"/>
    <w:rsid w:val="000F1FF4"/>
    <w:rsid w:val="000F45D5"/>
    <w:rsid w:val="000F4A41"/>
    <w:rsid w:val="000F50EA"/>
    <w:rsid w:val="000F5E25"/>
    <w:rsid w:val="000F5F2A"/>
    <w:rsid w:val="000F7138"/>
    <w:rsid w:val="000F7272"/>
    <w:rsid w:val="000F7D1F"/>
    <w:rsid w:val="00102B8C"/>
    <w:rsid w:val="001049C2"/>
    <w:rsid w:val="0010598A"/>
    <w:rsid w:val="00106539"/>
    <w:rsid w:val="00106DAD"/>
    <w:rsid w:val="00107709"/>
    <w:rsid w:val="00112DFA"/>
    <w:rsid w:val="00116DAA"/>
    <w:rsid w:val="001207CD"/>
    <w:rsid w:val="00120FD6"/>
    <w:rsid w:val="0012256C"/>
    <w:rsid w:val="001234B4"/>
    <w:rsid w:val="001239D4"/>
    <w:rsid w:val="00124CC2"/>
    <w:rsid w:val="001306A4"/>
    <w:rsid w:val="00130B31"/>
    <w:rsid w:val="00131F44"/>
    <w:rsid w:val="00132490"/>
    <w:rsid w:val="001330B0"/>
    <w:rsid w:val="001346A9"/>
    <w:rsid w:val="00136306"/>
    <w:rsid w:val="00141DA5"/>
    <w:rsid w:val="001434F8"/>
    <w:rsid w:val="00145D2A"/>
    <w:rsid w:val="00145DEA"/>
    <w:rsid w:val="001468A0"/>
    <w:rsid w:val="00154F16"/>
    <w:rsid w:val="00157B09"/>
    <w:rsid w:val="00164064"/>
    <w:rsid w:val="00167BCB"/>
    <w:rsid w:val="0017220F"/>
    <w:rsid w:val="0017302D"/>
    <w:rsid w:val="00175A80"/>
    <w:rsid w:val="00181AB5"/>
    <w:rsid w:val="001840F0"/>
    <w:rsid w:val="0018512C"/>
    <w:rsid w:val="0018546D"/>
    <w:rsid w:val="00185753"/>
    <w:rsid w:val="00186A09"/>
    <w:rsid w:val="00187DD3"/>
    <w:rsid w:val="00191FD8"/>
    <w:rsid w:val="001940F2"/>
    <w:rsid w:val="00194886"/>
    <w:rsid w:val="00194D4C"/>
    <w:rsid w:val="0019559D"/>
    <w:rsid w:val="00196875"/>
    <w:rsid w:val="00196E04"/>
    <w:rsid w:val="001A09BA"/>
    <w:rsid w:val="001A1935"/>
    <w:rsid w:val="001A493D"/>
    <w:rsid w:val="001A5F98"/>
    <w:rsid w:val="001B260D"/>
    <w:rsid w:val="001B2755"/>
    <w:rsid w:val="001B47F1"/>
    <w:rsid w:val="001B4867"/>
    <w:rsid w:val="001B6049"/>
    <w:rsid w:val="001B71A5"/>
    <w:rsid w:val="001B7285"/>
    <w:rsid w:val="001C140D"/>
    <w:rsid w:val="001C22F6"/>
    <w:rsid w:val="001C26B1"/>
    <w:rsid w:val="001C4339"/>
    <w:rsid w:val="001C462F"/>
    <w:rsid w:val="001C48E8"/>
    <w:rsid w:val="001C53F8"/>
    <w:rsid w:val="001C6443"/>
    <w:rsid w:val="001C6B0C"/>
    <w:rsid w:val="001C6B30"/>
    <w:rsid w:val="001C770C"/>
    <w:rsid w:val="001D0151"/>
    <w:rsid w:val="001D0B98"/>
    <w:rsid w:val="001D1962"/>
    <w:rsid w:val="001D3140"/>
    <w:rsid w:val="001D5944"/>
    <w:rsid w:val="001D6588"/>
    <w:rsid w:val="001D7FA5"/>
    <w:rsid w:val="001E32A6"/>
    <w:rsid w:val="001E44D7"/>
    <w:rsid w:val="001E48F2"/>
    <w:rsid w:val="001E6213"/>
    <w:rsid w:val="001E65BA"/>
    <w:rsid w:val="001E7840"/>
    <w:rsid w:val="001F0C21"/>
    <w:rsid w:val="001F201E"/>
    <w:rsid w:val="001F46F2"/>
    <w:rsid w:val="001F4C6E"/>
    <w:rsid w:val="001F596D"/>
    <w:rsid w:val="001F5E72"/>
    <w:rsid w:val="001F63FD"/>
    <w:rsid w:val="00200792"/>
    <w:rsid w:val="00201ADE"/>
    <w:rsid w:val="00204166"/>
    <w:rsid w:val="00204834"/>
    <w:rsid w:val="002054EF"/>
    <w:rsid w:val="00207B4A"/>
    <w:rsid w:val="00210ADD"/>
    <w:rsid w:val="00213308"/>
    <w:rsid w:val="002134B6"/>
    <w:rsid w:val="0021411E"/>
    <w:rsid w:val="002166F5"/>
    <w:rsid w:val="0022084E"/>
    <w:rsid w:val="0022104A"/>
    <w:rsid w:val="00221186"/>
    <w:rsid w:val="00221F74"/>
    <w:rsid w:val="00222F9D"/>
    <w:rsid w:val="00226C15"/>
    <w:rsid w:val="00227274"/>
    <w:rsid w:val="00233994"/>
    <w:rsid w:val="002364CF"/>
    <w:rsid w:val="00236ADE"/>
    <w:rsid w:val="0023751B"/>
    <w:rsid w:val="002375BB"/>
    <w:rsid w:val="00240191"/>
    <w:rsid w:val="00241308"/>
    <w:rsid w:val="00242543"/>
    <w:rsid w:val="0024409C"/>
    <w:rsid w:val="00244106"/>
    <w:rsid w:val="00245323"/>
    <w:rsid w:val="00245C61"/>
    <w:rsid w:val="0024706D"/>
    <w:rsid w:val="00247E15"/>
    <w:rsid w:val="00252A03"/>
    <w:rsid w:val="00254070"/>
    <w:rsid w:val="0025652F"/>
    <w:rsid w:val="00257CCC"/>
    <w:rsid w:val="002606EC"/>
    <w:rsid w:val="00260EDD"/>
    <w:rsid w:val="002648CE"/>
    <w:rsid w:val="00264AF0"/>
    <w:rsid w:val="00270E2D"/>
    <w:rsid w:val="002737DE"/>
    <w:rsid w:val="00274F9A"/>
    <w:rsid w:val="00275072"/>
    <w:rsid w:val="00275157"/>
    <w:rsid w:val="002751D8"/>
    <w:rsid w:val="00280D86"/>
    <w:rsid w:val="00284635"/>
    <w:rsid w:val="00285763"/>
    <w:rsid w:val="00285F7E"/>
    <w:rsid w:val="0029041C"/>
    <w:rsid w:val="0029087D"/>
    <w:rsid w:val="002916B1"/>
    <w:rsid w:val="00295155"/>
    <w:rsid w:val="00296D5E"/>
    <w:rsid w:val="002972FE"/>
    <w:rsid w:val="002A2ACF"/>
    <w:rsid w:val="002A50C8"/>
    <w:rsid w:val="002A64CA"/>
    <w:rsid w:val="002B17BF"/>
    <w:rsid w:val="002B7653"/>
    <w:rsid w:val="002C4E6C"/>
    <w:rsid w:val="002C5223"/>
    <w:rsid w:val="002C7A2D"/>
    <w:rsid w:val="002D07A7"/>
    <w:rsid w:val="002D11D9"/>
    <w:rsid w:val="002D4CE0"/>
    <w:rsid w:val="002D6B41"/>
    <w:rsid w:val="002E2739"/>
    <w:rsid w:val="002E35E9"/>
    <w:rsid w:val="002F08B1"/>
    <w:rsid w:val="002F097F"/>
    <w:rsid w:val="002F2E8D"/>
    <w:rsid w:val="002F378A"/>
    <w:rsid w:val="002F4F8D"/>
    <w:rsid w:val="003012E1"/>
    <w:rsid w:val="00304C92"/>
    <w:rsid w:val="00305DD1"/>
    <w:rsid w:val="003072EC"/>
    <w:rsid w:val="00307CB2"/>
    <w:rsid w:val="0031129B"/>
    <w:rsid w:val="00311554"/>
    <w:rsid w:val="0031584F"/>
    <w:rsid w:val="00317185"/>
    <w:rsid w:val="0032106B"/>
    <w:rsid w:val="0032607A"/>
    <w:rsid w:val="00327130"/>
    <w:rsid w:val="003301C1"/>
    <w:rsid w:val="00330616"/>
    <w:rsid w:val="00333072"/>
    <w:rsid w:val="00334145"/>
    <w:rsid w:val="0033593F"/>
    <w:rsid w:val="00335F6A"/>
    <w:rsid w:val="00336801"/>
    <w:rsid w:val="00341057"/>
    <w:rsid w:val="00343AD4"/>
    <w:rsid w:val="00344647"/>
    <w:rsid w:val="00344C66"/>
    <w:rsid w:val="00346F9B"/>
    <w:rsid w:val="003503F3"/>
    <w:rsid w:val="00350650"/>
    <w:rsid w:val="003510DB"/>
    <w:rsid w:val="0035370E"/>
    <w:rsid w:val="00354D93"/>
    <w:rsid w:val="00355E84"/>
    <w:rsid w:val="00355E89"/>
    <w:rsid w:val="00361B43"/>
    <w:rsid w:val="00363BE4"/>
    <w:rsid w:val="0036471B"/>
    <w:rsid w:val="003650E0"/>
    <w:rsid w:val="00365265"/>
    <w:rsid w:val="0036599E"/>
    <w:rsid w:val="00365DEC"/>
    <w:rsid w:val="00366048"/>
    <w:rsid w:val="003666A9"/>
    <w:rsid w:val="00367622"/>
    <w:rsid w:val="00370309"/>
    <w:rsid w:val="0037377A"/>
    <w:rsid w:val="00373BFA"/>
    <w:rsid w:val="0038062E"/>
    <w:rsid w:val="00380EBB"/>
    <w:rsid w:val="00381BBB"/>
    <w:rsid w:val="00383AA4"/>
    <w:rsid w:val="00392324"/>
    <w:rsid w:val="00392CCA"/>
    <w:rsid w:val="00395EFF"/>
    <w:rsid w:val="003A7212"/>
    <w:rsid w:val="003A7F88"/>
    <w:rsid w:val="003B12B1"/>
    <w:rsid w:val="003B254E"/>
    <w:rsid w:val="003B5E1A"/>
    <w:rsid w:val="003C045D"/>
    <w:rsid w:val="003C05AC"/>
    <w:rsid w:val="003C06D5"/>
    <w:rsid w:val="003C18E8"/>
    <w:rsid w:val="003C2615"/>
    <w:rsid w:val="003C2BEF"/>
    <w:rsid w:val="003D54F9"/>
    <w:rsid w:val="003E03D0"/>
    <w:rsid w:val="003E0923"/>
    <w:rsid w:val="003E2076"/>
    <w:rsid w:val="003E4A85"/>
    <w:rsid w:val="003E650C"/>
    <w:rsid w:val="003E724B"/>
    <w:rsid w:val="003E75CD"/>
    <w:rsid w:val="003F6C24"/>
    <w:rsid w:val="004035C7"/>
    <w:rsid w:val="00403969"/>
    <w:rsid w:val="00403983"/>
    <w:rsid w:val="00404796"/>
    <w:rsid w:val="00411B98"/>
    <w:rsid w:val="00412A01"/>
    <w:rsid w:val="00414504"/>
    <w:rsid w:val="004205FB"/>
    <w:rsid w:val="0042158E"/>
    <w:rsid w:val="00423F56"/>
    <w:rsid w:val="00431075"/>
    <w:rsid w:val="0043130F"/>
    <w:rsid w:val="00432945"/>
    <w:rsid w:val="00432A66"/>
    <w:rsid w:val="0043576F"/>
    <w:rsid w:val="0044078E"/>
    <w:rsid w:val="00442E77"/>
    <w:rsid w:val="004448DE"/>
    <w:rsid w:val="00445CAB"/>
    <w:rsid w:val="0044612F"/>
    <w:rsid w:val="004544B9"/>
    <w:rsid w:val="00455B4C"/>
    <w:rsid w:val="0046081D"/>
    <w:rsid w:val="00463600"/>
    <w:rsid w:val="00463657"/>
    <w:rsid w:val="00464C4C"/>
    <w:rsid w:val="00465A05"/>
    <w:rsid w:val="004707ED"/>
    <w:rsid w:val="00470C83"/>
    <w:rsid w:val="004738DF"/>
    <w:rsid w:val="0047436B"/>
    <w:rsid w:val="0047562F"/>
    <w:rsid w:val="0047738D"/>
    <w:rsid w:val="00477C97"/>
    <w:rsid w:val="00480341"/>
    <w:rsid w:val="004811FE"/>
    <w:rsid w:val="00481376"/>
    <w:rsid w:val="00481459"/>
    <w:rsid w:val="00481EE1"/>
    <w:rsid w:val="00482174"/>
    <w:rsid w:val="004821D3"/>
    <w:rsid w:val="00483ECB"/>
    <w:rsid w:val="00484007"/>
    <w:rsid w:val="004840E1"/>
    <w:rsid w:val="00485252"/>
    <w:rsid w:val="00486A31"/>
    <w:rsid w:val="00487344"/>
    <w:rsid w:val="004875E1"/>
    <w:rsid w:val="0049055D"/>
    <w:rsid w:val="00490DDE"/>
    <w:rsid w:val="00490F49"/>
    <w:rsid w:val="004960E6"/>
    <w:rsid w:val="0049797C"/>
    <w:rsid w:val="004A4142"/>
    <w:rsid w:val="004A6F58"/>
    <w:rsid w:val="004B05F4"/>
    <w:rsid w:val="004B0811"/>
    <w:rsid w:val="004B1FE8"/>
    <w:rsid w:val="004B3910"/>
    <w:rsid w:val="004B46C4"/>
    <w:rsid w:val="004B5330"/>
    <w:rsid w:val="004B6001"/>
    <w:rsid w:val="004B6A5A"/>
    <w:rsid w:val="004B7EA3"/>
    <w:rsid w:val="004C1318"/>
    <w:rsid w:val="004C1BA6"/>
    <w:rsid w:val="004C267F"/>
    <w:rsid w:val="004D35C6"/>
    <w:rsid w:val="004D57AE"/>
    <w:rsid w:val="004E3A69"/>
    <w:rsid w:val="004E3F19"/>
    <w:rsid w:val="004E52B0"/>
    <w:rsid w:val="004E60DF"/>
    <w:rsid w:val="004F1B98"/>
    <w:rsid w:val="004F1EF6"/>
    <w:rsid w:val="004F29C5"/>
    <w:rsid w:val="004F4A0C"/>
    <w:rsid w:val="004F675C"/>
    <w:rsid w:val="004F6D1A"/>
    <w:rsid w:val="004F7375"/>
    <w:rsid w:val="005008FA"/>
    <w:rsid w:val="00500D57"/>
    <w:rsid w:val="00503277"/>
    <w:rsid w:val="00503B44"/>
    <w:rsid w:val="00503EAE"/>
    <w:rsid w:val="00511898"/>
    <w:rsid w:val="00511D3E"/>
    <w:rsid w:val="00517C29"/>
    <w:rsid w:val="00521532"/>
    <w:rsid w:val="005245BA"/>
    <w:rsid w:val="00525303"/>
    <w:rsid w:val="00525C33"/>
    <w:rsid w:val="0052677F"/>
    <w:rsid w:val="0052721E"/>
    <w:rsid w:val="005306F4"/>
    <w:rsid w:val="00531CDE"/>
    <w:rsid w:val="00532809"/>
    <w:rsid w:val="00533931"/>
    <w:rsid w:val="00533DC9"/>
    <w:rsid w:val="00536392"/>
    <w:rsid w:val="00536C08"/>
    <w:rsid w:val="00537173"/>
    <w:rsid w:val="005378CB"/>
    <w:rsid w:val="005404A5"/>
    <w:rsid w:val="00540CB5"/>
    <w:rsid w:val="0054181E"/>
    <w:rsid w:val="005445DF"/>
    <w:rsid w:val="00546A76"/>
    <w:rsid w:val="005475DF"/>
    <w:rsid w:val="0054799F"/>
    <w:rsid w:val="005500A4"/>
    <w:rsid w:val="005514E6"/>
    <w:rsid w:val="00554DAD"/>
    <w:rsid w:val="00554E93"/>
    <w:rsid w:val="00557696"/>
    <w:rsid w:val="00560B4F"/>
    <w:rsid w:val="00560EA2"/>
    <w:rsid w:val="0056175F"/>
    <w:rsid w:val="00561E6A"/>
    <w:rsid w:val="005648E0"/>
    <w:rsid w:val="00564E8F"/>
    <w:rsid w:val="005662B1"/>
    <w:rsid w:val="00571B49"/>
    <w:rsid w:val="0057210E"/>
    <w:rsid w:val="00575F6F"/>
    <w:rsid w:val="00577904"/>
    <w:rsid w:val="00577BDE"/>
    <w:rsid w:val="0058006C"/>
    <w:rsid w:val="00580845"/>
    <w:rsid w:val="00581BE5"/>
    <w:rsid w:val="00582FCE"/>
    <w:rsid w:val="0058535A"/>
    <w:rsid w:val="005853D2"/>
    <w:rsid w:val="0059001D"/>
    <w:rsid w:val="005900B5"/>
    <w:rsid w:val="00591734"/>
    <w:rsid w:val="00591FA1"/>
    <w:rsid w:val="00592DF2"/>
    <w:rsid w:val="00593E6F"/>
    <w:rsid w:val="00594041"/>
    <w:rsid w:val="00594F19"/>
    <w:rsid w:val="00594F8E"/>
    <w:rsid w:val="005965F2"/>
    <w:rsid w:val="005A02D2"/>
    <w:rsid w:val="005A61F4"/>
    <w:rsid w:val="005A6DCA"/>
    <w:rsid w:val="005A745F"/>
    <w:rsid w:val="005B5FD2"/>
    <w:rsid w:val="005B61AE"/>
    <w:rsid w:val="005B718F"/>
    <w:rsid w:val="005B7C66"/>
    <w:rsid w:val="005C1EDC"/>
    <w:rsid w:val="005C3E58"/>
    <w:rsid w:val="005C40A5"/>
    <w:rsid w:val="005C469E"/>
    <w:rsid w:val="005C515B"/>
    <w:rsid w:val="005C7DA4"/>
    <w:rsid w:val="005D3369"/>
    <w:rsid w:val="005D44DD"/>
    <w:rsid w:val="005D4538"/>
    <w:rsid w:val="005D509B"/>
    <w:rsid w:val="005D59F7"/>
    <w:rsid w:val="005D6FDE"/>
    <w:rsid w:val="005E2379"/>
    <w:rsid w:val="005E42E7"/>
    <w:rsid w:val="005E435B"/>
    <w:rsid w:val="005E45D4"/>
    <w:rsid w:val="005E5B93"/>
    <w:rsid w:val="005E743E"/>
    <w:rsid w:val="005E781A"/>
    <w:rsid w:val="005F0902"/>
    <w:rsid w:val="005F20C3"/>
    <w:rsid w:val="005F252E"/>
    <w:rsid w:val="005F3EA6"/>
    <w:rsid w:val="005F4076"/>
    <w:rsid w:val="005F5C9B"/>
    <w:rsid w:val="005F6795"/>
    <w:rsid w:val="005F7D07"/>
    <w:rsid w:val="0060295B"/>
    <w:rsid w:val="0060337E"/>
    <w:rsid w:val="006037E7"/>
    <w:rsid w:val="00605B60"/>
    <w:rsid w:val="00605B63"/>
    <w:rsid w:val="00607067"/>
    <w:rsid w:val="00607DF3"/>
    <w:rsid w:val="006108E4"/>
    <w:rsid w:val="00610BEB"/>
    <w:rsid w:val="00610E5C"/>
    <w:rsid w:val="0061393B"/>
    <w:rsid w:val="0062675F"/>
    <w:rsid w:val="00626AD6"/>
    <w:rsid w:val="0062753E"/>
    <w:rsid w:val="00627BE7"/>
    <w:rsid w:val="00627CD0"/>
    <w:rsid w:val="00627E2D"/>
    <w:rsid w:val="0063140B"/>
    <w:rsid w:val="00633569"/>
    <w:rsid w:val="00635132"/>
    <w:rsid w:val="00635ADF"/>
    <w:rsid w:val="00641F26"/>
    <w:rsid w:val="00642080"/>
    <w:rsid w:val="006435A9"/>
    <w:rsid w:val="006443D6"/>
    <w:rsid w:val="00644CB6"/>
    <w:rsid w:val="006503B5"/>
    <w:rsid w:val="0065060D"/>
    <w:rsid w:val="00654BDC"/>
    <w:rsid w:val="00655711"/>
    <w:rsid w:val="00657F9C"/>
    <w:rsid w:val="00665413"/>
    <w:rsid w:val="00665C0E"/>
    <w:rsid w:val="006672A9"/>
    <w:rsid w:val="006708AA"/>
    <w:rsid w:val="00670DA8"/>
    <w:rsid w:val="006733B7"/>
    <w:rsid w:val="00684CC6"/>
    <w:rsid w:val="00684E9E"/>
    <w:rsid w:val="0068564F"/>
    <w:rsid w:val="00691327"/>
    <w:rsid w:val="00692449"/>
    <w:rsid w:val="00693E45"/>
    <w:rsid w:val="006951A4"/>
    <w:rsid w:val="00695EAD"/>
    <w:rsid w:val="0069614D"/>
    <w:rsid w:val="006974EF"/>
    <w:rsid w:val="006A1152"/>
    <w:rsid w:val="006A545D"/>
    <w:rsid w:val="006B16D2"/>
    <w:rsid w:val="006B18A5"/>
    <w:rsid w:val="006B464F"/>
    <w:rsid w:val="006B5750"/>
    <w:rsid w:val="006B6948"/>
    <w:rsid w:val="006B6CE2"/>
    <w:rsid w:val="006B6E7A"/>
    <w:rsid w:val="006C08F5"/>
    <w:rsid w:val="006C0A94"/>
    <w:rsid w:val="006C0D27"/>
    <w:rsid w:val="006C252F"/>
    <w:rsid w:val="006C7BC3"/>
    <w:rsid w:val="006D0D78"/>
    <w:rsid w:val="006D127E"/>
    <w:rsid w:val="006D1E67"/>
    <w:rsid w:val="006D31BD"/>
    <w:rsid w:val="006D6D42"/>
    <w:rsid w:val="006D79C2"/>
    <w:rsid w:val="006E03F0"/>
    <w:rsid w:val="006E132F"/>
    <w:rsid w:val="006E1676"/>
    <w:rsid w:val="006E5766"/>
    <w:rsid w:val="006E62AA"/>
    <w:rsid w:val="006F11A0"/>
    <w:rsid w:val="006F16AA"/>
    <w:rsid w:val="006F770E"/>
    <w:rsid w:val="00702AEC"/>
    <w:rsid w:val="00703C8C"/>
    <w:rsid w:val="00703F26"/>
    <w:rsid w:val="00704022"/>
    <w:rsid w:val="00705C4B"/>
    <w:rsid w:val="0071043E"/>
    <w:rsid w:val="007120A5"/>
    <w:rsid w:val="0071212F"/>
    <w:rsid w:val="00713C51"/>
    <w:rsid w:val="00720140"/>
    <w:rsid w:val="00720ECC"/>
    <w:rsid w:val="00722047"/>
    <w:rsid w:val="007266DF"/>
    <w:rsid w:val="007278AD"/>
    <w:rsid w:val="007317F3"/>
    <w:rsid w:val="007318D9"/>
    <w:rsid w:val="00732283"/>
    <w:rsid w:val="007324B3"/>
    <w:rsid w:val="007339FF"/>
    <w:rsid w:val="00733A0A"/>
    <w:rsid w:val="0073530B"/>
    <w:rsid w:val="007353C8"/>
    <w:rsid w:val="00735F37"/>
    <w:rsid w:val="0073643B"/>
    <w:rsid w:val="007400BE"/>
    <w:rsid w:val="00741801"/>
    <w:rsid w:val="0074230B"/>
    <w:rsid w:val="00743CE7"/>
    <w:rsid w:val="00745BBA"/>
    <w:rsid w:val="00750AE3"/>
    <w:rsid w:val="00751C16"/>
    <w:rsid w:val="00752348"/>
    <w:rsid w:val="00753F62"/>
    <w:rsid w:val="0075462D"/>
    <w:rsid w:val="00757337"/>
    <w:rsid w:val="00757800"/>
    <w:rsid w:val="00757915"/>
    <w:rsid w:val="00762B3D"/>
    <w:rsid w:val="0076481D"/>
    <w:rsid w:val="00766552"/>
    <w:rsid w:val="00770F92"/>
    <w:rsid w:val="007717B4"/>
    <w:rsid w:val="00771B65"/>
    <w:rsid w:val="007731A3"/>
    <w:rsid w:val="007742D0"/>
    <w:rsid w:val="00774626"/>
    <w:rsid w:val="00776940"/>
    <w:rsid w:val="007800A5"/>
    <w:rsid w:val="00780F42"/>
    <w:rsid w:val="00785BE9"/>
    <w:rsid w:val="00786247"/>
    <w:rsid w:val="00786F83"/>
    <w:rsid w:val="007877D6"/>
    <w:rsid w:val="00796F96"/>
    <w:rsid w:val="00797CAE"/>
    <w:rsid w:val="007A5FA8"/>
    <w:rsid w:val="007A7E06"/>
    <w:rsid w:val="007B2FF7"/>
    <w:rsid w:val="007B33BF"/>
    <w:rsid w:val="007B5225"/>
    <w:rsid w:val="007B56F7"/>
    <w:rsid w:val="007B70B3"/>
    <w:rsid w:val="007C2604"/>
    <w:rsid w:val="007C2B64"/>
    <w:rsid w:val="007C5553"/>
    <w:rsid w:val="007D16EC"/>
    <w:rsid w:val="007D3620"/>
    <w:rsid w:val="007D4799"/>
    <w:rsid w:val="007D779F"/>
    <w:rsid w:val="007E3946"/>
    <w:rsid w:val="007E4542"/>
    <w:rsid w:val="007E4563"/>
    <w:rsid w:val="007E66C4"/>
    <w:rsid w:val="007F3A4E"/>
    <w:rsid w:val="007F3D48"/>
    <w:rsid w:val="007F455F"/>
    <w:rsid w:val="0080010D"/>
    <w:rsid w:val="0080289B"/>
    <w:rsid w:val="0080361E"/>
    <w:rsid w:val="00805A92"/>
    <w:rsid w:val="008068C4"/>
    <w:rsid w:val="00810701"/>
    <w:rsid w:val="008112C2"/>
    <w:rsid w:val="0081686A"/>
    <w:rsid w:val="00817FD3"/>
    <w:rsid w:val="00824965"/>
    <w:rsid w:val="00824F2B"/>
    <w:rsid w:val="0083040C"/>
    <w:rsid w:val="008308A0"/>
    <w:rsid w:val="00833198"/>
    <w:rsid w:val="00833BF9"/>
    <w:rsid w:val="008341CE"/>
    <w:rsid w:val="0083519D"/>
    <w:rsid w:val="008351AF"/>
    <w:rsid w:val="00836471"/>
    <w:rsid w:val="00842685"/>
    <w:rsid w:val="00843413"/>
    <w:rsid w:val="00844745"/>
    <w:rsid w:val="008507BB"/>
    <w:rsid w:val="008509B5"/>
    <w:rsid w:val="00851F7A"/>
    <w:rsid w:val="00855A19"/>
    <w:rsid w:val="008568B1"/>
    <w:rsid w:val="00856F40"/>
    <w:rsid w:val="00865AF7"/>
    <w:rsid w:val="008660C6"/>
    <w:rsid w:val="00867215"/>
    <w:rsid w:val="008705F0"/>
    <w:rsid w:val="00876D91"/>
    <w:rsid w:val="0087739E"/>
    <w:rsid w:val="0088097C"/>
    <w:rsid w:val="00881169"/>
    <w:rsid w:val="00881590"/>
    <w:rsid w:val="00882269"/>
    <w:rsid w:val="00884273"/>
    <w:rsid w:val="0089235D"/>
    <w:rsid w:val="00894884"/>
    <w:rsid w:val="008948CC"/>
    <w:rsid w:val="00894E12"/>
    <w:rsid w:val="008963A2"/>
    <w:rsid w:val="008964D5"/>
    <w:rsid w:val="008A02CC"/>
    <w:rsid w:val="008A19FB"/>
    <w:rsid w:val="008A220C"/>
    <w:rsid w:val="008B0B06"/>
    <w:rsid w:val="008B598D"/>
    <w:rsid w:val="008C0D07"/>
    <w:rsid w:val="008C12F0"/>
    <w:rsid w:val="008C2010"/>
    <w:rsid w:val="008C429A"/>
    <w:rsid w:val="008C47A8"/>
    <w:rsid w:val="008C516E"/>
    <w:rsid w:val="008C6CE7"/>
    <w:rsid w:val="008C767C"/>
    <w:rsid w:val="008D11F5"/>
    <w:rsid w:val="008D4094"/>
    <w:rsid w:val="008E1011"/>
    <w:rsid w:val="008E1905"/>
    <w:rsid w:val="008E2A88"/>
    <w:rsid w:val="008E57DF"/>
    <w:rsid w:val="008E6CC5"/>
    <w:rsid w:val="008E7A9E"/>
    <w:rsid w:val="008F0B77"/>
    <w:rsid w:val="008F290B"/>
    <w:rsid w:val="008F42B3"/>
    <w:rsid w:val="008F62A7"/>
    <w:rsid w:val="00904FB2"/>
    <w:rsid w:val="009072F4"/>
    <w:rsid w:val="00910D3D"/>
    <w:rsid w:val="00913166"/>
    <w:rsid w:val="009210AE"/>
    <w:rsid w:val="00922517"/>
    <w:rsid w:val="009227B3"/>
    <w:rsid w:val="00925172"/>
    <w:rsid w:val="0093003E"/>
    <w:rsid w:val="009301D4"/>
    <w:rsid w:val="0093191A"/>
    <w:rsid w:val="0093218D"/>
    <w:rsid w:val="00932D70"/>
    <w:rsid w:val="00933187"/>
    <w:rsid w:val="009332A3"/>
    <w:rsid w:val="009333E0"/>
    <w:rsid w:val="009373F5"/>
    <w:rsid w:val="00937B5B"/>
    <w:rsid w:val="0094293E"/>
    <w:rsid w:val="00947E7A"/>
    <w:rsid w:val="00952610"/>
    <w:rsid w:val="00953B72"/>
    <w:rsid w:val="00955691"/>
    <w:rsid w:val="009557E9"/>
    <w:rsid w:val="009564C9"/>
    <w:rsid w:val="00956B6F"/>
    <w:rsid w:val="00963254"/>
    <w:rsid w:val="009636B7"/>
    <w:rsid w:val="00963902"/>
    <w:rsid w:val="00963C00"/>
    <w:rsid w:val="00967340"/>
    <w:rsid w:val="009701C5"/>
    <w:rsid w:val="009702FB"/>
    <w:rsid w:val="00970487"/>
    <w:rsid w:val="00970B38"/>
    <w:rsid w:val="0097133A"/>
    <w:rsid w:val="0097423A"/>
    <w:rsid w:val="00977D16"/>
    <w:rsid w:val="00981757"/>
    <w:rsid w:val="0098205C"/>
    <w:rsid w:val="009837AF"/>
    <w:rsid w:val="00983B0B"/>
    <w:rsid w:val="00984340"/>
    <w:rsid w:val="00991557"/>
    <w:rsid w:val="009916C1"/>
    <w:rsid w:val="0099236C"/>
    <w:rsid w:val="00992F15"/>
    <w:rsid w:val="009932DC"/>
    <w:rsid w:val="00993C5B"/>
    <w:rsid w:val="00993D04"/>
    <w:rsid w:val="009944AC"/>
    <w:rsid w:val="00995F1D"/>
    <w:rsid w:val="00996377"/>
    <w:rsid w:val="0099788C"/>
    <w:rsid w:val="009A1276"/>
    <w:rsid w:val="009A1369"/>
    <w:rsid w:val="009A194B"/>
    <w:rsid w:val="009A588B"/>
    <w:rsid w:val="009B0797"/>
    <w:rsid w:val="009B19A2"/>
    <w:rsid w:val="009B1A96"/>
    <w:rsid w:val="009B1E0B"/>
    <w:rsid w:val="009B61BC"/>
    <w:rsid w:val="009C05E8"/>
    <w:rsid w:val="009C4BA6"/>
    <w:rsid w:val="009C4D08"/>
    <w:rsid w:val="009C5701"/>
    <w:rsid w:val="009C663B"/>
    <w:rsid w:val="009C7B33"/>
    <w:rsid w:val="009D0791"/>
    <w:rsid w:val="009D20A7"/>
    <w:rsid w:val="009D219F"/>
    <w:rsid w:val="009D258E"/>
    <w:rsid w:val="009D2BEA"/>
    <w:rsid w:val="009D4EFC"/>
    <w:rsid w:val="009D50DE"/>
    <w:rsid w:val="009E227A"/>
    <w:rsid w:val="009E5C0B"/>
    <w:rsid w:val="009E5D1E"/>
    <w:rsid w:val="009E79A0"/>
    <w:rsid w:val="009F0C7C"/>
    <w:rsid w:val="009F1C9F"/>
    <w:rsid w:val="009F3362"/>
    <w:rsid w:val="009F3FD5"/>
    <w:rsid w:val="009F50B7"/>
    <w:rsid w:val="009F65C5"/>
    <w:rsid w:val="009F66B5"/>
    <w:rsid w:val="009F75D9"/>
    <w:rsid w:val="00A00F6F"/>
    <w:rsid w:val="00A0323C"/>
    <w:rsid w:val="00A032AD"/>
    <w:rsid w:val="00A04CD8"/>
    <w:rsid w:val="00A0624B"/>
    <w:rsid w:val="00A0765D"/>
    <w:rsid w:val="00A11C4E"/>
    <w:rsid w:val="00A14C4D"/>
    <w:rsid w:val="00A165B8"/>
    <w:rsid w:val="00A16B1D"/>
    <w:rsid w:val="00A20580"/>
    <w:rsid w:val="00A20B8C"/>
    <w:rsid w:val="00A242F2"/>
    <w:rsid w:val="00A317D3"/>
    <w:rsid w:val="00A32040"/>
    <w:rsid w:val="00A32A2B"/>
    <w:rsid w:val="00A331A8"/>
    <w:rsid w:val="00A3757F"/>
    <w:rsid w:val="00A4266D"/>
    <w:rsid w:val="00A42993"/>
    <w:rsid w:val="00A44B73"/>
    <w:rsid w:val="00A44BBB"/>
    <w:rsid w:val="00A44E69"/>
    <w:rsid w:val="00A4589E"/>
    <w:rsid w:val="00A46C58"/>
    <w:rsid w:val="00A477A6"/>
    <w:rsid w:val="00A4785E"/>
    <w:rsid w:val="00A47E55"/>
    <w:rsid w:val="00A509C9"/>
    <w:rsid w:val="00A50A19"/>
    <w:rsid w:val="00A52293"/>
    <w:rsid w:val="00A5304B"/>
    <w:rsid w:val="00A53BBD"/>
    <w:rsid w:val="00A53BE4"/>
    <w:rsid w:val="00A55163"/>
    <w:rsid w:val="00A556D4"/>
    <w:rsid w:val="00A56108"/>
    <w:rsid w:val="00A572AF"/>
    <w:rsid w:val="00A5762D"/>
    <w:rsid w:val="00A6065D"/>
    <w:rsid w:val="00A606DD"/>
    <w:rsid w:val="00A610E5"/>
    <w:rsid w:val="00A61583"/>
    <w:rsid w:val="00A624EC"/>
    <w:rsid w:val="00A62BB5"/>
    <w:rsid w:val="00A653FA"/>
    <w:rsid w:val="00A65A5F"/>
    <w:rsid w:val="00A67145"/>
    <w:rsid w:val="00A730A0"/>
    <w:rsid w:val="00A7429B"/>
    <w:rsid w:val="00A755D2"/>
    <w:rsid w:val="00A7674A"/>
    <w:rsid w:val="00A76F3D"/>
    <w:rsid w:val="00A8142C"/>
    <w:rsid w:val="00A82586"/>
    <w:rsid w:val="00A82743"/>
    <w:rsid w:val="00A8307D"/>
    <w:rsid w:val="00A85F63"/>
    <w:rsid w:val="00A87602"/>
    <w:rsid w:val="00A87E79"/>
    <w:rsid w:val="00A90C66"/>
    <w:rsid w:val="00A927FA"/>
    <w:rsid w:val="00A93FFC"/>
    <w:rsid w:val="00A95870"/>
    <w:rsid w:val="00A974CC"/>
    <w:rsid w:val="00AA4B4A"/>
    <w:rsid w:val="00AA7EDE"/>
    <w:rsid w:val="00AB0897"/>
    <w:rsid w:val="00AB102C"/>
    <w:rsid w:val="00AB1BC7"/>
    <w:rsid w:val="00AB2B7A"/>
    <w:rsid w:val="00AB2FF7"/>
    <w:rsid w:val="00AB3A8F"/>
    <w:rsid w:val="00AB5CA2"/>
    <w:rsid w:val="00AB6F1F"/>
    <w:rsid w:val="00AB7EA0"/>
    <w:rsid w:val="00AC092A"/>
    <w:rsid w:val="00AC1517"/>
    <w:rsid w:val="00AD26A9"/>
    <w:rsid w:val="00AD43C6"/>
    <w:rsid w:val="00AD4406"/>
    <w:rsid w:val="00AD5D1C"/>
    <w:rsid w:val="00AD64E0"/>
    <w:rsid w:val="00AD7E80"/>
    <w:rsid w:val="00AD7F24"/>
    <w:rsid w:val="00AE3C10"/>
    <w:rsid w:val="00AE5773"/>
    <w:rsid w:val="00AE5BC0"/>
    <w:rsid w:val="00AE5DA8"/>
    <w:rsid w:val="00AE73C1"/>
    <w:rsid w:val="00AF010D"/>
    <w:rsid w:val="00AF1A06"/>
    <w:rsid w:val="00AF3BED"/>
    <w:rsid w:val="00AF4C7A"/>
    <w:rsid w:val="00AF593E"/>
    <w:rsid w:val="00AF62F6"/>
    <w:rsid w:val="00AF6F45"/>
    <w:rsid w:val="00B00DB3"/>
    <w:rsid w:val="00B0166D"/>
    <w:rsid w:val="00B01E5E"/>
    <w:rsid w:val="00B045E2"/>
    <w:rsid w:val="00B05835"/>
    <w:rsid w:val="00B0604B"/>
    <w:rsid w:val="00B11163"/>
    <w:rsid w:val="00B146C2"/>
    <w:rsid w:val="00B167D0"/>
    <w:rsid w:val="00B238AF"/>
    <w:rsid w:val="00B33CCF"/>
    <w:rsid w:val="00B354EC"/>
    <w:rsid w:val="00B40A16"/>
    <w:rsid w:val="00B4109D"/>
    <w:rsid w:val="00B42188"/>
    <w:rsid w:val="00B42597"/>
    <w:rsid w:val="00B43764"/>
    <w:rsid w:val="00B445CF"/>
    <w:rsid w:val="00B4549D"/>
    <w:rsid w:val="00B463C0"/>
    <w:rsid w:val="00B4652A"/>
    <w:rsid w:val="00B4657A"/>
    <w:rsid w:val="00B507B8"/>
    <w:rsid w:val="00B53805"/>
    <w:rsid w:val="00B54777"/>
    <w:rsid w:val="00B54848"/>
    <w:rsid w:val="00B5518D"/>
    <w:rsid w:val="00B5544B"/>
    <w:rsid w:val="00B56416"/>
    <w:rsid w:val="00B565DB"/>
    <w:rsid w:val="00B56E8A"/>
    <w:rsid w:val="00B57128"/>
    <w:rsid w:val="00B5726D"/>
    <w:rsid w:val="00B574CB"/>
    <w:rsid w:val="00B5798E"/>
    <w:rsid w:val="00B60381"/>
    <w:rsid w:val="00B607BA"/>
    <w:rsid w:val="00B61F4E"/>
    <w:rsid w:val="00B6276A"/>
    <w:rsid w:val="00B62B53"/>
    <w:rsid w:val="00B63F41"/>
    <w:rsid w:val="00B64D5E"/>
    <w:rsid w:val="00B64F6F"/>
    <w:rsid w:val="00B65AB8"/>
    <w:rsid w:val="00B67249"/>
    <w:rsid w:val="00B74938"/>
    <w:rsid w:val="00B75C85"/>
    <w:rsid w:val="00B7625E"/>
    <w:rsid w:val="00B76D9B"/>
    <w:rsid w:val="00B774BB"/>
    <w:rsid w:val="00B81257"/>
    <w:rsid w:val="00B81D00"/>
    <w:rsid w:val="00B83083"/>
    <w:rsid w:val="00B836F0"/>
    <w:rsid w:val="00B83F65"/>
    <w:rsid w:val="00B84B09"/>
    <w:rsid w:val="00B85934"/>
    <w:rsid w:val="00B86D8A"/>
    <w:rsid w:val="00B91637"/>
    <w:rsid w:val="00B91765"/>
    <w:rsid w:val="00B91C43"/>
    <w:rsid w:val="00B91FEF"/>
    <w:rsid w:val="00B922A9"/>
    <w:rsid w:val="00B92D96"/>
    <w:rsid w:val="00B9312D"/>
    <w:rsid w:val="00B9367D"/>
    <w:rsid w:val="00B93C16"/>
    <w:rsid w:val="00B95556"/>
    <w:rsid w:val="00B960CC"/>
    <w:rsid w:val="00B97E0A"/>
    <w:rsid w:val="00BA05F5"/>
    <w:rsid w:val="00BA06A5"/>
    <w:rsid w:val="00BA288B"/>
    <w:rsid w:val="00BB6002"/>
    <w:rsid w:val="00BB6293"/>
    <w:rsid w:val="00BC05AA"/>
    <w:rsid w:val="00BC1753"/>
    <w:rsid w:val="00BC2423"/>
    <w:rsid w:val="00BC3EB7"/>
    <w:rsid w:val="00BC42E7"/>
    <w:rsid w:val="00BC6A23"/>
    <w:rsid w:val="00BD0B30"/>
    <w:rsid w:val="00BD1053"/>
    <w:rsid w:val="00BD10B3"/>
    <w:rsid w:val="00BD16DE"/>
    <w:rsid w:val="00BD1B50"/>
    <w:rsid w:val="00BD306A"/>
    <w:rsid w:val="00BD37A0"/>
    <w:rsid w:val="00BD4A1A"/>
    <w:rsid w:val="00BD5A7B"/>
    <w:rsid w:val="00BD5A9C"/>
    <w:rsid w:val="00BE0BE0"/>
    <w:rsid w:val="00BE222F"/>
    <w:rsid w:val="00BE5318"/>
    <w:rsid w:val="00BE58B5"/>
    <w:rsid w:val="00BE5A1F"/>
    <w:rsid w:val="00BE5F32"/>
    <w:rsid w:val="00BE6365"/>
    <w:rsid w:val="00BE723C"/>
    <w:rsid w:val="00BE7689"/>
    <w:rsid w:val="00BF0FCB"/>
    <w:rsid w:val="00BF14BD"/>
    <w:rsid w:val="00BF1D92"/>
    <w:rsid w:val="00BF3D26"/>
    <w:rsid w:val="00BF3E33"/>
    <w:rsid w:val="00BF4B50"/>
    <w:rsid w:val="00BF579F"/>
    <w:rsid w:val="00BF57DA"/>
    <w:rsid w:val="00BF7D13"/>
    <w:rsid w:val="00C0067F"/>
    <w:rsid w:val="00C03E5B"/>
    <w:rsid w:val="00C04267"/>
    <w:rsid w:val="00C050B7"/>
    <w:rsid w:val="00C0689F"/>
    <w:rsid w:val="00C071CF"/>
    <w:rsid w:val="00C1315D"/>
    <w:rsid w:val="00C15AF4"/>
    <w:rsid w:val="00C17640"/>
    <w:rsid w:val="00C21BD6"/>
    <w:rsid w:val="00C237B0"/>
    <w:rsid w:val="00C23838"/>
    <w:rsid w:val="00C26131"/>
    <w:rsid w:val="00C27086"/>
    <w:rsid w:val="00C3078D"/>
    <w:rsid w:val="00C3475E"/>
    <w:rsid w:val="00C34A70"/>
    <w:rsid w:val="00C35FF3"/>
    <w:rsid w:val="00C367BC"/>
    <w:rsid w:val="00C43F77"/>
    <w:rsid w:val="00C4766D"/>
    <w:rsid w:val="00C50119"/>
    <w:rsid w:val="00C53A8C"/>
    <w:rsid w:val="00C54622"/>
    <w:rsid w:val="00C55F10"/>
    <w:rsid w:val="00C56885"/>
    <w:rsid w:val="00C57EA2"/>
    <w:rsid w:val="00C6104B"/>
    <w:rsid w:val="00C639AE"/>
    <w:rsid w:val="00C63C1A"/>
    <w:rsid w:val="00C6418C"/>
    <w:rsid w:val="00C645E3"/>
    <w:rsid w:val="00C7045F"/>
    <w:rsid w:val="00C76A08"/>
    <w:rsid w:val="00C8309F"/>
    <w:rsid w:val="00C847A4"/>
    <w:rsid w:val="00C847E4"/>
    <w:rsid w:val="00C85369"/>
    <w:rsid w:val="00C86D93"/>
    <w:rsid w:val="00C875DF"/>
    <w:rsid w:val="00C92459"/>
    <w:rsid w:val="00C92F99"/>
    <w:rsid w:val="00C93AF7"/>
    <w:rsid w:val="00C94501"/>
    <w:rsid w:val="00C94B9A"/>
    <w:rsid w:val="00C95CBB"/>
    <w:rsid w:val="00C95FF4"/>
    <w:rsid w:val="00CA599F"/>
    <w:rsid w:val="00CA5DCF"/>
    <w:rsid w:val="00CA6A63"/>
    <w:rsid w:val="00CB5F36"/>
    <w:rsid w:val="00CC276A"/>
    <w:rsid w:val="00CC2E0B"/>
    <w:rsid w:val="00CD022A"/>
    <w:rsid w:val="00CD3F26"/>
    <w:rsid w:val="00CD4DC4"/>
    <w:rsid w:val="00CD518F"/>
    <w:rsid w:val="00CD5B6D"/>
    <w:rsid w:val="00CD68FE"/>
    <w:rsid w:val="00CD7C7A"/>
    <w:rsid w:val="00CE0CEA"/>
    <w:rsid w:val="00CE1964"/>
    <w:rsid w:val="00CE3ED8"/>
    <w:rsid w:val="00CF01DE"/>
    <w:rsid w:val="00CF0E38"/>
    <w:rsid w:val="00CF0E55"/>
    <w:rsid w:val="00CF2226"/>
    <w:rsid w:val="00CF2712"/>
    <w:rsid w:val="00CF4233"/>
    <w:rsid w:val="00D0165B"/>
    <w:rsid w:val="00D01A14"/>
    <w:rsid w:val="00D036E4"/>
    <w:rsid w:val="00D0536A"/>
    <w:rsid w:val="00D0576E"/>
    <w:rsid w:val="00D10192"/>
    <w:rsid w:val="00D1174A"/>
    <w:rsid w:val="00D12C4D"/>
    <w:rsid w:val="00D20B2B"/>
    <w:rsid w:val="00D228E6"/>
    <w:rsid w:val="00D228FE"/>
    <w:rsid w:val="00D229E6"/>
    <w:rsid w:val="00D23330"/>
    <w:rsid w:val="00D23990"/>
    <w:rsid w:val="00D24568"/>
    <w:rsid w:val="00D251F6"/>
    <w:rsid w:val="00D26AA9"/>
    <w:rsid w:val="00D27972"/>
    <w:rsid w:val="00D27CDD"/>
    <w:rsid w:val="00D3456D"/>
    <w:rsid w:val="00D34AFD"/>
    <w:rsid w:val="00D35025"/>
    <w:rsid w:val="00D35822"/>
    <w:rsid w:val="00D3624E"/>
    <w:rsid w:val="00D37FD7"/>
    <w:rsid w:val="00D41189"/>
    <w:rsid w:val="00D41480"/>
    <w:rsid w:val="00D42AD8"/>
    <w:rsid w:val="00D45133"/>
    <w:rsid w:val="00D45255"/>
    <w:rsid w:val="00D457D1"/>
    <w:rsid w:val="00D4583C"/>
    <w:rsid w:val="00D46EE0"/>
    <w:rsid w:val="00D47747"/>
    <w:rsid w:val="00D503DD"/>
    <w:rsid w:val="00D523E4"/>
    <w:rsid w:val="00D53CC4"/>
    <w:rsid w:val="00D56715"/>
    <w:rsid w:val="00D56D0C"/>
    <w:rsid w:val="00D57D37"/>
    <w:rsid w:val="00D57D6E"/>
    <w:rsid w:val="00D60AE8"/>
    <w:rsid w:val="00D62E02"/>
    <w:rsid w:val="00D641C9"/>
    <w:rsid w:val="00D67CE1"/>
    <w:rsid w:val="00D70B53"/>
    <w:rsid w:val="00D72882"/>
    <w:rsid w:val="00D75178"/>
    <w:rsid w:val="00D75556"/>
    <w:rsid w:val="00D76264"/>
    <w:rsid w:val="00D765E6"/>
    <w:rsid w:val="00D839B5"/>
    <w:rsid w:val="00D8416F"/>
    <w:rsid w:val="00D859BC"/>
    <w:rsid w:val="00D8634B"/>
    <w:rsid w:val="00D87875"/>
    <w:rsid w:val="00D91A16"/>
    <w:rsid w:val="00D92227"/>
    <w:rsid w:val="00D94783"/>
    <w:rsid w:val="00D95139"/>
    <w:rsid w:val="00D9530D"/>
    <w:rsid w:val="00D978B3"/>
    <w:rsid w:val="00DA124D"/>
    <w:rsid w:val="00DA1810"/>
    <w:rsid w:val="00DA18FA"/>
    <w:rsid w:val="00DA2052"/>
    <w:rsid w:val="00DA32AB"/>
    <w:rsid w:val="00DA3574"/>
    <w:rsid w:val="00DA54A3"/>
    <w:rsid w:val="00DA720F"/>
    <w:rsid w:val="00DA7EA3"/>
    <w:rsid w:val="00DB0ACF"/>
    <w:rsid w:val="00DB1105"/>
    <w:rsid w:val="00DB1B29"/>
    <w:rsid w:val="00DB1F0D"/>
    <w:rsid w:val="00DB6309"/>
    <w:rsid w:val="00DB6719"/>
    <w:rsid w:val="00DB70B4"/>
    <w:rsid w:val="00DC0050"/>
    <w:rsid w:val="00DC0BAA"/>
    <w:rsid w:val="00DC0FBD"/>
    <w:rsid w:val="00DC2CC3"/>
    <w:rsid w:val="00DC4426"/>
    <w:rsid w:val="00DC4473"/>
    <w:rsid w:val="00DD1A9F"/>
    <w:rsid w:val="00DD3B2B"/>
    <w:rsid w:val="00DD7A26"/>
    <w:rsid w:val="00DE0587"/>
    <w:rsid w:val="00DE1AF9"/>
    <w:rsid w:val="00DE230E"/>
    <w:rsid w:val="00DE327A"/>
    <w:rsid w:val="00DE3627"/>
    <w:rsid w:val="00DE4349"/>
    <w:rsid w:val="00DE5804"/>
    <w:rsid w:val="00DE6D72"/>
    <w:rsid w:val="00DF0906"/>
    <w:rsid w:val="00DF1B57"/>
    <w:rsid w:val="00DF35CA"/>
    <w:rsid w:val="00DF521F"/>
    <w:rsid w:val="00DF5D57"/>
    <w:rsid w:val="00DF60A0"/>
    <w:rsid w:val="00E030DA"/>
    <w:rsid w:val="00E03173"/>
    <w:rsid w:val="00E049D9"/>
    <w:rsid w:val="00E04B46"/>
    <w:rsid w:val="00E0588A"/>
    <w:rsid w:val="00E109E1"/>
    <w:rsid w:val="00E16EDD"/>
    <w:rsid w:val="00E16F3D"/>
    <w:rsid w:val="00E172C2"/>
    <w:rsid w:val="00E219AA"/>
    <w:rsid w:val="00E22793"/>
    <w:rsid w:val="00E25BD8"/>
    <w:rsid w:val="00E25C36"/>
    <w:rsid w:val="00E2645F"/>
    <w:rsid w:val="00E26746"/>
    <w:rsid w:val="00E2696D"/>
    <w:rsid w:val="00E2723E"/>
    <w:rsid w:val="00E30DB3"/>
    <w:rsid w:val="00E332DC"/>
    <w:rsid w:val="00E37368"/>
    <w:rsid w:val="00E404D5"/>
    <w:rsid w:val="00E4084C"/>
    <w:rsid w:val="00E42EC5"/>
    <w:rsid w:val="00E50A7F"/>
    <w:rsid w:val="00E50C39"/>
    <w:rsid w:val="00E51FBF"/>
    <w:rsid w:val="00E52540"/>
    <w:rsid w:val="00E542E0"/>
    <w:rsid w:val="00E55034"/>
    <w:rsid w:val="00E664F1"/>
    <w:rsid w:val="00E72373"/>
    <w:rsid w:val="00E72C8C"/>
    <w:rsid w:val="00E76BC1"/>
    <w:rsid w:val="00E80A6A"/>
    <w:rsid w:val="00E83E28"/>
    <w:rsid w:val="00E84803"/>
    <w:rsid w:val="00E851BE"/>
    <w:rsid w:val="00E8674F"/>
    <w:rsid w:val="00E943A5"/>
    <w:rsid w:val="00E960B8"/>
    <w:rsid w:val="00E967F2"/>
    <w:rsid w:val="00E970EC"/>
    <w:rsid w:val="00EA1381"/>
    <w:rsid w:val="00EA23A2"/>
    <w:rsid w:val="00EA4340"/>
    <w:rsid w:val="00EA5E7C"/>
    <w:rsid w:val="00EB0543"/>
    <w:rsid w:val="00EB32B5"/>
    <w:rsid w:val="00EB338D"/>
    <w:rsid w:val="00EC1976"/>
    <w:rsid w:val="00EC21E8"/>
    <w:rsid w:val="00EC2995"/>
    <w:rsid w:val="00EC2CC8"/>
    <w:rsid w:val="00EC670D"/>
    <w:rsid w:val="00ED0948"/>
    <w:rsid w:val="00ED1489"/>
    <w:rsid w:val="00ED1555"/>
    <w:rsid w:val="00ED3018"/>
    <w:rsid w:val="00ED4F95"/>
    <w:rsid w:val="00ED58AF"/>
    <w:rsid w:val="00ED5FE2"/>
    <w:rsid w:val="00ED7899"/>
    <w:rsid w:val="00EE0A8D"/>
    <w:rsid w:val="00EE3ECD"/>
    <w:rsid w:val="00EE4218"/>
    <w:rsid w:val="00EE447F"/>
    <w:rsid w:val="00EE469A"/>
    <w:rsid w:val="00EE5DCB"/>
    <w:rsid w:val="00EE74D4"/>
    <w:rsid w:val="00EF03DF"/>
    <w:rsid w:val="00EF0F08"/>
    <w:rsid w:val="00EF43E6"/>
    <w:rsid w:val="00F00B27"/>
    <w:rsid w:val="00F0176E"/>
    <w:rsid w:val="00F01C18"/>
    <w:rsid w:val="00F032AD"/>
    <w:rsid w:val="00F03993"/>
    <w:rsid w:val="00F047F2"/>
    <w:rsid w:val="00F07E3B"/>
    <w:rsid w:val="00F12CA2"/>
    <w:rsid w:val="00F13964"/>
    <w:rsid w:val="00F14408"/>
    <w:rsid w:val="00F16A4E"/>
    <w:rsid w:val="00F17B15"/>
    <w:rsid w:val="00F2370C"/>
    <w:rsid w:val="00F24468"/>
    <w:rsid w:val="00F256F3"/>
    <w:rsid w:val="00F25AE7"/>
    <w:rsid w:val="00F2693B"/>
    <w:rsid w:val="00F27222"/>
    <w:rsid w:val="00F319C7"/>
    <w:rsid w:val="00F31F40"/>
    <w:rsid w:val="00F3330E"/>
    <w:rsid w:val="00F35275"/>
    <w:rsid w:val="00F3782F"/>
    <w:rsid w:val="00F37C74"/>
    <w:rsid w:val="00F40C38"/>
    <w:rsid w:val="00F42B6B"/>
    <w:rsid w:val="00F4329C"/>
    <w:rsid w:val="00F439FF"/>
    <w:rsid w:val="00F43AB6"/>
    <w:rsid w:val="00F43EC8"/>
    <w:rsid w:val="00F4413C"/>
    <w:rsid w:val="00F511A3"/>
    <w:rsid w:val="00F54D4C"/>
    <w:rsid w:val="00F56DEB"/>
    <w:rsid w:val="00F5718E"/>
    <w:rsid w:val="00F57A53"/>
    <w:rsid w:val="00F60D25"/>
    <w:rsid w:val="00F66168"/>
    <w:rsid w:val="00F6758C"/>
    <w:rsid w:val="00F6784C"/>
    <w:rsid w:val="00F703CA"/>
    <w:rsid w:val="00F72E39"/>
    <w:rsid w:val="00F74C4C"/>
    <w:rsid w:val="00F754A9"/>
    <w:rsid w:val="00F76235"/>
    <w:rsid w:val="00F76AE2"/>
    <w:rsid w:val="00F76F09"/>
    <w:rsid w:val="00F76F45"/>
    <w:rsid w:val="00F8178D"/>
    <w:rsid w:val="00F84444"/>
    <w:rsid w:val="00F8526C"/>
    <w:rsid w:val="00F8799E"/>
    <w:rsid w:val="00F9086A"/>
    <w:rsid w:val="00F91AD6"/>
    <w:rsid w:val="00F93C2E"/>
    <w:rsid w:val="00F93CCD"/>
    <w:rsid w:val="00F967F2"/>
    <w:rsid w:val="00FA501D"/>
    <w:rsid w:val="00FA5B75"/>
    <w:rsid w:val="00FB2B85"/>
    <w:rsid w:val="00FB3401"/>
    <w:rsid w:val="00FB61C1"/>
    <w:rsid w:val="00FB6DE4"/>
    <w:rsid w:val="00FC2987"/>
    <w:rsid w:val="00FC6A2D"/>
    <w:rsid w:val="00FC76DA"/>
    <w:rsid w:val="00FC7A6E"/>
    <w:rsid w:val="00FD0622"/>
    <w:rsid w:val="00FD12B9"/>
    <w:rsid w:val="00FD26FC"/>
    <w:rsid w:val="00FD7A6D"/>
    <w:rsid w:val="00FE0BD4"/>
    <w:rsid w:val="00FE1C26"/>
    <w:rsid w:val="00FE2073"/>
    <w:rsid w:val="00FE20F7"/>
    <w:rsid w:val="00FE42AB"/>
    <w:rsid w:val="00FE5C9D"/>
    <w:rsid w:val="00FE5DF6"/>
    <w:rsid w:val="00FE71A9"/>
    <w:rsid w:val="00FF0CA4"/>
    <w:rsid w:val="00FF2A16"/>
    <w:rsid w:val="00FF2C73"/>
    <w:rsid w:val="00FF6BAA"/>
    <w:rsid w:val="00FF6C58"/>
    <w:rsid w:val="010274AA"/>
    <w:rsid w:val="01143E5D"/>
    <w:rsid w:val="0116131A"/>
    <w:rsid w:val="01245C17"/>
    <w:rsid w:val="01902569"/>
    <w:rsid w:val="01A20750"/>
    <w:rsid w:val="020636EB"/>
    <w:rsid w:val="02415548"/>
    <w:rsid w:val="0332624C"/>
    <w:rsid w:val="033755DF"/>
    <w:rsid w:val="03564500"/>
    <w:rsid w:val="03A00A3F"/>
    <w:rsid w:val="04070B51"/>
    <w:rsid w:val="043C059F"/>
    <w:rsid w:val="04725C6F"/>
    <w:rsid w:val="048A2898"/>
    <w:rsid w:val="048A2AE0"/>
    <w:rsid w:val="04946B3B"/>
    <w:rsid w:val="04953828"/>
    <w:rsid w:val="04E46B70"/>
    <w:rsid w:val="04FF31AB"/>
    <w:rsid w:val="05160C74"/>
    <w:rsid w:val="05B34EBF"/>
    <w:rsid w:val="0603770D"/>
    <w:rsid w:val="06334523"/>
    <w:rsid w:val="0701192F"/>
    <w:rsid w:val="071E3EF7"/>
    <w:rsid w:val="07E82738"/>
    <w:rsid w:val="08573B6F"/>
    <w:rsid w:val="08E46FFA"/>
    <w:rsid w:val="08F21980"/>
    <w:rsid w:val="0925511C"/>
    <w:rsid w:val="093D0AA6"/>
    <w:rsid w:val="09764337"/>
    <w:rsid w:val="09DF505C"/>
    <w:rsid w:val="0A6A3AB4"/>
    <w:rsid w:val="0A782AE6"/>
    <w:rsid w:val="0A867A64"/>
    <w:rsid w:val="0AC00944"/>
    <w:rsid w:val="0ACD31A5"/>
    <w:rsid w:val="0B16430A"/>
    <w:rsid w:val="0B1900DA"/>
    <w:rsid w:val="0B196AF1"/>
    <w:rsid w:val="0B6F5B6F"/>
    <w:rsid w:val="0B9E7664"/>
    <w:rsid w:val="0BBA38DD"/>
    <w:rsid w:val="0C5808DC"/>
    <w:rsid w:val="0D4A316C"/>
    <w:rsid w:val="0E174209"/>
    <w:rsid w:val="0E2308C2"/>
    <w:rsid w:val="0E321D71"/>
    <w:rsid w:val="0E4D3A14"/>
    <w:rsid w:val="0E680847"/>
    <w:rsid w:val="0E950B06"/>
    <w:rsid w:val="0ED17DB9"/>
    <w:rsid w:val="0ED434D5"/>
    <w:rsid w:val="0EEF0A14"/>
    <w:rsid w:val="0F1701AC"/>
    <w:rsid w:val="0F2C7CDB"/>
    <w:rsid w:val="0F2D1F0B"/>
    <w:rsid w:val="0F2D5010"/>
    <w:rsid w:val="0F346ECB"/>
    <w:rsid w:val="0F956C90"/>
    <w:rsid w:val="0FE85723"/>
    <w:rsid w:val="0FFE6A1E"/>
    <w:rsid w:val="1007251B"/>
    <w:rsid w:val="103B5A7B"/>
    <w:rsid w:val="10B66219"/>
    <w:rsid w:val="10D10E21"/>
    <w:rsid w:val="110C3033"/>
    <w:rsid w:val="11666CBF"/>
    <w:rsid w:val="11BF4DC9"/>
    <w:rsid w:val="11E30B15"/>
    <w:rsid w:val="120877C3"/>
    <w:rsid w:val="120E6DBF"/>
    <w:rsid w:val="1232350F"/>
    <w:rsid w:val="123676F6"/>
    <w:rsid w:val="12663517"/>
    <w:rsid w:val="129A5DEA"/>
    <w:rsid w:val="12AB4B85"/>
    <w:rsid w:val="12E658A9"/>
    <w:rsid w:val="12F21B5B"/>
    <w:rsid w:val="12F61546"/>
    <w:rsid w:val="12F66148"/>
    <w:rsid w:val="138624C6"/>
    <w:rsid w:val="13AE6622"/>
    <w:rsid w:val="13C65E04"/>
    <w:rsid w:val="140E0142"/>
    <w:rsid w:val="14D02652"/>
    <w:rsid w:val="14D12EDA"/>
    <w:rsid w:val="150F5661"/>
    <w:rsid w:val="1548158B"/>
    <w:rsid w:val="155950DF"/>
    <w:rsid w:val="15681D19"/>
    <w:rsid w:val="159555E5"/>
    <w:rsid w:val="15A2155B"/>
    <w:rsid w:val="15DF0030"/>
    <w:rsid w:val="160421D1"/>
    <w:rsid w:val="161861DE"/>
    <w:rsid w:val="16341ECC"/>
    <w:rsid w:val="16F8268A"/>
    <w:rsid w:val="170679DB"/>
    <w:rsid w:val="1707280A"/>
    <w:rsid w:val="177C0144"/>
    <w:rsid w:val="178FA7FE"/>
    <w:rsid w:val="17EF9249"/>
    <w:rsid w:val="18353A7B"/>
    <w:rsid w:val="184C533C"/>
    <w:rsid w:val="18CA5C92"/>
    <w:rsid w:val="18F92A79"/>
    <w:rsid w:val="19021081"/>
    <w:rsid w:val="1A0C2356"/>
    <w:rsid w:val="1AAA4208"/>
    <w:rsid w:val="1AC123F5"/>
    <w:rsid w:val="1AC467DA"/>
    <w:rsid w:val="1AFA150E"/>
    <w:rsid w:val="1B662B7D"/>
    <w:rsid w:val="1B801D2C"/>
    <w:rsid w:val="1B92441E"/>
    <w:rsid w:val="1BA35B7F"/>
    <w:rsid w:val="1BFC314F"/>
    <w:rsid w:val="1C9E1B58"/>
    <w:rsid w:val="1CE11AE5"/>
    <w:rsid w:val="1D1C08BA"/>
    <w:rsid w:val="1D6B14AC"/>
    <w:rsid w:val="1D846106"/>
    <w:rsid w:val="1D873D93"/>
    <w:rsid w:val="1DA46D77"/>
    <w:rsid w:val="1DFFA25F"/>
    <w:rsid w:val="1E5F5824"/>
    <w:rsid w:val="1E9D130C"/>
    <w:rsid w:val="1EA64051"/>
    <w:rsid w:val="1EB75C39"/>
    <w:rsid w:val="1F9A6A7C"/>
    <w:rsid w:val="1FA7BD7C"/>
    <w:rsid w:val="1FA94357"/>
    <w:rsid w:val="1FCD5046"/>
    <w:rsid w:val="1FFB5BC2"/>
    <w:rsid w:val="21456A1F"/>
    <w:rsid w:val="21BF0647"/>
    <w:rsid w:val="22131B6D"/>
    <w:rsid w:val="22485AB4"/>
    <w:rsid w:val="22517CB1"/>
    <w:rsid w:val="225E730C"/>
    <w:rsid w:val="2299341D"/>
    <w:rsid w:val="2314233E"/>
    <w:rsid w:val="23AC2606"/>
    <w:rsid w:val="23BE553D"/>
    <w:rsid w:val="23BF0E1F"/>
    <w:rsid w:val="23FC3B97"/>
    <w:rsid w:val="241057C6"/>
    <w:rsid w:val="242979CC"/>
    <w:rsid w:val="244424B4"/>
    <w:rsid w:val="244A2186"/>
    <w:rsid w:val="244E1F35"/>
    <w:rsid w:val="24863E3C"/>
    <w:rsid w:val="24D85EE9"/>
    <w:rsid w:val="25313B52"/>
    <w:rsid w:val="254F7FAD"/>
    <w:rsid w:val="258B55EA"/>
    <w:rsid w:val="25B374C8"/>
    <w:rsid w:val="25FC7C1A"/>
    <w:rsid w:val="261A3E29"/>
    <w:rsid w:val="263DF98B"/>
    <w:rsid w:val="263E01FA"/>
    <w:rsid w:val="264057D8"/>
    <w:rsid w:val="26515BB5"/>
    <w:rsid w:val="26AE7062"/>
    <w:rsid w:val="26CD196A"/>
    <w:rsid w:val="26D70AB8"/>
    <w:rsid w:val="27045069"/>
    <w:rsid w:val="27171126"/>
    <w:rsid w:val="27550FA4"/>
    <w:rsid w:val="275C532C"/>
    <w:rsid w:val="276F70F1"/>
    <w:rsid w:val="27832B59"/>
    <w:rsid w:val="27B78A85"/>
    <w:rsid w:val="27CF76E2"/>
    <w:rsid w:val="2827420D"/>
    <w:rsid w:val="289073E7"/>
    <w:rsid w:val="289FF6D1"/>
    <w:rsid w:val="290A4C20"/>
    <w:rsid w:val="29A23BD4"/>
    <w:rsid w:val="29C9293B"/>
    <w:rsid w:val="29F62207"/>
    <w:rsid w:val="2A251233"/>
    <w:rsid w:val="2A33BC48"/>
    <w:rsid w:val="2A366CD9"/>
    <w:rsid w:val="2A6D04C4"/>
    <w:rsid w:val="2A9D6446"/>
    <w:rsid w:val="2B27650D"/>
    <w:rsid w:val="2BA01B00"/>
    <w:rsid w:val="2BAE1386"/>
    <w:rsid w:val="2BF54A7B"/>
    <w:rsid w:val="2C0511A0"/>
    <w:rsid w:val="2C37335C"/>
    <w:rsid w:val="2C45620F"/>
    <w:rsid w:val="2C5C3886"/>
    <w:rsid w:val="2C5E4D56"/>
    <w:rsid w:val="2CBF08D0"/>
    <w:rsid w:val="2CC2130C"/>
    <w:rsid w:val="2CFF0A6D"/>
    <w:rsid w:val="2D7339F2"/>
    <w:rsid w:val="2DE67921"/>
    <w:rsid w:val="2DF752DC"/>
    <w:rsid w:val="2E056583"/>
    <w:rsid w:val="2E062915"/>
    <w:rsid w:val="2E2D19E1"/>
    <w:rsid w:val="2E357C8D"/>
    <w:rsid w:val="2E7E0FA3"/>
    <w:rsid w:val="2E954E11"/>
    <w:rsid w:val="2EFF5261"/>
    <w:rsid w:val="2F2041C5"/>
    <w:rsid w:val="2F3C2B48"/>
    <w:rsid w:val="2F451553"/>
    <w:rsid w:val="2F733FFF"/>
    <w:rsid w:val="2FC72067"/>
    <w:rsid w:val="2FEE268F"/>
    <w:rsid w:val="304113D5"/>
    <w:rsid w:val="30521103"/>
    <w:rsid w:val="30525B6A"/>
    <w:rsid w:val="30FE666C"/>
    <w:rsid w:val="313E73FC"/>
    <w:rsid w:val="31655605"/>
    <w:rsid w:val="3196072F"/>
    <w:rsid w:val="31974C07"/>
    <w:rsid w:val="32003819"/>
    <w:rsid w:val="3209058F"/>
    <w:rsid w:val="324F1054"/>
    <w:rsid w:val="331D5F33"/>
    <w:rsid w:val="33837E11"/>
    <w:rsid w:val="33E06739"/>
    <w:rsid w:val="342A07E1"/>
    <w:rsid w:val="34860130"/>
    <w:rsid w:val="34AC045A"/>
    <w:rsid w:val="34F97AD0"/>
    <w:rsid w:val="3524200D"/>
    <w:rsid w:val="35243833"/>
    <w:rsid w:val="359F0F01"/>
    <w:rsid w:val="35AE3E83"/>
    <w:rsid w:val="35CE1576"/>
    <w:rsid w:val="35D13EDF"/>
    <w:rsid w:val="35D901BD"/>
    <w:rsid w:val="35F84C42"/>
    <w:rsid w:val="36347478"/>
    <w:rsid w:val="363B60FF"/>
    <w:rsid w:val="36461ED7"/>
    <w:rsid w:val="36BE4F64"/>
    <w:rsid w:val="371F0B19"/>
    <w:rsid w:val="373032B7"/>
    <w:rsid w:val="374E0CCA"/>
    <w:rsid w:val="37792110"/>
    <w:rsid w:val="37830C65"/>
    <w:rsid w:val="37BA5BF0"/>
    <w:rsid w:val="37DD6782"/>
    <w:rsid w:val="37E45315"/>
    <w:rsid w:val="37FE7482"/>
    <w:rsid w:val="38314623"/>
    <w:rsid w:val="384C284D"/>
    <w:rsid w:val="39264C04"/>
    <w:rsid w:val="3929719C"/>
    <w:rsid w:val="393557C2"/>
    <w:rsid w:val="39701334"/>
    <w:rsid w:val="397BE66A"/>
    <w:rsid w:val="397FE06D"/>
    <w:rsid w:val="39C6079C"/>
    <w:rsid w:val="3A49127F"/>
    <w:rsid w:val="3A6B7399"/>
    <w:rsid w:val="3A762EED"/>
    <w:rsid w:val="3AA868F8"/>
    <w:rsid w:val="3AD34569"/>
    <w:rsid w:val="3AE770C7"/>
    <w:rsid w:val="3B247649"/>
    <w:rsid w:val="3B3B0F7A"/>
    <w:rsid w:val="3B423D4C"/>
    <w:rsid w:val="3BCF16DA"/>
    <w:rsid w:val="3BD179F6"/>
    <w:rsid w:val="3BD72577"/>
    <w:rsid w:val="3BF3637E"/>
    <w:rsid w:val="3BFEB7A2"/>
    <w:rsid w:val="3C0D25BB"/>
    <w:rsid w:val="3C1503FC"/>
    <w:rsid w:val="3C1629E9"/>
    <w:rsid w:val="3C1A7662"/>
    <w:rsid w:val="3C846003"/>
    <w:rsid w:val="3CE2587C"/>
    <w:rsid w:val="3D0C6BB9"/>
    <w:rsid w:val="3D3711B6"/>
    <w:rsid w:val="3D4E3649"/>
    <w:rsid w:val="3D5A065C"/>
    <w:rsid w:val="3D996CA3"/>
    <w:rsid w:val="3DF87E6E"/>
    <w:rsid w:val="3E372D3C"/>
    <w:rsid w:val="3EA04FF3"/>
    <w:rsid w:val="3EBE42FA"/>
    <w:rsid w:val="3EBE60D1"/>
    <w:rsid w:val="3F0C42D2"/>
    <w:rsid w:val="3F2D038B"/>
    <w:rsid w:val="3F31580E"/>
    <w:rsid w:val="3F3E7126"/>
    <w:rsid w:val="3F4E3C38"/>
    <w:rsid w:val="3F4F2A5D"/>
    <w:rsid w:val="3F6A2758"/>
    <w:rsid w:val="3F6A4F29"/>
    <w:rsid w:val="3F7E3FCF"/>
    <w:rsid w:val="3FBFA5B1"/>
    <w:rsid w:val="3FFEFD3F"/>
    <w:rsid w:val="3FFFEB12"/>
    <w:rsid w:val="400F37BF"/>
    <w:rsid w:val="40B43400"/>
    <w:rsid w:val="40C352CE"/>
    <w:rsid w:val="40CA378A"/>
    <w:rsid w:val="40D16DF1"/>
    <w:rsid w:val="40E72E1D"/>
    <w:rsid w:val="4106087E"/>
    <w:rsid w:val="41232676"/>
    <w:rsid w:val="419C0EF3"/>
    <w:rsid w:val="426D2F96"/>
    <w:rsid w:val="42F10640"/>
    <w:rsid w:val="434E377F"/>
    <w:rsid w:val="435509AA"/>
    <w:rsid w:val="436F7DD9"/>
    <w:rsid w:val="43AE272A"/>
    <w:rsid w:val="43B90901"/>
    <w:rsid w:val="43FA3DB3"/>
    <w:rsid w:val="43FE2998"/>
    <w:rsid w:val="442E027D"/>
    <w:rsid w:val="4431073B"/>
    <w:rsid w:val="4432490B"/>
    <w:rsid w:val="44572895"/>
    <w:rsid w:val="45B62A81"/>
    <w:rsid w:val="45B86092"/>
    <w:rsid w:val="45CF3C0F"/>
    <w:rsid w:val="45F90525"/>
    <w:rsid w:val="465D485F"/>
    <w:rsid w:val="46B97DF4"/>
    <w:rsid w:val="46F63E3C"/>
    <w:rsid w:val="46FC0DD5"/>
    <w:rsid w:val="471C3745"/>
    <w:rsid w:val="47552172"/>
    <w:rsid w:val="480D19CC"/>
    <w:rsid w:val="48266846"/>
    <w:rsid w:val="483A103E"/>
    <w:rsid w:val="483D5735"/>
    <w:rsid w:val="485D476D"/>
    <w:rsid w:val="48947EDF"/>
    <w:rsid w:val="48C06C85"/>
    <w:rsid w:val="49005330"/>
    <w:rsid w:val="49AC4EC3"/>
    <w:rsid w:val="4A032FCD"/>
    <w:rsid w:val="4A216DB7"/>
    <w:rsid w:val="4A4561A7"/>
    <w:rsid w:val="4AA76A36"/>
    <w:rsid w:val="4AD9745F"/>
    <w:rsid w:val="4B9058A0"/>
    <w:rsid w:val="4BC67A6E"/>
    <w:rsid w:val="4C256B8D"/>
    <w:rsid w:val="4C3020E1"/>
    <w:rsid w:val="4D4974B5"/>
    <w:rsid w:val="4D5544B3"/>
    <w:rsid w:val="4D6825F5"/>
    <w:rsid w:val="4DBC4D46"/>
    <w:rsid w:val="4E01233D"/>
    <w:rsid w:val="4E164558"/>
    <w:rsid w:val="4E451CB1"/>
    <w:rsid w:val="4EA17396"/>
    <w:rsid w:val="4EC40912"/>
    <w:rsid w:val="4EE169FF"/>
    <w:rsid w:val="4F1C5139"/>
    <w:rsid w:val="4F61304F"/>
    <w:rsid w:val="4FAF4BBF"/>
    <w:rsid w:val="4FCF06B5"/>
    <w:rsid w:val="4FD4D10A"/>
    <w:rsid w:val="4FFF2AE4"/>
    <w:rsid w:val="4FFF3D21"/>
    <w:rsid w:val="50523999"/>
    <w:rsid w:val="50780CF6"/>
    <w:rsid w:val="50A252D6"/>
    <w:rsid w:val="50B837CA"/>
    <w:rsid w:val="51043ACA"/>
    <w:rsid w:val="511A51B3"/>
    <w:rsid w:val="51207B71"/>
    <w:rsid w:val="513211B3"/>
    <w:rsid w:val="514F4E6A"/>
    <w:rsid w:val="51A82E25"/>
    <w:rsid w:val="51B804CE"/>
    <w:rsid w:val="52774664"/>
    <w:rsid w:val="52D47449"/>
    <w:rsid w:val="52F6BFD0"/>
    <w:rsid w:val="533D4CB6"/>
    <w:rsid w:val="534A70A8"/>
    <w:rsid w:val="534D6540"/>
    <w:rsid w:val="539E07FC"/>
    <w:rsid w:val="53A40654"/>
    <w:rsid w:val="53E3487C"/>
    <w:rsid w:val="54154EED"/>
    <w:rsid w:val="54514DD0"/>
    <w:rsid w:val="553B5D98"/>
    <w:rsid w:val="55410F72"/>
    <w:rsid w:val="55670534"/>
    <w:rsid w:val="55F6681C"/>
    <w:rsid w:val="56034DF4"/>
    <w:rsid w:val="56553609"/>
    <w:rsid w:val="56970D0F"/>
    <w:rsid w:val="57033FED"/>
    <w:rsid w:val="571A77DF"/>
    <w:rsid w:val="57210C76"/>
    <w:rsid w:val="572D508C"/>
    <w:rsid w:val="572F6F6C"/>
    <w:rsid w:val="57654A31"/>
    <w:rsid w:val="576865E8"/>
    <w:rsid w:val="57886AF0"/>
    <w:rsid w:val="578E53C8"/>
    <w:rsid w:val="579F625D"/>
    <w:rsid w:val="57BA3436"/>
    <w:rsid w:val="57BF57DC"/>
    <w:rsid w:val="57F9D1A7"/>
    <w:rsid w:val="580E264B"/>
    <w:rsid w:val="58474376"/>
    <w:rsid w:val="5875F465"/>
    <w:rsid w:val="592A6638"/>
    <w:rsid w:val="594E7704"/>
    <w:rsid w:val="595A4B2F"/>
    <w:rsid w:val="597647D7"/>
    <w:rsid w:val="59825B0C"/>
    <w:rsid w:val="59DA3ECF"/>
    <w:rsid w:val="59E43542"/>
    <w:rsid w:val="5A002F5D"/>
    <w:rsid w:val="5A1B72AD"/>
    <w:rsid w:val="5ABFC738"/>
    <w:rsid w:val="5B135597"/>
    <w:rsid w:val="5B1743D8"/>
    <w:rsid w:val="5B356EE0"/>
    <w:rsid w:val="5B3C120E"/>
    <w:rsid w:val="5B4B5BCA"/>
    <w:rsid w:val="5B7406A2"/>
    <w:rsid w:val="5B975306"/>
    <w:rsid w:val="5BA32FA0"/>
    <w:rsid w:val="5BB22859"/>
    <w:rsid w:val="5BF764CF"/>
    <w:rsid w:val="5C1275A8"/>
    <w:rsid w:val="5C171C63"/>
    <w:rsid w:val="5C693D90"/>
    <w:rsid w:val="5C9B21DE"/>
    <w:rsid w:val="5C9F058B"/>
    <w:rsid w:val="5CA3147D"/>
    <w:rsid w:val="5CF179B0"/>
    <w:rsid w:val="5D0F0009"/>
    <w:rsid w:val="5D600B2F"/>
    <w:rsid w:val="5D931F90"/>
    <w:rsid w:val="5DA83494"/>
    <w:rsid w:val="5DB55AC0"/>
    <w:rsid w:val="5E0B5FE6"/>
    <w:rsid w:val="5E173265"/>
    <w:rsid w:val="5E3EBC68"/>
    <w:rsid w:val="5E642C52"/>
    <w:rsid w:val="5ECA326D"/>
    <w:rsid w:val="5EEC7280"/>
    <w:rsid w:val="5F1E4B7F"/>
    <w:rsid w:val="5F1EE9EB"/>
    <w:rsid w:val="5F563D73"/>
    <w:rsid w:val="5F5D6897"/>
    <w:rsid w:val="5F630AD3"/>
    <w:rsid w:val="5F6C7D7D"/>
    <w:rsid w:val="5F7F5CE7"/>
    <w:rsid w:val="5F9A5D46"/>
    <w:rsid w:val="5FA243E3"/>
    <w:rsid w:val="5FF633A4"/>
    <w:rsid w:val="5FFEF1FD"/>
    <w:rsid w:val="605D0E03"/>
    <w:rsid w:val="605D48E8"/>
    <w:rsid w:val="60616135"/>
    <w:rsid w:val="6062151C"/>
    <w:rsid w:val="6084033D"/>
    <w:rsid w:val="60B357D4"/>
    <w:rsid w:val="61326234"/>
    <w:rsid w:val="617769BF"/>
    <w:rsid w:val="61A178BC"/>
    <w:rsid w:val="622C6B85"/>
    <w:rsid w:val="62513172"/>
    <w:rsid w:val="625B7783"/>
    <w:rsid w:val="62AD08FA"/>
    <w:rsid w:val="62BD2859"/>
    <w:rsid w:val="631C28C2"/>
    <w:rsid w:val="63236971"/>
    <w:rsid w:val="635B6675"/>
    <w:rsid w:val="63617019"/>
    <w:rsid w:val="638A0A2F"/>
    <w:rsid w:val="63BA5304"/>
    <w:rsid w:val="63C40913"/>
    <w:rsid w:val="63D551B0"/>
    <w:rsid w:val="64042F7B"/>
    <w:rsid w:val="641701C7"/>
    <w:rsid w:val="64353387"/>
    <w:rsid w:val="6441618F"/>
    <w:rsid w:val="644A7263"/>
    <w:rsid w:val="64635F39"/>
    <w:rsid w:val="657C6AA7"/>
    <w:rsid w:val="65AD7EF2"/>
    <w:rsid w:val="66230075"/>
    <w:rsid w:val="6637200F"/>
    <w:rsid w:val="663F56F4"/>
    <w:rsid w:val="664240C0"/>
    <w:rsid w:val="66A44562"/>
    <w:rsid w:val="66F568E3"/>
    <w:rsid w:val="671375EC"/>
    <w:rsid w:val="67B10E2D"/>
    <w:rsid w:val="67EBB06A"/>
    <w:rsid w:val="682E2EC8"/>
    <w:rsid w:val="68330A3C"/>
    <w:rsid w:val="68332763"/>
    <w:rsid w:val="685B0E3A"/>
    <w:rsid w:val="6877748A"/>
    <w:rsid w:val="68A73651"/>
    <w:rsid w:val="68D8181C"/>
    <w:rsid w:val="68F22D2E"/>
    <w:rsid w:val="694113E1"/>
    <w:rsid w:val="697C5474"/>
    <w:rsid w:val="69AC3C9F"/>
    <w:rsid w:val="69BF2D31"/>
    <w:rsid w:val="69D16911"/>
    <w:rsid w:val="69DA49A1"/>
    <w:rsid w:val="6A263282"/>
    <w:rsid w:val="6A430DFE"/>
    <w:rsid w:val="6A811E42"/>
    <w:rsid w:val="6A873109"/>
    <w:rsid w:val="6A9337F6"/>
    <w:rsid w:val="6AB30C77"/>
    <w:rsid w:val="6AEC44EE"/>
    <w:rsid w:val="6AF37735"/>
    <w:rsid w:val="6B1FD89D"/>
    <w:rsid w:val="6B3342DD"/>
    <w:rsid w:val="6B3F3141"/>
    <w:rsid w:val="6B4F481A"/>
    <w:rsid w:val="6B7674F1"/>
    <w:rsid w:val="6BB0106A"/>
    <w:rsid w:val="6BB73E72"/>
    <w:rsid w:val="6BD55655"/>
    <w:rsid w:val="6C0B71D9"/>
    <w:rsid w:val="6C2D644F"/>
    <w:rsid w:val="6C6E3FED"/>
    <w:rsid w:val="6C9319F9"/>
    <w:rsid w:val="6CAF654A"/>
    <w:rsid w:val="6CCB64FE"/>
    <w:rsid w:val="6D7531E3"/>
    <w:rsid w:val="6D7E847A"/>
    <w:rsid w:val="6D9052D2"/>
    <w:rsid w:val="6DB91872"/>
    <w:rsid w:val="6DC56E75"/>
    <w:rsid w:val="6DEE3888"/>
    <w:rsid w:val="6DF9ECB3"/>
    <w:rsid w:val="6E221A17"/>
    <w:rsid w:val="6E863529"/>
    <w:rsid w:val="6EADDAAA"/>
    <w:rsid w:val="6EAE1821"/>
    <w:rsid w:val="6EDE18F4"/>
    <w:rsid w:val="6EF7992B"/>
    <w:rsid w:val="6F053B1A"/>
    <w:rsid w:val="6F091D13"/>
    <w:rsid w:val="6F4D6995"/>
    <w:rsid w:val="6F513699"/>
    <w:rsid w:val="6F65E748"/>
    <w:rsid w:val="6F7C2BCA"/>
    <w:rsid w:val="6F8C7FF8"/>
    <w:rsid w:val="6FBF7608"/>
    <w:rsid w:val="6FDE9864"/>
    <w:rsid w:val="6FF6547A"/>
    <w:rsid w:val="704F5BE2"/>
    <w:rsid w:val="70607547"/>
    <w:rsid w:val="70EA2C9F"/>
    <w:rsid w:val="70EC1DCC"/>
    <w:rsid w:val="71147384"/>
    <w:rsid w:val="716D5BFE"/>
    <w:rsid w:val="71EA50EF"/>
    <w:rsid w:val="723B02A5"/>
    <w:rsid w:val="72753F0F"/>
    <w:rsid w:val="72836379"/>
    <w:rsid w:val="72A4003F"/>
    <w:rsid w:val="72AA5467"/>
    <w:rsid w:val="72BB74BB"/>
    <w:rsid w:val="72FC4EBC"/>
    <w:rsid w:val="734E3FF8"/>
    <w:rsid w:val="734F6ADC"/>
    <w:rsid w:val="73C3A2DD"/>
    <w:rsid w:val="73FF531E"/>
    <w:rsid w:val="740907AF"/>
    <w:rsid w:val="74307B74"/>
    <w:rsid w:val="74715214"/>
    <w:rsid w:val="74B27BCC"/>
    <w:rsid w:val="74D86FD2"/>
    <w:rsid w:val="74E707FC"/>
    <w:rsid w:val="74EA0887"/>
    <w:rsid w:val="74EF2814"/>
    <w:rsid w:val="752537D8"/>
    <w:rsid w:val="75757E8E"/>
    <w:rsid w:val="75B467ED"/>
    <w:rsid w:val="75D27BF3"/>
    <w:rsid w:val="75FD6934"/>
    <w:rsid w:val="762E6B11"/>
    <w:rsid w:val="76484006"/>
    <w:rsid w:val="7654629B"/>
    <w:rsid w:val="76553B71"/>
    <w:rsid w:val="767FC684"/>
    <w:rsid w:val="768D1F11"/>
    <w:rsid w:val="76E1B51F"/>
    <w:rsid w:val="773702F2"/>
    <w:rsid w:val="7791551A"/>
    <w:rsid w:val="779C1096"/>
    <w:rsid w:val="77BE4631"/>
    <w:rsid w:val="77D710C6"/>
    <w:rsid w:val="77E601CD"/>
    <w:rsid w:val="77F38BD8"/>
    <w:rsid w:val="77F9A1BC"/>
    <w:rsid w:val="77FB6C96"/>
    <w:rsid w:val="781C0757"/>
    <w:rsid w:val="78327A5B"/>
    <w:rsid w:val="78DC76BA"/>
    <w:rsid w:val="7911688F"/>
    <w:rsid w:val="79154E31"/>
    <w:rsid w:val="792A5615"/>
    <w:rsid w:val="798E6FFD"/>
    <w:rsid w:val="79E968A0"/>
    <w:rsid w:val="79EF2DF5"/>
    <w:rsid w:val="7A0E1947"/>
    <w:rsid w:val="7A3E01B2"/>
    <w:rsid w:val="7A490094"/>
    <w:rsid w:val="7A7F5EED"/>
    <w:rsid w:val="7AFB0585"/>
    <w:rsid w:val="7B0C7BDD"/>
    <w:rsid w:val="7B28363D"/>
    <w:rsid w:val="7B4351E9"/>
    <w:rsid w:val="7B461136"/>
    <w:rsid w:val="7B587DC7"/>
    <w:rsid w:val="7B5B682C"/>
    <w:rsid w:val="7B7758D8"/>
    <w:rsid w:val="7BB90894"/>
    <w:rsid w:val="7BBF250F"/>
    <w:rsid w:val="7BC02F34"/>
    <w:rsid w:val="7BC36370"/>
    <w:rsid w:val="7BD473F0"/>
    <w:rsid w:val="7BF79881"/>
    <w:rsid w:val="7C031902"/>
    <w:rsid w:val="7C1E59E5"/>
    <w:rsid w:val="7C3D0F57"/>
    <w:rsid w:val="7C5F5195"/>
    <w:rsid w:val="7C665B94"/>
    <w:rsid w:val="7C9939F1"/>
    <w:rsid w:val="7CB451DB"/>
    <w:rsid w:val="7CBD2F1F"/>
    <w:rsid w:val="7CE53810"/>
    <w:rsid w:val="7CFDA553"/>
    <w:rsid w:val="7D3F1C1C"/>
    <w:rsid w:val="7D442DA9"/>
    <w:rsid w:val="7D54702D"/>
    <w:rsid w:val="7D5D77BB"/>
    <w:rsid w:val="7DB400CB"/>
    <w:rsid w:val="7DBF4249"/>
    <w:rsid w:val="7DCB42E9"/>
    <w:rsid w:val="7DDBC9C7"/>
    <w:rsid w:val="7E0B2713"/>
    <w:rsid w:val="7E1507E5"/>
    <w:rsid w:val="7E1C15AE"/>
    <w:rsid w:val="7E4F2EA5"/>
    <w:rsid w:val="7E616632"/>
    <w:rsid w:val="7E6BB12A"/>
    <w:rsid w:val="7E6D1151"/>
    <w:rsid w:val="7EAD113A"/>
    <w:rsid w:val="7EC24C99"/>
    <w:rsid w:val="7EC75862"/>
    <w:rsid w:val="7ECE2B6E"/>
    <w:rsid w:val="7EEB80F4"/>
    <w:rsid w:val="7EF94683"/>
    <w:rsid w:val="7EFE2732"/>
    <w:rsid w:val="7EFE43EF"/>
    <w:rsid w:val="7EFFE44B"/>
    <w:rsid w:val="7F043992"/>
    <w:rsid w:val="7F1FC7C8"/>
    <w:rsid w:val="7F346099"/>
    <w:rsid w:val="7F3E6EAE"/>
    <w:rsid w:val="7F57782B"/>
    <w:rsid w:val="7F7F691B"/>
    <w:rsid w:val="7FB59140"/>
    <w:rsid w:val="7FB8716E"/>
    <w:rsid w:val="7FBBF74A"/>
    <w:rsid w:val="7FBE388C"/>
    <w:rsid w:val="7FDBF4AF"/>
    <w:rsid w:val="7FDC7266"/>
    <w:rsid w:val="7FDDA63B"/>
    <w:rsid w:val="7FDF4291"/>
    <w:rsid w:val="7FE500F3"/>
    <w:rsid w:val="7FEBC6A8"/>
    <w:rsid w:val="7FF25D0A"/>
    <w:rsid w:val="7FF74BB5"/>
    <w:rsid w:val="7FFDA42C"/>
    <w:rsid w:val="7FFE8103"/>
    <w:rsid w:val="7FFF6E58"/>
    <w:rsid w:val="87DFBE7F"/>
    <w:rsid w:val="88FB8A73"/>
    <w:rsid w:val="8B5FE70F"/>
    <w:rsid w:val="8F9974AF"/>
    <w:rsid w:val="95B7775D"/>
    <w:rsid w:val="976C2060"/>
    <w:rsid w:val="97E9DA0D"/>
    <w:rsid w:val="9A2B3391"/>
    <w:rsid w:val="9BD5666D"/>
    <w:rsid w:val="9D57D77A"/>
    <w:rsid w:val="A7CF48B6"/>
    <w:rsid w:val="B7464669"/>
    <w:rsid w:val="B74DA93F"/>
    <w:rsid w:val="BB7A1D70"/>
    <w:rsid w:val="BBD77A27"/>
    <w:rsid w:val="BBF5713E"/>
    <w:rsid w:val="BDFE9C78"/>
    <w:rsid w:val="BF3FC3F7"/>
    <w:rsid w:val="BFAA1F3C"/>
    <w:rsid w:val="BFE2DA6B"/>
    <w:rsid w:val="C37BFAB6"/>
    <w:rsid w:val="C6D7B0F4"/>
    <w:rsid w:val="C77ED337"/>
    <w:rsid w:val="CEFB8320"/>
    <w:rsid w:val="CF8DE4D9"/>
    <w:rsid w:val="CFB75209"/>
    <w:rsid w:val="CFDBAAD2"/>
    <w:rsid w:val="D75EE8FA"/>
    <w:rsid w:val="D7DF4401"/>
    <w:rsid w:val="D7EBE3A6"/>
    <w:rsid w:val="D9DF31E1"/>
    <w:rsid w:val="DBBB71E5"/>
    <w:rsid w:val="DBBFA71E"/>
    <w:rsid w:val="DBD246B3"/>
    <w:rsid w:val="DBFAB623"/>
    <w:rsid w:val="DDD7B2E1"/>
    <w:rsid w:val="DE576ACC"/>
    <w:rsid w:val="DE7F1F8D"/>
    <w:rsid w:val="DF6B800D"/>
    <w:rsid w:val="DF778DFF"/>
    <w:rsid w:val="DFBF96EA"/>
    <w:rsid w:val="DFEE5769"/>
    <w:rsid w:val="DFFB0B7B"/>
    <w:rsid w:val="E2BE51E5"/>
    <w:rsid w:val="E2BF4069"/>
    <w:rsid w:val="E5DE788E"/>
    <w:rsid w:val="E76D0C61"/>
    <w:rsid w:val="E77DB9FD"/>
    <w:rsid w:val="E7FFF99D"/>
    <w:rsid w:val="E9FDCD0A"/>
    <w:rsid w:val="EB772BA3"/>
    <w:rsid w:val="ED5F89A1"/>
    <w:rsid w:val="EDE8515A"/>
    <w:rsid w:val="EED48E53"/>
    <w:rsid w:val="EF41885C"/>
    <w:rsid w:val="EF766C34"/>
    <w:rsid w:val="EFE33EFD"/>
    <w:rsid w:val="EFF9713F"/>
    <w:rsid w:val="EFFDE39D"/>
    <w:rsid w:val="F3DB209F"/>
    <w:rsid w:val="F515D901"/>
    <w:rsid w:val="F5FEA2A3"/>
    <w:rsid w:val="F63B351B"/>
    <w:rsid w:val="F6DB07E7"/>
    <w:rsid w:val="F78FD1C5"/>
    <w:rsid w:val="F798F327"/>
    <w:rsid w:val="F7D5F6B5"/>
    <w:rsid w:val="F7DD673C"/>
    <w:rsid w:val="F7E78FF4"/>
    <w:rsid w:val="F7F9B550"/>
    <w:rsid w:val="F7FA9202"/>
    <w:rsid w:val="F7FBD900"/>
    <w:rsid w:val="F7FFFF47"/>
    <w:rsid w:val="F9FD2390"/>
    <w:rsid w:val="FACF2DEF"/>
    <w:rsid w:val="FAEF8947"/>
    <w:rsid w:val="FB560068"/>
    <w:rsid w:val="FB56BFD4"/>
    <w:rsid w:val="FB5B5DE6"/>
    <w:rsid w:val="FBFE2D30"/>
    <w:rsid w:val="FBFF73E5"/>
    <w:rsid w:val="FCFD97F2"/>
    <w:rsid w:val="FD12F1EC"/>
    <w:rsid w:val="FDB96F86"/>
    <w:rsid w:val="FDF89F08"/>
    <w:rsid w:val="FDFF4CFB"/>
    <w:rsid w:val="FDFF81A6"/>
    <w:rsid w:val="FE2F1BF6"/>
    <w:rsid w:val="FE76F434"/>
    <w:rsid w:val="FE9FCDBB"/>
    <w:rsid w:val="FEFF6F63"/>
    <w:rsid w:val="FF56A7F8"/>
    <w:rsid w:val="FF774ABD"/>
    <w:rsid w:val="FF7F0E72"/>
    <w:rsid w:val="FF7F3C0D"/>
    <w:rsid w:val="FFBDA13A"/>
    <w:rsid w:val="FFD59145"/>
    <w:rsid w:val="FFD5D95D"/>
    <w:rsid w:val="FFD91890"/>
    <w:rsid w:val="FFD9A9F6"/>
    <w:rsid w:val="FFDA29B0"/>
    <w:rsid w:val="FFFB4F1C"/>
    <w:rsid w:val="FFFFFF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0"/>
    <w:qFormat/>
    <w:uiPriority w:val="0"/>
    <w:pPr>
      <w:keepNext/>
      <w:spacing w:line="216" w:lineRule="auto"/>
      <w:jc w:val="center"/>
      <w:outlineLvl w:val="0"/>
    </w:pPr>
    <w:rPr>
      <w:rFonts w:ascii="宋体" w:hAnsi="宋体"/>
      <w:b/>
      <w:sz w:val="30"/>
      <w:szCs w:val="20"/>
    </w:rPr>
  </w:style>
  <w:style w:type="paragraph" w:styleId="2">
    <w:name w:val="heading 2"/>
    <w:basedOn w:val="1"/>
    <w:next w:val="1"/>
    <w:link w:val="51"/>
    <w:qFormat/>
    <w:uiPriority w:val="0"/>
    <w:pPr>
      <w:keepNext/>
      <w:spacing w:line="216" w:lineRule="auto"/>
      <w:outlineLvl w:val="1"/>
    </w:pPr>
    <w:rPr>
      <w:rFonts w:ascii="宋体"/>
      <w:b/>
      <w:sz w:val="28"/>
      <w:szCs w:val="20"/>
    </w:rPr>
  </w:style>
  <w:style w:type="paragraph" w:styleId="4">
    <w:name w:val="heading 3"/>
    <w:basedOn w:val="1"/>
    <w:next w:val="1"/>
    <w:qFormat/>
    <w:uiPriority w:val="0"/>
    <w:pPr>
      <w:keepNext/>
      <w:numPr>
        <w:ilvl w:val="0"/>
        <w:numId w:val="1"/>
      </w:numPr>
      <w:spacing w:line="216" w:lineRule="auto"/>
      <w:outlineLvl w:val="2"/>
    </w:pPr>
    <w:rPr>
      <w:rFonts w:ascii="宋体"/>
      <w:b/>
      <w:bCs/>
      <w:sz w:val="28"/>
      <w:szCs w:val="20"/>
    </w:rPr>
  </w:style>
  <w:style w:type="paragraph" w:styleId="5">
    <w:name w:val="heading 4"/>
    <w:basedOn w:val="1"/>
    <w:next w:val="6"/>
    <w:qFormat/>
    <w:uiPriority w:val="0"/>
    <w:pPr>
      <w:keepNext/>
      <w:numPr>
        <w:ilvl w:val="0"/>
        <w:numId w:val="2"/>
      </w:numPr>
      <w:spacing w:line="216" w:lineRule="auto"/>
      <w:outlineLvl w:val="3"/>
    </w:pPr>
    <w:rPr>
      <w:rFonts w:ascii="黑体" w:eastAsia="黑体"/>
      <w:b/>
      <w:sz w:val="24"/>
      <w:szCs w:val="20"/>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toc 7"/>
    <w:basedOn w:val="1"/>
    <w:next w:val="1"/>
    <w:semiHidden/>
    <w:qFormat/>
    <w:uiPriority w:val="0"/>
    <w:pPr>
      <w:ind w:left="2520" w:leftChars="1200"/>
    </w:pPr>
  </w:style>
  <w:style w:type="paragraph" w:styleId="8">
    <w:name w:val="annotation text"/>
    <w:basedOn w:val="1"/>
    <w:link w:val="52"/>
    <w:qFormat/>
    <w:uiPriority w:val="0"/>
    <w:pPr>
      <w:adjustRightInd w:val="0"/>
      <w:jc w:val="left"/>
    </w:pPr>
  </w:style>
  <w:style w:type="paragraph" w:styleId="9">
    <w:name w:val="Body Text"/>
    <w:basedOn w:val="1"/>
    <w:next w:val="10"/>
    <w:qFormat/>
    <w:uiPriority w:val="0"/>
    <w:pPr>
      <w:autoSpaceDE w:val="0"/>
      <w:autoSpaceDN w:val="0"/>
      <w:adjustRightInd w:val="0"/>
      <w:spacing w:line="360" w:lineRule="auto"/>
    </w:pPr>
    <w:rPr>
      <w:rFonts w:ascii="宋体" w:hAnsi="Arial" w:cs="Arial"/>
      <w:snapToGrid w:val="0"/>
      <w:sz w:val="24"/>
      <w:szCs w:val="21"/>
      <w:lang w:val="zh-CN"/>
    </w:rPr>
  </w:style>
  <w:style w:type="paragraph" w:styleId="10">
    <w:name w:val="Body Text First Indent"/>
    <w:basedOn w:val="1"/>
    <w:next w:val="11"/>
    <w:qFormat/>
    <w:uiPriority w:val="99"/>
    <w:pPr>
      <w:ind w:firstLine="420" w:firstLineChars="100"/>
    </w:pPr>
  </w:style>
  <w:style w:type="paragraph" w:styleId="11">
    <w:name w:val="toc 6"/>
    <w:basedOn w:val="1"/>
    <w:next w:val="1"/>
    <w:semiHidden/>
    <w:qFormat/>
    <w:uiPriority w:val="0"/>
    <w:pPr>
      <w:ind w:left="2100" w:leftChars="1000"/>
    </w:pPr>
  </w:style>
  <w:style w:type="paragraph" w:styleId="12">
    <w:name w:val="Body Text Indent"/>
    <w:basedOn w:val="1"/>
    <w:link w:val="48"/>
    <w:qFormat/>
    <w:uiPriority w:val="0"/>
    <w:pPr>
      <w:spacing w:after="120"/>
      <w:ind w:left="420" w:leftChars="200"/>
    </w:pPr>
  </w:style>
  <w:style w:type="paragraph" w:styleId="13">
    <w:name w:val="toc 5"/>
    <w:basedOn w:val="1"/>
    <w:next w:val="1"/>
    <w:semiHidden/>
    <w:qFormat/>
    <w:uiPriority w:val="0"/>
    <w:pPr>
      <w:ind w:left="1680" w:leftChars="800"/>
    </w:pPr>
  </w:style>
  <w:style w:type="paragraph" w:styleId="14">
    <w:name w:val="toc 3"/>
    <w:basedOn w:val="1"/>
    <w:next w:val="1"/>
    <w:semiHidden/>
    <w:qFormat/>
    <w:uiPriority w:val="0"/>
    <w:pPr>
      <w:ind w:left="840" w:leftChars="400"/>
    </w:pPr>
  </w:style>
  <w:style w:type="paragraph" w:styleId="15">
    <w:name w:val="Plain Text"/>
    <w:basedOn w:val="1"/>
    <w:next w:val="1"/>
    <w:link w:val="53"/>
    <w:qFormat/>
    <w:uiPriority w:val="0"/>
    <w:rPr>
      <w:rFonts w:ascii="宋体" w:hAnsi="Courier New" w:cs="Courier New"/>
      <w:szCs w:val="21"/>
    </w:rPr>
  </w:style>
  <w:style w:type="paragraph" w:styleId="16">
    <w:name w:val="toc 8"/>
    <w:basedOn w:val="1"/>
    <w:next w:val="1"/>
    <w:semiHidden/>
    <w:qFormat/>
    <w:uiPriority w:val="0"/>
    <w:pPr>
      <w:ind w:left="2940" w:leftChars="1400"/>
    </w:pPr>
  </w:style>
  <w:style w:type="paragraph" w:styleId="17">
    <w:name w:val="Date"/>
    <w:basedOn w:val="1"/>
    <w:next w:val="1"/>
    <w:qFormat/>
    <w:uiPriority w:val="0"/>
    <w:pPr>
      <w:ind w:left="100" w:leftChars="2500"/>
    </w:pPr>
    <w:rPr>
      <w:rFonts w:ascii="宋体" w:hAnsi="宋体"/>
      <w:color w:val="000000"/>
      <w:sz w:val="24"/>
    </w:rPr>
  </w:style>
  <w:style w:type="paragraph" w:styleId="18">
    <w:name w:val="Balloon Text"/>
    <w:basedOn w:val="1"/>
    <w:semiHidden/>
    <w:qFormat/>
    <w:uiPriority w:val="0"/>
    <w:rPr>
      <w:sz w:val="18"/>
      <w:szCs w:val="18"/>
    </w:rPr>
  </w:style>
  <w:style w:type="paragraph" w:styleId="19">
    <w:name w:val="footer"/>
    <w:basedOn w:val="1"/>
    <w:link w:val="54"/>
    <w:qFormat/>
    <w:uiPriority w:val="99"/>
    <w:pPr>
      <w:tabs>
        <w:tab w:val="center" w:pos="4153"/>
        <w:tab w:val="right" w:pos="8306"/>
      </w:tabs>
      <w:snapToGrid w:val="0"/>
      <w:jc w:val="left"/>
    </w:pPr>
    <w:rPr>
      <w:sz w:val="18"/>
      <w:szCs w:val="18"/>
    </w:rPr>
  </w:style>
  <w:style w:type="paragraph" w:styleId="20">
    <w:name w:val="header"/>
    <w:basedOn w:val="1"/>
    <w:qFormat/>
    <w:uiPriority w:val="0"/>
    <w:pPr>
      <w:pBdr>
        <w:bottom w:val="single" w:color="auto" w:sz="6" w:space="1"/>
      </w:pBdr>
      <w:tabs>
        <w:tab w:val="center" w:pos="4153"/>
        <w:tab w:val="right" w:pos="8306"/>
      </w:tabs>
      <w:adjustRightInd w:val="0"/>
      <w:snapToGrid w:val="0"/>
      <w:spacing w:line="240" w:lineRule="atLeast"/>
      <w:jc w:val="center"/>
      <w:textAlignment w:val="baseline"/>
    </w:pPr>
    <w:rPr>
      <w:rFonts w:ascii="宋体"/>
      <w:kern w:val="0"/>
      <w:sz w:val="18"/>
      <w:szCs w:val="20"/>
    </w:rPr>
  </w:style>
  <w:style w:type="paragraph" w:styleId="21">
    <w:name w:val="toc 1"/>
    <w:basedOn w:val="1"/>
    <w:next w:val="1"/>
    <w:semiHidden/>
    <w:qFormat/>
    <w:uiPriority w:val="0"/>
  </w:style>
  <w:style w:type="paragraph" w:styleId="22">
    <w:name w:val="toc 4"/>
    <w:basedOn w:val="1"/>
    <w:next w:val="1"/>
    <w:semiHidden/>
    <w:qFormat/>
    <w:uiPriority w:val="0"/>
    <w:pPr>
      <w:ind w:left="1260" w:leftChars="600"/>
    </w:pPr>
  </w:style>
  <w:style w:type="paragraph" w:styleId="23">
    <w:name w:val="Body Text Indent 3"/>
    <w:basedOn w:val="1"/>
    <w:qFormat/>
    <w:uiPriority w:val="0"/>
    <w:pPr>
      <w:spacing w:after="120"/>
      <w:ind w:left="420" w:leftChars="200"/>
    </w:pPr>
    <w:rPr>
      <w:sz w:val="16"/>
      <w:szCs w:val="16"/>
    </w:rPr>
  </w:style>
  <w:style w:type="paragraph" w:styleId="24">
    <w:name w:val="toc 2"/>
    <w:basedOn w:val="1"/>
    <w:next w:val="1"/>
    <w:qFormat/>
    <w:uiPriority w:val="39"/>
    <w:pPr>
      <w:ind w:left="420" w:leftChars="200"/>
    </w:pPr>
  </w:style>
  <w:style w:type="paragraph" w:styleId="25">
    <w:name w:val="toc 9"/>
    <w:basedOn w:val="1"/>
    <w:next w:val="1"/>
    <w:semiHidden/>
    <w:qFormat/>
    <w:uiPriority w:val="0"/>
    <w:pPr>
      <w:ind w:left="3360" w:leftChars="1600"/>
    </w:pPr>
  </w:style>
  <w:style w:type="paragraph" w:styleId="2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7">
    <w:name w:val="Title"/>
    <w:basedOn w:val="1"/>
    <w:next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28">
    <w:name w:val="annotation subject"/>
    <w:basedOn w:val="8"/>
    <w:next w:val="8"/>
    <w:link w:val="81"/>
    <w:qFormat/>
    <w:uiPriority w:val="0"/>
    <w:pPr>
      <w:adjustRightInd/>
    </w:pPr>
    <w:rPr>
      <w:b/>
      <w:bCs/>
    </w:rPr>
  </w:style>
  <w:style w:type="paragraph" w:styleId="29">
    <w:name w:val="Body Text First Indent 2"/>
    <w:basedOn w:val="12"/>
    <w:link w:val="49"/>
    <w:qFormat/>
    <w:uiPriority w:val="0"/>
    <w:pPr>
      <w:ind w:firstLine="420" w:firstLineChars="200"/>
    </w:pPr>
  </w:style>
  <w:style w:type="table" w:styleId="31">
    <w:name w:val="Table Grid"/>
    <w:basedOn w:val="3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3">
    <w:name w:val="page number"/>
    <w:basedOn w:val="32"/>
    <w:qFormat/>
    <w:uiPriority w:val="0"/>
  </w:style>
  <w:style w:type="character" w:styleId="34">
    <w:name w:val="FollowedHyperlink"/>
    <w:qFormat/>
    <w:uiPriority w:val="0"/>
    <w:rPr>
      <w:color w:val="800080"/>
      <w:u w:val="none"/>
    </w:rPr>
  </w:style>
  <w:style w:type="character" w:styleId="35">
    <w:name w:val="HTML Definition"/>
    <w:qFormat/>
    <w:uiPriority w:val="0"/>
  </w:style>
  <w:style w:type="character" w:styleId="36">
    <w:name w:val="HTML Typewriter"/>
    <w:qFormat/>
    <w:uiPriority w:val="0"/>
    <w:rPr>
      <w:rFonts w:hint="default" w:ascii="monospace" w:hAnsi="monospace" w:eastAsia="monospace" w:cs="monospace"/>
      <w:sz w:val="20"/>
    </w:rPr>
  </w:style>
  <w:style w:type="character" w:styleId="37">
    <w:name w:val="HTML Acronym"/>
    <w:basedOn w:val="32"/>
    <w:qFormat/>
    <w:uiPriority w:val="0"/>
  </w:style>
  <w:style w:type="character" w:styleId="38">
    <w:name w:val="HTML Variable"/>
    <w:qFormat/>
    <w:uiPriority w:val="0"/>
  </w:style>
  <w:style w:type="character" w:styleId="39">
    <w:name w:val="Hyperlink"/>
    <w:qFormat/>
    <w:uiPriority w:val="0"/>
    <w:rPr>
      <w:color w:val="0000FF"/>
      <w:u w:val="none"/>
    </w:rPr>
  </w:style>
  <w:style w:type="character" w:styleId="40">
    <w:name w:val="HTML Code"/>
    <w:qFormat/>
    <w:uiPriority w:val="0"/>
    <w:rPr>
      <w:rFonts w:hint="default" w:ascii="monospace" w:hAnsi="monospace" w:eastAsia="monospace" w:cs="monospace"/>
      <w:sz w:val="20"/>
    </w:rPr>
  </w:style>
  <w:style w:type="character" w:styleId="41">
    <w:name w:val="annotation reference"/>
    <w:qFormat/>
    <w:uiPriority w:val="0"/>
    <w:rPr>
      <w:sz w:val="21"/>
      <w:szCs w:val="21"/>
    </w:rPr>
  </w:style>
  <w:style w:type="character" w:styleId="42">
    <w:name w:val="HTML Cite"/>
    <w:qFormat/>
    <w:uiPriority w:val="0"/>
  </w:style>
  <w:style w:type="character" w:styleId="43">
    <w:name w:val="HTML Keyboard"/>
    <w:qFormat/>
    <w:uiPriority w:val="0"/>
    <w:rPr>
      <w:rFonts w:ascii="monospace" w:hAnsi="monospace" w:eastAsia="monospace" w:cs="monospace"/>
      <w:sz w:val="20"/>
    </w:rPr>
  </w:style>
  <w:style w:type="character" w:styleId="44">
    <w:name w:val="HTML Sample"/>
    <w:qFormat/>
    <w:uiPriority w:val="0"/>
    <w:rPr>
      <w:rFonts w:hint="default" w:ascii="monospace" w:hAnsi="monospace" w:eastAsia="monospace" w:cs="monospace"/>
    </w:rPr>
  </w:style>
  <w:style w:type="paragraph" w:customStyle="1" w:styleId="45">
    <w:name w:val="Body Text First Indent 21"/>
    <w:basedOn w:val="46"/>
    <w:qFormat/>
    <w:uiPriority w:val="0"/>
    <w:pPr>
      <w:spacing w:line="360" w:lineRule="auto"/>
      <w:ind w:firstLine="420" w:firstLineChars="200"/>
    </w:pPr>
    <w:rPr>
      <w:rFonts w:ascii="Calibri" w:hAnsi="Calibri"/>
      <w:sz w:val="24"/>
      <w:szCs w:val="22"/>
    </w:rPr>
  </w:style>
  <w:style w:type="paragraph" w:customStyle="1" w:styleId="46">
    <w:name w:val="Body Text Indent1"/>
    <w:basedOn w:val="1"/>
    <w:next w:val="1"/>
    <w:qFormat/>
    <w:uiPriority w:val="0"/>
    <w:pPr>
      <w:spacing w:after="120"/>
      <w:ind w:left="420" w:leftChars="200"/>
    </w:pPr>
  </w:style>
  <w:style w:type="paragraph" w:customStyle="1" w:styleId="47">
    <w:name w:val="章正文"/>
    <w:basedOn w:val="1"/>
    <w:qFormat/>
    <w:uiPriority w:val="0"/>
    <w:pPr>
      <w:spacing w:beforeLines="50" w:after="120" w:line="300" w:lineRule="auto"/>
      <w:ind w:firstLine="480"/>
    </w:pPr>
    <w:rPr>
      <w:rFonts w:ascii="Helvetica" w:hAnsi="Helvetica" w:eastAsia="仿宋" w:cs="Helvetica"/>
      <w:kern w:val="0"/>
      <w:sz w:val="28"/>
      <w:szCs w:val="28"/>
    </w:rPr>
  </w:style>
  <w:style w:type="character" w:customStyle="1" w:styleId="48">
    <w:name w:val="正文文本缩进 字符"/>
    <w:link w:val="12"/>
    <w:qFormat/>
    <w:uiPriority w:val="0"/>
    <w:rPr>
      <w:kern w:val="2"/>
      <w:sz w:val="21"/>
      <w:szCs w:val="24"/>
    </w:rPr>
  </w:style>
  <w:style w:type="character" w:customStyle="1" w:styleId="49">
    <w:name w:val="正文文本首行缩进 2 字符"/>
    <w:link w:val="29"/>
    <w:qFormat/>
    <w:uiPriority w:val="0"/>
  </w:style>
  <w:style w:type="character" w:customStyle="1" w:styleId="50">
    <w:name w:val="标题 1 字符"/>
    <w:link w:val="3"/>
    <w:qFormat/>
    <w:uiPriority w:val="0"/>
    <w:rPr>
      <w:rFonts w:ascii="宋体" w:hAnsi="宋体"/>
      <w:b/>
      <w:kern w:val="2"/>
      <w:sz w:val="30"/>
    </w:rPr>
  </w:style>
  <w:style w:type="character" w:customStyle="1" w:styleId="51">
    <w:name w:val="标题 2 字符"/>
    <w:link w:val="2"/>
    <w:qFormat/>
    <w:uiPriority w:val="0"/>
    <w:rPr>
      <w:rFonts w:ascii="宋体"/>
      <w:b/>
      <w:kern w:val="2"/>
      <w:sz w:val="28"/>
    </w:rPr>
  </w:style>
  <w:style w:type="character" w:customStyle="1" w:styleId="52">
    <w:name w:val="批注文字 字符"/>
    <w:link w:val="8"/>
    <w:qFormat/>
    <w:uiPriority w:val="0"/>
    <w:rPr>
      <w:kern w:val="2"/>
      <w:sz w:val="21"/>
      <w:szCs w:val="24"/>
      <w:lang w:bidi="ar-SA"/>
    </w:rPr>
  </w:style>
  <w:style w:type="character" w:customStyle="1" w:styleId="53">
    <w:name w:val="纯文本 字符"/>
    <w:link w:val="15"/>
    <w:qFormat/>
    <w:locked/>
    <w:uiPriority w:val="0"/>
    <w:rPr>
      <w:rFonts w:ascii="宋体" w:hAnsi="Courier New" w:eastAsia="宋体" w:cs="Courier New"/>
      <w:kern w:val="2"/>
      <w:sz w:val="21"/>
      <w:szCs w:val="21"/>
      <w:lang w:val="en-US" w:eastAsia="zh-CN" w:bidi="ar-SA"/>
    </w:rPr>
  </w:style>
  <w:style w:type="character" w:customStyle="1" w:styleId="54">
    <w:name w:val="页脚 字符"/>
    <w:link w:val="19"/>
    <w:qFormat/>
    <w:uiPriority w:val="99"/>
    <w:rPr>
      <w:kern w:val="2"/>
      <w:sz w:val="18"/>
      <w:szCs w:val="18"/>
    </w:rPr>
  </w:style>
  <w:style w:type="character" w:customStyle="1" w:styleId="55">
    <w:name w:val="font21"/>
    <w:qFormat/>
    <w:uiPriority w:val="0"/>
    <w:rPr>
      <w:rFonts w:hint="eastAsia" w:ascii="宋体" w:hAnsi="宋体" w:eastAsia="宋体" w:cs="宋体"/>
      <w:color w:val="000000"/>
      <w:sz w:val="20"/>
      <w:szCs w:val="20"/>
      <w:u w:val="none"/>
    </w:rPr>
  </w:style>
  <w:style w:type="character" w:customStyle="1" w:styleId="56">
    <w:name w:val="Char Char26"/>
    <w:qFormat/>
    <w:uiPriority w:val="0"/>
    <w:rPr>
      <w:rFonts w:ascii="宋体" w:hAnsi="Courier New" w:eastAsia="宋体" w:cs="Arial"/>
      <w:snapToGrid w:val="0"/>
      <w:kern w:val="2"/>
      <w:sz w:val="21"/>
      <w:szCs w:val="21"/>
      <w:lang w:val="en-US" w:eastAsia="zh-CN" w:bidi="ar-SA"/>
    </w:rPr>
  </w:style>
  <w:style w:type="character" w:customStyle="1" w:styleId="57">
    <w:name w:val="font11"/>
    <w:qFormat/>
    <w:uiPriority w:val="0"/>
    <w:rPr>
      <w:rFonts w:hint="eastAsia" w:ascii="宋体" w:hAnsi="宋体" w:eastAsia="宋体" w:cs="宋体"/>
      <w:color w:val="000000"/>
      <w:sz w:val="20"/>
      <w:szCs w:val="20"/>
      <w:u w:val="none"/>
    </w:rPr>
  </w:style>
  <w:style w:type="character" w:customStyle="1" w:styleId="58">
    <w:name w:val="textcontents1"/>
    <w:qFormat/>
    <w:uiPriority w:val="99"/>
    <w:rPr>
      <w:rFonts w:cs="Times New Roman"/>
      <w:color w:val="000000"/>
      <w:sz w:val="30"/>
      <w:szCs w:val="30"/>
    </w:rPr>
  </w:style>
  <w:style w:type="character" w:customStyle="1" w:styleId="59">
    <w:name w:val="正文文本缩进 字符1"/>
    <w:qFormat/>
    <w:uiPriority w:val="0"/>
    <w:rPr>
      <w:kern w:val="2"/>
      <w:sz w:val="21"/>
      <w:szCs w:val="24"/>
    </w:rPr>
  </w:style>
  <w:style w:type="character" w:customStyle="1" w:styleId="60">
    <w:name w:val="NormalCharacter"/>
    <w:semiHidden/>
    <w:qFormat/>
    <w:uiPriority w:val="0"/>
  </w:style>
  <w:style w:type="character" w:customStyle="1" w:styleId="61">
    <w:name w:val="apple-converted-space"/>
    <w:qFormat/>
    <w:uiPriority w:val="0"/>
  </w:style>
  <w:style w:type="character" w:customStyle="1" w:styleId="62">
    <w:name w:val="普通文字 Char Char Char1"/>
    <w:qFormat/>
    <w:uiPriority w:val="0"/>
    <w:rPr>
      <w:rFonts w:ascii="宋体" w:hAnsi="Courier New" w:eastAsia="宋体"/>
      <w:kern w:val="2"/>
      <w:sz w:val="21"/>
      <w:lang w:val="en-US" w:eastAsia="zh-CN" w:bidi="ar-SA"/>
    </w:rPr>
  </w:style>
  <w:style w:type="character" w:customStyle="1" w:styleId="63">
    <w:name w:val="正文2 Char Char"/>
    <w:link w:val="64"/>
    <w:qFormat/>
    <w:uiPriority w:val="0"/>
    <w:rPr>
      <w:rFonts w:eastAsia="宋体"/>
      <w:kern w:val="2"/>
      <w:sz w:val="24"/>
      <w:lang w:val="en-US" w:eastAsia="zh-CN" w:bidi="ar-SA"/>
    </w:rPr>
  </w:style>
  <w:style w:type="paragraph" w:customStyle="1" w:styleId="64">
    <w:name w:val="正文2"/>
    <w:basedOn w:val="1"/>
    <w:link w:val="63"/>
    <w:qFormat/>
    <w:uiPriority w:val="0"/>
    <w:pPr>
      <w:adjustRightInd w:val="0"/>
      <w:spacing w:before="156" w:line="360" w:lineRule="auto"/>
      <w:ind w:firstLine="510" w:firstLineChars="200"/>
    </w:pPr>
    <w:rPr>
      <w:sz w:val="24"/>
      <w:szCs w:val="20"/>
    </w:rPr>
  </w:style>
  <w:style w:type="character" w:customStyle="1" w:styleId="65">
    <w:name w:val="纯文本 字符1"/>
    <w:qFormat/>
    <w:uiPriority w:val="0"/>
    <w:rPr>
      <w:rFonts w:ascii="宋体" w:hAnsi="Courier New" w:eastAsia="宋体" w:cs="Courier New"/>
      <w:kern w:val="2"/>
      <w:sz w:val="21"/>
      <w:szCs w:val="21"/>
    </w:rPr>
  </w:style>
  <w:style w:type="paragraph" w:styleId="66">
    <w:name w:val="List Paragraph"/>
    <w:basedOn w:val="1"/>
    <w:qFormat/>
    <w:uiPriority w:val="34"/>
    <w:pPr>
      <w:widowControl/>
      <w:spacing w:before="100" w:beforeAutospacing="1" w:after="100" w:afterAutospacing="1"/>
      <w:jc w:val="left"/>
    </w:pPr>
    <w:rPr>
      <w:rFonts w:ascii="黑体" w:hAnsi="黑体" w:eastAsia="黑体" w:cs="宋体"/>
      <w:color w:val="000000"/>
      <w:kern w:val="0"/>
      <w:sz w:val="24"/>
    </w:rPr>
  </w:style>
  <w:style w:type="paragraph" w:customStyle="1" w:styleId="67">
    <w:name w:val="List Paragraph1"/>
    <w:basedOn w:val="1"/>
    <w:qFormat/>
    <w:uiPriority w:val="34"/>
    <w:pPr>
      <w:widowControl/>
      <w:spacing w:before="100" w:beforeAutospacing="1" w:after="100" w:afterAutospacing="1"/>
      <w:jc w:val="left"/>
    </w:pPr>
    <w:rPr>
      <w:rFonts w:ascii="黑体" w:hAnsi="黑体" w:eastAsia="黑体" w:cs="宋体"/>
      <w:color w:val="000000"/>
      <w:kern w:val="0"/>
      <w:sz w:val="24"/>
    </w:rPr>
  </w:style>
  <w:style w:type="paragraph" w:customStyle="1" w:styleId="68">
    <w:name w:val="正文1"/>
    <w:basedOn w:val="1"/>
    <w:qFormat/>
    <w:uiPriority w:val="0"/>
    <w:rPr>
      <w:rFonts w:ascii="宋体" w:hAnsi="宋体" w:cs="宋体"/>
      <w:szCs w:val="21"/>
    </w:rPr>
  </w:style>
  <w:style w:type="paragraph" w:customStyle="1" w:styleId="69">
    <w:name w:val="[Normal]"/>
    <w:qFormat/>
    <w:uiPriority w:val="0"/>
    <w:rPr>
      <w:rFonts w:ascii="宋体" w:hAnsi="宋体" w:eastAsia="宋体" w:cs="Times New Roman"/>
      <w:sz w:val="24"/>
      <w:lang w:val="en-US" w:eastAsia="en-US" w:bidi="ar-SA"/>
    </w:rPr>
  </w:style>
  <w:style w:type="paragraph" w:customStyle="1" w:styleId="70">
    <w:name w:val="列出段落1"/>
    <w:basedOn w:val="1"/>
    <w:qFormat/>
    <w:uiPriority w:val="0"/>
    <w:pPr>
      <w:ind w:firstLine="420" w:firstLineChars="200"/>
    </w:pPr>
  </w:style>
  <w:style w:type="paragraph" w:customStyle="1" w:styleId="71">
    <w:name w:val="Char Char Char Char1"/>
    <w:basedOn w:val="1"/>
    <w:qFormat/>
    <w:uiPriority w:val="0"/>
    <w:rPr>
      <w:rFonts w:ascii="Tahoma" w:hAnsi="Tahoma"/>
      <w:sz w:val="24"/>
      <w:szCs w:val="20"/>
    </w:rPr>
  </w:style>
  <w:style w:type="character" w:customStyle="1" w:styleId="72">
    <w:name w:val="zbggmain style9"/>
    <w:qFormat/>
    <w:uiPriority w:val="0"/>
    <w:rPr>
      <w:rFonts w:ascii="Tahoma" w:hAnsi="Tahoma"/>
      <w:sz w:val="24"/>
      <w:szCs w:val="20"/>
    </w:rPr>
  </w:style>
  <w:style w:type="paragraph" w:customStyle="1" w:styleId="73">
    <w:name w:val="正文首行缩进 21"/>
    <w:basedOn w:val="74"/>
    <w:qFormat/>
    <w:uiPriority w:val="0"/>
    <w:pPr>
      <w:ind w:firstLine="420"/>
    </w:pPr>
    <w:rPr>
      <w:rFonts w:cs="宋体"/>
    </w:rPr>
  </w:style>
  <w:style w:type="paragraph" w:customStyle="1" w:styleId="74">
    <w:name w:val="正文文本缩进1"/>
    <w:basedOn w:val="1"/>
    <w:next w:val="1"/>
    <w:qFormat/>
    <w:uiPriority w:val="0"/>
    <w:pPr>
      <w:ind w:left="420" w:leftChars="200"/>
    </w:pPr>
    <w:rPr>
      <w:color w:val="000000"/>
      <w:szCs w:val="21"/>
    </w:rPr>
  </w:style>
  <w:style w:type="paragraph" w:customStyle="1" w:styleId="75">
    <w:name w:val="BodyText1I2"/>
    <w:basedOn w:val="76"/>
    <w:qFormat/>
    <w:uiPriority w:val="0"/>
    <w:pPr>
      <w:ind w:firstLine="420"/>
    </w:pPr>
    <w:rPr>
      <w:sz w:val="21"/>
    </w:rPr>
  </w:style>
  <w:style w:type="paragraph" w:customStyle="1" w:styleId="76">
    <w:name w:val="BodyTextIndent"/>
    <w:basedOn w:val="1"/>
    <w:next w:val="75"/>
    <w:qFormat/>
    <w:uiPriority w:val="0"/>
    <w:pPr>
      <w:spacing w:line="360" w:lineRule="auto"/>
      <w:ind w:firstLine="490"/>
      <w:jc w:val="left"/>
    </w:pPr>
    <w:rPr>
      <w:rFonts w:ascii="宋体" w:hAnsi="宋体"/>
      <w:sz w:val="24"/>
    </w:rPr>
  </w:style>
  <w:style w:type="paragraph" w:customStyle="1" w:styleId="7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78">
    <w:name w:val="font01"/>
    <w:qFormat/>
    <w:uiPriority w:val="0"/>
    <w:rPr>
      <w:rFonts w:hint="eastAsia" w:ascii="等线" w:hAnsi="等线" w:eastAsia="等线" w:cs="等线"/>
      <w:color w:val="000000"/>
      <w:sz w:val="22"/>
      <w:szCs w:val="22"/>
      <w:u w:val="none"/>
    </w:rPr>
  </w:style>
  <w:style w:type="paragraph" w:customStyle="1" w:styleId="79">
    <w:name w:val="正文11"/>
    <w:basedOn w:val="1"/>
    <w:qFormat/>
    <w:uiPriority w:val="0"/>
    <w:pPr>
      <w:tabs>
        <w:tab w:val="left" w:pos="420"/>
      </w:tabs>
      <w:spacing w:line="360" w:lineRule="auto"/>
      <w:ind w:firstLine="432"/>
    </w:pPr>
    <w:rPr>
      <w:rFonts w:ascii="宋体" w:hAnsi="宋体"/>
      <w:b/>
      <w:sz w:val="24"/>
    </w:rPr>
  </w:style>
  <w:style w:type="paragraph" w:customStyle="1" w:styleId="80">
    <w:name w:val="Table Paragraph"/>
    <w:basedOn w:val="1"/>
    <w:qFormat/>
    <w:uiPriority w:val="1"/>
  </w:style>
  <w:style w:type="character" w:customStyle="1" w:styleId="81">
    <w:name w:val="批注主题 字符"/>
    <w:link w:val="28"/>
    <w:qFormat/>
    <w:uiPriority w:val="0"/>
    <w:rPr>
      <w:b/>
      <w:bCs/>
      <w:kern w:val="2"/>
      <w:sz w:val="21"/>
      <w:szCs w:val="24"/>
      <w:lang w:bidi="ar-SA"/>
    </w:rPr>
  </w:style>
  <w:style w:type="paragraph" w:customStyle="1" w:styleId="82">
    <w:name w:val="正文段"/>
    <w:basedOn w:val="1"/>
    <w:qFormat/>
    <w:uiPriority w:val="0"/>
    <w:pPr>
      <w:widowControl/>
      <w:snapToGrid w:val="0"/>
      <w:spacing w:afterLines="50"/>
      <w:ind w:firstLine="200" w:firstLineChars="200"/>
    </w:pPr>
    <w:rPr>
      <w:kern w:val="0"/>
      <w:sz w:val="24"/>
      <w:szCs w:val="20"/>
    </w:rPr>
  </w:style>
  <w:style w:type="character" w:customStyle="1" w:styleId="83">
    <w:name w:val="font41"/>
    <w:basedOn w:val="32"/>
    <w:qFormat/>
    <w:uiPriority w:val="0"/>
    <w:rPr>
      <w:rFonts w:hint="eastAsia" w:ascii="宋体" w:hAnsi="宋体" w:eastAsia="宋体" w:cs="宋体"/>
      <w:b/>
      <w:color w:val="000000"/>
      <w:sz w:val="24"/>
      <w:szCs w:val="24"/>
      <w:u w:val="none"/>
    </w:rPr>
  </w:style>
  <w:style w:type="character" w:customStyle="1" w:styleId="84">
    <w:name w:val="font81"/>
    <w:basedOn w:val="32"/>
    <w:qFormat/>
    <w:uiPriority w:val="0"/>
    <w:rPr>
      <w:rFonts w:hint="eastAsia" w:ascii="宋体" w:hAnsi="宋体" w:eastAsia="宋体" w:cs="宋体"/>
      <w:b/>
      <w:bCs/>
      <w:color w:val="000000"/>
      <w:sz w:val="24"/>
      <w:szCs w:val="24"/>
      <w:u w:val="none"/>
    </w:rPr>
  </w:style>
  <w:style w:type="character" w:customStyle="1" w:styleId="85">
    <w:name w:val="font71"/>
    <w:basedOn w:val="32"/>
    <w:qFormat/>
    <w:uiPriority w:val="0"/>
    <w:rPr>
      <w:rFonts w:hint="eastAsia" w:ascii="宋体" w:hAnsi="宋体" w:eastAsia="宋体" w:cs="宋体"/>
      <w:b/>
      <w:bCs/>
      <w:color w:val="000000"/>
      <w:sz w:val="24"/>
      <w:szCs w:val="24"/>
      <w:u w:val="none"/>
      <w:vertAlign w:val="superscript"/>
    </w:rPr>
  </w:style>
  <w:style w:type="character" w:customStyle="1" w:styleId="86">
    <w:name w:val="font61"/>
    <w:basedOn w:val="32"/>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77</Pages>
  <Words>32814</Words>
  <Characters>36764</Characters>
  <Lines>300</Lines>
  <Paragraphs>84</Paragraphs>
  <TotalTime>22</TotalTime>
  <ScaleCrop>false</ScaleCrop>
  <LinksUpToDate>false</LinksUpToDate>
  <CharactersWithSpaces>38306</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2022-04-14T03:09:00Z</dcterms:created>
  <dc:creator>wxg</dc:creator>
  <cp:lastModifiedBy>Administrator</cp:lastModifiedBy>
  <cp:lastPrinted>2022-03-26T05:01:00Z</cp:lastPrinted>
  <dcterms:modified xsi:type="dcterms:W3CDTF">2023-03-17T09:18:59Z</dcterms:modified>
  <dc:title>采购单位：</dc:title>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E7AE5292585C448CA7BD15BEC05D0EEB</vt:lpwstr>
  </property>
  <property fmtid="{D5CDD505-2E9C-101B-9397-08002B2CF9AE}" pid="4" name="commondata">
    <vt:lpwstr>eyJoZGlkIjoiMGMxOTZmYmYwNmE3NDdkMjFjOTU2NTAxZjdmNTVhZjgifQ==</vt:lpwstr>
  </property>
</Properties>
</file>