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8"/>
          <w:szCs w:val="48"/>
          <w:u w:val="single"/>
        </w:rPr>
      </w:pPr>
    </w:p>
    <w:p>
      <w:pPr>
        <w:spacing w:line="360" w:lineRule="auto"/>
        <w:jc w:val="center"/>
        <w:rPr>
          <w:rFonts w:ascii="宋体" w:hAnsi="宋体" w:cs="宋体"/>
          <w:b/>
          <w:sz w:val="40"/>
          <w:szCs w:val="40"/>
        </w:rPr>
      </w:pPr>
    </w:p>
    <w:p>
      <w:pPr>
        <w:spacing w:line="360" w:lineRule="auto"/>
        <w:jc w:val="center"/>
        <w:rPr>
          <w:rFonts w:ascii="宋体" w:hAnsi="宋体" w:cs="宋体"/>
          <w:b/>
          <w:sz w:val="56"/>
          <w:szCs w:val="56"/>
        </w:rPr>
      </w:pPr>
      <w:r>
        <w:rPr>
          <w:rFonts w:hint="eastAsia" w:ascii="宋体" w:hAnsi="宋体" w:cs="宋体"/>
          <w:b/>
          <w:sz w:val="40"/>
          <w:szCs w:val="40"/>
        </w:rPr>
        <w:t>2023-2024年度杭州湾上虞经济技术开发区河道保洁服务项目</w:t>
      </w:r>
    </w:p>
    <w:p>
      <w:pPr>
        <w:spacing w:line="360" w:lineRule="auto"/>
        <w:ind w:firstLine="420"/>
        <w:jc w:val="center"/>
        <w:rPr>
          <w:rFonts w:ascii="宋体" w:hAnsi="宋体" w:cs="宋体"/>
          <w:b/>
          <w:sz w:val="56"/>
          <w:szCs w:val="56"/>
        </w:rPr>
      </w:pPr>
    </w:p>
    <w:p>
      <w:pPr>
        <w:spacing w:line="360" w:lineRule="auto"/>
        <w:jc w:val="center"/>
        <w:rPr>
          <w:rFonts w:ascii="宋体" w:hAnsi="宋体" w:cs="宋体"/>
          <w:b/>
          <w:sz w:val="56"/>
          <w:szCs w:val="56"/>
        </w:rPr>
      </w:pPr>
    </w:p>
    <w:p>
      <w:pPr>
        <w:spacing w:line="360" w:lineRule="auto"/>
        <w:jc w:val="center"/>
        <w:rPr>
          <w:rFonts w:ascii="宋体" w:hAnsi="宋体" w:cs="宋体"/>
          <w:b/>
          <w:sz w:val="56"/>
          <w:szCs w:val="56"/>
        </w:rPr>
      </w:pPr>
      <w:r>
        <w:rPr>
          <w:rFonts w:hint="eastAsia" w:ascii="宋体" w:hAnsi="宋体" w:cs="宋体"/>
          <w:b/>
          <w:sz w:val="56"/>
          <w:szCs w:val="56"/>
        </w:rPr>
        <w:t>招标文件</w:t>
      </w:r>
    </w:p>
    <w:p>
      <w:pPr>
        <w:spacing w:line="360" w:lineRule="auto"/>
        <w:jc w:val="center"/>
        <w:rPr>
          <w:rFonts w:ascii="宋体" w:hAnsi="宋体" w:cs="宋体"/>
          <w:b/>
          <w:sz w:val="24"/>
        </w:rPr>
      </w:pPr>
    </w:p>
    <w:p>
      <w:pPr>
        <w:snapToGrid w:val="0"/>
        <w:spacing w:line="360" w:lineRule="auto"/>
        <w:jc w:val="center"/>
        <w:rPr>
          <w:rFonts w:hint="default" w:ascii="宋体" w:hAnsi="宋体" w:eastAsia="宋体" w:cs="宋体"/>
          <w:sz w:val="30"/>
          <w:szCs w:val="30"/>
          <w:u w:val="single"/>
          <w:lang w:val="en-US" w:eastAsia="zh-CN"/>
        </w:rPr>
      </w:pPr>
      <w:r>
        <w:rPr>
          <w:rFonts w:hint="eastAsia" w:ascii="宋体" w:hAnsi="宋体" w:cs="宋体"/>
          <w:sz w:val="30"/>
          <w:szCs w:val="30"/>
        </w:rPr>
        <w:t>招标编号：</w:t>
      </w:r>
      <w:r>
        <w:rPr>
          <w:rFonts w:hint="eastAsia" w:ascii="宋体" w:hAnsi="宋体" w:cs="宋体"/>
          <w:sz w:val="30"/>
          <w:szCs w:val="30"/>
          <w:lang w:val="en-US" w:eastAsia="zh-CN"/>
        </w:rPr>
        <w:t>ZJJC2023037</w:t>
      </w:r>
    </w:p>
    <w:p>
      <w:pPr>
        <w:snapToGrid w:val="0"/>
        <w:spacing w:line="360" w:lineRule="auto"/>
        <w:jc w:val="center"/>
        <w:rPr>
          <w:rFonts w:ascii="宋体" w:hAnsi="宋体" w:cs="宋体"/>
          <w:sz w:val="30"/>
          <w:szCs w:val="30"/>
        </w:rPr>
      </w:pPr>
      <w:r>
        <w:rPr>
          <w:rFonts w:hint="eastAsia" w:ascii="宋体" w:hAnsi="宋体" w:cs="宋体"/>
          <w:sz w:val="30"/>
          <w:szCs w:val="30"/>
        </w:rPr>
        <w:t>采购方式：公开招标</w:t>
      </w:r>
    </w:p>
    <w:p>
      <w:pPr>
        <w:spacing w:line="360" w:lineRule="auto"/>
        <w:rPr>
          <w:rFonts w:ascii="宋体" w:hAnsi="宋体" w:cs="宋体"/>
          <w:sz w:val="28"/>
          <w:szCs w:val="20"/>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29"/>
        <w:ind w:firstLine="480"/>
        <w:rPr>
          <w:rFonts w:ascii="宋体" w:hAnsi="宋体" w:cs="宋体"/>
          <w:sz w:val="24"/>
        </w:rPr>
      </w:pPr>
    </w:p>
    <w:p>
      <w:pPr>
        <w:pStyle w:val="29"/>
        <w:ind w:firstLine="480"/>
        <w:rPr>
          <w:rFonts w:ascii="宋体" w:hAnsi="宋体" w:cs="宋体"/>
          <w:sz w:val="24"/>
        </w:rPr>
      </w:pPr>
    </w:p>
    <w:p>
      <w:pPr>
        <w:pStyle w:val="29"/>
        <w:ind w:firstLine="480"/>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napToGrid w:val="0"/>
        <w:spacing w:line="360" w:lineRule="auto"/>
        <w:jc w:val="center"/>
        <w:rPr>
          <w:rFonts w:ascii="宋体" w:hAnsi="宋体" w:cs="宋体"/>
          <w:u w:val="single"/>
        </w:rPr>
      </w:pPr>
      <w:r>
        <w:rPr>
          <w:rFonts w:hint="eastAsia" w:ascii="宋体" w:hAnsi="宋体" w:cs="宋体"/>
          <w:sz w:val="30"/>
        </w:rPr>
        <w:t>采购人：绍兴市上虞区虞发市政工程有限公司</w:t>
      </w:r>
    </w:p>
    <w:p>
      <w:pPr>
        <w:snapToGrid w:val="0"/>
        <w:spacing w:line="360" w:lineRule="auto"/>
        <w:jc w:val="center"/>
        <w:rPr>
          <w:rFonts w:ascii="宋体" w:hAnsi="宋体" w:cs="宋体"/>
          <w:bCs/>
          <w:sz w:val="32"/>
          <w:szCs w:val="32"/>
        </w:rPr>
      </w:pPr>
      <w:r>
        <w:rPr>
          <w:rFonts w:hint="eastAsia" w:ascii="宋体" w:hAnsi="宋体" w:cs="宋体"/>
          <w:sz w:val="30"/>
        </w:rPr>
        <w:t>采购代理机构：浙江建诚工程管理咨询有限公司</w:t>
      </w:r>
    </w:p>
    <w:p>
      <w:pPr>
        <w:spacing w:line="360" w:lineRule="auto"/>
        <w:jc w:val="center"/>
        <w:rPr>
          <w:rFonts w:ascii="宋体" w:hAnsi="宋体" w:cs="宋体"/>
          <w:sz w:val="24"/>
        </w:rPr>
        <w:sectPr>
          <w:headerReference r:id="rId3" w:type="default"/>
          <w:footerReference r:id="rId4" w:type="default"/>
          <w:pgSz w:w="11906" w:h="16838"/>
          <w:pgMar w:top="1440" w:right="1558" w:bottom="1440" w:left="1800" w:header="851" w:footer="992" w:gutter="0"/>
          <w:cols w:space="720" w:num="1"/>
          <w:docGrid w:type="lines" w:linePitch="312" w:charSpace="0"/>
        </w:sectPr>
      </w:pPr>
      <w:bookmarkStart w:id="0" w:name="_Hlt67893495"/>
      <w:bookmarkEnd w:id="0"/>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pStyle w:val="21"/>
        <w:tabs>
          <w:tab w:val="right" w:leader="dot" w:pos="8306"/>
        </w:tabs>
        <w:spacing w:line="360" w:lineRule="auto"/>
        <w:rPr>
          <w:sz w:val="24"/>
        </w:rPr>
      </w:pPr>
      <w:bookmarkStart w:id="1" w:name="_Hlt91233176"/>
      <w:bookmarkEnd w:id="1"/>
      <w:bookmarkStart w:id="2" w:name="_Toc91899869"/>
      <w:r>
        <w:rPr>
          <w:rFonts w:hint="eastAsia" w:ascii="宋体" w:hAnsi="宋体" w:cs="宋体"/>
          <w:b/>
          <w:snapToGrid w:val="0"/>
          <w:kern w:val="0"/>
          <w:sz w:val="24"/>
        </w:rPr>
        <w:fldChar w:fldCharType="begin"/>
      </w:r>
      <w:r>
        <w:rPr>
          <w:rFonts w:hint="eastAsia" w:ascii="宋体" w:hAnsi="宋体" w:cs="宋体"/>
          <w:b/>
          <w:snapToGrid w:val="0"/>
          <w:kern w:val="0"/>
          <w:sz w:val="24"/>
        </w:rPr>
        <w:instrText xml:space="preserve"> TOC \o "1-1" \h \z \u </w:instrText>
      </w:r>
      <w:r>
        <w:rPr>
          <w:rFonts w:hint="eastAsia" w:ascii="宋体" w:hAnsi="宋体" w:cs="宋体"/>
          <w:b/>
          <w:snapToGrid w:val="0"/>
          <w:kern w:val="0"/>
          <w:sz w:val="24"/>
        </w:rPr>
        <w:fldChar w:fldCharType="separate"/>
      </w:r>
      <w:r>
        <w:fldChar w:fldCharType="begin"/>
      </w:r>
      <w:r>
        <w:instrText xml:space="preserve"> HYPERLINK \l "_Toc30081" </w:instrText>
      </w:r>
      <w:r>
        <w:fldChar w:fldCharType="separate"/>
      </w:r>
      <w:r>
        <w:rPr>
          <w:rFonts w:hint="eastAsia" w:ascii="宋体" w:hAnsi="宋体" w:cs="宋体"/>
          <w:sz w:val="24"/>
        </w:rPr>
        <w:t>第一部分 招标公告</w:t>
      </w:r>
      <w:r>
        <w:rPr>
          <w:sz w:val="24"/>
        </w:rPr>
        <w:tab/>
      </w:r>
      <w:r>
        <w:rPr>
          <w:sz w:val="24"/>
        </w:rPr>
        <w:fldChar w:fldCharType="begin"/>
      </w:r>
      <w:r>
        <w:rPr>
          <w:sz w:val="24"/>
        </w:rPr>
        <w:instrText xml:space="preserve"> PAGEREF _Toc30081 \h </w:instrText>
      </w:r>
      <w:r>
        <w:rPr>
          <w:sz w:val="24"/>
        </w:rPr>
        <w:fldChar w:fldCharType="separate"/>
      </w:r>
      <w:r>
        <w:rPr>
          <w:sz w:val="24"/>
        </w:rPr>
        <w:t>2</w:t>
      </w:r>
      <w:r>
        <w:rPr>
          <w:sz w:val="24"/>
        </w:rPr>
        <w:fldChar w:fldCharType="end"/>
      </w:r>
      <w:r>
        <w:rPr>
          <w:sz w:val="24"/>
        </w:rPr>
        <w:fldChar w:fldCharType="end"/>
      </w:r>
    </w:p>
    <w:p>
      <w:pPr>
        <w:pStyle w:val="21"/>
        <w:tabs>
          <w:tab w:val="right" w:leader="dot" w:pos="8306"/>
        </w:tabs>
        <w:spacing w:line="360" w:lineRule="auto"/>
        <w:rPr>
          <w:sz w:val="24"/>
        </w:rPr>
      </w:pPr>
      <w:r>
        <w:fldChar w:fldCharType="begin"/>
      </w:r>
      <w:r>
        <w:instrText xml:space="preserve"> HYPERLINK \l "_Toc18671" </w:instrText>
      </w:r>
      <w:r>
        <w:fldChar w:fldCharType="separate"/>
      </w:r>
      <w:r>
        <w:rPr>
          <w:rFonts w:hint="eastAsia" w:ascii="宋体" w:hAnsi="宋体" w:cs="宋体"/>
          <w:sz w:val="24"/>
        </w:rPr>
        <w:t>第二部分 投标须知</w:t>
      </w:r>
      <w:r>
        <w:rPr>
          <w:sz w:val="24"/>
        </w:rPr>
        <w:tab/>
      </w:r>
      <w:r>
        <w:rPr>
          <w:sz w:val="24"/>
        </w:rPr>
        <w:fldChar w:fldCharType="begin"/>
      </w:r>
      <w:r>
        <w:rPr>
          <w:sz w:val="24"/>
        </w:rPr>
        <w:instrText xml:space="preserve"> PAGEREF _Toc18671 \h </w:instrText>
      </w:r>
      <w:r>
        <w:rPr>
          <w:sz w:val="24"/>
        </w:rPr>
        <w:fldChar w:fldCharType="separate"/>
      </w:r>
      <w:r>
        <w:rPr>
          <w:sz w:val="24"/>
        </w:rPr>
        <w:t>6</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"_Toc10661" </w:instrText>
      </w:r>
      <w:r>
        <w:fldChar w:fldCharType="separate"/>
      </w:r>
      <w:r>
        <w:rPr>
          <w:rFonts w:hint="eastAsia" w:ascii="宋体" w:hAnsi="宋体" w:cs="宋体"/>
          <w:sz w:val="24"/>
        </w:rPr>
        <w:t>一、总则</w:t>
      </w:r>
      <w:r>
        <w:rPr>
          <w:sz w:val="24"/>
        </w:rPr>
        <w:tab/>
      </w:r>
      <w:r>
        <w:rPr>
          <w:sz w:val="24"/>
        </w:rPr>
        <w:fldChar w:fldCharType="begin"/>
      </w:r>
      <w:r>
        <w:rPr>
          <w:sz w:val="24"/>
        </w:rPr>
        <w:instrText xml:space="preserve"> PAGEREF _Toc10661 \h </w:instrText>
      </w:r>
      <w:r>
        <w:rPr>
          <w:sz w:val="24"/>
        </w:rPr>
        <w:fldChar w:fldCharType="separate"/>
      </w:r>
      <w:r>
        <w:rPr>
          <w:sz w:val="24"/>
        </w:rPr>
        <w:t>9</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"_Toc22966" </w:instrText>
      </w:r>
      <w:r>
        <w:fldChar w:fldCharType="separate"/>
      </w:r>
      <w:r>
        <w:rPr>
          <w:rFonts w:hint="eastAsia" w:ascii="宋体" w:hAnsi="宋体" w:cs="宋体"/>
          <w:sz w:val="24"/>
        </w:rPr>
        <w:t>二、招标文件</w:t>
      </w:r>
      <w:r>
        <w:rPr>
          <w:sz w:val="24"/>
        </w:rPr>
        <w:tab/>
      </w:r>
      <w:r>
        <w:rPr>
          <w:sz w:val="24"/>
        </w:rPr>
        <w:fldChar w:fldCharType="begin"/>
      </w:r>
      <w:r>
        <w:rPr>
          <w:sz w:val="24"/>
        </w:rPr>
        <w:instrText xml:space="preserve"> PAGEREF _Toc22966 \h </w:instrText>
      </w:r>
      <w:r>
        <w:rPr>
          <w:sz w:val="24"/>
        </w:rPr>
        <w:fldChar w:fldCharType="separate"/>
      </w:r>
      <w:r>
        <w:rPr>
          <w:sz w:val="24"/>
        </w:rPr>
        <w:t>9</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"_Toc26969" </w:instrText>
      </w:r>
      <w:r>
        <w:fldChar w:fldCharType="separate"/>
      </w:r>
      <w:r>
        <w:rPr>
          <w:rFonts w:hint="eastAsia" w:ascii="宋体" w:hAnsi="宋体" w:cs="宋体"/>
          <w:sz w:val="24"/>
        </w:rPr>
        <w:t>三、投标文件的编制</w:t>
      </w:r>
      <w:r>
        <w:rPr>
          <w:sz w:val="24"/>
        </w:rPr>
        <w:tab/>
      </w:r>
      <w:r>
        <w:rPr>
          <w:sz w:val="24"/>
        </w:rPr>
        <w:fldChar w:fldCharType="begin"/>
      </w:r>
      <w:r>
        <w:rPr>
          <w:sz w:val="24"/>
        </w:rPr>
        <w:instrText xml:space="preserve"> PAGEREF _Toc26969 \h </w:instrText>
      </w:r>
      <w:r>
        <w:rPr>
          <w:sz w:val="24"/>
        </w:rPr>
        <w:fldChar w:fldCharType="separate"/>
      </w:r>
      <w:r>
        <w:rPr>
          <w:sz w:val="24"/>
        </w:rPr>
        <w:t>11</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"_Toc22425" </w:instrText>
      </w:r>
      <w:r>
        <w:fldChar w:fldCharType="separate"/>
      </w:r>
      <w:r>
        <w:rPr>
          <w:rFonts w:hint="eastAsia" w:ascii="宋体" w:hAnsi="宋体" w:cs="宋体"/>
          <w:sz w:val="24"/>
        </w:rPr>
        <w:t>四、投标文件的递交</w:t>
      </w:r>
      <w:r>
        <w:rPr>
          <w:sz w:val="24"/>
        </w:rPr>
        <w:tab/>
      </w:r>
      <w:r>
        <w:rPr>
          <w:sz w:val="24"/>
        </w:rPr>
        <w:fldChar w:fldCharType="begin"/>
      </w:r>
      <w:r>
        <w:rPr>
          <w:sz w:val="24"/>
        </w:rPr>
        <w:instrText xml:space="preserve"> PAGEREF _Toc22425 \h </w:instrText>
      </w:r>
      <w:r>
        <w:rPr>
          <w:sz w:val="24"/>
        </w:rPr>
        <w:fldChar w:fldCharType="separate"/>
      </w:r>
      <w:r>
        <w:rPr>
          <w:sz w:val="24"/>
        </w:rPr>
        <w:t>14</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"_Toc32589" </w:instrText>
      </w:r>
      <w:r>
        <w:fldChar w:fldCharType="separate"/>
      </w:r>
      <w:r>
        <w:rPr>
          <w:rFonts w:hint="eastAsia" w:ascii="宋体" w:hAnsi="宋体" w:cs="宋体"/>
          <w:sz w:val="24"/>
        </w:rPr>
        <w:t>五、开标</w:t>
      </w:r>
      <w:r>
        <w:rPr>
          <w:sz w:val="24"/>
        </w:rPr>
        <w:tab/>
      </w:r>
      <w:r>
        <w:rPr>
          <w:sz w:val="24"/>
        </w:rPr>
        <w:fldChar w:fldCharType="begin"/>
      </w:r>
      <w:r>
        <w:rPr>
          <w:sz w:val="24"/>
        </w:rPr>
        <w:instrText xml:space="preserve"> PAGEREF _Toc32589 \h </w:instrText>
      </w:r>
      <w:r>
        <w:rPr>
          <w:sz w:val="24"/>
        </w:rPr>
        <w:fldChar w:fldCharType="separate"/>
      </w:r>
      <w:r>
        <w:rPr>
          <w:sz w:val="24"/>
        </w:rPr>
        <w:t>14</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"_Toc4872" </w:instrText>
      </w:r>
      <w:r>
        <w:fldChar w:fldCharType="separate"/>
      </w:r>
      <w:r>
        <w:rPr>
          <w:rFonts w:hint="eastAsia" w:ascii="宋体" w:hAnsi="宋体" w:cs="宋体"/>
          <w:sz w:val="24"/>
        </w:rPr>
        <w:t>六、资格审查</w:t>
      </w:r>
      <w:r>
        <w:rPr>
          <w:sz w:val="24"/>
        </w:rPr>
        <w:tab/>
      </w:r>
      <w:r>
        <w:rPr>
          <w:sz w:val="24"/>
        </w:rPr>
        <w:fldChar w:fldCharType="begin"/>
      </w:r>
      <w:r>
        <w:rPr>
          <w:sz w:val="24"/>
        </w:rPr>
        <w:instrText xml:space="preserve"> PAGEREF _Toc4872 \h </w:instrText>
      </w:r>
      <w:r>
        <w:rPr>
          <w:sz w:val="24"/>
        </w:rPr>
        <w:fldChar w:fldCharType="separate"/>
      </w:r>
      <w:r>
        <w:rPr>
          <w:sz w:val="24"/>
        </w:rPr>
        <w:t>15</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"_Toc20672" </w:instrText>
      </w:r>
      <w:r>
        <w:fldChar w:fldCharType="separate"/>
      </w:r>
      <w:r>
        <w:rPr>
          <w:rFonts w:hint="eastAsia" w:ascii="宋体" w:hAnsi="宋体" w:cs="宋体"/>
          <w:sz w:val="24"/>
        </w:rPr>
        <w:t>七、评标</w:t>
      </w:r>
      <w:r>
        <w:rPr>
          <w:sz w:val="24"/>
        </w:rPr>
        <w:tab/>
      </w:r>
      <w:r>
        <w:rPr>
          <w:sz w:val="24"/>
        </w:rPr>
        <w:fldChar w:fldCharType="begin"/>
      </w:r>
      <w:r>
        <w:rPr>
          <w:sz w:val="24"/>
        </w:rPr>
        <w:instrText xml:space="preserve"> PAGEREF _Toc20672 \h </w:instrText>
      </w:r>
      <w:r>
        <w:rPr>
          <w:sz w:val="24"/>
        </w:rPr>
        <w:fldChar w:fldCharType="separate"/>
      </w:r>
      <w:r>
        <w:rPr>
          <w:sz w:val="24"/>
        </w:rPr>
        <w:t>16</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"_Toc8332" </w:instrText>
      </w:r>
      <w:r>
        <w:fldChar w:fldCharType="separate"/>
      </w:r>
      <w:r>
        <w:rPr>
          <w:rFonts w:hint="eastAsia" w:ascii="宋体" w:hAnsi="宋体" w:cs="宋体"/>
          <w:sz w:val="24"/>
        </w:rPr>
        <w:t>八、定 标</w:t>
      </w:r>
      <w:r>
        <w:rPr>
          <w:sz w:val="24"/>
        </w:rPr>
        <w:tab/>
      </w:r>
      <w:r>
        <w:rPr>
          <w:sz w:val="24"/>
        </w:rPr>
        <w:fldChar w:fldCharType="begin"/>
      </w:r>
      <w:r>
        <w:rPr>
          <w:sz w:val="24"/>
        </w:rPr>
        <w:instrText xml:space="preserve"> PAGEREF _Toc8332 \h </w:instrText>
      </w:r>
      <w:r>
        <w:rPr>
          <w:sz w:val="24"/>
        </w:rPr>
        <w:fldChar w:fldCharType="separate"/>
      </w:r>
      <w:r>
        <w:rPr>
          <w:sz w:val="24"/>
        </w:rPr>
        <w:t>20</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"_Toc31548" </w:instrText>
      </w:r>
      <w:r>
        <w:fldChar w:fldCharType="separate"/>
      </w:r>
      <w:r>
        <w:rPr>
          <w:rFonts w:hint="eastAsia" w:ascii="宋体" w:hAnsi="宋体" w:cs="宋体"/>
          <w:sz w:val="24"/>
        </w:rPr>
        <w:t>九、合同签订及其他</w:t>
      </w:r>
      <w:r>
        <w:rPr>
          <w:sz w:val="24"/>
        </w:rPr>
        <w:tab/>
      </w:r>
      <w:r>
        <w:rPr>
          <w:sz w:val="24"/>
        </w:rPr>
        <w:fldChar w:fldCharType="begin"/>
      </w:r>
      <w:r>
        <w:rPr>
          <w:sz w:val="24"/>
        </w:rPr>
        <w:instrText xml:space="preserve"> PAGEREF _Toc31548 \h </w:instrText>
      </w:r>
      <w:r>
        <w:rPr>
          <w:sz w:val="24"/>
        </w:rPr>
        <w:fldChar w:fldCharType="separate"/>
      </w:r>
      <w:r>
        <w:rPr>
          <w:sz w:val="24"/>
        </w:rPr>
        <w:t>20</w:t>
      </w:r>
      <w:r>
        <w:rPr>
          <w:sz w:val="24"/>
        </w:rPr>
        <w:fldChar w:fldCharType="end"/>
      </w:r>
      <w:r>
        <w:rPr>
          <w:sz w:val="24"/>
        </w:rPr>
        <w:fldChar w:fldCharType="end"/>
      </w:r>
    </w:p>
    <w:p>
      <w:pPr>
        <w:pStyle w:val="21"/>
        <w:tabs>
          <w:tab w:val="right" w:leader="dot" w:pos="8306"/>
        </w:tabs>
        <w:spacing w:line="360" w:lineRule="auto"/>
        <w:ind w:firstLine="420" w:firstLineChars="200"/>
        <w:rPr>
          <w:sz w:val="24"/>
        </w:rPr>
      </w:pPr>
      <w:r>
        <w:fldChar w:fldCharType="begin"/>
      </w:r>
      <w:r>
        <w:instrText xml:space="preserve"> HYPERLINK \l "_Toc7716" </w:instrText>
      </w:r>
      <w:r>
        <w:fldChar w:fldCharType="separate"/>
      </w:r>
      <w:r>
        <w:rPr>
          <w:rFonts w:hint="eastAsia" w:ascii="宋体" w:hAnsi="宋体" w:cs="宋体"/>
          <w:sz w:val="24"/>
        </w:rPr>
        <w:t>十、质疑与投诉</w:t>
      </w:r>
      <w:r>
        <w:rPr>
          <w:sz w:val="24"/>
        </w:rPr>
        <w:tab/>
      </w:r>
      <w:r>
        <w:rPr>
          <w:sz w:val="24"/>
        </w:rPr>
        <w:fldChar w:fldCharType="begin"/>
      </w:r>
      <w:r>
        <w:rPr>
          <w:sz w:val="24"/>
        </w:rPr>
        <w:instrText xml:space="preserve"> PAGEREF _Toc7716 \h </w:instrText>
      </w:r>
      <w:r>
        <w:rPr>
          <w:sz w:val="24"/>
        </w:rPr>
        <w:fldChar w:fldCharType="separate"/>
      </w:r>
      <w:r>
        <w:rPr>
          <w:sz w:val="24"/>
        </w:rPr>
        <w:t>21</w:t>
      </w:r>
      <w:r>
        <w:rPr>
          <w:sz w:val="24"/>
        </w:rPr>
        <w:fldChar w:fldCharType="end"/>
      </w:r>
      <w:r>
        <w:rPr>
          <w:sz w:val="24"/>
        </w:rPr>
        <w:fldChar w:fldCharType="end"/>
      </w:r>
    </w:p>
    <w:p>
      <w:pPr>
        <w:pStyle w:val="21"/>
        <w:tabs>
          <w:tab w:val="right" w:leader="dot" w:pos="8306"/>
        </w:tabs>
        <w:spacing w:line="360" w:lineRule="auto"/>
        <w:rPr>
          <w:sz w:val="24"/>
        </w:rPr>
      </w:pPr>
      <w:r>
        <w:fldChar w:fldCharType="begin"/>
      </w:r>
      <w:r>
        <w:instrText xml:space="preserve"> HYPERLINK \l "_Toc10484" </w:instrText>
      </w:r>
      <w:r>
        <w:fldChar w:fldCharType="separate"/>
      </w:r>
      <w:r>
        <w:rPr>
          <w:rFonts w:hint="eastAsia" w:ascii="宋体" w:hAnsi="宋体" w:cs="宋体"/>
          <w:sz w:val="24"/>
        </w:rPr>
        <w:t>第三部分 评标办法及评分标准</w:t>
      </w:r>
      <w:r>
        <w:rPr>
          <w:sz w:val="24"/>
        </w:rPr>
        <w:tab/>
      </w:r>
      <w:r>
        <w:rPr>
          <w:sz w:val="24"/>
        </w:rPr>
        <w:fldChar w:fldCharType="begin"/>
      </w:r>
      <w:r>
        <w:rPr>
          <w:sz w:val="24"/>
        </w:rPr>
        <w:instrText xml:space="preserve"> PAGEREF _Toc10484 \h </w:instrText>
      </w:r>
      <w:r>
        <w:rPr>
          <w:sz w:val="24"/>
        </w:rPr>
        <w:fldChar w:fldCharType="separate"/>
      </w:r>
      <w:r>
        <w:rPr>
          <w:sz w:val="24"/>
        </w:rPr>
        <w:t>24</w:t>
      </w:r>
      <w:r>
        <w:rPr>
          <w:sz w:val="24"/>
        </w:rPr>
        <w:fldChar w:fldCharType="end"/>
      </w:r>
      <w:r>
        <w:rPr>
          <w:sz w:val="24"/>
        </w:rPr>
        <w:fldChar w:fldCharType="end"/>
      </w:r>
    </w:p>
    <w:p>
      <w:pPr>
        <w:pStyle w:val="21"/>
        <w:tabs>
          <w:tab w:val="right" w:leader="dot" w:pos="8306"/>
        </w:tabs>
        <w:spacing w:line="360" w:lineRule="auto"/>
        <w:rPr>
          <w:sz w:val="24"/>
        </w:rPr>
      </w:pPr>
      <w:r>
        <w:fldChar w:fldCharType="begin"/>
      </w:r>
      <w:r>
        <w:instrText xml:space="preserve"> HYPERLINK \l "_Toc18590" </w:instrText>
      </w:r>
      <w:r>
        <w:fldChar w:fldCharType="separate"/>
      </w:r>
      <w:r>
        <w:rPr>
          <w:rFonts w:hint="eastAsia" w:ascii="宋体" w:hAnsi="宋体" w:cs="宋体"/>
          <w:sz w:val="24"/>
        </w:rPr>
        <w:t>第四部分 采购需求</w:t>
      </w:r>
      <w:r>
        <w:rPr>
          <w:sz w:val="24"/>
        </w:rPr>
        <w:tab/>
      </w:r>
      <w:r>
        <w:rPr>
          <w:sz w:val="24"/>
        </w:rPr>
        <w:fldChar w:fldCharType="begin"/>
      </w:r>
      <w:r>
        <w:rPr>
          <w:sz w:val="24"/>
        </w:rPr>
        <w:instrText xml:space="preserve"> PAGEREF _Toc18590 \h </w:instrText>
      </w:r>
      <w:r>
        <w:rPr>
          <w:sz w:val="24"/>
        </w:rPr>
        <w:fldChar w:fldCharType="separate"/>
      </w:r>
      <w:r>
        <w:rPr>
          <w:sz w:val="24"/>
        </w:rPr>
        <w:t>27</w:t>
      </w:r>
      <w:r>
        <w:rPr>
          <w:sz w:val="24"/>
        </w:rPr>
        <w:fldChar w:fldCharType="end"/>
      </w:r>
      <w:r>
        <w:rPr>
          <w:sz w:val="24"/>
        </w:rPr>
        <w:fldChar w:fldCharType="end"/>
      </w:r>
    </w:p>
    <w:p>
      <w:pPr>
        <w:pStyle w:val="21"/>
        <w:tabs>
          <w:tab w:val="right" w:leader="dot" w:pos="8306"/>
        </w:tabs>
        <w:spacing w:line="360" w:lineRule="auto"/>
        <w:rPr>
          <w:sz w:val="24"/>
        </w:rPr>
      </w:pPr>
      <w:r>
        <w:fldChar w:fldCharType="begin"/>
      </w:r>
      <w:r>
        <w:instrText xml:space="preserve"> HYPERLINK \l "_Toc6463" </w:instrText>
      </w:r>
      <w:r>
        <w:fldChar w:fldCharType="separate"/>
      </w:r>
      <w:r>
        <w:rPr>
          <w:rFonts w:hint="eastAsia" w:ascii="宋体" w:hAnsi="宋体" w:cs="宋体"/>
          <w:sz w:val="24"/>
        </w:rPr>
        <w:t>第五部分 采购合同</w:t>
      </w:r>
      <w:r>
        <w:rPr>
          <w:sz w:val="24"/>
        </w:rPr>
        <w:tab/>
      </w:r>
      <w:r>
        <w:rPr>
          <w:sz w:val="24"/>
        </w:rPr>
        <w:fldChar w:fldCharType="begin"/>
      </w:r>
      <w:r>
        <w:rPr>
          <w:sz w:val="24"/>
        </w:rPr>
        <w:instrText xml:space="preserve"> PAGEREF _Toc6463 \h </w:instrText>
      </w:r>
      <w:r>
        <w:rPr>
          <w:sz w:val="24"/>
        </w:rPr>
        <w:fldChar w:fldCharType="separate"/>
      </w:r>
      <w:r>
        <w:rPr>
          <w:sz w:val="24"/>
        </w:rPr>
        <w:t>36</w:t>
      </w:r>
      <w:r>
        <w:rPr>
          <w:sz w:val="24"/>
        </w:rPr>
        <w:fldChar w:fldCharType="end"/>
      </w:r>
      <w:r>
        <w:rPr>
          <w:sz w:val="24"/>
        </w:rPr>
        <w:fldChar w:fldCharType="end"/>
      </w:r>
    </w:p>
    <w:p>
      <w:pPr>
        <w:pStyle w:val="21"/>
        <w:tabs>
          <w:tab w:val="right" w:leader="dot" w:pos="8306"/>
        </w:tabs>
        <w:spacing w:line="360" w:lineRule="auto"/>
        <w:rPr>
          <w:sz w:val="24"/>
        </w:rPr>
      </w:pPr>
      <w:r>
        <w:fldChar w:fldCharType="begin"/>
      </w:r>
      <w:r>
        <w:instrText xml:space="preserve"> HYPERLINK \l "_Toc2226" </w:instrText>
      </w:r>
      <w:r>
        <w:fldChar w:fldCharType="separate"/>
      </w:r>
      <w:r>
        <w:rPr>
          <w:rFonts w:hint="eastAsia" w:ascii="宋体" w:hAnsi="宋体" w:cs="宋体"/>
          <w:sz w:val="24"/>
        </w:rPr>
        <w:t>第六部分 应提交的有关格式范例</w:t>
      </w:r>
      <w:r>
        <w:rPr>
          <w:sz w:val="24"/>
        </w:rPr>
        <w:tab/>
      </w:r>
      <w:r>
        <w:rPr>
          <w:sz w:val="24"/>
        </w:rPr>
        <w:fldChar w:fldCharType="begin"/>
      </w:r>
      <w:r>
        <w:rPr>
          <w:sz w:val="24"/>
        </w:rPr>
        <w:instrText xml:space="preserve"> PAGEREF _Toc2226 \h </w:instrText>
      </w:r>
      <w:r>
        <w:rPr>
          <w:sz w:val="24"/>
        </w:rPr>
        <w:fldChar w:fldCharType="separate"/>
      </w:r>
      <w:r>
        <w:rPr>
          <w:sz w:val="24"/>
        </w:rPr>
        <w:t>43</w:t>
      </w:r>
      <w:r>
        <w:rPr>
          <w:sz w:val="24"/>
        </w:rPr>
        <w:fldChar w:fldCharType="end"/>
      </w:r>
      <w:r>
        <w:rPr>
          <w:sz w:val="24"/>
        </w:rPr>
        <w:fldChar w:fldCharType="end"/>
      </w:r>
    </w:p>
    <w:p>
      <w:pPr>
        <w:spacing w:line="360" w:lineRule="auto"/>
        <w:ind w:firstLine="549" w:firstLineChars="229"/>
        <w:rPr>
          <w:rFonts w:ascii="宋体" w:hAnsi="宋体" w:cs="宋体"/>
          <w:sz w:val="24"/>
        </w:rPr>
      </w:pPr>
      <w:r>
        <w:rPr>
          <w:rFonts w:hint="eastAsia" w:ascii="宋体" w:hAnsi="宋体" w:cs="宋体"/>
          <w:snapToGrid w:val="0"/>
          <w:kern w:val="0"/>
          <w:sz w:val="24"/>
        </w:rPr>
        <w:fldChar w:fldCharType="end"/>
      </w: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spacing w:line="360" w:lineRule="auto"/>
        <w:jc w:val="center"/>
        <w:outlineLvl w:val="0"/>
        <w:rPr>
          <w:rFonts w:ascii="宋体" w:hAnsi="宋体" w:cs="宋体"/>
          <w:b/>
          <w:sz w:val="36"/>
          <w:szCs w:val="20"/>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spacing w:line="360" w:lineRule="auto"/>
        <w:jc w:val="center"/>
        <w:outlineLvl w:val="0"/>
        <w:rPr>
          <w:rFonts w:ascii="宋体" w:hAnsi="宋体" w:cs="宋体"/>
          <w:b/>
          <w:sz w:val="36"/>
          <w:szCs w:val="20"/>
        </w:rPr>
      </w:pPr>
      <w:bookmarkStart w:id="10" w:name="_Toc30081"/>
      <w:r>
        <w:rPr>
          <w:rFonts w:hint="eastAsia" w:ascii="宋体" w:hAnsi="宋体" w:cs="宋体"/>
          <w:b/>
          <w:sz w:val="36"/>
          <w:szCs w:val="20"/>
        </w:rPr>
        <w:t>第一部分 招标公告</w:t>
      </w:r>
      <w:bookmarkEnd w:id="10"/>
    </w:p>
    <w:p>
      <w:pPr>
        <w:adjustRightInd w:val="0"/>
        <w:spacing w:line="360" w:lineRule="auto"/>
        <w:jc w:val="center"/>
        <w:rPr>
          <w:rFonts w:ascii="宋体" w:hAnsi="宋体" w:cs="宋体"/>
          <w:sz w:val="30"/>
        </w:rPr>
      </w:pPr>
      <w:bookmarkStart w:id="11" w:name="OLE_LINK1"/>
      <w:r>
        <w:rPr>
          <w:rFonts w:hint="eastAsia" w:ascii="宋体" w:hAnsi="宋体" w:cs="宋体"/>
          <w:sz w:val="30"/>
        </w:rPr>
        <w:t>浙江建诚工程管理咨询有限公司</w:t>
      </w:r>
      <w:r>
        <w:rPr>
          <w:rFonts w:hint="eastAsia" w:ascii="宋体" w:hAnsi="宋体" w:cs="宋体"/>
          <w:sz w:val="28"/>
          <w:szCs w:val="28"/>
        </w:rPr>
        <w:t>关于</w:t>
      </w:r>
      <w:r>
        <w:rPr>
          <w:rFonts w:hint="eastAsia" w:ascii="宋体" w:hAnsi="宋体" w:cs="宋体"/>
          <w:sz w:val="30"/>
        </w:rPr>
        <w:t>2023-2024年度杭州湾上虞经济技术开发区河道保洁服务项目的招标公告</w:t>
      </w:r>
    </w:p>
    <w:p>
      <w:pPr>
        <w:adjustRightInd w:val="0"/>
        <w:spacing w:line="360" w:lineRule="auto"/>
        <w:jc w:val="center"/>
        <w:rPr>
          <w:rFonts w:ascii="宋体" w:hAnsi="宋体" w:cs="宋体"/>
          <w:sz w:val="28"/>
          <w:szCs w:val="28"/>
        </w:rPr>
      </w:pPr>
      <w:r>
        <w:rPr>
          <w:rFonts w:hint="eastAsia" w:ascii="宋体" w:hAnsi="宋体" w:cs="宋体"/>
          <w:sz w:val="28"/>
          <w:szCs w:val="28"/>
        </w:rPr>
        <w:t>公告日期：2023年 月 日</w:t>
      </w:r>
    </w:p>
    <w:p>
      <w:pPr>
        <w:adjustRightInd w:val="0"/>
        <w:spacing w:line="360" w:lineRule="auto"/>
        <w:ind w:firstLine="480" w:firstLineChars="200"/>
        <w:rPr>
          <w:rFonts w:ascii="宋体" w:hAnsi="宋体" w:cs="宋体"/>
          <w:sz w:val="24"/>
        </w:rPr>
      </w:pPr>
      <w:r>
        <w:rPr>
          <w:rFonts w:hint="eastAsia" w:ascii="宋体" w:hAnsi="宋体" w:cs="宋体"/>
          <w:sz w:val="24"/>
        </w:rPr>
        <w:t>按照《上虞区区属国有企业货物和服务采购管理办法》等有关规定，浙江建诚工程管理咨询有限公司受绍兴市上虞区虞发市政工程有限公司委托，现就2023-2024年度杭州湾上虞经济技术开发区河道保洁服务项目进行公开招标，欢迎国内合格的供应商前来投标。</w:t>
      </w:r>
    </w:p>
    <w:p>
      <w:pPr>
        <w:adjustRightInd w:val="0"/>
        <w:spacing w:line="360" w:lineRule="auto"/>
        <w:ind w:firstLine="480" w:firstLineChars="200"/>
        <w:rPr>
          <w:rFonts w:ascii="宋体" w:hAnsi="宋体" w:cs="宋体"/>
          <w:sz w:val="24"/>
          <w:u w:val="single"/>
        </w:rPr>
      </w:pPr>
      <w:r>
        <w:rPr>
          <w:rFonts w:hint="eastAsia" w:ascii="宋体" w:hAnsi="宋体" w:cs="宋体"/>
          <w:sz w:val="24"/>
        </w:rPr>
        <w:t>一、招标项目编号：</w:t>
      </w:r>
      <w:bookmarkStart w:id="453" w:name="_GoBack"/>
      <w:r>
        <w:rPr>
          <w:rFonts w:hint="eastAsia" w:ascii="宋体" w:hAnsi="宋体" w:cs="宋体"/>
          <w:sz w:val="24"/>
          <w:lang w:val="en-US" w:eastAsia="zh-CN"/>
        </w:rPr>
        <w:t>ZJJC2023037</w:t>
      </w:r>
      <w:bookmarkEnd w:id="453"/>
    </w:p>
    <w:p>
      <w:pPr>
        <w:adjustRightInd w:val="0"/>
        <w:spacing w:line="360" w:lineRule="auto"/>
        <w:ind w:firstLine="480" w:firstLineChars="200"/>
        <w:rPr>
          <w:rFonts w:ascii="宋体" w:hAnsi="宋体" w:cs="宋体"/>
          <w:sz w:val="24"/>
        </w:rPr>
      </w:pPr>
      <w:r>
        <w:rPr>
          <w:rFonts w:hint="eastAsia" w:ascii="宋体" w:hAnsi="宋体" w:cs="宋体"/>
          <w:sz w:val="24"/>
        </w:rPr>
        <w:t>二、采购组织类型：</w:t>
      </w:r>
      <w:r>
        <w:rPr>
          <w:rFonts w:hint="eastAsia" w:ascii="宋体" w:hAnsi="宋体" w:cs="宋体"/>
          <w:sz w:val="24"/>
          <w:u w:val="single"/>
        </w:rPr>
        <w:t xml:space="preserve"> 国企采购-公开招标 </w:t>
      </w:r>
    </w:p>
    <w:p>
      <w:pPr>
        <w:adjustRightInd w:val="0"/>
        <w:spacing w:line="360" w:lineRule="auto"/>
        <w:ind w:firstLine="480" w:firstLineChars="200"/>
        <w:rPr>
          <w:rFonts w:ascii="宋体" w:hAnsi="宋体" w:cs="宋体"/>
          <w:sz w:val="24"/>
        </w:rPr>
      </w:pPr>
      <w:r>
        <w:rPr>
          <w:rFonts w:hint="eastAsia" w:ascii="宋体" w:hAnsi="宋体" w:cs="宋体"/>
          <w:sz w:val="24"/>
        </w:rPr>
        <w:t>三、招标项目概况:</w:t>
      </w:r>
    </w:p>
    <w:tbl>
      <w:tblPr>
        <w:tblStyle w:val="30"/>
        <w:tblW w:w="867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359"/>
        <w:gridCol w:w="1977"/>
        <w:gridCol w:w="456"/>
        <w:gridCol w:w="437"/>
        <w:gridCol w:w="1319"/>
        <w:gridCol w:w="1291"/>
        <w:gridCol w:w="2014"/>
        <w:gridCol w:w="824"/>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43" w:hRule="atLeast"/>
          <w:jc w:val="center"/>
        </w:trPr>
        <w:tc>
          <w:tcPr>
            <w:tcW w:w="359"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序号</w:t>
            </w:r>
          </w:p>
        </w:tc>
        <w:tc>
          <w:tcPr>
            <w:tcW w:w="1977"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456"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数量</w:t>
            </w:r>
          </w:p>
        </w:tc>
        <w:tc>
          <w:tcPr>
            <w:tcW w:w="437"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单位</w:t>
            </w:r>
          </w:p>
        </w:tc>
        <w:tc>
          <w:tcPr>
            <w:tcW w:w="1319" w:type="dxa"/>
            <w:vAlign w:val="center"/>
          </w:tcPr>
          <w:p>
            <w:pPr>
              <w:pStyle w:val="10"/>
              <w:ind w:firstLine="0" w:firstLineChars="0"/>
              <w:jc w:val="center"/>
              <w:rPr>
                <w:rFonts w:hAnsi="宋体" w:cs="宋体"/>
                <w:color w:val="auto"/>
                <w:sz w:val="24"/>
              </w:rPr>
            </w:pPr>
            <w:r>
              <w:rPr>
                <w:rFonts w:hint="eastAsia" w:hAnsi="宋体" w:cs="宋体"/>
                <w:color w:val="auto"/>
                <w:sz w:val="24"/>
              </w:rPr>
              <w:t>面积</w:t>
            </w:r>
          </w:p>
          <w:p>
            <w:pPr>
              <w:pStyle w:val="10"/>
              <w:ind w:firstLine="0" w:firstLineChars="0"/>
              <w:jc w:val="left"/>
              <w:rPr>
                <w:rFonts w:hAnsi="宋体" w:cs="宋体"/>
                <w:color w:val="auto"/>
                <w:sz w:val="24"/>
              </w:rPr>
            </w:pPr>
            <w:r>
              <w:rPr>
                <w:rFonts w:hint="eastAsia" w:hAnsi="宋体" w:cs="宋体"/>
                <w:color w:val="auto"/>
                <w:sz w:val="24"/>
              </w:rPr>
              <w:t>（平方米）</w:t>
            </w:r>
          </w:p>
        </w:tc>
        <w:tc>
          <w:tcPr>
            <w:tcW w:w="1291" w:type="dxa"/>
            <w:vAlign w:val="center"/>
          </w:tcPr>
          <w:p>
            <w:pPr>
              <w:adjustRightInd w:val="0"/>
              <w:spacing w:line="360" w:lineRule="auto"/>
              <w:jc w:val="center"/>
              <w:rPr>
                <w:color w:val="auto"/>
              </w:rPr>
            </w:pPr>
            <w:r>
              <w:rPr>
                <w:rFonts w:hint="eastAsia"/>
                <w:color w:val="auto"/>
              </w:rPr>
              <w:t>预算金额</w:t>
            </w:r>
          </w:p>
          <w:p>
            <w:pPr>
              <w:pStyle w:val="10"/>
              <w:ind w:firstLine="240"/>
              <w:rPr>
                <w:color w:val="auto"/>
              </w:rPr>
            </w:pPr>
            <w:r>
              <w:rPr>
                <w:rFonts w:hint="eastAsia" w:hAnsi="宋体" w:cs="宋体"/>
                <w:color w:val="auto"/>
                <w:sz w:val="24"/>
              </w:rPr>
              <w:t>（元）</w:t>
            </w:r>
          </w:p>
        </w:tc>
        <w:tc>
          <w:tcPr>
            <w:tcW w:w="2014"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简要规格描述或标项基本概况介绍</w:t>
            </w:r>
          </w:p>
        </w:tc>
        <w:tc>
          <w:tcPr>
            <w:tcW w:w="824"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240" w:hRule="atLeast"/>
          <w:jc w:val="center"/>
        </w:trPr>
        <w:tc>
          <w:tcPr>
            <w:tcW w:w="359"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1</w:t>
            </w:r>
          </w:p>
        </w:tc>
        <w:tc>
          <w:tcPr>
            <w:tcW w:w="1977"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2023-2024年度杭州湾上虞经济技术开发区道路、绿化带、河道保洁服务项目</w:t>
            </w:r>
          </w:p>
        </w:tc>
        <w:tc>
          <w:tcPr>
            <w:tcW w:w="456" w:type="dxa"/>
            <w:vAlign w:val="center"/>
          </w:tcPr>
          <w:p>
            <w:pPr>
              <w:widowControl/>
              <w:spacing w:before="100" w:after="100" w:line="360" w:lineRule="auto"/>
              <w:jc w:val="center"/>
              <w:rPr>
                <w:rFonts w:ascii="宋体" w:hAnsi="宋体" w:cs="宋体"/>
                <w:color w:val="auto"/>
                <w:sz w:val="24"/>
              </w:rPr>
            </w:pPr>
            <w:r>
              <w:rPr>
                <w:rFonts w:hint="eastAsia" w:ascii="宋体" w:hAnsi="宋体" w:cs="宋体"/>
                <w:color w:val="auto"/>
                <w:sz w:val="24"/>
              </w:rPr>
              <w:t>1</w:t>
            </w:r>
          </w:p>
        </w:tc>
        <w:tc>
          <w:tcPr>
            <w:tcW w:w="437" w:type="dxa"/>
            <w:vAlign w:val="center"/>
          </w:tcPr>
          <w:p>
            <w:pPr>
              <w:widowControl/>
              <w:spacing w:before="100" w:after="100" w:line="360" w:lineRule="auto"/>
              <w:jc w:val="center"/>
              <w:rPr>
                <w:rFonts w:ascii="宋体" w:hAnsi="宋体" w:cs="宋体"/>
                <w:color w:val="auto"/>
                <w:sz w:val="24"/>
              </w:rPr>
            </w:pPr>
            <w:r>
              <w:rPr>
                <w:rFonts w:hint="eastAsia" w:ascii="宋体" w:hAnsi="宋体" w:cs="宋体"/>
                <w:color w:val="auto"/>
                <w:sz w:val="24"/>
              </w:rPr>
              <w:t>项</w:t>
            </w:r>
          </w:p>
        </w:tc>
        <w:tc>
          <w:tcPr>
            <w:tcW w:w="1319"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5218907.2</w:t>
            </w:r>
          </w:p>
        </w:tc>
        <w:tc>
          <w:tcPr>
            <w:tcW w:w="1291" w:type="dxa"/>
            <w:vAlign w:val="center"/>
          </w:tcPr>
          <w:p>
            <w:pPr>
              <w:adjustRightInd w:val="0"/>
              <w:spacing w:line="360" w:lineRule="auto"/>
              <w:jc w:val="center"/>
              <w:rPr>
                <w:rFonts w:ascii="宋体" w:hAnsi="宋体" w:cs="宋体"/>
                <w:color w:val="auto"/>
                <w:sz w:val="24"/>
              </w:rPr>
            </w:pPr>
            <w:r>
              <w:rPr>
                <w:rFonts w:ascii="宋体" w:hAnsi="宋体" w:cs="宋体"/>
                <w:color w:val="auto"/>
                <w:sz w:val="24"/>
              </w:rPr>
              <w:t>6262688.64</w:t>
            </w:r>
          </w:p>
        </w:tc>
        <w:tc>
          <w:tcPr>
            <w:tcW w:w="2014"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建成东区、建成西区、提升区、东一区、东二区、未来小城；河道保洁等。</w:t>
            </w:r>
          </w:p>
        </w:tc>
        <w:tc>
          <w:tcPr>
            <w:tcW w:w="824" w:type="dxa"/>
            <w:vAlign w:val="center"/>
          </w:tcPr>
          <w:p>
            <w:pPr>
              <w:adjustRightInd w:val="0"/>
              <w:spacing w:line="360" w:lineRule="auto"/>
              <w:jc w:val="center"/>
              <w:rPr>
                <w:rFonts w:ascii="宋体" w:hAnsi="宋体" w:cs="宋体"/>
                <w:color w:val="auto"/>
                <w:sz w:val="24"/>
              </w:rPr>
            </w:pPr>
            <w:r>
              <w:rPr>
                <w:rFonts w:hint="eastAsia" w:ascii="宋体" w:hAnsi="宋体" w:cs="宋体"/>
                <w:color w:val="auto"/>
                <w:sz w:val="24"/>
              </w:rPr>
              <w:t>二年</w:t>
            </w:r>
          </w:p>
        </w:tc>
      </w:tr>
    </w:tbl>
    <w:p>
      <w:pPr>
        <w:adjustRightInd w:val="0"/>
        <w:spacing w:line="360" w:lineRule="auto"/>
        <w:ind w:firstLine="480" w:firstLineChars="200"/>
        <w:rPr>
          <w:rFonts w:ascii="宋体" w:hAnsi="宋体" w:cs="宋体"/>
          <w:b/>
          <w:bCs/>
          <w:sz w:val="24"/>
        </w:rPr>
      </w:pPr>
      <w:r>
        <w:rPr>
          <w:rFonts w:hint="eastAsia" w:ascii="宋体" w:hAnsi="宋体" w:cs="宋体"/>
          <w:sz w:val="24"/>
        </w:rPr>
        <w:t>四、投标供应商资格要求:</w:t>
      </w:r>
    </w:p>
    <w:p>
      <w:pPr>
        <w:adjustRightInd w:val="0"/>
        <w:spacing w:line="360" w:lineRule="auto"/>
        <w:ind w:left="420" w:leftChars="200"/>
        <w:rPr>
          <w:rFonts w:ascii="宋体" w:hAnsi="宋体" w:cs="宋体"/>
          <w:sz w:val="24"/>
        </w:rPr>
      </w:pPr>
      <w:bookmarkStart w:id="12" w:name="_Hlk89265864"/>
      <w:r>
        <w:rPr>
          <w:rFonts w:hint="eastAsia" w:ascii="宋体" w:hAnsi="宋体" w:cs="宋体"/>
          <w:sz w:val="24"/>
        </w:rPr>
        <w:t>1、符合《虞国资委〔2021〕42 号》第十八条</w:t>
      </w:r>
    </w:p>
    <w:p>
      <w:pPr>
        <w:adjustRightInd w:val="0"/>
        <w:spacing w:line="360" w:lineRule="auto"/>
        <w:ind w:left="420" w:leftChars="200"/>
        <w:rPr>
          <w:rFonts w:ascii="宋体" w:hAnsi="宋体" w:cs="宋体"/>
          <w:sz w:val="24"/>
        </w:rPr>
      </w:pPr>
      <w:r>
        <w:rPr>
          <w:rFonts w:hint="eastAsia" w:ascii="宋体" w:hAnsi="宋体" w:cs="宋体"/>
          <w:sz w:val="24"/>
        </w:rPr>
        <w:t>（1）具有独立承担民事责任能力；</w:t>
      </w:r>
    </w:p>
    <w:p>
      <w:pPr>
        <w:adjustRightInd w:val="0"/>
        <w:spacing w:line="360" w:lineRule="auto"/>
        <w:ind w:left="420" w:leftChars="200"/>
        <w:rPr>
          <w:rFonts w:ascii="宋体" w:hAnsi="宋体" w:cs="宋体"/>
          <w:sz w:val="24"/>
        </w:rPr>
      </w:pPr>
      <w:r>
        <w:rPr>
          <w:rFonts w:hint="eastAsia" w:ascii="宋体" w:hAnsi="宋体" w:cs="宋体"/>
          <w:sz w:val="24"/>
        </w:rPr>
        <w:t>（2）具有良好的商业信誉；</w:t>
      </w:r>
    </w:p>
    <w:p>
      <w:pPr>
        <w:adjustRightInd w:val="0"/>
        <w:spacing w:line="360" w:lineRule="auto"/>
        <w:ind w:left="420" w:leftChars="200"/>
        <w:rPr>
          <w:rFonts w:ascii="宋体" w:hAnsi="宋体" w:cs="宋体"/>
          <w:sz w:val="24"/>
        </w:rPr>
      </w:pPr>
      <w:r>
        <w:rPr>
          <w:rFonts w:hint="eastAsia" w:ascii="宋体" w:hAnsi="宋体" w:cs="宋体"/>
          <w:sz w:val="24"/>
        </w:rPr>
        <w:t>（3）具有履行合同所必需的设备和专业技术、售后保障等能力；</w:t>
      </w:r>
    </w:p>
    <w:p>
      <w:pPr>
        <w:adjustRightInd w:val="0"/>
        <w:spacing w:line="360" w:lineRule="auto"/>
        <w:ind w:left="420" w:leftChars="200"/>
        <w:rPr>
          <w:rFonts w:ascii="宋体" w:hAnsi="宋体" w:cs="宋体"/>
          <w:sz w:val="24"/>
        </w:rPr>
      </w:pPr>
      <w:r>
        <w:rPr>
          <w:rFonts w:hint="eastAsia" w:ascii="宋体" w:hAnsi="宋体" w:cs="宋体"/>
          <w:sz w:val="24"/>
        </w:rPr>
        <w:t>（4）有依法缴纳税收和社会保障资金的良好记录；</w:t>
      </w:r>
    </w:p>
    <w:p>
      <w:pPr>
        <w:adjustRightInd w:val="0"/>
        <w:spacing w:line="360" w:lineRule="auto"/>
        <w:ind w:left="420" w:leftChars="200"/>
        <w:rPr>
          <w:rFonts w:ascii="宋体" w:hAnsi="宋体" w:cs="宋体"/>
          <w:sz w:val="24"/>
        </w:rPr>
      </w:pPr>
      <w:r>
        <w:rPr>
          <w:rFonts w:hint="eastAsia" w:ascii="宋体" w:hAnsi="宋体" w:cs="宋体"/>
          <w:sz w:val="24"/>
        </w:rPr>
        <w:t>（5）参加采购活动前三年内，没有重大违法记录、严重失信行为和行贿记录；</w:t>
      </w:r>
    </w:p>
    <w:p>
      <w:pPr>
        <w:adjustRightInd w:val="0"/>
        <w:spacing w:line="360" w:lineRule="auto"/>
        <w:ind w:left="420" w:leftChars="200"/>
        <w:rPr>
          <w:rFonts w:ascii="宋体" w:hAnsi="宋体" w:cs="宋体"/>
          <w:sz w:val="24"/>
        </w:rPr>
      </w:pPr>
      <w:r>
        <w:rPr>
          <w:rFonts w:hint="eastAsia" w:ascii="宋体" w:hAnsi="宋体" w:cs="宋体"/>
          <w:sz w:val="24"/>
        </w:rPr>
        <w:t>（6）法律、行政法规规定的其他条件；</w:t>
      </w:r>
    </w:p>
    <w:p>
      <w:pPr>
        <w:adjustRightInd w:val="0"/>
        <w:spacing w:line="360" w:lineRule="auto"/>
        <w:ind w:left="420" w:leftChars="200"/>
        <w:rPr>
          <w:rFonts w:ascii="宋体" w:hAnsi="宋体" w:cs="宋体"/>
          <w:sz w:val="24"/>
        </w:rPr>
      </w:pPr>
      <w:r>
        <w:rPr>
          <w:rFonts w:hint="eastAsia" w:ascii="宋体" w:hAnsi="宋体" w:cs="宋体"/>
          <w:sz w:val="24"/>
        </w:rPr>
        <w:t>2.不允许联合体投标；</w:t>
      </w:r>
    </w:p>
    <w:p>
      <w:pPr>
        <w:adjustRightInd w:val="0"/>
        <w:spacing w:line="360" w:lineRule="auto"/>
        <w:ind w:left="420" w:leftChars="200"/>
        <w:rPr>
          <w:rFonts w:ascii="宋体" w:hAnsi="宋体" w:cs="宋体"/>
          <w:sz w:val="24"/>
        </w:rPr>
      </w:pPr>
      <w:r>
        <w:rPr>
          <w:rFonts w:hint="eastAsia" w:ascii="宋体" w:hAnsi="宋体" w:cs="宋体"/>
          <w:sz w:val="24"/>
        </w:rPr>
        <w:t>3.本次招标采用资格后审的审查方式，由采购人负责审查。</w:t>
      </w:r>
    </w:p>
    <w:bookmarkEnd w:id="12"/>
    <w:p>
      <w:pPr>
        <w:adjustRightInd w:val="0"/>
        <w:spacing w:line="360" w:lineRule="auto"/>
        <w:ind w:firstLine="480" w:firstLineChars="200"/>
        <w:rPr>
          <w:rFonts w:ascii="宋体" w:hAnsi="宋体" w:cs="宋体"/>
          <w:sz w:val="24"/>
        </w:rPr>
      </w:pPr>
      <w:r>
        <w:rPr>
          <w:rFonts w:hint="eastAsia" w:ascii="宋体" w:hAnsi="宋体" w:cs="宋体"/>
          <w:sz w:val="24"/>
        </w:rPr>
        <w:t>五、投标获取采购文件</w:t>
      </w:r>
    </w:p>
    <w:p>
      <w:pPr>
        <w:numPr>
          <w:ilvl w:val="0"/>
          <w:numId w:val="3"/>
        </w:numPr>
        <w:adjustRightInd w:val="0"/>
        <w:spacing w:line="360" w:lineRule="auto"/>
        <w:ind w:firstLine="482" w:firstLineChars="200"/>
        <w:rPr>
          <w:rFonts w:ascii="宋体" w:hAnsi="宋体" w:cs="宋体"/>
          <w:b/>
          <w:bCs/>
          <w:sz w:val="24"/>
        </w:rPr>
      </w:pPr>
      <w:bookmarkStart w:id="13" w:name="报名开始时间1"/>
      <w:r>
        <w:rPr>
          <w:rFonts w:hint="eastAsia" w:ascii="宋体" w:hAnsi="宋体" w:cs="宋体"/>
          <w:b/>
          <w:bCs/>
          <w:sz w:val="24"/>
        </w:rPr>
        <w:t>获取采购文件时间:</w:t>
      </w:r>
      <w:bookmarkEnd w:id="13"/>
      <w:r>
        <w:rPr>
          <w:rFonts w:hint="eastAsia" w:ascii="宋体" w:hAnsi="宋体" w:cs="宋体"/>
          <w:b/>
          <w:bCs/>
          <w:sz w:val="24"/>
        </w:rPr>
        <w:t>2023年  月  日09:30之前获取。</w:t>
      </w:r>
    </w:p>
    <w:p>
      <w:pPr>
        <w:numPr>
          <w:ilvl w:val="0"/>
          <w:numId w:val="3"/>
        </w:numPr>
        <w:wordWrap w:val="0"/>
        <w:adjustRightInd w:val="0"/>
        <w:spacing w:line="360" w:lineRule="auto"/>
        <w:ind w:firstLine="480" w:firstLineChars="200"/>
        <w:rPr>
          <w:rFonts w:ascii="宋体" w:hAnsi="宋体" w:cs="宋体"/>
          <w:sz w:val="24"/>
        </w:rPr>
      </w:pPr>
      <w:r>
        <w:rPr>
          <w:rFonts w:hint="eastAsia" w:ascii="宋体" w:hAnsi="宋体" w:cs="宋体"/>
          <w:sz w:val="24"/>
        </w:rPr>
        <w:t>获取采购文件方式：供应商登陆政采云平台https://www.zhengcaiyun.cn/，在线申请获取采购文件（进入“项目采购”应用，在获取采购文件菜单中选择项目，申请获取采购文件）。</w:t>
      </w:r>
    </w:p>
    <w:p>
      <w:pPr>
        <w:numPr>
          <w:ilvl w:val="0"/>
          <w:numId w:val="3"/>
        </w:numPr>
        <w:adjustRightInd w:val="0"/>
        <w:spacing w:line="360" w:lineRule="auto"/>
        <w:ind w:firstLine="480" w:firstLineChars="200"/>
        <w:rPr>
          <w:rFonts w:ascii="宋体" w:hAnsi="宋体" w:cs="宋体"/>
          <w:sz w:val="24"/>
        </w:rPr>
      </w:pPr>
      <w:r>
        <w:rPr>
          <w:rFonts w:hint="eastAsia" w:ascii="宋体" w:hAnsi="宋体" w:cs="宋体"/>
          <w:sz w:val="24"/>
        </w:rPr>
        <w:t>提示：</w:t>
      </w:r>
    </w:p>
    <w:p>
      <w:pPr>
        <w:numPr>
          <w:ilvl w:val="0"/>
          <w:numId w:val="4"/>
        </w:numPr>
        <w:adjustRightInd w:val="0"/>
        <w:spacing w:line="360" w:lineRule="auto"/>
        <w:ind w:firstLine="480" w:firstLineChars="200"/>
        <w:rPr>
          <w:rFonts w:ascii="宋体" w:hAnsi="宋体" w:cs="宋体"/>
          <w:sz w:val="24"/>
        </w:rPr>
      </w:pPr>
      <w:r>
        <w:rPr>
          <w:rFonts w:hint="eastAsia" w:ascii="宋体" w:hAnsi="宋体" w:cs="宋体"/>
          <w:sz w:val="24"/>
        </w:rPr>
        <w:t>将拒绝接受未获取采购文件供应商的投标文件。</w:t>
      </w:r>
    </w:p>
    <w:p>
      <w:pPr>
        <w:numPr>
          <w:ilvl w:val="0"/>
          <w:numId w:val="4"/>
        </w:numPr>
        <w:adjustRightInd w:val="0"/>
        <w:spacing w:line="360" w:lineRule="auto"/>
        <w:ind w:firstLine="480" w:firstLineChars="200"/>
        <w:rPr>
          <w:rFonts w:ascii="宋体" w:hAnsi="宋体" w:cs="宋体"/>
          <w:sz w:val="24"/>
        </w:rPr>
      </w:pPr>
      <w:r>
        <w:rPr>
          <w:rFonts w:hint="eastAsia" w:ascii="宋体" w:hAnsi="宋体" w:cs="宋体"/>
          <w:sz w:val="24"/>
        </w:rPr>
        <w:t>招标文件及更正补充公告请自行登录浙江政府采购网或绍兴市上虞区公共资源交易中心网站，在采购公告页面中下载。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sz w:val="24"/>
        </w:rPr>
      </w:pPr>
      <w:r>
        <w:rPr>
          <w:rFonts w:hint="eastAsia" w:ascii="宋体" w:hAnsi="宋体" w:cs="宋体"/>
          <w:sz w:val="24"/>
        </w:rPr>
        <w:t>六、投标与开标注意事项：</w:t>
      </w:r>
    </w:p>
    <w:p>
      <w:pPr>
        <w:numPr>
          <w:ilvl w:val="0"/>
          <w:numId w:val="5"/>
        </w:numPr>
        <w:adjustRightInd w:val="0"/>
        <w:spacing w:line="360" w:lineRule="auto"/>
        <w:ind w:firstLine="480" w:firstLineChars="200"/>
        <w:rPr>
          <w:rFonts w:ascii="宋体" w:hAnsi="宋体" w:cs="宋体"/>
          <w:sz w:val="24"/>
        </w:rPr>
      </w:pPr>
      <w:r>
        <w:rPr>
          <w:rFonts w:hint="eastAsia" w:ascii="宋体" w:hAnsi="宋体" w:cs="宋体"/>
          <w:sz w:val="24"/>
        </w:rPr>
        <w:t>本项目实行</w:t>
      </w:r>
      <w:r>
        <w:rPr>
          <w:rFonts w:hint="eastAsia" w:ascii="宋体" w:hAnsi="宋体" w:cs="宋体"/>
          <w:b/>
          <w:bCs/>
          <w:sz w:val="24"/>
        </w:rPr>
        <w:t>网上投标</w:t>
      </w:r>
      <w:r>
        <w:rPr>
          <w:rFonts w:hint="eastAsia" w:ascii="宋体" w:hAnsi="宋体" w:cs="宋体"/>
          <w:sz w:val="24"/>
        </w:rPr>
        <w:t>，采用电子投标文件，若供应商参与投标，自行承担投标一切费用。</w:t>
      </w:r>
    </w:p>
    <w:p>
      <w:pPr>
        <w:numPr>
          <w:ilvl w:val="0"/>
          <w:numId w:val="5"/>
        </w:numPr>
        <w:wordWrap w:val="0"/>
        <w:adjustRightInd w:val="0"/>
        <w:spacing w:line="360" w:lineRule="auto"/>
        <w:ind w:firstLine="480" w:firstLineChars="200"/>
        <w:rPr>
          <w:rFonts w:ascii="宋体" w:hAnsi="宋体" w:cs="宋体"/>
          <w:sz w:val="24"/>
        </w:rPr>
      </w:pPr>
      <w:r>
        <w:rPr>
          <w:rFonts w:hint="eastAsia" w:ascii="宋体" w:hAnsi="宋体" w:cs="宋体"/>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sz w:val="24"/>
          <w:szCs w:val="21"/>
        </w:rPr>
      </w:pPr>
      <w:r>
        <w:rPr>
          <w:rFonts w:hint="eastAsia" w:ascii="宋体" w:hAnsi="宋体" w:cs="宋体"/>
          <w:sz w:val="24"/>
          <w:szCs w:val="21"/>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sz w:val="24"/>
          <w:szCs w:val="21"/>
        </w:rPr>
      </w:pPr>
      <w:r>
        <w:rPr>
          <w:rFonts w:hint="eastAsia" w:ascii="宋体" w:hAnsi="宋体" w:cs="宋体"/>
          <w:sz w:val="24"/>
          <w:szCs w:val="21"/>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sz w:val="24"/>
          <w:szCs w:val="21"/>
        </w:rPr>
      </w:pPr>
      <w:r>
        <w:rPr>
          <w:rFonts w:hint="eastAsia" w:ascii="宋体" w:hAnsi="宋体" w:cs="宋体"/>
          <w:sz w:val="24"/>
          <w:szCs w:val="21"/>
        </w:rPr>
        <w:t>《CA管理学习专题》：</w:t>
      </w:r>
    </w:p>
    <w:p>
      <w:pPr>
        <w:adjustRightInd w:val="0"/>
        <w:spacing w:line="360" w:lineRule="auto"/>
        <w:ind w:left="420" w:leftChars="200"/>
        <w:rPr>
          <w:rFonts w:ascii="宋体" w:hAnsi="宋体" w:cs="宋体"/>
          <w:sz w:val="24"/>
          <w:szCs w:val="21"/>
        </w:rPr>
      </w:pPr>
      <w:r>
        <w:rPr>
          <w:rFonts w:hint="eastAsia" w:ascii="宋体" w:hAnsi="宋体" w:cs="宋体"/>
          <w:sz w:val="24"/>
          <w:szCs w:val="21"/>
        </w:rPr>
        <w:t>https://edu.zcygov.cn/luban/ca?utm=web-government-front.380aac0a.0.0.fc2b6aa0b6e211ebbdb0dd007730dd44</w:t>
      </w:r>
    </w:p>
    <w:p>
      <w:pPr>
        <w:adjustRightInd w:val="0"/>
        <w:spacing w:line="360" w:lineRule="auto"/>
        <w:ind w:left="420" w:leftChars="200"/>
        <w:rPr>
          <w:rFonts w:ascii="宋体" w:hAnsi="宋体" w:cs="宋体"/>
          <w:sz w:val="24"/>
          <w:szCs w:val="21"/>
        </w:rPr>
      </w:pPr>
      <w:r>
        <w:rPr>
          <w:rFonts w:hint="eastAsia" w:ascii="宋体" w:hAnsi="宋体" w:cs="宋体"/>
          <w:sz w:val="24"/>
          <w:szCs w:val="21"/>
        </w:rPr>
        <w:t>《CA驱动和申领流程》:</w:t>
      </w:r>
    </w:p>
    <w:p>
      <w:pPr>
        <w:adjustRightInd w:val="0"/>
        <w:spacing w:line="360" w:lineRule="auto"/>
        <w:ind w:left="420" w:leftChars="200"/>
        <w:rPr>
          <w:rFonts w:ascii="宋体" w:hAnsi="宋体" w:cs="宋体"/>
          <w:sz w:val="24"/>
        </w:rPr>
      </w:pPr>
      <w:r>
        <w:fldChar w:fldCharType="begin"/>
      </w:r>
      <w:r>
        <w:instrText xml:space="preserve"> HYPERLINK "http://zfcg.czt.zj.gov.cn/bidClientTemplate/2019-05-27/12945.html" </w:instrText>
      </w:r>
      <w:r>
        <w:fldChar w:fldCharType="separate"/>
      </w:r>
      <w:r>
        <w:rPr>
          <w:rFonts w:hint="eastAsia" w:ascii="宋体" w:hAnsi="宋体" w:cs="宋体"/>
          <w:sz w:val="24"/>
          <w:szCs w:val="21"/>
        </w:rPr>
        <w:t>http://zfcg.czt.zj.gov.cn/bidClientTemplate/2019-05-27/12945.html</w:t>
      </w:r>
      <w:r>
        <w:rPr>
          <w:rFonts w:hint="eastAsia" w:ascii="宋体" w:hAnsi="宋体" w:cs="宋体"/>
          <w:sz w:val="24"/>
          <w:szCs w:val="21"/>
        </w:rPr>
        <w:fldChar w:fldCharType="end"/>
      </w:r>
    </w:p>
    <w:p>
      <w:pPr>
        <w:numPr>
          <w:ilvl w:val="0"/>
          <w:numId w:val="5"/>
        </w:numPr>
        <w:adjustRightInd w:val="0"/>
        <w:spacing w:line="360" w:lineRule="auto"/>
        <w:ind w:firstLine="480" w:firstLineChars="200"/>
        <w:rPr>
          <w:rFonts w:ascii="宋体" w:hAnsi="宋体" w:cs="宋体"/>
          <w:sz w:val="24"/>
        </w:rPr>
      </w:pPr>
      <w:r>
        <w:rPr>
          <w:rFonts w:hint="eastAsia" w:ascii="宋体" w:hAnsi="宋体" w:cs="宋体"/>
          <w:sz w:val="24"/>
        </w:rPr>
        <w:t>投标文件制作：</w:t>
      </w:r>
    </w:p>
    <w:p>
      <w:pPr>
        <w:numPr>
          <w:ilvl w:val="0"/>
          <w:numId w:val="6"/>
        </w:numPr>
        <w:adjustRightInd w:val="0"/>
        <w:spacing w:line="360" w:lineRule="auto"/>
        <w:ind w:firstLine="480" w:firstLineChars="200"/>
        <w:rPr>
          <w:rFonts w:ascii="宋体" w:hAnsi="宋体" w:cs="宋体"/>
          <w:sz w:val="24"/>
        </w:rPr>
      </w:pPr>
      <w:r>
        <w:rPr>
          <w:rFonts w:hint="eastAsia" w:ascii="宋体" w:hAnsi="宋体" w:cs="宋体"/>
          <w:sz w:val="24"/>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6"/>
        </w:numPr>
        <w:wordWrap w:val="0"/>
        <w:adjustRightInd w:val="0"/>
        <w:spacing w:line="360" w:lineRule="auto"/>
        <w:ind w:firstLine="480" w:firstLineChars="200"/>
        <w:rPr>
          <w:rFonts w:ascii="宋体" w:hAnsi="宋体" w:cs="宋体"/>
          <w:sz w:val="24"/>
        </w:rPr>
      </w:pPr>
      <w:r>
        <w:rPr>
          <w:rFonts w:hint="eastAsia" w:ascii="宋体" w:hAnsi="宋体" w:cs="宋体"/>
          <w:sz w:val="24"/>
        </w:rPr>
        <w:t>投标人通过“政采云”平台电子投标工具制作投标文件。</w:t>
      </w:r>
    </w:p>
    <w:p>
      <w:pPr>
        <w:adjustRightInd w:val="0"/>
        <w:spacing w:line="360" w:lineRule="auto"/>
        <w:ind w:firstLine="480" w:firstLineChars="200"/>
        <w:jc w:val="left"/>
        <w:rPr>
          <w:rFonts w:ascii="宋体" w:hAnsi="宋体" w:cs="宋体"/>
          <w:sz w:val="24"/>
        </w:rPr>
      </w:pPr>
      <w:r>
        <w:rPr>
          <w:rFonts w:hint="eastAsia" w:ascii="宋体" w:hAnsi="宋体" w:cs="宋体"/>
          <w:sz w:val="24"/>
        </w:rPr>
        <w:t>《电子投标工具》：</w:t>
      </w:r>
    </w:p>
    <w:p>
      <w:pPr>
        <w:adjustRightInd w:val="0"/>
        <w:spacing w:line="360" w:lineRule="auto"/>
        <w:ind w:firstLine="420" w:firstLineChars="200"/>
        <w:jc w:val="left"/>
        <w:rPr>
          <w:rFonts w:ascii="宋体" w:hAnsi="宋体" w:cs="宋体"/>
          <w:sz w:val="24"/>
        </w:rPr>
      </w:pPr>
      <w:r>
        <w:fldChar w:fldCharType="begin"/>
      </w:r>
      <w:r>
        <w:instrText xml:space="preserve"> HYPERLINK "http://zfcg.czt.zj.gov.cn/bidClientTemplate/2019-09-24/12975.html"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《供应商-国企采购项目电子交易操作指南》：(需登录账号后查看)</w:t>
      </w:r>
    </w:p>
    <w:p>
      <w:pPr>
        <w:adjustRightInd w:val="0"/>
        <w:spacing w:line="360" w:lineRule="auto"/>
        <w:ind w:firstLine="420" w:firstLineChars="200"/>
        <w:jc w:val="left"/>
        <w:rPr>
          <w:rFonts w:ascii="宋体" w:hAnsi="宋体" w:cs="宋体"/>
          <w:sz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rPr>
        <w:t>https://service.zcygov.cn/#/knowledges/tree?tag=AG1DtGwBFdiHxlNdhY0r</w:t>
      </w:r>
      <w:r>
        <w:rPr>
          <w:rFonts w:hint="eastAsia" w:ascii="宋体" w:hAnsi="宋体" w:cs="宋体"/>
          <w:sz w:val="24"/>
        </w:rPr>
        <w:fldChar w:fldCharType="end"/>
      </w:r>
    </w:p>
    <w:p>
      <w:pPr>
        <w:adjustRightInd w:val="0"/>
        <w:spacing w:line="360" w:lineRule="auto"/>
        <w:ind w:left="420" w:leftChars="200"/>
        <w:rPr>
          <w:rFonts w:ascii="宋体" w:hAnsi="宋体" w:cs="宋体"/>
          <w:sz w:val="24"/>
        </w:rPr>
      </w:pPr>
      <w:r>
        <w:rPr>
          <w:rFonts w:hint="eastAsia" w:ascii="宋体" w:hAnsi="宋体" w:cs="宋体"/>
          <w:sz w:val="24"/>
        </w:rPr>
        <w:t>4.供应商在法定质疑期内应一次性提出针对同一采购程序环节的质疑。否则质疑将不予受理。</w:t>
      </w:r>
    </w:p>
    <w:p>
      <w:pPr>
        <w:adjustRightInd w:val="0"/>
        <w:spacing w:line="360" w:lineRule="auto"/>
        <w:ind w:left="420" w:leftChars="200"/>
        <w:rPr>
          <w:rFonts w:ascii="宋体" w:hAnsi="宋体" w:cs="宋体"/>
          <w:sz w:val="24"/>
        </w:rPr>
      </w:pPr>
      <w:r>
        <w:rPr>
          <w:rFonts w:hint="eastAsia" w:ascii="宋体" w:hAnsi="宋体" w:cs="宋体"/>
          <w:sz w:val="24"/>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sz w:val="24"/>
        </w:rPr>
      </w:pPr>
      <w:r>
        <w:rPr>
          <w:rFonts w:hint="eastAsia" w:ascii="宋体" w:hAnsi="宋体" w:cs="宋体"/>
          <w:sz w:val="24"/>
        </w:rPr>
        <w:t>6.特别提醒</w:t>
      </w:r>
    </w:p>
    <w:p>
      <w:pPr>
        <w:numPr>
          <w:ilvl w:val="0"/>
          <w:numId w:val="7"/>
        </w:numPr>
        <w:wordWrap w:val="0"/>
        <w:adjustRightInd w:val="0"/>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单位负责人为同一人或者存在直接控股、管理关系的不同供应商，不得参加同一合同项下的采购活动。</w:t>
      </w:r>
    </w:p>
    <w:p>
      <w:pPr>
        <w:numPr>
          <w:ilvl w:val="0"/>
          <w:numId w:val="7"/>
        </w:numPr>
        <w:wordWrap w:val="0"/>
        <w:adjustRightInd w:val="0"/>
        <w:spacing w:line="360" w:lineRule="auto"/>
        <w:ind w:firstLine="480" w:firstLineChars="200"/>
        <w:rPr>
          <w:rFonts w:ascii="宋体" w:hAnsi="宋体" w:cs="宋体"/>
          <w:sz w:val="24"/>
        </w:rPr>
      </w:pPr>
      <w:r>
        <w:rPr>
          <w:rFonts w:hint="eastAsia" w:ascii="宋体" w:hAnsi="宋体" w:cs="宋体"/>
          <w:sz w:val="24"/>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hAnsi="宋体" w:cs="宋体"/>
          <w:sz w:val="24"/>
        </w:rPr>
      </w:pPr>
      <w:r>
        <w:rPr>
          <w:rFonts w:hint="eastAsia" w:ascii="宋体" w:hAnsi="宋体" w:cs="宋体"/>
          <w:b/>
          <w:sz w:val="24"/>
        </w:rPr>
        <w:t>七、投标截止时间及要求：</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日上午</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30 </w:t>
      </w:r>
      <w:r>
        <w:rPr>
          <w:rFonts w:hint="eastAsia" w:ascii="宋体" w:hAnsi="宋体" w:cs="宋体"/>
          <w:sz w:val="24"/>
        </w:rPr>
        <w:t>分整</w:t>
      </w:r>
      <w:r>
        <w:rPr>
          <w:rFonts w:hint="eastAsia" w:ascii="宋体" w:hAnsi="宋体" w:cs="宋体"/>
          <w:bCs/>
          <w:kern w:val="0"/>
          <w:sz w:val="24"/>
        </w:rPr>
        <w:t>之前将电子投标文件上传到“政采云”平台。</w:t>
      </w:r>
    </w:p>
    <w:p>
      <w:pPr>
        <w:adjustRightInd w:val="0"/>
        <w:spacing w:line="360" w:lineRule="auto"/>
        <w:ind w:firstLine="482" w:firstLineChars="200"/>
        <w:jc w:val="left"/>
        <w:rPr>
          <w:rFonts w:ascii="宋体" w:hAnsi="宋体" w:cs="宋体"/>
          <w:sz w:val="24"/>
        </w:rPr>
      </w:pPr>
      <w:r>
        <w:rPr>
          <w:rFonts w:hint="eastAsia" w:ascii="宋体" w:hAnsi="宋体" w:cs="宋体"/>
          <w:b/>
          <w:sz w:val="24"/>
        </w:rPr>
        <w:t>八、开标时间及地点：</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 上午</w:t>
      </w:r>
      <w:r>
        <w:rPr>
          <w:rFonts w:hint="eastAsia" w:ascii="宋体" w:hAnsi="宋体" w:cs="宋体"/>
          <w:sz w:val="24"/>
          <w:u w:val="single"/>
        </w:rPr>
        <w:t>09</w:t>
      </w:r>
      <w:r>
        <w:rPr>
          <w:rFonts w:hint="eastAsia" w:ascii="宋体" w:hAnsi="宋体" w:cs="宋体"/>
          <w:sz w:val="24"/>
        </w:rPr>
        <w:t>时</w:t>
      </w:r>
      <w:r>
        <w:rPr>
          <w:rFonts w:hint="eastAsia" w:ascii="宋体" w:hAnsi="宋体" w:cs="宋体"/>
          <w:sz w:val="24"/>
          <w:u w:val="single"/>
        </w:rPr>
        <w:t xml:space="preserve"> 30</w:t>
      </w:r>
      <w:r>
        <w:rPr>
          <w:rFonts w:hint="eastAsia" w:ascii="宋体" w:hAnsi="宋体" w:cs="宋体"/>
          <w:sz w:val="24"/>
        </w:rPr>
        <w:t>分</w:t>
      </w:r>
      <w:bookmarkStart w:id="14" w:name="B30_开标地点"/>
      <w:r>
        <w:rPr>
          <w:rFonts w:hint="eastAsia" w:ascii="宋体" w:hAnsi="宋体" w:cs="宋体"/>
          <w:sz w:val="24"/>
        </w:rPr>
        <w:t>整在上虞区公共资源交易中心三楼开标室。</w:t>
      </w:r>
      <w:bookmarkEnd w:id="14"/>
    </w:p>
    <w:p>
      <w:pPr>
        <w:adjustRightInd w:val="0"/>
        <w:spacing w:line="360" w:lineRule="auto"/>
        <w:ind w:firstLine="480" w:firstLineChars="200"/>
        <w:rPr>
          <w:rFonts w:ascii="宋体" w:hAnsi="宋体" w:cs="宋体"/>
          <w:sz w:val="24"/>
        </w:rPr>
      </w:pPr>
      <w:r>
        <w:rPr>
          <w:rFonts w:hint="eastAsia" w:ascii="宋体" w:hAnsi="宋体" w:cs="宋体"/>
          <w:sz w:val="24"/>
        </w:rPr>
        <w:t>开标时间后30分钟内（当日 10 : 00 前）供应商可以登录“政采云”平台，用“项目采购-开标评标”功能进行解密投标文件。若供应商在规定时间内（当日 10 : 00 前）解密失败，则由采购代理机构工作人员上传投标人提供的备份文件。备份文件</w:t>
      </w:r>
      <w:r>
        <w:rPr>
          <w:rFonts w:hint="eastAsia" w:hAnsi="宋体" w:cs="宋体"/>
          <w:sz w:val="24"/>
        </w:rPr>
        <w:t>（后缀名为</w:t>
      </w:r>
      <w:r>
        <w:rPr>
          <w:rFonts w:hint="eastAsia" w:ascii="宋体" w:hAnsi="宋体" w:cs="宋体"/>
          <w:sz w:val="24"/>
        </w:rPr>
        <w:t>.bfbs</w:t>
      </w:r>
      <w:r>
        <w:rPr>
          <w:rFonts w:hint="eastAsia" w:hAnsi="宋体" w:cs="宋体"/>
          <w:sz w:val="24"/>
        </w:rPr>
        <w:t>）</w:t>
      </w:r>
      <w:r>
        <w:rPr>
          <w:rFonts w:hint="eastAsia" w:ascii="宋体" w:hAnsi="宋体" w:cs="宋体"/>
          <w:sz w:val="24"/>
        </w:rPr>
        <w:t>须存储在U盘中，与上传的电子投标文件一致，用信封进行密封并盖章</w:t>
      </w:r>
      <w:r>
        <w:rPr>
          <w:rFonts w:hint="eastAsia" w:hAnsi="宋体" w:cs="宋体"/>
          <w:sz w:val="24"/>
        </w:rPr>
        <w:t>，由授权代表在投标截止时间前递交至开标地点。</w:t>
      </w:r>
      <w:r>
        <w:rPr>
          <w:rFonts w:hint="eastAsia" w:ascii="宋体" w:hAnsi="宋体" w:cs="宋体"/>
          <w:sz w:val="24"/>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ascii="宋体" w:hAnsi="宋体" w:cs="宋体"/>
          <w:bCs/>
          <w:kern w:val="0"/>
          <w:sz w:val="24"/>
        </w:rPr>
      </w:pPr>
      <w:r>
        <w:rPr>
          <w:rFonts w:hint="eastAsia" w:ascii="宋体" w:hAnsi="宋体" w:cs="宋体"/>
          <w:sz w:val="24"/>
        </w:rPr>
        <w:t>本次开标（不）提供现场视频。</w:t>
      </w:r>
    </w:p>
    <w:p>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九、投标保证金：人民币壹拾贰万元整（小写：120000元）</w:t>
      </w:r>
    </w:p>
    <w:p>
      <w:pPr>
        <w:adjustRightInd w:val="0"/>
        <w:spacing w:line="360" w:lineRule="auto"/>
        <w:ind w:firstLine="480" w:firstLineChars="200"/>
        <w:rPr>
          <w:rFonts w:ascii="宋体" w:hAnsi="宋体" w:cs="宋体"/>
          <w:sz w:val="24"/>
        </w:rPr>
      </w:pPr>
      <w:r>
        <w:rPr>
          <w:rFonts w:hint="eastAsia" w:ascii="宋体" w:hAnsi="宋体" w:cs="宋体"/>
          <w:sz w:val="24"/>
        </w:rPr>
        <w:t>十、公告期限：5个工作日</w:t>
      </w:r>
    </w:p>
    <w:p>
      <w:pPr>
        <w:adjustRightInd w:val="0"/>
        <w:spacing w:line="360" w:lineRule="auto"/>
        <w:ind w:firstLine="480" w:firstLineChars="200"/>
        <w:rPr>
          <w:rFonts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、联系方式：</w:t>
      </w:r>
    </w:p>
    <w:p>
      <w:pPr>
        <w:adjustRightInd w:val="0"/>
        <w:spacing w:line="360" w:lineRule="auto"/>
        <w:ind w:firstLine="480" w:firstLineChars="200"/>
        <w:rPr>
          <w:rFonts w:ascii="宋体" w:hAnsi="宋体" w:cs="宋体"/>
          <w:sz w:val="24"/>
        </w:rPr>
      </w:pPr>
      <w:r>
        <w:rPr>
          <w:rFonts w:hint="eastAsia" w:ascii="宋体" w:hAnsi="宋体" w:cs="宋体"/>
          <w:sz w:val="24"/>
        </w:rPr>
        <w:t>1、采购代理机构名称：浙江建诚工程管理咨询有限公司</w:t>
      </w:r>
    </w:p>
    <w:p>
      <w:pPr>
        <w:adjustRightInd w:val="0"/>
        <w:spacing w:line="360" w:lineRule="auto"/>
        <w:ind w:firstLine="480" w:firstLineChars="200"/>
        <w:rPr>
          <w:rFonts w:ascii="宋体" w:hAnsi="宋体" w:cs="宋体"/>
          <w:sz w:val="24"/>
        </w:rPr>
      </w:pPr>
      <w:r>
        <w:rPr>
          <w:rFonts w:hint="eastAsia" w:ascii="宋体" w:hAnsi="宋体" w:cs="宋体"/>
          <w:sz w:val="24"/>
        </w:rPr>
        <w:t>联系人：郦栋斌</w:t>
      </w:r>
    </w:p>
    <w:p>
      <w:pPr>
        <w:adjustRightInd w:val="0"/>
        <w:spacing w:line="360" w:lineRule="auto"/>
        <w:ind w:firstLine="480" w:firstLineChars="200"/>
        <w:rPr>
          <w:rFonts w:ascii="宋体" w:hAnsi="宋体" w:cs="宋体"/>
          <w:sz w:val="24"/>
        </w:rPr>
      </w:pPr>
      <w:r>
        <w:rPr>
          <w:rFonts w:hint="eastAsia" w:ascii="宋体" w:hAnsi="宋体" w:cs="宋体"/>
          <w:sz w:val="24"/>
        </w:rPr>
        <w:t>联系电话：15958545311</w:t>
      </w:r>
    </w:p>
    <w:p>
      <w:pPr>
        <w:adjustRightInd w:val="0"/>
        <w:spacing w:line="360" w:lineRule="auto"/>
        <w:ind w:firstLine="480" w:firstLineChars="200"/>
        <w:rPr>
          <w:rFonts w:ascii="宋体" w:hAnsi="宋体" w:cs="宋体"/>
          <w:sz w:val="24"/>
        </w:rPr>
      </w:pPr>
      <w:r>
        <w:rPr>
          <w:rFonts w:hint="eastAsia" w:ascii="宋体" w:hAnsi="宋体" w:cs="宋体"/>
          <w:sz w:val="24"/>
        </w:rPr>
        <w:t>2、采购人名称：绍兴市上虞区虞发市政工程有限公司</w:t>
      </w:r>
    </w:p>
    <w:p>
      <w:pPr>
        <w:adjustRightInd w:val="0"/>
        <w:spacing w:line="360" w:lineRule="auto"/>
        <w:ind w:firstLine="480" w:firstLineChars="200"/>
        <w:rPr>
          <w:rFonts w:ascii="宋体" w:hAnsi="宋体" w:cs="宋体"/>
          <w:sz w:val="24"/>
        </w:rPr>
      </w:pPr>
      <w:r>
        <w:rPr>
          <w:rFonts w:hint="eastAsia" w:ascii="宋体" w:hAnsi="宋体" w:cs="宋体"/>
          <w:sz w:val="24"/>
        </w:rPr>
        <w:t>联系人：沈华东</w:t>
      </w:r>
    </w:p>
    <w:p>
      <w:pPr>
        <w:adjustRightInd w:val="0"/>
        <w:spacing w:line="360" w:lineRule="auto"/>
        <w:ind w:firstLine="480" w:firstLineChars="200"/>
        <w:rPr>
          <w:rFonts w:ascii="宋体" w:hAnsi="宋体" w:cs="宋体"/>
          <w:sz w:val="24"/>
        </w:rPr>
      </w:pPr>
      <w:r>
        <w:rPr>
          <w:rFonts w:hint="eastAsia" w:ascii="宋体" w:hAnsi="宋体" w:cs="宋体"/>
          <w:sz w:val="24"/>
        </w:rPr>
        <w:t>联系电话：13758539666</w:t>
      </w:r>
    </w:p>
    <w:p>
      <w:pPr>
        <w:pStyle w:val="29"/>
        <w:ind w:left="0" w:leftChars="0"/>
      </w:pPr>
    </w:p>
    <w:bookmarkEnd w:id="11"/>
    <w:p>
      <w:pPr>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5" w:name="_Toc18671"/>
      <w:r>
        <w:rPr>
          <w:rFonts w:hint="eastAsia" w:ascii="宋体" w:hAnsi="宋体" w:cs="宋体"/>
          <w:b/>
          <w:sz w:val="36"/>
          <w:szCs w:val="20"/>
        </w:rPr>
        <w:t>第二部分</w:t>
      </w:r>
      <w:bookmarkEnd w:id="7"/>
      <w:bookmarkEnd w:id="8"/>
      <w:r>
        <w:rPr>
          <w:rFonts w:hint="eastAsia" w:ascii="宋体" w:hAnsi="宋体" w:cs="宋体"/>
          <w:b/>
          <w:sz w:val="36"/>
          <w:szCs w:val="20"/>
        </w:rPr>
        <w:t>投标须知</w:t>
      </w:r>
      <w:bookmarkEnd w:id="15"/>
    </w:p>
    <w:p>
      <w:pPr>
        <w:widowControl/>
        <w:adjustRightInd w:val="0"/>
        <w:snapToGrid w:val="0"/>
        <w:spacing w:line="360" w:lineRule="auto"/>
        <w:jc w:val="center"/>
        <w:rPr>
          <w:rFonts w:ascii="宋体" w:hAnsi="宋体" w:cs="宋体"/>
          <w:b/>
          <w:snapToGrid w:val="0"/>
          <w:kern w:val="0"/>
          <w:sz w:val="32"/>
          <w:szCs w:val="32"/>
        </w:rPr>
      </w:pPr>
      <w:r>
        <w:rPr>
          <w:rFonts w:hint="eastAsia" w:ascii="宋体" w:hAnsi="宋体" w:cs="宋体"/>
          <w:b/>
          <w:snapToGrid w:val="0"/>
          <w:kern w:val="0"/>
          <w:sz w:val="30"/>
          <w:szCs w:val="30"/>
        </w:rPr>
        <w:t>前附表</w:t>
      </w:r>
    </w:p>
    <w:tbl>
      <w:tblPr>
        <w:tblStyle w:val="30"/>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55"/>
        <w:gridCol w:w="68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ign w:val="center"/>
          </w:tcPr>
          <w:p>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序号</w:t>
            </w:r>
          </w:p>
        </w:tc>
        <w:tc>
          <w:tcPr>
            <w:tcW w:w="1655" w:type="dxa"/>
            <w:noWrap/>
            <w:vAlign w:val="center"/>
          </w:tcPr>
          <w:p>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项目</w:t>
            </w:r>
          </w:p>
        </w:tc>
        <w:tc>
          <w:tcPr>
            <w:tcW w:w="6827" w:type="dxa"/>
            <w:noWrap/>
            <w:vAlign w:val="center"/>
          </w:tcPr>
          <w:p>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2023-2024年度杭州湾上虞经济技术开发区河道保洁服务项目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项目实施时间</w:t>
            </w:r>
          </w:p>
        </w:tc>
        <w:tc>
          <w:tcPr>
            <w:tcW w:w="6827" w:type="dxa"/>
            <w:noWrap/>
            <w:vAlign w:val="center"/>
          </w:tcPr>
          <w:p>
            <w:pPr>
              <w:ind w:firstLine="420" w:firstLineChars="200"/>
              <w:rPr>
                <w:rFonts w:ascii="宋体" w:hAnsi="宋体" w:cs="宋体"/>
                <w:szCs w:val="21"/>
              </w:rPr>
            </w:pPr>
            <w:r>
              <w:rPr>
                <w:rFonts w:hint="eastAsia" w:ascii="宋体" w:hAnsi="宋体" w:cs="宋体"/>
                <w:szCs w:val="21"/>
              </w:rPr>
              <w:t>本项目服务期限为 2年（24个月），时间以甲方开具开工报告为准。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3</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最高限价</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zCs w:val="21"/>
              </w:rPr>
              <w:t>本项目最高限价</w:t>
            </w:r>
            <w:r>
              <w:rPr>
                <w:rFonts w:hint="eastAsia" w:ascii="宋体" w:hAnsi="宋体" w:cs="宋体"/>
                <w:color w:val="auto"/>
                <w:szCs w:val="21"/>
                <w:shd w:val="clear" w:color="auto" w:fill="auto"/>
              </w:rPr>
              <w:t>（人民</w:t>
            </w:r>
            <w:r>
              <w:rPr>
                <w:rFonts w:ascii="宋体" w:hAnsi="宋体" w:cs="宋体"/>
                <w:color w:val="auto"/>
                <w:sz w:val="24"/>
                <w:shd w:val="clear" w:color="auto" w:fill="auto"/>
              </w:rPr>
              <w:t>6262688.64</w:t>
            </w:r>
            <w:r>
              <w:rPr>
                <w:rFonts w:hint="eastAsia" w:ascii="宋体" w:hAnsi="宋体" w:cs="宋体"/>
                <w:color w:val="auto"/>
                <w:szCs w:val="21"/>
                <w:shd w:val="clear" w:color="auto" w:fill="auto"/>
              </w:rPr>
              <w:t>币元）。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 xml:space="preserve">                                                                                                   4</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资格审查方式</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5</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踏勘现场</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本项目不组织现场踏勘</w:t>
            </w:r>
            <w:r>
              <w:rPr>
                <w:rFonts w:ascii="宋体" w:hAnsi="宋体" w:cs="宋体"/>
                <w:snapToGrid w:val="0"/>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6</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询问</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7</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招标文件的澄清与修改</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8</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投标文件组成</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9</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评标办法</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10</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投标文件递交地址及截止时间</w:t>
            </w:r>
          </w:p>
        </w:tc>
        <w:tc>
          <w:tcPr>
            <w:tcW w:w="6827" w:type="dxa"/>
            <w:noWrap/>
            <w:vAlign w:val="center"/>
          </w:tcPr>
          <w:p>
            <w:pPr>
              <w:snapToGrid w:val="0"/>
              <w:spacing w:line="360" w:lineRule="exact"/>
              <w:ind w:firstLine="420" w:firstLineChars="200"/>
              <w:rPr>
                <w:rFonts w:ascii="宋体" w:hAnsi="宋体" w:cs="宋体"/>
                <w:kern w:val="0"/>
                <w:szCs w:val="21"/>
              </w:rPr>
            </w:pPr>
            <w:r>
              <w:rPr>
                <w:rFonts w:hint="eastAsia" w:ascii="宋体" w:hAnsi="宋体" w:cs="宋体"/>
                <w:snapToGrid w:val="0"/>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11</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开标时间、地点</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开标时间：</w:t>
            </w:r>
            <w:r>
              <w:rPr>
                <w:rFonts w:hint="eastAsia" w:ascii="宋体" w:hAnsi="宋体" w:cs="宋体"/>
                <w:kern w:val="0"/>
                <w:szCs w:val="21"/>
              </w:rPr>
              <w:t>详见招标公告</w:t>
            </w:r>
          </w:p>
          <w:p>
            <w:pPr>
              <w:snapToGrid w:val="0"/>
              <w:spacing w:line="360" w:lineRule="exact"/>
              <w:ind w:firstLine="420" w:firstLineChars="200"/>
              <w:rPr>
                <w:rFonts w:ascii="宋体" w:hAnsi="宋体" w:cs="宋体"/>
                <w:kern w:val="0"/>
                <w:szCs w:val="21"/>
              </w:rPr>
            </w:pPr>
            <w:r>
              <w:rPr>
                <w:rFonts w:hint="eastAsia" w:ascii="宋体" w:hAnsi="宋体" w:cs="宋体"/>
                <w:snapToGrid w:val="0"/>
                <w:kern w:val="0"/>
                <w:szCs w:val="21"/>
              </w:rPr>
              <w:t>开标地点：</w:t>
            </w:r>
            <w:r>
              <w:rPr>
                <w:rFonts w:hint="eastAsia" w:ascii="宋体" w:hAnsi="宋体" w:cs="宋体"/>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12</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投标有效期</w:t>
            </w:r>
          </w:p>
        </w:tc>
        <w:tc>
          <w:tcPr>
            <w:tcW w:w="6827"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13</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投标保证金</w:t>
            </w:r>
          </w:p>
        </w:tc>
        <w:tc>
          <w:tcPr>
            <w:tcW w:w="6827" w:type="dxa"/>
            <w:noWrap/>
            <w:vAlign w:val="center"/>
          </w:tcPr>
          <w:p>
            <w:pPr>
              <w:autoSpaceDE w:val="0"/>
              <w:autoSpaceDN w:val="0"/>
              <w:snapToGrid w:val="0"/>
              <w:spacing w:line="300" w:lineRule="exact"/>
              <w:textAlignment w:val="bottom"/>
              <w:rPr>
                <w:b/>
                <w:bCs/>
              </w:rPr>
            </w:pPr>
            <w:r>
              <w:rPr>
                <w:rFonts w:hint="eastAsia"/>
                <w:b/>
                <w:bCs/>
              </w:rPr>
              <w:t>投标保证金：</w:t>
            </w:r>
            <w:r>
              <w:rPr>
                <w:b/>
                <w:bCs/>
                <w:color w:val="auto"/>
              </w:rPr>
              <w:t>人民币</w:t>
            </w:r>
            <w:r>
              <w:rPr>
                <w:rFonts w:hint="eastAsia"/>
                <w:b/>
                <w:bCs/>
                <w:color w:val="auto"/>
              </w:rPr>
              <w:t>壹拾贰万元</w:t>
            </w:r>
            <w:r>
              <w:rPr>
                <w:b/>
                <w:bCs/>
                <w:color w:val="auto"/>
              </w:rPr>
              <w:t>整（小写：</w:t>
            </w:r>
            <w:r>
              <w:rPr>
                <w:rFonts w:hint="eastAsia"/>
                <w:b/>
                <w:bCs/>
                <w:color w:val="auto"/>
              </w:rPr>
              <w:t>120000</w:t>
            </w:r>
            <w:r>
              <w:rPr>
                <w:b/>
                <w:bCs/>
                <w:color w:val="auto"/>
              </w:rPr>
              <w:t>元）</w:t>
            </w:r>
          </w:p>
          <w:p>
            <w:pPr>
              <w:autoSpaceDE w:val="0"/>
              <w:autoSpaceDN w:val="0"/>
              <w:snapToGrid w:val="0"/>
              <w:spacing w:line="300" w:lineRule="exact"/>
              <w:textAlignment w:val="bottom"/>
              <w:rPr>
                <w:b/>
                <w:bCs/>
              </w:rPr>
            </w:pPr>
            <w:r>
              <w:rPr>
                <w:b/>
                <w:bCs/>
              </w:rPr>
              <w:t>(退还不计息)</w:t>
            </w:r>
          </w:p>
          <w:p>
            <w:pPr>
              <w:autoSpaceDE w:val="0"/>
              <w:autoSpaceDN w:val="0"/>
              <w:snapToGrid w:val="0"/>
              <w:spacing w:line="300" w:lineRule="exact"/>
              <w:textAlignment w:val="bottom"/>
              <w:rPr>
                <w:b/>
                <w:bCs/>
              </w:rPr>
            </w:pPr>
            <w:r>
              <w:rPr>
                <w:b/>
                <w:bCs/>
              </w:rPr>
              <w:t>账户名称：绍兴市上虞区公共资源交易中心投标保证金专户</w:t>
            </w:r>
          </w:p>
          <w:p>
            <w:pPr>
              <w:autoSpaceDE w:val="0"/>
              <w:autoSpaceDN w:val="0"/>
              <w:snapToGrid w:val="0"/>
              <w:spacing w:line="300" w:lineRule="exact"/>
              <w:textAlignment w:val="bottom"/>
              <w:rPr>
                <w:b/>
                <w:bCs/>
              </w:rPr>
            </w:pPr>
            <w:r>
              <w:rPr>
                <w:b/>
                <w:bCs/>
              </w:rPr>
              <w:t>开户银行：浙江上虞农村商业银行股份有限公司百官支行</w:t>
            </w:r>
          </w:p>
          <w:p>
            <w:pPr>
              <w:autoSpaceDE w:val="0"/>
              <w:autoSpaceDN w:val="0"/>
              <w:snapToGrid w:val="0"/>
              <w:spacing w:line="300" w:lineRule="exact"/>
              <w:textAlignment w:val="bottom"/>
              <w:rPr>
                <w:b/>
                <w:bCs/>
              </w:rPr>
            </w:pPr>
            <w:r>
              <w:rPr>
                <w:b/>
                <w:bCs/>
              </w:rPr>
              <w:t>帐    号：201000167905864</w:t>
            </w:r>
          </w:p>
          <w:p>
            <w:pPr>
              <w:autoSpaceDE w:val="0"/>
              <w:autoSpaceDN w:val="0"/>
              <w:snapToGrid w:val="0"/>
              <w:spacing w:line="300" w:lineRule="exact"/>
              <w:textAlignment w:val="bottom"/>
              <w:rPr>
                <w:rFonts w:ascii="宋体" w:hAnsi="宋体"/>
                <w:b/>
                <w:szCs w:val="21"/>
              </w:rPr>
            </w:pPr>
            <w:r>
              <w:rPr>
                <w:b/>
                <w:szCs w:val="21"/>
              </w:rPr>
              <w:t>投标保证金的缴存方式：网上银行或柜面</w:t>
            </w:r>
            <w:r>
              <w:rPr>
                <w:rFonts w:hint="eastAsia" w:ascii="宋体" w:hAnsi="宋体"/>
                <w:b/>
                <w:szCs w:val="21"/>
              </w:rPr>
              <w:t>电汇或柜面行内转账（浙江农信）</w:t>
            </w:r>
          </w:p>
          <w:p>
            <w:pPr>
              <w:autoSpaceDE w:val="0"/>
              <w:autoSpaceDN w:val="0"/>
              <w:snapToGrid w:val="0"/>
              <w:spacing w:line="300" w:lineRule="exact"/>
              <w:textAlignment w:val="bottom"/>
            </w:pPr>
            <w:r>
              <w:rPr>
                <w:rFonts w:hint="eastAsia" w:ascii="宋体" w:hAnsi="宋体"/>
                <w:b/>
                <w:szCs w:val="21"/>
              </w:rPr>
              <w:t>投标保证金的缴存时间：投标保证金应在投标文件截止时间之前到账，按不少于规定的金额交纳投标保证金，投标保证金以到账时间为准。若产生到账时间晚于保证金缴存截止时间或缴纳不足额，一律视为不响应招标文件，投标文件按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14</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履约保证金</w:t>
            </w:r>
          </w:p>
        </w:tc>
        <w:tc>
          <w:tcPr>
            <w:tcW w:w="6827" w:type="dxa"/>
            <w:noWrap/>
            <w:vAlign w:val="center"/>
          </w:tcPr>
          <w:p>
            <w:pPr>
              <w:pStyle w:val="15"/>
              <w:snapToGrid w:val="0"/>
              <w:ind w:firstLine="420" w:firstLineChars="200"/>
              <w:rPr>
                <w:rFonts w:hAnsi="宋体" w:cs="宋体"/>
                <w:kern w:val="0"/>
              </w:rPr>
            </w:pPr>
            <w:r>
              <w:rPr>
                <w:rFonts w:hint="eastAsia" w:hAnsi="宋体" w:cs="宋体"/>
                <w:kern w:val="0"/>
              </w:rPr>
              <w:t>中标人在收到中标通知书后，需向采购人提供合同价</w:t>
            </w:r>
            <w:r>
              <w:rPr>
                <w:rFonts w:hint="eastAsia" w:hAnsi="宋体" w:cs="宋体"/>
                <w:color w:val="auto"/>
                <w:kern w:val="0"/>
                <w:u w:val="single"/>
              </w:rPr>
              <w:t>　1　</w:t>
            </w:r>
            <w:r>
              <w:rPr>
                <w:rFonts w:hint="eastAsia" w:hAnsi="宋体" w:cs="宋体"/>
                <w:color w:val="auto"/>
                <w:kern w:val="0"/>
              </w:rPr>
              <w:t>%</w:t>
            </w:r>
            <w:r>
              <w:rPr>
                <w:rFonts w:hint="eastAsia" w:hAnsi="宋体" w:cs="宋体"/>
                <w:kern w:val="0"/>
              </w:rPr>
              <w:t>的履约保证金，在中标人与采购人签订合同前递交。（投标人应当以支票、汇票、本票或者金融机构、保险公司、担保机构出具的保函等非现金形式提交）</w:t>
            </w:r>
          </w:p>
          <w:p>
            <w:pPr>
              <w:pStyle w:val="15"/>
              <w:adjustRightInd w:val="0"/>
              <w:snapToGrid w:val="0"/>
              <w:spacing w:line="360" w:lineRule="auto"/>
              <w:ind w:firstLine="480" w:firstLineChars="200"/>
              <w:rPr>
                <w:rFonts w:hAnsi="宋体" w:cs="宋体"/>
                <w:kern w:val="0"/>
              </w:rPr>
            </w:pPr>
            <w:r>
              <w:rPr>
                <w:rFonts w:hint="eastAsia" w:hAnsi="宋体"/>
                <w:sz w:val="24"/>
              </w:rPr>
              <w:t>履约保证金在服务期满，并经验收合格后10个工作日内予以退还</w:t>
            </w:r>
            <w:r>
              <w:rPr>
                <w:rFonts w:hAnsi="宋体"/>
                <w:sz w:val="24"/>
              </w:rPr>
              <w:t>(</w:t>
            </w:r>
            <w:r>
              <w:rPr>
                <w:rFonts w:hint="eastAsia" w:hAnsi="宋体"/>
                <w:sz w:val="24"/>
              </w:rPr>
              <w:t>不计息</w:t>
            </w:r>
            <w:r>
              <w:rPr>
                <w:rFonts w:hAnsi="宋体"/>
                <w:sz w:val="24"/>
              </w:rPr>
              <w:t>)</w:t>
            </w:r>
            <w:r>
              <w:rPr>
                <w:rFonts w:hint="eastAsia"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15</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采购及中标公告发布媒体</w:t>
            </w:r>
          </w:p>
        </w:tc>
        <w:tc>
          <w:tcPr>
            <w:tcW w:w="6827" w:type="dxa"/>
            <w:noWrap/>
            <w:vAlign w:val="center"/>
          </w:tcPr>
          <w:p>
            <w:pPr>
              <w:pStyle w:val="15"/>
              <w:snapToGrid w:val="0"/>
              <w:spacing w:line="360" w:lineRule="exact"/>
              <w:ind w:firstLine="420" w:firstLineChars="200"/>
              <w:jc w:val="left"/>
              <w:rPr>
                <w:rFonts w:hAnsi="宋体" w:cs="宋体"/>
                <w:kern w:val="0"/>
              </w:rPr>
            </w:pPr>
            <w:r>
              <w:rPr>
                <w:rFonts w:hint="eastAsia" w:hAnsi="宋体" w:cs="宋体"/>
                <w:kern w:val="0"/>
              </w:rPr>
              <w:t>浙江省政府采购网、绍兴市上虞区公共资源交易中心网站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zCs w:val="21"/>
              </w:rPr>
            </w:pPr>
            <w:r>
              <w:rPr>
                <w:rFonts w:hint="eastAsia" w:ascii="宋体" w:hAnsi="宋体" w:cs="宋体"/>
                <w:szCs w:val="21"/>
              </w:rPr>
              <w:t>16</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质疑</w:t>
            </w:r>
          </w:p>
        </w:tc>
        <w:tc>
          <w:tcPr>
            <w:tcW w:w="6827" w:type="dxa"/>
            <w:noWrap/>
            <w:vAlign w:val="center"/>
          </w:tcPr>
          <w:p>
            <w:pPr>
              <w:pStyle w:val="29"/>
              <w:spacing w:after="0"/>
              <w:ind w:left="0" w:leftChars="0"/>
              <w:rPr>
                <w:rFonts w:ascii="宋体" w:hAnsi="宋体" w:cs="宋体"/>
                <w:szCs w:val="21"/>
              </w:rPr>
            </w:pPr>
            <w:r>
              <w:rPr>
                <w:rFonts w:hint="eastAsia" w:ascii="宋体" w:hAnsi="宋体" w:cs="宋体"/>
                <w:szCs w:val="21"/>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9"/>
              <w:spacing w:after="0"/>
              <w:ind w:left="0" w:leftChars="0"/>
              <w:rPr>
                <w:rFonts w:ascii="宋体" w:hAnsi="宋体" w:cs="宋体"/>
                <w:szCs w:val="21"/>
              </w:rPr>
            </w:pPr>
            <w:r>
              <w:rPr>
                <w:rFonts w:hint="eastAsia" w:ascii="宋体" w:hAnsi="宋体" w:cs="宋体"/>
                <w:szCs w:val="21"/>
              </w:rPr>
              <w:t>《上虞区区属国有企业货物和服务采购管理办法》第四十九条规定的供应商应知其权益收到损害之日，是指：</w:t>
            </w:r>
          </w:p>
          <w:p>
            <w:pPr>
              <w:pStyle w:val="29"/>
              <w:spacing w:after="0"/>
              <w:ind w:left="0" w:leftChars="0"/>
              <w:rPr>
                <w:rFonts w:ascii="宋体" w:hAnsi="宋体" w:cs="宋体"/>
                <w:szCs w:val="21"/>
              </w:rPr>
            </w:pPr>
            <w:r>
              <w:rPr>
                <w:rFonts w:hint="eastAsia" w:ascii="宋体" w:hAnsi="宋体" w:cs="宋体"/>
                <w:szCs w:val="21"/>
              </w:rPr>
              <w:t>（一）对可以质疑的采购文件提出质疑的，为收到采购文件之日或者采购文件公告期限届满之日（公告期限届满后获取采购文件的，以公告期限届满之日为准）；</w:t>
            </w:r>
          </w:p>
          <w:p>
            <w:pPr>
              <w:pStyle w:val="29"/>
              <w:spacing w:after="0"/>
              <w:ind w:left="0" w:leftChars="0"/>
              <w:rPr>
                <w:rFonts w:ascii="宋体" w:hAnsi="宋体" w:cs="宋体"/>
                <w:szCs w:val="21"/>
              </w:rPr>
            </w:pPr>
            <w:r>
              <w:rPr>
                <w:rFonts w:hint="eastAsia" w:ascii="宋体" w:hAnsi="宋体" w:cs="宋体"/>
                <w:szCs w:val="21"/>
              </w:rPr>
              <w:t>（二）对采购过程提出质疑的，为各采购程序环节结束之日；</w:t>
            </w:r>
          </w:p>
          <w:p>
            <w:pPr>
              <w:pStyle w:val="29"/>
              <w:spacing w:after="0"/>
              <w:ind w:left="0" w:leftChars="0"/>
            </w:pPr>
            <w:r>
              <w:rPr>
                <w:rFonts w:hint="eastAsia" w:ascii="宋体" w:hAnsi="宋体" w:cs="宋体"/>
                <w:szCs w:val="21"/>
              </w:rPr>
              <w:t>（三）对中标或者成交结果提出质疑的，为中标或者成交结果公告期限届满之日。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17</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投诉</w:t>
            </w:r>
          </w:p>
        </w:tc>
        <w:tc>
          <w:tcPr>
            <w:tcW w:w="6827" w:type="dxa"/>
            <w:noWrap/>
            <w:vAlign w:val="center"/>
          </w:tcPr>
          <w:p>
            <w:pPr>
              <w:snapToGrid w:val="0"/>
              <w:spacing w:line="3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依据</w:t>
            </w:r>
            <w:r>
              <w:rPr>
                <w:rFonts w:hint="eastAsia" w:ascii="宋体" w:hAnsi="宋体" w:cs="宋体"/>
                <w:szCs w:val="21"/>
              </w:rPr>
              <w:t>《上虞区区属国有企业货物和服务采购管理办法》第五十条的规定：</w:t>
            </w:r>
          </w:p>
          <w:p>
            <w:pPr>
              <w:snapToGrid w:val="0"/>
              <w:spacing w:line="3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pPr>
              <w:pStyle w:val="29"/>
              <w:spacing w:after="0"/>
              <w:ind w:left="0" w:leftChars="0"/>
            </w:pPr>
            <w:r>
              <w:rPr>
                <w:rFonts w:hint="eastAsia" w:ascii="宋体" w:hAnsi="宋体" w:cs="宋体"/>
                <w:snapToGrid w:val="0"/>
                <w:kern w:val="0"/>
                <w:szCs w:val="21"/>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18</w:t>
            </w:r>
          </w:p>
        </w:tc>
        <w:tc>
          <w:tcPr>
            <w:tcW w:w="1655"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特别说明</w:t>
            </w:r>
          </w:p>
        </w:tc>
        <w:tc>
          <w:tcPr>
            <w:tcW w:w="6827" w:type="dxa"/>
            <w:noWrap/>
            <w:vAlign w:val="center"/>
          </w:tcPr>
          <w:p>
            <w:pPr>
              <w:pStyle w:val="15"/>
              <w:snapToGrid w:val="0"/>
              <w:spacing w:line="360" w:lineRule="exact"/>
              <w:ind w:firstLine="420" w:firstLineChars="200"/>
              <w:jc w:val="left"/>
              <w:rPr>
                <w:rFonts w:hAnsi="宋体" w:cs="宋体"/>
                <w:kern w:val="0"/>
              </w:rPr>
            </w:pPr>
            <w:r>
              <w:rPr>
                <w:rFonts w:hint="eastAsia" w:hAnsi="宋体" w:cs="宋体"/>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5"/>
              <w:snapToGrid w:val="0"/>
              <w:spacing w:line="360" w:lineRule="exact"/>
              <w:ind w:firstLine="420" w:firstLineChars="200"/>
              <w:jc w:val="left"/>
              <w:rPr>
                <w:rFonts w:hAnsi="宋体" w:cs="宋体"/>
                <w:kern w:val="0"/>
              </w:rPr>
            </w:pPr>
            <w:r>
              <w:rPr>
                <w:rFonts w:hint="eastAsia" w:hAnsi="宋体" w:cs="宋体"/>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5"/>
              <w:snapToGrid w:val="0"/>
              <w:spacing w:line="360" w:lineRule="exact"/>
              <w:ind w:firstLine="420" w:firstLineChars="200"/>
              <w:jc w:val="left"/>
              <w:rPr>
                <w:rFonts w:hAnsi="宋体" w:cs="宋体"/>
                <w:b/>
                <w:kern w:val="0"/>
              </w:rPr>
            </w:pPr>
            <w:r>
              <w:rPr>
                <w:rFonts w:hint="eastAsia" w:hAnsi="宋体" w:cs="宋体"/>
                <w:kern w:val="0"/>
              </w:rPr>
              <w:t>招标文件中凡标注“</w:t>
            </w:r>
            <w:r>
              <w:rPr>
                <w:rFonts w:hint="eastAsia" w:hAnsi="宋体" w:cs="宋体"/>
              </w:rPr>
              <w:t>★</w:t>
            </w:r>
            <w:r>
              <w:rPr>
                <w:rFonts w:hint="eastAsia" w:hAnsi="宋体" w:cs="宋体"/>
                <w:kern w:val="0"/>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19</w:t>
            </w:r>
          </w:p>
        </w:tc>
        <w:tc>
          <w:tcPr>
            <w:tcW w:w="1655" w:type="dxa"/>
            <w:noWrap/>
            <w:vAlign w:val="center"/>
          </w:tcPr>
          <w:p>
            <w:pPr>
              <w:snapToGrid w:val="0"/>
              <w:jc w:val="center"/>
              <w:rPr>
                <w:rFonts w:ascii="宋体" w:hAnsi="宋体" w:cs="宋体"/>
                <w:szCs w:val="21"/>
              </w:rPr>
            </w:pPr>
            <w:r>
              <w:rPr>
                <w:rFonts w:hint="eastAsia" w:ascii="宋体" w:hAnsi="宋体" w:cs="宋体"/>
                <w:szCs w:val="21"/>
              </w:rPr>
              <w:t>是否允许分包</w:t>
            </w:r>
          </w:p>
        </w:tc>
        <w:tc>
          <w:tcPr>
            <w:tcW w:w="6827" w:type="dxa"/>
            <w:noWrap/>
            <w:vAlign w:val="center"/>
          </w:tcPr>
          <w:p>
            <w:pPr>
              <w:ind w:firstLine="420" w:firstLineChars="200"/>
              <w:rPr>
                <w:rFonts w:ascii="宋体" w:hAnsi="宋体" w:cs="宋体"/>
                <w:szCs w:val="21"/>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20</w:t>
            </w:r>
          </w:p>
        </w:tc>
        <w:tc>
          <w:tcPr>
            <w:tcW w:w="1655" w:type="dxa"/>
            <w:noWrap/>
            <w:vAlign w:val="center"/>
          </w:tcPr>
          <w:p>
            <w:pPr>
              <w:snapToGrid w:val="0"/>
              <w:jc w:val="center"/>
              <w:rPr>
                <w:rFonts w:ascii="宋体" w:hAnsi="宋体" w:cs="宋体"/>
                <w:szCs w:val="21"/>
              </w:rPr>
            </w:pPr>
            <w:r>
              <w:rPr>
                <w:rFonts w:hint="eastAsia" w:ascii="宋体" w:hAnsi="宋体" w:cs="宋体"/>
                <w:szCs w:val="21"/>
              </w:rPr>
              <w:t>是否提供演示</w:t>
            </w:r>
          </w:p>
        </w:tc>
        <w:tc>
          <w:tcPr>
            <w:tcW w:w="6827" w:type="dxa"/>
            <w:noWrap/>
            <w:vAlign w:val="center"/>
          </w:tcPr>
          <w:p>
            <w:pPr>
              <w:ind w:firstLine="420" w:firstLineChars="200"/>
              <w:rPr>
                <w:rFonts w:ascii="宋体" w:hAnsi="宋体" w:cs="宋体"/>
                <w:szCs w:val="21"/>
              </w:rPr>
            </w:pPr>
            <w:r>
              <w:rPr>
                <w:rFonts w:hint="eastAsia" w:ascii="宋体" w:hAnsi="宋体" w:cs="宋体"/>
              </w:rPr>
              <w:t>本项目</w:t>
            </w:r>
            <w:r>
              <w:rPr>
                <w:rFonts w:hint="eastAsia" w:ascii="宋体" w:hAnsi="宋体" w:cs="宋体"/>
                <w:u w:val="single"/>
              </w:rPr>
              <w:t>不需要</w:t>
            </w:r>
            <w:r>
              <w:rPr>
                <w:rFonts w:hint="eastAsia" w:ascii="宋体" w:hAnsi="宋体" w:cs="宋体"/>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21</w:t>
            </w:r>
          </w:p>
        </w:tc>
        <w:tc>
          <w:tcPr>
            <w:tcW w:w="1655" w:type="dxa"/>
            <w:tcBorders>
              <w:top w:val="single" w:color="auto" w:sz="4" w:space="0"/>
            </w:tcBorders>
            <w:noWrap/>
            <w:vAlign w:val="center"/>
          </w:tcPr>
          <w:p>
            <w:pPr>
              <w:snapToGrid w:val="0"/>
              <w:jc w:val="center"/>
              <w:rPr>
                <w:rFonts w:ascii="宋体" w:hAnsi="宋体" w:cs="宋体"/>
                <w:szCs w:val="21"/>
              </w:rPr>
            </w:pPr>
            <w:r>
              <w:rPr>
                <w:rFonts w:hint="eastAsia" w:ascii="宋体" w:hAnsi="宋体" w:cs="宋体"/>
                <w:szCs w:val="21"/>
              </w:rPr>
              <w:t>投标人信用信息查询渠道及截止时点、信用信息查询记录和证据留存的具体方式、信用信息的使用规则</w:t>
            </w:r>
          </w:p>
        </w:tc>
        <w:tc>
          <w:tcPr>
            <w:tcW w:w="6827" w:type="dxa"/>
            <w:tcBorders>
              <w:top w:val="single" w:color="auto" w:sz="4" w:space="0"/>
            </w:tcBorders>
            <w:noWrap/>
            <w:vAlign w:val="center"/>
          </w:tcPr>
          <w:p>
            <w:pPr>
              <w:ind w:firstLine="420" w:firstLineChars="200"/>
              <w:rPr>
                <w:rFonts w:ascii="宋体" w:hAnsi="宋体" w:cs="宋体"/>
                <w:szCs w:val="21"/>
              </w:rPr>
            </w:pPr>
            <w:r>
              <w:rPr>
                <w:rFonts w:hint="eastAsia" w:ascii="宋体" w:hAnsi="宋体" w:cs="宋体"/>
                <w:szCs w:val="21"/>
              </w:rPr>
              <w:t>1、查询渠道：信用中国（网址：http://www.creditchina.gov.cn）、中国政府采购网(网址：http://www.ccgp.gov.cn）。</w:t>
            </w:r>
          </w:p>
          <w:p>
            <w:pPr>
              <w:ind w:firstLine="420" w:firstLineChars="200"/>
              <w:rPr>
                <w:rFonts w:ascii="宋体" w:hAnsi="宋体" w:cs="宋体"/>
                <w:szCs w:val="21"/>
              </w:rPr>
            </w:pPr>
            <w:r>
              <w:rPr>
                <w:rFonts w:hint="eastAsia" w:ascii="宋体" w:hAnsi="宋体" w:cs="宋体"/>
                <w:szCs w:val="21"/>
              </w:rPr>
              <w:t>2、截止时点：开标后评标前。</w:t>
            </w:r>
          </w:p>
          <w:p>
            <w:pPr>
              <w:ind w:firstLine="420" w:firstLineChars="200"/>
              <w:rPr>
                <w:rFonts w:ascii="宋体" w:hAnsi="宋体" w:cs="宋体"/>
                <w:szCs w:val="21"/>
              </w:rPr>
            </w:pPr>
            <w:r>
              <w:rPr>
                <w:rFonts w:hint="eastAsia" w:ascii="宋体" w:hAnsi="宋体" w:cs="宋体"/>
                <w:szCs w:val="21"/>
              </w:rPr>
              <w:t>3、信用信息查询记录和证据留存的具体方式：由采购组织机构在规定查询时间内打印信用信息查询记录并归入项目档案。</w:t>
            </w:r>
          </w:p>
          <w:p>
            <w:pPr>
              <w:ind w:firstLine="420" w:firstLineChars="200"/>
              <w:rPr>
                <w:rFonts w:ascii="宋体" w:hAnsi="宋体" w:cs="宋体"/>
                <w:szCs w:val="21"/>
              </w:rPr>
            </w:pPr>
            <w:r>
              <w:rPr>
                <w:rFonts w:hint="eastAsia" w:ascii="宋体" w:hAnsi="宋体" w:cs="宋体"/>
                <w:szCs w:val="21"/>
              </w:rPr>
              <w:t>4、使用规则：对列入失信被执行人、重大税收违法案件当事人名单、政府采购严重违法失信行为记录名单及其他不符合《上虞区区属国有企业货物和服务采购管理办法》第十八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22</w:t>
            </w:r>
          </w:p>
        </w:tc>
        <w:tc>
          <w:tcPr>
            <w:tcW w:w="1655" w:type="dxa"/>
            <w:noWrap/>
            <w:vAlign w:val="center"/>
          </w:tcPr>
          <w:p>
            <w:pPr>
              <w:snapToGrid w:val="0"/>
              <w:jc w:val="center"/>
              <w:rPr>
                <w:rFonts w:ascii="宋体" w:hAnsi="宋体" w:cs="宋体"/>
                <w:szCs w:val="21"/>
              </w:rPr>
            </w:pPr>
            <w:r>
              <w:rPr>
                <w:rFonts w:hint="eastAsia" w:ascii="宋体" w:hAnsi="宋体" w:cs="宋体"/>
                <w:szCs w:val="21"/>
              </w:rPr>
              <w:t>其他</w:t>
            </w:r>
          </w:p>
        </w:tc>
        <w:tc>
          <w:tcPr>
            <w:tcW w:w="6827" w:type="dxa"/>
            <w:noWrap/>
            <w:vAlign w:val="center"/>
          </w:tcPr>
          <w:p>
            <w:pPr>
              <w:ind w:firstLine="422" w:firstLineChars="200"/>
              <w:rPr>
                <w:rFonts w:ascii="宋体" w:hAnsi="宋体" w:cs="宋体"/>
                <w:b/>
                <w:szCs w:val="21"/>
              </w:rPr>
            </w:pPr>
            <w:r>
              <w:rPr>
                <w:rFonts w:hint="eastAsia" w:ascii="宋体" w:hAnsi="宋体" w:cs="宋体"/>
                <w:b/>
                <w:szCs w:val="21"/>
              </w:rPr>
              <w:t>本招标文件要求提供的身份证复印件皆需提供正反面，否则按不提供处理。</w:t>
            </w:r>
          </w:p>
        </w:tc>
      </w:tr>
    </w:tbl>
    <w:p>
      <w:pPr>
        <w:pStyle w:val="64"/>
        <w:spacing w:before="0"/>
        <w:ind w:firstLine="420"/>
        <w:rPr>
          <w:rFonts w:ascii="宋体" w:hAnsi="宋体" w:cs="宋体"/>
          <w:sz w:val="21"/>
          <w:szCs w:val="21"/>
        </w:rPr>
      </w:pPr>
      <w:r>
        <w:rPr>
          <w:rFonts w:hint="eastAsia" w:ascii="宋体" w:hAnsi="宋体" w:cs="宋体"/>
          <w:sz w:val="21"/>
          <w:szCs w:val="21"/>
        </w:rPr>
        <w:t>注：以上内容如有变化将另行通知。如通知其中某一内容发生变化，其余未提及的将不作变动。</w:t>
      </w:r>
    </w:p>
    <w:p>
      <w:pPr>
        <w:snapToGrid w:val="0"/>
        <w:spacing w:line="360" w:lineRule="auto"/>
        <w:jc w:val="center"/>
        <w:outlineLvl w:val="0"/>
        <w:rPr>
          <w:rFonts w:ascii="宋体" w:hAnsi="宋体" w:cs="宋体"/>
          <w:b/>
          <w:sz w:val="32"/>
        </w:rPr>
      </w:pPr>
      <w:r>
        <w:rPr>
          <w:rFonts w:hint="eastAsia" w:ascii="宋体" w:hAnsi="宋体" w:cs="宋体"/>
          <w:b/>
          <w:sz w:val="32"/>
          <w:szCs w:val="20"/>
        </w:rPr>
        <w:br w:type="page"/>
      </w:r>
      <w:bookmarkStart w:id="16" w:name="_Toc10661"/>
      <w:r>
        <w:rPr>
          <w:rFonts w:hint="eastAsia" w:ascii="宋体" w:hAnsi="宋体" w:cs="宋体"/>
          <w:b/>
          <w:sz w:val="32"/>
        </w:rPr>
        <w:t>一、总则</w:t>
      </w:r>
      <w:bookmarkEnd w:id="9"/>
      <w:bookmarkEnd w:id="16"/>
    </w:p>
    <w:p>
      <w:pPr>
        <w:pStyle w:val="15"/>
        <w:numPr>
          <w:ilvl w:val="0"/>
          <w:numId w:val="8"/>
        </w:numPr>
        <w:spacing w:line="360" w:lineRule="auto"/>
        <w:ind w:firstLine="482" w:firstLineChars="200"/>
        <w:rPr>
          <w:rFonts w:hAnsi="宋体" w:cs="宋体"/>
          <w:b/>
          <w:sz w:val="24"/>
          <w:szCs w:val="24"/>
        </w:rPr>
      </w:pPr>
      <w:bookmarkStart w:id="17" w:name="_Hlt74730295"/>
      <w:bookmarkEnd w:id="17"/>
      <w:bookmarkStart w:id="18" w:name="_Hlt74714665"/>
      <w:bookmarkEnd w:id="18"/>
      <w:bookmarkStart w:id="19" w:name="_Toc91899872"/>
      <w:bookmarkStart w:id="20" w:name="_Hlt74730208"/>
      <w:bookmarkStart w:id="21" w:name="_Hlt74730112"/>
      <w:r>
        <w:rPr>
          <w:rFonts w:hint="eastAsia" w:hAnsi="宋体" w:cs="宋体"/>
          <w:b/>
          <w:sz w:val="24"/>
          <w:szCs w:val="24"/>
        </w:rPr>
        <w:t>项目说明</w:t>
      </w:r>
      <w:bookmarkEnd w:id="19"/>
    </w:p>
    <w:p>
      <w:pPr>
        <w:pStyle w:val="64"/>
        <w:numPr>
          <w:ilvl w:val="0"/>
          <w:numId w:val="9"/>
        </w:numPr>
        <w:tabs>
          <w:tab w:val="left" w:pos="0"/>
        </w:tabs>
        <w:spacing w:before="0"/>
        <w:ind w:firstLine="480"/>
        <w:rPr>
          <w:rFonts w:ascii="宋体" w:hAnsi="宋体" w:cs="宋体"/>
          <w:szCs w:val="24"/>
        </w:rPr>
      </w:pPr>
      <w:r>
        <w:rPr>
          <w:rFonts w:hint="eastAsia" w:ascii="宋体" w:hAnsi="宋体" w:cs="宋体"/>
          <w:szCs w:val="24"/>
        </w:rPr>
        <w:t>项目说明见前附表所述。投标人一旦参与本次招标活动，即被视为接受了本招标文件的所有内容，如有任何异议，均已在法定时间内提出。</w:t>
      </w:r>
    </w:p>
    <w:p>
      <w:pPr>
        <w:pStyle w:val="64"/>
        <w:numPr>
          <w:ilvl w:val="0"/>
          <w:numId w:val="9"/>
        </w:numPr>
        <w:tabs>
          <w:tab w:val="left" w:pos="0"/>
        </w:tabs>
        <w:spacing w:before="0"/>
        <w:ind w:firstLine="480"/>
        <w:rPr>
          <w:rFonts w:ascii="宋体" w:hAnsi="宋体" w:cs="宋体"/>
          <w:szCs w:val="24"/>
        </w:rPr>
      </w:pPr>
      <w:r>
        <w:rPr>
          <w:rFonts w:hint="eastAsia" w:ascii="宋体" w:hAnsi="宋体" w:cs="宋体"/>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szCs w:val="24"/>
          <w:lang w:val="zh-CN"/>
        </w:rPr>
        <w:t>供应商</w:t>
      </w:r>
      <w:r>
        <w:rPr>
          <w:rFonts w:hint="eastAsia" w:ascii="宋体" w:hAnsi="宋体" w:cs="宋体"/>
          <w:szCs w:val="24"/>
        </w:rPr>
        <w:t>应承担相应后果，</w:t>
      </w:r>
      <w:r>
        <w:rPr>
          <w:rFonts w:hint="eastAsia" w:ascii="宋体" w:hAnsi="宋体" w:cs="宋体"/>
          <w:szCs w:val="24"/>
          <w:lang w:val="zh-CN"/>
        </w:rPr>
        <w:t>并负责赔偿。</w:t>
      </w:r>
      <w:r>
        <w:rPr>
          <w:rFonts w:hint="eastAsia" w:ascii="宋体" w:hAnsi="宋体" w:cs="宋体"/>
          <w:szCs w:val="24"/>
        </w:rPr>
        <w:t>供应商为执行本项目合同而提供的技术资料等归采购人所有。</w:t>
      </w:r>
    </w:p>
    <w:p>
      <w:pPr>
        <w:snapToGrid w:val="0"/>
        <w:spacing w:line="440" w:lineRule="exact"/>
        <w:ind w:firstLine="480" w:firstLineChars="200"/>
        <w:jc w:val="left"/>
        <w:rPr>
          <w:rFonts w:ascii="宋体" w:hAnsi="宋体" w:cs="宋体"/>
          <w:sz w:val="24"/>
        </w:rPr>
      </w:pPr>
      <w:bookmarkStart w:id="22" w:name="_Toc91899873"/>
      <w:r>
        <w:rPr>
          <w:rFonts w:hint="eastAsia" w:ascii="宋体" w:hAnsi="宋体" w:cs="宋体"/>
          <w:sz w:val="24"/>
        </w:rPr>
        <w:t>1.3本招标文件所称公章是指单位法定名称章或者冠以单位法定名称的电子公章。</w:t>
      </w:r>
    </w:p>
    <w:p>
      <w:pPr>
        <w:snapToGrid w:val="0"/>
        <w:spacing w:line="440" w:lineRule="exact"/>
        <w:ind w:firstLine="480" w:firstLineChars="200"/>
        <w:jc w:val="left"/>
        <w:rPr>
          <w:rFonts w:ascii="宋体" w:hAnsi="宋体" w:cs="宋体"/>
          <w:sz w:val="24"/>
        </w:rPr>
      </w:pPr>
      <w:r>
        <w:rPr>
          <w:rFonts w:hint="eastAsia" w:ascii="宋体" w:hAnsi="宋体" w:cs="宋体"/>
          <w:sz w:val="24"/>
        </w:rPr>
        <w:t>1.4公开招标数额标准以上的采购项目，投标截止后投标人不足3家或者通过资格审查或符合性审查的投标人不足3家的，除采购任务取消情形外，按照以下方式处理：</w:t>
      </w:r>
    </w:p>
    <w:p>
      <w:pPr>
        <w:pStyle w:val="64"/>
        <w:numPr>
          <w:ilvl w:val="0"/>
          <w:numId w:val="10"/>
        </w:numPr>
        <w:spacing w:before="0"/>
        <w:ind w:firstLine="480"/>
        <w:rPr>
          <w:rFonts w:ascii="宋体" w:hAnsi="宋体" w:cs="宋体"/>
          <w:szCs w:val="24"/>
        </w:rPr>
      </w:pPr>
      <w:r>
        <w:rPr>
          <w:rFonts w:hint="eastAsia" w:ascii="宋体" w:hAnsi="宋体" w:cs="宋体"/>
          <w:szCs w:val="24"/>
        </w:rPr>
        <w:t>招标文件存在不合理条款或者招标程序不符合规定的，采购人、采购代理机构改正后依法重新招标；</w:t>
      </w:r>
    </w:p>
    <w:p>
      <w:pPr>
        <w:pStyle w:val="64"/>
        <w:numPr>
          <w:ilvl w:val="0"/>
          <w:numId w:val="10"/>
        </w:numPr>
        <w:spacing w:before="0"/>
        <w:ind w:firstLine="480"/>
        <w:rPr>
          <w:rFonts w:ascii="宋体" w:hAnsi="宋体" w:cs="宋体"/>
          <w:szCs w:val="24"/>
        </w:rPr>
      </w:pPr>
      <w:r>
        <w:rPr>
          <w:rFonts w:hint="eastAsia" w:ascii="宋体" w:hAnsi="宋体" w:cs="宋体"/>
          <w:szCs w:val="24"/>
        </w:rPr>
        <w:t>招标文件没有不合理条款、招标程序符合规定，需要采用其他采购方式采购的，采购人应当依法报财政部门批准。</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采购方式</w:t>
      </w:r>
      <w:bookmarkEnd w:id="22"/>
    </w:p>
    <w:p>
      <w:pPr>
        <w:tabs>
          <w:tab w:val="left" w:pos="3780"/>
        </w:tabs>
        <w:spacing w:line="360" w:lineRule="auto"/>
        <w:ind w:firstLine="480" w:firstLineChars="200"/>
        <w:rPr>
          <w:rFonts w:ascii="宋体" w:hAnsi="宋体" w:cs="宋体"/>
          <w:sz w:val="24"/>
        </w:rPr>
      </w:pPr>
      <w:r>
        <w:rPr>
          <w:rFonts w:hint="eastAsia" w:ascii="宋体" w:hAnsi="宋体" w:cs="宋体"/>
          <w:sz w:val="24"/>
        </w:rPr>
        <w:t>公开招标。</w:t>
      </w:r>
      <w:bookmarkEnd w:id="20"/>
      <w:bookmarkEnd w:id="21"/>
      <w:bookmarkStart w:id="23" w:name="_Hlt74388212"/>
      <w:bookmarkEnd w:id="23"/>
      <w:bookmarkStart w:id="24" w:name="_Hlt68516771"/>
      <w:bookmarkEnd w:id="24"/>
    </w:p>
    <w:p>
      <w:pPr>
        <w:pStyle w:val="15"/>
        <w:numPr>
          <w:ilvl w:val="0"/>
          <w:numId w:val="8"/>
        </w:numPr>
        <w:spacing w:line="360" w:lineRule="auto"/>
        <w:ind w:firstLine="482" w:firstLineChars="200"/>
        <w:rPr>
          <w:rFonts w:hAnsi="宋体" w:cs="宋体"/>
          <w:b/>
          <w:sz w:val="24"/>
          <w:szCs w:val="24"/>
        </w:rPr>
      </w:pPr>
      <w:bookmarkStart w:id="25" w:name="_Toc91899877"/>
      <w:bookmarkStart w:id="26" w:name="_Hlt74730303"/>
      <w:r>
        <w:rPr>
          <w:rFonts w:hint="eastAsia" w:hAnsi="宋体" w:cs="宋体"/>
          <w:b/>
          <w:sz w:val="24"/>
          <w:szCs w:val="24"/>
        </w:rPr>
        <w:t>投标费用</w:t>
      </w:r>
      <w:bookmarkEnd w:id="25"/>
    </w:p>
    <w:bookmarkEnd w:id="26"/>
    <w:p>
      <w:pPr>
        <w:autoSpaceDE w:val="0"/>
        <w:autoSpaceDN w:val="0"/>
        <w:spacing w:line="360" w:lineRule="auto"/>
        <w:ind w:firstLine="523" w:firstLineChars="218"/>
        <w:rPr>
          <w:rFonts w:ascii="宋体" w:hAnsi="宋体" w:cs="宋体"/>
          <w:sz w:val="24"/>
          <w:lang w:val="zh-CN"/>
        </w:rPr>
      </w:pPr>
      <w:r>
        <w:rPr>
          <w:rFonts w:hint="eastAsia" w:ascii="宋体" w:hAnsi="宋体" w:cs="宋体"/>
          <w:sz w:val="24"/>
        </w:rPr>
        <w:t>投标人需自行承担涉及投标的一切费用（招标文件有其他相反规定除外）。</w:t>
      </w:r>
    </w:p>
    <w:p>
      <w:pPr>
        <w:spacing w:line="360" w:lineRule="auto"/>
        <w:jc w:val="center"/>
        <w:rPr>
          <w:rFonts w:ascii="宋体" w:hAnsi="宋体" w:cs="宋体"/>
          <w:b/>
          <w:sz w:val="24"/>
        </w:rPr>
      </w:pPr>
      <w:bookmarkStart w:id="27" w:name="_Hlt74707468"/>
      <w:bookmarkEnd w:id="27"/>
      <w:bookmarkStart w:id="28" w:name="_Hlt74729768"/>
      <w:bookmarkEnd w:id="28"/>
      <w:bookmarkStart w:id="29" w:name="_Hlt68072990"/>
      <w:bookmarkEnd w:id="29"/>
      <w:bookmarkStart w:id="30" w:name="_Hlt75236290"/>
      <w:bookmarkEnd w:id="30"/>
      <w:bookmarkStart w:id="31" w:name="_Hlt68057669"/>
      <w:bookmarkEnd w:id="31"/>
      <w:bookmarkStart w:id="32" w:name="_Toc91899879"/>
    </w:p>
    <w:p>
      <w:pPr>
        <w:snapToGrid w:val="0"/>
        <w:spacing w:line="360" w:lineRule="auto"/>
        <w:jc w:val="center"/>
        <w:outlineLvl w:val="0"/>
        <w:rPr>
          <w:rFonts w:ascii="宋体" w:hAnsi="宋体" w:cs="宋体"/>
          <w:b/>
          <w:sz w:val="32"/>
        </w:rPr>
      </w:pPr>
      <w:bookmarkStart w:id="33" w:name="_Toc22966"/>
      <w:r>
        <w:rPr>
          <w:rFonts w:hint="eastAsia" w:ascii="宋体" w:hAnsi="宋体" w:cs="宋体"/>
          <w:b/>
          <w:sz w:val="32"/>
        </w:rPr>
        <w:t>二、招标文件</w:t>
      </w:r>
      <w:bookmarkEnd w:id="32"/>
      <w:bookmarkEnd w:id="33"/>
    </w:p>
    <w:p>
      <w:pPr>
        <w:pStyle w:val="15"/>
        <w:numPr>
          <w:ilvl w:val="0"/>
          <w:numId w:val="8"/>
        </w:numPr>
        <w:spacing w:line="360" w:lineRule="auto"/>
        <w:ind w:firstLine="482" w:firstLineChars="200"/>
        <w:rPr>
          <w:rFonts w:hAnsi="宋体" w:cs="宋体"/>
          <w:b/>
          <w:sz w:val="24"/>
          <w:szCs w:val="24"/>
        </w:rPr>
      </w:pPr>
      <w:bookmarkStart w:id="34" w:name="_Toc91899880"/>
      <w:bookmarkStart w:id="35" w:name="_Hlt74730307"/>
      <w:r>
        <w:rPr>
          <w:rFonts w:hint="eastAsia" w:hAnsi="宋体" w:cs="宋体"/>
          <w:b/>
          <w:sz w:val="24"/>
          <w:szCs w:val="24"/>
        </w:rPr>
        <w:t>招标文件的构成</w:t>
      </w:r>
      <w:bookmarkEnd w:id="34"/>
    </w:p>
    <w:bookmarkEnd w:id="35"/>
    <w:p>
      <w:pPr>
        <w:pStyle w:val="64"/>
        <w:numPr>
          <w:ilvl w:val="0"/>
          <w:numId w:val="11"/>
        </w:numPr>
        <w:spacing w:before="0"/>
        <w:ind w:firstLine="480"/>
        <w:rPr>
          <w:rFonts w:ascii="宋体" w:hAnsi="宋体" w:cs="宋体"/>
          <w:szCs w:val="24"/>
        </w:rPr>
      </w:pPr>
      <w:r>
        <w:rPr>
          <w:rFonts w:hint="eastAsia" w:ascii="宋体" w:hAnsi="宋体" w:cs="宋体"/>
          <w:szCs w:val="24"/>
        </w:rPr>
        <w:t>招标文件包括下列文件及附件</w:t>
      </w:r>
    </w:p>
    <w:p>
      <w:pPr>
        <w:pStyle w:val="64"/>
        <w:numPr>
          <w:ilvl w:val="0"/>
          <w:numId w:val="12"/>
        </w:numPr>
        <w:spacing w:before="0"/>
        <w:ind w:firstLine="480"/>
        <w:rPr>
          <w:rFonts w:ascii="宋体" w:hAnsi="宋体" w:cs="宋体"/>
          <w:szCs w:val="24"/>
        </w:rPr>
      </w:pPr>
      <w:r>
        <w:rPr>
          <w:rFonts w:hint="eastAsia" w:ascii="宋体" w:hAnsi="宋体" w:cs="宋体"/>
          <w:szCs w:val="24"/>
        </w:rPr>
        <w:t>第一部分 招标公告</w:t>
      </w:r>
    </w:p>
    <w:p>
      <w:pPr>
        <w:pStyle w:val="64"/>
        <w:numPr>
          <w:ilvl w:val="0"/>
          <w:numId w:val="12"/>
        </w:numPr>
        <w:spacing w:before="0"/>
        <w:ind w:firstLine="480"/>
        <w:rPr>
          <w:rFonts w:ascii="宋体" w:hAnsi="宋体" w:cs="宋体"/>
          <w:szCs w:val="24"/>
        </w:rPr>
      </w:pPr>
      <w:r>
        <w:rPr>
          <w:rFonts w:hint="eastAsia" w:ascii="宋体" w:hAnsi="宋体" w:cs="宋体"/>
          <w:szCs w:val="24"/>
        </w:rPr>
        <w:t>第二部分 投标须知</w:t>
      </w:r>
    </w:p>
    <w:p>
      <w:pPr>
        <w:pStyle w:val="64"/>
        <w:numPr>
          <w:ilvl w:val="0"/>
          <w:numId w:val="12"/>
        </w:numPr>
        <w:spacing w:before="0"/>
        <w:ind w:firstLine="480"/>
        <w:rPr>
          <w:rFonts w:ascii="宋体" w:hAnsi="宋体" w:cs="宋体"/>
          <w:szCs w:val="24"/>
        </w:rPr>
      </w:pPr>
      <w:r>
        <w:rPr>
          <w:rFonts w:hint="eastAsia" w:ascii="宋体" w:hAnsi="宋体" w:cs="宋体"/>
          <w:szCs w:val="24"/>
        </w:rPr>
        <w:t>第三部分 评标办法及评分标准</w:t>
      </w:r>
    </w:p>
    <w:p>
      <w:pPr>
        <w:pStyle w:val="64"/>
        <w:numPr>
          <w:ilvl w:val="0"/>
          <w:numId w:val="12"/>
        </w:numPr>
        <w:spacing w:before="0"/>
        <w:ind w:firstLine="480"/>
        <w:rPr>
          <w:rFonts w:ascii="宋体" w:hAnsi="宋体" w:cs="宋体"/>
          <w:szCs w:val="24"/>
        </w:rPr>
      </w:pPr>
      <w:r>
        <w:rPr>
          <w:rFonts w:hint="eastAsia" w:ascii="宋体" w:hAnsi="宋体" w:cs="宋体"/>
          <w:szCs w:val="24"/>
        </w:rPr>
        <w:t>第四部分 采购需求</w:t>
      </w:r>
    </w:p>
    <w:p>
      <w:pPr>
        <w:pStyle w:val="64"/>
        <w:numPr>
          <w:ilvl w:val="0"/>
          <w:numId w:val="12"/>
        </w:numPr>
        <w:spacing w:before="0"/>
        <w:ind w:firstLine="480"/>
        <w:rPr>
          <w:rFonts w:ascii="宋体" w:hAnsi="宋体" w:cs="宋体"/>
          <w:szCs w:val="24"/>
        </w:rPr>
      </w:pPr>
      <w:r>
        <w:rPr>
          <w:rFonts w:hint="eastAsia" w:ascii="宋体" w:hAnsi="宋体" w:cs="宋体"/>
          <w:szCs w:val="24"/>
        </w:rPr>
        <w:t>第五部分 采购合同的一般和特殊条款</w:t>
      </w:r>
    </w:p>
    <w:p>
      <w:pPr>
        <w:pStyle w:val="64"/>
        <w:numPr>
          <w:ilvl w:val="0"/>
          <w:numId w:val="12"/>
        </w:numPr>
        <w:spacing w:before="0"/>
        <w:ind w:firstLine="480"/>
        <w:rPr>
          <w:rFonts w:ascii="宋体" w:hAnsi="宋体" w:cs="宋体"/>
          <w:szCs w:val="24"/>
        </w:rPr>
      </w:pPr>
      <w:r>
        <w:rPr>
          <w:rFonts w:hint="eastAsia" w:ascii="宋体" w:hAnsi="宋体" w:cs="宋体"/>
          <w:szCs w:val="24"/>
        </w:rPr>
        <w:t>第六部分 应提交的有关格式范例</w:t>
      </w:r>
    </w:p>
    <w:p>
      <w:pPr>
        <w:pStyle w:val="64"/>
        <w:numPr>
          <w:ilvl w:val="0"/>
          <w:numId w:val="11"/>
        </w:numPr>
        <w:spacing w:before="0"/>
        <w:ind w:firstLine="480"/>
        <w:rPr>
          <w:rFonts w:ascii="宋体" w:hAnsi="宋体" w:cs="宋体"/>
          <w:szCs w:val="24"/>
        </w:rPr>
      </w:pPr>
      <w:r>
        <w:rPr>
          <w:rFonts w:hint="eastAsia" w:ascii="宋体" w:hAnsi="宋体" w:cs="宋体"/>
          <w:szCs w:val="24"/>
        </w:rPr>
        <w:t>投标人应认真审阅招标文件中所有的内容，包括编制和提交采购响应文件须知、评标办法及评分标准、项目技术规范和服务要求、采购合同的一般和特殊条款、应提交的有关格式范例等。</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招标文件的解释</w:t>
      </w:r>
    </w:p>
    <w:p>
      <w:pPr>
        <w:pStyle w:val="64"/>
        <w:numPr>
          <w:ilvl w:val="0"/>
          <w:numId w:val="13"/>
        </w:numPr>
        <w:spacing w:before="0"/>
        <w:ind w:firstLine="480"/>
        <w:rPr>
          <w:rFonts w:ascii="宋体" w:hAnsi="宋体" w:cs="宋体"/>
          <w:szCs w:val="24"/>
        </w:rPr>
      </w:pPr>
      <w:r>
        <w:rPr>
          <w:rFonts w:hint="eastAsia" w:ascii="宋体" w:hAnsi="宋体" w:cs="宋体"/>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64"/>
        <w:numPr>
          <w:ilvl w:val="0"/>
          <w:numId w:val="13"/>
        </w:numPr>
        <w:spacing w:before="0"/>
        <w:ind w:firstLine="480"/>
        <w:rPr>
          <w:rFonts w:ascii="宋体" w:hAnsi="宋体" w:cs="宋体"/>
          <w:szCs w:val="24"/>
        </w:rPr>
      </w:pPr>
      <w:r>
        <w:rPr>
          <w:rFonts w:hint="eastAsia" w:ascii="宋体" w:hAnsi="宋体" w:cs="宋体"/>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64"/>
        <w:numPr>
          <w:ilvl w:val="0"/>
          <w:numId w:val="13"/>
        </w:numPr>
        <w:spacing w:before="0"/>
        <w:ind w:firstLine="480"/>
        <w:rPr>
          <w:rFonts w:ascii="宋体" w:hAnsi="宋体" w:cs="宋体"/>
          <w:szCs w:val="24"/>
        </w:rPr>
      </w:pPr>
      <w:r>
        <w:rPr>
          <w:rFonts w:hint="eastAsia" w:ascii="宋体" w:hAnsi="宋体" w:cs="宋体"/>
          <w:szCs w:val="24"/>
        </w:rPr>
        <w:t>不论采购代理机构向投标人发送的资料文件，还是投标人提出的问题，均采用书面形式。</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招标文件的修改、澄清</w:t>
      </w:r>
    </w:p>
    <w:p>
      <w:pPr>
        <w:pStyle w:val="64"/>
        <w:numPr>
          <w:ilvl w:val="0"/>
          <w:numId w:val="14"/>
        </w:numPr>
        <w:spacing w:before="0"/>
        <w:ind w:firstLine="480"/>
        <w:rPr>
          <w:rFonts w:ascii="宋体" w:hAnsi="宋体" w:cs="宋体"/>
          <w:szCs w:val="24"/>
        </w:rPr>
      </w:pPr>
      <w:r>
        <w:rPr>
          <w:rFonts w:hint="eastAsia" w:ascii="宋体" w:hAnsi="宋体" w:cs="宋体"/>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64"/>
        <w:numPr>
          <w:ilvl w:val="0"/>
          <w:numId w:val="14"/>
        </w:numPr>
        <w:spacing w:before="0"/>
        <w:ind w:firstLine="480"/>
        <w:rPr>
          <w:rFonts w:ascii="宋体" w:hAnsi="宋体" w:cs="宋体"/>
          <w:szCs w:val="24"/>
        </w:rPr>
      </w:pPr>
      <w:r>
        <w:rPr>
          <w:rFonts w:hint="eastAsia" w:ascii="宋体" w:hAnsi="宋体" w:cs="宋体"/>
          <w:szCs w:val="24"/>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投标报价</w:t>
      </w:r>
    </w:p>
    <w:p>
      <w:pPr>
        <w:spacing w:line="360" w:lineRule="auto"/>
        <w:ind w:firstLine="480" w:firstLineChars="200"/>
        <w:rPr>
          <w:rFonts w:ascii="宋体" w:hAnsi="宋体" w:cs="宋体"/>
          <w:b/>
          <w:bCs/>
          <w:sz w:val="32"/>
          <w:szCs w:val="32"/>
        </w:rPr>
      </w:pPr>
      <w:r>
        <w:rPr>
          <w:rFonts w:hint="eastAsia" w:hAnsi="宋体" w:cs="宋体"/>
          <w:color w:val="FF0000"/>
          <w:kern w:val="0"/>
          <w:sz w:val="24"/>
          <w:highlight w:val="none"/>
        </w:rPr>
        <w:t>投标</w:t>
      </w:r>
      <w:r>
        <w:rPr>
          <w:rFonts w:hint="eastAsia" w:hAnsi="宋体" w:cs="宋体"/>
          <w:color w:val="FF0000"/>
          <w:kern w:val="0"/>
          <w:sz w:val="24"/>
          <w:highlight w:val="none"/>
          <w:lang w:val="en-US" w:eastAsia="zh-CN"/>
        </w:rPr>
        <w:t>综合单</w:t>
      </w:r>
      <w:r>
        <w:rPr>
          <w:rFonts w:hint="eastAsia" w:hAnsi="宋体" w:cs="宋体"/>
          <w:color w:val="FF0000"/>
          <w:kern w:val="0"/>
          <w:sz w:val="24"/>
          <w:highlight w:val="none"/>
        </w:rPr>
        <w:t>价</w:t>
      </w:r>
      <w:r>
        <w:rPr>
          <w:rFonts w:hint="eastAsia" w:hAnsi="宋体" w:cs="宋体"/>
          <w:kern w:val="0"/>
          <w:sz w:val="24"/>
        </w:rPr>
        <w:t>统一为人民币计价，</w:t>
      </w:r>
      <w:r>
        <w:rPr>
          <w:rFonts w:hint="eastAsia"/>
          <w:b/>
          <w:sz w:val="24"/>
        </w:rPr>
        <w:t>应</w:t>
      </w:r>
      <w:r>
        <w:rPr>
          <w:b/>
          <w:sz w:val="24"/>
        </w:rPr>
        <w:t>包括</w:t>
      </w:r>
      <w:r>
        <w:rPr>
          <w:rFonts w:hint="eastAsia"/>
          <w:b/>
          <w:sz w:val="24"/>
        </w:rPr>
        <w:t>但不限于完成本项目服务可能发生的全部费用包括</w:t>
      </w:r>
      <w:r>
        <w:rPr>
          <w:rFonts w:hint="eastAsia" w:hAnsi="宋体" w:cs="宋体"/>
          <w:b/>
          <w:bCs/>
          <w:sz w:val="24"/>
        </w:rPr>
        <w:t>保洁、管理人员的意外保险、</w:t>
      </w:r>
      <w:r>
        <w:rPr>
          <w:rFonts w:hint="eastAsia"/>
          <w:b/>
          <w:sz w:val="24"/>
        </w:rPr>
        <w:t>工资福利、社保、服装费、办公用品、劳动用品、工器具、管理费、税费、垃圾清扫清运设备及船只购置费用、运输费用、燃油、保养维修、垃圾处置及清运费用及不可预见费等所有费用</w:t>
      </w:r>
      <w:r>
        <w:rPr>
          <w:rFonts w:hint="eastAsia" w:hAnsi="宋体" w:cs="宋体"/>
          <w:kern w:val="0"/>
          <w:sz w:val="24"/>
        </w:rPr>
        <w:t>。投标人在编写投标方案时应充分考虑各种风险因素，凡投标人漏项、漏报均认为已包含在报价中，结算时不再增加。</w:t>
      </w:r>
    </w:p>
    <w:p>
      <w:pPr>
        <w:pStyle w:val="64"/>
        <w:numPr>
          <w:ilvl w:val="0"/>
          <w:numId w:val="15"/>
        </w:numPr>
        <w:spacing w:before="0"/>
        <w:ind w:firstLine="480"/>
        <w:rPr>
          <w:rFonts w:ascii="宋体" w:hAnsi="宋体" w:cs="宋体"/>
          <w:szCs w:val="24"/>
        </w:rPr>
      </w:pPr>
      <w:r>
        <w:rPr>
          <w:rFonts w:hint="eastAsia" w:ascii="宋体" w:hAnsi="宋体" w:cs="宋体"/>
          <w:szCs w:val="24"/>
        </w:rPr>
        <w:t>其它费用处理</w:t>
      </w:r>
    </w:p>
    <w:p>
      <w:pPr>
        <w:pStyle w:val="64"/>
        <w:tabs>
          <w:tab w:val="left" w:pos="0"/>
        </w:tabs>
        <w:spacing w:before="0"/>
        <w:ind w:left="420" w:leftChars="200" w:firstLine="0" w:firstLineChars="0"/>
        <w:rPr>
          <w:rFonts w:ascii="宋体" w:hAnsi="宋体" w:cs="宋体"/>
          <w:szCs w:val="24"/>
        </w:rPr>
      </w:pPr>
      <w:r>
        <w:rPr>
          <w:rFonts w:hint="eastAsia" w:ascii="宋体" w:hAnsi="宋体" w:cs="宋体"/>
          <w:szCs w:val="24"/>
        </w:rPr>
        <w:t>招标文件未列明，而投标人认为必需的费用也需列入报价。</w:t>
      </w:r>
    </w:p>
    <w:p>
      <w:pPr>
        <w:pStyle w:val="64"/>
        <w:numPr>
          <w:ilvl w:val="0"/>
          <w:numId w:val="15"/>
        </w:numPr>
        <w:spacing w:before="0"/>
        <w:ind w:firstLine="480"/>
        <w:rPr>
          <w:rFonts w:ascii="宋体" w:hAnsi="宋体" w:cs="宋体"/>
          <w:szCs w:val="24"/>
        </w:rPr>
      </w:pPr>
      <w:r>
        <w:rPr>
          <w:rFonts w:hint="eastAsia" w:ascii="宋体" w:hAnsi="宋体" w:cs="宋体"/>
          <w:szCs w:val="24"/>
        </w:rPr>
        <w:t>投标货币</w:t>
      </w:r>
    </w:p>
    <w:p>
      <w:pPr>
        <w:pStyle w:val="64"/>
        <w:snapToGrid w:val="0"/>
        <w:spacing w:before="0" w:line="500" w:lineRule="exact"/>
        <w:ind w:firstLine="480"/>
        <w:rPr>
          <w:rFonts w:ascii="宋体" w:hAnsi="宋体" w:cs="宋体"/>
          <w:szCs w:val="24"/>
        </w:rPr>
      </w:pPr>
      <w:r>
        <w:rPr>
          <w:rFonts w:hint="eastAsia" w:ascii="宋体" w:hAnsi="宋体" w:cs="宋体"/>
          <w:szCs w:val="24"/>
        </w:rPr>
        <w:t>投标文件中价格全部采用人民币报价。报价应是唯一的, 采购代理机构将不接受有选择的报价。</w:t>
      </w:r>
    </w:p>
    <w:p>
      <w:pPr>
        <w:pStyle w:val="9"/>
        <w:snapToGrid w:val="0"/>
        <w:ind w:firstLine="480" w:firstLineChars="200"/>
        <w:rPr>
          <w:rFonts w:hAnsi="宋体" w:cs="宋体"/>
          <w:szCs w:val="24"/>
        </w:rPr>
      </w:pPr>
    </w:p>
    <w:p>
      <w:pPr>
        <w:snapToGrid w:val="0"/>
        <w:spacing w:line="360" w:lineRule="auto"/>
        <w:jc w:val="center"/>
        <w:outlineLvl w:val="0"/>
        <w:rPr>
          <w:rFonts w:ascii="宋体" w:hAnsi="宋体" w:cs="宋体"/>
          <w:b/>
          <w:sz w:val="32"/>
        </w:rPr>
      </w:pPr>
      <w:bookmarkStart w:id="36" w:name="_Hlt75236011"/>
      <w:bookmarkEnd w:id="36"/>
      <w:bookmarkStart w:id="37" w:name="_Toc91899884"/>
      <w:bookmarkStart w:id="38" w:name="_Toc26969"/>
      <w:r>
        <w:rPr>
          <w:rFonts w:hint="eastAsia" w:ascii="宋体" w:hAnsi="宋体" w:cs="宋体"/>
          <w:b/>
          <w:sz w:val="32"/>
        </w:rPr>
        <w:t>三、投标文件的编制</w:t>
      </w:r>
      <w:bookmarkEnd w:id="37"/>
      <w:bookmarkEnd w:id="38"/>
    </w:p>
    <w:p>
      <w:pPr>
        <w:pStyle w:val="15"/>
        <w:numPr>
          <w:ilvl w:val="0"/>
          <w:numId w:val="8"/>
        </w:numPr>
        <w:spacing w:line="360" w:lineRule="auto"/>
        <w:ind w:firstLine="482" w:firstLineChars="200"/>
        <w:rPr>
          <w:rFonts w:hAnsi="宋体" w:cs="宋体"/>
          <w:b/>
          <w:sz w:val="24"/>
          <w:szCs w:val="24"/>
        </w:rPr>
      </w:pPr>
      <w:bookmarkStart w:id="39" w:name="_Toc86216991"/>
      <w:bookmarkStart w:id="40" w:name="_Toc91899892"/>
      <w:r>
        <w:rPr>
          <w:rFonts w:hint="eastAsia" w:hAnsi="宋体" w:cs="宋体"/>
          <w:b/>
          <w:sz w:val="24"/>
          <w:szCs w:val="24"/>
        </w:rPr>
        <w:t>投标文件的语言</w:t>
      </w:r>
    </w:p>
    <w:p>
      <w:pPr>
        <w:pStyle w:val="64"/>
        <w:tabs>
          <w:tab w:val="left" w:pos="0"/>
        </w:tabs>
        <w:spacing w:before="0"/>
        <w:ind w:firstLine="480"/>
        <w:rPr>
          <w:rFonts w:ascii="宋体" w:hAnsi="宋体" w:cs="宋体"/>
          <w:szCs w:val="24"/>
          <w:lang w:val="zh-CN"/>
        </w:rPr>
      </w:pPr>
      <w:r>
        <w:rPr>
          <w:rFonts w:hint="eastAsia" w:ascii="宋体" w:hAnsi="宋体" w:cs="宋体"/>
          <w:szCs w:val="24"/>
        </w:rPr>
        <w:t>投标文件及投标人与采购有关的来往通知、函件和文件均应使用中文。</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投标文件的组成</w:t>
      </w:r>
    </w:p>
    <w:p>
      <w:pPr>
        <w:pStyle w:val="64"/>
        <w:tabs>
          <w:tab w:val="left" w:pos="0"/>
        </w:tabs>
        <w:spacing w:before="0"/>
        <w:ind w:firstLine="480"/>
        <w:rPr>
          <w:rFonts w:ascii="宋体" w:hAnsi="宋体" w:cs="宋体"/>
          <w:szCs w:val="24"/>
        </w:rPr>
      </w:pPr>
      <w:r>
        <w:rPr>
          <w:rFonts w:hint="eastAsia" w:ascii="宋体" w:hAnsi="宋体" w:cs="宋体"/>
          <w:szCs w:val="24"/>
        </w:rPr>
        <w:t>投标文件应当包括以下主要内容：资格文件、商务技术文件、报价文件。</w:t>
      </w:r>
    </w:p>
    <w:p>
      <w:pPr>
        <w:pStyle w:val="64"/>
        <w:numPr>
          <w:ilvl w:val="0"/>
          <w:numId w:val="16"/>
        </w:numPr>
        <w:spacing w:before="0"/>
        <w:ind w:firstLine="480"/>
        <w:rPr>
          <w:rFonts w:ascii="宋体" w:hAnsi="宋体" w:cs="宋体"/>
          <w:szCs w:val="24"/>
        </w:rPr>
      </w:pPr>
      <w:r>
        <w:rPr>
          <w:rFonts w:hint="eastAsia" w:ascii="宋体" w:hAnsi="宋体" w:cs="宋体"/>
          <w:szCs w:val="24"/>
        </w:rPr>
        <w:t>资格文件包括以下内容：</w:t>
      </w:r>
    </w:p>
    <w:p>
      <w:pPr>
        <w:pStyle w:val="64"/>
        <w:numPr>
          <w:ilvl w:val="0"/>
          <w:numId w:val="17"/>
        </w:numPr>
        <w:spacing w:before="0"/>
        <w:ind w:firstLine="480"/>
        <w:rPr>
          <w:rFonts w:ascii="宋体" w:hAnsi="宋体" w:cs="宋体"/>
          <w:szCs w:val="24"/>
        </w:rPr>
      </w:pPr>
      <w:r>
        <w:rPr>
          <w:rFonts w:hint="eastAsia" w:ascii="宋体" w:hAnsi="宋体" w:cs="宋体"/>
          <w:szCs w:val="24"/>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64"/>
        <w:numPr>
          <w:ilvl w:val="0"/>
          <w:numId w:val="17"/>
        </w:numPr>
        <w:spacing w:before="0"/>
        <w:ind w:firstLine="480"/>
        <w:rPr>
          <w:rFonts w:ascii="宋体" w:hAnsi="宋体" w:cs="宋体"/>
          <w:szCs w:val="24"/>
        </w:rPr>
      </w:pPr>
      <w:r>
        <w:rPr>
          <w:rFonts w:hint="eastAsia" w:ascii="宋体" w:hAnsi="宋体" w:cs="宋体"/>
          <w:szCs w:val="24"/>
        </w:rPr>
        <w:t>声明书（格式见附件）；</w:t>
      </w:r>
    </w:p>
    <w:p>
      <w:pPr>
        <w:pStyle w:val="64"/>
        <w:numPr>
          <w:ilvl w:val="0"/>
          <w:numId w:val="17"/>
        </w:numPr>
        <w:spacing w:before="0"/>
        <w:ind w:firstLine="480"/>
        <w:rPr>
          <w:rFonts w:ascii="宋体" w:hAnsi="宋体" w:cs="宋体"/>
          <w:szCs w:val="24"/>
        </w:rPr>
      </w:pPr>
      <w:r>
        <w:rPr>
          <w:rFonts w:hint="eastAsia" w:ascii="宋体" w:hAnsi="宋体" w:cs="宋体"/>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64"/>
        <w:spacing w:before="0"/>
        <w:ind w:firstLineChars="0"/>
        <w:rPr>
          <w:rFonts w:ascii="宋体" w:hAnsi="宋体" w:cs="宋体"/>
          <w:szCs w:val="24"/>
        </w:rPr>
      </w:pPr>
      <w:r>
        <w:rPr>
          <w:rFonts w:hint="eastAsia" w:ascii="宋体" w:hAnsi="宋体" w:cs="宋体"/>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64"/>
        <w:numPr>
          <w:ilvl w:val="0"/>
          <w:numId w:val="17"/>
        </w:numPr>
        <w:spacing w:before="0"/>
        <w:ind w:firstLine="480"/>
        <w:rPr>
          <w:rFonts w:ascii="宋体" w:hAnsi="宋体" w:cs="宋体"/>
          <w:szCs w:val="24"/>
        </w:rPr>
      </w:pPr>
      <w:r>
        <w:rPr>
          <w:rFonts w:hint="eastAsia" w:ascii="宋体" w:hAnsi="宋体" w:cs="宋体"/>
          <w:szCs w:val="24"/>
        </w:rPr>
        <w:t>前一年度资产负债表等财务报表资料文件（新成立的公司，必须提供情况说明）；</w:t>
      </w:r>
    </w:p>
    <w:p>
      <w:pPr>
        <w:pStyle w:val="64"/>
        <w:numPr>
          <w:ilvl w:val="0"/>
          <w:numId w:val="17"/>
        </w:numPr>
        <w:spacing w:before="0"/>
        <w:ind w:firstLine="480"/>
        <w:rPr>
          <w:rFonts w:ascii="宋体" w:hAnsi="宋体" w:cs="宋体"/>
          <w:szCs w:val="24"/>
        </w:rPr>
      </w:pPr>
      <w:r>
        <w:rPr>
          <w:rFonts w:hint="eastAsia" w:ascii="宋体" w:hAnsi="宋体" w:cs="宋体"/>
          <w:szCs w:val="24"/>
        </w:rPr>
        <w:t>具有履行合同所必需的设备和专业技术、售后保障等能力的承诺函；</w:t>
      </w:r>
    </w:p>
    <w:p>
      <w:pPr>
        <w:pStyle w:val="64"/>
        <w:numPr>
          <w:ilvl w:val="0"/>
          <w:numId w:val="17"/>
        </w:numPr>
        <w:spacing w:before="0"/>
        <w:ind w:firstLine="480"/>
        <w:rPr>
          <w:rFonts w:ascii="宋体" w:hAnsi="宋体" w:cs="宋体"/>
          <w:szCs w:val="24"/>
        </w:rPr>
      </w:pPr>
      <w:r>
        <w:rPr>
          <w:rFonts w:hint="eastAsia" w:ascii="宋体" w:hAnsi="宋体" w:cs="宋体"/>
          <w:szCs w:val="24"/>
        </w:rPr>
        <w:t>提供有效的依法缴纳税收证明（完税凭证或税务部门出具的证明）和提供有效的依法缴纳社会保障资金证明（缴纳凭证或人社部门出具的证明）；</w:t>
      </w:r>
    </w:p>
    <w:p>
      <w:pPr>
        <w:pStyle w:val="64"/>
        <w:numPr>
          <w:ilvl w:val="0"/>
          <w:numId w:val="17"/>
        </w:numPr>
        <w:spacing w:before="0"/>
        <w:ind w:firstLine="480"/>
        <w:rPr>
          <w:rFonts w:ascii="宋体" w:hAnsi="宋体" w:cs="宋体"/>
          <w:szCs w:val="24"/>
        </w:rPr>
      </w:pPr>
      <w:r>
        <w:rPr>
          <w:rFonts w:hint="eastAsia" w:ascii="宋体" w:hAnsi="宋体" w:cs="宋体"/>
          <w:szCs w:val="24"/>
        </w:rPr>
        <w:t>参加采购活动前三年内，没有重大违法记录、严重失信行为和行贿记录的声明。</w:t>
      </w:r>
    </w:p>
    <w:p>
      <w:pPr>
        <w:pStyle w:val="64"/>
        <w:numPr>
          <w:ilvl w:val="0"/>
          <w:numId w:val="17"/>
        </w:numPr>
        <w:spacing w:before="0"/>
        <w:ind w:firstLine="480"/>
        <w:rPr>
          <w:rFonts w:ascii="宋体" w:hAnsi="宋体" w:cs="宋体"/>
          <w:szCs w:val="24"/>
        </w:rPr>
      </w:pPr>
      <w:r>
        <w:rPr>
          <w:rFonts w:hint="eastAsia" w:ascii="宋体" w:hAnsi="宋体" w:cs="宋体"/>
          <w:szCs w:val="24"/>
        </w:rPr>
        <w:t>投标保证金截图凭证（写明退款单位开户行、开户账号、税号）。</w:t>
      </w:r>
    </w:p>
    <w:p>
      <w:pPr>
        <w:pStyle w:val="64"/>
        <w:numPr>
          <w:ilvl w:val="0"/>
          <w:numId w:val="16"/>
        </w:numPr>
        <w:spacing w:before="0"/>
        <w:ind w:firstLine="480"/>
        <w:rPr>
          <w:rFonts w:ascii="宋体" w:hAnsi="宋体" w:cs="宋体"/>
          <w:szCs w:val="24"/>
        </w:rPr>
      </w:pPr>
      <w:r>
        <w:rPr>
          <w:rFonts w:hint="eastAsia" w:ascii="宋体" w:hAnsi="宋体" w:cs="宋体"/>
          <w:szCs w:val="24"/>
        </w:rPr>
        <w:t>商务技术文件，本次招标需要投标人提供以下项所列的技术文件：</w:t>
      </w:r>
    </w:p>
    <w:p>
      <w:pPr>
        <w:pStyle w:val="64"/>
        <w:numPr>
          <w:ilvl w:val="0"/>
          <w:numId w:val="18"/>
        </w:numPr>
        <w:spacing w:before="0"/>
        <w:ind w:firstLine="480" w:firstLineChars="0"/>
        <w:rPr>
          <w:rFonts w:ascii="宋体"/>
        </w:rPr>
      </w:pPr>
      <w:r>
        <w:rPr>
          <w:rFonts w:hint="eastAsia" w:ascii="宋体" w:hAnsi="宋体" w:cs="宋体"/>
        </w:rPr>
        <w:t>评分对应表（格式见附件，主要用于评委对应评分内容）</w:t>
      </w:r>
    </w:p>
    <w:p>
      <w:pPr>
        <w:pStyle w:val="64"/>
        <w:numPr>
          <w:ilvl w:val="0"/>
          <w:numId w:val="18"/>
        </w:numPr>
        <w:spacing w:before="0"/>
        <w:ind w:firstLine="480" w:firstLineChars="0"/>
        <w:rPr>
          <w:rFonts w:ascii="宋体"/>
        </w:rPr>
      </w:pPr>
      <w:r>
        <w:rPr>
          <w:rFonts w:hint="eastAsia" w:ascii="宋体" w:hAnsi="宋体" w:cs="宋体"/>
        </w:rPr>
        <w:t>供应商商务技术文件中资信分自评表（格式见附件）；</w:t>
      </w:r>
    </w:p>
    <w:p>
      <w:pPr>
        <w:pStyle w:val="64"/>
        <w:numPr>
          <w:ilvl w:val="0"/>
          <w:numId w:val="18"/>
        </w:numPr>
        <w:spacing w:before="0"/>
        <w:ind w:firstLine="480" w:firstLineChars="0"/>
        <w:rPr>
          <w:rFonts w:ascii="宋体"/>
        </w:rPr>
      </w:pPr>
      <w:r>
        <w:rPr>
          <w:rFonts w:hint="eastAsia" w:ascii="宋体" w:hAnsi="宋体" w:cs="宋体"/>
        </w:rPr>
        <w:t>技术响应及建议表（格式见附件）；</w:t>
      </w:r>
    </w:p>
    <w:p>
      <w:pPr>
        <w:pStyle w:val="64"/>
        <w:numPr>
          <w:ilvl w:val="0"/>
          <w:numId w:val="18"/>
        </w:numPr>
        <w:spacing w:before="0"/>
        <w:ind w:firstLine="480" w:firstLineChars="0"/>
        <w:rPr>
          <w:rFonts w:ascii="宋体"/>
        </w:rPr>
      </w:pPr>
      <w:r>
        <w:rPr>
          <w:rFonts w:hint="eastAsia" w:ascii="宋体" w:hAnsi="宋体" w:cs="宋体"/>
        </w:rPr>
        <w:t>商务响应表（格式见附件）；</w:t>
      </w:r>
    </w:p>
    <w:p>
      <w:pPr>
        <w:pStyle w:val="64"/>
        <w:numPr>
          <w:ilvl w:val="0"/>
          <w:numId w:val="18"/>
        </w:numPr>
        <w:spacing w:before="0"/>
        <w:ind w:firstLine="480" w:firstLineChars="0"/>
        <w:rPr>
          <w:rFonts w:ascii="宋体" w:hAnsi="宋体" w:cs="宋体"/>
        </w:rPr>
      </w:pPr>
      <w:r>
        <w:rPr>
          <w:rFonts w:hint="eastAsia" w:ascii="宋体" w:hAnsi="宋体" w:cs="宋体"/>
        </w:rPr>
        <w:t>本项目人员配置情况</w:t>
      </w:r>
    </w:p>
    <w:p>
      <w:pPr>
        <w:pStyle w:val="64"/>
        <w:numPr>
          <w:ilvl w:val="0"/>
          <w:numId w:val="18"/>
        </w:numPr>
        <w:spacing w:before="0"/>
        <w:ind w:firstLine="480" w:firstLineChars="0"/>
        <w:rPr>
          <w:rFonts w:ascii="宋体" w:hAnsi="宋体" w:cs="宋体"/>
        </w:rPr>
      </w:pPr>
      <w:r>
        <w:rPr>
          <w:rFonts w:hint="eastAsia" w:ascii="宋体" w:hAnsi="宋体" w:cs="宋体"/>
        </w:rPr>
        <w:t>船只</w:t>
      </w:r>
      <w:r>
        <w:rPr>
          <w:rFonts w:hint="eastAsia" w:ascii="宋体" w:hAnsi="宋体"/>
          <w:szCs w:val="21"/>
        </w:rPr>
        <w:t>及车辆配置</w:t>
      </w:r>
    </w:p>
    <w:p>
      <w:pPr>
        <w:pStyle w:val="64"/>
        <w:numPr>
          <w:ilvl w:val="0"/>
          <w:numId w:val="18"/>
        </w:numPr>
        <w:spacing w:before="0"/>
        <w:ind w:firstLine="480" w:firstLineChars="0"/>
        <w:rPr>
          <w:rFonts w:ascii="宋体" w:hAnsi="宋体" w:cs="宋体"/>
        </w:rPr>
      </w:pPr>
      <w:r>
        <w:rPr>
          <w:rFonts w:hint="eastAsia" w:ascii="宋体" w:hAnsi="宋体" w:cs="宋体"/>
        </w:rPr>
        <w:t>内部管理制度</w:t>
      </w:r>
    </w:p>
    <w:p>
      <w:pPr>
        <w:pStyle w:val="64"/>
        <w:numPr>
          <w:ilvl w:val="0"/>
          <w:numId w:val="18"/>
        </w:numPr>
        <w:spacing w:before="0"/>
        <w:ind w:firstLine="480" w:firstLineChars="0"/>
        <w:rPr>
          <w:rFonts w:ascii="宋体" w:hAnsi="宋体" w:cs="宋体"/>
        </w:rPr>
      </w:pPr>
      <w:r>
        <w:rPr>
          <w:rFonts w:hint="eastAsia" w:ascii="宋体" w:hAnsi="宋体" w:cs="宋体"/>
        </w:rPr>
        <w:t>河道保洁方案</w:t>
      </w:r>
    </w:p>
    <w:p>
      <w:pPr>
        <w:pStyle w:val="64"/>
        <w:numPr>
          <w:ilvl w:val="0"/>
          <w:numId w:val="18"/>
        </w:numPr>
        <w:spacing w:before="0"/>
        <w:ind w:firstLine="480" w:firstLineChars="0"/>
        <w:rPr>
          <w:rFonts w:ascii="宋体" w:hAnsi="宋体" w:cs="宋体"/>
        </w:rPr>
      </w:pPr>
      <w:r>
        <w:rPr>
          <w:rFonts w:hint="eastAsia" w:ascii="宋体" w:hAnsi="宋体" w:cs="宋体"/>
        </w:rPr>
        <w:t>特殊时期应急保障方案</w:t>
      </w:r>
    </w:p>
    <w:p>
      <w:pPr>
        <w:pStyle w:val="64"/>
        <w:numPr>
          <w:ilvl w:val="0"/>
          <w:numId w:val="18"/>
        </w:numPr>
        <w:spacing w:before="0"/>
        <w:ind w:firstLine="480" w:firstLineChars="0"/>
        <w:rPr>
          <w:rFonts w:ascii="宋体" w:hAnsi="宋体" w:cs="宋体"/>
        </w:rPr>
      </w:pPr>
      <w:r>
        <w:rPr>
          <w:rFonts w:hint="eastAsia" w:ascii="宋体" w:hAnsi="宋体" w:cs="宋体"/>
        </w:rPr>
        <w:t>安全措施及安全教育方案</w:t>
      </w:r>
    </w:p>
    <w:p>
      <w:pPr>
        <w:pStyle w:val="64"/>
        <w:numPr>
          <w:ilvl w:val="0"/>
          <w:numId w:val="18"/>
        </w:numPr>
        <w:spacing w:before="0"/>
        <w:ind w:firstLine="480" w:firstLineChars="0"/>
        <w:rPr>
          <w:rFonts w:ascii="宋体" w:hAnsi="宋体" w:cs="宋体"/>
        </w:rPr>
      </w:pPr>
      <w:r>
        <w:rPr>
          <w:rFonts w:hint="eastAsia" w:ascii="宋体" w:hAnsi="宋体" w:cs="宋体"/>
        </w:rPr>
        <w:t>企业业绩</w:t>
      </w:r>
    </w:p>
    <w:p>
      <w:pPr>
        <w:pStyle w:val="64"/>
        <w:numPr>
          <w:ilvl w:val="0"/>
          <w:numId w:val="18"/>
        </w:numPr>
        <w:spacing w:before="0"/>
        <w:ind w:firstLine="480" w:firstLineChars="0"/>
        <w:rPr>
          <w:rFonts w:ascii="宋体" w:hAnsi="宋体" w:cs="宋体"/>
        </w:rPr>
      </w:pPr>
      <w:r>
        <w:rPr>
          <w:rFonts w:hint="eastAsia" w:ascii="宋体" w:hAnsi="宋体" w:cs="宋体"/>
        </w:rPr>
        <w:t>项目负责人业绩</w:t>
      </w:r>
    </w:p>
    <w:p>
      <w:pPr>
        <w:pStyle w:val="64"/>
        <w:numPr>
          <w:ilvl w:val="0"/>
          <w:numId w:val="18"/>
        </w:numPr>
        <w:spacing w:before="0"/>
        <w:ind w:firstLine="480" w:firstLineChars="0"/>
        <w:rPr>
          <w:rFonts w:ascii="宋体" w:hAnsi="宋体" w:cs="宋体"/>
        </w:rPr>
      </w:pPr>
      <w:r>
        <w:rPr>
          <w:rFonts w:hint="eastAsia" w:ascii="宋体" w:hAnsi="宋体" w:cs="宋体"/>
        </w:rPr>
        <w:t>认证</w:t>
      </w:r>
    </w:p>
    <w:p>
      <w:pPr>
        <w:pStyle w:val="64"/>
        <w:numPr>
          <w:ilvl w:val="0"/>
          <w:numId w:val="18"/>
        </w:numPr>
        <w:spacing w:before="0"/>
        <w:ind w:firstLine="480" w:firstLineChars="0"/>
        <w:rPr>
          <w:rFonts w:ascii="宋体" w:hAnsi="宋体" w:cs="宋体"/>
        </w:rPr>
      </w:pPr>
      <w:r>
        <w:rPr>
          <w:rFonts w:hint="eastAsia" w:ascii="宋体" w:hAnsi="宋体" w:cs="宋体"/>
        </w:rPr>
        <w:t>内河船员情况</w:t>
      </w:r>
    </w:p>
    <w:p>
      <w:pPr>
        <w:pStyle w:val="64"/>
        <w:numPr>
          <w:ilvl w:val="0"/>
          <w:numId w:val="18"/>
        </w:numPr>
        <w:spacing w:before="0"/>
        <w:ind w:firstLine="480" w:firstLineChars="0"/>
        <w:rPr>
          <w:rFonts w:ascii="宋体" w:hAnsi="宋体" w:cs="宋体"/>
        </w:rPr>
      </w:pPr>
      <w:r>
        <w:rPr>
          <w:rFonts w:hint="eastAsia" w:ascii="宋体" w:hAnsi="宋体" w:cs="宋体"/>
        </w:rPr>
        <w:t>企业荣誉</w:t>
      </w:r>
    </w:p>
    <w:p>
      <w:pPr>
        <w:pStyle w:val="64"/>
        <w:numPr>
          <w:ilvl w:val="0"/>
          <w:numId w:val="18"/>
        </w:numPr>
        <w:spacing w:before="0"/>
        <w:ind w:firstLine="480" w:firstLineChars="0"/>
        <w:rPr>
          <w:rFonts w:ascii="宋体"/>
        </w:rPr>
      </w:pPr>
      <w:r>
        <w:rPr>
          <w:rFonts w:hint="eastAsia" w:ascii="宋体" w:hAnsi="宋体" w:cs="宋体"/>
        </w:rPr>
        <w:t>供应商认为需要的其他文件资料。</w:t>
      </w:r>
    </w:p>
    <w:p>
      <w:pPr>
        <w:pStyle w:val="64"/>
        <w:tabs>
          <w:tab w:val="left" w:pos="0"/>
        </w:tabs>
        <w:spacing w:before="0"/>
        <w:ind w:firstLine="480"/>
        <w:rPr>
          <w:rFonts w:ascii="宋体" w:hAnsi="宋体" w:cs="宋体"/>
          <w:szCs w:val="24"/>
        </w:rPr>
      </w:pPr>
      <w:r>
        <w:rPr>
          <w:rFonts w:hint="eastAsia" w:ascii="宋体" w:hAnsi="宋体" w:cs="宋体"/>
          <w:szCs w:val="24"/>
        </w:rPr>
        <w:t>注：以上内容应与评标办法中内容具有一致性。</w:t>
      </w:r>
    </w:p>
    <w:p>
      <w:pPr>
        <w:pStyle w:val="64"/>
        <w:tabs>
          <w:tab w:val="left" w:pos="0"/>
        </w:tabs>
        <w:spacing w:before="0"/>
        <w:ind w:firstLine="480"/>
        <w:rPr>
          <w:rFonts w:ascii="宋体" w:hAnsi="宋体" w:cs="宋体"/>
          <w:szCs w:val="24"/>
        </w:rPr>
      </w:pPr>
      <w:r>
        <w:rPr>
          <w:rFonts w:hint="eastAsia" w:ascii="宋体" w:hAnsi="宋体" w:cs="宋体"/>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64"/>
        <w:numPr>
          <w:ilvl w:val="0"/>
          <w:numId w:val="16"/>
        </w:numPr>
        <w:spacing w:before="0"/>
        <w:ind w:firstLine="480"/>
        <w:rPr>
          <w:rFonts w:ascii="宋体" w:hAnsi="宋体" w:cs="宋体"/>
          <w:szCs w:val="24"/>
        </w:rPr>
      </w:pPr>
      <w:r>
        <w:rPr>
          <w:rFonts w:hint="eastAsia" w:ascii="宋体" w:hAnsi="宋体" w:cs="宋体"/>
          <w:szCs w:val="24"/>
        </w:rPr>
        <w:t>报价文件包括以下内容：</w:t>
      </w:r>
    </w:p>
    <w:p>
      <w:pPr>
        <w:pStyle w:val="64"/>
        <w:numPr>
          <w:ilvl w:val="0"/>
          <w:numId w:val="19"/>
        </w:numPr>
        <w:spacing w:before="0"/>
        <w:ind w:firstLine="480"/>
        <w:rPr>
          <w:rFonts w:ascii="宋体" w:hAnsi="宋体" w:cs="宋体"/>
          <w:szCs w:val="24"/>
        </w:rPr>
      </w:pPr>
      <w:r>
        <w:rPr>
          <w:rFonts w:hint="eastAsia" w:ascii="宋体" w:hAnsi="宋体" w:cs="宋体"/>
          <w:szCs w:val="24"/>
        </w:rPr>
        <w:t>投标函（格式见附件）；</w:t>
      </w:r>
    </w:p>
    <w:p>
      <w:pPr>
        <w:pStyle w:val="64"/>
        <w:numPr>
          <w:ilvl w:val="0"/>
          <w:numId w:val="19"/>
        </w:numPr>
        <w:spacing w:before="0"/>
        <w:ind w:firstLine="480"/>
        <w:rPr>
          <w:rFonts w:ascii="宋体" w:hAnsi="宋体" w:cs="宋体"/>
          <w:szCs w:val="24"/>
        </w:rPr>
      </w:pPr>
      <w:r>
        <w:rPr>
          <w:rFonts w:hint="eastAsia" w:ascii="宋体" w:hAnsi="宋体" w:cs="宋体"/>
          <w:szCs w:val="24"/>
        </w:rPr>
        <w:t>开标一览表（格式见附件）；</w:t>
      </w:r>
    </w:p>
    <w:p>
      <w:pPr>
        <w:pStyle w:val="64"/>
        <w:numPr>
          <w:ilvl w:val="0"/>
          <w:numId w:val="19"/>
        </w:numPr>
        <w:spacing w:before="0"/>
        <w:ind w:firstLine="480"/>
        <w:rPr>
          <w:rFonts w:ascii="宋体" w:hAnsi="宋体" w:cs="宋体"/>
          <w:szCs w:val="24"/>
        </w:rPr>
      </w:pPr>
      <w:r>
        <w:rPr>
          <w:rFonts w:hint="eastAsia" w:ascii="宋体" w:hAnsi="宋体" w:cs="宋体"/>
          <w:szCs w:val="24"/>
        </w:rPr>
        <w:t>投标报价明细表（格式见附件）</w:t>
      </w:r>
      <w:r>
        <w:rPr>
          <w:rFonts w:hint="eastAsia" w:ascii="宋体" w:hAnsi="宋体" w:cs="宋体"/>
          <w:szCs w:val="24"/>
          <w:lang w:eastAsia="zh-CN"/>
        </w:rPr>
        <w:t>；</w:t>
      </w:r>
    </w:p>
    <w:p>
      <w:pPr>
        <w:pStyle w:val="64"/>
        <w:numPr>
          <w:ilvl w:val="0"/>
          <w:numId w:val="19"/>
        </w:numPr>
        <w:spacing w:before="0"/>
        <w:ind w:firstLine="480"/>
        <w:rPr>
          <w:rFonts w:ascii="宋体" w:hAnsi="宋体" w:cs="宋体"/>
          <w:color w:val="FF0000"/>
          <w:szCs w:val="24"/>
          <w:highlight w:val="none"/>
        </w:rPr>
      </w:pPr>
      <w:r>
        <w:rPr>
          <w:rFonts w:hint="eastAsia" w:ascii="宋体" w:hAnsi="宋体" w:eastAsia="宋体" w:cs="宋体"/>
          <w:color w:val="FF0000"/>
          <w:sz w:val="24"/>
          <w:highlight w:val="none"/>
        </w:rPr>
        <w:t>每人工资标准投标报价明细表</w:t>
      </w:r>
      <w:r>
        <w:rPr>
          <w:rFonts w:hint="eastAsia" w:ascii="宋体" w:hAnsi="宋体" w:cs="宋体"/>
          <w:color w:val="FF0000"/>
          <w:sz w:val="24"/>
          <w:highlight w:val="none"/>
        </w:rPr>
        <w:t>（格式见附件）</w:t>
      </w:r>
      <w:r>
        <w:rPr>
          <w:rFonts w:hint="eastAsia" w:ascii="宋体" w:hAnsi="宋体" w:cs="宋体"/>
          <w:color w:val="FF0000"/>
          <w:szCs w:val="24"/>
          <w:highlight w:val="none"/>
        </w:rPr>
        <w:t>。</w:t>
      </w:r>
    </w:p>
    <w:p>
      <w:pPr>
        <w:pStyle w:val="15"/>
        <w:numPr>
          <w:ilvl w:val="0"/>
          <w:numId w:val="8"/>
        </w:numPr>
        <w:spacing w:line="360" w:lineRule="auto"/>
        <w:ind w:firstLine="482" w:firstLineChars="200"/>
        <w:rPr>
          <w:rFonts w:hAnsi="宋体" w:cs="宋体"/>
          <w:b/>
          <w:sz w:val="24"/>
          <w:szCs w:val="24"/>
        </w:rPr>
      </w:pPr>
      <w:bookmarkStart w:id="41" w:name="_Toc91899887"/>
      <w:r>
        <w:rPr>
          <w:rFonts w:hint="eastAsia" w:hAnsi="宋体" w:cs="宋体"/>
          <w:b/>
          <w:sz w:val="24"/>
          <w:szCs w:val="24"/>
        </w:rPr>
        <w:t>投标有效期</w:t>
      </w:r>
    </w:p>
    <w:p>
      <w:pPr>
        <w:pStyle w:val="64"/>
        <w:numPr>
          <w:ilvl w:val="0"/>
          <w:numId w:val="20"/>
        </w:numPr>
        <w:spacing w:before="0"/>
        <w:ind w:firstLine="480"/>
        <w:rPr>
          <w:rFonts w:ascii="宋体" w:hAnsi="宋体" w:cs="宋体"/>
          <w:szCs w:val="24"/>
        </w:rPr>
      </w:pPr>
      <w:r>
        <w:rPr>
          <w:rFonts w:hint="eastAsia" w:ascii="宋体" w:hAnsi="宋体" w:cs="宋体"/>
        </w:rPr>
        <w:t>投标文件未在投标截止时间前完成传输的或者未按时解密的，视为放弃投标；投标文件解密失败后未提供备份文件或者备份文件也出现异常情况无法进行评审的，亦视为放弃投标。</w:t>
      </w:r>
    </w:p>
    <w:p>
      <w:pPr>
        <w:pStyle w:val="64"/>
        <w:numPr>
          <w:ilvl w:val="0"/>
          <w:numId w:val="20"/>
        </w:numPr>
        <w:spacing w:before="0"/>
        <w:ind w:firstLine="480"/>
        <w:rPr>
          <w:rFonts w:ascii="宋体" w:hAnsi="宋体" w:cs="宋体"/>
          <w:szCs w:val="24"/>
        </w:rPr>
      </w:pPr>
      <w:r>
        <w:rPr>
          <w:rFonts w:hint="eastAsia" w:ascii="宋体" w:hAnsi="宋体" w:cs="宋体"/>
          <w:szCs w:val="24"/>
        </w:rPr>
        <w:t>投标文件上传后，自投标截止日期起，在前附表所列的投标有效期内有效。</w:t>
      </w:r>
    </w:p>
    <w:p>
      <w:pPr>
        <w:pStyle w:val="64"/>
        <w:numPr>
          <w:ilvl w:val="0"/>
          <w:numId w:val="20"/>
        </w:numPr>
        <w:spacing w:before="0"/>
        <w:ind w:firstLine="480"/>
        <w:rPr>
          <w:rFonts w:ascii="宋体" w:hAnsi="宋体" w:cs="宋体"/>
          <w:szCs w:val="24"/>
        </w:rPr>
      </w:pPr>
      <w:r>
        <w:rPr>
          <w:rFonts w:hint="eastAsia" w:ascii="宋体" w:hAnsi="宋体" w:cs="宋体"/>
          <w:szCs w:val="24"/>
        </w:rPr>
        <w:t>在原定投标有效期满之前，如果出现特殊情况，采购代理机构可以以书面形式通知投标人延长投标有效期。</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投标保证金：</w:t>
      </w:r>
    </w:p>
    <w:p>
      <w:pPr>
        <w:autoSpaceDE w:val="0"/>
        <w:autoSpaceDN w:val="0"/>
        <w:spacing w:line="360" w:lineRule="auto"/>
        <w:ind w:firstLine="480" w:firstLineChars="200"/>
        <w:textAlignment w:val="bottom"/>
        <w:rPr>
          <w:rFonts w:ascii="宋体" w:hAnsi="宋体" w:cs="宋体"/>
          <w:b/>
          <w:sz w:val="24"/>
        </w:rPr>
      </w:pPr>
      <w:r>
        <w:rPr>
          <w:rFonts w:hint="eastAsia" w:ascii="宋体" w:hAnsi="宋体" w:cs="宋体"/>
          <w:sz w:val="24"/>
        </w:rPr>
        <w:t>11.1　</w:t>
      </w:r>
      <w:r>
        <w:rPr>
          <w:rFonts w:hint="eastAsia" w:ascii="宋体" w:hAnsi="宋体" w:cs="宋体"/>
          <w:b/>
          <w:sz w:val="24"/>
        </w:rPr>
        <w:t>投标人的投标保证金要求具体详见投标须知前附表第十三条，</w:t>
      </w:r>
      <w:r>
        <w:rPr>
          <w:rFonts w:hint="eastAsia" w:ascii="宋体" w:hAnsi="宋体" w:cs="宋体"/>
          <w:sz w:val="24"/>
        </w:rPr>
        <w:t>否则采购人将不接受投标文件。</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11.2　未中标人的投标保证金退还。</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　发生下列情况之一，投标人的投标保证金将不予返还并将投标人列入不良行为记录。</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11.3.1　投标人在投标有效期内撤回投标的；</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11.3.2　中标人或中标候选人放弃中标或中标候选人资格的；</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11.3.3　擅自修改或拒绝接受已经确认的条款；</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11.3.4　中</w:t>
      </w:r>
      <w:r>
        <w:rPr>
          <w:rFonts w:hint="eastAsia" w:ascii="宋体" w:hAnsi="宋体" w:cs="宋体"/>
          <w:spacing w:val="-6"/>
          <w:sz w:val="24"/>
        </w:rPr>
        <w:t>标人未按规定与采购人签订合同；</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11.3.5　未按规定提供履约保证金；</w:t>
      </w:r>
    </w:p>
    <w:p>
      <w:pPr>
        <w:autoSpaceDE w:val="0"/>
        <w:autoSpaceDN w:val="0"/>
        <w:spacing w:line="360" w:lineRule="auto"/>
        <w:ind w:firstLine="480" w:firstLineChars="200"/>
        <w:textAlignment w:val="bottom"/>
        <w:rPr>
          <w:rFonts w:ascii="宋体" w:hAnsi="宋体" w:cs="宋体"/>
          <w:sz w:val="24"/>
          <w:szCs w:val="21"/>
        </w:rPr>
      </w:pPr>
      <w:r>
        <w:rPr>
          <w:rFonts w:hint="eastAsia" w:ascii="宋体" w:hAnsi="宋体" w:cs="宋体"/>
          <w:sz w:val="24"/>
          <w:szCs w:val="21"/>
        </w:rPr>
        <w:t>11.3.6　投标人采取提供虚假资料等不正当手段的；</w:t>
      </w:r>
    </w:p>
    <w:p>
      <w:pPr>
        <w:autoSpaceDE w:val="0"/>
        <w:autoSpaceDN w:val="0"/>
        <w:spacing w:line="360" w:lineRule="auto"/>
        <w:ind w:firstLine="480" w:firstLineChars="200"/>
        <w:textAlignment w:val="bottom"/>
        <w:rPr>
          <w:rFonts w:ascii="宋体" w:hAnsi="宋体" w:cs="宋体"/>
        </w:rPr>
      </w:pPr>
      <w:r>
        <w:rPr>
          <w:rFonts w:hint="eastAsia" w:ascii="宋体" w:hAnsi="宋体" w:cs="宋体"/>
          <w:sz w:val="24"/>
          <w:szCs w:val="21"/>
        </w:rPr>
        <w:t>11.3.7  投标人在投标过程中串通投标的。</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投标文件的编制和签署</w:t>
      </w:r>
    </w:p>
    <w:bookmarkEnd w:id="41"/>
    <w:p>
      <w:pPr>
        <w:pStyle w:val="64"/>
        <w:numPr>
          <w:ilvl w:val="0"/>
          <w:numId w:val="21"/>
        </w:numPr>
        <w:spacing w:before="0"/>
        <w:ind w:firstLine="480"/>
        <w:rPr>
          <w:rFonts w:ascii="宋体" w:hAnsi="宋体" w:cs="宋体"/>
          <w:szCs w:val="24"/>
        </w:rPr>
      </w:pPr>
      <w:r>
        <w:rPr>
          <w:rFonts w:hint="eastAsia" w:ascii="宋体" w:hAnsi="宋体" w:cs="宋体"/>
        </w:rPr>
        <w:t>按招标文件9.1条、9.2条、9.3条要求提供的各种文件，投标文件分为资格文件、商务技术文件和报价文件三部分。</w:t>
      </w:r>
    </w:p>
    <w:p>
      <w:pPr>
        <w:pStyle w:val="64"/>
        <w:numPr>
          <w:ilvl w:val="0"/>
          <w:numId w:val="21"/>
        </w:numPr>
        <w:spacing w:before="0"/>
        <w:ind w:firstLine="480"/>
        <w:rPr>
          <w:rFonts w:ascii="宋体" w:hAnsi="宋体" w:cs="宋体"/>
          <w:szCs w:val="24"/>
        </w:rPr>
      </w:pPr>
      <w:r>
        <w:rPr>
          <w:rFonts w:hint="eastAsia" w:ascii="宋体" w:hAnsi="宋体" w:cs="宋体"/>
          <w:szCs w:val="24"/>
        </w:rPr>
        <w:t>投标文件须按附件格式要求进行电子签章，投标人应写全称。（电子投标文件中所须加盖公章部分均应采用电子签章）</w:t>
      </w:r>
    </w:p>
    <w:p>
      <w:pPr>
        <w:pStyle w:val="64"/>
        <w:numPr>
          <w:ilvl w:val="0"/>
          <w:numId w:val="21"/>
        </w:numPr>
        <w:spacing w:before="0"/>
        <w:ind w:firstLine="480"/>
        <w:rPr>
          <w:rFonts w:ascii="宋体" w:hAnsi="宋体" w:cs="宋体"/>
          <w:szCs w:val="24"/>
        </w:rPr>
      </w:pPr>
      <w:r>
        <w:rPr>
          <w:rFonts w:hint="eastAsia" w:ascii="宋体" w:hAnsi="宋体" w:cs="宋体"/>
          <w:szCs w:val="24"/>
        </w:rPr>
        <w:t>全套投标文件应无涂改和行间插字，除非这些删改是根据采购代理机构要求进行，或者是投标人造成的必须修改的错误。所修改处应由法定代表人或其授权代表签字盖章予以确认。</w:t>
      </w:r>
    </w:p>
    <w:p>
      <w:pPr>
        <w:pStyle w:val="64"/>
        <w:numPr>
          <w:ilvl w:val="0"/>
          <w:numId w:val="21"/>
        </w:numPr>
        <w:spacing w:before="0"/>
        <w:ind w:firstLine="480"/>
        <w:rPr>
          <w:rFonts w:ascii="宋体" w:hAnsi="宋体" w:cs="宋体"/>
          <w:szCs w:val="24"/>
        </w:rPr>
      </w:pPr>
      <w:r>
        <w:rPr>
          <w:rFonts w:hint="eastAsia" w:ascii="宋体" w:hAnsi="宋体" w:cs="宋体"/>
          <w:szCs w:val="24"/>
        </w:rPr>
        <w:t>由于字迹模糊或表达不清引起的后果由投标人负责。</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 xml:space="preserve"> 投标文件的形式</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szCs w:val="21"/>
        </w:rPr>
        <w:t>投标文件为电子投标文件，电子投标文件按“政采云供应商项目采购-电子招投标操作指南”及本招标文件要求制作、加密传输。</w:t>
      </w:r>
    </w:p>
    <w:p>
      <w:pPr>
        <w:spacing w:line="360" w:lineRule="auto"/>
        <w:jc w:val="center"/>
        <w:rPr>
          <w:rFonts w:ascii="宋体" w:hAnsi="宋体" w:cs="宋体"/>
          <w:b/>
          <w:sz w:val="24"/>
        </w:rPr>
      </w:pPr>
    </w:p>
    <w:p>
      <w:pPr>
        <w:snapToGrid w:val="0"/>
        <w:spacing w:line="360" w:lineRule="auto"/>
        <w:jc w:val="center"/>
        <w:outlineLvl w:val="0"/>
        <w:rPr>
          <w:rFonts w:ascii="宋体" w:hAnsi="宋体" w:cs="宋体"/>
          <w:b/>
          <w:sz w:val="32"/>
        </w:rPr>
      </w:pPr>
      <w:bookmarkStart w:id="42" w:name="_Toc22425"/>
      <w:r>
        <w:rPr>
          <w:rFonts w:hint="eastAsia" w:ascii="宋体" w:hAnsi="宋体" w:cs="宋体"/>
          <w:b/>
          <w:sz w:val="32"/>
        </w:rPr>
        <w:t>四、投标文件的递交</w:t>
      </w:r>
      <w:bookmarkEnd w:id="39"/>
      <w:bookmarkEnd w:id="42"/>
    </w:p>
    <w:bookmarkEnd w:id="40"/>
    <w:p>
      <w:pPr>
        <w:pStyle w:val="15"/>
        <w:numPr>
          <w:ilvl w:val="0"/>
          <w:numId w:val="8"/>
        </w:numPr>
        <w:spacing w:line="360" w:lineRule="auto"/>
        <w:ind w:firstLine="482" w:firstLineChars="200"/>
        <w:rPr>
          <w:rFonts w:hAnsi="宋体" w:cs="宋体"/>
          <w:b/>
          <w:sz w:val="24"/>
          <w:szCs w:val="24"/>
        </w:rPr>
      </w:pPr>
      <w:bookmarkStart w:id="43" w:name="_Toc164416483"/>
      <w:bookmarkStart w:id="44" w:name="第三部分"/>
      <w:r>
        <w:rPr>
          <w:rFonts w:hint="eastAsia" w:hAnsi="宋体" w:cs="宋体"/>
          <w:b/>
          <w:sz w:val="24"/>
          <w:szCs w:val="24"/>
        </w:rPr>
        <w:t>投标截止期</w:t>
      </w:r>
    </w:p>
    <w:p>
      <w:pPr>
        <w:pStyle w:val="64"/>
        <w:numPr>
          <w:ilvl w:val="0"/>
          <w:numId w:val="22"/>
        </w:numPr>
        <w:spacing w:before="0"/>
        <w:ind w:firstLine="480"/>
        <w:rPr>
          <w:rFonts w:ascii="宋体" w:hAnsi="宋体" w:cs="宋体"/>
          <w:szCs w:val="24"/>
        </w:rPr>
      </w:pPr>
      <w:r>
        <w:rPr>
          <w:rFonts w:hint="eastAsia" w:ascii="宋体" w:hAnsi="宋体" w:cs="宋体"/>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64"/>
        <w:numPr>
          <w:ilvl w:val="0"/>
          <w:numId w:val="22"/>
        </w:numPr>
        <w:spacing w:before="0"/>
        <w:ind w:firstLine="480"/>
        <w:rPr>
          <w:rFonts w:ascii="宋体" w:hAnsi="宋体" w:cs="宋体"/>
        </w:rPr>
      </w:pPr>
      <w:r>
        <w:rPr>
          <w:rFonts w:hint="eastAsia" w:ascii="宋体" w:hAnsi="宋体" w:cs="宋体"/>
        </w:rPr>
        <w:t>采购人因故推迟投标截止时间，将以公告形式通知。在这种情况下，采购人和投标人的权利和义务将受到新的截止时间的约束。</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投标文件的修改、撤销</w:t>
      </w:r>
    </w:p>
    <w:p>
      <w:pPr>
        <w:pStyle w:val="15"/>
        <w:spacing w:line="360" w:lineRule="auto"/>
        <w:ind w:firstLine="480" w:firstLineChars="200"/>
        <w:rPr>
          <w:rFonts w:hAnsi="宋体" w:cs="宋体"/>
          <w:sz w:val="24"/>
        </w:rPr>
      </w:pPr>
      <w:r>
        <w:rPr>
          <w:rFonts w:hint="eastAsia" w:hAnsi="宋体" w:cs="宋体"/>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napToGrid w:val="0"/>
        <w:spacing w:line="360" w:lineRule="auto"/>
        <w:jc w:val="center"/>
        <w:outlineLvl w:val="0"/>
        <w:rPr>
          <w:rFonts w:ascii="宋体" w:hAnsi="宋体" w:cs="宋体"/>
          <w:b/>
          <w:sz w:val="24"/>
        </w:rPr>
      </w:pPr>
      <w:bookmarkStart w:id="45" w:name="_Toc32589"/>
      <w:bookmarkStart w:id="46" w:name="_Toc91899897"/>
    </w:p>
    <w:p>
      <w:pPr>
        <w:snapToGrid w:val="0"/>
        <w:spacing w:line="360" w:lineRule="auto"/>
        <w:jc w:val="center"/>
        <w:outlineLvl w:val="0"/>
        <w:rPr>
          <w:rFonts w:ascii="宋体" w:hAnsi="宋体" w:cs="宋体"/>
          <w:b/>
          <w:sz w:val="32"/>
        </w:rPr>
      </w:pPr>
      <w:r>
        <w:rPr>
          <w:rFonts w:hint="eastAsia" w:ascii="宋体" w:hAnsi="宋体" w:cs="宋体"/>
          <w:b/>
          <w:sz w:val="32"/>
        </w:rPr>
        <w:t>五、开标</w:t>
      </w:r>
      <w:bookmarkEnd w:id="45"/>
      <w:bookmarkEnd w:id="46"/>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开标</w:t>
      </w:r>
    </w:p>
    <w:p>
      <w:pPr>
        <w:pStyle w:val="15"/>
        <w:numPr>
          <w:ilvl w:val="0"/>
          <w:numId w:val="23"/>
        </w:numPr>
        <w:spacing w:line="360" w:lineRule="auto"/>
        <w:ind w:firstLine="480" w:firstLineChars="200"/>
        <w:rPr>
          <w:rFonts w:hAnsi="宋体" w:cs="宋体"/>
          <w:sz w:val="24"/>
        </w:rPr>
      </w:pPr>
      <w:r>
        <w:rPr>
          <w:rFonts w:hint="eastAsia" w:hAnsi="宋体" w:cs="宋体"/>
          <w:sz w:val="24"/>
        </w:rPr>
        <w:t>在投标截止时间前按规定提交投标文件的投标人在三家（含）以上的，由采购人或采购代理机构组织进行开标。</w:t>
      </w:r>
    </w:p>
    <w:p>
      <w:pPr>
        <w:pStyle w:val="15"/>
        <w:numPr>
          <w:ilvl w:val="0"/>
          <w:numId w:val="23"/>
        </w:numPr>
        <w:spacing w:line="360" w:lineRule="auto"/>
        <w:ind w:firstLine="482" w:firstLineChars="200"/>
        <w:rPr>
          <w:rFonts w:hAnsi="宋体" w:cs="宋体"/>
          <w:sz w:val="24"/>
          <w:szCs w:val="24"/>
        </w:rPr>
      </w:pPr>
      <w:r>
        <w:rPr>
          <w:rFonts w:hint="eastAsia" w:hAnsi="宋体" w:cs="宋体"/>
          <w:b/>
          <w:bCs/>
          <w:sz w:val="24"/>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sz w:val="24"/>
          <w:szCs w:val="24"/>
        </w:rPr>
        <w:t>备份文件（后缀名为.bfbs）须存储在U盘中，与上传的电子投标文件一致，用信封进行密封并盖章，由授权代表在投标截止时间前递交至开标地点。</w:t>
      </w:r>
    </w:p>
    <w:p>
      <w:pPr>
        <w:pStyle w:val="15"/>
        <w:numPr>
          <w:ilvl w:val="0"/>
          <w:numId w:val="23"/>
        </w:numPr>
        <w:spacing w:line="360" w:lineRule="auto"/>
        <w:ind w:firstLine="480" w:firstLineChars="200"/>
        <w:rPr>
          <w:rFonts w:hAnsi="宋体" w:cs="宋体"/>
          <w:sz w:val="24"/>
        </w:rPr>
      </w:pPr>
      <w:r>
        <w:rPr>
          <w:rFonts w:hint="eastAsia" w:hAnsi="宋体" w:cs="宋体"/>
          <w:sz w:val="24"/>
        </w:rPr>
        <w:t>采购人按招标文件规定的时间、地点公开开标。开标仪式由采购人或采购代理机构主持及有关人员参加。</w:t>
      </w:r>
    </w:p>
    <w:p>
      <w:pPr>
        <w:pStyle w:val="64"/>
        <w:numPr>
          <w:ilvl w:val="0"/>
          <w:numId w:val="23"/>
        </w:numPr>
        <w:spacing w:before="0"/>
        <w:ind w:firstLine="480"/>
        <w:rPr>
          <w:rFonts w:ascii="宋体" w:hAnsi="宋体" w:cs="宋体"/>
          <w:szCs w:val="24"/>
        </w:rPr>
      </w:pPr>
      <w:r>
        <w:rPr>
          <w:rFonts w:hint="eastAsia" w:ascii="宋体" w:hAnsi="宋体" w:cs="宋体"/>
          <w:szCs w:val="24"/>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64"/>
        <w:numPr>
          <w:ilvl w:val="0"/>
          <w:numId w:val="23"/>
        </w:numPr>
        <w:spacing w:before="0"/>
        <w:ind w:firstLine="480"/>
        <w:rPr>
          <w:rFonts w:ascii="宋体" w:hAnsi="宋体" w:cs="宋体"/>
          <w:szCs w:val="24"/>
        </w:rPr>
      </w:pPr>
      <w:r>
        <w:rPr>
          <w:rFonts w:hint="eastAsia" w:ascii="宋体" w:hAnsi="宋体" w:cs="宋体"/>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jc w:val="center"/>
        <w:rPr>
          <w:rFonts w:ascii="宋体" w:hAnsi="宋体" w:cs="宋体"/>
          <w:b/>
          <w:sz w:val="24"/>
        </w:rPr>
      </w:pPr>
    </w:p>
    <w:p>
      <w:pPr>
        <w:snapToGrid w:val="0"/>
        <w:spacing w:line="360" w:lineRule="auto"/>
        <w:jc w:val="center"/>
        <w:outlineLvl w:val="0"/>
        <w:rPr>
          <w:rFonts w:ascii="宋体" w:hAnsi="宋体" w:cs="宋体"/>
          <w:b/>
          <w:sz w:val="32"/>
        </w:rPr>
      </w:pPr>
      <w:bookmarkStart w:id="47" w:name="_Toc4872"/>
      <w:r>
        <w:rPr>
          <w:rFonts w:hint="eastAsia" w:ascii="宋体" w:hAnsi="宋体" w:cs="宋体"/>
          <w:b/>
          <w:sz w:val="32"/>
        </w:rPr>
        <w:t>六、资格审查</w:t>
      </w:r>
      <w:bookmarkEnd w:id="47"/>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资格审查</w:t>
      </w:r>
    </w:p>
    <w:p>
      <w:pPr>
        <w:pStyle w:val="64"/>
        <w:numPr>
          <w:ilvl w:val="0"/>
          <w:numId w:val="24"/>
        </w:numPr>
        <w:spacing w:before="0"/>
        <w:ind w:firstLine="480"/>
        <w:rPr>
          <w:rFonts w:ascii="宋体" w:hAnsi="宋体" w:cs="宋体"/>
          <w:szCs w:val="24"/>
        </w:rPr>
      </w:pPr>
      <w:bookmarkStart w:id="48" w:name="_Hlt75236101"/>
      <w:bookmarkEnd w:id="48"/>
      <w:bookmarkStart w:id="49" w:name="_Toc91899902"/>
      <w:r>
        <w:rPr>
          <w:rFonts w:hint="eastAsia" w:ascii="宋体" w:hAnsi="宋体" w:cs="宋体"/>
          <w:szCs w:val="24"/>
        </w:rPr>
        <w:t>开标后，采购人或采购代理机构将依法对投标人的资格进行审查；</w:t>
      </w:r>
    </w:p>
    <w:p>
      <w:pPr>
        <w:pStyle w:val="64"/>
        <w:numPr>
          <w:ilvl w:val="0"/>
          <w:numId w:val="24"/>
        </w:numPr>
        <w:spacing w:before="0"/>
        <w:ind w:firstLine="480"/>
        <w:rPr>
          <w:rFonts w:ascii="宋体" w:hAnsi="宋体" w:cs="宋体"/>
          <w:szCs w:val="24"/>
        </w:rPr>
      </w:pPr>
      <w:r>
        <w:rPr>
          <w:rFonts w:hint="eastAsia" w:ascii="宋体" w:hAnsi="宋体" w:cs="宋体"/>
          <w:szCs w:val="24"/>
        </w:rPr>
        <w:t>采购人或采购代理机构依据法律法规和招标文件的规定，对投标人的基本资格条件、特定资格条件进行审查。</w:t>
      </w:r>
    </w:p>
    <w:p>
      <w:pPr>
        <w:pStyle w:val="64"/>
        <w:numPr>
          <w:ilvl w:val="0"/>
          <w:numId w:val="24"/>
        </w:numPr>
        <w:wordWrap w:val="0"/>
        <w:spacing w:before="0"/>
        <w:ind w:firstLine="480"/>
        <w:rPr>
          <w:rFonts w:ascii="宋体" w:hAnsi="宋体" w:cs="宋体"/>
          <w:szCs w:val="24"/>
        </w:rPr>
      </w:pPr>
      <w:r>
        <w:rPr>
          <w:rFonts w:hint="eastAsia" w:ascii="宋体" w:hAnsi="宋体" w:cs="宋体"/>
          <w:szCs w:val="24"/>
        </w:rPr>
        <w:t>采购人或采购代理机构将通过“信用中国”网站(www.creditchina.gov.cn)、中国政府采购网(</w:t>
      </w:r>
      <w:r>
        <w:fldChar w:fldCharType="begin"/>
      </w:r>
      <w:r>
        <w:instrText xml:space="preserve"> HYPERLINK "http://www.ccgp.gov.cn" </w:instrText>
      </w:r>
      <w:r>
        <w:fldChar w:fldCharType="separate"/>
      </w:r>
      <w:r>
        <w:rPr>
          <w:rFonts w:hint="eastAsia" w:ascii="宋体" w:hAnsi="宋体" w:cs="宋体"/>
          <w:szCs w:val="24"/>
        </w:rPr>
        <w:t>www.ccgp.gov.cn</w:t>
      </w:r>
      <w:r>
        <w:rPr>
          <w:rFonts w:hint="eastAsia" w:ascii="宋体" w:hAnsi="宋体" w:cs="宋体"/>
          <w:szCs w:val="24"/>
        </w:rPr>
        <w:fldChar w:fldCharType="end"/>
      </w:r>
      <w:r>
        <w:rPr>
          <w:rFonts w:hint="eastAsia" w:ascii="宋体" w:hAnsi="宋体" w:cs="宋体"/>
          <w:szCs w:val="24"/>
        </w:rPr>
        <w:t>)渠道查询投标人开标后评标前的信用记录，经查询投标人列入失信被执行人名单、重大税收违法案件当事人名单、政府采购严重违法失信行为记录名单的，其投标无效；</w:t>
      </w:r>
    </w:p>
    <w:p>
      <w:pPr>
        <w:pStyle w:val="64"/>
        <w:numPr>
          <w:ilvl w:val="0"/>
          <w:numId w:val="24"/>
        </w:numPr>
        <w:spacing w:before="0"/>
        <w:ind w:firstLine="480"/>
        <w:rPr>
          <w:rFonts w:ascii="宋体" w:hAnsi="宋体" w:cs="宋体"/>
          <w:szCs w:val="24"/>
        </w:rPr>
      </w:pPr>
      <w:r>
        <w:rPr>
          <w:rFonts w:hint="eastAsia" w:ascii="宋体" w:hAnsi="宋体" w:cs="宋体"/>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napToGrid w:val="0"/>
        <w:spacing w:line="360" w:lineRule="auto"/>
        <w:jc w:val="center"/>
        <w:outlineLvl w:val="0"/>
        <w:rPr>
          <w:rFonts w:ascii="宋体" w:hAnsi="宋体" w:cs="宋体"/>
          <w:b/>
          <w:sz w:val="32"/>
        </w:rPr>
      </w:pPr>
      <w:bookmarkStart w:id="50" w:name="_Toc20672"/>
      <w:r>
        <w:rPr>
          <w:rFonts w:hint="eastAsia" w:ascii="宋体" w:hAnsi="宋体" w:cs="宋体"/>
          <w:b/>
          <w:sz w:val="32"/>
        </w:rPr>
        <w:t>七、评标</w:t>
      </w:r>
      <w:bookmarkEnd w:id="49"/>
      <w:bookmarkEnd w:id="50"/>
    </w:p>
    <w:p>
      <w:pPr>
        <w:pStyle w:val="15"/>
        <w:numPr>
          <w:ilvl w:val="0"/>
          <w:numId w:val="8"/>
        </w:numPr>
        <w:spacing w:line="360" w:lineRule="auto"/>
        <w:ind w:firstLine="482" w:firstLineChars="200"/>
        <w:rPr>
          <w:rFonts w:hAnsi="宋体" w:cs="宋体"/>
          <w:b/>
          <w:sz w:val="24"/>
          <w:szCs w:val="24"/>
        </w:rPr>
      </w:pPr>
      <w:bookmarkStart w:id="51" w:name="_Toc91899903"/>
      <w:r>
        <w:rPr>
          <w:rFonts w:hint="eastAsia" w:hAnsi="宋体" w:cs="宋体"/>
          <w:b/>
          <w:sz w:val="24"/>
          <w:szCs w:val="24"/>
        </w:rPr>
        <w:t>评标原则</w:t>
      </w:r>
    </w:p>
    <w:p>
      <w:pPr>
        <w:pStyle w:val="64"/>
        <w:numPr>
          <w:ilvl w:val="0"/>
          <w:numId w:val="25"/>
        </w:numPr>
        <w:spacing w:before="0"/>
        <w:ind w:firstLine="480"/>
        <w:rPr>
          <w:rFonts w:ascii="宋体" w:hAnsi="宋体" w:cs="宋体"/>
          <w:szCs w:val="24"/>
        </w:rPr>
      </w:pPr>
      <w:r>
        <w:rPr>
          <w:rFonts w:hint="eastAsia" w:ascii="宋体" w:hAnsi="宋体" w:cs="宋体"/>
          <w:szCs w:val="24"/>
        </w:rPr>
        <w:t>竞争优选；</w:t>
      </w:r>
    </w:p>
    <w:p>
      <w:pPr>
        <w:pStyle w:val="64"/>
        <w:numPr>
          <w:ilvl w:val="0"/>
          <w:numId w:val="25"/>
        </w:numPr>
        <w:spacing w:before="0"/>
        <w:ind w:firstLine="480"/>
        <w:rPr>
          <w:rFonts w:ascii="宋体" w:hAnsi="宋体" w:cs="宋体"/>
          <w:szCs w:val="24"/>
        </w:rPr>
      </w:pPr>
      <w:r>
        <w:rPr>
          <w:rFonts w:hint="eastAsia" w:ascii="宋体" w:hAnsi="宋体" w:cs="宋体"/>
          <w:szCs w:val="24"/>
          <w:lang w:val="zh-CN"/>
        </w:rPr>
        <w:t>坚持公开</w:t>
      </w:r>
      <w:r>
        <w:rPr>
          <w:rFonts w:hint="eastAsia" w:ascii="宋体" w:hAnsi="宋体" w:cs="宋体"/>
          <w:szCs w:val="24"/>
        </w:rPr>
        <w:t>、公平、公正、科学合理</w:t>
      </w:r>
      <w:r>
        <w:rPr>
          <w:rFonts w:hint="eastAsia" w:ascii="宋体" w:hAnsi="宋体" w:cs="宋体"/>
          <w:szCs w:val="24"/>
          <w:lang w:val="zh-CN"/>
        </w:rPr>
        <w:t>的原则；</w:t>
      </w:r>
    </w:p>
    <w:p>
      <w:pPr>
        <w:pStyle w:val="64"/>
        <w:numPr>
          <w:ilvl w:val="0"/>
          <w:numId w:val="25"/>
        </w:numPr>
        <w:spacing w:before="0"/>
        <w:ind w:firstLine="480"/>
        <w:rPr>
          <w:rFonts w:ascii="宋体" w:hAnsi="宋体" w:cs="宋体"/>
          <w:szCs w:val="24"/>
          <w:lang w:val="zh-CN"/>
        </w:rPr>
      </w:pPr>
      <w:r>
        <w:rPr>
          <w:rFonts w:hint="eastAsia" w:ascii="宋体" w:hAnsi="宋体" w:cs="宋体"/>
          <w:szCs w:val="24"/>
        </w:rPr>
        <w:t>价格合理，方案、产品先进可行；</w:t>
      </w:r>
    </w:p>
    <w:p>
      <w:pPr>
        <w:pStyle w:val="64"/>
        <w:numPr>
          <w:ilvl w:val="0"/>
          <w:numId w:val="25"/>
        </w:numPr>
        <w:spacing w:before="0"/>
        <w:ind w:firstLine="480"/>
        <w:rPr>
          <w:rFonts w:ascii="宋体" w:hAnsi="宋体" w:cs="宋体"/>
          <w:szCs w:val="24"/>
          <w:lang w:val="zh-CN"/>
        </w:rPr>
      </w:pPr>
      <w:r>
        <w:rPr>
          <w:rFonts w:hint="eastAsia" w:ascii="宋体" w:hAnsi="宋体" w:cs="宋体"/>
          <w:szCs w:val="24"/>
          <w:lang w:val="zh-CN"/>
        </w:rPr>
        <w:t>反对不正当竞争。</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评标组织</w:t>
      </w:r>
    </w:p>
    <w:p>
      <w:pPr>
        <w:pStyle w:val="64"/>
        <w:numPr>
          <w:ilvl w:val="0"/>
          <w:numId w:val="26"/>
        </w:numPr>
        <w:spacing w:before="0"/>
        <w:ind w:firstLine="480"/>
        <w:rPr>
          <w:rFonts w:ascii="宋体" w:hAnsi="宋体" w:cs="宋体"/>
          <w:szCs w:val="24"/>
          <w:lang w:val="zh-CN"/>
        </w:rPr>
      </w:pPr>
      <w:r>
        <w:rPr>
          <w:rFonts w:hint="eastAsia" w:ascii="宋体" w:hAnsi="宋体" w:cs="宋体"/>
          <w:szCs w:val="24"/>
          <w:lang w:val="zh-CN"/>
        </w:rPr>
        <w:t>评标委员会由采购人代表和评审专家组成，成员人数应当为</w:t>
      </w:r>
      <w:r>
        <w:rPr>
          <w:rFonts w:hint="eastAsia" w:ascii="宋体" w:hAnsi="宋体" w:cs="宋体"/>
          <w:szCs w:val="24"/>
        </w:rPr>
        <w:t>5</w:t>
      </w:r>
      <w:r>
        <w:rPr>
          <w:rFonts w:hint="eastAsia" w:ascii="宋体" w:hAnsi="宋体" w:cs="宋体"/>
          <w:szCs w:val="24"/>
          <w:lang w:val="zh-CN"/>
        </w:rPr>
        <w:t>人以上单数，其中评审专家不得少于成员总数的三分之二；</w:t>
      </w:r>
    </w:p>
    <w:p>
      <w:pPr>
        <w:pStyle w:val="64"/>
        <w:numPr>
          <w:ilvl w:val="0"/>
          <w:numId w:val="26"/>
        </w:numPr>
        <w:spacing w:before="0"/>
        <w:ind w:firstLine="480"/>
        <w:rPr>
          <w:rFonts w:ascii="宋体" w:hAnsi="宋体" w:cs="宋体"/>
          <w:szCs w:val="24"/>
          <w:lang w:val="zh-CN"/>
        </w:rPr>
      </w:pPr>
      <w:r>
        <w:rPr>
          <w:rFonts w:hint="eastAsia" w:ascii="宋体" w:hAnsi="宋体" w:cs="宋体"/>
          <w:szCs w:val="24"/>
          <w:lang w:val="zh-CN"/>
        </w:rPr>
        <w:t>评标工作由评标委员会负责，并推选产生的组长主持；</w:t>
      </w:r>
    </w:p>
    <w:p>
      <w:pPr>
        <w:pStyle w:val="64"/>
        <w:numPr>
          <w:ilvl w:val="0"/>
          <w:numId w:val="26"/>
        </w:numPr>
        <w:spacing w:before="0"/>
        <w:ind w:firstLine="480"/>
        <w:rPr>
          <w:rFonts w:ascii="宋体" w:hAnsi="宋体" w:cs="宋体"/>
          <w:szCs w:val="24"/>
          <w:lang w:val="zh-CN"/>
        </w:rPr>
      </w:pPr>
      <w:r>
        <w:rPr>
          <w:rFonts w:hint="eastAsia" w:ascii="宋体" w:hAnsi="宋体" w:cs="宋体"/>
          <w:szCs w:val="24"/>
          <w:lang w:val="zh-CN"/>
        </w:rPr>
        <w:t>本次评标为在线评标。</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评标办法</w:t>
      </w:r>
    </w:p>
    <w:p>
      <w:pPr>
        <w:spacing w:line="360" w:lineRule="auto"/>
        <w:ind w:firstLine="467" w:firstLineChars="194"/>
        <w:rPr>
          <w:rFonts w:ascii="宋体" w:hAnsi="宋体" w:cs="宋体"/>
          <w:b/>
          <w:kern w:val="0"/>
          <w:sz w:val="24"/>
          <w:szCs w:val="20"/>
        </w:rPr>
      </w:pPr>
      <w:r>
        <w:rPr>
          <w:rFonts w:hint="eastAsia" w:ascii="宋体" w:hAnsi="宋体" w:cs="宋体"/>
          <w:b/>
          <w:kern w:val="0"/>
          <w:sz w:val="24"/>
          <w:szCs w:val="20"/>
        </w:rPr>
        <w:t>本项目评标办法是综合评分法，具体评标内容及评分标准等详见招标文件第三部分。</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投标文件符合性审查</w:t>
      </w:r>
    </w:p>
    <w:p>
      <w:pPr>
        <w:pStyle w:val="64"/>
        <w:numPr>
          <w:ilvl w:val="0"/>
          <w:numId w:val="27"/>
        </w:numPr>
        <w:spacing w:before="0"/>
        <w:ind w:firstLine="480"/>
        <w:rPr>
          <w:rFonts w:ascii="宋体" w:hAnsi="宋体" w:cs="宋体"/>
          <w:szCs w:val="24"/>
          <w:lang w:val="zh-CN"/>
        </w:rPr>
      </w:pPr>
      <w:r>
        <w:rPr>
          <w:rFonts w:hint="eastAsia" w:ascii="宋体" w:hAnsi="宋体" w:cs="宋体"/>
          <w:szCs w:val="24"/>
          <w:lang w:val="zh-CN"/>
        </w:rPr>
        <w:t>投标文件符合性审查：评标委员会依据招标文件的规定，从投标文件的有效性、完整性和对招标文件的响应程度进行审查，以确定是否对招标文件的要求作出实质性响应。</w:t>
      </w:r>
    </w:p>
    <w:p>
      <w:pPr>
        <w:pStyle w:val="64"/>
        <w:numPr>
          <w:ilvl w:val="0"/>
          <w:numId w:val="27"/>
        </w:numPr>
        <w:spacing w:before="0"/>
        <w:ind w:firstLine="480"/>
        <w:rPr>
          <w:rFonts w:ascii="宋体" w:hAnsi="宋体" w:cs="宋体"/>
          <w:szCs w:val="24"/>
          <w:lang w:val="zh-CN"/>
        </w:rPr>
      </w:pPr>
      <w:r>
        <w:rPr>
          <w:rFonts w:hint="eastAsia" w:ascii="宋体" w:hAnsi="宋体" w:cs="宋体"/>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64"/>
        <w:numPr>
          <w:ilvl w:val="0"/>
          <w:numId w:val="27"/>
        </w:numPr>
        <w:spacing w:before="0"/>
        <w:ind w:firstLine="480"/>
        <w:rPr>
          <w:rFonts w:ascii="宋体" w:hAnsi="宋体" w:cs="宋体"/>
          <w:szCs w:val="24"/>
          <w:lang w:val="zh-CN"/>
        </w:rPr>
      </w:pPr>
      <w:r>
        <w:rPr>
          <w:rFonts w:hint="eastAsia" w:ascii="宋体" w:hAnsi="宋体" w:cs="宋体"/>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64"/>
        <w:numPr>
          <w:ilvl w:val="0"/>
          <w:numId w:val="27"/>
        </w:numPr>
        <w:spacing w:before="0"/>
        <w:ind w:firstLine="480"/>
        <w:rPr>
          <w:rFonts w:ascii="宋体" w:hAnsi="宋体" w:cs="宋体"/>
          <w:szCs w:val="24"/>
          <w:lang w:val="zh-CN"/>
        </w:rPr>
      </w:pPr>
      <w:r>
        <w:rPr>
          <w:rFonts w:hint="eastAsia" w:ascii="宋体" w:hAnsi="宋体" w:cs="宋体"/>
          <w:szCs w:val="24"/>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修正原则</w:t>
      </w:r>
    </w:p>
    <w:p>
      <w:pPr>
        <w:pStyle w:val="64"/>
        <w:spacing w:before="0"/>
        <w:ind w:left="420" w:leftChars="200" w:firstLine="0" w:firstLineChars="0"/>
        <w:rPr>
          <w:rFonts w:ascii="宋体" w:hAnsi="宋体" w:cs="宋体"/>
          <w:szCs w:val="24"/>
          <w:lang w:val="zh-CN"/>
        </w:rPr>
      </w:pPr>
      <w:r>
        <w:rPr>
          <w:rFonts w:hint="eastAsia" w:ascii="宋体" w:hAnsi="宋体" w:cs="宋体"/>
          <w:szCs w:val="24"/>
          <w:lang w:val="zh-CN"/>
        </w:rPr>
        <w:t>投标文件报价出现前后不一致的，按照下列规定修正：</w:t>
      </w:r>
    </w:p>
    <w:p>
      <w:pPr>
        <w:pStyle w:val="64"/>
        <w:numPr>
          <w:ilvl w:val="0"/>
          <w:numId w:val="28"/>
        </w:numPr>
        <w:spacing w:before="0"/>
        <w:ind w:firstLine="480"/>
        <w:rPr>
          <w:rFonts w:ascii="宋体" w:hAnsi="宋体" w:cs="宋体"/>
          <w:szCs w:val="24"/>
          <w:lang w:val="zh-CN"/>
        </w:rPr>
      </w:pPr>
      <w:r>
        <w:rPr>
          <w:rFonts w:hint="eastAsia" w:ascii="宋体" w:hAnsi="宋体" w:cs="宋体"/>
          <w:szCs w:val="24"/>
          <w:lang w:val="zh-CN"/>
        </w:rPr>
        <w:t>投标文件中投标（开标）一览表内容与投标文件中相应内容不一致的，以投标（开标）一览表为准；</w:t>
      </w:r>
    </w:p>
    <w:p>
      <w:pPr>
        <w:pStyle w:val="64"/>
        <w:numPr>
          <w:ilvl w:val="0"/>
          <w:numId w:val="28"/>
        </w:numPr>
        <w:spacing w:before="0"/>
        <w:ind w:firstLine="480"/>
        <w:rPr>
          <w:rFonts w:ascii="宋体" w:hAnsi="宋体" w:cs="宋体"/>
          <w:szCs w:val="24"/>
          <w:lang w:val="zh-CN"/>
        </w:rPr>
      </w:pPr>
      <w:r>
        <w:rPr>
          <w:rFonts w:hint="eastAsia" w:ascii="宋体" w:hAnsi="宋体" w:cs="宋体"/>
          <w:szCs w:val="24"/>
          <w:lang w:val="zh-CN"/>
        </w:rPr>
        <w:t>大写金额和小写金额不一致的，以大写金额为准；</w:t>
      </w:r>
    </w:p>
    <w:p>
      <w:pPr>
        <w:pStyle w:val="64"/>
        <w:numPr>
          <w:ilvl w:val="0"/>
          <w:numId w:val="28"/>
        </w:numPr>
        <w:spacing w:before="0"/>
        <w:ind w:firstLine="480"/>
        <w:rPr>
          <w:rFonts w:ascii="宋体" w:hAnsi="宋体" w:cs="宋体"/>
          <w:szCs w:val="24"/>
          <w:lang w:val="zh-CN"/>
        </w:rPr>
      </w:pPr>
      <w:r>
        <w:rPr>
          <w:rFonts w:hint="eastAsia" w:ascii="宋体" w:hAnsi="宋体" w:cs="宋体"/>
          <w:szCs w:val="24"/>
          <w:lang w:val="zh-CN"/>
        </w:rPr>
        <w:t>单价金额小数点或者百分比有明显错位的，以投标（开标）一览表的总价为准，并修改单价；</w:t>
      </w:r>
    </w:p>
    <w:p>
      <w:pPr>
        <w:pStyle w:val="64"/>
        <w:numPr>
          <w:ilvl w:val="0"/>
          <w:numId w:val="28"/>
        </w:numPr>
        <w:spacing w:before="0"/>
        <w:ind w:firstLine="480"/>
        <w:rPr>
          <w:rFonts w:ascii="宋体" w:hAnsi="宋体" w:cs="宋体"/>
          <w:szCs w:val="24"/>
          <w:lang w:val="zh-CN"/>
        </w:rPr>
      </w:pPr>
      <w:r>
        <w:rPr>
          <w:rFonts w:hint="eastAsia" w:ascii="宋体" w:hAnsi="宋体" w:cs="宋体"/>
          <w:szCs w:val="24"/>
          <w:lang w:val="zh-CN"/>
        </w:rPr>
        <w:t>总价金额与按单价汇总金额不一致的，以单价金额计算结果为准。</w:t>
      </w:r>
    </w:p>
    <w:p>
      <w:pPr>
        <w:pStyle w:val="64"/>
        <w:spacing w:before="0"/>
        <w:ind w:firstLine="480"/>
        <w:rPr>
          <w:rFonts w:ascii="宋体" w:hAnsi="宋体" w:cs="宋体"/>
          <w:szCs w:val="24"/>
          <w:lang w:val="zh-CN"/>
        </w:rPr>
      </w:pPr>
      <w:r>
        <w:rPr>
          <w:rFonts w:hint="eastAsia" w:ascii="宋体" w:hAnsi="宋体" w:cs="宋体"/>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投标文件的澄清</w:t>
      </w:r>
    </w:p>
    <w:p>
      <w:pPr>
        <w:pStyle w:val="64"/>
        <w:numPr>
          <w:ilvl w:val="0"/>
          <w:numId w:val="29"/>
        </w:numPr>
        <w:spacing w:before="0"/>
        <w:ind w:firstLine="480"/>
        <w:rPr>
          <w:rFonts w:ascii="宋体" w:hAnsi="宋体" w:cs="宋体"/>
          <w:szCs w:val="24"/>
          <w:lang w:val="zh-CN"/>
        </w:rPr>
      </w:pPr>
      <w:r>
        <w:rPr>
          <w:rFonts w:hint="eastAsia" w:ascii="宋体" w:hAnsi="宋体" w:cs="宋体"/>
          <w:szCs w:val="24"/>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64"/>
        <w:numPr>
          <w:ilvl w:val="0"/>
          <w:numId w:val="29"/>
        </w:numPr>
        <w:spacing w:before="0"/>
        <w:ind w:firstLine="480"/>
        <w:rPr>
          <w:rFonts w:ascii="宋体" w:hAnsi="宋体" w:cs="宋体"/>
          <w:szCs w:val="24"/>
          <w:lang w:val="zh-CN"/>
        </w:rPr>
      </w:pPr>
      <w:r>
        <w:rPr>
          <w:rFonts w:hint="eastAsia" w:ascii="宋体" w:hAnsi="宋体" w:cs="宋体"/>
          <w:szCs w:val="24"/>
          <w:lang w:val="zh-CN"/>
        </w:rPr>
        <w:t>供应商通过政采云平台交换的数据电文必须进行电子签章。</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无效投标</w:t>
      </w:r>
    </w:p>
    <w:p>
      <w:pPr>
        <w:spacing w:line="360" w:lineRule="auto"/>
        <w:ind w:firstLine="480" w:firstLineChars="200"/>
        <w:rPr>
          <w:rFonts w:ascii="宋体" w:hAnsi="宋体" w:cs="宋体"/>
          <w:sz w:val="24"/>
          <w:szCs w:val="21"/>
        </w:rPr>
      </w:pPr>
      <w:r>
        <w:rPr>
          <w:rFonts w:hint="eastAsia" w:ascii="宋体" w:hAnsi="宋体" w:cs="宋体"/>
          <w:sz w:val="24"/>
          <w:szCs w:val="21"/>
        </w:rPr>
        <w:t>经过审查，凡不符合有关规定，不响应招标文件的实质性条款，存在以下重大偏离之一的，经评标委员会认定，将因未通过资格性或符合性审查而被作为无效投标处理：</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sz w:val="24"/>
          <w:szCs w:val="21"/>
        </w:rPr>
        <w:t>未按规定交纳投标保证金或所提供的投标保证金有瑕疵的；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未按照招标文件规定要求签署、盖章的；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 xml:space="preserve">《法定代表人授权书》填写不全、错误、未加盖投标人公章（公章和签字或盖章缺一不可）； </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个体工商户的身份证明与营业执照不一致的；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投标文件中的投标函未加盖投标人的企业公章或填写不全的；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报价一经涂改，未在涂改处加盖投标单位公章或者未经法定代表人或其授权代表签字或盖章的；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因未按规定的格式填写，内容不全或主要实质性内容字迹模糊辨认不清,经评标委员会认定为无法评审的；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出现同一标的物或本次招标产品(服务)内的主要产品(重要组成部分)出现技术、商务描述不一致或前后描述不一致，经评标委员会认定后为无法评审的；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投标详细配置清单响应表不真实填写或弄虚作假的；改变招标文件提供的清单中的计量单位、工程数量；</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对招标产品技术规格未详细应答，致使其技术文件无法评审的；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投标文件有招标方不能接受的条件；</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投标报价超过预算金额或最高限价的；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投标文件“商务技术文件资料”部分中出现《开标一览表》或《投标报价明细表》相关内容的；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投标人拒绝按招标文件规定的修正原则对投标文件进行修改的；</w:t>
      </w:r>
    </w:p>
    <w:p>
      <w:pPr>
        <w:numPr>
          <w:ilvl w:val="0"/>
          <w:numId w:val="30"/>
        </w:numPr>
        <w:spacing w:line="360" w:lineRule="auto"/>
        <w:ind w:firstLine="482" w:firstLineChars="200"/>
        <w:rPr>
          <w:rFonts w:ascii="宋体" w:hAnsi="宋体" w:cs="宋体"/>
          <w:b/>
          <w:bCs/>
          <w:sz w:val="24"/>
          <w:szCs w:val="21"/>
        </w:rPr>
      </w:pPr>
      <w:r>
        <w:rPr>
          <w:rFonts w:hint="eastAsia" w:ascii="宋体" w:hAnsi="宋体" w:cs="宋体"/>
          <w:b/>
          <w:bCs/>
          <w:sz w:val="24"/>
          <w:szCs w:val="21"/>
        </w:rPr>
        <w:t>有下列情形之一的，视为投标人串通投标，其投标无效：</w:t>
      </w:r>
    </w:p>
    <w:p>
      <w:pPr>
        <w:numPr>
          <w:ilvl w:val="0"/>
          <w:numId w:val="31"/>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不同投标人的投标文件由同一单位或者个人编制；</w:t>
      </w:r>
    </w:p>
    <w:p>
      <w:pPr>
        <w:numPr>
          <w:ilvl w:val="0"/>
          <w:numId w:val="31"/>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不同投标人委托同一单位或者个人办理投标事宜；</w:t>
      </w:r>
    </w:p>
    <w:p>
      <w:pPr>
        <w:numPr>
          <w:ilvl w:val="0"/>
          <w:numId w:val="31"/>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不同投标人的投标文件载明的项目管理成员或者联系人员为同一人；</w:t>
      </w:r>
    </w:p>
    <w:p>
      <w:pPr>
        <w:numPr>
          <w:ilvl w:val="0"/>
          <w:numId w:val="31"/>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不同投标人的投标文件异常一致或者投标报价呈规律性差异；</w:t>
      </w:r>
    </w:p>
    <w:p>
      <w:pPr>
        <w:numPr>
          <w:ilvl w:val="0"/>
          <w:numId w:val="31"/>
        </w:numPr>
        <w:spacing w:line="360" w:lineRule="auto"/>
        <w:ind w:firstLine="482" w:firstLineChars="200"/>
        <w:rPr>
          <w:rFonts w:ascii="宋体" w:hAnsi="宋体" w:cs="宋体"/>
          <w:b/>
          <w:bCs/>
          <w:sz w:val="24"/>
          <w:szCs w:val="32"/>
        </w:rPr>
      </w:pPr>
      <w:r>
        <w:rPr>
          <w:rFonts w:hint="eastAsia" w:ascii="宋体" w:hAnsi="宋体" w:cs="宋体"/>
          <w:b/>
          <w:bCs/>
          <w:sz w:val="24"/>
          <w:szCs w:val="21"/>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ascii="宋体" w:hAnsi="宋体" w:cs="宋体"/>
          <w:b/>
          <w:bCs/>
          <w:sz w:val="24"/>
          <w:szCs w:val="32"/>
        </w:rPr>
      </w:pPr>
      <w:r>
        <w:rPr>
          <w:rFonts w:hint="eastAsia" w:ascii="宋体" w:hAnsi="宋体" w:cs="宋体"/>
          <w:b/>
          <w:bCs/>
          <w:sz w:val="24"/>
          <w:szCs w:val="32"/>
        </w:rPr>
        <w:t>24.18</w:t>
      </w:r>
      <w:r>
        <w:rPr>
          <w:rFonts w:hint="eastAsia" w:ascii="宋体" w:hAnsi="宋体" w:cs="宋体"/>
          <w:b/>
          <w:bCs/>
          <w:color w:val="FF0000"/>
          <w:sz w:val="24"/>
          <w:szCs w:val="32"/>
          <w:highlight w:val="none"/>
        </w:rPr>
        <w:t>员工工资标准</w:t>
      </w:r>
      <w:r>
        <w:rPr>
          <w:rFonts w:hint="eastAsia" w:ascii="宋体" w:hAnsi="宋体" w:cs="宋体"/>
          <w:b/>
          <w:bCs/>
          <w:color w:val="FF0000"/>
          <w:sz w:val="24"/>
          <w:szCs w:val="32"/>
          <w:highlight w:val="none"/>
          <w:lang w:eastAsia="zh-CN"/>
        </w:rPr>
        <w:t>未响应本项目招标文件附件“</w:t>
      </w:r>
      <w:r>
        <w:rPr>
          <w:rFonts w:hint="eastAsia" w:ascii="宋体" w:hAnsi="宋体" w:cs="宋体"/>
          <w:b/>
          <w:bCs/>
          <w:color w:val="FF0000"/>
          <w:sz w:val="24"/>
          <w:szCs w:val="32"/>
          <w:highlight w:val="none"/>
        </w:rPr>
        <w:t>每人工资标准投标报价明细表</w:t>
      </w:r>
      <w:r>
        <w:rPr>
          <w:rFonts w:hint="eastAsia" w:ascii="宋体" w:hAnsi="宋体" w:cs="宋体"/>
          <w:b/>
          <w:bCs/>
          <w:color w:val="FF0000"/>
          <w:sz w:val="24"/>
          <w:szCs w:val="32"/>
          <w:highlight w:val="none"/>
          <w:lang w:eastAsia="zh-CN"/>
        </w:rPr>
        <w:t>”要求的</w:t>
      </w:r>
      <w:r>
        <w:rPr>
          <w:rFonts w:hint="eastAsia" w:ascii="宋体" w:hAnsi="宋体" w:cs="宋体"/>
          <w:b/>
          <w:bCs/>
          <w:color w:val="FF0000"/>
          <w:sz w:val="24"/>
          <w:szCs w:val="32"/>
          <w:highlight w:val="none"/>
        </w:rPr>
        <w:t>；</w:t>
      </w:r>
    </w:p>
    <w:p>
      <w:pPr>
        <w:tabs>
          <w:tab w:val="left" w:pos="0"/>
        </w:tabs>
        <w:spacing w:line="360" w:lineRule="auto"/>
        <w:ind w:firstLine="482" w:firstLineChars="200"/>
      </w:pPr>
      <w:r>
        <w:rPr>
          <w:rFonts w:hint="eastAsia" w:ascii="宋体" w:hAnsi="宋体" w:cs="宋体"/>
          <w:b/>
          <w:bCs/>
          <w:sz w:val="24"/>
          <w:szCs w:val="32"/>
        </w:rPr>
        <w:t>24.19其他违反法律、法规的情形。</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废标</w:t>
      </w:r>
    </w:p>
    <w:p>
      <w:pPr>
        <w:spacing w:line="360" w:lineRule="auto"/>
        <w:ind w:firstLine="480" w:firstLineChars="200"/>
        <w:rPr>
          <w:rFonts w:ascii="宋体" w:hAnsi="宋体" w:cs="宋体"/>
          <w:sz w:val="24"/>
          <w:szCs w:val="21"/>
        </w:rPr>
      </w:pPr>
      <w:r>
        <w:rPr>
          <w:rFonts w:hint="eastAsia" w:ascii="宋体" w:hAnsi="宋体" w:cs="宋体"/>
          <w:sz w:val="24"/>
          <w:szCs w:val="21"/>
        </w:rPr>
        <w:t>按照《上虞区区属国有企业货物和服务采购管理办法》第四十二条之规定，在公开招标采购中，出现下列情形之一的，应予终止采购程序或废标：</w:t>
      </w:r>
    </w:p>
    <w:p>
      <w:pPr>
        <w:pStyle w:val="64"/>
        <w:numPr>
          <w:ilvl w:val="0"/>
          <w:numId w:val="32"/>
        </w:numPr>
        <w:spacing w:before="0"/>
        <w:ind w:firstLine="480"/>
        <w:rPr>
          <w:rFonts w:ascii="宋体" w:hAnsi="宋体" w:cs="宋体"/>
          <w:szCs w:val="24"/>
          <w:lang w:val="zh-CN"/>
        </w:rPr>
      </w:pPr>
      <w:r>
        <w:rPr>
          <w:rFonts w:hint="eastAsia" w:ascii="宋体" w:hAnsi="宋体" w:cs="宋体"/>
          <w:szCs w:val="24"/>
          <w:lang w:val="zh-CN"/>
        </w:rPr>
        <w:t>符合专业条件的供应商或者对采购文件作实质响应的供应商不足 3 家；；</w:t>
      </w:r>
    </w:p>
    <w:p>
      <w:pPr>
        <w:pStyle w:val="64"/>
        <w:numPr>
          <w:ilvl w:val="0"/>
          <w:numId w:val="32"/>
        </w:numPr>
        <w:spacing w:before="0"/>
        <w:ind w:firstLine="480"/>
        <w:rPr>
          <w:rFonts w:ascii="宋体" w:hAnsi="宋体" w:cs="宋体"/>
          <w:szCs w:val="24"/>
          <w:lang w:val="zh-CN"/>
        </w:rPr>
      </w:pPr>
      <w:r>
        <w:rPr>
          <w:rFonts w:hint="eastAsia" w:ascii="宋体" w:hAnsi="宋体" w:cs="宋体"/>
          <w:szCs w:val="24"/>
          <w:lang w:val="zh-CN"/>
        </w:rPr>
        <w:t>出现影响采购公正的违法、违规行为的；</w:t>
      </w:r>
    </w:p>
    <w:p>
      <w:pPr>
        <w:pStyle w:val="64"/>
        <w:numPr>
          <w:ilvl w:val="0"/>
          <w:numId w:val="32"/>
        </w:numPr>
        <w:spacing w:before="0"/>
        <w:ind w:firstLine="480"/>
        <w:rPr>
          <w:rFonts w:ascii="宋体" w:hAnsi="宋体" w:cs="宋体"/>
          <w:szCs w:val="24"/>
          <w:lang w:val="zh-CN"/>
        </w:rPr>
      </w:pPr>
      <w:r>
        <w:rPr>
          <w:rFonts w:hint="eastAsia" w:ascii="宋体" w:hAnsi="宋体" w:cs="宋体"/>
          <w:szCs w:val="24"/>
          <w:lang w:val="zh-CN"/>
        </w:rPr>
        <w:t>投标人的报价均超过了采购预算；</w:t>
      </w:r>
    </w:p>
    <w:p>
      <w:pPr>
        <w:pStyle w:val="64"/>
        <w:numPr>
          <w:ilvl w:val="0"/>
          <w:numId w:val="32"/>
        </w:numPr>
        <w:spacing w:before="0"/>
        <w:ind w:firstLine="480"/>
        <w:rPr>
          <w:rFonts w:ascii="宋体" w:hAnsi="宋体" w:cs="宋体"/>
          <w:szCs w:val="24"/>
          <w:lang w:val="zh-CN"/>
        </w:rPr>
      </w:pPr>
      <w:r>
        <w:rPr>
          <w:rFonts w:hint="eastAsia" w:ascii="宋体" w:hAnsi="宋体" w:cs="宋体"/>
          <w:szCs w:val="24"/>
          <w:lang w:val="zh-CN"/>
        </w:rPr>
        <w:t>因重大变故，采购任务取消的。</w:t>
      </w:r>
    </w:p>
    <w:p>
      <w:pPr>
        <w:spacing w:line="360" w:lineRule="auto"/>
        <w:ind w:firstLine="480" w:firstLineChars="200"/>
        <w:rPr>
          <w:rFonts w:ascii="宋体" w:hAnsi="宋体" w:cs="宋体"/>
          <w:sz w:val="24"/>
          <w:szCs w:val="21"/>
        </w:rPr>
      </w:pPr>
      <w:r>
        <w:rPr>
          <w:rFonts w:hint="eastAsia" w:ascii="宋体" w:hAnsi="宋体" w:cs="宋体"/>
          <w:sz w:val="24"/>
          <w:szCs w:val="21"/>
        </w:rPr>
        <w:t>废标后，采购代理机构应当将废标理由通知所有投标人。</w:t>
      </w:r>
    </w:p>
    <w:p>
      <w:pPr>
        <w:pStyle w:val="15"/>
        <w:numPr>
          <w:ilvl w:val="0"/>
          <w:numId w:val="8"/>
        </w:numPr>
        <w:spacing w:line="360" w:lineRule="auto"/>
        <w:ind w:firstLine="482" w:firstLineChars="200"/>
        <w:rPr>
          <w:rFonts w:hAnsi="宋体" w:cs="宋体"/>
          <w:b/>
          <w:sz w:val="24"/>
          <w:szCs w:val="24"/>
        </w:rPr>
      </w:pPr>
      <w:r>
        <w:rPr>
          <w:rFonts w:hint="eastAsia" w:hAnsi="宋体" w:cs="宋体"/>
          <w:b/>
          <w:bCs/>
          <w:sz w:val="24"/>
          <w:szCs w:val="24"/>
          <w:lang w:val="zh-CN"/>
        </w:rPr>
        <w:t>中止电子交易活动和</w:t>
      </w:r>
      <w:r>
        <w:rPr>
          <w:rFonts w:hint="eastAsia" w:hAnsi="宋体" w:cs="宋体"/>
          <w:b/>
          <w:sz w:val="24"/>
          <w:szCs w:val="24"/>
        </w:rPr>
        <w:t>重新组织采购</w:t>
      </w:r>
    </w:p>
    <w:p>
      <w:pPr>
        <w:pStyle w:val="64"/>
        <w:tabs>
          <w:tab w:val="left" w:pos="0"/>
        </w:tabs>
        <w:spacing w:before="0"/>
        <w:ind w:firstLine="480"/>
        <w:rPr>
          <w:rFonts w:ascii="宋体" w:hAnsi="宋体" w:cs="宋体"/>
          <w:szCs w:val="24"/>
          <w:lang w:val="zh-CN"/>
        </w:rPr>
      </w:pPr>
      <w:r>
        <w:rPr>
          <w:rFonts w:hint="eastAsia" w:ascii="宋体" w:hAnsi="宋体" w:cs="宋体"/>
          <w:szCs w:val="24"/>
        </w:rPr>
        <w:t>26.1</w:t>
      </w:r>
      <w:r>
        <w:rPr>
          <w:rFonts w:hint="eastAsia" w:ascii="宋体" w:hAnsi="宋体" w:cs="宋体"/>
          <w:szCs w:val="24"/>
          <w:lang w:val="zh-CN"/>
        </w:rPr>
        <w:t>采购过程中出现以下情形，导致电子交易平台无法正常运行，或者无法保证电子交易的公平、公正和安全时，采购组织机构可中止电子交易活动：</w:t>
      </w:r>
    </w:p>
    <w:p>
      <w:pPr>
        <w:numPr>
          <w:ilvl w:val="0"/>
          <w:numId w:val="33"/>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 xml:space="preserve">电子交易平台发生故障而无法登录访问的； </w:t>
      </w:r>
    </w:p>
    <w:p>
      <w:pPr>
        <w:numPr>
          <w:ilvl w:val="0"/>
          <w:numId w:val="33"/>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电子交易平台应用或数据库出现错误，不能进行正常操作的；</w:t>
      </w:r>
    </w:p>
    <w:p>
      <w:pPr>
        <w:numPr>
          <w:ilvl w:val="0"/>
          <w:numId w:val="33"/>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电子交易平台发现严重安全漏洞，有潜在泄密危险的；</w:t>
      </w:r>
    </w:p>
    <w:p>
      <w:pPr>
        <w:numPr>
          <w:ilvl w:val="0"/>
          <w:numId w:val="33"/>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 xml:space="preserve">病毒发作导致不能进行正常操作的； </w:t>
      </w:r>
    </w:p>
    <w:p>
      <w:pPr>
        <w:numPr>
          <w:ilvl w:val="0"/>
          <w:numId w:val="33"/>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其他无法保证电子交易的公平、公正和安全的情况。</w:t>
      </w:r>
    </w:p>
    <w:p>
      <w:pPr>
        <w:pStyle w:val="64"/>
        <w:tabs>
          <w:tab w:val="left" w:pos="0"/>
        </w:tabs>
        <w:spacing w:before="0"/>
        <w:ind w:firstLine="480"/>
        <w:rPr>
          <w:rFonts w:ascii="宋体" w:hAnsi="宋体" w:cs="宋体"/>
          <w:szCs w:val="24"/>
        </w:rPr>
      </w:pPr>
      <w:r>
        <w:rPr>
          <w:rFonts w:hint="eastAsia" w:ascii="宋体" w:hAnsi="宋体" w:cs="宋体"/>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5"/>
        <w:numPr>
          <w:ilvl w:val="0"/>
          <w:numId w:val="8"/>
        </w:numPr>
        <w:spacing w:line="360" w:lineRule="auto"/>
        <w:ind w:firstLine="482" w:firstLineChars="200"/>
        <w:rPr>
          <w:rFonts w:hAnsi="宋体" w:cs="宋体"/>
          <w:b/>
          <w:sz w:val="24"/>
          <w:szCs w:val="24"/>
        </w:rPr>
      </w:pPr>
      <w:r>
        <w:rPr>
          <w:rFonts w:hint="eastAsia" w:hAnsi="宋体" w:cs="宋体"/>
          <w:b/>
          <w:sz w:val="24"/>
          <w:szCs w:val="24"/>
        </w:rPr>
        <w:t>保密及其它注意事项</w:t>
      </w:r>
    </w:p>
    <w:p>
      <w:pPr>
        <w:pStyle w:val="64"/>
        <w:numPr>
          <w:ilvl w:val="0"/>
          <w:numId w:val="34"/>
        </w:numPr>
        <w:spacing w:before="0"/>
        <w:ind w:firstLine="480"/>
        <w:rPr>
          <w:rFonts w:ascii="宋体" w:hAnsi="宋体" w:cs="宋体"/>
          <w:szCs w:val="24"/>
        </w:rPr>
      </w:pPr>
      <w:r>
        <w:rPr>
          <w:rFonts w:hint="eastAsia" w:ascii="宋体" w:hAnsi="宋体" w:cs="宋体"/>
          <w:szCs w:val="24"/>
        </w:rPr>
        <w:t>评标是招标工作的重要环节，评标工作由评标委员会独立进行。评标委员会将遵照评标原则，公正、平等地对待所有投标人；</w:t>
      </w:r>
    </w:p>
    <w:p>
      <w:pPr>
        <w:pStyle w:val="64"/>
        <w:numPr>
          <w:ilvl w:val="0"/>
          <w:numId w:val="34"/>
        </w:numPr>
        <w:spacing w:before="0"/>
        <w:ind w:firstLine="480"/>
        <w:rPr>
          <w:rFonts w:ascii="宋体" w:hAnsi="宋体" w:cs="宋体"/>
          <w:szCs w:val="24"/>
        </w:rPr>
      </w:pPr>
      <w:r>
        <w:rPr>
          <w:rFonts w:hint="eastAsia" w:ascii="宋体" w:hAnsi="宋体" w:cs="宋体"/>
          <w:szCs w:val="24"/>
        </w:rPr>
        <w:t>在开标、投标期间，投标人不得向评委询问评标情况，不得进行旨在影响评标结果的活动。采购人不得在中标人确定前，与投标人就投标价格、投标方案等实质性内容进行谈判；</w:t>
      </w:r>
    </w:p>
    <w:p>
      <w:pPr>
        <w:pStyle w:val="64"/>
        <w:numPr>
          <w:ilvl w:val="0"/>
          <w:numId w:val="34"/>
        </w:numPr>
        <w:spacing w:before="0"/>
        <w:ind w:firstLine="480"/>
        <w:rPr>
          <w:rFonts w:ascii="宋体" w:hAnsi="宋体" w:cs="宋体"/>
          <w:szCs w:val="24"/>
        </w:rPr>
      </w:pPr>
      <w:r>
        <w:rPr>
          <w:rFonts w:hint="eastAsia" w:ascii="宋体" w:hAnsi="宋体" w:cs="宋体"/>
          <w:szCs w:val="24"/>
        </w:rPr>
        <w:t>为保证定标的公正性，在评标过程中，评委不得与投标人私下交换意见。在招标工作结束后，凡与评标情况有接触的任何人，不得也不应将评标情况扩散出评委人员之外；</w:t>
      </w:r>
    </w:p>
    <w:p>
      <w:pPr>
        <w:pStyle w:val="64"/>
        <w:numPr>
          <w:ilvl w:val="0"/>
          <w:numId w:val="34"/>
        </w:numPr>
        <w:spacing w:before="0"/>
        <w:ind w:firstLine="480"/>
        <w:rPr>
          <w:rFonts w:ascii="宋体" w:hAnsi="宋体" w:cs="宋体"/>
          <w:szCs w:val="24"/>
        </w:rPr>
      </w:pPr>
      <w:r>
        <w:rPr>
          <w:rFonts w:hint="eastAsia" w:ascii="宋体" w:hAnsi="宋体" w:cs="宋体"/>
          <w:szCs w:val="24"/>
        </w:rPr>
        <w:t>投标人相互之间，或与采购人相互不得串通投标，不得排挤其他投标人的公平竞争，损害采购人或者其他投标人的合法权益；</w:t>
      </w:r>
    </w:p>
    <w:p>
      <w:pPr>
        <w:pStyle w:val="64"/>
        <w:numPr>
          <w:ilvl w:val="0"/>
          <w:numId w:val="34"/>
        </w:numPr>
        <w:spacing w:before="0"/>
        <w:ind w:firstLine="480"/>
        <w:rPr>
          <w:rFonts w:ascii="宋体" w:hAnsi="宋体" w:cs="宋体"/>
          <w:szCs w:val="24"/>
        </w:rPr>
      </w:pPr>
      <w:r>
        <w:rPr>
          <w:rFonts w:hint="eastAsia" w:ascii="宋体" w:hAnsi="宋体" w:cs="宋体"/>
          <w:szCs w:val="24"/>
        </w:rPr>
        <w:t>评标委员会不向投标人解释未中标的原因；</w:t>
      </w:r>
    </w:p>
    <w:p>
      <w:pPr>
        <w:pStyle w:val="64"/>
        <w:numPr>
          <w:ilvl w:val="0"/>
          <w:numId w:val="34"/>
        </w:numPr>
        <w:spacing w:before="0"/>
        <w:ind w:firstLine="480"/>
        <w:rPr>
          <w:rFonts w:ascii="宋体" w:hAnsi="宋体" w:cs="宋体"/>
          <w:szCs w:val="24"/>
        </w:rPr>
      </w:pPr>
      <w:r>
        <w:rPr>
          <w:rFonts w:hint="eastAsia" w:ascii="宋体" w:hAnsi="宋体" w:cs="宋体"/>
          <w:szCs w:val="24"/>
        </w:rPr>
        <w:t>特别说明：政采云公司如对电子化开标及评审程序有调整的，按调整后的程序操作。</w:t>
      </w:r>
    </w:p>
    <w:p>
      <w:pPr>
        <w:spacing w:line="360" w:lineRule="auto"/>
        <w:ind w:firstLine="420"/>
        <w:jc w:val="center"/>
        <w:rPr>
          <w:rFonts w:ascii="宋体" w:hAnsi="宋体" w:cs="宋体"/>
          <w:b/>
          <w:sz w:val="24"/>
        </w:rPr>
      </w:pPr>
    </w:p>
    <w:p>
      <w:pPr>
        <w:snapToGrid w:val="0"/>
        <w:spacing w:line="360" w:lineRule="auto"/>
        <w:jc w:val="center"/>
        <w:outlineLvl w:val="0"/>
        <w:rPr>
          <w:rFonts w:ascii="宋体" w:hAnsi="宋体" w:cs="宋体"/>
          <w:b/>
          <w:sz w:val="32"/>
        </w:rPr>
      </w:pPr>
      <w:bookmarkStart w:id="52" w:name="_Toc19547"/>
      <w:bookmarkStart w:id="53" w:name="_Toc8332"/>
      <w:r>
        <w:rPr>
          <w:rFonts w:hint="eastAsia" w:ascii="宋体" w:hAnsi="宋体" w:cs="宋体"/>
          <w:b/>
          <w:sz w:val="32"/>
        </w:rPr>
        <w:t>八、定 标</w:t>
      </w:r>
      <w:bookmarkEnd w:id="52"/>
      <w:bookmarkEnd w:id="53"/>
    </w:p>
    <w:p>
      <w:pPr>
        <w:pStyle w:val="64"/>
        <w:tabs>
          <w:tab w:val="left" w:pos="0"/>
        </w:tabs>
        <w:spacing w:before="0"/>
        <w:ind w:firstLine="480"/>
        <w:rPr>
          <w:rFonts w:ascii="宋体" w:hAnsi="宋体" w:cs="宋体"/>
          <w:szCs w:val="24"/>
        </w:rPr>
      </w:pPr>
      <w:bookmarkStart w:id="54" w:name="_Toc15760"/>
      <w:r>
        <w:rPr>
          <w:rFonts w:hint="eastAsia" w:ascii="宋体" w:hAnsi="宋体" w:cs="宋体"/>
          <w:szCs w:val="24"/>
        </w:rPr>
        <w:t>28.1项目由评标委员会根据第三章《评标办法与评分标准》规定提出中标候选人排序。</w:t>
      </w:r>
    </w:p>
    <w:p>
      <w:pPr>
        <w:pStyle w:val="64"/>
        <w:tabs>
          <w:tab w:val="left" w:pos="0"/>
        </w:tabs>
        <w:spacing w:before="0"/>
        <w:ind w:firstLine="480"/>
        <w:rPr>
          <w:rFonts w:ascii="宋体" w:hAnsi="宋体" w:cs="宋体"/>
          <w:szCs w:val="24"/>
        </w:rPr>
      </w:pPr>
      <w:r>
        <w:rPr>
          <w:rFonts w:hint="eastAsia" w:ascii="宋体" w:hAnsi="宋体" w:cs="宋体"/>
          <w:szCs w:val="24"/>
        </w:rPr>
        <w:t>28.2采购代理机构应当在评标结束后2个工作日内将评标报告送采购人。</w:t>
      </w:r>
    </w:p>
    <w:p>
      <w:pPr>
        <w:pStyle w:val="64"/>
        <w:tabs>
          <w:tab w:val="left" w:pos="0"/>
        </w:tabs>
        <w:spacing w:before="0"/>
        <w:ind w:firstLine="480"/>
        <w:rPr>
          <w:rFonts w:ascii="宋体" w:hAnsi="宋体" w:cs="宋体"/>
          <w:szCs w:val="24"/>
        </w:rPr>
      </w:pPr>
      <w:r>
        <w:rPr>
          <w:rFonts w:hint="eastAsia" w:ascii="宋体" w:hAnsi="宋体" w:cs="宋体"/>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64"/>
        <w:tabs>
          <w:tab w:val="left" w:pos="0"/>
        </w:tabs>
        <w:spacing w:before="0"/>
        <w:ind w:firstLine="480"/>
        <w:rPr>
          <w:rFonts w:ascii="宋体" w:hAnsi="宋体" w:cs="宋体"/>
          <w:szCs w:val="24"/>
        </w:rPr>
      </w:pPr>
      <w:r>
        <w:rPr>
          <w:rFonts w:hint="eastAsia" w:ascii="宋体" w:hAnsi="宋体" w:cs="宋体"/>
          <w:szCs w:val="24"/>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64"/>
        <w:tabs>
          <w:tab w:val="left" w:pos="0"/>
        </w:tabs>
        <w:spacing w:before="0"/>
        <w:ind w:firstLine="480"/>
        <w:rPr>
          <w:rFonts w:ascii="宋体" w:hAnsi="宋体" w:cs="宋体"/>
          <w:szCs w:val="24"/>
        </w:rPr>
      </w:pPr>
      <w:r>
        <w:rPr>
          <w:rFonts w:hint="eastAsia" w:ascii="宋体" w:hAnsi="宋体" w:cs="宋体"/>
          <w:szCs w:val="24"/>
        </w:rPr>
        <w:t>28.5中标人应携带介绍信自行前往采购代理机构领取中标通知书。</w:t>
      </w:r>
    </w:p>
    <w:p>
      <w:pPr>
        <w:pStyle w:val="64"/>
        <w:tabs>
          <w:tab w:val="left" w:pos="0"/>
        </w:tabs>
        <w:spacing w:before="0"/>
        <w:ind w:firstLine="480"/>
        <w:rPr>
          <w:rFonts w:ascii="宋体" w:hAnsi="宋体" w:cs="宋体"/>
          <w:szCs w:val="24"/>
        </w:rPr>
      </w:pPr>
      <w:bookmarkStart w:id="55" w:name="_Toc27357"/>
      <w:bookmarkStart w:id="56" w:name="_Toc23365"/>
      <w:r>
        <w:rPr>
          <w:rFonts w:hint="eastAsia" w:ascii="宋体" w:hAnsi="宋体" w:cs="宋体"/>
          <w:szCs w:val="24"/>
        </w:rPr>
        <w:t>28.6中标通知书发出后，采购人不得违法改变中标结果，中标人无正当理由不得放弃中标。</w:t>
      </w:r>
      <w:bookmarkEnd w:id="55"/>
      <w:bookmarkEnd w:id="56"/>
    </w:p>
    <w:p>
      <w:pPr>
        <w:pStyle w:val="64"/>
        <w:tabs>
          <w:tab w:val="left" w:pos="0"/>
        </w:tabs>
        <w:spacing w:before="0"/>
        <w:ind w:firstLine="480"/>
        <w:rPr>
          <w:rFonts w:ascii="宋体" w:hAnsi="宋体" w:cs="宋体"/>
          <w:szCs w:val="24"/>
        </w:rPr>
      </w:pPr>
    </w:p>
    <w:p>
      <w:pPr>
        <w:snapToGrid w:val="0"/>
        <w:spacing w:line="360" w:lineRule="auto"/>
        <w:jc w:val="center"/>
        <w:outlineLvl w:val="0"/>
        <w:rPr>
          <w:rFonts w:ascii="宋体" w:hAnsi="宋体" w:cs="宋体"/>
          <w:b/>
          <w:sz w:val="32"/>
        </w:rPr>
      </w:pPr>
      <w:bookmarkStart w:id="57" w:name="_Toc31548"/>
      <w:r>
        <w:rPr>
          <w:rFonts w:hint="eastAsia" w:ascii="宋体" w:hAnsi="宋体" w:cs="宋体"/>
          <w:b/>
          <w:sz w:val="32"/>
        </w:rPr>
        <w:t>九、合同签订及其他</w:t>
      </w:r>
      <w:bookmarkEnd w:id="54"/>
      <w:bookmarkEnd w:id="57"/>
    </w:p>
    <w:p>
      <w:pPr>
        <w:pStyle w:val="64"/>
        <w:tabs>
          <w:tab w:val="left" w:pos="0"/>
        </w:tabs>
        <w:spacing w:before="0"/>
        <w:ind w:firstLine="480"/>
        <w:rPr>
          <w:rFonts w:ascii="宋体" w:hAnsi="宋体" w:cs="宋体"/>
          <w:szCs w:val="24"/>
        </w:rPr>
      </w:pPr>
      <w:r>
        <w:rPr>
          <w:rFonts w:hint="eastAsia" w:ascii="宋体" w:hAnsi="宋体" w:cs="宋体"/>
          <w:szCs w:val="24"/>
        </w:rPr>
        <w:t>29.1 采购人应当自中标通知书发出之日起30日内，按照招标文件和中标人投标文件的规定，与中标人签订书面合同。所签订的合同不得对招标文件确定的事项和中标人投标文件作实质性修改。</w:t>
      </w:r>
    </w:p>
    <w:p>
      <w:pPr>
        <w:pStyle w:val="64"/>
        <w:tabs>
          <w:tab w:val="left" w:pos="0"/>
        </w:tabs>
        <w:spacing w:before="0"/>
        <w:ind w:firstLine="480"/>
        <w:rPr>
          <w:rFonts w:ascii="宋体" w:hAnsi="宋体" w:cs="宋体"/>
          <w:szCs w:val="24"/>
        </w:rPr>
      </w:pPr>
      <w:r>
        <w:rPr>
          <w:rFonts w:hint="eastAsia" w:ascii="宋体" w:hAnsi="宋体" w:cs="宋体"/>
          <w:szCs w:val="24"/>
        </w:rPr>
        <w:t>29.2 中标或者成交供应商拒绝与采购人签订合同的，采购人可以按照评审报告推荐的中标或者成交候选人名单排序，确定下一候选人为中标或者成交供应商，也可以重新开展采购活动。</w:t>
      </w:r>
    </w:p>
    <w:p>
      <w:pPr>
        <w:pStyle w:val="15"/>
        <w:spacing w:line="360" w:lineRule="auto"/>
        <w:ind w:left="420" w:leftChars="200"/>
        <w:rPr>
          <w:rFonts w:hAnsi="宋体" w:cs="宋体"/>
          <w:b/>
          <w:sz w:val="24"/>
          <w:szCs w:val="24"/>
        </w:rPr>
      </w:pPr>
      <w:r>
        <w:rPr>
          <w:rFonts w:hint="eastAsia" w:hAnsi="宋体" w:cs="宋体"/>
          <w:b/>
          <w:sz w:val="24"/>
          <w:szCs w:val="24"/>
        </w:rPr>
        <w:t>30.履约保证金</w:t>
      </w:r>
    </w:p>
    <w:p>
      <w:pPr>
        <w:pStyle w:val="64"/>
        <w:tabs>
          <w:tab w:val="left" w:pos="0"/>
        </w:tabs>
        <w:spacing w:before="0"/>
        <w:ind w:firstLine="480"/>
        <w:rPr>
          <w:rFonts w:ascii="宋体" w:hAnsi="宋体" w:cs="宋体"/>
          <w:szCs w:val="24"/>
        </w:rPr>
      </w:pPr>
      <w:r>
        <w:rPr>
          <w:rFonts w:hint="eastAsia" w:ascii="宋体" w:hAnsi="宋体" w:cs="宋体"/>
          <w:szCs w:val="24"/>
        </w:rPr>
        <w:t>采购合同条款要求中标供应商提交履约保证金的，供应商应当以支票、汇票、本票或者金融机构、保险公司、担保机构出具的保函等非现金形式提交。</w:t>
      </w:r>
    </w:p>
    <w:p>
      <w:pPr>
        <w:pStyle w:val="15"/>
        <w:spacing w:line="360" w:lineRule="auto"/>
        <w:ind w:left="420" w:leftChars="200"/>
        <w:rPr>
          <w:rFonts w:hAnsi="宋体" w:cs="宋体"/>
          <w:b/>
          <w:sz w:val="24"/>
          <w:szCs w:val="24"/>
        </w:rPr>
      </w:pPr>
      <w:r>
        <w:rPr>
          <w:rFonts w:hint="eastAsia" w:hAnsi="宋体" w:cs="宋体"/>
          <w:b/>
          <w:sz w:val="24"/>
          <w:szCs w:val="24"/>
        </w:rPr>
        <w:t>31.验收</w:t>
      </w:r>
    </w:p>
    <w:p>
      <w:pPr>
        <w:pStyle w:val="64"/>
        <w:tabs>
          <w:tab w:val="left" w:pos="0"/>
        </w:tabs>
        <w:spacing w:before="0"/>
        <w:ind w:firstLine="480"/>
        <w:rPr>
          <w:rFonts w:ascii="宋体" w:hAnsi="宋体" w:cs="宋体"/>
          <w:szCs w:val="24"/>
        </w:rPr>
      </w:pPr>
      <w:r>
        <w:rPr>
          <w:rFonts w:hint="eastAsia" w:ascii="宋体" w:hAnsi="宋体" w:cs="宋体"/>
          <w:szCs w:val="24"/>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64"/>
        <w:tabs>
          <w:tab w:val="left" w:pos="0"/>
        </w:tabs>
        <w:spacing w:before="0"/>
        <w:ind w:firstLine="480"/>
        <w:rPr>
          <w:rFonts w:ascii="宋体" w:hAnsi="宋体" w:cs="宋体"/>
          <w:szCs w:val="24"/>
        </w:rPr>
      </w:pPr>
      <w:r>
        <w:rPr>
          <w:rFonts w:hint="eastAsia" w:ascii="宋体" w:hAnsi="宋体" w:cs="宋体"/>
          <w:szCs w:val="24"/>
        </w:rPr>
        <w:t>31.2采购人应当及时对采购项目进行验收，采购人可以邀请参加本项目的其他投标人或者第三方机构参与验收，参与验收的投标人或者第三方机构的意见作为验收书的参考资料一并存档。</w:t>
      </w:r>
    </w:p>
    <w:p>
      <w:pPr>
        <w:pStyle w:val="64"/>
        <w:tabs>
          <w:tab w:val="left" w:pos="0"/>
        </w:tabs>
        <w:spacing w:before="0"/>
        <w:ind w:firstLine="480"/>
        <w:rPr>
          <w:rFonts w:ascii="宋体" w:hAnsi="宋体" w:cs="宋体"/>
          <w:szCs w:val="24"/>
        </w:rPr>
      </w:pPr>
      <w:r>
        <w:rPr>
          <w:rFonts w:hint="eastAsia" w:ascii="宋体" w:hAnsi="宋体" w:cs="宋体"/>
          <w:szCs w:val="24"/>
        </w:rPr>
        <w:t>31.3采购人负责加强对中标人的履约管理，并按照采购合同约定，及时向中标人支付采购资金。对于中标人违反采购合同约定的行为，采购人应当及时处理，依法追究其违约责任。</w:t>
      </w:r>
    </w:p>
    <w:p>
      <w:pPr>
        <w:pStyle w:val="15"/>
        <w:spacing w:line="360" w:lineRule="auto"/>
        <w:ind w:left="420" w:leftChars="200"/>
        <w:rPr>
          <w:rFonts w:hAnsi="宋体" w:cs="宋体"/>
          <w:b/>
          <w:sz w:val="24"/>
          <w:szCs w:val="24"/>
        </w:rPr>
      </w:pPr>
      <w:r>
        <w:rPr>
          <w:rFonts w:hint="eastAsia" w:hAnsi="宋体" w:cs="宋体"/>
          <w:b/>
          <w:sz w:val="24"/>
          <w:szCs w:val="24"/>
        </w:rPr>
        <w:t>32.货款结算方式</w:t>
      </w:r>
    </w:p>
    <w:p>
      <w:pPr>
        <w:tabs>
          <w:tab w:val="left" w:pos="0"/>
        </w:tabs>
        <w:spacing w:line="360" w:lineRule="auto"/>
        <w:ind w:firstLine="480"/>
        <w:rPr>
          <w:rFonts w:ascii="宋体" w:hAnsi="宋体" w:cs="宋体"/>
          <w:sz w:val="24"/>
        </w:rPr>
      </w:pPr>
      <w:r>
        <w:rPr>
          <w:rFonts w:hint="eastAsia" w:ascii="宋体" w:hAnsi="宋体" w:cs="宋体"/>
          <w:sz w:val="24"/>
        </w:rPr>
        <w:t>付款方式：采购人与中标人依照招标文件规定的付款方式进行项目款项的支付。</w:t>
      </w:r>
    </w:p>
    <w:p>
      <w:pPr>
        <w:pStyle w:val="15"/>
        <w:spacing w:line="360" w:lineRule="auto"/>
        <w:ind w:left="420" w:leftChars="200"/>
        <w:rPr>
          <w:rFonts w:hAnsi="宋体" w:cs="宋体"/>
          <w:b/>
          <w:sz w:val="24"/>
          <w:szCs w:val="24"/>
        </w:rPr>
      </w:pPr>
      <w:r>
        <w:rPr>
          <w:rFonts w:hint="eastAsia" w:hAnsi="宋体" w:cs="宋体"/>
          <w:b/>
          <w:sz w:val="24"/>
          <w:szCs w:val="24"/>
        </w:rPr>
        <w:t>33.售后服务考核</w:t>
      </w:r>
    </w:p>
    <w:p>
      <w:pPr>
        <w:spacing w:line="360" w:lineRule="auto"/>
        <w:ind w:firstLine="480"/>
        <w:jc w:val="left"/>
      </w:pPr>
      <w:r>
        <w:rPr>
          <w:rFonts w:hint="eastAsia" w:ascii="宋体" w:hAnsi="宋体" w:cs="宋体"/>
          <w:sz w:val="24"/>
        </w:rPr>
        <w:t>采购代理机构将配合采购人主管部门不定期对合同的履约情况进行检查，发现弄虚作假，偷工减料，以次充好，达不到国家、行业有关标准和技术文件规定的，一经查实，由有关职能部门给与相应处罚。</w:t>
      </w:r>
    </w:p>
    <w:p>
      <w:pPr>
        <w:pStyle w:val="2"/>
        <w:ind w:firstLine="480"/>
        <w:rPr>
          <w:sz w:val="24"/>
          <w:szCs w:val="24"/>
        </w:rPr>
      </w:pPr>
    </w:p>
    <w:p>
      <w:pPr>
        <w:snapToGrid w:val="0"/>
        <w:spacing w:line="360" w:lineRule="auto"/>
        <w:jc w:val="center"/>
        <w:outlineLvl w:val="0"/>
        <w:rPr>
          <w:rFonts w:ascii="宋体" w:hAnsi="宋体" w:cs="宋体"/>
          <w:b/>
          <w:sz w:val="32"/>
        </w:rPr>
      </w:pPr>
      <w:bookmarkStart w:id="58" w:name="_Toc10926"/>
      <w:bookmarkStart w:id="59" w:name="_Toc7716"/>
      <w:r>
        <w:rPr>
          <w:rFonts w:hint="eastAsia" w:ascii="宋体" w:hAnsi="宋体" w:cs="宋体"/>
          <w:b/>
          <w:sz w:val="32"/>
        </w:rPr>
        <w:t>十、质疑与投诉</w:t>
      </w:r>
      <w:bookmarkEnd w:id="58"/>
      <w:bookmarkEnd w:id="59"/>
    </w:p>
    <w:p>
      <w:pPr>
        <w:tabs>
          <w:tab w:val="left" w:pos="0"/>
        </w:tabs>
        <w:spacing w:line="360" w:lineRule="auto"/>
        <w:ind w:firstLine="480"/>
        <w:rPr>
          <w:rFonts w:ascii="宋体" w:hAnsi="宋体" w:cs="宋体"/>
          <w:sz w:val="24"/>
        </w:rPr>
      </w:pPr>
      <w:r>
        <w:rPr>
          <w:rFonts w:hint="eastAsia" w:ascii="宋体" w:hAnsi="宋体" w:cs="宋体"/>
          <w:sz w:val="24"/>
        </w:rPr>
        <w:t>根据《上虞区区属国有企业货物和服务采购管理办法》的规定，采购供应商可以依法提起质疑和投诉。</w:t>
      </w:r>
    </w:p>
    <w:p>
      <w:pPr>
        <w:pStyle w:val="15"/>
        <w:spacing w:line="360" w:lineRule="auto"/>
        <w:ind w:left="420" w:leftChars="200"/>
        <w:rPr>
          <w:rFonts w:hAnsi="宋体" w:cs="宋体"/>
          <w:b/>
          <w:sz w:val="24"/>
          <w:szCs w:val="24"/>
          <w:lang w:val="zh-CN"/>
        </w:rPr>
      </w:pPr>
      <w:r>
        <w:rPr>
          <w:rFonts w:hint="eastAsia" w:hAnsi="宋体" w:cs="宋体"/>
          <w:b/>
          <w:sz w:val="24"/>
          <w:szCs w:val="24"/>
        </w:rPr>
        <w:t>34.</w:t>
      </w:r>
      <w:r>
        <w:rPr>
          <w:rFonts w:hint="eastAsia" w:hAnsi="宋体" w:cs="宋体"/>
          <w:b/>
          <w:sz w:val="24"/>
          <w:szCs w:val="24"/>
          <w:lang w:val="zh-CN"/>
        </w:rPr>
        <w:t>供应商询问</w:t>
      </w:r>
    </w:p>
    <w:p>
      <w:pPr>
        <w:pStyle w:val="15"/>
        <w:spacing w:line="360" w:lineRule="auto"/>
        <w:ind w:firstLine="480" w:firstLineChars="200"/>
        <w:rPr>
          <w:rFonts w:hAnsi="宋体" w:cs="宋体"/>
          <w:sz w:val="24"/>
        </w:rPr>
      </w:pPr>
      <w:r>
        <w:rPr>
          <w:rFonts w:hint="eastAsia" w:hAnsi="宋体" w:cs="宋体"/>
          <w:sz w:val="24"/>
        </w:rPr>
        <w:t>供应商对国企采购活动事项有疑问的，可以向采购代理机构提出询问，采购代理机构将对供应商依法提出的询问作出答复，但答复的内容不得涉及商业秘密。</w:t>
      </w:r>
    </w:p>
    <w:p>
      <w:pPr>
        <w:pStyle w:val="15"/>
        <w:spacing w:line="360" w:lineRule="auto"/>
        <w:ind w:left="420" w:leftChars="200"/>
        <w:rPr>
          <w:rFonts w:hAnsi="宋体" w:cs="宋体"/>
          <w:b/>
          <w:sz w:val="24"/>
          <w:szCs w:val="24"/>
          <w:lang w:val="zh-CN"/>
        </w:rPr>
      </w:pPr>
      <w:r>
        <w:rPr>
          <w:rFonts w:hint="eastAsia" w:hAnsi="宋体" w:cs="宋体"/>
          <w:b/>
          <w:sz w:val="24"/>
          <w:szCs w:val="24"/>
        </w:rPr>
        <w:t>35.</w:t>
      </w:r>
      <w:r>
        <w:rPr>
          <w:rFonts w:hint="eastAsia" w:hAnsi="宋体" w:cs="宋体"/>
          <w:b/>
          <w:sz w:val="24"/>
          <w:szCs w:val="24"/>
          <w:lang w:val="zh-CN"/>
        </w:rPr>
        <w:t>供应商质疑</w:t>
      </w:r>
    </w:p>
    <w:p>
      <w:pPr>
        <w:pStyle w:val="64"/>
        <w:tabs>
          <w:tab w:val="left" w:pos="0"/>
        </w:tabs>
        <w:spacing w:before="0"/>
        <w:ind w:firstLine="480"/>
        <w:rPr>
          <w:rFonts w:ascii="宋体" w:hAnsi="宋体" w:cs="宋体"/>
          <w:szCs w:val="24"/>
        </w:rPr>
      </w:pPr>
      <w:r>
        <w:rPr>
          <w:rFonts w:hint="eastAsia" w:ascii="宋体" w:hAnsi="宋体" w:cs="宋体"/>
          <w:szCs w:val="24"/>
        </w:rPr>
        <w:t>35.1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64"/>
        <w:tabs>
          <w:tab w:val="left" w:pos="0"/>
        </w:tabs>
        <w:spacing w:before="0"/>
        <w:ind w:firstLine="480"/>
        <w:rPr>
          <w:rFonts w:ascii="宋体" w:hAnsi="宋体" w:cs="宋体"/>
          <w:szCs w:val="24"/>
        </w:rPr>
      </w:pPr>
      <w:r>
        <w:rPr>
          <w:rFonts w:hint="eastAsia" w:ascii="宋体" w:hAnsi="宋体" w:cs="宋体"/>
          <w:szCs w:val="24"/>
        </w:rPr>
        <w:t>《上虞区区属国有企业货物和服务采购管理办法》第四十九条规定的供应商应知其权益收到损害之日，是指：</w:t>
      </w:r>
    </w:p>
    <w:p>
      <w:pPr>
        <w:pStyle w:val="64"/>
        <w:tabs>
          <w:tab w:val="left" w:pos="0"/>
        </w:tabs>
        <w:spacing w:before="0"/>
        <w:ind w:firstLine="480"/>
        <w:rPr>
          <w:rFonts w:ascii="宋体" w:hAnsi="宋体" w:cs="宋体"/>
          <w:szCs w:val="24"/>
        </w:rPr>
      </w:pPr>
      <w:r>
        <w:rPr>
          <w:rFonts w:hint="eastAsia" w:ascii="宋体" w:hAnsi="宋体" w:cs="宋体"/>
          <w:szCs w:val="24"/>
        </w:rPr>
        <w:t>（一）对可以质疑的采购文件提出质疑的，为收到采购文件之日或者采购文件公告期限届满之日（公告期限届满后获取采购文件的，以公告期限届满之日为准）；</w:t>
      </w:r>
    </w:p>
    <w:p>
      <w:pPr>
        <w:pStyle w:val="64"/>
        <w:tabs>
          <w:tab w:val="left" w:pos="0"/>
        </w:tabs>
        <w:spacing w:before="0"/>
        <w:ind w:firstLine="480"/>
        <w:rPr>
          <w:rFonts w:ascii="宋体" w:hAnsi="宋体" w:cs="宋体"/>
          <w:szCs w:val="24"/>
        </w:rPr>
      </w:pPr>
      <w:r>
        <w:rPr>
          <w:rFonts w:hint="eastAsia" w:ascii="宋体" w:hAnsi="宋体" w:cs="宋体"/>
          <w:szCs w:val="24"/>
        </w:rPr>
        <w:t>（二）对采购过程提出质疑的，为各采购程序环节结束之日；</w:t>
      </w:r>
    </w:p>
    <w:p>
      <w:pPr>
        <w:pStyle w:val="64"/>
        <w:tabs>
          <w:tab w:val="left" w:pos="0"/>
        </w:tabs>
        <w:spacing w:before="0"/>
        <w:ind w:firstLine="480"/>
        <w:rPr>
          <w:rFonts w:ascii="宋体" w:hAnsi="宋体" w:cs="宋体"/>
          <w:szCs w:val="24"/>
        </w:rPr>
      </w:pPr>
      <w:r>
        <w:rPr>
          <w:rFonts w:hint="eastAsia" w:ascii="宋体" w:hAnsi="宋体" w:cs="宋体"/>
          <w:szCs w:val="24"/>
        </w:rPr>
        <w:t>（三）对中标或者成交结果提出质疑的，为中标或者成交结果公告期限届满之日。</w:t>
      </w:r>
    </w:p>
    <w:p>
      <w:pPr>
        <w:pStyle w:val="64"/>
        <w:tabs>
          <w:tab w:val="left" w:pos="0"/>
        </w:tabs>
        <w:spacing w:before="0"/>
        <w:ind w:left="420" w:leftChars="200" w:firstLine="0" w:firstLineChars="0"/>
        <w:rPr>
          <w:rFonts w:ascii="宋体" w:hAnsi="宋体" w:cs="宋体"/>
          <w:szCs w:val="24"/>
        </w:rPr>
      </w:pPr>
      <w:r>
        <w:rPr>
          <w:rFonts w:hint="eastAsia" w:ascii="宋体" w:hAnsi="宋体" w:cs="宋体"/>
          <w:szCs w:val="24"/>
        </w:rPr>
        <w:t>35.2供应商提交的质疑书需一式三份，由法定代表人签字（或盖章）并加盖单位公章。质疑书至少应包括下列主要内容：</w:t>
      </w:r>
    </w:p>
    <w:p>
      <w:pPr>
        <w:pStyle w:val="15"/>
        <w:numPr>
          <w:ilvl w:val="0"/>
          <w:numId w:val="35"/>
        </w:numPr>
        <w:spacing w:line="360" w:lineRule="auto"/>
        <w:ind w:firstLine="480" w:firstLineChars="200"/>
        <w:rPr>
          <w:rFonts w:hAnsi="宋体" w:cs="宋体"/>
          <w:sz w:val="24"/>
        </w:rPr>
      </w:pPr>
      <w:r>
        <w:rPr>
          <w:rFonts w:hint="eastAsia" w:hAnsi="宋体" w:cs="宋体"/>
          <w:sz w:val="24"/>
        </w:rPr>
        <w:t>质疑人的名称、地址、邮政编码、联系人、联系电话，以及被质疑人名称及联系方式；</w:t>
      </w:r>
    </w:p>
    <w:p>
      <w:pPr>
        <w:pStyle w:val="15"/>
        <w:numPr>
          <w:ilvl w:val="0"/>
          <w:numId w:val="35"/>
        </w:numPr>
        <w:spacing w:line="360" w:lineRule="auto"/>
        <w:ind w:firstLine="480" w:firstLineChars="200"/>
        <w:rPr>
          <w:rFonts w:hAnsi="宋体" w:cs="宋体"/>
          <w:sz w:val="24"/>
        </w:rPr>
      </w:pPr>
      <w:r>
        <w:rPr>
          <w:rFonts w:hint="eastAsia" w:hAnsi="宋体" w:cs="宋体"/>
          <w:sz w:val="24"/>
        </w:rPr>
        <w:t>被质疑采购项目名称、编号及采购内容；</w:t>
      </w:r>
    </w:p>
    <w:p>
      <w:pPr>
        <w:pStyle w:val="15"/>
        <w:numPr>
          <w:ilvl w:val="0"/>
          <w:numId w:val="35"/>
        </w:numPr>
        <w:spacing w:line="360" w:lineRule="auto"/>
        <w:ind w:firstLine="480" w:firstLineChars="200"/>
        <w:rPr>
          <w:rFonts w:hAnsi="宋体" w:cs="宋体"/>
          <w:sz w:val="24"/>
        </w:rPr>
      </w:pPr>
      <w:r>
        <w:rPr>
          <w:rFonts w:hint="eastAsia" w:hAnsi="宋体" w:cs="宋体"/>
          <w:sz w:val="24"/>
        </w:rPr>
        <w:t>具体的质疑事项及事实依据；</w:t>
      </w:r>
    </w:p>
    <w:p>
      <w:pPr>
        <w:pStyle w:val="15"/>
        <w:numPr>
          <w:ilvl w:val="0"/>
          <w:numId w:val="35"/>
        </w:numPr>
        <w:spacing w:line="360" w:lineRule="auto"/>
        <w:ind w:firstLine="480" w:firstLineChars="200"/>
        <w:rPr>
          <w:rFonts w:hAnsi="宋体" w:cs="宋体"/>
          <w:sz w:val="24"/>
        </w:rPr>
      </w:pPr>
      <w:r>
        <w:rPr>
          <w:rFonts w:hint="eastAsia" w:hAnsi="宋体" w:cs="宋体"/>
          <w:sz w:val="24"/>
        </w:rPr>
        <w:t>认为自己合法权益受到损害或可能受到损害的相关证据材料；</w:t>
      </w:r>
    </w:p>
    <w:p>
      <w:pPr>
        <w:pStyle w:val="15"/>
        <w:numPr>
          <w:ilvl w:val="0"/>
          <w:numId w:val="35"/>
        </w:numPr>
        <w:spacing w:line="360" w:lineRule="auto"/>
        <w:ind w:firstLine="480" w:firstLineChars="200"/>
        <w:rPr>
          <w:rFonts w:hAnsi="宋体" w:cs="宋体"/>
          <w:sz w:val="24"/>
        </w:rPr>
      </w:pPr>
      <w:r>
        <w:rPr>
          <w:rFonts w:hint="eastAsia" w:hAnsi="宋体" w:cs="宋体"/>
          <w:sz w:val="24"/>
        </w:rPr>
        <w:t>提出质疑的日期。</w:t>
      </w:r>
    </w:p>
    <w:p>
      <w:pPr>
        <w:pStyle w:val="15"/>
        <w:spacing w:line="360" w:lineRule="auto"/>
        <w:ind w:firstLine="482" w:firstLineChars="200"/>
        <w:rPr>
          <w:rFonts w:hAnsi="宋体" w:cs="宋体"/>
          <w:b/>
          <w:sz w:val="24"/>
        </w:rPr>
      </w:pPr>
      <w:r>
        <w:rPr>
          <w:rFonts w:hint="eastAsia" w:hAnsi="宋体" w:cs="宋体"/>
          <w:b/>
          <w:sz w:val="24"/>
        </w:rPr>
        <w:t>未按上述内容填写的质疑书将不予受理。</w:t>
      </w:r>
    </w:p>
    <w:p>
      <w:pPr>
        <w:pStyle w:val="64"/>
        <w:tabs>
          <w:tab w:val="left" w:pos="0"/>
        </w:tabs>
        <w:spacing w:before="0"/>
        <w:ind w:firstLine="480"/>
        <w:rPr>
          <w:rFonts w:ascii="宋体" w:hAnsi="宋体" w:cs="宋体"/>
          <w:szCs w:val="24"/>
        </w:rPr>
      </w:pPr>
      <w:r>
        <w:rPr>
          <w:rFonts w:hint="eastAsia" w:ascii="宋体" w:hAnsi="宋体" w:cs="宋体"/>
          <w:szCs w:val="24"/>
        </w:rPr>
        <w:t>35.3采购代理机构应当在收到供应商的书面质疑后七个工作日内作出答复，并以书面形式通知质疑供应商和其他与质疑处理结果有利害关系的国企采购当事人，但答复的内容不得涉及商业秘密。</w:t>
      </w:r>
    </w:p>
    <w:p>
      <w:pPr>
        <w:pStyle w:val="64"/>
        <w:tabs>
          <w:tab w:val="left" w:pos="0"/>
        </w:tabs>
        <w:spacing w:before="0"/>
        <w:ind w:firstLine="480"/>
        <w:rPr>
          <w:rFonts w:ascii="宋体" w:hAnsi="宋体" w:cs="宋体"/>
          <w:szCs w:val="24"/>
        </w:rPr>
      </w:pPr>
      <w:r>
        <w:rPr>
          <w:rFonts w:hint="eastAsia" w:ascii="宋体" w:hAnsi="宋体" w:cs="宋体"/>
          <w:szCs w:val="24"/>
        </w:rPr>
        <w:t>35.4询问或者质疑事项可能影响采购结果的，采购人应当暂停签订合同，已经签订合同的，应当中止履行合同。</w:t>
      </w:r>
    </w:p>
    <w:p>
      <w:pPr>
        <w:pStyle w:val="15"/>
        <w:spacing w:line="360" w:lineRule="auto"/>
        <w:ind w:left="420" w:leftChars="200"/>
        <w:rPr>
          <w:rFonts w:hAnsi="宋体" w:cs="宋体"/>
          <w:b/>
          <w:sz w:val="24"/>
          <w:szCs w:val="24"/>
          <w:lang w:val="zh-CN"/>
        </w:rPr>
      </w:pPr>
      <w:r>
        <w:rPr>
          <w:rFonts w:hint="eastAsia" w:hAnsi="宋体" w:cs="宋体"/>
          <w:b/>
          <w:sz w:val="24"/>
          <w:szCs w:val="24"/>
        </w:rPr>
        <w:t>36</w:t>
      </w:r>
      <w:r>
        <w:rPr>
          <w:rFonts w:hAnsi="宋体" w:cs="宋体"/>
          <w:b/>
          <w:sz w:val="24"/>
          <w:szCs w:val="24"/>
        </w:rPr>
        <w:t>.</w:t>
      </w:r>
      <w:r>
        <w:rPr>
          <w:rFonts w:hint="eastAsia" w:hAnsi="宋体" w:cs="宋体"/>
          <w:b/>
          <w:sz w:val="24"/>
          <w:szCs w:val="24"/>
          <w:lang w:val="zh-CN"/>
        </w:rPr>
        <w:t>供应商投诉</w:t>
      </w:r>
    </w:p>
    <w:p>
      <w:pPr>
        <w:pStyle w:val="64"/>
        <w:tabs>
          <w:tab w:val="left" w:pos="0"/>
        </w:tabs>
        <w:spacing w:before="0"/>
        <w:ind w:firstLine="480"/>
        <w:rPr>
          <w:rFonts w:ascii="宋体" w:hAnsi="宋体" w:cs="宋体"/>
          <w:szCs w:val="24"/>
        </w:rPr>
      </w:pPr>
      <w:r>
        <w:rPr>
          <w:rFonts w:hint="eastAsia" w:ascii="宋体" w:hAnsi="宋体" w:cs="宋体"/>
          <w:szCs w:val="24"/>
        </w:rPr>
        <w:t>36.1质疑供应商对质疑的答复不满意，或者采购人或采购代理机构未在规定时间内答复的，可以在收到答复之日或者答复期满后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64"/>
        <w:tabs>
          <w:tab w:val="left" w:pos="0"/>
        </w:tabs>
        <w:spacing w:before="0"/>
        <w:ind w:firstLine="480"/>
        <w:rPr>
          <w:rFonts w:ascii="宋体" w:hAnsi="宋体" w:cs="宋体"/>
          <w:b/>
        </w:rPr>
      </w:pPr>
      <w:r>
        <w:rPr>
          <w:rFonts w:hint="eastAsia" w:ascii="宋体" w:hAnsi="宋体" w:cs="宋体"/>
          <w:szCs w:val="24"/>
        </w:rPr>
        <w:t>36.2投诉人提交投诉件时，应当提供相关书面证据、依据和其他有关材料。</w:t>
      </w:r>
    </w:p>
    <w:bookmarkEnd w:id="51"/>
    <w:p>
      <w:pPr>
        <w:spacing w:after="156" w:afterLines="50" w:line="360" w:lineRule="auto"/>
        <w:jc w:val="center"/>
        <w:outlineLvl w:val="0"/>
        <w:rPr>
          <w:rFonts w:ascii="宋体" w:hAnsi="宋体" w:cs="宋体"/>
          <w:b/>
          <w:sz w:val="36"/>
          <w:szCs w:val="36"/>
        </w:rPr>
      </w:pPr>
      <w:r>
        <w:rPr>
          <w:rFonts w:hint="eastAsia" w:ascii="宋体" w:hAnsi="宋体" w:cs="宋体"/>
          <w:sz w:val="24"/>
          <w:szCs w:val="20"/>
        </w:rPr>
        <w:br w:type="page"/>
      </w:r>
      <w:bookmarkStart w:id="60" w:name="_Toc10484"/>
      <w:r>
        <w:rPr>
          <w:rFonts w:hint="eastAsia" w:ascii="宋体" w:hAnsi="宋体" w:cs="宋体"/>
          <w:b/>
          <w:sz w:val="36"/>
          <w:szCs w:val="36"/>
        </w:rPr>
        <w:t>第三部分</w:t>
      </w:r>
      <w:bookmarkEnd w:id="43"/>
      <w:bookmarkEnd w:id="44"/>
      <w:bookmarkStart w:id="61" w:name="_Toc184308107"/>
      <w:bookmarkEnd w:id="61"/>
      <w:bookmarkStart w:id="62" w:name="_Toc184312075"/>
      <w:bookmarkEnd w:id="62"/>
      <w:bookmarkStart w:id="63" w:name="_Toc184313257"/>
      <w:bookmarkEnd w:id="63"/>
      <w:bookmarkStart w:id="64" w:name="_Toc184308098"/>
      <w:bookmarkEnd w:id="64"/>
      <w:bookmarkStart w:id="65" w:name="_Toc184314414"/>
      <w:bookmarkEnd w:id="65"/>
      <w:bookmarkStart w:id="66" w:name="_Toc184313309"/>
      <w:bookmarkEnd w:id="66"/>
      <w:bookmarkStart w:id="67" w:name="_Toc184314480"/>
      <w:bookmarkEnd w:id="67"/>
      <w:bookmarkStart w:id="68" w:name="_Toc184313241"/>
      <w:bookmarkEnd w:id="68"/>
      <w:bookmarkStart w:id="69" w:name="_Toc184314475"/>
      <w:bookmarkEnd w:id="69"/>
      <w:bookmarkStart w:id="70" w:name="_Toc184310332"/>
      <w:bookmarkEnd w:id="70"/>
      <w:bookmarkStart w:id="71" w:name="_Toc184313282"/>
      <w:bookmarkEnd w:id="71"/>
      <w:bookmarkStart w:id="72" w:name="_Toc184312120"/>
      <w:bookmarkEnd w:id="72"/>
      <w:bookmarkStart w:id="73" w:name="_Toc184313283"/>
      <w:bookmarkEnd w:id="73"/>
      <w:bookmarkStart w:id="74" w:name="_Toc184313292"/>
      <w:bookmarkEnd w:id="74"/>
      <w:bookmarkStart w:id="75" w:name="_Toc184308051"/>
      <w:bookmarkEnd w:id="75"/>
      <w:bookmarkStart w:id="76" w:name="_Toc184314442"/>
      <w:bookmarkEnd w:id="76"/>
      <w:bookmarkStart w:id="77" w:name="_Toc184310341"/>
      <w:bookmarkEnd w:id="77"/>
      <w:bookmarkStart w:id="78" w:name="_Toc184310340"/>
      <w:bookmarkEnd w:id="78"/>
      <w:bookmarkStart w:id="79" w:name="_Toc184314438"/>
      <w:bookmarkEnd w:id="79"/>
      <w:bookmarkStart w:id="80" w:name="_Toc184312091"/>
      <w:bookmarkEnd w:id="80"/>
      <w:bookmarkStart w:id="81" w:name="_Toc184314412"/>
      <w:bookmarkEnd w:id="81"/>
      <w:bookmarkStart w:id="82" w:name="_Toc184308066"/>
      <w:bookmarkEnd w:id="82"/>
      <w:bookmarkStart w:id="83" w:name="_Toc184314459"/>
      <w:bookmarkEnd w:id="83"/>
      <w:bookmarkStart w:id="84" w:name="_Toc184310294"/>
      <w:bookmarkEnd w:id="84"/>
      <w:bookmarkStart w:id="85" w:name="_Toc184313268"/>
      <w:bookmarkEnd w:id="85"/>
      <w:bookmarkStart w:id="86" w:name="_Toc184312090"/>
      <w:bookmarkEnd w:id="86"/>
      <w:bookmarkStart w:id="87" w:name="_Toc184314477"/>
      <w:bookmarkEnd w:id="87"/>
      <w:bookmarkStart w:id="88" w:name="_Toc184313299"/>
      <w:bookmarkEnd w:id="88"/>
      <w:bookmarkStart w:id="89" w:name="_Toc184312100"/>
      <w:bookmarkEnd w:id="89"/>
      <w:bookmarkStart w:id="90" w:name="_Toc184310330"/>
      <w:bookmarkEnd w:id="90"/>
      <w:bookmarkStart w:id="91" w:name="_Toc184314439"/>
      <w:bookmarkEnd w:id="91"/>
      <w:bookmarkStart w:id="92" w:name="_Toc184310292"/>
      <w:bookmarkEnd w:id="92"/>
      <w:bookmarkStart w:id="93" w:name="_Toc184313253"/>
      <w:bookmarkEnd w:id="93"/>
      <w:bookmarkStart w:id="94" w:name="_Toc184310323"/>
      <w:bookmarkEnd w:id="94"/>
      <w:bookmarkStart w:id="95" w:name="_Toc184312085"/>
      <w:bookmarkEnd w:id="95"/>
      <w:bookmarkStart w:id="96" w:name="_Toc184312107"/>
      <w:bookmarkEnd w:id="96"/>
      <w:bookmarkStart w:id="97" w:name="_Toc184312109"/>
      <w:bookmarkEnd w:id="97"/>
      <w:bookmarkStart w:id="98" w:name="_Toc184312132"/>
      <w:bookmarkEnd w:id="98"/>
      <w:bookmarkStart w:id="99" w:name="_Toc184312128"/>
      <w:bookmarkEnd w:id="99"/>
      <w:bookmarkStart w:id="100" w:name="_Toc184310310"/>
      <w:bookmarkEnd w:id="100"/>
      <w:bookmarkStart w:id="101" w:name="_Toc184310306"/>
      <w:bookmarkEnd w:id="101"/>
      <w:bookmarkStart w:id="102" w:name="_Toc184312121"/>
      <w:bookmarkEnd w:id="102"/>
      <w:bookmarkStart w:id="103" w:name="_Toc184314431"/>
      <w:bookmarkEnd w:id="103"/>
      <w:bookmarkStart w:id="104" w:name="_Toc184313254"/>
      <w:bookmarkEnd w:id="104"/>
      <w:bookmarkStart w:id="105" w:name="_Toc184308084"/>
      <w:bookmarkEnd w:id="105"/>
      <w:bookmarkStart w:id="106" w:name="_Toc184308039"/>
      <w:bookmarkEnd w:id="106"/>
      <w:bookmarkStart w:id="107" w:name="_Toc184313263"/>
      <w:bookmarkEnd w:id="107"/>
      <w:bookmarkStart w:id="108" w:name="_Toc184310320"/>
      <w:bookmarkEnd w:id="108"/>
      <w:bookmarkStart w:id="109" w:name="_Toc184310298"/>
      <w:bookmarkEnd w:id="109"/>
      <w:bookmarkStart w:id="110" w:name="_Toc184308086"/>
      <w:bookmarkEnd w:id="110"/>
      <w:bookmarkStart w:id="111" w:name="_Toc184313287"/>
      <w:bookmarkEnd w:id="111"/>
      <w:bookmarkStart w:id="112" w:name="_Toc184308040"/>
      <w:bookmarkEnd w:id="112"/>
      <w:bookmarkStart w:id="113" w:name="_Toc184314423"/>
      <w:bookmarkEnd w:id="113"/>
      <w:bookmarkStart w:id="114" w:name="_Toc184310312"/>
      <w:bookmarkEnd w:id="114"/>
      <w:bookmarkStart w:id="115" w:name="_Toc184310329"/>
      <w:bookmarkEnd w:id="115"/>
      <w:bookmarkStart w:id="116" w:name="_Toc184312067"/>
      <w:bookmarkEnd w:id="116"/>
      <w:bookmarkStart w:id="117" w:name="_Toc184310337"/>
      <w:bookmarkEnd w:id="117"/>
      <w:bookmarkStart w:id="118" w:name="_Toc184314424"/>
      <w:bookmarkEnd w:id="118"/>
      <w:bookmarkStart w:id="119" w:name="_Toc184313262"/>
      <w:bookmarkEnd w:id="119"/>
      <w:bookmarkStart w:id="120" w:name="_Toc184313255"/>
      <w:bookmarkEnd w:id="120"/>
      <w:bookmarkStart w:id="121" w:name="_Toc184310299"/>
      <w:bookmarkEnd w:id="121"/>
      <w:bookmarkStart w:id="122" w:name="_Toc184308036"/>
      <w:bookmarkEnd w:id="122"/>
      <w:bookmarkStart w:id="123" w:name="_Toc184312088"/>
      <w:bookmarkEnd w:id="123"/>
      <w:bookmarkStart w:id="124" w:name="_Toc184310279"/>
      <w:bookmarkEnd w:id="124"/>
      <w:bookmarkStart w:id="125" w:name="_Toc184314473"/>
      <w:bookmarkEnd w:id="125"/>
      <w:bookmarkStart w:id="126" w:name="_Toc184312104"/>
      <w:bookmarkEnd w:id="126"/>
      <w:bookmarkStart w:id="127" w:name="_Toc184314419"/>
      <w:bookmarkEnd w:id="127"/>
      <w:bookmarkStart w:id="128" w:name="_Toc184308097"/>
      <w:bookmarkEnd w:id="128"/>
      <w:bookmarkStart w:id="129" w:name="_Toc184308061"/>
      <w:bookmarkEnd w:id="129"/>
      <w:bookmarkStart w:id="130" w:name="_Toc184308108"/>
      <w:bookmarkEnd w:id="130"/>
      <w:bookmarkStart w:id="131" w:name="_Toc184312134"/>
      <w:bookmarkEnd w:id="131"/>
      <w:bookmarkStart w:id="132" w:name="_Toc184310319"/>
      <w:bookmarkEnd w:id="132"/>
      <w:bookmarkStart w:id="133" w:name="_Toc184313302"/>
      <w:bookmarkEnd w:id="133"/>
      <w:bookmarkStart w:id="134" w:name="_Toc184308070"/>
      <w:bookmarkEnd w:id="134"/>
      <w:bookmarkStart w:id="135" w:name="_Toc184308063"/>
      <w:bookmarkEnd w:id="135"/>
      <w:bookmarkStart w:id="136" w:name="_Toc184314463"/>
      <w:bookmarkEnd w:id="136"/>
      <w:bookmarkStart w:id="137" w:name="_Toc184314436"/>
      <w:bookmarkEnd w:id="137"/>
      <w:bookmarkStart w:id="138" w:name="_Toc184308046"/>
      <w:bookmarkEnd w:id="138"/>
      <w:bookmarkStart w:id="139" w:name="_Toc184310335"/>
      <w:bookmarkEnd w:id="139"/>
      <w:bookmarkStart w:id="140" w:name="_Toc184310326"/>
      <w:bookmarkEnd w:id="140"/>
      <w:bookmarkStart w:id="141" w:name="_Toc184308047"/>
      <w:bookmarkEnd w:id="141"/>
      <w:bookmarkStart w:id="142" w:name="_Toc184314435"/>
      <w:bookmarkEnd w:id="142"/>
      <w:bookmarkStart w:id="143" w:name="_Toc184314427"/>
      <w:bookmarkEnd w:id="143"/>
      <w:bookmarkStart w:id="144" w:name="_Toc184314415"/>
      <w:bookmarkEnd w:id="144"/>
      <w:bookmarkStart w:id="145" w:name="_Toc184310342"/>
      <w:bookmarkEnd w:id="145"/>
      <w:bookmarkStart w:id="146" w:name="_Toc184314432"/>
      <w:bookmarkEnd w:id="146"/>
      <w:bookmarkStart w:id="147" w:name="_Toc184308053"/>
      <w:bookmarkEnd w:id="147"/>
      <w:bookmarkStart w:id="148" w:name="_Toc184310290"/>
      <w:bookmarkEnd w:id="148"/>
      <w:bookmarkStart w:id="149" w:name="_Toc184310303"/>
      <w:bookmarkEnd w:id="149"/>
      <w:bookmarkStart w:id="150" w:name="_Toc184310322"/>
      <w:bookmarkEnd w:id="150"/>
      <w:bookmarkStart w:id="151" w:name="_Toc184312093"/>
      <w:bookmarkEnd w:id="151"/>
      <w:bookmarkStart w:id="152" w:name="_Toc184312083"/>
      <w:bookmarkEnd w:id="152"/>
      <w:bookmarkStart w:id="153" w:name="_Toc184312081"/>
      <w:bookmarkEnd w:id="153"/>
      <w:bookmarkStart w:id="154" w:name="_Toc184313301"/>
      <w:bookmarkEnd w:id="154"/>
      <w:bookmarkStart w:id="155" w:name="_Toc184312080"/>
      <w:bookmarkEnd w:id="155"/>
      <w:bookmarkStart w:id="156" w:name="_Toc184313291"/>
      <w:bookmarkEnd w:id="156"/>
      <w:bookmarkStart w:id="157" w:name="_Toc184313273"/>
      <w:bookmarkEnd w:id="157"/>
      <w:bookmarkStart w:id="158" w:name="_Toc184313259"/>
      <w:bookmarkEnd w:id="158"/>
      <w:bookmarkStart w:id="159" w:name="_Toc184314476"/>
      <w:bookmarkEnd w:id="159"/>
      <w:bookmarkStart w:id="160" w:name="_Toc184312139"/>
      <w:bookmarkEnd w:id="160"/>
      <w:bookmarkStart w:id="161" w:name="_Toc184313267"/>
      <w:bookmarkEnd w:id="161"/>
      <w:bookmarkStart w:id="162" w:name="_Toc184312138"/>
      <w:bookmarkEnd w:id="162"/>
      <w:bookmarkStart w:id="163" w:name="_Toc184308038"/>
      <w:bookmarkEnd w:id="163"/>
      <w:bookmarkStart w:id="164" w:name="_Toc184310314"/>
      <w:bookmarkEnd w:id="164"/>
      <w:bookmarkStart w:id="165" w:name="_Toc184314443"/>
      <w:bookmarkEnd w:id="165"/>
      <w:bookmarkStart w:id="166" w:name="_Toc184314462"/>
      <w:bookmarkEnd w:id="166"/>
      <w:bookmarkStart w:id="167" w:name="_Toc184314449"/>
      <w:bookmarkEnd w:id="167"/>
      <w:bookmarkStart w:id="168" w:name="_Toc184313248"/>
      <w:bookmarkEnd w:id="168"/>
      <w:bookmarkStart w:id="169" w:name="_Toc184314470"/>
      <w:bookmarkEnd w:id="169"/>
      <w:bookmarkStart w:id="170" w:name="_Toc184312098"/>
      <w:bookmarkEnd w:id="170"/>
      <w:bookmarkStart w:id="171" w:name="_Toc184310295"/>
      <w:bookmarkEnd w:id="171"/>
      <w:bookmarkStart w:id="172" w:name="_Toc184310328"/>
      <w:bookmarkEnd w:id="172"/>
      <w:bookmarkStart w:id="173" w:name="_Toc184314426"/>
      <w:bookmarkEnd w:id="173"/>
      <w:bookmarkStart w:id="174" w:name="_Toc184314471"/>
      <w:bookmarkEnd w:id="174"/>
      <w:bookmarkStart w:id="175" w:name="_Toc184310313"/>
      <w:bookmarkEnd w:id="175"/>
      <w:bookmarkStart w:id="176" w:name="_Toc184310297"/>
      <w:bookmarkEnd w:id="176"/>
      <w:bookmarkStart w:id="177" w:name="_Toc184312118"/>
      <w:bookmarkEnd w:id="177"/>
      <w:bookmarkStart w:id="178" w:name="_Toc184308049"/>
      <w:bookmarkEnd w:id="178"/>
      <w:bookmarkStart w:id="179" w:name="_Toc184308037"/>
      <w:bookmarkEnd w:id="179"/>
      <w:bookmarkStart w:id="180" w:name="_Toc184312116"/>
      <w:bookmarkEnd w:id="180"/>
      <w:bookmarkStart w:id="181" w:name="_Toc184310275"/>
      <w:bookmarkEnd w:id="181"/>
      <w:bookmarkStart w:id="182" w:name="_Toc184310274"/>
      <w:bookmarkEnd w:id="182"/>
      <w:bookmarkStart w:id="183" w:name="_Toc184310291"/>
      <w:bookmarkEnd w:id="183"/>
      <w:bookmarkStart w:id="184" w:name="_Toc184314434"/>
      <w:bookmarkEnd w:id="184"/>
      <w:bookmarkStart w:id="185" w:name="_Toc184310273"/>
      <w:bookmarkEnd w:id="185"/>
      <w:bookmarkStart w:id="186" w:name="_Toc184312119"/>
      <w:bookmarkEnd w:id="186"/>
      <w:bookmarkStart w:id="187" w:name="_Toc184310334"/>
      <w:bookmarkEnd w:id="187"/>
      <w:bookmarkStart w:id="188" w:name="_Toc184312087"/>
      <w:bookmarkEnd w:id="188"/>
      <w:bookmarkStart w:id="189" w:name="_Toc184308043"/>
      <w:bookmarkEnd w:id="189"/>
      <w:bookmarkStart w:id="190" w:name="_Toc184314447"/>
      <w:bookmarkEnd w:id="190"/>
      <w:bookmarkStart w:id="191" w:name="_Toc184313244"/>
      <w:bookmarkEnd w:id="191"/>
      <w:bookmarkStart w:id="192" w:name="_Toc184312123"/>
      <w:bookmarkEnd w:id="192"/>
      <w:bookmarkStart w:id="193" w:name="_Toc184313252"/>
      <w:bookmarkEnd w:id="193"/>
      <w:bookmarkStart w:id="194" w:name="_Toc184313238"/>
      <w:bookmarkEnd w:id="194"/>
      <w:bookmarkStart w:id="195" w:name="_Toc184313265"/>
      <w:bookmarkEnd w:id="195"/>
      <w:bookmarkStart w:id="196" w:name="_Toc184313274"/>
      <w:bookmarkEnd w:id="196"/>
      <w:bookmarkStart w:id="197" w:name="_Toc184308045"/>
      <w:bookmarkEnd w:id="197"/>
      <w:bookmarkStart w:id="198" w:name="_Toc184314464"/>
      <w:bookmarkEnd w:id="198"/>
      <w:bookmarkStart w:id="199" w:name="_Toc184308094"/>
      <w:bookmarkEnd w:id="199"/>
      <w:bookmarkStart w:id="200" w:name="_Toc184314467"/>
      <w:bookmarkEnd w:id="200"/>
      <w:bookmarkStart w:id="201" w:name="_Toc184310286"/>
      <w:bookmarkEnd w:id="201"/>
      <w:bookmarkStart w:id="202" w:name="_Toc184314410"/>
      <w:bookmarkEnd w:id="202"/>
      <w:bookmarkStart w:id="203" w:name="_Toc184308067"/>
      <w:bookmarkEnd w:id="203"/>
      <w:bookmarkStart w:id="204" w:name="_Toc184308069"/>
      <w:bookmarkEnd w:id="204"/>
      <w:bookmarkStart w:id="205" w:name="_Toc184308102"/>
      <w:bookmarkEnd w:id="205"/>
      <w:bookmarkStart w:id="206" w:name="_Toc184312135"/>
      <w:bookmarkEnd w:id="206"/>
      <w:bookmarkStart w:id="207" w:name="_Toc184313294"/>
      <w:bookmarkEnd w:id="207"/>
      <w:bookmarkStart w:id="208" w:name="_Toc184312110"/>
      <w:bookmarkEnd w:id="208"/>
      <w:bookmarkStart w:id="209" w:name="_Toc184314446"/>
      <w:bookmarkEnd w:id="209"/>
      <w:bookmarkStart w:id="210" w:name="_Toc184312111"/>
      <w:bookmarkEnd w:id="210"/>
      <w:bookmarkStart w:id="211" w:name="_Toc184313270"/>
      <w:bookmarkEnd w:id="211"/>
      <w:bookmarkStart w:id="212" w:name="_Toc184308065"/>
      <w:bookmarkEnd w:id="212"/>
      <w:bookmarkStart w:id="213" w:name="_Toc184308072"/>
      <w:bookmarkEnd w:id="213"/>
      <w:bookmarkStart w:id="214" w:name="_Toc184308048"/>
      <w:bookmarkEnd w:id="214"/>
      <w:bookmarkStart w:id="215" w:name="_Toc184308083"/>
      <w:bookmarkEnd w:id="215"/>
      <w:bookmarkStart w:id="216" w:name="_Toc184313293"/>
      <w:bookmarkEnd w:id="216"/>
      <w:bookmarkStart w:id="217" w:name="_Toc184310281"/>
      <w:bookmarkEnd w:id="217"/>
      <w:bookmarkStart w:id="218" w:name="_Toc184313269"/>
      <w:bookmarkEnd w:id="218"/>
      <w:bookmarkStart w:id="219" w:name="_Toc184310280"/>
      <w:bookmarkEnd w:id="219"/>
      <w:bookmarkStart w:id="220" w:name="_Toc184310278"/>
      <w:bookmarkEnd w:id="220"/>
      <w:bookmarkStart w:id="221" w:name="_Toc184313284"/>
      <w:bookmarkEnd w:id="221"/>
      <w:bookmarkStart w:id="222" w:name="_Toc184314465"/>
      <w:bookmarkEnd w:id="222"/>
      <w:bookmarkStart w:id="223" w:name="_Toc184314428"/>
      <w:bookmarkEnd w:id="223"/>
      <w:bookmarkStart w:id="224" w:name="_Toc184310277"/>
      <w:bookmarkEnd w:id="224"/>
      <w:bookmarkStart w:id="225" w:name="_Toc184308078"/>
      <w:bookmarkEnd w:id="225"/>
      <w:bookmarkStart w:id="226" w:name="_Toc184310304"/>
      <w:bookmarkEnd w:id="226"/>
      <w:bookmarkStart w:id="227" w:name="_Toc184308100"/>
      <w:bookmarkEnd w:id="227"/>
      <w:bookmarkStart w:id="228" w:name="_Toc184308096"/>
      <w:bookmarkEnd w:id="228"/>
      <w:bookmarkStart w:id="229" w:name="_Toc184312096"/>
      <w:bookmarkEnd w:id="229"/>
      <w:bookmarkStart w:id="230" w:name="_Toc184313249"/>
      <w:bookmarkEnd w:id="230"/>
      <w:bookmarkStart w:id="231" w:name="_Toc184308075"/>
      <w:bookmarkEnd w:id="231"/>
      <w:bookmarkStart w:id="232" w:name="_Toc184310327"/>
      <w:bookmarkEnd w:id="232"/>
      <w:bookmarkStart w:id="233" w:name="_Toc184313242"/>
      <w:bookmarkEnd w:id="233"/>
      <w:bookmarkStart w:id="234" w:name="_Toc184308087"/>
      <w:bookmarkEnd w:id="234"/>
      <w:bookmarkStart w:id="235" w:name="_Toc184314418"/>
      <w:bookmarkEnd w:id="235"/>
      <w:bookmarkStart w:id="236" w:name="_Toc184314429"/>
      <w:bookmarkEnd w:id="236"/>
      <w:bookmarkStart w:id="237" w:name="_Toc184313250"/>
      <w:bookmarkEnd w:id="237"/>
      <w:bookmarkStart w:id="238" w:name="_Toc184313246"/>
      <w:bookmarkEnd w:id="238"/>
      <w:bookmarkStart w:id="239" w:name="_Toc184314420"/>
      <w:bookmarkEnd w:id="239"/>
      <w:bookmarkStart w:id="240" w:name="_Toc184314456"/>
      <w:bookmarkEnd w:id="240"/>
      <w:bookmarkStart w:id="241" w:name="_Toc184313295"/>
      <w:bookmarkEnd w:id="241"/>
      <w:bookmarkStart w:id="242" w:name="_Toc184310331"/>
      <w:bookmarkEnd w:id="242"/>
      <w:bookmarkStart w:id="243" w:name="_Toc184312136"/>
      <w:bookmarkEnd w:id="243"/>
      <w:bookmarkStart w:id="244" w:name="_Toc184313298"/>
      <w:bookmarkEnd w:id="244"/>
      <w:bookmarkStart w:id="245" w:name="_Toc184312131"/>
      <w:bookmarkEnd w:id="245"/>
      <w:bookmarkStart w:id="246" w:name="_Toc184313258"/>
      <w:bookmarkEnd w:id="246"/>
      <w:bookmarkStart w:id="247" w:name="_Toc184314451"/>
      <w:bookmarkEnd w:id="247"/>
      <w:bookmarkStart w:id="248" w:name="_Toc184314444"/>
      <w:bookmarkEnd w:id="248"/>
      <w:bookmarkStart w:id="249" w:name="_Toc184313296"/>
      <w:bookmarkEnd w:id="249"/>
      <w:bookmarkStart w:id="250" w:name="_Toc184314445"/>
      <w:bookmarkEnd w:id="250"/>
      <w:bookmarkStart w:id="251" w:name="_Toc184308068"/>
      <w:bookmarkEnd w:id="251"/>
      <w:bookmarkStart w:id="252" w:name="_Toc184314457"/>
      <w:bookmarkEnd w:id="252"/>
      <w:bookmarkStart w:id="253" w:name="_Toc184312137"/>
      <w:bookmarkEnd w:id="253"/>
      <w:bookmarkStart w:id="254" w:name="_Toc184314448"/>
      <w:bookmarkEnd w:id="254"/>
      <w:bookmarkStart w:id="255" w:name="_Toc184308055"/>
      <w:bookmarkEnd w:id="255"/>
      <w:bookmarkStart w:id="256" w:name="_Toc184312129"/>
      <w:bookmarkEnd w:id="256"/>
      <w:bookmarkStart w:id="257" w:name="_Toc184308088"/>
      <w:bookmarkEnd w:id="257"/>
      <w:bookmarkStart w:id="258" w:name="_Toc184308050"/>
      <w:bookmarkEnd w:id="258"/>
      <w:bookmarkStart w:id="259" w:name="_Toc184313279"/>
      <w:bookmarkEnd w:id="259"/>
      <w:bookmarkStart w:id="260" w:name="_Toc184308080"/>
      <w:bookmarkEnd w:id="260"/>
      <w:bookmarkStart w:id="261" w:name="_Toc184314430"/>
      <w:bookmarkEnd w:id="261"/>
      <w:bookmarkStart w:id="262" w:name="_Toc184312077"/>
      <w:bookmarkEnd w:id="262"/>
      <w:bookmarkStart w:id="263" w:name="_Toc184313243"/>
      <w:bookmarkEnd w:id="263"/>
      <w:bookmarkStart w:id="264" w:name="_Toc184308058"/>
      <w:bookmarkEnd w:id="264"/>
      <w:bookmarkStart w:id="265" w:name="_Toc184308105"/>
      <w:bookmarkEnd w:id="265"/>
      <w:bookmarkStart w:id="266" w:name="_Toc184308089"/>
      <w:bookmarkEnd w:id="266"/>
      <w:bookmarkStart w:id="267" w:name="_Toc184313277"/>
      <w:bookmarkEnd w:id="267"/>
      <w:bookmarkStart w:id="268" w:name="_Toc184314478"/>
      <w:bookmarkEnd w:id="268"/>
      <w:bookmarkStart w:id="269" w:name="_Toc184313310"/>
      <w:bookmarkEnd w:id="269"/>
      <w:bookmarkStart w:id="270" w:name="_Toc184310333"/>
      <w:bookmarkEnd w:id="270"/>
      <w:bookmarkStart w:id="271" w:name="_Toc184313285"/>
      <w:bookmarkEnd w:id="271"/>
      <w:bookmarkStart w:id="272" w:name="_Toc184308104"/>
      <w:bookmarkEnd w:id="272"/>
      <w:bookmarkStart w:id="273" w:name="_Toc184308041"/>
      <w:bookmarkEnd w:id="273"/>
      <w:bookmarkStart w:id="274" w:name="_Toc184312072"/>
      <w:bookmarkEnd w:id="274"/>
      <w:bookmarkStart w:id="275" w:name="_Toc184314468"/>
      <w:bookmarkEnd w:id="275"/>
      <w:bookmarkStart w:id="276" w:name="_Toc184314450"/>
      <w:bookmarkEnd w:id="276"/>
      <w:bookmarkStart w:id="277" w:name="_Toc184312122"/>
      <w:bookmarkEnd w:id="277"/>
      <w:bookmarkStart w:id="278" w:name="_Toc184314469"/>
      <w:bookmarkEnd w:id="278"/>
      <w:bookmarkStart w:id="279" w:name="_Toc184314433"/>
      <w:bookmarkEnd w:id="279"/>
      <w:bookmarkStart w:id="280" w:name="_Toc184314425"/>
      <w:bookmarkEnd w:id="280"/>
      <w:bookmarkStart w:id="281" w:name="_Toc184312070"/>
      <w:bookmarkEnd w:id="281"/>
      <w:bookmarkStart w:id="282" w:name="_Toc184313239"/>
      <w:bookmarkEnd w:id="282"/>
      <w:bookmarkStart w:id="283" w:name="_Toc184308085"/>
      <w:bookmarkEnd w:id="283"/>
      <w:bookmarkStart w:id="284" w:name="_Toc184312126"/>
      <w:bookmarkEnd w:id="284"/>
      <w:bookmarkStart w:id="285" w:name="_Toc184314452"/>
      <w:bookmarkEnd w:id="285"/>
      <w:bookmarkStart w:id="286" w:name="_Toc184312130"/>
      <w:bookmarkEnd w:id="286"/>
      <w:bookmarkStart w:id="287" w:name="_Toc184313276"/>
      <w:bookmarkEnd w:id="287"/>
      <w:bookmarkStart w:id="288" w:name="_Toc184310317"/>
      <w:bookmarkEnd w:id="288"/>
      <w:bookmarkStart w:id="289" w:name="_Toc184313260"/>
      <w:bookmarkEnd w:id="289"/>
      <w:bookmarkStart w:id="290" w:name="_Toc184310302"/>
      <w:bookmarkEnd w:id="290"/>
      <w:bookmarkStart w:id="291" w:name="_Toc184314440"/>
      <w:bookmarkEnd w:id="291"/>
      <w:bookmarkStart w:id="292" w:name="_Toc184313247"/>
      <w:bookmarkEnd w:id="292"/>
      <w:bookmarkStart w:id="293" w:name="_Toc184308060"/>
      <w:bookmarkEnd w:id="293"/>
      <w:bookmarkStart w:id="294" w:name="_Toc184308081"/>
      <w:bookmarkEnd w:id="294"/>
      <w:bookmarkStart w:id="295" w:name="_Toc184310289"/>
      <w:bookmarkEnd w:id="295"/>
      <w:bookmarkStart w:id="296" w:name="_Toc184312108"/>
      <w:bookmarkEnd w:id="296"/>
      <w:bookmarkStart w:id="297" w:name="_Toc184308044"/>
      <w:bookmarkEnd w:id="297"/>
      <w:bookmarkStart w:id="298" w:name="_Toc184313305"/>
      <w:bookmarkEnd w:id="298"/>
      <w:bookmarkStart w:id="299" w:name="_Toc184310321"/>
      <w:bookmarkEnd w:id="299"/>
      <w:bookmarkStart w:id="300" w:name="_Toc184312124"/>
      <w:bookmarkEnd w:id="300"/>
      <w:bookmarkStart w:id="301" w:name="_Toc184310285"/>
      <w:bookmarkEnd w:id="301"/>
      <w:bookmarkStart w:id="302" w:name="_Toc184313256"/>
      <w:bookmarkEnd w:id="302"/>
      <w:bookmarkStart w:id="303" w:name="_Toc184312079"/>
      <w:bookmarkEnd w:id="303"/>
      <w:bookmarkStart w:id="304" w:name="_Toc184313289"/>
      <w:bookmarkEnd w:id="304"/>
      <w:bookmarkStart w:id="305" w:name="_Toc184310276"/>
      <w:bookmarkEnd w:id="305"/>
      <w:bookmarkStart w:id="306" w:name="_Toc184312086"/>
      <w:bookmarkEnd w:id="306"/>
      <w:bookmarkStart w:id="307" w:name="_Toc184310284"/>
      <w:bookmarkEnd w:id="307"/>
      <w:bookmarkStart w:id="308" w:name="_Toc184314474"/>
      <w:bookmarkEnd w:id="308"/>
      <w:bookmarkStart w:id="309" w:name="_Toc184308059"/>
      <w:bookmarkEnd w:id="309"/>
      <w:bookmarkStart w:id="310" w:name="_Toc184308057"/>
      <w:bookmarkEnd w:id="310"/>
      <w:bookmarkStart w:id="311" w:name="_Toc184308062"/>
      <w:bookmarkEnd w:id="311"/>
      <w:bookmarkStart w:id="312" w:name="_Toc184313308"/>
      <w:bookmarkEnd w:id="312"/>
      <w:bookmarkStart w:id="313" w:name="_Toc184308074"/>
      <w:bookmarkEnd w:id="313"/>
      <w:bookmarkStart w:id="314" w:name="_Toc184313286"/>
      <w:bookmarkEnd w:id="314"/>
      <w:bookmarkStart w:id="315" w:name="_Toc184313245"/>
      <w:bookmarkEnd w:id="315"/>
      <w:bookmarkStart w:id="316" w:name="_Toc184313271"/>
      <w:bookmarkEnd w:id="316"/>
      <w:bookmarkStart w:id="317" w:name="_Toc184308091"/>
      <w:bookmarkEnd w:id="317"/>
      <w:bookmarkStart w:id="318" w:name="_Toc184308092"/>
      <w:bookmarkEnd w:id="318"/>
      <w:bookmarkStart w:id="319" w:name="_Toc184312099"/>
      <w:bookmarkEnd w:id="319"/>
      <w:bookmarkStart w:id="320" w:name="_Toc184308073"/>
      <w:bookmarkEnd w:id="320"/>
      <w:bookmarkStart w:id="321" w:name="_Toc184314460"/>
      <w:bookmarkEnd w:id="321"/>
      <w:bookmarkStart w:id="322" w:name="_Toc184314455"/>
      <w:bookmarkEnd w:id="322"/>
      <w:bookmarkStart w:id="323" w:name="_Toc184310339"/>
      <w:bookmarkEnd w:id="323"/>
      <w:bookmarkStart w:id="324" w:name="_Toc184314411"/>
      <w:bookmarkEnd w:id="324"/>
      <w:bookmarkStart w:id="325" w:name="_Toc184314466"/>
      <w:bookmarkEnd w:id="325"/>
      <w:bookmarkStart w:id="326" w:name="_Toc184313304"/>
      <w:bookmarkEnd w:id="326"/>
      <w:bookmarkStart w:id="327" w:name="_Toc184310325"/>
      <w:bookmarkEnd w:id="327"/>
      <w:bookmarkStart w:id="328" w:name="_Toc184312095"/>
      <w:bookmarkEnd w:id="328"/>
      <w:bookmarkStart w:id="329" w:name="_Toc184312117"/>
      <w:bookmarkEnd w:id="329"/>
      <w:bookmarkStart w:id="330" w:name="_Toc184308042"/>
      <w:bookmarkEnd w:id="330"/>
      <w:bookmarkStart w:id="331" w:name="_Toc184313264"/>
      <w:bookmarkEnd w:id="331"/>
      <w:bookmarkStart w:id="332" w:name="_Toc184308054"/>
      <w:bookmarkEnd w:id="332"/>
      <w:bookmarkStart w:id="333" w:name="_Toc184308103"/>
      <w:bookmarkEnd w:id="333"/>
      <w:bookmarkStart w:id="334" w:name="_Toc184308064"/>
      <w:bookmarkEnd w:id="334"/>
      <w:bookmarkStart w:id="335" w:name="_Toc184313281"/>
      <w:bookmarkEnd w:id="335"/>
      <w:bookmarkStart w:id="336" w:name="_Toc184310318"/>
      <w:bookmarkEnd w:id="336"/>
      <w:bookmarkStart w:id="337" w:name="_Toc184314421"/>
      <w:bookmarkEnd w:id="337"/>
      <w:bookmarkStart w:id="338" w:name="_Toc184314482"/>
      <w:bookmarkEnd w:id="338"/>
      <w:bookmarkStart w:id="339" w:name="_Toc184308056"/>
      <w:bookmarkEnd w:id="339"/>
      <w:bookmarkStart w:id="340" w:name="_Toc184312105"/>
      <w:bookmarkEnd w:id="340"/>
      <w:bookmarkStart w:id="341" w:name="_Toc184314479"/>
      <w:bookmarkEnd w:id="341"/>
      <w:bookmarkStart w:id="342" w:name="_Toc184312103"/>
      <w:bookmarkEnd w:id="342"/>
      <w:bookmarkStart w:id="343" w:name="_Toc184313300"/>
      <w:bookmarkEnd w:id="343"/>
      <w:bookmarkStart w:id="344" w:name="_Toc184313251"/>
      <w:bookmarkEnd w:id="344"/>
      <w:bookmarkStart w:id="345" w:name="_Toc184312097"/>
      <w:bookmarkEnd w:id="345"/>
      <w:bookmarkStart w:id="346" w:name="_Toc184313290"/>
      <w:bookmarkEnd w:id="346"/>
      <w:bookmarkStart w:id="347" w:name="_Toc184310288"/>
      <w:bookmarkEnd w:id="347"/>
      <w:bookmarkStart w:id="348" w:name="_Toc184312082"/>
      <w:bookmarkEnd w:id="348"/>
      <w:bookmarkStart w:id="349" w:name="_Toc184312084"/>
      <w:bookmarkEnd w:id="349"/>
      <w:bookmarkStart w:id="350" w:name="_Toc184310309"/>
      <w:bookmarkEnd w:id="350"/>
      <w:bookmarkStart w:id="351" w:name="_Toc184312071"/>
      <w:bookmarkEnd w:id="351"/>
      <w:bookmarkStart w:id="352" w:name="_Toc184313278"/>
      <w:bookmarkEnd w:id="352"/>
      <w:bookmarkStart w:id="353" w:name="_Toc184308090"/>
      <w:bookmarkEnd w:id="353"/>
      <w:bookmarkStart w:id="354" w:name="_Toc184312113"/>
      <w:bookmarkEnd w:id="354"/>
      <w:bookmarkStart w:id="355" w:name="_Toc184314458"/>
      <w:bookmarkEnd w:id="355"/>
      <w:bookmarkStart w:id="356" w:name="_Toc184308077"/>
      <w:bookmarkEnd w:id="356"/>
      <w:bookmarkStart w:id="357" w:name="_Toc184313303"/>
      <w:bookmarkEnd w:id="357"/>
      <w:bookmarkStart w:id="358" w:name="_Toc184314461"/>
      <w:bookmarkEnd w:id="358"/>
      <w:bookmarkStart w:id="359" w:name="_Toc184310282"/>
      <w:bookmarkEnd w:id="359"/>
      <w:bookmarkStart w:id="360" w:name="_Toc184310311"/>
      <w:bookmarkEnd w:id="360"/>
      <w:bookmarkStart w:id="361" w:name="_Toc184312133"/>
      <w:bookmarkEnd w:id="361"/>
      <w:bookmarkStart w:id="362" w:name="_Toc184312115"/>
      <w:bookmarkEnd w:id="362"/>
      <w:bookmarkStart w:id="363" w:name="_Toc184313261"/>
      <w:bookmarkEnd w:id="363"/>
      <w:bookmarkStart w:id="364" w:name="_Toc184310316"/>
      <w:bookmarkEnd w:id="364"/>
      <w:bookmarkStart w:id="365" w:name="_Toc184310283"/>
      <w:bookmarkEnd w:id="365"/>
      <w:bookmarkStart w:id="366" w:name="_Toc184312092"/>
      <w:bookmarkEnd w:id="366"/>
      <w:bookmarkStart w:id="367" w:name="_Toc184308071"/>
      <w:bookmarkEnd w:id="367"/>
      <w:bookmarkStart w:id="368" w:name="_Toc184308095"/>
      <w:bookmarkEnd w:id="368"/>
      <w:bookmarkStart w:id="369" w:name="_Toc184308101"/>
      <w:bookmarkEnd w:id="369"/>
      <w:bookmarkStart w:id="370" w:name="_Toc184310315"/>
      <w:bookmarkEnd w:id="370"/>
      <w:bookmarkStart w:id="371" w:name="_Toc184314454"/>
      <w:bookmarkEnd w:id="371"/>
      <w:bookmarkStart w:id="372" w:name="_Toc184313306"/>
      <w:bookmarkEnd w:id="372"/>
      <w:bookmarkStart w:id="373" w:name="_Toc184312078"/>
      <w:bookmarkEnd w:id="373"/>
      <w:bookmarkStart w:id="374" w:name="_Toc184308099"/>
      <w:bookmarkEnd w:id="374"/>
      <w:bookmarkStart w:id="375" w:name="_Toc184310287"/>
      <w:bookmarkEnd w:id="375"/>
      <w:bookmarkStart w:id="376" w:name="_Toc184312069"/>
      <w:bookmarkEnd w:id="376"/>
      <w:bookmarkStart w:id="377" w:name="_Toc184308079"/>
      <w:bookmarkEnd w:id="377"/>
      <w:bookmarkStart w:id="378" w:name="_Toc184312112"/>
      <w:bookmarkEnd w:id="378"/>
      <w:bookmarkStart w:id="379" w:name="_Toc184312089"/>
      <w:bookmarkEnd w:id="379"/>
      <w:bookmarkStart w:id="380" w:name="_Toc184310272"/>
      <w:bookmarkEnd w:id="380"/>
      <w:bookmarkStart w:id="381" w:name="_Toc184314422"/>
      <w:bookmarkEnd w:id="381"/>
      <w:bookmarkStart w:id="382" w:name="_Toc184310338"/>
      <w:bookmarkEnd w:id="382"/>
      <w:bookmarkStart w:id="383" w:name="_Toc184308076"/>
      <w:bookmarkEnd w:id="383"/>
      <w:bookmarkStart w:id="384" w:name="_Toc184310343"/>
      <w:bookmarkEnd w:id="384"/>
      <w:bookmarkStart w:id="385" w:name="_Toc184313288"/>
      <w:bookmarkEnd w:id="385"/>
      <w:bookmarkStart w:id="386" w:name="_Toc184310300"/>
      <w:bookmarkEnd w:id="386"/>
      <w:bookmarkStart w:id="387" w:name="_Toc184312068"/>
      <w:bookmarkEnd w:id="387"/>
      <w:bookmarkStart w:id="388" w:name="_Toc184310307"/>
      <w:bookmarkEnd w:id="388"/>
      <w:bookmarkStart w:id="389" w:name="_Toc184313307"/>
      <w:bookmarkEnd w:id="389"/>
      <w:bookmarkStart w:id="390" w:name="_Toc184314472"/>
      <w:bookmarkEnd w:id="390"/>
      <w:bookmarkStart w:id="391" w:name="_Toc184314441"/>
      <w:bookmarkEnd w:id="391"/>
      <w:bookmarkStart w:id="392" w:name="_Toc184312106"/>
      <w:bookmarkEnd w:id="392"/>
      <w:bookmarkStart w:id="393" w:name="_Toc184313266"/>
      <w:bookmarkEnd w:id="393"/>
      <w:bookmarkStart w:id="394" w:name="_Toc184314437"/>
      <w:bookmarkEnd w:id="394"/>
      <w:bookmarkStart w:id="395" w:name="_Toc184314417"/>
      <w:bookmarkEnd w:id="395"/>
      <w:bookmarkStart w:id="396" w:name="_Toc184310336"/>
      <w:bookmarkEnd w:id="396"/>
      <w:bookmarkStart w:id="397" w:name="_Toc184313297"/>
      <w:bookmarkEnd w:id="397"/>
      <w:bookmarkStart w:id="398" w:name="_Toc184312076"/>
      <w:bookmarkEnd w:id="398"/>
      <w:bookmarkStart w:id="399" w:name="_Toc184312094"/>
      <w:bookmarkEnd w:id="399"/>
      <w:bookmarkStart w:id="400" w:name="_Toc184310296"/>
      <w:bookmarkEnd w:id="400"/>
      <w:bookmarkStart w:id="401" w:name="_Toc184310305"/>
      <w:bookmarkEnd w:id="401"/>
      <w:bookmarkStart w:id="402" w:name="_Toc184312125"/>
      <w:bookmarkEnd w:id="402"/>
      <w:bookmarkStart w:id="403" w:name="_Toc184314481"/>
      <w:bookmarkEnd w:id="403"/>
      <w:bookmarkStart w:id="404" w:name="_Toc184312073"/>
      <w:bookmarkEnd w:id="404"/>
      <w:bookmarkStart w:id="405" w:name="_Toc184308082"/>
      <w:bookmarkEnd w:id="405"/>
      <w:bookmarkStart w:id="406" w:name="_Toc184312127"/>
      <w:bookmarkEnd w:id="406"/>
      <w:bookmarkStart w:id="407" w:name="_Toc184308093"/>
      <w:bookmarkEnd w:id="407"/>
      <w:bookmarkStart w:id="408" w:name="_Toc184313272"/>
      <w:bookmarkEnd w:id="408"/>
      <w:bookmarkStart w:id="409" w:name="_Toc184314416"/>
      <w:bookmarkEnd w:id="409"/>
      <w:bookmarkStart w:id="410" w:name="_Toc184312101"/>
      <w:bookmarkEnd w:id="410"/>
      <w:bookmarkStart w:id="411" w:name="_Toc184310344"/>
      <w:bookmarkEnd w:id="411"/>
      <w:bookmarkStart w:id="412" w:name="_Toc184310308"/>
      <w:bookmarkEnd w:id="412"/>
      <w:bookmarkStart w:id="413" w:name="_Toc184310301"/>
      <w:bookmarkEnd w:id="413"/>
      <w:bookmarkStart w:id="414" w:name="_Toc184314413"/>
      <w:bookmarkEnd w:id="414"/>
      <w:bookmarkStart w:id="415" w:name="_Toc184313240"/>
      <w:bookmarkEnd w:id="415"/>
      <w:bookmarkStart w:id="416" w:name="_Toc184310324"/>
      <w:bookmarkEnd w:id="416"/>
      <w:bookmarkStart w:id="417" w:name="_Toc184312114"/>
      <w:bookmarkEnd w:id="417"/>
      <w:bookmarkStart w:id="418" w:name="_Toc184308106"/>
      <w:bookmarkEnd w:id="418"/>
      <w:bookmarkStart w:id="419" w:name="_Toc184308052"/>
      <w:bookmarkEnd w:id="419"/>
      <w:bookmarkStart w:id="420" w:name="_Toc184312102"/>
      <w:bookmarkEnd w:id="420"/>
      <w:bookmarkStart w:id="421" w:name="_Toc184313280"/>
      <w:bookmarkEnd w:id="421"/>
      <w:bookmarkStart w:id="422" w:name="_Toc184313275"/>
      <w:bookmarkEnd w:id="422"/>
      <w:bookmarkStart w:id="423" w:name="_Toc184310293"/>
      <w:bookmarkEnd w:id="423"/>
      <w:bookmarkStart w:id="424" w:name="_Toc184312074"/>
      <w:bookmarkEnd w:id="424"/>
      <w:bookmarkStart w:id="425" w:name="_Toc184314453"/>
      <w:bookmarkEnd w:id="425"/>
      <w:bookmarkStart w:id="426" w:name="第四部分"/>
      <w:r>
        <w:rPr>
          <w:rFonts w:hint="eastAsia" w:ascii="宋体" w:hAnsi="宋体" w:cs="宋体"/>
          <w:b/>
          <w:sz w:val="36"/>
          <w:szCs w:val="36"/>
        </w:rPr>
        <w:t xml:space="preserve"> 评标办法及评分标准</w:t>
      </w:r>
      <w:bookmarkEnd w:id="60"/>
    </w:p>
    <w:p>
      <w:pPr>
        <w:pStyle w:val="2"/>
        <w:spacing w:line="360" w:lineRule="auto"/>
        <w:jc w:val="center"/>
        <w:rPr>
          <w:rFonts w:hAnsi="宋体" w:cs="宋体"/>
          <w:bCs/>
        </w:rPr>
      </w:pPr>
      <w:bookmarkStart w:id="427" w:name="_Toc1764"/>
      <w:r>
        <w:rPr>
          <w:rFonts w:hint="eastAsia" w:hAnsi="宋体" w:cs="宋体"/>
          <w:bCs/>
        </w:rPr>
        <w:t>第一章　评标办法</w:t>
      </w:r>
      <w:bookmarkEnd w:id="427"/>
    </w:p>
    <w:p>
      <w:pPr>
        <w:spacing w:line="360" w:lineRule="auto"/>
        <w:ind w:firstLine="482" w:firstLineChars="200"/>
        <w:rPr>
          <w:rFonts w:ascii="宋体" w:hAnsi="宋体" w:cs="宋体"/>
          <w:b/>
          <w:bCs/>
          <w:sz w:val="24"/>
          <w:szCs w:val="21"/>
        </w:rPr>
      </w:pPr>
      <w:r>
        <w:rPr>
          <w:rFonts w:hint="eastAsia" w:ascii="宋体" w:hAnsi="宋体" w:cs="宋体"/>
          <w:b/>
          <w:bCs/>
          <w:sz w:val="24"/>
          <w:szCs w:val="21"/>
        </w:rPr>
        <w:t>一、本次招标将按下列第</w:t>
      </w:r>
      <w:r>
        <w:rPr>
          <w:rFonts w:hint="eastAsia" w:ascii="宋体" w:hAnsi="宋体" w:cs="宋体"/>
          <w:b/>
          <w:bCs/>
          <w:sz w:val="24"/>
          <w:szCs w:val="21"/>
          <w:u w:val="single"/>
        </w:rPr>
        <w:t>　1　</w:t>
      </w:r>
      <w:r>
        <w:rPr>
          <w:rFonts w:hint="eastAsia" w:ascii="宋体" w:hAnsi="宋体" w:cs="宋体"/>
          <w:b/>
          <w:bCs/>
          <w:sz w:val="24"/>
          <w:szCs w:val="21"/>
        </w:rPr>
        <w:t>种评标办法进行评标：</w:t>
      </w:r>
    </w:p>
    <w:p>
      <w:pPr>
        <w:spacing w:line="360" w:lineRule="auto"/>
        <w:ind w:firstLine="480" w:firstLineChars="200"/>
        <w:rPr>
          <w:rFonts w:ascii="宋体" w:hAnsi="宋体" w:cs="宋体"/>
          <w:sz w:val="24"/>
          <w:szCs w:val="21"/>
        </w:rPr>
      </w:pPr>
      <w:r>
        <w:rPr>
          <w:rFonts w:hint="eastAsia" w:ascii="宋体" w:hAnsi="宋体" w:cs="宋体"/>
          <w:sz w:val="24"/>
          <w:szCs w:val="21"/>
        </w:rPr>
        <w:t>1、综合评分法。即在最大限度地满足招标文件实质性要求的前提下，按照《评分标准》规定的评分因素对各投标人的投标文件进行综合评审，以报价分、技术分、资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ascii="宋体" w:hAnsi="宋体" w:cs="宋体"/>
          <w:sz w:val="24"/>
          <w:szCs w:val="21"/>
        </w:rPr>
      </w:pPr>
      <w:r>
        <w:rPr>
          <w:rFonts w:hint="eastAsia" w:ascii="宋体" w:hAnsi="宋体" w:cs="宋体"/>
          <w:sz w:val="24"/>
          <w:szCs w:val="21"/>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2" w:firstLineChars="200"/>
        <w:rPr>
          <w:rFonts w:ascii="宋体" w:hAnsi="宋体" w:cs="宋体"/>
          <w:sz w:val="24"/>
          <w:szCs w:val="21"/>
        </w:rPr>
      </w:pPr>
      <w:r>
        <w:rPr>
          <w:rFonts w:hint="eastAsia" w:ascii="宋体" w:hAnsi="宋体" w:cs="宋体"/>
          <w:b/>
          <w:bCs/>
          <w:sz w:val="24"/>
          <w:szCs w:val="21"/>
        </w:rPr>
        <w:t>二、</w:t>
      </w:r>
      <w:r>
        <w:rPr>
          <w:rFonts w:hint="eastAsia" w:ascii="宋体" w:hAnsi="宋体" w:cs="宋体"/>
          <w:sz w:val="24"/>
          <w:szCs w:val="21"/>
        </w:rPr>
        <w:t>本次评标采用百分制计分，计算时四舍五入保留到小数点后两位。</w:t>
      </w:r>
    </w:p>
    <w:p>
      <w:pPr>
        <w:spacing w:line="360" w:lineRule="auto"/>
        <w:ind w:firstLine="482" w:firstLineChars="200"/>
        <w:rPr>
          <w:rFonts w:ascii="宋体" w:hAnsi="宋体" w:cs="宋体"/>
          <w:b/>
          <w:bCs/>
          <w:sz w:val="24"/>
          <w:szCs w:val="21"/>
        </w:rPr>
      </w:pPr>
      <w:r>
        <w:rPr>
          <w:rFonts w:ascii="宋体" w:hAnsi="宋体" w:cs="宋体"/>
          <w:b/>
          <w:bCs/>
          <w:sz w:val="24"/>
          <w:szCs w:val="21"/>
        </w:rPr>
        <w:t>1</w:t>
      </w:r>
      <w:r>
        <w:rPr>
          <w:rFonts w:hint="eastAsia" w:ascii="宋体" w:hAnsi="宋体" w:cs="宋体"/>
          <w:b/>
          <w:bCs/>
          <w:sz w:val="24"/>
          <w:szCs w:val="21"/>
        </w:rPr>
        <w:t>、核心产品界定</w:t>
      </w:r>
    </w:p>
    <w:p>
      <w:pPr>
        <w:spacing w:line="360" w:lineRule="auto"/>
        <w:ind w:firstLine="482" w:firstLineChars="200"/>
        <w:rPr>
          <w:rFonts w:ascii="宋体" w:hAnsi="宋体" w:cs="宋体"/>
          <w:b/>
          <w:bCs/>
          <w:sz w:val="24"/>
          <w:szCs w:val="21"/>
        </w:rPr>
      </w:pPr>
      <w:r>
        <w:rPr>
          <w:rFonts w:ascii="宋体" w:hAnsi="宋体" w:cs="宋体"/>
          <w:b/>
          <w:bCs/>
          <w:sz w:val="24"/>
          <w:szCs w:val="21"/>
        </w:rPr>
        <w:t>1</w:t>
      </w:r>
      <w:r>
        <w:rPr>
          <w:rFonts w:hint="eastAsia" w:ascii="宋体" w:hAnsi="宋体" w:cs="宋体"/>
          <w:b/>
          <w:bCs/>
          <w:sz w:val="24"/>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82" w:firstLineChars="200"/>
        <w:rPr>
          <w:rFonts w:ascii="宋体" w:hAnsi="宋体" w:cs="宋体"/>
          <w:b/>
          <w:bCs/>
          <w:sz w:val="24"/>
          <w:szCs w:val="21"/>
        </w:rPr>
      </w:pPr>
      <w:r>
        <w:rPr>
          <w:rFonts w:ascii="宋体" w:hAnsi="宋体" w:cs="宋体"/>
          <w:b/>
          <w:bCs/>
          <w:sz w:val="24"/>
          <w:szCs w:val="21"/>
        </w:rPr>
        <w:t>1</w:t>
      </w:r>
      <w:r>
        <w:rPr>
          <w:rFonts w:hint="eastAsia" w:ascii="宋体" w:hAnsi="宋体" w:cs="宋体"/>
          <w:b/>
          <w:bCs/>
          <w:sz w:val="24"/>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firstLineChars="200"/>
        <w:rPr>
          <w:rFonts w:ascii="宋体" w:hAnsi="宋体" w:cs="宋体"/>
          <w:b/>
          <w:bCs/>
          <w:sz w:val="24"/>
          <w:szCs w:val="21"/>
        </w:rPr>
      </w:pPr>
      <w:r>
        <w:rPr>
          <w:rFonts w:ascii="宋体" w:hAnsi="宋体" w:cs="宋体"/>
          <w:b/>
          <w:bCs/>
          <w:sz w:val="24"/>
          <w:szCs w:val="21"/>
        </w:rPr>
        <w:t>1</w:t>
      </w:r>
      <w:r>
        <w:rPr>
          <w:rFonts w:hint="eastAsia" w:ascii="宋体" w:hAnsi="宋体" w:cs="宋体"/>
          <w:b/>
          <w:bCs/>
          <w:sz w:val="24"/>
          <w:szCs w:val="21"/>
        </w:rPr>
        <w:t>.3非单一产品采购项目，采购人应当根据采购项目技术构成、产品价格比重等合理确定核心产品，并在招标文件中载明。多家投标人提供的核心产品品牌相同的，按前两款规定处理。</w:t>
      </w:r>
    </w:p>
    <w:p>
      <w:pPr>
        <w:pStyle w:val="29"/>
      </w:pPr>
    </w:p>
    <w:p>
      <w:pPr>
        <w:pStyle w:val="27"/>
      </w:pPr>
    </w:p>
    <w:p>
      <w:pPr>
        <w:pStyle w:val="2"/>
        <w:spacing w:line="360" w:lineRule="auto"/>
        <w:jc w:val="center"/>
        <w:rPr>
          <w:rFonts w:hAnsi="宋体" w:cs="宋体"/>
        </w:rPr>
      </w:pPr>
      <w:r>
        <w:rPr>
          <w:rFonts w:hint="eastAsia" w:hAnsi="宋体" w:cs="宋体"/>
        </w:rPr>
        <w:t>第二章　评分标准</w:t>
      </w:r>
    </w:p>
    <w:p>
      <w:pPr>
        <w:spacing w:line="360" w:lineRule="auto"/>
        <w:ind w:firstLine="482" w:firstLineChars="200"/>
        <w:rPr>
          <w:rFonts w:ascii="宋体" w:hAnsi="宋体"/>
          <w:b/>
          <w:bCs/>
          <w:sz w:val="24"/>
          <w:szCs w:val="21"/>
        </w:rPr>
      </w:pPr>
      <w:r>
        <w:rPr>
          <w:rFonts w:hint="eastAsia" w:ascii="宋体" w:hAnsi="宋体"/>
          <w:b/>
          <w:bCs/>
          <w:sz w:val="24"/>
          <w:szCs w:val="21"/>
        </w:rPr>
        <w:t>一、报价文件评分标准（20分）</w:t>
      </w:r>
    </w:p>
    <w:p>
      <w:pPr>
        <w:spacing w:line="336" w:lineRule="auto"/>
        <w:ind w:firstLine="480" w:firstLineChars="200"/>
        <w:rPr>
          <w:rFonts w:ascii="宋体" w:hAnsi="宋体"/>
          <w:sz w:val="24"/>
        </w:rPr>
      </w:pPr>
      <w:r>
        <w:rPr>
          <w:rFonts w:hint="eastAsia" w:ascii="宋体" w:hAnsi="宋体"/>
          <w:sz w:val="24"/>
        </w:rPr>
        <w:t>报价文件主要是对投标人的有效报价进行评议，其评分标准及分值设置规则如下：</w:t>
      </w:r>
    </w:p>
    <w:p>
      <w:pPr>
        <w:spacing w:line="360" w:lineRule="auto"/>
        <w:ind w:firstLine="480" w:firstLineChars="200"/>
        <w:rPr>
          <w:rFonts w:ascii="宋体" w:hAnsi="宋体"/>
          <w:sz w:val="24"/>
          <w:szCs w:val="21"/>
        </w:rPr>
      </w:pPr>
      <w:r>
        <w:rPr>
          <w:rFonts w:hint="eastAsia" w:ascii="宋体" w:hAnsi="宋体"/>
          <w:sz w:val="24"/>
          <w:szCs w:val="21"/>
        </w:rPr>
        <w:t>1、本次招标最高限价规定如下：</w:t>
      </w:r>
    </w:p>
    <w:p>
      <w:pPr>
        <w:spacing w:line="360" w:lineRule="auto"/>
        <w:ind w:firstLine="480" w:firstLineChars="200"/>
        <w:rPr>
          <w:rFonts w:ascii="宋体" w:hAnsi="宋体"/>
          <w:b/>
          <w:sz w:val="24"/>
          <w:szCs w:val="21"/>
        </w:rPr>
      </w:pPr>
      <w:r>
        <w:rPr>
          <w:rFonts w:hint="eastAsia" w:ascii="宋体" w:hAnsi="宋体"/>
          <w:sz w:val="24"/>
          <w:szCs w:val="21"/>
        </w:rPr>
        <w:t>本项目投标报价的最高限价</w:t>
      </w:r>
      <w:r>
        <w:rPr>
          <w:rFonts w:hint="eastAsia" w:ascii="宋体" w:hAnsi="宋体"/>
          <w:b/>
          <w:sz w:val="24"/>
          <w:szCs w:val="21"/>
        </w:rPr>
        <w:t>为</w:t>
      </w:r>
      <w:r>
        <w:rPr>
          <w:rFonts w:hint="eastAsia" w:ascii="宋体" w:hAnsi="宋体"/>
          <w:b/>
          <w:color w:val="auto"/>
          <w:sz w:val="24"/>
          <w:szCs w:val="21"/>
        </w:rPr>
        <w:t>小写</w:t>
      </w:r>
      <w:r>
        <w:rPr>
          <w:rFonts w:hint="eastAsia" w:ascii="宋体" w:hAnsi="宋体"/>
          <w:b/>
          <w:color w:val="auto"/>
          <w:sz w:val="24"/>
          <w:szCs w:val="21"/>
          <w:u w:val="single"/>
        </w:rPr>
        <w:t>6262688.64</w:t>
      </w:r>
      <w:r>
        <w:rPr>
          <w:rFonts w:hint="eastAsia" w:ascii="宋体" w:hAnsi="宋体"/>
          <w:b/>
          <w:color w:val="auto"/>
          <w:sz w:val="24"/>
          <w:szCs w:val="21"/>
        </w:rPr>
        <w:t>元</w:t>
      </w:r>
      <w:r>
        <w:rPr>
          <w:rFonts w:hint="eastAsia" w:ascii="宋体" w:hAnsi="宋体"/>
          <w:b/>
          <w:sz w:val="24"/>
          <w:szCs w:val="21"/>
        </w:rPr>
        <w:t>。</w:t>
      </w:r>
    </w:p>
    <w:p>
      <w:pPr>
        <w:spacing w:line="360" w:lineRule="auto"/>
        <w:ind w:firstLine="482" w:firstLineChars="200"/>
        <w:rPr>
          <w:rFonts w:ascii="宋体" w:hAnsi="宋体"/>
          <w:b/>
          <w:bCs/>
          <w:sz w:val="24"/>
          <w:szCs w:val="21"/>
        </w:rPr>
      </w:pPr>
      <w:r>
        <w:rPr>
          <w:rFonts w:hint="eastAsia" w:ascii="宋体" w:hAnsi="宋体"/>
          <w:b/>
          <w:sz w:val="24"/>
          <w:szCs w:val="21"/>
        </w:rPr>
        <w:t>最高限价由采购人根据市场价格的调查设定，并且不高于本项目财政预算。</w:t>
      </w:r>
    </w:p>
    <w:p>
      <w:pPr>
        <w:spacing w:line="360" w:lineRule="auto"/>
        <w:ind w:firstLine="480" w:firstLineChars="200"/>
        <w:rPr>
          <w:rFonts w:ascii="宋体" w:hAnsi="宋体"/>
          <w:sz w:val="24"/>
          <w:szCs w:val="21"/>
        </w:rPr>
      </w:pPr>
      <w:r>
        <w:rPr>
          <w:rFonts w:hint="eastAsia" w:ascii="宋体" w:hAnsi="宋体"/>
          <w:sz w:val="24"/>
          <w:szCs w:val="21"/>
        </w:rPr>
        <w:t>2、投标人的报价在最高限价内的，为有效报价。</w:t>
      </w:r>
    </w:p>
    <w:p>
      <w:pPr>
        <w:spacing w:line="360" w:lineRule="auto"/>
        <w:ind w:firstLine="480" w:firstLineChars="200"/>
        <w:rPr>
          <w:rFonts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pPr>
        <w:spacing w:line="360" w:lineRule="auto"/>
        <w:ind w:firstLine="480" w:firstLineChars="200"/>
        <w:rPr>
          <w:rFonts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pPr>
        <w:spacing w:line="360" w:lineRule="auto"/>
        <w:ind w:firstLine="480" w:firstLineChars="200"/>
        <w:rPr>
          <w:rFonts w:ascii="宋体" w:hAnsi="宋体"/>
          <w:sz w:val="24"/>
          <w:szCs w:val="21"/>
        </w:rPr>
      </w:pPr>
      <w:r>
        <w:rPr>
          <w:rFonts w:hint="eastAsia" w:ascii="宋体" w:hAnsi="宋体"/>
          <w:sz w:val="24"/>
          <w:szCs w:val="21"/>
        </w:rPr>
        <w:t>投标价格分=(最佳报价/投标报价)*价格权值*100。</w:t>
      </w:r>
    </w:p>
    <w:p>
      <w:pPr>
        <w:spacing w:line="360" w:lineRule="auto"/>
        <w:ind w:firstLine="480" w:firstLineChars="200"/>
        <w:rPr>
          <w:rFonts w:ascii="宋体" w:hAnsi="宋体"/>
          <w:sz w:val="24"/>
          <w:szCs w:val="21"/>
        </w:rPr>
      </w:pPr>
      <w:r>
        <w:rPr>
          <w:rFonts w:hint="eastAsia" w:ascii="宋体" w:hAnsi="宋体"/>
          <w:sz w:val="24"/>
          <w:szCs w:val="21"/>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ascii="宋体" w:hAnsi="宋体"/>
          <w:sz w:val="24"/>
          <w:szCs w:val="21"/>
        </w:rPr>
      </w:pPr>
      <w:r>
        <w:rPr>
          <w:rFonts w:hint="eastAsia" w:ascii="宋体" w:hAnsi="宋体"/>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sz w:val="24"/>
          <w:szCs w:val="21"/>
        </w:rPr>
        <w:t>无效投标</w:t>
      </w:r>
      <w:r>
        <w:rPr>
          <w:rFonts w:hint="eastAsia" w:ascii="宋体" w:hAnsi="宋体"/>
          <w:sz w:val="24"/>
          <w:szCs w:val="21"/>
        </w:rPr>
        <w:t>处理。</w:t>
      </w:r>
    </w:p>
    <w:p>
      <w:pPr>
        <w:autoSpaceDE w:val="0"/>
        <w:autoSpaceDN w:val="0"/>
        <w:spacing w:line="360" w:lineRule="auto"/>
        <w:ind w:firstLine="482"/>
        <w:rPr>
          <w:rFonts w:ascii="宋体" w:hAnsi="宋体" w:cs="仿宋_GB2312"/>
          <w:sz w:val="24"/>
        </w:rPr>
      </w:pPr>
      <w:r>
        <w:rPr>
          <w:rFonts w:hint="eastAsia" w:ascii="宋体" w:hAnsi="宋体"/>
          <w:sz w:val="24"/>
          <w:szCs w:val="21"/>
        </w:rPr>
        <w:t>7、</w:t>
      </w:r>
      <w:r>
        <w:rPr>
          <w:rFonts w:hint="eastAsia" w:ascii="宋体" w:hAnsi="宋体" w:cs="仿宋_GB2312"/>
          <w:b/>
          <w:sz w:val="24"/>
        </w:rPr>
        <w:t>投标价格的合理性</w:t>
      </w:r>
      <w:r>
        <w:rPr>
          <w:rFonts w:hint="eastAsia" w:ascii="宋体" w:hAnsi="宋体" w:cs="仿宋_GB2312"/>
          <w:sz w:val="24"/>
        </w:rPr>
        <w:t>：</w:t>
      </w:r>
      <w:r>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仿宋_GB2312"/>
          <w:sz w:val="24"/>
        </w:rPr>
        <w:t>。</w:t>
      </w:r>
    </w:p>
    <w:p>
      <w:pPr>
        <w:spacing w:line="360" w:lineRule="auto"/>
        <w:ind w:firstLine="482" w:firstLineChars="200"/>
      </w:pPr>
      <w:r>
        <w:rPr>
          <w:rFonts w:hint="eastAsia" w:ascii="宋体" w:hAnsi="宋体" w:cs="宋体"/>
          <w:b/>
          <w:bCs/>
          <w:sz w:val="24"/>
        </w:rPr>
        <w:t>二、技术资信文件评标内容及标准（8</w:t>
      </w:r>
      <w:r>
        <w:rPr>
          <w:rFonts w:hint="eastAsia" w:ascii="宋体" w:hAnsi="宋体" w:cs="宋体"/>
          <w:b/>
          <w:bCs/>
          <w:sz w:val="24"/>
          <w:u w:val="single"/>
        </w:rPr>
        <w:t>0</w:t>
      </w:r>
      <w:r>
        <w:rPr>
          <w:rFonts w:hint="eastAsia" w:ascii="宋体" w:hAnsi="宋体" w:cs="宋体"/>
          <w:b/>
          <w:bCs/>
          <w:sz w:val="24"/>
        </w:rPr>
        <w:t>分）</w:t>
      </w:r>
    </w:p>
    <w:p>
      <w:pPr>
        <w:spacing w:line="360" w:lineRule="auto"/>
        <w:ind w:firstLine="480" w:firstLineChars="200"/>
        <w:rPr>
          <w:rFonts w:ascii="宋体" w:hAnsi="宋体" w:cs="宋体"/>
          <w:sz w:val="24"/>
        </w:rPr>
      </w:pPr>
      <w:r>
        <w:rPr>
          <w:rFonts w:hint="eastAsia" w:ascii="宋体" w:hAnsi="宋体" w:cs="宋体"/>
          <w:sz w:val="24"/>
        </w:rPr>
        <w:t>注：本项目采用以下评分内容及标准。</w:t>
      </w:r>
    </w:p>
    <w:p>
      <w:pPr>
        <w:numPr>
          <w:ilvl w:val="0"/>
          <w:numId w:val="36"/>
        </w:numPr>
        <w:spacing w:line="360" w:lineRule="auto"/>
        <w:ind w:firstLine="482" w:firstLineChars="200"/>
        <w:rPr>
          <w:rFonts w:ascii="宋体" w:hAnsi="宋体" w:cs="宋体"/>
          <w:b/>
          <w:bCs/>
          <w:sz w:val="24"/>
        </w:rPr>
      </w:pPr>
      <w:r>
        <w:rPr>
          <w:rFonts w:hint="eastAsia" w:ascii="宋体" w:hAnsi="宋体" w:cs="宋体"/>
          <w:b/>
          <w:bCs/>
          <w:sz w:val="24"/>
        </w:rPr>
        <w:t>技术评分表（70分）</w:t>
      </w:r>
    </w:p>
    <w:tbl>
      <w:tblPr>
        <w:tblStyle w:val="30"/>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48"/>
        <w:gridCol w:w="547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03" w:type="dxa"/>
            <w:vAlign w:val="center"/>
          </w:tcPr>
          <w:p>
            <w:pPr>
              <w:spacing w:line="320" w:lineRule="exact"/>
              <w:ind w:left="105" w:leftChars="50" w:right="105" w:rightChars="50"/>
              <w:jc w:val="center"/>
              <w:rPr>
                <w:rFonts w:ascii="宋体" w:hAnsi="宋体"/>
                <w:sz w:val="24"/>
              </w:rPr>
            </w:pPr>
            <w:r>
              <w:rPr>
                <w:rFonts w:hint="eastAsia" w:ascii="宋体" w:hAnsi="宋体"/>
                <w:sz w:val="24"/>
              </w:rPr>
              <w:t>序号</w:t>
            </w:r>
          </w:p>
        </w:tc>
        <w:tc>
          <w:tcPr>
            <w:tcW w:w="6921" w:type="dxa"/>
            <w:gridSpan w:val="2"/>
            <w:vAlign w:val="center"/>
          </w:tcPr>
          <w:p>
            <w:pPr>
              <w:spacing w:line="320" w:lineRule="exact"/>
              <w:ind w:left="105" w:leftChars="50" w:right="105" w:rightChars="50"/>
              <w:jc w:val="center"/>
              <w:rPr>
                <w:rFonts w:ascii="宋体" w:hAnsi="宋体"/>
                <w:sz w:val="24"/>
              </w:rPr>
            </w:pPr>
            <w:r>
              <w:rPr>
                <w:rFonts w:hint="eastAsia" w:ascii="宋体" w:hAnsi="宋体"/>
                <w:sz w:val="24"/>
              </w:rPr>
              <w:t>项        目</w:t>
            </w:r>
          </w:p>
        </w:tc>
        <w:tc>
          <w:tcPr>
            <w:tcW w:w="915" w:type="dxa"/>
            <w:vAlign w:val="center"/>
          </w:tcPr>
          <w:p>
            <w:pPr>
              <w:spacing w:line="320" w:lineRule="exact"/>
              <w:ind w:left="105" w:leftChars="50" w:right="105" w:rightChars="50"/>
              <w:jc w:val="center"/>
              <w:rPr>
                <w:rFonts w:ascii="宋体" w:hAnsi="宋体"/>
                <w:sz w:val="24"/>
              </w:rPr>
            </w:pPr>
            <w:r>
              <w:rPr>
                <w:rFonts w:hint="eastAsia" w:ascii="宋体" w:hAnsi="宋体"/>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03"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1</w:t>
            </w:r>
          </w:p>
        </w:tc>
        <w:tc>
          <w:tcPr>
            <w:tcW w:w="1448"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本项目人员配置情况</w:t>
            </w:r>
          </w:p>
        </w:tc>
        <w:tc>
          <w:tcPr>
            <w:tcW w:w="5473" w:type="dxa"/>
            <w:vAlign w:val="center"/>
          </w:tcPr>
          <w:p>
            <w:pPr>
              <w:spacing w:line="320" w:lineRule="exact"/>
              <w:ind w:right="105" w:rightChars="50" w:firstLine="210" w:firstLineChars="100"/>
              <w:jc w:val="left"/>
              <w:rPr>
                <w:rFonts w:ascii="宋体" w:hAnsi="宋体"/>
                <w:color w:val="auto"/>
                <w:sz w:val="24"/>
                <w:highlight w:val="none"/>
              </w:rPr>
            </w:pPr>
            <w:r>
              <w:rPr>
                <w:rFonts w:hint="eastAsia" w:hAnsi="宋体" w:cs="宋体"/>
              </w:rPr>
              <w:t>★</w:t>
            </w:r>
            <w:r>
              <w:rPr>
                <w:rFonts w:hint="eastAsia" w:ascii="宋体" w:hAnsi="宋体"/>
                <w:color w:val="auto"/>
                <w:sz w:val="24"/>
                <w:highlight w:val="none"/>
              </w:rPr>
              <w:t>根据拟在本项目投入的作业人员数量（不少于40人）、岗位配置、河道的人员分布及作业人员执证情况等进行打分。</w:t>
            </w:r>
          </w:p>
          <w:p>
            <w:pPr>
              <w:spacing w:line="320" w:lineRule="exact"/>
              <w:ind w:right="105" w:rightChars="50" w:firstLine="240" w:firstLineChars="100"/>
              <w:jc w:val="left"/>
              <w:rPr>
                <w:color w:val="auto"/>
                <w:highlight w:val="none"/>
              </w:rPr>
            </w:pPr>
            <w:r>
              <w:rPr>
                <w:rFonts w:hint="eastAsia" w:ascii="宋体" w:hAnsi="宋体"/>
                <w:color w:val="auto"/>
                <w:sz w:val="24"/>
                <w:highlight w:val="none"/>
              </w:rPr>
              <w:t>（人数多、年龄结构合理、性别比例合理为优：8-12；人数相对多、年龄结构相对较多合理、性别比例相对合理为良：4-7；人数较少、年龄结构较合理、性别比例较合理为一般：1-3；未提供不得分）</w:t>
            </w:r>
          </w:p>
        </w:tc>
        <w:tc>
          <w:tcPr>
            <w:tcW w:w="915"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1</w:t>
            </w:r>
            <w:r>
              <w:rPr>
                <w:rFonts w:ascii="宋体" w:hAnsi="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603"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2</w:t>
            </w:r>
          </w:p>
        </w:tc>
        <w:tc>
          <w:tcPr>
            <w:tcW w:w="1448"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本项目船只及车辆配置</w:t>
            </w:r>
          </w:p>
        </w:tc>
        <w:tc>
          <w:tcPr>
            <w:tcW w:w="5473" w:type="dxa"/>
            <w:vAlign w:val="center"/>
          </w:tcPr>
          <w:p>
            <w:pPr>
              <w:spacing w:line="320" w:lineRule="exact"/>
              <w:ind w:right="105" w:rightChars="50" w:firstLine="210" w:firstLineChars="100"/>
              <w:jc w:val="left"/>
              <w:rPr>
                <w:rFonts w:hint="eastAsia" w:ascii="宋体" w:hAnsi="宋体"/>
                <w:color w:val="auto"/>
                <w:sz w:val="24"/>
                <w:highlight w:val="none"/>
              </w:rPr>
            </w:pPr>
            <w:r>
              <w:rPr>
                <w:rFonts w:hint="eastAsia" w:hAnsi="宋体" w:cs="宋体"/>
              </w:rPr>
              <w:t>★</w:t>
            </w:r>
            <w:r>
              <w:rPr>
                <w:rFonts w:hint="eastAsia" w:ascii="宋体" w:hAnsi="宋体"/>
                <w:color w:val="FF0000"/>
                <w:sz w:val="24"/>
                <w:highlight w:val="none"/>
                <w:lang w:val="en-US" w:eastAsia="zh-CN"/>
              </w:rPr>
              <w:t>投标人</w:t>
            </w:r>
            <w:r>
              <w:rPr>
                <w:rFonts w:hint="eastAsia" w:ascii="宋体" w:hAnsi="宋体"/>
                <w:color w:val="auto"/>
                <w:sz w:val="24"/>
                <w:highlight w:val="none"/>
              </w:rPr>
              <w:t>自有全自动机动保洁船2只（全自动机动保洁船要求船长10米及以上,宽3米及以上）、自有皮卡车1辆、自有巡逻车1辆，承诺中标后提供自有半自动保洁船</w:t>
            </w:r>
            <w:r>
              <w:rPr>
                <w:rFonts w:ascii="宋体" w:hAnsi="宋体"/>
                <w:color w:val="auto"/>
                <w:sz w:val="24"/>
                <w:highlight w:val="none"/>
              </w:rPr>
              <w:t>12</w:t>
            </w:r>
            <w:r>
              <w:rPr>
                <w:rFonts w:hint="eastAsia" w:ascii="宋体" w:hAnsi="宋体"/>
                <w:color w:val="auto"/>
                <w:sz w:val="24"/>
                <w:highlight w:val="none"/>
              </w:rPr>
              <w:t>只，满足以上要求得4分，不满足不得分；</w:t>
            </w:r>
          </w:p>
          <w:p>
            <w:pPr>
              <w:spacing w:line="320" w:lineRule="exact"/>
              <w:ind w:right="105" w:rightChars="50" w:firstLine="240" w:firstLineChars="100"/>
              <w:jc w:val="left"/>
              <w:rPr>
                <w:rFonts w:ascii="宋体" w:hAnsi="宋体"/>
                <w:color w:val="auto"/>
                <w:sz w:val="24"/>
                <w:highlight w:val="none"/>
              </w:rPr>
            </w:pPr>
            <w:r>
              <w:rPr>
                <w:rFonts w:hint="eastAsia" w:ascii="宋体" w:hAnsi="宋体"/>
                <w:color w:val="auto"/>
                <w:sz w:val="24"/>
                <w:highlight w:val="none"/>
              </w:rPr>
              <w:t>自有全自动保洁船每增加一只，得2分，最高得2分；自有车辆每增加1辆加1分，最高2分；</w:t>
            </w:r>
          </w:p>
          <w:p>
            <w:pPr>
              <w:spacing w:line="320" w:lineRule="exact"/>
              <w:ind w:right="105" w:rightChars="50" w:firstLine="240" w:firstLineChars="100"/>
              <w:jc w:val="left"/>
              <w:rPr>
                <w:rFonts w:ascii="宋体" w:hAnsi="宋体"/>
                <w:color w:val="auto"/>
                <w:sz w:val="24"/>
                <w:highlight w:val="none"/>
              </w:rPr>
            </w:pPr>
            <w:r>
              <w:rPr>
                <w:rFonts w:hint="eastAsia" w:ascii="宋体" w:hAnsi="宋体"/>
                <w:color w:val="auto"/>
                <w:sz w:val="24"/>
                <w:highlight w:val="none"/>
              </w:rPr>
              <w:t>（投标文件中需提供车辆行驶证、机动车登记证书扫描件，全自动保洁船需提供合格证、购置发票扫描件；扫描件需加盖章单位公章）。</w:t>
            </w:r>
          </w:p>
          <w:p>
            <w:pPr>
              <w:spacing w:line="320" w:lineRule="exact"/>
              <w:ind w:left="105" w:leftChars="50" w:right="105" w:rightChars="50"/>
              <w:jc w:val="left"/>
              <w:rPr>
                <w:rFonts w:ascii="宋体" w:hAnsi="宋体"/>
                <w:color w:val="auto"/>
                <w:sz w:val="24"/>
                <w:highlight w:val="none"/>
              </w:rPr>
            </w:pPr>
            <w:r>
              <w:rPr>
                <w:rFonts w:ascii="宋体" w:hAnsi="宋体"/>
                <w:color w:val="auto"/>
                <w:sz w:val="24"/>
                <w:highlight w:val="none"/>
              </w:rPr>
              <w:t>注：分公司船只</w:t>
            </w:r>
            <w:r>
              <w:rPr>
                <w:rFonts w:hint="eastAsia" w:ascii="宋体" w:hAnsi="宋体"/>
                <w:color w:val="auto"/>
                <w:sz w:val="24"/>
                <w:highlight w:val="none"/>
              </w:rPr>
              <w:t>及车辆</w:t>
            </w:r>
            <w:r>
              <w:rPr>
                <w:rFonts w:ascii="宋体" w:hAnsi="宋体"/>
                <w:color w:val="auto"/>
                <w:sz w:val="24"/>
                <w:highlight w:val="none"/>
              </w:rPr>
              <w:t>予以认可。</w:t>
            </w:r>
          </w:p>
        </w:tc>
        <w:tc>
          <w:tcPr>
            <w:tcW w:w="915"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03"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3</w:t>
            </w:r>
          </w:p>
        </w:tc>
        <w:tc>
          <w:tcPr>
            <w:tcW w:w="1448" w:type="dxa"/>
            <w:vAlign w:val="center"/>
          </w:tcPr>
          <w:p>
            <w:pPr>
              <w:spacing w:line="320" w:lineRule="exact"/>
              <w:ind w:left="105" w:leftChars="50" w:right="105" w:rightChars="50"/>
              <w:jc w:val="center"/>
              <w:rPr>
                <w:rFonts w:ascii="宋体" w:hAnsi="宋体"/>
                <w:color w:val="auto"/>
                <w:sz w:val="24"/>
                <w:highlight w:val="none"/>
              </w:rPr>
            </w:pPr>
          </w:p>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内部管理制度</w:t>
            </w:r>
          </w:p>
          <w:p>
            <w:pPr>
              <w:spacing w:line="320" w:lineRule="exact"/>
              <w:ind w:left="105" w:leftChars="50" w:right="105" w:rightChars="50"/>
              <w:rPr>
                <w:rFonts w:ascii="宋体" w:hAnsi="宋体"/>
                <w:color w:val="auto"/>
                <w:sz w:val="24"/>
                <w:highlight w:val="none"/>
              </w:rPr>
            </w:pPr>
          </w:p>
        </w:tc>
        <w:tc>
          <w:tcPr>
            <w:tcW w:w="5473" w:type="dxa"/>
            <w:vAlign w:val="center"/>
          </w:tcPr>
          <w:p>
            <w:pPr>
              <w:spacing w:line="320" w:lineRule="exact"/>
              <w:ind w:left="105" w:leftChars="50" w:right="105" w:rightChars="50"/>
              <w:rPr>
                <w:rFonts w:ascii="宋体" w:hAnsi="宋体"/>
                <w:color w:val="auto"/>
                <w:sz w:val="24"/>
                <w:highlight w:val="none"/>
              </w:rPr>
            </w:pPr>
            <w:r>
              <w:rPr>
                <w:rFonts w:hint="eastAsia" w:ascii="宋体" w:hAnsi="宋体"/>
                <w:color w:val="auto"/>
                <w:sz w:val="24"/>
                <w:highlight w:val="none"/>
              </w:rPr>
              <w:t>企业内部管理制度，综合考虑投标单位内部奖惩激励机制、信息及时反馈及处理方案进行酌情打分</w:t>
            </w:r>
            <w:r>
              <w:rPr>
                <w:rFonts w:hint="eastAsia"/>
                <w:color w:val="auto"/>
                <w:sz w:val="24"/>
                <w:highlight w:val="none"/>
              </w:rPr>
              <w:t>。</w:t>
            </w:r>
            <w:r>
              <w:rPr>
                <w:rFonts w:hint="eastAsia" w:ascii="宋体" w:hAnsi="宋体"/>
                <w:color w:val="FF0000"/>
                <w:sz w:val="24"/>
                <w:highlight w:val="none"/>
              </w:rPr>
              <w:t>（优：9-12、良：5-8</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-4</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915"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603"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4</w:t>
            </w:r>
          </w:p>
        </w:tc>
        <w:tc>
          <w:tcPr>
            <w:tcW w:w="1448"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河道保洁方案</w:t>
            </w:r>
          </w:p>
        </w:tc>
        <w:tc>
          <w:tcPr>
            <w:tcW w:w="5473" w:type="dxa"/>
            <w:vAlign w:val="center"/>
          </w:tcPr>
          <w:p>
            <w:pPr>
              <w:spacing w:line="320" w:lineRule="exact"/>
              <w:ind w:left="105" w:leftChars="50" w:right="105" w:rightChars="50"/>
              <w:rPr>
                <w:rFonts w:ascii="宋体" w:hAnsi="宋体"/>
                <w:color w:val="auto"/>
                <w:sz w:val="24"/>
                <w:highlight w:val="none"/>
              </w:rPr>
            </w:pPr>
            <w:r>
              <w:rPr>
                <w:rFonts w:hint="eastAsia" w:ascii="宋体" w:hAnsi="宋体"/>
                <w:color w:val="auto"/>
                <w:sz w:val="24"/>
                <w:highlight w:val="none"/>
              </w:rPr>
              <w:t>河道保洁作业方案的针对性、合理性（保洁时段、保洁方式等方案是否符合本项目的实际情况）。</w:t>
            </w:r>
            <w:r>
              <w:rPr>
                <w:rFonts w:hint="eastAsia" w:ascii="宋体" w:hAnsi="宋体"/>
                <w:color w:val="FF0000"/>
                <w:sz w:val="24"/>
                <w:highlight w:val="none"/>
              </w:rPr>
              <w:t>（优：</w:t>
            </w:r>
            <w:r>
              <w:rPr>
                <w:rFonts w:ascii="宋体" w:hAnsi="宋体"/>
                <w:color w:val="FF0000"/>
                <w:sz w:val="24"/>
                <w:highlight w:val="none"/>
              </w:rPr>
              <w:t>10</w:t>
            </w:r>
            <w:r>
              <w:rPr>
                <w:rFonts w:hint="eastAsia" w:ascii="宋体" w:hAnsi="宋体"/>
                <w:color w:val="FF0000"/>
                <w:sz w:val="24"/>
                <w:highlight w:val="none"/>
              </w:rPr>
              <w:t>-1</w:t>
            </w:r>
            <w:r>
              <w:rPr>
                <w:rFonts w:ascii="宋体" w:hAnsi="宋体"/>
                <w:color w:val="FF0000"/>
                <w:sz w:val="24"/>
                <w:highlight w:val="none"/>
              </w:rPr>
              <w:t>4</w:t>
            </w:r>
            <w:r>
              <w:rPr>
                <w:rFonts w:hint="eastAsia" w:ascii="宋体" w:hAnsi="宋体"/>
                <w:color w:val="FF0000"/>
                <w:sz w:val="24"/>
                <w:highlight w:val="none"/>
              </w:rPr>
              <w:t>、良：</w:t>
            </w:r>
            <w:r>
              <w:rPr>
                <w:rFonts w:ascii="宋体" w:hAnsi="宋体"/>
                <w:color w:val="FF0000"/>
                <w:sz w:val="24"/>
                <w:highlight w:val="none"/>
              </w:rPr>
              <w:t>6</w:t>
            </w:r>
            <w:r>
              <w:rPr>
                <w:rFonts w:hint="eastAsia" w:ascii="宋体" w:hAnsi="宋体"/>
                <w:color w:val="FF0000"/>
                <w:sz w:val="24"/>
                <w:highlight w:val="none"/>
              </w:rPr>
              <w:t>-</w:t>
            </w:r>
            <w:r>
              <w:rPr>
                <w:rFonts w:ascii="宋体" w:hAnsi="宋体"/>
                <w:color w:val="FF0000"/>
                <w:sz w:val="24"/>
                <w:highlight w:val="none"/>
              </w:rPr>
              <w:t>9</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w:t>
            </w:r>
            <w:r>
              <w:rPr>
                <w:rFonts w:ascii="宋体" w:hAnsi="宋体"/>
                <w:color w:val="FF0000"/>
                <w:sz w:val="24"/>
                <w:highlight w:val="none"/>
              </w:rPr>
              <w:t>5</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915"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1</w:t>
            </w:r>
            <w:r>
              <w:rPr>
                <w:rFonts w:ascii="宋体" w:hAnsi="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03"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5</w:t>
            </w:r>
          </w:p>
        </w:tc>
        <w:tc>
          <w:tcPr>
            <w:tcW w:w="1448"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特殊时期应急保障方案</w:t>
            </w:r>
          </w:p>
        </w:tc>
        <w:tc>
          <w:tcPr>
            <w:tcW w:w="5473" w:type="dxa"/>
            <w:vAlign w:val="center"/>
          </w:tcPr>
          <w:p>
            <w:pPr>
              <w:spacing w:line="320" w:lineRule="exact"/>
              <w:ind w:left="105" w:leftChars="50" w:right="105" w:rightChars="50"/>
              <w:rPr>
                <w:rFonts w:ascii="宋体" w:hAnsi="宋体"/>
                <w:color w:val="auto"/>
                <w:sz w:val="24"/>
                <w:highlight w:val="none"/>
              </w:rPr>
            </w:pPr>
            <w:r>
              <w:rPr>
                <w:rFonts w:hint="eastAsia" w:ascii="宋体" w:hAnsi="宋体"/>
                <w:color w:val="auto"/>
                <w:sz w:val="24"/>
                <w:highlight w:val="none"/>
              </w:rPr>
              <w:t>根据应急保障方案是否符合本项目实际情况，如突发情况下的人员安排、恶劣天气应急预案、重大节假日活动保障措施等。</w:t>
            </w:r>
            <w:r>
              <w:rPr>
                <w:rFonts w:hint="eastAsia" w:ascii="宋体" w:hAnsi="宋体"/>
                <w:color w:val="FF0000"/>
                <w:sz w:val="24"/>
                <w:highlight w:val="none"/>
              </w:rPr>
              <w:t>（优：9-12、良：5-8</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-4</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915"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0-1</w:t>
            </w:r>
            <w:r>
              <w:rPr>
                <w:rFonts w:hint="eastAsia" w:ascii="宋体" w:hAnsi="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03"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6</w:t>
            </w:r>
          </w:p>
        </w:tc>
        <w:tc>
          <w:tcPr>
            <w:tcW w:w="1448"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安全措施及安全教育方案</w:t>
            </w:r>
          </w:p>
        </w:tc>
        <w:tc>
          <w:tcPr>
            <w:tcW w:w="5473" w:type="dxa"/>
            <w:vAlign w:val="center"/>
          </w:tcPr>
          <w:p>
            <w:pPr>
              <w:spacing w:line="320" w:lineRule="exact"/>
              <w:ind w:left="105" w:leftChars="50" w:right="105" w:rightChars="50"/>
              <w:rPr>
                <w:rFonts w:ascii="宋体" w:hAnsi="宋体"/>
                <w:color w:val="auto"/>
                <w:sz w:val="24"/>
                <w:highlight w:val="none"/>
              </w:rPr>
            </w:pPr>
            <w:r>
              <w:rPr>
                <w:rFonts w:hint="eastAsia" w:ascii="宋体" w:hAnsi="宋体"/>
                <w:color w:val="auto"/>
                <w:sz w:val="24"/>
                <w:highlight w:val="none"/>
              </w:rPr>
              <w:t>根据安全措施及安全教育方案打分。安全措施方案是否可行，具有前瞻性，安全教育方案是否完整、细致。</w:t>
            </w:r>
            <w:r>
              <w:rPr>
                <w:rFonts w:hint="eastAsia" w:ascii="宋体" w:hAnsi="宋体"/>
                <w:color w:val="FF0000"/>
                <w:sz w:val="24"/>
                <w:highlight w:val="none"/>
              </w:rPr>
              <w:t>（优：9-12、良：5-8</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-4</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915"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12</w:t>
            </w:r>
          </w:p>
        </w:tc>
      </w:tr>
    </w:tbl>
    <w:p>
      <w:pPr>
        <w:numPr>
          <w:ilvl w:val="0"/>
          <w:numId w:val="37"/>
        </w:numPr>
        <w:rPr>
          <w:rFonts w:ascii="宋体" w:hAnsi="宋体" w:cs="宋体"/>
          <w:color w:val="auto"/>
          <w:sz w:val="24"/>
          <w:highlight w:val="none"/>
        </w:rPr>
      </w:pPr>
      <w:r>
        <w:rPr>
          <w:rFonts w:hint="eastAsia" w:ascii="宋体" w:hAnsi="宋体" w:cs="宋体"/>
          <w:b/>
          <w:bCs/>
          <w:color w:val="auto"/>
          <w:sz w:val="24"/>
          <w:highlight w:val="none"/>
        </w:rPr>
        <w:t>资信评分表（10分）</w:t>
      </w:r>
    </w:p>
    <w:tbl>
      <w:tblPr>
        <w:tblStyle w:val="3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9"/>
        <w:gridCol w:w="544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30"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序号</w:t>
            </w:r>
          </w:p>
        </w:tc>
        <w:tc>
          <w:tcPr>
            <w:tcW w:w="6961" w:type="dxa"/>
            <w:gridSpan w:val="2"/>
            <w:vAlign w:val="center"/>
          </w:tcPr>
          <w:p>
            <w:pPr>
              <w:snapToGrid w:val="0"/>
              <w:spacing w:after="120"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项         目</w:t>
            </w:r>
          </w:p>
        </w:tc>
        <w:tc>
          <w:tcPr>
            <w:tcW w:w="928" w:type="dxa"/>
            <w:vAlign w:val="center"/>
          </w:tcPr>
          <w:p>
            <w:pPr>
              <w:snapToGrid w:val="0"/>
              <w:spacing w:after="120"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30"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1</w:t>
            </w:r>
          </w:p>
        </w:tc>
        <w:tc>
          <w:tcPr>
            <w:tcW w:w="1519"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企业业绩</w:t>
            </w:r>
          </w:p>
        </w:tc>
        <w:tc>
          <w:tcPr>
            <w:tcW w:w="5442" w:type="dxa"/>
            <w:vAlign w:val="center"/>
          </w:tcPr>
          <w:p>
            <w:pPr>
              <w:spacing w:line="320" w:lineRule="exact"/>
              <w:ind w:left="105" w:leftChars="50" w:right="105" w:rightChars="50"/>
              <w:jc w:val="left"/>
              <w:rPr>
                <w:rFonts w:ascii="宋体" w:hAnsi="宋体"/>
                <w:color w:val="auto"/>
                <w:sz w:val="24"/>
                <w:highlight w:val="none"/>
              </w:rPr>
            </w:pPr>
            <w:r>
              <w:rPr>
                <w:rFonts w:hint="eastAsia" w:ascii="宋体" w:hAnsi="宋体"/>
                <w:color w:val="auto"/>
                <w:sz w:val="24"/>
                <w:highlight w:val="none"/>
              </w:rPr>
              <w:t>投标人20</w:t>
            </w:r>
            <w:r>
              <w:rPr>
                <w:rFonts w:ascii="宋体" w:hAnsi="宋体"/>
                <w:color w:val="auto"/>
                <w:sz w:val="24"/>
                <w:highlight w:val="none"/>
              </w:rPr>
              <w:t>20</w:t>
            </w:r>
            <w:r>
              <w:rPr>
                <w:rFonts w:hint="eastAsia" w:ascii="宋体" w:hAnsi="宋体"/>
                <w:color w:val="auto"/>
                <w:sz w:val="24"/>
                <w:highlight w:val="none"/>
              </w:rPr>
              <w:t>年1月以来（以合同签订时间为准）有河道保洁管理业绩（合同河道保洁</w:t>
            </w:r>
            <w:r>
              <w:rPr>
                <w:rFonts w:hint="eastAsia" w:ascii="宋体" w:hAnsi="宋体"/>
                <w:color w:val="FF0000"/>
                <w:sz w:val="24"/>
                <w:highlight w:val="none"/>
              </w:rPr>
              <w:t>面积</w:t>
            </w:r>
            <w:r>
              <w:rPr>
                <w:rFonts w:ascii="宋体" w:hAnsi="宋体"/>
                <w:color w:val="FF0000"/>
                <w:sz w:val="24"/>
                <w:highlight w:val="none"/>
              </w:rPr>
              <w:t>250</w:t>
            </w:r>
            <w:r>
              <w:rPr>
                <w:rFonts w:hint="eastAsia" w:ascii="宋体" w:hAnsi="宋体"/>
                <w:color w:val="FF0000"/>
                <w:sz w:val="24"/>
                <w:highlight w:val="none"/>
              </w:rPr>
              <w:t>万平方米</w:t>
            </w:r>
            <w:r>
              <w:rPr>
                <w:rFonts w:hint="eastAsia" w:ascii="宋体" w:hAnsi="宋体"/>
                <w:color w:val="auto"/>
                <w:sz w:val="24"/>
                <w:highlight w:val="none"/>
              </w:rPr>
              <w:t>及以上）的，得1分，未提供的不得分。</w:t>
            </w:r>
            <w:r>
              <w:rPr>
                <w:rFonts w:hint="eastAsia" w:ascii="宋体" w:hAnsi="宋体"/>
                <w:color w:val="auto"/>
                <w:sz w:val="24"/>
                <w:highlight w:val="none"/>
                <w:lang w:val="zh-TW"/>
              </w:rPr>
              <w:t>【注：</w:t>
            </w:r>
            <w:r>
              <w:rPr>
                <w:rFonts w:hint="eastAsia" w:ascii="宋体" w:hAnsi="宋体"/>
                <w:color w:val="auto"/>
                <w:sz w:val="24"/>
                <w:highlight w:val="none"/>
              </w:rPr>
              <w:t>投标文件需</w:t>
            </w:r>
            <w:r>
              <w:rPr>
                <w:rFonts w:hint="eastAsia" w:ascii="宋体" w:hAnsi="宋体"/>
                <w:color w:val="auto"/>
                <w:sz w:val="24"/>
                <w:highlight w:val="none"/>
                <w:lang w:val="zh-TW"/>
              </w:rPr>
              <w:t>提供合同</w:t>
            </w:r>
            <w:r>
              <w:rPr>
                <w:rFonts w:hint="eastAsia" w:ascii="宋体" w:hAnsi="宋体"/>
                <w:color w:val="auto"/>
                <w:sz w:val="24"/>
                <w:highlight w:val="none"/>
              </w:rPr>
              <w:t>原件扫描件并加盖投标人公章</w:t>
            </w:r>
            <w:r>
              <w:rPr>
                <w:rFonts w:hint="eastAsia" w:ascii="宋体" w:hAnsi="宋体"/>
                <w:color w:val="auto"/>
                <w:sz w:val="24"/>
                <w:highlight w:val="none"/>
                <w:lang w:val="zh-TW"/>
              </w:rPr>
              <w:t>】</w:t>
            </w:r>
          </w:p>
        </w:tc>
        <w:tc>
          <w:tcPr>
            <w:tcW w:w="928"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630"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2</w:t>
            </w:r>
          </w:p>
        </w:tc>
        <w:tc>
          <w:tcPr>
            <w:tcW w:w="1519" w:type="dxa"/>
            <w:vAlign w:val="center"/>
          </w:tcPr>
          <w:p>
            <w:pPr>
              <w:spacing w:line="320" w:lineRule="exact"/>
              <w:rPr>
                <w:rFonts w:ascii="宋体" w:hAnsi="宋体"/>
                <w:color w:val="auto"/>
                <w:sz w:val="24"/>
                <w:highlight w:val="none"/>
              </w:rPr>
            </w:pPr>
          </w:p>
          <w:p>
            <w:pPr>
              <w:spacing w:line="320" w:lineRule="exact"/>
              <w:jc w:val="center"/>
              <w:rPr>
                <w:rFonts w:ascii="宋体" w:hAnsi="宋体"/>
                <w:color w:val="auto"/>
                <w:sz w:val="24"/>
                <w:highlight w:val="none"/>
              </w:rPr>
            </w:pPr>
            <w:r>
              <w:rPr>
                <w:rFonts w:hint="eastAsia" w:ascii="宋体" w:hAnsi="宋体"/>
                <w:color w:val="auto"/>
                <w:sz w:val="24"/>
                <w:highlight w:val="none"/>
              </w:rPr>
              <w:t>现场负责人业绩</w:t>
            </w:r>
          </w:p>
          <w:p>
            <w:pPr>
              <w:spacing w:line="320" w:lineRule="exact"/>
              <w:ind w:left="105" w:leftChars="50" w:right="105" w:rightChars="50"/>
              <w:rPr>
                <w:rFonts w:ascii="宋体" w:hAnsi="宋体"/>
                <w:color w:val="auto"/>
                <w:sz w:val="24"/>
                <w:highlight w:val="none"/>
              </w:rPr>
            </w:pPr>
          </w:p>
        </w:tc>
        <w:tc>
          <w:tcPr>
            <w:tcW w:w="5442" w:type="dxa"/>
            <w:vAlign w:val="center"/>
          </w:tcPr>
          <w:p>
            <w:pPr>
              <w:jc w:val="left"/>
              <w:rPr>
                <w:rFonts w:ascii="宋体" w:hAnsi="宋体"/>
                <w:color w:val="auto"/>
                <w:sz w:val="24"/>
                <w:highlight w:val="none"/>
                <w:lang w:val="zh-TW"/>
              </w:rPr>
            </w:pPr>
            <w:r>
              <w:rPr>
                <w:rFonts w:hint="eastAsia" w:ascii="宋体" w:hAnsi="宋体"/>
                <w:color w:val="auto"/>
                <w:sz w:val="24"/>
                <w:highlight w:val="none"/>
              </w:rPr>
              <w:t>拟派本项目现场负责人</w:t>
            </w:r>
            <w:r>
              <w:rPr>
                <w:rFonts w:hint="eastAsia" w:ascii="宋体" w:hAnsi="宋体"/>
                <w:color w:val="auto"/>
                <w:sz w:val="24"/>
                <w:highlight w:val="none"/>
                <w:lang w:val="zh-TW"/>
              </w:rPr>
              <w:t>自</w:t>
            </w:r>
            <w:r>
              <w:rPr>
                <w:rFonts w:hint="eastAsia" w:ascii="宋体" w:hAnsi="宋体"/>
                <w:color w:val="auto"/>
                <w:sz w:val="24"/>
                <w:highlight w:val="none"/>
              </w:rPr>
              <w:t>2020</w:t>
            </w:r>
            <w:r>
              <w:rPr>
                <w:rFonts w:hint="eastAsia" w:ascii="宋体" w:hAnsi="宋体"/>
                <w:color w:val="auto"/>
                <w:sz w:val="24"/>
                <w:highlight w:val="none"/>
                <w:lang w:val="zh-TW"/>
              </w:rPr>
              <w:t>年1月1日（以合同签订时间为准）以来担任</w:t>
            </w:r>
            <w:r>
              <w:rPr>
                <w:rFonts w:hint="eastAsia" w:ascii="宋体" w:hAnsi="宋体"/>
                <w:color w:val="auto"/>
                <w:sz w:val="24"/>
                <w:highlight w:val="none"/>
              </w:rPr>
              <w:t>现场</w:t>
            </w:r>
            <w:r>
              <w:rPr>
                <w:rFonts w:hint="eastAsia" w:ascii="宋体" w:hAnsi="宋体"/>
                <w:color w:val="auto"/>
                <w:sz w:val="24"/>
                <w:highlight w:val="none"/>
                <w:lang w:val="zh-TW"/>
              </w:rPr>
              <w:t>负责人的</w:t>
            </w:r>
            <w:r>
              <w:rPr>
                <w:rFonts w:hint="eastAsia" w:ascii="宋体" w:hAnsi="宋体"/>
                <w:color w:val="auto"/>
                <w:sz w:val="24"/>
                <w:highlight w:val="none"/>
              </w:rPr>
              <w:t>有河道保洁管理业绩（合同河道保洁面积</w:t>
            </w:r>
            <w:r>
              <w:rPr>
                <w:rFonts w:ascii="宋体" w:hAnsi="宋体"/>
                <w:color w:val="FF0000"/>
                <w:sz w:val="24"/>
                <w:highlight w:val="none"/>
              </w:rPr>
              <w:t>250</w:t>
            </w:r>
            <w:r>
              <w:rPr>
                <w:rFonts w:hint="eastAsia" w:ascii="宋体" w:hAnsi="宋体"/>
                <w:color w:val="FF0000"/>
                <w:sz w:val="24"/>
                <w:highlight w:val="none"/>
              </w:rPr>
              <w:t>万平方米</w:t>
            </w:r>
            <w:r>
              <w:rPr>
                <w:rFonts w:hint="eastAsia" w:ascii="宋体" w:hAnsi="宋体"/>
                <w:color w:val="auto"/>
                <w:sz w:val="24"/>
                <w:highlight w:val="none"/>
              </w:rPr>
              <w:t>及以上）</w:t>
            </w:r>
            <w:r>
              <w:rPr>
                <w:rFonts w:hint="eastAsia" w:ascii="宋体" w:hAnsi="宋体"/>
                <w:color w:val="auto"/>
                <w:sz w:val="24"/>
                <w:highlight w:val="none"/>
                <w:lang w:val="zh-TW"/>
              </w:rPr>
              <w:t>的一个</w:t>
            </w:r>
            <w:r>
              <w:rPr>
                <w:rFonts w:hint="eastAsia" w:ascii="宋体" w:hAnsi="宋体"/>
                <w:color w:val="auto"/>
                <w:sz w:val="24"/>
                <w:highlight w:val="none"/>
              </w:rPr>
              <w:t>得1分，未提供的不得分</w:t>
            </w:r>
            <w:r>
              <w:rPr>
                <w:rFonts w:hint="eastAsia" w:ascii="宋体" w:hAnsi="宋体"/>
                <w:color w:val="auto"/>
                <w:sz w:val="24"/>
                <w:highlight w:val="none"/>
                <w:lang w:val="zh-TW"/>
              </w:rPr>
              <w:t>。【注：</w:t>
            </w:r>
            <w:r>
              <w:rPr>
                <w:rFonts w:hint="eastAsia" w:ascii="宋体" w:hAnsi="宋体"/>
                <w:color w:val="auto"/>
                <w:sz w:val="24"/>
                <w:highlight w:val="none"/>
              </w:rPr>
              <w:t>投标文件需提供合同原件扫描件并加盖投标人公章</w:t>
            </w:r>
            <w:r>
              <w:rPr>
                <w:rFonts w:hint="eastAsia" w:ascii="宋体" w:hAnsi="宋体"/>
                <w:color w:val="auto"/>
                <w:sz w:val="24"/>
                <w:highlight w:val="none"/>
                <w:lang w:val="zh-TW"/>
              </w:rPr>
              <w:t>。</w:t>
            </w:r>
            <w:r>
              <w:rPr>
                <w:rFonts w:hint="eastAsia" w:ascii="宋体" w:hAnsi="宋体"/>
                <w:color w:val="auto"/>
                <w:sz w:val="24"/>
                <w:highlight w:val="none"/>
              </w:rPr>
              <w:t>如合同中不能体现现场负责人须另附业主（合同甲方）证明材料加盖业主公章予以说明。未提供的不得分</w:t>
            </w:r>
            <w:r>
              <w:rPr>
                <w:rFonts w:hint="eastAsia" w:ascii="宋体" w:hAnsi="宋体"/>
                <w:color w:val="auto"/>
                <w:sz w:val="24"/>
                <w:highlight w:val="none"/>
                <w:lang w:val="zh-TW"/>
              </w:rPr>
              <w:t>】</w:t>
            </w:r>
          </w:p>
          <w:p>
            <w:pPr>
              <w:spacing w:line="320" w:lineRule="exact"/>
              <w:ind w:left="105" w:leftChars="50" w:right="105" w:rightChars="50"/>
              <w:jc w:val="left"/>
              <w:rPr>
                <w:rFonts w:ascii="宋体" w:hAnsi="宋体"/>
                <w:color w:val="auto"/>
                <w:sz w:val="24"/>
                <w:highlight w:val="none"/>
              </w:rPr>
            </w:pPr>
            <w:r>
              <w:rPr>
                <w:rFonts w:hint="eastAsia" w:ascii="宋体" w:hAnsi="宋体"/>
                <w:color w:val="auto"/>
                <w:sz w:val="24"/>
                <w:highlight w:val="none"/>
              </w:rPr>
              <w:t>现场负责人同时提供</w:t>
            </w:r>
            <w:r>
              <w:rPr>
                <w:rFonts w:hint="eastAsia" w:ascii="宋体" w:hAnsi="宋体"/>
                <w:color w:val="auto"/>
                <w:sz w:val="24"/>
                <w:highlight w:val="none"/>
                <w:lang w:val="zh-TW"/>
              </w:rPr>
              <w:t>缴费期限包含</w:t>
            </w:r>
            <w:r>
              <w:rPr>
                <w:rFonts w:hint="eastAsia" w:ascii="宋体" w:hAnsi="宋体"/>
                <w:color w:val="auto"/>
                <w:sz w:val="24"/>
                <w:highlight w:val="none"/>
              </w:rPr>
              <w:t>2022年11月至2023年1月</w:t>
            </w:r>
            <w:r>
              <w:rPr>
                <w:rFonts w:hint="eastAsia" w:ascii="宋体" w:hAnsi="宋体"/>
                <w:color w:val="auto"/>
                <w:sz w:val="24"/>
                <w:highlight w:val="none"/>
                <w:lang w:val="zh-TW"/>
              </w:rPr>
              <w:t>的以投标人名义缴纳的社保缴费证明材料</w:t>
            </w:r>
            <w:r>
              <w:rPr>
                <w:rFonts w:hint="eastAsia" w:ascii="宋体" w:hAnsi="宋体"/>
                <w:color w:val="auto"/>
                <w:sz w:val="24"/>
                <w:highlight w:val="none"/>
              </w:rPr>
              <w:t>。</w:t>
            </w:r>
            <w:r>
              <w:rPr>
                <w:rFonts w:hint="eastAsia" w:ascii="宋体" w:hAnsi="宋体"/>
                <w:color w:val="auto"/>
                <w:sz w:val="24"/>
                <w:highlight w:val="none"/>
                <w:lang w:val="zh-TW"/>
              </w:rPr>
              <w:t>【注：</w:t>
            </w:r>
            <w:r>
              <w:rPr>
                <w:rFonts w:hint="eastAsia" w:ascii="宋体" w:hAnsi="宋体"/>
                <w:color w:val="auto"/>
                <w:sz w:val="24"/>
                <w:highlight w:val="none"/>
              </w:rPr>
              <w:t>投标文件需提供社保缴纳证明扫描件并加盖投标人公章</w:t>
            </w:r>
            <w:r>
              <w:rPr>
                <w:rFonts w:hint="eastAsia" w:ascii="宋体" w:hAnsi="宋体"/>
                <w:color w:val="auto"/>
                <w:sz w:val="24"/>
                <w:highlight w:val="none"/>
                <w:lang w:val="zh-TW"/>
              </w:rPr>
              <w:t>。</w:t>
            </w:r>
            <w:r>
              <w:rPr>
                <w:rFonts w:hint="eastAsia" w:ascii="宋体" w:hAnsi="宋体"/>
                <w:color w:val="auto"/>
                <w:sz w:val="24"/>
                <w:highlight w:val="none"/>
              </w:rPr>
              <w:t>二者缺一不可，否则</w:t>
            </w:r>
            <w:r>
              <w:rPr>
                <w:rFonts w:hint="eastAsia" w:ascii="宋体" w:hAnsi="宋体"/>
                <w:color w:val="auto"/>
                <w:sz w:val="24"/>
                <w:highlight w:val="none"/>
                <w:lang w:val="zh-TW"/>
              </w:rPr>
              <w:t>不得分】</w:t>
            </w:r>
          </w:p>
        </w:tc>
        <w:tc>
          <w:tcPr>
            <w:tcW w:w="928"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30"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3</w:t>
            </w:r>
          </w:p>
        </w:tc>
        <w:tc>
          <w:tcPr>
            <w:tcW w:w="1519"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认证</w:t>
            </w:r>
          </w:p>
        </w:tc>
        <w:tc>
          <w:tcPr>
            <w:tcW w:w="5442" w:type="dxa"/>
            <w:vAlign w:val="center"/>
          </w:tcPr>
          <w:p>
            <w:pPr>
              <w:spacing w:line="320" w:lineRule="exact"/>
              <w:ind w:left="105" w:leftChars="50" w:right="105" w:rightChars="50"/>
              <w:jc w:val="left"/>
              <w:rPr>
                <w:rFonts w:ascii="宋体" w:hAnsi="宋体"/>
                <w:color w:val="auto"/>
                <w:sz w:val="24"/>
                <w:highlight w:val="none"/>
              </w:rPr>
            </w:pPr>
            <w:r>
              <w:rPr>
                <w:rFonts w:ascii="宋体" w:hAnsi="宋体"/>
                <w:color w:val="auto"/>
                <w:sz w:val="24"/>
                <w:highlight w:val="none"/>
              </w:rPr>
              <w:t>投标人具有在有效期内的质量管理体系认证、环境管理体系认证、职业健康安全管理体系认证的每个得</w:t>
            </w:r>
            <w:r>
              <w:rPr>
                <w:rFonts w:hint="eastAsia" w:ascii="宋体" w:hAnsi="宋体"/>
                <w:color w:val="auto"/>
                <w:sz w:val="24"/>
                <w:highlight w:val="none"/>
              </w:rPr>
              <w:t>1</w:t>
            </w:r>
            <w:r>
              <w:rPr>
                <w:rFonts w:ascii="宋体" w:hAnsi="宋体"/>
                <w:color w:val="auto"/>
                <w:sz w:val="24"/>
                <w:highlight w:val="none"/>
              </w:rPr>
              <w:t>分，没有不得分，最高得</w:t>
            </w:r>
            <w:r>
              <w:rPr>
                <w:rFonts w:hint="eastAsia" w:ascii="宋体" w:hAnsi="宋体"/>
                <w:color w:val="auto"/>
                <w:sz w:val="24"/>
                <w:highlight w:val="none"/>
              </w:rPr>
              <w:t>3</w:t>
            </w:r>
            <w:r>
              <w:rPr>
                <w:rFonts w:ascii="宋体" w:hAnsi="宋体"/>
                <w:color w:val="auto"/>
                <w:sz w:val="24"/>
                <w:highlight w:val="none"/>
              </w:rPr>
              <w:t>分。【注：投标文件需提供相关证书扫描件并加盖投标人公章，未提供的不得分】</w:t>
            </w:r>
          </w:p>
        </w:tc>
        <w:tc>
          <w:tcPr>
            <w:tcW w:w="928"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0-</w:t>
            </w:r>
            <w:r>
              <w:rPr>
                <w:rFonts w:hint="eastAsia" w:ascii="宋体" w:hAnsi="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30" w:type="dxa"/>
            <w:vAlign w:val="center"/>
          </w:tcPr>
          <w:p>
            <w:pPr>
              <w:spacing w:line="320" w:lineRule="exact"/>
              <w:ind w:left="105" w:leftChars="50" w:right="105" w:rightChars="50"/>
              <w:jc w:val="center"/>
              <w:rPr>
                <w:rFonts w:ascii="宋体" w:hAnsi="宋体"/>
                <w:color w:val="auto"/>
                <w:sz w:val="24"/>
                <w:highlight w:val="none"/>
              </w:rPr>
            </w:pPr>
            <w:r>
              <w:rPr>
                <w:rFonts w:ascii="宋体" w:hAnsi="宋体"/>
                <w:color w:val="auto"/>
                <w:sz w:val="24"/>
                <w:highlight w:val="none"/>
              </w:rPr>
              <w:t>4</w:t>
            </w:r>
          </w:p>
        </w:tc>
        <w:tc>
          <w:tcPr>
            <w:tcW w:w="1519" w:type="dxa"/>
            <w:vAlign w:val="center"/>
          </w:tcPr>
          <w:p>
            <w:pPr>
              <w:spacing w:line="320" w:lineRule="exact"/>
              <w:ind w:left="105" w:leftChars="50" w:right="105" w:rightChars="50"/>
              <w:jc w:val="center"/>
              <w:rPr>
                <w:rFonts w:ascii="宋体" w:hAnsi="宋体"/>
                <w:color w:val="auto"/>
                <w:sz w:val="24"/>
                <w:highlight w:val="none"/>
              </w:rPr>
            </w:pPr>
            <w:r>
              <w:rPr>
                <w:rFonts w:hint="eastAsia" w:ascii="宋体" w:hAnsi="宋体"/>
                <w:color w:val="auto"/>
                <w:sz w:val="24"/>
                <w:highlight w:val="none"/>
              </w:rPr>
              <w:t>内河船员情况</w:t>
            </w:r>
          </w:p>
        </w:tc>
        <w:tc>
          <w:tcPr>
            <w:tcW w:w="5442" w:type="dxa"/>
            <w:vAlign w:val="center"/>
          </w:tcPr>
          <w:p>
            <w:pPr>
              <w:spacing w:line="320" w:lineRule="exact"/>
              <w:ind w:right="105" w:rightChars="50"/>
              <w:jc w:val="left"/>
              <w:rPr>
                <w:rFonts w:ascii="宋体" w:hAnsi="宋体"/>
                <w:color w:val="auto"/>
                <w:sz w:val="24"/>
                <w:highlight w:val="none"/>
              </w:rPr>
            </w:pPr>
            <w:r>
              <w:rPr>
                <w:rFonts w:hint="eastAsia" w:ascii="宋体" w:hAnsi="宋体"/>
                <w:color w:val="auto"/>
                <w:sz w:val="24"/>
                <w:highlight w:val="none"/>
              </w:rPr>
              <w:t>拟派本项目人员具有地方海事局颁发的内河船舶船员适任证书，每提供1本证书得1分，最高得</w:t>
            </w:r>
            <w:r>
              <w:rPr>
                <w:rFonts w:ascii="宋体" w:hAnsi="宋体"/>
                <w:color w:val="auto"/>
                <w:sz w:val="24"/>
                <w:highlight w:val="none"/>
              </w:rPr>
              <w:t>2</w:t>
            </w:r>
            <w:r>
              <w:rPr>
                <w:rFonts w:hint="eastAsia" w:ascii="宋体" w:hAnsi="宋体"/>
                <w:color w:val="auto"/>
                <w:sz w:val="24"/>
                <w:highlight w:val="none"/>
              </w:rPr>
              <w:t>分，不满足不得分。提供扫描件（持有的内河船舶船员需为投标单位人员，同时提供</w:t>
            </w:r>
            <w:r>
              <w:rPr>
                <w:rFonts w:hint="eastAsia" w:ascii="宋体" w:hAnsi="宋体"/>
                <w:color w:val="auto"/>
                <w:sz w:val="24"/>
                <w:highlight w:val="none"/>
                <w:lang w:val="zh-TW"/>
              </w:rPr>
              <w:t>缴费期限包含</w:t>
            </w:r>
            <w:r>
              <w:rPr>
                <w:rFonts w:hint="eastAsia" w:ascii="宋体" w:hAnsi="宋体"/>
                <w:color w:val="auto"/>
                <w:sz w:val="24"/>
                <w:highlight w:val="none"/>
              </w:rPr>
              <w:t>2022年11月至2023年1月</w:t>
            </w:r>
            <w:r>
              <w:rPr>
                <w:rFonts w:hint="eastAsia" w:ascii="宋体" w:hAnsi="宋体"/>
                <w:color w:val="auto"/>
                <w:sz w:val="24"/>
                <w:highlight w:val="none"/>
                <w:lang w:val="zh-TW"/>
              </w:rPr>
              <w:t>的以投标人名义缴纳的社保缴费证明材料</w:t>
            </w:r>
            <w:r>
              <w:rPr>
                <w:rFonts w:hint="eastAsia" w:ascii="宋体" w:hAnsi="宋体"/>
                <w:color w:val="auto"/>
                <w:sz w:val="24"/>
                <w:highlight w:val="none"/>
              </w:rPr>
              <w:t>）。</w:t>
            </w:r>
          </w:p>
        </w:tc>
        <w:tc>
          <w:tcPr>
            <w:tcW w:w="928" w:type="dxa"/>
            <w:vAlign w:val="center"/>
          </w:tcPr>
          <w:p>
            <w:pPr>
              <w:spacing w:line="320" w:lineRule="exact"/>
              <w:ind w:left="105" w:leftChars="50" w:right="105" w:rightChars="50" w:firstLine="120" w:firstLineChars="50"/>
              <w:jc w:val="center"/>
              <w:rPr>
                <w:rFonts w:ascii="宋体" w:hAnsi="宋体"/>
                <w:color w:val="auto"/>
                <w:sz w:val="24"/>
                <w:highlight w:val="none"/>
              </w:rPr>
            </w:pPr>
            <w:r>
              <w:rPr>
                <w:rFonts w:hint="eastAsia" w:ascii="宋体" w:hAnsi="宋体"/>
                <w:color w:val="auto"/>
                <w:sz w:val="24"/>
                <w:highlight w:val="none"/>
              </w:rPr>
              <w:t>0-</w:t>
            </w:r>
            <w:r>
              <w:rPr>
                <w:rFonts w:ascii="宋体" w:hAnsi="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0" w:type="dxa"/>
            <w:vAlign w:val="center"/>
          </w:tcPr>
          <w:p>
            <w:pPr>
              <w:spacing w:line="320" w:lineRule="exact"/>
              <w:ind w:left="105" w:leftChars="50" w:right="105" w:rightChars="50"/>
              <w:jc w:val="center"/>
              <w:rPr>
                <w:rFonts w:ascii="宋体" w:hAnsi="宋体"/>
                <w:sz w:val="24"/>
              </w:rPr>
            </w:pPr>
            <w:r>
              <w:rPr>
                <w:rFonts w:ascii="宋体" w:hAnsi="宋体"/>
                <w:sz w:val="24"/>
              </w:rPr>
              <w:t>5</w:t>
            </w:r>
          </w:p>
        </w:tc>
        <w:tc>
          <w:tcPr>
            <w:tcW w:w="1519" w:type="dxa"/>
            <w:vAlign w:val="center"/>
          </w:tcPr>
          <w:p>
            <w:pPr>
              <w:jc w:val="center"/>
              <w:rPr>
                <w:rFonts w:ascii="宋体" w:hAnsi="宋体"/>
                <w:sz w:val="24"/>
              </w:rPr>
            </w:pPr>
            <w:r>
              <w:rPr>
                <w:rFonts w:hint="eastAsia" w:ascii="宋体" w:hAnsi="宋体"/>
                <w:sz w:val="24"/>
              </w:rPr>
              <w:t>企业荣誉</w:t>
            </w:r>
          </w:p>
        </w:tc>
        <w:tc>
          <w:tcPr>
            <w:tcW w:w="5442" w:type="dxa"/>
            <w:vAlign w:val="center"/>
          </w:tcPr>
          <w:p>
            <w:pPr>
              <w:spacing w:line="320" w:lineRule="exact"/>
              <w:ind w:left="105" w:leftChars="50" w:right="105" w:rightChars="50"/>
              <w:jc w:val="left"/>
              <w:rPr>
                <w:rFonts w:ascii="宋体" w:hAnsi="宋体"/>
                <w:sz w:val="24"/>
              </w:rPr>
            </w:pPr>
            <w:r>
              <w:rPr>
                <w:rFonts w:hint="eastAsia" w:ascii="宋体" w:hAnsi="宋体"/>
                <w:sz w:val="24"/>
              </w:rPr>
              <w:t>获得县（区）级及以上政府部门颁发的</w:t>
            </w:r>
            <w:r>
              <w:rPr>
                <w:rFonts w:hint="eastAsia" w:ascii="宋体" w:hAnsi="宋体"/>
                <w:color w:val="FF0000"/>
                <w:sz w:val="24"/>
              </w:rPr>
              <w:t>“诚信经营”等相关荣誉的，</w:t>
            </w:r>
            <w:r>
              <w:rPr>
                <w:rFonts w:hint="eastAsia" w:ascii="宋体" w:hAnsi="宋体"/>
                <w:sz w:val="24"/>
              </w:rPr>
              <w:t>得3分。</w:t>
            </w:r>
          </w:p>
          <w:p>
            <w:pPr>
              <w:spacing w:line="320" w:lineRule="exact"/>
              <w:ind w:left="105" w:leftChars="50" w:right="105" w:rightChars="50"/>
              <w:jc w:val="left"/>
              <w:rPr>
                <w:rFonts w:ascii="宋体" w:hAnsi="宋体"/>
                <w:sz w:val="24"/>
              </w:rPr>
            </w:pPr>
            <w:r>
              <w:rPr>
                <w:rFonts w:ascii="宋体" w:hAnsi="宋体"/>
                <w:sz w:val="24"/>
              </w:rPr>
              <w:t>注：投标文件中提供颁奖文件原件（必须是带有文号的规范性文件）扫描件并加盖投标人公章。</w:t>
            </w:r>
          </w:p>
        </w:tc>
        <w:tc>
          <w:tcPr>
            <w:tcW w:w="928" w:type="dxa"/>
            <w:vAlign w:val="center"/>
          </w:tcPr>
          <w:p>
            <w:pPr>
              <w:spacing w:line="320" w:lineRule="exact"/>
              <w:ind w:left="105" w:leftChars="50" w:right="105" w:rightChars="50" w:firstLine="120" w:firstLineChars="50"/>
              <w:jc w:val="center"/>
              <w:rPr>
                <w:rFonts w:ascii="宋体" w:hAnsi="宋体"/>
                <w:sz w:val="24"/>
              </w:rPr>
            </w:pPr>
            <w:r>
              <w:rPr>
                <w:rFonts w:ascii="宋体" w:hAnsi="宋体"/>
                <w:sz w:val="24"/>
              </w:rPr>
              <w:t>0-3</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1"/>
        </w:rPr>
      </w:pPr>
      <w:r>
        <w:rPr>
          <w:rFonts w:hint="eastAsia" w:ascii="宋体" w:hAnsi="宋体" w:cs="宋体"/>
          <w:sz w:val="24"/>
          <w:szCs w:val="21"/>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1"/>
          <w:lang w:eastAsia="zh-CN"/>
        </w:rPr>
      </w:pPr>
      <w:r>
        <w:rPr>
          <w:rFonts w:hint="eastAsia" w:ascii="宋体" w:hAnsi="宋体" w:cs="宋体"/>
          <w:sz w:val="24"/>
          <w:szCs w:val="21"/>
        </w:rPr>
        <w:t>1、评标委员会各成员应当独立对每个投标人的投标文件进行评价，并汇总每个投标人的得分。资信分为客观分，也需独立进行评价并核对分值，最终分值需一致</w:t>
      </w:r>
      <w:r>
        <w:rPr>
          <w:rFonts w:hint="eastAsia" w:ascii="宋体" w:hAnsi="宋体" w:cs="宋体"/>
          <w:color w:val="auto"/>
          <w:sz w:val="24"/>
          <w:szCs w:val="21"/>
          <w:lang w:eastAsia="zh-CN"/>
        </w:rPr>
        <w:t>。</w:t>
      </w:r>
    </w:p>
    <w:bookmarkEnd w:id="426"/>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70C0"/>
          <w:sz w:val="24"/>
          <w:szCs w:val="21"/>
          <w:highlight w:val="none"/>
        </w:rPr>
      </w:pPr>
      <w:bookmarkStart w:id="428" w:name="_Toc30926"/>
      <w:bookmarkStart w:id="429" w:name="_Toc18590"/>
      <w:bookmarkStart w:id="430" w:name="_Toc29482"/>
      <w:bookmarkStart w:id="431" w:name="_Toc14208"/>
      <w:bookmarkStart w:id="432" w:name="_Toc6373"/>
      <w:bookmarkStart w:id="433" w:name="_Toc20764"/>
      <w:bookmarkStart w:id="434" w:name="_Toc18470"/>
      <w:bookmarkStart w:id="435" w:name="_Toc27332"/>
      <w:bookmarkStart w:id="436" w:name="_Toc86217003"/>
      <w:bookmarkStart w:id="437" w:name="第五部分"/>
      <w:r>
        <w:rPr>
          <w:rFonts w:hint="eastAsia" w:ascii="宋体" w:hAnsi="宋体" w:eastAsia="宋体" w:cs="宋体"/>
          <w:b w:val="0"/>
          <w:color w:val="auto"/>
          <w:kern w:val="2"/>
          <w:sz w:val="24"/>
          <w:szCs w:val="21"/>
          <w:highlight w:val="none"/>
          <w:lang w:val="en-US" w:eastAsia="zh-CN" w:bidi="ar-SA"/>
        </w:rPr>
        <w:t>2、</w:t>
      </w:r>
      <w:r>
        <w:rPr>
          <w:rFonts w:hint="eastAsia" w:ascii="宋体" w:hAnsi="宋体" w:eastAsia="宋体" w:cs="宋体"/>
          <w:color w:val="FF0000"/>
          <w:sz w:val="24"/>
          <w:szCs w:val="21"/>
          <w:highlight w:val="none"/>
        </w:rPr>
        <w:t>评标委员会成员打分</w:t>
      </w:r>
      <w:r>
        <w:rPr>
          <w:rFonts w:hint="eastAsia" w:ascii="宋体" w:hAnsi="宋体" w:eastAsia="宋体" w:cs="宋体"/>
          <w:color w:val="FF0000"/>
          <w:sz w:val="24"/>
          <w:szCs w:val="21"/>
          <w:highlight w:val="none"/>
          <w:lang w:eastAsia="zh-CN"/>
        </w:rPr>
        <w:t>最多</w:t>
      </w:r>
      <w:r>
        <w:rPr>
          <w:rFonts w:hint="eastAsia" w:ascii="宋体" w:hAnsi="宋体" w:eastAsia="宋体" w:cs="宋体"/>
          <w:color w:val="FF0000"/>
          <w:sz w:val="24"/>
          <w:szCs w:val="21"/>
          <w:highlight w:val="none"/>
        </w:rPr>
        <w:t>保留一位小数，结果</w:t>
      </w:r>
      <w:r>
        <w:rPr>
          <w:rFonts w:hint="eastAsia" w:ascii="宋体" w:hAnsi="宋体" w:eastAsia="宋体" w:cs="宋体"/>
          <w:color w:val="FF0000"/>
          <w:sz w:val="24"/>
          <w:szCs w:val="21"/>
          <w:highlight w:val="none"/>
          <w:lang w:eastAsia="zh-CN"/>
        </w:rPr>
        <w:t>算术平均后</w:t>
      </w:r>
      <w:r>
        <w:rPr>
          <w:rFonts w:hint="eastAsia" w:ascii="宋体" w:hAnsi="宋体" w:eastAsia="宋体" w:cs="宋体"/>
          <w:color w:val="FF0000"/>
          <w:sz w:val="24"/>
          <w:szCs w:val="21"/>
          <w:highlight w:val="none"/>
        </w:rPr>
        <w:t>四舍五入保留两位小数</w:t>
      </w:r>
      <w:r>
        <w:rPr>
          <w:rFonts w:hint="eastAsia" w:ascii="宋体" w:hAnsi="宋体" w:eastAsia="宋体" w:cs="宋体"/>
          <w:color w:val="FF0000"/>
          <w:sz w:val="24"/>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、所有文件、合同、证书等需要真实有效。中标人在中标后签订合同时需提供以上证明文件原件，若发现资料作假的取消中标资格。</w:t>
      </w:r>
    </w:p>
    <w:p>
      <w:pPr>
        <w:spacing w:after="156" w:afterLines="50" w:line="360" w:lineRule="auto"/>
        <w:jc w:val="center"/>
        <w:outlineLvl w:val="0"/>
        <w:rPr>
          <w:rFonts w:ascii="宋体" w:hAnsi="宋体" w:cs="宋体"/>
          <w:b/>
          <w:sz w:val="24"/>
        </w:rPr>
      </w:pPr>
    </w:p>
    <w:p>
      <w:pPr>
        <w:spacing w:after="156" w:afterLines="50" w:line="360" w:lineRule="auto"/>
        <w:jc w:val="center"/>
        <w:outlineLvl w:val="0"/>
        <w:rPr>
          <w:rFonts w:ascii="宋体" w:hAnsi="宋体" w:cs="宋体"/>
          <w:b/>
          <w:sz w:val="36"/>
          <w:szCs w:val="36"/>
        </w:rPr>
      </w:pPr>
      <w:r>
        <w:rPr>
          <w:rFonts w:hint="eastAsia" w:ascii="宋体" w:hAnsi="宋体" w:cs="宋体"/>
          <w:b/>
          <w:sz w:val="36"/>
          <w:szCs w:val="36"/>
        </w:rPr>
        <w:t>第四部分 采购需求</w:t>
      </w:r>
      <w:bookmarkEnd w:id="428"/>
      <w:bookmarkEnd w:id="429"/>
    </w:p>
    <w:bookmarkEnd w:id="430"/>
    <w:bookmarkEnd w:id="431"/>
    <w:bookmarkEnd w:id="432"/>
    <w:bookmarkEnd w:id="433"/>
    <w:bookmarkEnd w:id="434"/>
    <w:bookmarkEnd w:id="435"/>
    <w:p>
      <w:pPr>
        <w:pStyle w:val="2"/>
        <w:spacing w:line="360" w:lineRule="auto"/>
        <w:jc w:val="center"/>
      </w:pPr>
      <w:bookmarkStart w:id="438" w:name="_Toc5039"/>
      <w:r>
        <w:rPr>
          <w:rFonts w:hint="eastAsia" w:hAnsi="宋体"/>
          <w:kern w:val="0"/>
        </w:rPr>
        <w:t>第一章　服务内容及要求</w:t>
      </w:r>
      <w:bookmarkEnd w:id="438"/>
    </w:p>
    <w:p>
      <w:pPr>
        <w:numPr>
          <w:ilvl w:val="0"/>
          <w:numId w:val="38"/>
        </w:num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保洁范围</w:t>
      </w:r>
    </w:p>
    <w:p>
      <w:pPr>
        <w:tabs>
          <w:tab w:val="left" w:pos="2462"/>
        </w:tabs>
        <w:spacing w:line="520" w:lineRule="exact"/>
        <w:ind w:firstLine="360" w:firstLineChars="150"/>
        <w:jc w:val="left"/>
        <w:rPr>
          <w:rFonts w:ascii="宋体" w:hAnsi="宋体" w:cs="宋体"/>
          <w:kern w:val="0"/>
          <w:sz w:val="24"/>
        </w:rPr>
      </w:pPr>
      <w:r>
        <w:rPr>
          <w:rFonts w:hint="eastAsia" w:ascii="宋体" w:hAnsi="宋体" w:cs="宋体"/>
          <w:kern w:val="0"/>
          <w:sz w:val="24"/>
        </w:rPr>
        <w:t>本项目为</w:t>
      </w:r>
      <w:r>
        <w:rPr>
          <w:rFonts w:hint="eastAsia" w:ascii="宋体" w:hAnsi="宋体" w:cs="宋体"/>
          <w:sz w:val="24"/>
        </w:rPr>
        <w:t>2023-2024年度杭州湾上虞经济技术开发区河道保洁服务项目。</w:t>
      </w:r>
      <w:r>
        <w:rPr>
          <w:rFonts w:hint="eastAsia" w:ascii="宋体" w:hAnsi="宋体" w:cs="宋体"/>
          <w:kern w:val="0"/>
          <w:sz w:val="24"/>
        </w:rPr>
        <w:t>河道保洁共计面积</w:t>
      </w:r>
      <w:r>
        <w:rPr>
          <w:rFonts w:hint="eastAsia" w:ascii="宋体" w:hAnsi="宋体" w:cs="宋体"/>
          <w:b/>
          <w:bCs/>
          <w:kern w:val="0"/>
          <w:sz w:val="24"/>
        </w:rPr>
        <w:t>5218907.2</w:t>
      </w:r>
      <w:r>
        <w:rPr>
          <w:rFonts w:hint="eastAsia" w:ascii="宋体" w:hAnsi="宋体" w:cs="宋体"/>
          <w:kern w:val="0"/>
          <w:sz w:val="24"/>
        </w:rPr>
        <w:t>平</w:t>
      </w:r>
      <w:r>
        <w:rPr>
          <w:rFonts w:hint="eastAsia" w:ascii="宋体" w:hAnsi="宋体" w:cs="宋体"/>
          <w:kern w:val="0"/>
          <w:sz w:val="24"/>
          <w:lang w:val="en-US" w:eastAsia="zh-CN"/>
        </w:rPr>
        <w:t>方</w:t>
      </w:r>
      <w:r>
        <w:rPr>
          <w:rFonts w:hint="eastAsia" w:ascii="宋体" w:hAnsi="宋体" w:cs="宋体"/>
          <w:kern w:val="0"/>
          <w:sz w:val="24"/>
        </w:rPr>
        <w:t>米。具体详见清单。本项目服务期为二年。</w:t>
      </w:r>
    </w:p>
    <w:p>
      <w:pPr>
        <w:pStyle w:val="82"/>
        <w:widowControl w:val="0"/>
        <w:tabs>
          <w:tab w:val="left" w:pos="540"/>
        </w:tabs>
        <w:spacing w:afterLines="0" w:line="360" w:lineRule="auto"/>
        <w:ind w:firstLine="347" w:firstLineChars="144"/>
        <w:outlineLvl w:val="3"/>
        <w:rPr>
          <w:rFonts w:ascii="宋体" w:hAnsi="宋体"/>
          <w:b/>
          <w:szCs w:val="24"/>
        </w:rPr>
        <w:sectPr>
          <w:footerReference r:id="rId6" w:type="default"/>
          <w:pgSz w:w="11906" w:h="16838"/>
          <w:pgMar w:top="1440" w:right="1800" w:bottom="1440" w:left="1800" w:header="851" w:footer="992" w:gutter="0"/>
          <w:cols w:space="720" w:num="1"/>
          <w:docGrid w:type="lines" w:linePitch="312" w:charSpace="0"/>
        </w:sectPr>
      </w:pPr>
    </w:p>
    <w:tbl>
      <w:tblPr>
        <w:tblStyle w:val="30"/>
        <w:tblW w:w="13897" w:type="dxa"/>
        <w:tblInd w:w="0" w:type="dxa"/>
        <w:tblLayout w:type="autofit"/>
        <w:tblCellMar>
          <w:top w:w="0" w:type="dxa"/>
          <w:left w:w="0" w:type="dxa"/>
          <w:bottom w:w="0" w:type="dxa"/>
          <w:right w:w="0" w:type="dxa"/>
        </w:tblCellMar>
      </w:tblPr>
      <w:tblGrid>
        <w:gridCol w:w="1105"/>
        <w:gridCol w:w="1105"/>
        <w:gridCol w:w="2140"/>
        <w:gridCol w:w="2140"/>
        <w:gridCol w:w="2140"/>
        <w:gridCol w:w="2156"/>
        <w:gridCol w:w="2167"/>
        <w:gridCol w:w="944"/>
      </w:tblGrid>
      <w:tr>
        <w:tblPrEx>
          <w:tblCellMar>
            <w:top w:w="0" w:type="dxa"/>
            <w:left w:w="0" w:type="dxa"/>
            <w:bottom w:w="0" w:type="dxa"/>
            <w:right w:w="0" w:type="dxa"/>
          </w:tblCellMar>
        </w:tblPrEx>
        <w:trPr>
          <w:trHeight w:val="681" w:hRule="atLeast"/>
        </w:trPr>
        <w:tc>
          <w:tcPr>
            <w:tcW w:w="138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sz w:val="24"/>
                <w:lang w:val="en-US" w:eastAsia="zh-CN"/>
              </w:rPr>
            </w:pPr>
            <w:r>
              <w:rPr>
                <w:rFonts w:hint="eastAsia" w:ascii="宋体" w:hAnsi="宋体" w:cs="宋体"/>
                <w:b/>
                <w:color w:val="000000"/>
                <w:sz w:val="36"/>
                <w:szCs w:val="36"/>
                <w:lang w:val="en-US" w:eastAsia="zh-CN"/>
              </w:rPr>
              <w:t>杭州湾上虞经开区（北片）河道统计表</w:t>
            </w:r>
          </w:p>
        </w:tc>
      </w:tr>
      <w:tr>
        <w:tblPrEx>
          <w:tblCellMar>
            <w:top w:w="0" w:type="dxa"/>
            <w:left w:w="0" w:type="dxa"/>
            <w:bottom w:w="0" w:type="dxa"/>
            <w:right w:w="0" w:type="dxa"/>
          </w:tblCellMar>
        </w:tblPrEx>
        <w:trPr>
          <w:trHeight w:val="75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区域</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名称</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起点</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终点</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长度（m）</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面积（m</w:t>
            </w:r>
            <w:r>
              <w:rPr>
                <w:rFonts w:hint="eastAsia" w:ascii="宋体" w:hAnsi="宋体" w:cs="宋体"/>
                <w:b/>
                <w:color w:val="000000"/>
                <w:kern w:val="0"/>
                <w:sz w:val="24"/>
                <w:vertAlign w:val="superscript"/>
                <w:lang w:bidi="ar"/>
              </w:rPr>
              <w:t>2</w:t>
            </w:r>
            <w:r>
              <w:rPr>
                <w:rFonts w:hint="eastAsia" w:ascii="宋体" w:hAnsi="宋体" w:cs="宋体"/>
                <w:b/>
                <w:color w:val="000000"/>
                <w:kern w:val="0"/>
                <w:sz w:val="24"/>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tblPrEx>
          <w:tblCellMar>
            <w:top w:w="0" w:type="dxa"/>
            <w:left w:w="0" w:type="dxa"/>
            <w:bottom w:w="0" w:type="dxa"/>
            <w:right w:w="0" w:type="dxa"/>
          </w:tblCellMar>
        </w:tblPrEx>
        <w:trPr>
          <w:trHeight w:val="719"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建成东区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建成区东北塘河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东起余姚交界</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西至进港公路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4359.3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205052.8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建成区东直塘河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北起东北塘河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南至东中心河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830.1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33524.3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建成区东中心河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东起余姚交界</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西至东进河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4476.3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163640.3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建成区经一河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北起东北塘河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南至东中心河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1037.1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37272.1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建成区经二河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北起东中心河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南至解放塘河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432.6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10381.6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建成西区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东进闸排涝河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南起联围闸</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东进闸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2135.7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139049.6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建成区西北塘河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东起东进河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西至跃进闸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3740.2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142269.1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建成区西中心河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东起东进河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西至三八闸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4791.0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167606.5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建成区西直塘河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北起西北塘河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南至百红公路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2929.6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106841.8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建成区金冠河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北起西北塘河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南至西中心河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1615.5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66916.7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经九路东侧水渠</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2404.6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小微水体</w:t>
            </w:r>
          </w:p>
        </w:tc>
      </w:tr>
      <w:tr>
        <w:tblPrEx>
          <w:tblCellMar>
            <w:top w:w="0" w:type="dxa"/>
            <w:left w:w="0" w:type="dxa"/>
            <w:bottom w:w="0" w:type="dxa"/>
            <w:right w:w="0" w:type="dxa"/>
          </w:tblCellMar>
        </w:tblPrEx>
        <w:trPr>
          <w:trHeight w:val="406"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提升区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横六河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东起余姚交界</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西至进港公路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4359.3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205052.8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纵四河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北起东北塘河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南至东中心河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830.1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33524.3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东一区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东一区北塘河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东起东进河路</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西至东直塘路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3289.7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149088.6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东一区中心河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北起东一区北塘</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南至拓展路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1967.1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58342.4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东一区南塘河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东起东进河路</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西至东直塘河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2361.9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53552.6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东一区东侧排涝渠</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西至东一区北塘河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1692.8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5901.6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东直塘河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南起拓展路</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北至东一区北塘河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2782.1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296238.2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东进河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南起拓展路</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北至展望大道</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1747.8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174852.5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东进闸排涝河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南起横六河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北至新东进闸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4778.0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467644.6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东二区纬一河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东起东进河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西至东直塘路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2319.0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91954.8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东二区纬一渠</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东起经一河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西至纬一河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1842.0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27884.6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东二区纬二河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东起东进河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西至东直塘路</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2953.0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117422.3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东二区经一河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北起滨海大道</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南至康阳大道</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1998.0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49612.8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东二区经二河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北起滨海大道</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南至东一区北塘</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2784.0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111780.3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东二区经三河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北起滨海大道</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南至东一区北塘</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2439.0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61820.6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未来小城</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东直塘河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东起东二区北塘河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北至九六丘北塘</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2964.7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234751.3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九六丘北塘河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东起九六丘东塘</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西至团农线</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4359.7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318833.6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九六丘中直河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南起西一闸干河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北至九六丘北塘</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2888.8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178987.8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九六丘横三河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东起九六丘中直河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西至团农线</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2477.2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70860.2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西一闸干河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东起九六丘东塘</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西至团农线</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4692.0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342428.4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纵二河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北起九六丘北塘河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南至康阳大道南</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2497.8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99101.6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横二河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东起东直塘河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西至九六丘东塘河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1797.0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102719.3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滨海大道北景观河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东起湖沁路</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西至团农线</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1792.5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47554.2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科创中心周边河道</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东起观海大道东</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西至纵二河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1476.6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40782.2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生态湖</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东起滨湖路</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西至横二河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2601.8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505641.3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九六丘东塘河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北起九六丘北塘河</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南至西一闸干河</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3889.9 </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256700.1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匝道口西侧湖</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25367.9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小微水体</w:t>
            </w:r>
          </w:p>
        </w:tc>
      </w:tr>
      <w:tr>
        <w:tblPrEx>
          <w:tblCellMar>
            <w:top w:w="0" w:type="dxa"/>
            <w:left w:w="0" w:type="dxa"/>
            <w:bottom w:w="0" w:type="dxa"/>
            <w:right w:w="0" w:type="dxa"/>
          </w:tblCellMar>
        </w:tblPrEx>
        <w:trPr>
          <w:trHeight w:val="719"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匝道口东侧湖</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15547.2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小微水体</w:t>
            </w:r>
          </w:p>
        </w:tc>
      </w:tr>
      <w:tr>
        <w:tblPrEx>
          <w:tblCellMar>
            <w:top w:w="0" w:type="dxa"/>
            <w:left w:w="0" w:type="dxa"/>
            <w:bottom w:w="0" w:type="dxa"/>
            <w:right w:w="0" w:type="dxa"/>
          </w:tblCellMar>
        </w:tblPrEx>
        <w:trPr>
          <w:trHeight w:val="42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合计</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 xml:space="preserve">5218907.2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r>
    </w:tbl>
    <w:p>
      <w:pPr>
        <w:pStyle w:val="82"/>
        <w:widowControl w:val="0"/>
        <w:tabs>
          <w:tab w:val="left" w:pos="540"/>
        </w:tabs>
        <w:spacing w:afterLines="0" w:line="360" w:lineRule="auto"/>
        <w:ind w:firstLine="347" w:firstLineChars="144"/>
        <w:outlineLvl w:val="3"/>
        <w:rPr>
          <w:rFonts w:ascii="宋体" w:hAnsi="宋体"/>
          <w:b/>
          <w:color w:val="auto"/>
          <w:szCs w:val="24"/>
        </w:rPr>
        <w:sectPr>
          <w:pgSz w:w="16838" w:h="11906" w:orient="landscape"/>
          <w:pgMar w:top="1800" w:right="1440" w:bottom="1800" w:left="1440" w:header="851" w:footer="992" w:gutter="0"/>
          <w:cols w:space="720" w:num="1"/>
          <w:docGrid w:type="lines" w:linePitch="312" w:charSpace="0"/>
        </w:sectPr>
      </w:pPr>
      <w:r>
        <w:rPr>
          <w:rFonts w:hint="eastAsia"/>
          <w:b/>
          <w:bCs/>
          <w:color w:val="auto"/>
        </w:rPr>
        <w:t>注：如有新移交河道放入本项目范围，移交工程服务费用从移交之日算起，费用参照投标报价。</w:t>
      </w:r>
    </w:p>
    <w:p>
      <w:pPr>
        <w:pStyle w:val="82"/>
        <w:widowControl w:val="0"/>
        <w:tabs>
          <w:tab w:val="left" w:pos="540"/>
        </w:tabs>
        <w:spacing w:afterLines="0" w:line="360" w:lineRule="auto"/>
        <w:ind w:firstLine="347" w:firstLineChars="144"/>
        <w:outlineLvl w:val="3"/>
        <w:rPr>
          <w:rFonts w:ascii="宋体" w:hAnsi="宋体"/>
          <w:b/>
          <w:szCs w:val="24"/>
        </w:rPr>
      </w:pPr>
    </w:p>
    <w:p>
      <w:pPr>
        <w:pStyle w:val="82"/>
        <w:keepLines w:val="0"/>
        <w:pageBreakBefore w:val="0"/>
        <w:widowControl w:val="0"/>
        <w:tabs>
          <w:tab w:val="left" w:pos="540"/>
        </w:tabs>
        <w:kinsoku/>
        <w:wordWrap/>
        <w:overflowPunct/>
        <w:topLinePunct w:val="0"/>
        <w:autoSpaceDE/>
        <w:autoSpaceDN/>
        <w:bidi w:val="0"/>
        <w:adjustRightInd/>
        <w:spacing w:afterLines="0" w:line="440" w:lineRule="exact"/>
        <w:ind w:firstLine="347" w:firstLineChars="144"/>
        <w:textAlignment w:val="auto"/>
        <w:outlineLvl w:val="3"/>
        <w:rPr>
          <w:rFonts w:ascii="宋体" w:hAnsi="宋体"/>
          <w:b/>
          <w:szCs w:val="24"/>
        </w:rPr>
      </w:pPr>
      <w:r>
        <w:rPr>
          <w:rFonts w:hint="eastAsia" w:ascii="宋体" w:hAnsi="宋体"/>
          <w:b/>
          <w:szCs w:val="24"/>
        </w:rPr>
        <w:t>二、保洁管理要点及内容</w:t>
      </w:r>
    </w:p>
    <w:p>
      <w:pPr>
        <w:pStyle w:val="2"/>
        <w:keepLines w:val="0"/>
        <w:pageBreakBefore w:val="0"/>
        <w:widowControl w:val="0"/>
        <w:kinsoku/>
        <w:wordWrap/>
        <w:overflowPunct/>
        <w:topLinePunct w:val="0"/>
        <w:autoSpaceDE/>
        <w:autoSpaceDN/>
        <w:bidi w:val="0"/>
        <w:adjustRightInd/>
        <w:spacing w:line="440" w:lineRule="exact"/>
        <w:textAlignment w:val="auto"/>
        <w:rPr>
          <w:rFonts w:hAnsi="宋体"/>
          <w:b w:val="0"/>
          <w:sz w:val="24"/>
          <w:szCs w:val="24"/>
        </w:rPr>
      </w:pPr>
      <w:r>
        <w:rPr>
          <w:rFonts w:hint="eastAsia" w:hAnsi="宋体"/>
          <w:sz w:val="24"/>
        </w:rPr>
        <w:t xml:space="preserve">   </w:t>
      </w:r>
      <w:r>
        <w:rPr>
          <w:rFonts w:hint="eastAsia" w:hAnsi="宋体"/>
          <w:b w:val="0"/>
          <w:sz w:val="24"/>
          <w:szCs w:val="24"/>
        </w:rPr>
        <w:t xml:space="preserve"> 河道保洁主要包括河道、水闸管理、小微水体保洁，水面水草、河底水草、垃圾、杂物等漂浮物及河岸驳坎范围内全面开展打捞、清理。</w:t>
      </w:r>
    </w:p>
    <w:p>
      <w:pPr>
        <w:pStyle w:val="82"/>
        <w:keepLines w:val="0"/>
        <w:pageBreakBefore w:val="0"/>
        <w:widowControl w:val="0"/>
        <w:tabs>
          <w:tab w:val="left" w:pos="540"/>
        </w:tabs>
        <w:kinsoku/>
        <w:wordWrap/>
        <w:overflowPunct/>
        <w:topLinePunct w:val="0"/>
        <w:autoSpaceDE/>
        <w:autoSpaceDN/>
        <w:bidi w:val="0"/>
        <w:adjustRightInd/>
        <w:spacing w:afterLines="0" w:line="440" w:lineRule="exact"/>
        <w:ind w:firstLine="347" w:firstLineChars="144"/>
        <w:textAlignment w:val="auto"/>
        <w:outlineLvl w:val="3"/>
        <w:rPr>
          <w:rFonts w:ascii="宋体" w:hAnsi="宋体"/>
          <w:b/>
          <w:color w:val="auto"/>
          <w:szCs w:val="24"/>
          <w:highlight w:val="none"/>
        </w:rPr>
      </w:pPr>
      <w:r>
        <w:rPr>
          <w:rFonts w:hint="eastAsia" w:ascii="宋体" w:hAnsi="宋体"/>
          <w:b/>
          <w:szCs w:val="24"/>
        </w:rPr>
        <w:t>三、人员要求</w:t>
      </w:r>
    </w:p>
    <w:p>
      <w:pPr>
        <w:pStyle w:val="82"/>
        <w:keepLines w:val="0"/>
        <w:pageBreakBefore w:val="0"/>
        <w:widowControl w:val="0"/>
        <w:tabs>
          <w:tab w:val="left" w:pos="540"/>
        </w:tabs>
        <w:kinsoku/>
        <w:wordWrap/>
        <w:overflowPunct/>
        <w:topLinePunct w:val="0"/>
        <w:autoSpaceDE/>
        <w:autoSpaceDN/>
        <w:bidi w:val="0"/>
        <w:adjustRightInd/>
        <w:spacing w:afterLines="0" w:line="440" w:lineRule="exact"/>
        <w:textAlignment w:val="auto"/>
        <w:outlineLvl w:val="3"/>
        <w:rPr>
          <w:rFonts w:ascii="宋体" w:hAnsi="宋体"/>
          <w:color w:val="auto"/>
          <w:kern w:val="2"/>
          <w:szCs w:val="24"/>
          <w:highlight w:val="none"/>
        </w:rPr>
      </w:pPr>
      <w:r>
        <w:rPr>
          <w:rFonts w:hint="eastAsia" w:hAnsi="宋体" w:cs="宋体"/>
          <w:color w:val="auto"/>
          <w:highlight w:val="none"/>
        </w:rPr>
        <w:t>★</w:t>
      </w:r>
      <w:r>
        <w:rPr>
          <w:rFonts w:hint="eastAsia" w:ascii="宋体" w:hAnsi="宋体"/>
          <w:color w:val="auto"/>
          <w:kern w:val="2"/>
          <w:szCs w:val="24"/>
          <w:highlight w:val="none"/>
        </w:rPr>
        <w:t>要求按时完成作业任务，保证作业质量。配备人员每天不少于</w:t>
      </w:r>
      <w:r>
        <w:rPr>
          <w:rFonts w:ascii="宋体" w:hAnsi="宋体"/>
          <w:color w:val="auto"/>
          <w:kern w:val="2"/>
          <w:szCs w:val="24"/>
          <w:highlight w:val="none"/>
        </w:rPr>
        <w:t>40</w:t>
      </w:r>
      <w:r>
        <w:rPr>
          <w:rFonts w:hint="eastAsia" w:ascii="宋体" w:hAnsi="宋体"/>
          <w:color w:val="auto"/>
          <w:kern w:val="2"/>
          <w:szCs w:val="24"/>
          <w:highlight w:val="none"/>
        </w:rPr>
        <w:t>名，其中河道保洁负责人不少于1人、文员不少于1人、安管员不少于2人、巡逻人员不少于2人。人员须符合国家有关法律规定，身体健康，严格落实一线作业人员年龄结构，提升服务质量，本次项目所需的作业人员均由中标单位自行招聘，所招聘的人员必须在规定年龄以内</w:t>
      </w:r>
      <w:r>
        <w:rPr>
          <w:rFonts w:hint="eastAsia" w:ascii="宋体" w:hAnsi="宋体"/>
          <w:color w:val="FF0000"/>
          <w:kern w:val="2"/>
          <w:szCs w:val="24"/>
          <w:highlight w:val="none"/>
          <w:lang w:eastAsia="zh-CN"/>
        </w:rPr>
        <w:t>（</w:t>
      </w:r>
      <w:r>
        <w:rPr>
          <w:rFonts w:hint="eastAsia" w:ascii="宋体" w:hAnsi="宋体"/>
          <w:color w:val="FF0000"/>
          <w:kern w:val="2"/>
          <w:szCs w:val="24"/>
          <w:highlight w:val="none"/>
        </w:rPr>
        <w:t>男性应为60周岁以下，女性应为50周岁以下</w:t>
      </w:r>
      <w:r>
        <w:rPr>
          <w:rFonts w:hint="eastAsia" w:ascii="宋体" w:hAnsi="宋体"/>
          <w:color w:val="FF0000"/>
          <w:kern w:val="2"/>
          <w:szCs w:val="24"/>
          <w:highlight w:val="none"/>
          <w:lang w:eastAsia="zh-CN"/>
        </w:rPr>
        <w:t>）</w:t>
      </w:r>
      <w:r>
        <w:rPr>
          <w:rFonts w:hint="eastAsia" w:ascii="宋体" w:hAnsi="宋体"/>
          <w:color w:val="auto"/>
          <w:kern w:val="2"/>
          <w:szCs w:val="24"/>
          <w:highlight w:val="none"/>
        </w:rPr>
        <w:t>，</w:t>
      </w:r>
      <w:r>
        <w:rPr>
          <w:rFonts w:hint="eastAsia" w:ascii="宋体" w:hAnsi="宋体"/>
          <w:color w:val="FF0000"/>
          <w:kern w:val="2"/>
          <w:szCs w:val="24"/>
          <w:highlight w:val="none"/>
          <w:lang w:val="en-US" w:eastAsia="zh-CN"/>
        </w:rPr>
        <w:t>结合本项目的投标承诺，</w:t>
      </w:r>
      <w:r>
        <w:rPr>
          <w:rFonts w:hint="eastAsia" w:ascii="宋体" w:hAnsi="宋体"/>
          <w:color w:val="auto"/>
          <w:kern w:val="2"/>
          <w:szCs w:val="24"/>
          <w:highlight w:val="none"/>
        </w:rPr>
        <w:t>优化作业人员年龄结构。每日安排晚上值班人员，应对突发事件等。人员须符合国家有关法律规定，身体健康，并按月按时发放工资、不发生拖欠。同时按规定发放各类补贴。在中标后15个工作日内给每位保洁作业人员办理好意外保险手续。全自动保洁船驾驶员需持有内河船员驾驶证。</w:t>
      </w:r>
    </w:p>
    <w:p>
      <w:pPr>
        <w:pStyle w:val="82"/>
        <w:keepLines w:val="0"/>
        <w:pageBreakBefore w:val="0"/>
        <w:widowControl w:val="0"/>
        <w:tabs>
          <w:tab w:val="left" w:pos="540"/>
        </w:tabs>
        <w:kinsoku/>
        <w:wordWrap/>
        <w:overflowPunct/>
        <w:topLinePunct w:val="0"/>
        <w:autoSpaceDE/>
        <w:autoSpaceDN/>
        <w:bidi w:val="0"/>
        <w:adjustRightInd/>
        <w:spacing w:afterLines="0" w:line="440" w:lineRule="exact"/>
        <w:ind w:firstLine="347" w:firstLineChars="144"/>
        <w:textAlignment w:val="auto"/>
        <w:outlineLvl w:val="3"/>
        <w:rPr>
          <w:rFonts w:ascii="宋体" w:hAnsi="宋体"/>
          <w:b/>
          <w:bCs/>
          <w:color w:val="auto"/>
          <w:kern w:val="2"/>
          <w:szCs w:val="24"/>
          <w:highlight w:val="none"/>
        </w:rPr>
      </w:pPr>
      <w:r>
        <w:rPr>
          <w:rFonts w:hint="eastAsia" w:ascii="宋体" w:hAnsi="宋体"/>
          <w:b/>
          <w:bCs/>
          <w:color w:val="auto"/>
          <w:kern w:val="2"/>
          <w:szCs w:val="24"/>
          <w:highlight w:val="none"/>
        </w:rPr>
        <w:t>四、船只及车辆最低配置要求</w:t>
      </w:r>
    </w:p>
    <w:p>
      <w:pPr>
        <w:pStyle w:val="82"/>
        <w:keepLines w:val="0"/>
        <w:pageBreakBefore w:val="0"/>
        <w:widowControl w:val="0"/>
        <w:tabs>
          <w:tab w:val="left" w:pos="540"/>
        </w:tabs>
        <w:kinsoku/>
        <w:wordWrap/>
        <w:overflowPunct/>
        <w:topLinePunct w:val="0"/>
        <w:autoSpaceDE/>
        <w:autoSpaceDN/>
        <w:bidi w:val="0"/>
        <w:adjustRightInd/>
        <w:spacing w:afterLines="0" w:line="440" w:lineRule="exact"/>
        <w:ind w:firstLine="345" w:firstLineChars="144"/>
        <w:textAlignment w:val="auto"/>
        <w:outlineLvl w:val="3"/>
        <w:rPr>
          <w:rFonts w:ascii="宋体" w:hAnsi="宋体"/>
          <w:color w:val="auto"/>
          <w:highlight w:val="none"/>
        </w:rPr>
      </w:pPr>
      <w:r>
        <w:rPr>
          <w:rFonts w:hint="eastAsia" w:hAnsi="宋体" w:cs="宋体"/>
          <w:color w:val="auto"/>
          <w:highlight w:val="none"/>
        </w:rPr>
        <w:t>★</w:t>
      </w:r>
      <w:r>
        <w:rPr>
          <w:rFonts w:hint="eastAsia" w:ascii="宋体" w:hAnsi="宋体"/>
          <w:color w:val="auto"/>
          <w:highlight w:val="none"/>
        </w:rPr>
        <w:t>自有全自动机动保洁船2只（全自动机动保洁船要求船长10米及以上,宽3米及以上）、自有巡逻车</w:t>
      </w:r>
      <w:r>
        <w:rPr>
          <w:rFonts w:hint="eastAsia" w:ascii="宋体" w:hAnsi="宋体"/>
          <w:color w:val="FF0000"/>
          <w:highlight w:val="none"/>
          <w:lang w:val="en-US" w:eastAsia="zh-CN"/>
        </w:rPr>
        <w:t>1辆</w:t>
      </w:r>
      <w:r>
        <w:rPr>
          <w:rFonts w:hint="eastAsia" w:ascii="宋体" w:hAnsi="宋体"/>
          <w:color w:val="auto"/>
          <w:highlight w:val="none"/>
        </w:rPr>
        <w:t>、皮卡车1辆、半自动保洁船</w:t>
      </w:r>
      <w:r>
        <w:rPr>
          <w:rFonts w:hint="eastAsia" w:ascii="宋体" w:hAnsi="宋体"/>
          <w:color w:val="auto"/>
          <w:highlight w:val="none"/>
          <w:lang w:val="en-US" w:eastAsia="zh-CN"/>
        </w:rPr>
        <w:t>12</w:t>
      </w:r>
      <w:r>
        <w:rPr>
          <w:rFonts w:hint="eastAsia" w:ascii="宋体" w:hAnsi="宋体"/>
          <w:color w:val="auto"/>
          <w:highlight w:val="none"/>
        </w:rPr>
        <w:t>只。</w:t>
      </w:r>
    </w:p>
    <w:p>
      <w:pPr>
        <w:pStyle w:val="82"/>
        <w:keepLines w:val="0"/>
        <w:pageBreakBefore w:val="0"/>
        <w:widowControl w:val="0"/>
        <w:tabs>
          <w:tab w:val="left" w:pos="540"/>
        </w:tabs>
        <w:kinsoku/>
        <w:wordWrap/>
        <w:overflowPunct/>
        <w:topLinePunct w:val="0"/>
        <w:autoSpaceDE/>
        <w:autoSpaceDN/>
        <w:bidi w:val="0"/>
        <w:adjustRightInd/>
        <w:spacing w:afterLines="0" w:line="440" w:lineRule="exact"/>
        <w:ind w:firstLine="345" w:firstLineChars="144"/>
        <w:textAlignment w:val="auto"/>
        <w:outlineLvl w:val="3"/>
        <w:rPr>
          <w:rFonts w:ascii="宋体" w:hAnsi="宋体"/>
          <w:color w:val="FF0000"/>
          <w:highlight w:val="none"/>
        </w:rPr>
      </w:pPr>
      <w:r>
        <w:rPr>
          <w:rFonts w:hint="eastAsia" w:ascii="宋体" w:hAnsi="宋体"/>
          <w:color w:val="FF0000"/>
          <w:highlight w:val="none"/>
        </w:rPr>
        <w:t>中标后，</w:t>
      </w:r>
      <w:r>
        <w:rPr>
          <w:rFonts w:hint="eastAsia" w:ascii="宋体" w:hAnsi="宋体"/>
          <w:color w:val="FF0000"/>
          <w:highlight w:val="none"/>
          <w:lang w:val="en-US" w:eastAsia="zh-CN"/>
        </w:rPr>
        <w:t>船只及</w:t>
      </w:r>
      <w:r>
        <w:rPr>
          <w:rFonts w:hint="eastAsia" w:ascii="宋体" w:hAnsi="宋体"/>
          <w:color w:val="FF0000"/>
          <w:highlight w:val="none"/>
        </w:rPr>
        <w:t>车辆设备需按业主要求停放在业主指定位置；车辆允许调换，但必须为公司（或分公司）自有</w:t>
      </w:r>
      <w:r>
        <w:rPr>
          <w:rFonts w:hint="eastAsia" w:ascii="宋体" w:hAnsi="宋体"/>
          <w:color w:val="FF0000"/>
          <w:highlight w:val="none"/>
          <w:lang w:eastAsia="zh-CN"/>
        </w:rPr>
        <w:t>、</w:t>
      </w:r>
      <w:r>
        <w:rPr>
          <w:rFonts w:hint="eastAsia" w:ascii="宋体" w:hAnsi="宋体"/>
          <w:color w:val="FF0000"/>
          <w:highlight w:val="none"/>
        </w:rPr>
        <w:t>且规格参数等不小于原配置要求。</w:t>
      </w:r>
    </w:p>
    <w:p>
      <w:pPr>
        <w:pStyle w:val="82"/>
        <w:keepLines w:val="0"/>
        <w:pageBreakBefore w:val="0"/>
        <w:widowControl w:val="0"/>
        <w:tabs>
          <w:tab w:val="left" w:pos="540"/>
        </w:tabs>
        <w:kinsoku/>
        <w:wordWrap/>
        <w:overflowPunct/>
        <w:topLinePunct w:val="0"/>
        <w:autoSpaceDE/>
        <w:autoSpaceDN/>
        <w:bidi w:val="0"/>
        <w:adjustRightInd/>
        <w:spacing w:afterLines="0" w:line="440" w:lineRule="exact"/>
        <w:ind w:firstLine="345" w:firstLineChars="144"/>
        <w:textAlignment w:val="auto"/>
        <w:outlineLvl w:val="3"/>
        <w:rPr>
          <w:rFonts w:ascii="宋体" w:hAnsi="宋体"/>
          <w:color w:val="FF0000"/>
        </w:rPr>
      </w:pPr>
    </w:p>
    <w:p>
      <w:pPr>
        <w:pStyle w:val="2"/>
        <w:keepLines w:val="0"/>
        <w:pageBreakBefore w:val="0"/>
        <w:widowControl w:val="0"/>
        <w:kinsoku/>
        <w:wordWrap/>
        <w:overflowPunct/>
        <w:topLinePunct w:val="0"/>
        <w:autoSpaceDE/>
        <w:autoSpaceDN/>
        <w:bidi w:val="0"/>
        <w:adjustRightInd/>
        <w:spacing w:line="440" w:lineRule="exact"/>
        <w:jc w:val="center"/>
        <w:textAlignment w:val="auto"/>
        <w:rPr>
          <w:rFonts w:hAnsi="宋体" w:cs="宋体"/>
          <w:kern w:val="0"/>
        </w:rPr>
      </w:pPr>
      <w:bookmarkStart w:id="439" w:name="_Toc2882"/>
      <w:bookmarkStart w:id="440" w:name="_Toc7251"/>
      <w:bookmarkStart w:id="441" w:name="_Toc489"/>
      <w:bookmarkStart w:id="442" w:name="_Toc16667"/>
      <w:r>
        <w:rPr>
          <w:rFonts w:hint="eastAsia" w:hAnsi="宋体" w:cs="宋体"/>
          <w:kern w:val="0"/>
        </w:rPr>
        <w:t>第二章　付款方式及要求</w:t>
      </w:r>
      <w:bookmarkEnd w:id="439"/>
      <w:bookmarkEnd w:id="440"/>
      <w:bookmarkEnd w:id="441"/>
      <w:bookmarkEnd w:id="442"/>
    </w:p>
    <w:p>
      <w:pPr>
        <w:keepLines w:val="0"/>
        <w:pageBreakBefore w:val="0"/>
        <w:widowControl w:val="0"/>
        <w:kinsoku/>
        <w:wordWrap/>
        <w:overflowPunct/>
        <w:topLinePunct w:val="0"/>
        <w:autoSpaceDE/>
        <w:autoSpaceDN/>
        <w:bidi w:val="0"/>
        <w:adjustRightInd/>
        <w:spacing w:line="440" w:lineRule="exact"/>
        <w:ind w:firstLine="470" w:firstLineChars="196"/>
        <w:textAlignment w:val="auto"/>
        <w:rPr>
          <w:rFonts w:hint="eastAsia"/>
          <w:bCs/>
          <w:sz w:val="24"/>
        </w:rPr>
      </w:pPr>
      <w:r>
        <w:rPr>
          <w:rFonts w:hint="eastAsia"/>
          <w:bCs/>
          <w:sz w:val="24"/>
        </w:rPr>
        <w:t>1、</w:t>
      </w:r>
      <w:r>
        <w:rPr>
          <w:rFonts w:hint="eastAsia"/>
          <w:bCs/>
          <w:color w:val="FF0000"/>
          <w:sz w:val="24"/>
          <w:highlight w:val="none"/>
          <w:lang w:eastAsia="zh-CN"/>
        </w:rPr>
        <w:t>付款方式：</w:t>
      </w:r>
      <w:r>
        <w:rPr>
          <w:rFonts w:hint="eastAsia"/>
          <w:bCs/>
          <w:sz w:val="24"/>
        </w:rPr>
        <w:t>服务费用按月计算，每季度支付一次，在次季度首月15日前支付95%，剩余5%在</w:t>
      </w:r>
      <w:r>
        <w:rPr>
          <w:rFonts w:hint="eastAsia"/>
          <w:bCs/>
          <w:color w:val="FF0000"/>
          <w:sz w:val="24"/>
          <w:lang w:val="en-US" w:eastAsia="zh-CN"/>
        </w:rPr>
        <w:t>服务期满</w:t>
      </w:r>
      <w:r>
        <w:rPr>
          <w:rFonts w:hint="eastAsia"/>
          <w:bCs/>
          <w:sz w:val="24"/>
        </w:rPr>
        <w:t>后7个工作日内支付，同时资金支付还需结合考核办法。</w:t>
      </w:r>
    </w:p>
    <w:p>
      <w:pPr>
        <w:keepLines w:val="0"/>
        <w:pageBreakBefore w:val="0"/>
        <w:widowControl w:val="0"/>
        <w:kinsoku/>
        <w:wordWrap/>
        <w:overflowPunct/>
        <w:topLinePunct w:val="0"/>
        <w:autoSpaceDE/>
        <w:autoSpaceDN/>
        <w:bidi w:val="0"/>
        <w:adjustRightInd/>
        <w:spacing w:line="440" w:lineRule="exact"/>
        <w:ind w:firstLine="470" w:firstLineChars="196"/>
        <w:textAlignment w:val="auto"/>
        <w:rPr>
          <w:bCs/>
          <w:color w:val="FF0000"/>
          <w:sz w:val="24"/>
        </w:rPr>
      </w:pPr>
      <w:r>
        <w:rPr>
          <w:rFonts w:hint="eastAsia"/>
          <w:bCs/>
          <w:sz w:val="24"/>
          <w:lang w:val="en-US" w:eastAsia="zh-CN"/>
        </w:rPr>
        <w:t>2、</w:t>
      </w:r>
      <w:r>
        <w:rPr>
          <w:rFonts w:hint="eastAsia"/>
          <w:bCs/>
          <w:color w:val="FF0000"/>
          <w:sz w:val="24"/>
          <w:highlight w:val="none"/>
          <w:lang w:val="en-US" w:eastAsia="zh-CN"/>
        </w:rPr>
        <w:t>考核办法：</w:t>
      </w:r>
      <w:r>
        <w:rPr>
          <w:rFonts w:hint="eastAsia"/>
          <w:bCs/>
          <w:sz w:val="24"/>
        </w:rPr>
        <w:t>月考核平均扣分在1—5分（含5分），月承包款可</w:t>
      </w:r>
      <w:r>
        <w:rPr>
          <w:rFonts w:hint="eastAsia"/>
          <w:bCs/>
          <w:color w:val="FF0000"/>
          <w:sz w:val="24"/>
          <w:lang w:val="en-US" w:eastAsia="zh-CN"/>
        </w:rPr>
        <w:t>计</w:t>
      </w:r>
      <w:r>
        <w:rPr>
          <w:rFonts w:hint="eastAsia"/>
          <w:bCs/>
          <w:sz w:val="24"/>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sz w:val="24"/>
        </w:rPr>
        <w:t>。因管理不力，造成较大社会影响、投诉或新闻媒体曝光的，当月考核起评分为80分。</w:t>
      </w:r>
    </w:p>
    <w:p>
      <w:pPr>
        <w:keepLines w:val="0"/>
        <w:pageBreakBefore w:val="0"/>
        <w:widowControl w:val="0"/>
        <w:kinsoku/>
        <w:wordWrap/>
        <w:overflowPunct/>
        <w:topLinePunct w:val="0"/>
        <w:autoSpaceDE/>
        <w:autoSpaceDN/>
        <w:bidi w:val="0"/>
        <w:adjustRightInd/>
        <w:spacing w:line="440" w:lineRule="exact"/>
        <w:ind w:firstLine="600"/>
        <w:textAlignment w:val="auto"/>
        <w:rPr>
          <w:bCs/>
          <w:sz w:val="24"/>
        </w:rPr>
      </w:pPr>
      <w:r>
        <w:rPr>
          <w:rFonts w:hint="eastAsia"/>
          <w:bCs/>
          <w:sz w:val="24"/>
          <w:lang w:val="en-US" w:eastAsia="zh-CN"/>
        </w:rPr>
        <w:t>3</w:t>
      </w:r>
      <w:r>
        <w:rPr>
          <w:rFonts w:hint="eastAsia"/>
          <w:bCs/>
          <w:sz w:val="24"/>
        </w:rPr>
        <w:t>、</w:t>
      </w:r>
      <w:r>
        <w:rPr>
          <w:rFonts w:hint="eastAsia"/>
          <w:b/>
          <w:sz w:val="24"/>
        </w:rPr>
        <w:t>本项目服务期限为 2年（24个月），时间以甲方开具开工报告为准。招标人与中标单位自成交通知书发出起的 30日内签订服务合同。</w:t>
      </w:r>
    </w:p>
    <w:p>
      <w:pPr>
        <w:pStyle w:val="6"/>
        <w:rPr>
          <w:sz w:val="24"/>
          <w:szCs w:val="24"/>
        </w:rPr>
      </w:pPr>
    </w:p>
    <w:p>
      <w:pPr>
        <w:pStyle w:val="2"/>
        <w:keepLines w:val="0"/>
        <w:pageBreakBefore w:val="0"/>
        <w:widowControl w:val="0"/>
        <w:numPr>
          <w:ilvl w:val="0"/>
          <w:numId w:val="39"/>
        </w:numPr>
        <w:kinsoku/>
        <w:wordWrap/>
        <w:overflowPunct/>
        <w:topLinePunct w:val="0"/>
        <w:autoSpaceDE/>
        <w:autoSpaceDN/>
        <w:bidi w:val="0"/>
        <w:adjustRightInd/>
        <w:snapToGrid/>
        <w:spacing w:line="440" w:lineRule="exact"/>
        <w:jc w:val="center"/>
        <w:textAlignment w:val="auto"/>
        <w:rPr>
          <w:rFonts w:hAnsi="宋体" w:cs="宋体"/>
          <w:kern w:val="0"/>
        </w:rPr>
      </w:pPr>
      <w:r>
        <w:rPr>
          <w:rFonts w:hint="eastAsia" w:hAnsi="宋体" w:cs="宋体"/>
          <w:kern w:val="0"/>
        </w:rPr>
        <w:t>考核办法</w:t>
      </w:r>
    </w:p>
    <w:p>
      <w:pPr>
        <w:keepLines w:val="0"/>
        <w:pageBreakBefore w:val="0"/>
        <w:widowControl w:val="0"/>
        <w:tabs>
          <w:tab w:val="left" w:pos="2462"/>
        </w:tabs>
        <w:kinsoku/>
        <w:wordWrap/>
        <w:overflowPunct/>
        <w:topLinePunct w:val="0"/>
        <w:autoSpaceDE/>
        <w:autoSpaceDN/>
        <w:bidi w:val="0"/>
        <w:adjustRightInd/>
        <w:snapToGrid/>
        <w:spacing w:line="440" w:lineRule="exact"/>
        <w:ind w:left="199" w:leftChars="95" w:firstLine="275" w:firstLineChars="98"/>
        <w:jc w:val="center"/>
        <w:textAlignment w:val="auto"/>
        <w:rPr>
          <w:rFonts w:ascii="宋体" w:hAnsi="宋体" w:cs="宋体"/>
          <w:b/>
          <w:bCs/>
          <w:sz w:val="28"/>
          <w:szCs w:val="28"/>
        </w:rPr>
      </w:pPr>
      <w:r>
        <w:rPr>
          <w:rFonts w:hint="eastAsia" w:ascii="宋体" w:hAnsi="宋体" w:cs="宋体"/>
          <w:b/>
          <w:bCs/>
          <w:sz w:val="28"/>
          <w:szCs w:val="28"/>
        </w:rPr>
        <w:t>河道保洁作业质量要求及考核细则</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为进一步完善开发区河道保洁管理制度，提高开发区管理水平，使开发区保洁管理工作达到制度化、规范化、精细化和常态化。根据招标文件有关规定和要求，结合开发区实际，特制定本办法，具体要求如下：</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考核工作由绍兴市上虞区虞发市政工程有限公司组织。</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一、河道保洁作业质量要求及考核细则</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 xml:space="preserve"> 1、工作要求</w:t>
      </w:r>
    </w:p>
    <w:p>
      <w:pPr>
        <w:pStyle w:val="2"/>
        <w:keepLines w:val="0"/>
        <w:pageBreakBefore w:val="0"/>
        <w:widowControl w:val="0"/>
        <w:kinsoku/>
        <w:wordWrap/>
        <w:overflowPunct/>
        <w:topLinePunct w:val="0"/>
        <w:autoSpaceDE/>
        <w:autoSpaceDN/>
        <w:bidi w:val="0"/>
        <w:adjustRightInd/>
        <w:snapToGrid/>
        <w:spacing w:line="440" w:lineRule="exact"/>
        <w:textAlignment w:val="auto"/>
      </w:pPr>
      <w:r>
        <w:rPr>
          <w:rFonts w:hint="eastAsia"/>
          <w:bCs/>
          <w:sz w:val="24"/>
        </w:rPr>
        <w:t xml:space="preserve">    </w:t>
      </w:r>
      <w:r>
        <w:rPr>
          <w:rFonts w:hint="eastAsia" w:ascii="Times New Roman"/>
          <w:b w:val="0"/>
          <w:bCs/>
          <w:sz w:val="24"/>
          <w:szCs w:val="24"/>
        </w:rPr>
        <w:t>（1）河道保洁管理要求专人每天巡回保洁，达到“河面无水生植物和漂浮物、河中无障碍物、河岸无垃圾”（河岸非绿化带区域清理范围确定为10米），及时清理非法捕捞设施，同时避免二次污染，承包单位应将清理出来的垃圾，漂浮物，自行妥善处置。</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（2）保洁人员必须穿着反光安全工作服上岗，作业时应注意自身安全。</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（3）保洁人员应文明作业。</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2、考核细则</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（1）保洁人员未着反光工作服作业的，每发现1人/次扣2分。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（2）河面不整洁，有漂浮物、树枝等杂物的发现一处扣0.5分；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（3）垃圾未及时清运随意倾倒处理的发现一处扣0.5分。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（4）河道内垃圾、废弃漂浮物、杂草、障碍物等必须在台风、暴雨过后，24小时内清理完成，清理不及时的发现一处扣0.5分；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（5）发生突发水污染事件时，河道保洁单位或保洁人员对事件不及时汇报的视情况扣1-3分；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（6）河道保洁时间每日至少保证8小时以上,未能按时做到的每2小时扣0.5分。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（7）船貌不整洁的，每只（次）扣0.5分；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（8）救生器具不齐全的，每只（次）扣1分；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（9）在区级河长制考核中考评分在倒数前三名的，在当月考核中扣5分。</w:t>
      </w:r>
    </w:p>
    <w:p>
      <w:pPr>
        <w:keepLines w:val="0"/>
        <w:pageBreakBefore w:val="0"/>
        <w:widowControl w:val="0"/>
        <w:tabs>
          <w:tab w:val="left" w:pos="2462"/>
        </w:tabs>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cs="宋体"/>
          <w:sz w:val="24"/>
        </w:rPr>
        <w:t>（10）东进河上船只作业时，未派执有内河船舶船员适任证书的船员作业，每次扣3分。</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二、其它</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（1）为确保日常保洁工作的顺利开展，开发区保洁单位须提前3天提交下月工作计划到绍兴市上虞区虞发市政工程有限公司，不提交或延后提交，在当月考核中扣1分，未按计划实施的扣3分。</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（2）确保安全生产，每发生一起轻伤及以上事故，在当月考核中扣5分；</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（3）需服从绍兴市上虞区虞发市政工程有限公司的工作安排，作业人数每日不得少于</w:t>
      </w:r>
      <w:r>
        <w:rPr>
          <w:rFonts w:hint="eastAsia"/>
          <w:bCs/>
          <w:color w:val="auto"/>
          <w:sz w:val="24"/>
        </w:rPr>
        <w:t>4</w:t>
      </w:r>
      <w:r>
        <w:rPr>
          <w:rFonts w:hint="eastAsia"/>
          <w:bCs/>
          <w:color w:val="auto"/>
          <w:sz w:val="24"/>
          <w:lang w:val="en-US" w:eastAsia="zh-CN"/>
        </w:rPr>
        <w:t>0</w:t>
      </w:r>
      <w:r>
        <w:rPr>
          <w:rFonts w:hint="eastAsia"/>
          <w:bCs/>
          <w:color w:val="auto"/>
          <w:sz w:val="24"/>
        </w:rPr>
        <w:t>人</w:t>
      </w:r>
      <w:r>
        <w:rPr>
          <w:rFonts w:hint="eastAsia"/>
          <w:bCs/>
          <w:sz w:val="24"/>
        </w:rPr>
        <w:t>（含管理人员），每少1人/次扣0.5分，责令整改后仍不到位，每缺少1人，扣2分。</w:t>
      </w:r>
    </w:p>
    <w:p>
      <w:pPr>
        <w:spacing w:line="460" w:lineRule="exact"/>
        <w:ind w:firstLine="470" w:firstLineChars="196"/>
        <w:rPr>
          <w:bCs/>
          <w:sz w:val="24"/>
        </w:rPr>
      </w:pPr>
      <w:r>
        <w:rPr>
          <w:rFonts w:hint="eastAsia"/>
          <w:bCs/>
          <w:sz w:val="24"/>
        </w:rPr>
        <w:t>（4）对有时限要求的突击性任务，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color w:val="FF0000"/>
          <w:sz w:val="24"/>
          <w:highlight w:val="none"/>
        </w:rPr>
        <w:t>。</w:t>
      </w:r>
    </w:p>
    <w:p>
      <w:pPr>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bCs/>
          <w:sz w:val="24"/>
        </w:rPr>
      </w:pPr>
      <w:r>
        <w:rPr>
          <w:rFonts w:hint="eastAsia"/>
          <w:bCs/>
          <w:sz w:val="24"/>
        </w:rPr>
        <w:t>（5）因管理不力，造成较大社会影响、投诉或新闻媒体曝光的，当月考核起评分为80分。</w:t>
      </w:r>
    </w:p>
    <w:p>
      <w:pPr>
        <w:rPr>
          <w:sz w:val="24"/>
        </w:rPr>
      </w:pPr>
      <w:r>
        <w:rPr>
          <w:sz w:val="24"/>
        </w:rPr>
        <w:br w:type="page"/>
      </w:r>
    </w:p>
    <w:p>
      <w:pPr>
        <w:spacing w:after="156" w:afterLines="50" w:line="360" w:lineRule="auto"/>
        <w:jc w:val="center"/>
        <w:outlineLvl w:val="0"/>
        <w:rPr>
          <w:rFonts w:ascii="宋体" w:hAnsi="宋体" w:cs="宋体"/>
          <w:b/>
          <w:sz w:val="36"/>
          <w:szCs w:val="36"/>
        </w:rPr>
      </w:pPr>
      <w:bookmarkStart w:id="443" w:name="_Toc6463"/>
      <w:r>
        <w:rPr>
          <w:rFonts w:hint="eastAsia" w:ascii="宋体" w:hAnsi="宋体" w:cs="宋体"/>
          <w:b/>
          <w:sz w:val="36"/>
          <w:szCs w:val="36"/>
        </w:rPr>
        <w:t>第五部分 采购合同</w:t>
      </w:r>
      <w:bookmarkEnd w:id="443"/>
    </w:p>
    <w:p>
      <w:pPr>
        <w:spacing w:line="360" w:lineRule="auto"/>
        <w:rPr>
          <w:rFonts w:ascii="宋体" w:hAnsi="宋体" w:cs="宋体"/>
          <w:kern w:val="0"/>
          <w:sz w:val="24"/>
        </w:rPr>
      </w:pPr>
      <w:r>
        <w:rPr>
          <w:rFonts w:hint="eastAsia" w:ascii="宋体" w:hAnsi="宋体" w:cs="宋体"/>
          <w:kern w:val="0"/>
          <w:szCs w:val="21"/>
        </w:rPr>
        <w:t xml:space="preserve">　 </w:t>
      </w:r>
    </w:p>
    <w:p>
      <w:pPr>
        <w:spacing w:line="360" w:lineRule="auto"/>
        <w:ind w:firstLine="720" w:firstLineChars="300"/>
        <w:jc w:val="left"/>
        <w:rPr>
          <w:rFonts w:ascii="宋体" w:hAnsi="宋体" w:cs="宋体"/>
          <w:kern w:val="0"/>
          <w:sz w:val="24"/>
        </w:rPr>
      </w:pPr>
      <w:r>
        <w:rPr>
          <w:rFonts w:hint="eastAsia" w:ascii="宋体" w:hAnsi="宋体" w:cs="宋体"/>
          <w:kern w:val="0"/>
          <w:sz w:val="24"/>
        </w:rPr>
        <w:t>合同编号：（2023）第</w:t>
      </w:r>
      <w:r>
        <w:rPr>
          <w:rFonts w:hint="eastAsia" w:ascii="宋体" w:hAnsi="宋体" w:cs="宋体"/>
          <w:kern w:val="0"/>
          <w:sz w:val="24"/>
          <w:u w:val="single"/>
        </w:rPr>
        <w:t>　　</w:t>
      </w:r>
      <w:r>
        <w:rPr>
          <w:rFonts w:hint="eastAsia" w:ascii="宋体" w:hAnsi="宋体" w:cs="宋体"/>
          <w:kern w:val="0"/>
          <w:sz w:val="24"/>
        </w:rPr>
        <w:t>号</w:t>
      </w:r>
    </w:p>
    <w:p>
      <w:pPr>
        <w:spacing w:line="360" w:lineRule="auto"/>
        <w:ind w:firstLine="480" w:firstLineChars="200"/>
        <w:jc w:val="left"/>
        <w:rPr>
          <w:rFonts w:ascii="宋体" w:hAnsi="宋体" w:cs="宋体"/>
          <w:kern w:val="0"/>
          <w:sz w:val="24"/>
        </w:rPr>
      </w:pPr>
      <w:r>
        <w:rPr>
          <w:rFonts w:hint="eastAsia" w:ascii="宋体" w:hAnsi="宋体" w:cs="宋体"/>
          <w:kern w:val="0"/>
          <w:sz w:val="24"/>
        </w:rPr>
        <w:t>　签订日期：2023年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spacing w:line="360" w:lineRule="auto"/>
        <w:ind w:firstLine="480" w:firstLineChars="200"/>
        <w:rPr>
          <w:rFonts w:ascii="宋体" w:hAnsi="宋体" w:cs="宋体"/>
          <w:sz w:val="24"/>
          <w:u w:val="single"/>
        </w:rPr>
      </w:pPr>
      <w:r>
        <w:rPr>
          <w:rFonts w:hint="eastAsia" w:ascii="宋体" w:hAnsi="宋体" w:cs="宋体"/>
          <w:kern w:val="0"/>
          <w:sz w:val="24"/>
        </w:rPr>
        <w:t>　采购单位</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（甲方）</w:t>
      </w:r>
    </w:p>
    <w:p>
      <w:pPr>
        <w:spacing w:line="360" w:lineRule="auto"/>
        <w:ind w:firstLine="720" w:firstLineChars="300"/>
        <w:jc w:val="left"/>
        <w:rPr>
          <w:rFonts w:ascii="宋体" w:hAnsi="宋体" w:cs="宋体"/>
          <w:sz w:val="24"/>
          <w:u w:val="single"/>
        </w:rPr>
      </w:pPr>
      <w:r>
        <w:rPr>
          <w:rFonts w:hint="eastAsia" w:ascii="宋体" w:hAnsi="宋体" w:cs="宋体"/>
          <w:sz w:val="24"/>
        </w:rPr>
        <w:t>中标单位：</w:t>
      </w:r>
      <w:r>
        <w:rPr>
          <w:rFonts w:hint="eastAsia" w:ascii="宋体" w:hAnsi="宋体" w:cs="宋体"/>
          <w:sz w:val="24"/>
          <w:u w:val="single"/>
        </w:rPr>
        <w:t>　　　　　　　　　　　　　　　　　　　　</w:t>
      </w:r>
      <w:r>
        <w:rPr>
          <w:rFonts w:hint="eastAsia" w:ascii="宋体" w:hAnsi="宋体" w:cs="宋体"/>
          <w:sz w:val="24"/>
        </w:rPr>
        <w:t>（乙方）</w:t>
      </w:r>
    </w:p>
    <w:p>
      <w:pPr>
        <w:spacing w:line="360" w:lineRule="auto"/>
        <w:ind w:firstLine="720" w:firstLineChars="300"/>
        <w:jc w:val="left"/>
        <w:rPr>
          <w:rFonts w:ascii="宋体" w:hAnsi="宋体" w:cs="宋体"/>
          <w:kern w:val="0"/>
          <w:sz w:val="24"/>
        </w:rPr>
      </w:pPr>
      <w:r>
        <w:rPr>
          <w:rFonts w:hint="eastAsia" w:ascii="宋体" w:hAnsi="宋体" w:cs="宋体"/>
          <w:kern w:val="0"/>
          <w:sz w:val="24"/>
        </w:rPr>
        <w:t>根据《中华人民共和国民法典》、招标文件、乙方投标文件的规定，经公开招标，签订本合同。</w:t>
      </w:r>
    </w:p>
    <w:p>
      <w:pPr>
        <w:numPr>
          <w:ilvl w:val="0"/>
          <w:numId w:val="40"/>
        </w:num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项目内容及合同价格</w:t>
      </w:r>
    </w:p>
    <w:p>
      <w:pPr>
        <w:tabs>
          <w:tab w:val="left" w:pos="2462"/>
        </w:tabs>
        <w:spacing w:line="520" w:lineRule="exact"/>
        <w:ind w:firstLine="360" w:firstLineChars="150"/>
        <w:jc w:val="left"/>
        <w:rPr>
          <w:rFonts w:hint="eastAsia" w:ascii="宋体" w:hAnsi="宋体" w:cs="宋体"/>
          <w:kern w:val="0"/>
          <w:sz w:val="24"/>
        </w:rPr>
      </w:pPr>
      <w:r>
        <w:rPr>
          <w:rFonts w:hint="eastAsia" w:ascii="宋体" w:hAnsi="宋体" w:cs="宋体"/>
          <w:kern w:val="0"/>
          <w:sz w:val="24"/>
        </w:rPr>
        <w:t>本项目为</w:t>
      </w:r>
      <w:r>
        <w:rPr>
          <w:rFonts w:hint="eastAsia" w:ascii="宋体" w:hAnsi="宋体" w:cs="宋体"/>
          <w:sz w:val="24"/>
        </w:rPr>
        <w:t>2023-2024年度杭州湾上虞经济技术开发区河道保洁服务项目。</w:t>
      </w:r>
      <w:r>
        <w:rPr>
          <w:rFonts w:hint="eastAsia" w:ascii="宋体" w:hAnsi="宋体" w:cs="宋体"/>
          <w:kern w:val="0"/>
          <w:sz w:val="24"/>
        </w:rPr>
        <w:t>河道保洁共计面积5218907.2平</w:t>
      </w:r>
      <w:r>
        <w:rPr>
          <w:rFonts w:hint="eastAsia" w:ascii="宋体" w:hAnsi="宋体" w:cs="宋体"/>
          <w:kern w:val="0"/>
          <w:sz w:val="24"/>
          <w:lang w:val="en-US" w:eastAsia="zh-CN"/>
        </w:rPr>
        <w:t>方</w:t>
      </w:r>
      <w:r>
        <w:rPr>
          <w:rFonts w:hint="eastAsia" w:ascii="宋体" w:hAnsi="宋体" w:cs="宋体"/>
          <w:kern w:val="0"/>
          <w:sz w:val="24"/>
        </w:rPr>
        <w:t>米。具体详见清单。本项目服务期为二年。</w:t>
      </w:r>
    </w:p>
    <w:tbl>
      <w:tblPr>
        <w:tblStyle w:val="3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928"/>
        <w:gridCol w:w="1411"/>
        <w:gridCol w:w="150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16" w:type="dxa"/>
            <w:vMerge w:val="restart"/>
            <w:noWrap/>
            <w:vAlign w:val="center"/>
          </w:tcPr>
          <w:p>
            <w:pPr>
              <w:spacing w:line="360" w:lineRule="auto"/>
              <w:jc w:val="center"/>
              <w:rPr>
                <w:rFonts w:ascii="宋体" w:hAnsi="宋体" w:cs="宋体"/>
                <w:b/>
                <w:bCs/>
                <w:kern w:val="0"/>
                <w:sz w:val="24"/>
                <w:highlight w:val="none"/>
              </w:rPr>
            </w:pPr>
            <w:r>
              <w:rPr>
                <w:rFonts w:hint="eastAsia" w:ascii="宋体" w:hAnsi="宋体" w:cs="宋体"/>
                <w:b/>
                <w:bCs/>
                <w:color w:val="FF0000"/>
                <w:kern w:val="0"/>
                <w:sz w:val="24"/>
                <w:highlight w:val="none"/>
                <w:lang w:val="en-US" w:eastAsia="zh-CN"/>
              </w:rPr>
              <w:t>合同价格</w:t>
            </w:r>
          </w:p>
        </w:tc>
        <w:tc>
          <w:tcPr>
            <w:tcW w:w="1928" w:type="dxa"/>
            <w:noWrap/>
            <w:vAlign w:val="center"/>
          </w:tcPr>
          <w:p>
            <w:pPr>
              <w:spacing w:line="360" w:lineRule="auto"/>
              <w:jc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kern w:val="0"/>
                <w:sz w:val="24"/>
                <w:highlight w:val="none"/>
                <w:lang w:val="en-US" w:eastAsia="zh-CN"/>
              </w:rPr>
              <w:t>单价（元）</w:t>
            </w:r>
          </w:p>
        </w:tc>
        <w:tc>
          <w:tcPr>
            <w:tcW w:w="1411" w:type="dxa"/>
            <w:noWrap/>
            <w:vAlign w:val="center"/>
          </w:tcPr>
          <w:p>
            <w:pPr>
              <w:spacing w:line="360" w:lineRule="auto"/>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面积（平方米）</w:t>
            </w:r>
          </w:p>
        </w:tc>
        <w:tc>
          <w:tcPr>
            <w:tcW w:w="1500" w:type="dxa"/>
            <w:noWrap/>
            <w:vAlign w:val="center"/>
          </w:tcPr>
          <w:p>
            <w:pPr>
              <w:spacing w:line="360" w:lineRule="auto"/>
              <w:jc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服务期限（年）</w:t>
            </w:r>
          </w:p>
        </w:tc>
        <w:tc>
          <w:tcPr>
            <w:tcW w:w="2840" w:type="dxa"/>
            <w:noWrap/>
            <w:vAlign w:val="center"/>
          </w:tcPr>
          <w:p>
            <w:pPr>
              <w:spacing w:line="360" w:lineRule="auto"/>
              <w:jc w:val="center"/>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16" w:type="dxa"/>
            <w:vMerge w:val="continue"/>
            <w:noWrap/>
            <w:vAlign w:val="center"/>
          </w:tcPr>
          <w:p>
            <w:pPr>
              <w:spacing w:line="360" w:lineRule="auto"/>
              <w:jc w:val="center"/>
              <w:rPr>
                <w:rFonts w:hint="eastAsia" w:ascii="宋体" w:hAnsi="宋体" w:cs="宋体"/>
                <w:b/>
                <w:bCs/>
                <w:kern w:val="0"/>
                <w:sz w:val="24"/>
                <w:highlight w:val="none"/>
              </w:rPr>
            </w:pPr>
          </w:p>
        </w:tc>
        <w:tc>
          <w:tcPr>
            <w:tcW w:w="1928" w:type="dxa"/>
            <w:noWrap/>
            <w:vAlign w:val="center"/>
          </w:tcPr>
          <w:p>
            <w:pPr>
              <w:spacing w:line="360" w:lineRule="auto"/>
              <w:jc w:val="center"/>
              <w:rPr>
                <w:rFonts w:hint="default" w:ascii="宋体" w:hAnsi="宋体" w:cs="宋体"/>
                <w:b/>
                <w:bCs/>
                <w:kern w:val="0"/>
                <w:sz w:val="24"/>
                <w:highlight w:val="non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411" w:type="dxa"/>
            <w:noWrap/>
            <w:vAlign w:val="center"/>
          </w:tcPr>
          <w:p>
            <w:pPr>
              <w:spacing w:line="360" w:lineRule="auto"/>
              <w:jc w:val="center"/>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5218907.2</w:t>
            </w:r>
          </w:p>
        </w:tc>
        <w:tc>
          <w:tcPr>
            <w:tcW w:w="1500" w:type="dxa"/>
            <w:noWrap/>
            <w:vAlign w:val="center"/>
          </w:tcPr>
          <w:p>
            <w:pPr>
              <w:spacing w:line="360" w:lineRule="auto"/>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2</w:t>
            </w:r>
          </w:p>
        </w:tc>
        <w:tc>
          <w:tcPr>
            <w:tcW w:w="2840"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95" w:type="dxa"/>
            <w:gridSpan w:val="5"/>
            <w:noWrap/>
            <w:vAlign w:val="center"/>
          </w:tcPr>
          <w:p>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bCs/>
                <w:color w:val="FF0000"/>
                <w:sz w:val="24"/>
                <w:highlight w:val="none"/>
                <w:lang w:val="en-US" w:eastAsia="zh-CN"/>
              </w:rPr>
              <w:t>综合单</w:t>
            </w:r>
            <w:r>
              <w:rPr>
                <w:rFonts w:hint="eastAsia" w:ascii="宋体" w:hAnsi="宋体" w:cs="宋体"/>
                <w:bCs/>
                <w:color w:val="FF0000"/>
                <w:sz w:val="24"/>
                <w:highlight w:val="none"/>
              </w:rPr>
              <w:t>价</w:t>
            </w:r>
            <w:r>
              <w:rPr>
                <w:rFonts w:hint="eastAsia" w:hAnsi="宋体" w:cs="宋体"/>
                <w:sz w:val="24"/>
                <w:szCs w:val="24"/>
                <w:highlight w:val="none"/>
              </w:rPr>
              <w:t>统一为人民币计价，</w:t>
            </w:r>
            <w:r>
              <w:rPr>
                <w:rFonts w:hint="eastAsia"/>
                <w:b/>
                <w:sz w:val="24"/>
                <w:highlight w:val="none"/>
              </w:rPr>
              <w:t>应</w:t>
            </w:r>
            <w:r>
              <w:rPr>
                <w:b/>
                <w:sz w:val="24"/>
                <w:highlight w:val="none"/>
              </w:rPr>
              <w:t>包括</w:t>
            </w:r>
            <w:r>
              <w:rPr>
                <w:rFonts w:hint="eastAsia"/>
                <w:b/>
                <w:sz w:val="24"/>
                <w:highlight w:val="none"/>
              </w:rPr>
              <w:t>但不限于完成本项目服务可能发生的全部费用包括</w:t>
            </w:r>
            <w:r>
              <w:rPr>
                <w:rFonts w:hint="eastAsia" w:hAnsi="宋体" w:cs="宋体"/>
                <w:b/>
                <w:bCs/>
                <w:sz w:val="24"/>
                <w:szCs w:val="24"/>
                <w:highlight w:val="none"/>
              </w:rPr>
              <w:t>保洁、管理人员的意外保险、</w:t>
            </w:r>
            <w:r>
              <w:rPr>
                <w:rFonts w:hint="eastAsia"/>
                <w:b/>
                <w:sz w:val="24"/>
                <w:highlight w:val="none"/>
              </w:rPr>
              <w:t>工资福利、社保、服装费、办公用品、劳动用品、工器具、管理费、税费、垃圾清扫清运设备及船只购置费用、运输费用、燃油、保养维修、垃圾处置及清运费用及不可预见费等所有费用</w:t>
            </w:r>
            <w:r>
              <w:rPr>
                <w:rFonts w:hint="eastAsia" w:hAnsi="宋体" w:cs="宋体"/>
                <w:kern w:val="0"/>
                <w:sz w:val="24"/>
                <w:highlight w:val="none"/>
              </w:rPr>
              <w:t>。</w:t>
            </w:r>
          </w:p>
        </w:tc>
      </w:tr>
    </w:tbl>
    <w:p>
      <w:pPr>
        <w:numPr>
          <w:ilvl w:val="0"/>
          <w:numId w:val="40"/>
        </w:num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付款方式及要求</w:t>
      </w:r>
    </w:p>
    <w:p>
      <w:pPr>
        <w:spacing w:line="460" w:lineRule="exact"/>
        <w:ind w:firstLine="470" w:firstLineChars="196"/>
        <w:rPr>
          <w:rFonts w:hint="eastAsia"/>
          <w:bCs/>
          <w:sz w:val="24"/>
        </w:rPr>
      </w:pPr>
      <w:r>
        <w:rPr>
          <w:rFonts w:hint="eastAsia"/>
          <w:bCs/>
          <w:sz w:val="24"/>
        </w:rPr>
        <w:t>1、</w:t>
      </w:r>
      <w:r>
        <w:rPr>
          <w:rFonts w:hint="eastAsia"/>
          <w:bCs/>
          <w:color w:val="FF0000"/>
          <w:sz w:val="24"/>
          <w:highlight w:val="none"/>
          <w:lang w:eastAsia="zh-CN"/>
        </w:rPr>
        <w:t>付款方式：</w:t>
      </w:r>
      <w:r>
        <w:rPr>
          <w:rFonts w:hint="eastAsia"/>
          <w:bCs/>
          <w:sz w:val="24"/>
        </w:rPr>
        <w:t>服务费用按月计算，每季度支付一次，在次季度首月15日前支付95%，剩余5%在</w:t>
      </w:r>
      <w:r>
        <w:rPr>
          <w:rFonts w:hint="eastAsia"/>
          <w:bCs/>
          <w:color w:val="FF0000"/>
          <w:sz w:val="24"/>
          <w:lang w:val="en-US" w:eastAsia="zh-CN"/>
        </w:rPr>
        <w:t>服务期满</w:t>
      </w:r>
      <w:r>
        <w:rPr>
          <w:rFonts w:hint="eastAsia"/>
          <w:bCs/>
          <w:sz w:val="24"/>
        </w:rPr>
        <w:t>后7个工作日内支付，同时资金支付还需结合考核办法。</w:t>
      </w:r>
    </w:p>
    <w:p>
      <w:pPr>
        <w:spacing w:line="500" w:lineRule="exact"/>
        <w:ind w:firstLine="480" w:firstLineChars="200"/>
        <w:rPr>
          <w:rFonts w:hint="eastAsia"/>
          <w:bCs/>
          <w:sz w:val="24"/>
        </w:rPr>
      </w:pPr>
      <w:r>
        <w:rPr>
          <w:rFonts w:hint="eastAsia"/>
          <w:bCs/>
          <w:sz w:val="24"/>
          <w:lang w:val="en-US" w:eastAsia="zh-CN"/>
        </w:rPr>
        <w:t>2、</w:t>
      </w:r>
      <w:r>
        <w:rPr>
          <w:rFonts w:hint="eastAsia"/>
          <w:bCs/>
          <w:color w:val="FF0000"/>
          <w:sz w:val="24"/>
          <w:highlight w:val="none"/>
          <w:lang w:val="en-US" w:eastAsia="zh-CN"/>
        </w:rPr>
        <w:t>考核办法：</w:t>
      </w:r>
      <w:r>
        <w:rPr>
          <w:rFonts w:hint="eastAsia"/>
          <w:bCs/>
          <w:sz w:val="24"/>
        </w:rPr>
        <w:t>月考核平均扣分在1—5分（含5分），月承包款可</w:t>
      </w:r>
      <w:r>
        <w:rPr>
          <w:rFonts w:hint="eastAsia"/>
          <w:bCs/>
          <w:color w:val="FF0000"/>
          <w:sz w:val="24"/>
          <w:lang w:val="en-US" w:eastAsia="zh-CN"/>
        </w:rPr>
        <w:t>计</w:t>
      </w:r>
      <w:r>
        <w:rPr>
          <w:rFonts w:hint="eastAsia"/>
          <w:bCs/>
          <w:sz w:val="24"/>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sz w:val="24"/>
        </w:rPr>
        <w:t>。因管理不力，造成较大社会影响、投诉或新闻媒体曝光的，当月考核起评分为80分。</w:t>
      </w:r>
    </w:p>
    <w:p>
      <w:pPr>
        <w:spacing w:line="500" w:lineRule="exact"/>
        <w:ind w:firstLine="480" w:firstLineChars="200"/>
        <w:rPr>
          <w:bCs/>
          <w:sz w:val="24"/>
        </w:rPr>
      </w:pPr>
      <w:r>
        <w:rPr>
          <w:rFonts w:hint="eastAsia"/>
          <w:bCs/>
          <w:sz w:val="24"/>
          <w:lang w:val="en-US" w:eastAsia="zh-CN"/>
        </w:rPr>
        <w:t>3</w:t>
      </w:r>
      <w:r>
        <w:rPr>
          <w:rFonts w:hint="eastAsia"/>
          <w:bCs/>
          <w:sz w:val="24"/>
        </w:rPr>
        <w:t>、</w:t>
      </w:r>
      <w:r>
        <w:rPr>
          <w:rFonts w:hint="eastAsia"/>
          <w:b/>
          <w:sz w:val="24"/>
        </w:rPr>
        <w:t>本项目服务期限为 2年（24个月），时间以甲方开具开工报告为准。招标人与中标单位自成交通知书发出起的 30日内签订服务合同。</w:t>
      </w:r>
    </w:p>
    <w:p>
      <w:pPr>
        <w:numPr>
          <w:ilvl w:val="0"/>
          <w:numId w:val="40"/>
        </w:num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履约保证金</w:t>
      </w:r>
    </w:p>
    <w:p>
      <w:pPr>
        <w:spacing w:line="460" w:lineRule="exact"/>
        <w:ind w:firstLine="480" w:firstLineChars="200"/>
        <w:rPr>
          <w:rFonts w:ascii="宋体" w:hAnsi="宋体"/>
          <w:sz w:val="24"/>
        </w:rPr>
      </w:pPr>
      <w:r>
        <w:rPr>
          <w:rFonts w:ascii="宋体" w:hAnsi="宋体"/>
          <w:sz w:val="24"/>
        </w:rPr>
        <w:t>1</w:t>
      </w:r>
      <w:r>
        <w:rPr>
          <w:rFonts w:hint="eastAsia" w:ascii="宋体" w:hAnsi="宋体"/>
          <w:sz w:val="24"/>
        </w:rPr>
        <w:t>、中标人在收到中标通知书后，需以银行转账、现金或工程保函向采购人提供合同总价</w:t>
      </w:r>
      <w:r>
        <w:rPr>
          <w:rFonts w:hint="eastAsia" w:ascii="宋体" w:hAnsi="宋体"/>
          <w:color w:val="auto"/>
          <w:sz w:val="24"/>
        </w:rPr>
        <w:t>1%</w:t>
      </w:r>
      <w:r>
        <w:rPr>
          <w:rFonts w:hint="eastAsia" w:ascii="宋体" w:hAnsi="宋体"/>
          <w:sz w:val="24"/>
        </w:rPr>
        <w:t>的履约保证金，在中标人与采购人签订合同前递交。</w:t>
      </w:r>
    </w:p>
    <w:p>
      <w:pPr>
        <w:spacing w:line="460" w:lineRule="exact"/>
        <w:ind w:firstLine="480" w:firstLineChars="200"/>
        <w:rPr>
          <w:rStyle w:val="72"/>
          <w:rFonts w:ascii="宋体" w:hAnsi="宋体" w:cs="宋体"/>
          <w:szCs w:val="24"/>
        </w:rPr>
      </w:pPr>
      <w:r>
        <w:rPr>
          <w:rFonts w:hint="eastAsia" w:ascii="宋体" w:hAnsi="宋体"/>
          <w:sz w:val="24"/>
        </w:rPr>
        <w:t>2、乙方在履约期间未出现违约行为，采购人将在服务期满，并经验收合格后10个工作日内予以退还履约保证金</w:t>
      </w:r>
      <w:r>
        <w:rPr>
          <w:rFonts w:ascii="宋体" w:hAnsi="宋体"/>
          <w:sz w:val="24"/>
        </w:rPr>
        <w:t>(</w:t>
      </w:r>
      <w:r>
        <w:rPr>
          <w:rFonts w:hint="eastAsia" w:ascii="宋体" w:hAnsi="宋体"/>
          <w:sz w:val="24"/>
        </w:rPr>
        <w:t>不计息</w:t>
      </w:r>
      <w:r>
        <w:rPr>
          <w:rFonts w:ascii="宋体" w:hAnsi="宋体"/>
          <w:sz w:val="24"/>
        </w:rPr>
        <w:t>)</w:t>
      </w:r>
      <w:r>
        <w:rPr>
          <w:rFonts w:hint="eastAsia" w:ascii="宋体" w:hAnsi="宋体"/>
          <w:sz w:val="24"/>
        </w:rPr>
        <w:t>。</w:t>
      </w:r>
    </w:p>
    <w:p>
      <w:pPr>
        <w:numPr>
          <w:ilvl w:val="0"/>
          <w:numId w:val="40"/>
        </w:num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保洁管理要点及内容</w:t>
      </w:r>
    </w:p>
    <w:p>
      <w:pPr>
        <w:pStyle w:val="2"/>
        <w:ind w:firstLine="481"/>
        <w:rPr>
          <w:rFonts w:hAnsi="宋体"/>
          <w:b w:val="0"/>
          <w:sz w:val="24"/>
          <w:szCs w:val="24"/>
        </w:rPr>
      </w:pPr>
      <w:r>
        <w:rPr>
          <w:rFonts w:hint="eastAsia" w:hAnsi="宋体"/>
          <w:b w:val="0"/>
          <w:sz w:val="24"/>
          <w:szCs w:val="24"/>
        </w:rPr>
        <w:t>河道、小微水体保洁为水面水草、河底水草、垃圾、杂物等漂浮物及河岸驳坎、河道景观绿化范围内全面开展打捞、清理。</w:t>
      </w:r>
    </w:p>
    <w:p>
      <w:pPr>
        <w:numPr>
          <w:ilvl w:val="0"/>
          <w:numId w:val="40"/>
        </w:num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双方职责</w:t>
      </w:r>
    </w:p>
    <w:p>
      <w:pPr>
        <w:tabs>
          <w:tab w:val="left" w:pos="840"/>
        </w:tabs>
        <w:spacing w:line="500" w:lineRule="exact"/>
        <w:ind w:left="540"/>
        <w:jc w:val="left"/>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（1）、需方的责任和义务</w:t>
      </w:r>
    </w:p>
    <w:p>
      <w:pPr>
        <w:spacing w:line="500" w:lineRule="exact"/>
        <w:ind w:firstLine="480" w:firstLineChars="200"/>
        <w:jc w:val="left"/>
        <w:rPr>
          <w:rFonts w:ascii="宋体"/>
          <w:kern w:val="0"/>
          <w:sz w:val="24"/>
        </w:rPr>
      </w:pPr>
      <w:r>
        <w:rPr>
          <w:rFonts w:hint="eastAsia" w:ascii="宋体"/>
          <w:kern w:val="0"/>
          <w:sz w:val="24"/>
        </w:rPr>
        <w:t>1、杭州湾上虞经济技术开发区河道保洁考核由需方组织实施；</w:t>
      </w:r>
    </w:p>
    <w:p>
      <w:pPr>
        <w:spacing w:line="500" w:lineRule="exact"/>
        <w:ind w:firstLine="480" w:firstLineChars="200"/>
        <w:jc w:val="left"/>
        <w:rPr>
          <w:rFonts w:ascii="宋体"/>
          <w:kern w:val="0"/>
          <w:sz w:val="24"/>
        </w:rPr>
      </w:pPr>
      <w:r>
        <w:rPr>
          <w:rFonts w:hint="eastAsia" w:ascii="宋体"/>
          <w:kern w:val="0"/>
          <w:sz w:val="24"/>
        </w:rPr>
        <w:t>2、需</w:t>
      </w:r>
      <w:r>
        <w:rPr>
          <w:rFonts w:hint="eastAsia" w:ascii="宋体" w:hAnsi="宋体"/>
          <w:kern w:val="0"/>
          <w:sz w:val="24"/>
        </w:rPr>
        <w:t>方每天实施巡查，按巡查结果每天进行打分，打分结果作为考核依据，考核按招标文件确定的《考核办法》执行，总分为100分；</w:t>
      </w:r>
    </w:p>
    <w:p>
      <w:pPr>
        <w:spacing w:line="500" w:lineRule="exact"/>
        <w:ind w:firstLine="480" w:firstLineChars="200"/>
        <w:jc w:val="left"/>
        <w:rPr>
          <w:rFonts w:ascii="宋体"/>
          <w:kern w:val="0"/>
          <w:sz w:val="24"/>
        </w:rPr>
      </w:pPr>
      <w:r>
        <w:rPr>
          <w:rFonts w:hint="eastAsia" w:ascii="宋体"/>
          <w:kern w:val="0"/>
          <w:sz w:val="24"/>
        </w:rPr>
        <w:t>3、需方有权要求供方整改不符合规章制度和违反程序的操作；</w:t>
      </w:r>
    </w:p>
    <w:p>
      <w:pPr>
        <w:spacing w:line="500" w:lineRule="exact"/>
        <w:ind w:firstLine="480" w:firstLineChars="200"/>
        <w:jc w:val="left"/>
        <w:rPr>
          <w:rFonts w:ascii="宋体"/>
          <w:kern w:val="0"/>
          <w:sz w:val="24"/>
        </w:rPr>
      </w:pPr>
      <w:r>
        <w:rPr>
          <w:rFonts w:hint="eastAsia" w:ascii="宋体"/>
          <w:kern w:val="0"/>
          <w:sz w:val="24"/>
        </w:rPr>
        <w:t>4、对需方交办的其它任务完成情况，以需方相关领导评价为依据，进行扣减分。</w:t>
      </w:r>
    </w:p>
    <w:p>
      <w:pPr>
        <w:spacing w:line="500" w:lineRule="exact"/>
        <w:ind w:firstLine="480" w:firstLineChars="200"/>
        <w:jc w:val="left"/>
        <w:rPr>
          <w:rFonts w:ascii="宋体"/>
          <w:kern w:val="0"/>
          <w:sz w:val="24"/>
        </w:rPr>
      </w:pPr>
      <w:r>
        <w:rPr>
          <w:rFonts w:hint="eastAsia" w:ascii="宋体"/>
          <w:kern w:val="0"/>
          <w:sz w:val="24"/>
        </w:rPr>
        <w:t>5、保洁工作中的保洁车辆用水由需方提供。</w:t>
      </w:r>
    </w:p>
    <w:p>
      <w:pPr>
        <w:spacing w:line="500" w:lineRule="exact"/>
        <w:ind w:firstLine="482" w:firstLineChars="200"/>
        <w:jc w:val="left"/>
        <w:rPr>
          <w:rFonts w:ascii="宋体"/>
          <w:b/>
          <w:bCs/>
          <w:kern w:val="0"/>
          <w:sz w:val="24"/>
        </w:rPr>
      </w:pPr>
      <w:r>
        <w:rPr>
          <w:rFonts w:hint="eastAsia" w:ascii="宋体"/>
          <w:b/>
          <w:bCs/>
          <w:kern w:val="0"/>
          <w:sz w:val="24"/>
        </w:rPr>
        <w:t>（2）、供方的责任和义务</w:t>
      </w:r>
    </w:p>
    <w:p>
      <w:pPr>
        <w:spacing w:line="500" w:lineRule="exact"/>
        <w:ind w:firstLine="480" w:firstLineChars="200"/>
        <w:jc w:val="left"/>
        <w:rPr>
          <w:rFonts w:ascii="宋体"/>
          <w:kern w:val="0"/>
          <w:sz w:val="24"/>
        </w:rPr>
      </w:pPr>
      <w:r>
        <w:rPr>
          <w:rFonts w:hint="eastAsia" w:ascii="宋体"/>
          <w:kern w:val="0"/>
          <w:sz w:val="24"/>
        </w:rPr>
        <w:t>1、供方必须严格遵守《劳动法》的有关规定，加强对工作人员的培训和教育，爱护公共财物，确保安全工作，杜绝各类事故。需方如临时有紧急工作任务，供方必须无条件调动人员，保证完成工作；</w:t>
      </w:r>
    </w:p>
    <w:p>
      <w:pPr>
        <w:spacing w:line="500" w:lineRule="exact"/>
        <w:ind w:firstLine="480" w:firstLineChars="200"/>
        <w:jc w:val="left"/>
        <w:rPr>
          <w:rFonts w:ascii="宋体"/>
          <w:kern w:val="0"/>
          <w:sz w:val="24"/>
        </w:rPr>
      </w:pPr>
      <w:r>
        <w:rPr>
          <w:rFonts w:hint="eastAsia" w:ascii="宋体"/>
          <w:kern w:val="0"/>
          <w:sz w:val="24"/>
        </w:rPr>
        <w:t>2、按要求配好工作人员，确保工作质量，若需方提出任何需要整改的意见，供方应立即予以整改，供方也可向需方提出合理化意见和建议；</w:t>
      </w:r>
    </w:p>
    <w:p>
      <w:pPr>
        <w:spacing w:line="500" w:lineRule="exact"/>
        <w:ind w:firstLine="480" w:firstLineChars="200"/>
        <w:jc w:val="left"/>
        <w:rPr>
          <w:rFonts w:ascii="宋体"/>
          <w:kern w:val="0"/>
          <w:sz w:val="24"/>
        </w:rPr>
      </w:pPr>
      <w:r>
        <w:rPr>
          <w:rFonts w:hint="eastAsia" w:ascii="宋体"/>
          <w:kern w:val="0"/>
          <w:sz w:val="24"/>
        </w:rPr>
        <w:t>3、供方工作人员要统一工作服装，并佩挂统一工作证，遵守需方各项内部规章制度；</w:t>
      </w:r>
    </w:p>
    <w:p>
      <w:pPr>
        <w:spacing w:line="500" w:lineRule="exact"/>
        <w:ind w:firstLine="480" w:firstLineChars="200"/>
        <w:jc w:val="left"/>
        <w:rPr>
          <w:rFonts w:ascii="宋体"/>
          <w:kern w:val="0"/>
          <w:sz w:val="24"/>
        </w:rPr>
      </w:pPr>
      <w:r>
        <w:rPr>
          <w:rFonts w:hint="eastAsia" w:ascii="宋体"/>
          <w:kern w:val="0"/>
          <w:sz w:val="24"/>
        </w:rPr>
        <w:t>4、供方对保洁范围内的阴井盖完好情况进行巡查，发现阴井盖损坏、破坏、缺失的，以书面形式及时报告需方，未及时报告导致严重事故的，有权追究相关责任；</w:t>
      </w:r>
    </w:p>
    <w:p>
      <w:pPr>
        <w:spacing w:line="500" w:lineRule="exact"/>
        <w:ind w:firstLine="480" w:firstLineChars="200"/>
        <w:jc w:val="left"/>
        <w:rPr>
          <w:rFonts w:ascii="宋体"/>
          <w:kern w:val="0"/>
          <w:sz w:val="24"/>
        </w:rPr>
      </w:pPr>
      <w:r>
        <w:rPr>
          <w:rFonts w:hint="eastAsia" w:ascii="宋体"/>
          <w:kern w:val="0"/>
          <w:sz w:val="24"/>
        </w:rPr>
        <w:t>5、供方在被委托期间，发生作业人员（含管理人员）伤亡由供方承担一切费用，需方概不承担任何责任。</w:t>
      </w:r>
    </w:p>
    <w:p>
      <w:pPr>
        <w:spacing w:line="500" w:lineRule="exact"/>
        <w:ind w:firstLine="480" w:firstLineChars="200"/>
        <w:jc w:val="left"/>
        <w:rPr>
          <w:rFonts w:ascii="宋体"/>
          <w:kern w:val="0"/>
          <w:sz w:val="24"/>
        </w:rPr>
      </w:pPr>
      <w:r>
        <w:rPr>
          <w:rFonts w:hint="eastAsia" w:ascii="宋体"/>
          <w:kern w:val="0"/>
          <w:sz w:val="24"/>
        </w:rPr>
        <w:t>6、供方用工</w:t>
      </w:r>
      <w:r>
        <w:rPr>
          <w:rFonts w:hint="eastAsia" w:ascii="宋体" w:hAnsi="宋体"/>
          <w:sz w:val="24"/>
        </w:rPr>
        <w:t>须符合国家有关法律规定，</w:t>
      </w:r>
      <w:r>
        <w:rPr>
          <w:rFonts w:hint="eastAsia" w:ascii="宋体"/>
          <w:kern w:val="0"/>
          <w:sz w:val="24"/>
        </w:rPr>
        <w:t>签订用工协议，办理各种用工手续，如因用工不当，给需方造成损失由供方承担一切责任。</w:t>
      </w:r>
    </w:p>
    <w:p>
      <w:pPr>
        <w:spacing w:line="500" w:lineRule="exact"/>
        <w:ind w:firstLine="480" w:firstLineChars="200"/>
        <w:jc w:val="left"/>
        <w:rPr>
          <w:rFonts w:ascii="宋体"/>
          <w:kern w:val="0"/>
          <w:sz w:val="24"/>
        </w:rPr>
      </w:pPr>
      <w:r>
        <w:rPr>
          <w:rFonts w:hint="eastAsia" w:ascii="宋体"/>
          <w:kern w:val="0"/>
          <w:sz w:val="24"/>
        </w:rPr>
        <w:t>7、供方在承包期内，因工作不力月度考核分低于80分的，向供方单位下发责令限期整改通知书，累计二个月度考核分低于80分的，将解除承包合同。</w:t>
      </w:r>
    </w:p>
    <w:p>
      <w:pPr>
        <w:spacing w:line="500" w:lineRule="exact"/>
        <w:ind w:firstLine="480" w:firstLineChars="200"/>
        <w:jc w:val="left"/>
        <w:rPr>
          <w:rFonts w:hint="default" w:ascii="宋体" w:eastAsia="宋体"/>
          <w:kern w:val="0"/>
          <w:sz w:val="24"/>
          <w:lang w:val="en-US" w:eastAsia="zh-CN"/>
        </w:rPr>
      </w:pPr>
      <w:r>
        <w:rPr>
          <w:rFonts w:hint="eastAsia" w:ascii="宋体"/>
          <w:kern w:val="0"/>
          <w:sz w:val="24"/>
        </w:rPr>
        <w:t>8、未按要求购置必备劳保用品、装备、工作服、保洁工具、卫生用品等，经需方书面督促二次(含)以上未整改的，由需方负责采办</w:t>
      </w:r>
      <w:r>
        <w:rPr>
          <w:rFonts w:hint="eastAsia" w:ascii="宋体"/>
          <w:kern w:val="0"/>
          <w:sz w:val="24"/>
          <w:lang w:eastAsia="zh-CN"/>
        </w:rPr>
        <w:t>，</w:t>
      </w:r>
      <w:r>
        <w:rPr>
          <w:rFonts w:hint="eastAsia" w:ascii="宋体"/>
          <w:color w:val="FF0000"/>
          <w:kern w:val="0"/>
          <w:sz w:val="24"/>
          <w:lang w:val="en-US" w:eastAsia="zh-CN"/>
        </w:rPr>
        <w:t>该费用由供方承担，在保洁款中扣除。</w:t>
      </w:r>
    </w:p>
    <w:p>
      <w:pPr>
        <w:spacing w:line="500" w:lineRule="exact"/>
        <w:ind w:firstLine="480" w:firstLineChars="200"/>
        <w:jc w:val="left"/>
        <w:rPr>
          <w:rFonts w:ascii="宋体"/>
          <w:kern w:val="0"/>
          <w:sz w:val="24"/>
        </w:rPr>
      </w:pPr>
      <w:r>
        <w:rPr>
          <w:rFonts w:hint="eastAsia" w:ascii="宋体"/>
          <w:kern w:val="0"/>
          <w:sz w:val="24"/>
        </w:rPr>
        <w:t>9、对某些需紧急处置的情况，在接到需方通知后，供方应无条件在规定时间内完成。供方如处置不及时，需方有权指派其他人员突击工作</w:t>
      </w:r>
      <w:r>
        <w:rPr>
          <w:rFonts w:hint="eastAsia" w:ascii="宋体"/>
          <w:kern w:val="0"/>
          <w:sz w:val="24"/>
          <w:lang w:eastAsia="zh-CN"/>
        </w:rPr>
        <w:t>，</w:t>
      </w:r>
      <w:r>
        <w:rPr>
          <w:rFonts w:hint="eastAsia" w:ascii="宋体"/>
          <w:color w:val="FF0000"/>
          <w:kern w:val="0"/>
          <w:sz w:val="24"/>
          <w:lang w:val="en-US" w:eastAsia="zh-CN"/>
        </w:rPr>
        <w:t>该费用由供方承担，在保洁款中扣除</w:t>
      </w:r>
      <w:r>
        <w:rPr>
          <w:rFonts w:hint="eastAsia" w:ascii="宋体"/>
          <w:kern w:val="0"/>
          <w:sz w:val="24"/>
        </w:rPr>
        <w:t>。对供方累计三次(含)以上未完成需方交办的任务，需方有权扣除相应履约保证金并终止承包合同。</w:t>
      </w:r>
    </w:p>
    <w:p>
      <w:pPr>
        <w:spacing w:line="500" w:lineRule="exact"/>
        <w:ind w:firstLine="480" w:firstLineChars="200"/>
        <w:jc w:val="left"/>
      </w:pPr>
      <w:r>
        <w:rPr>
          <w:rFonts w:hint="eastAsia" w:ascii="宋体"/>
          <w:kern w:val="0"/>
          <w:sz w:val="24"/>
        </w:rPr>
        <w:t>10、供方违反《劳动法》有关规定或无正当理由拖欠、克扣员工工资的，需方有权动用履约保证金进行处理。履约保证金不足支付的，需方有权在承包款中直接扣除。</w:t>
      </w:r>
    </w:p>
    <w:p>
      <w:pPr>
        <w:spacing w:line="500" w:lineRule="exact"/>
        <w:ind w:firstLine="480" w:firstLineChars="200"/>
        <w:jc w:val="left"/>
        <w:rPr>
          <w:rFonts w:ascii="宋体"/>
          <w:kern w:val="0"/>
          <w:sz w:val="24"/>
        </w:rPr>
      </w:pPr>
      <w:r>
        <w:rPr>
          <w:rFonts w:hint="eastAsia" w:ascii="宋体"/>
          <w:kern w:val="0"/>
          <w:sz w:val="24"/>
        </w:rPr>
        <w:t>11、供方有合理化的建议，经需方认可后方可执行。</w:t>
      </w:r>
    </w:p>
    <w:p>
      <w:pPr>
        <w:spacing w:line="500" w:lineRule="exact"/>
        <w:ind w:firstLine="482" w:firstLineChars="200"/>
        <w:jc w:val="left"/>
        <w:rPr>
          <w:rFonts w:ascii="宋体"/>
          <w:b/>
          <w:bCs/>
          <w:kern w:val="0"/>
          <w:sz w:val="24"/>
        </w:rPr>
      </w:pPr>
      <w:r>
        <w:rPr>
          <w:rFonts w:hint="eastAsia" w:ascii="宋体"/>
          <w:b/>
          <w:bCs/>
          <w:kern w:val="0"/>
          <w:sz w:val="24"/>
        </w:rPr>
        <w:t>（3）、供方规范作业要求</w:t>
      </w:r>
    </w:p>
    <w:p>
      <w:pPr>
        <w:spacing w:line="500" w:lineRule="exact"/>
        <w:ind w:firstLine="480" w:firstLineChars="200"/>
        <w:jc w:val="left"/>
        <w:rPr>
          <w:rFonts w:ascii="宋体"/>
          <w:kern w:val="0"/>
          <w:sz w:val="24"/>
        </w:rPr>
      </w:pPr>
      <w:r>
        <w:rPr>
          <w:rFonts w:hint="eastAsia" w:ascii="宋体"/>
          <w:kern w:val="0"/>
          <w:sz w:val="24"/>
        </w:rPr>
        <w:t>1、所有作业人员配证上岗，携带GPS定位设备。工作期间不得无故缺岗、离岗，不得迟到早退，不得消极怠工，不得酒后作业；不得集聚闲聊，工期休息单次不得超过10分钟；不做与作业无关的事；不得捡拾、买卖废品；不得擅自向责任区内单位、个人收取任何费用（如发现擅自收取费用的情况，</w:t>
      </w:r>
      <w:r>
        <w:rPr>
          <w:rFonts w:hint="eastAsia"/>
          <w:bCs/>
          <w:color w:val="FF0000"/>
          <w:sz w:val="24"/>
        </w:rPr>
        <w:t>当月考核起评分为80分</w:t>
      </w:r>
      <w:r>
        <w:rPr>
          <w:rFonts w:hint="eastAsia" w:ascii="宋体"/>
          <w:kern w:val="0"/>
          <w:sz w:val="24"/>
        </w:rPr>
        <w:t>，同时依据情节严重性对承包人进行所收取费用的3-10倍金额的罚款）。</w:t>
      </w:r>
    </w:p>
    <w:p>
      <w:pPr>
        <w:spacing w:line="500" w:lineRule="exact"/>
        <w:ind w:firstLine="480" w:firstLineChars="200"/>
        <w:jc w:val="left"/>
        <w:rPr>
          <w:rFonts w:ascii="宋体"/>
          <w:kern w:val="0"/>
          <w:sz w:val="24"/>
        </w:rPr>
      </w:pPr>
      <w:r>
        <w:rPr>
          <w:rFonts w:hint="eastAsia" w:ascii="宋体"/>
          <w:kern w:val="0"/>
          <w:sz w:val="24"/>
        </w:rPr>
        <w:t>2、应根据业主的要求和自身实际作业标准建立相关台账，船只及车辆做好车辆使用记录。</w:t>
      </w:r>
    </w:p>
    <w:p>
      <w:pPr>
        <w:spacing w:line="500" w:lineRule="exact"/>
        <w:ind w:firstLine="480" w:firstLineChars="200"/>
        <w:jc w:val="left"/>
        <w:rPr>
          <w:rFonts w:ascii="宋体"/>
          <w:kern w:val="0"/>
          <w:sz w:val="24"/>
        </w:rPr>
      </w:pPr>
      <w:r>
        <w:rPr>
          <w:rFonts w:hint="eastAsia" w:ascii="宋体"/>
          <w:kern w:val="0"/>
          <w:sz w:val="24"/>
        </w:rPr>
        <w:t>3、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垃圾日产日清。</w:t>
      </w:r>
    </w:p>
    <w:p>
      <w:pPr>
        <w:spacing w:line="500" w:lineRule="exact"/>
        <w:ind w:firstLine="480" w:firstLineChars="200"/>
        <w:jc w:val="left"/>
        <w:rPr>
          <w:rFonts w:ascii="宋体"/>
          <w:kern w:val="0"/>
          <w:sz w:val="24"/>
        </w:rPr>
      </w:pPr>
      <w:r>
        <w:rPr>
          <w:rFonts w:hint="eastAsia" w:ascii="宋体"/>
          <w:kern w:val="0"/>
          <w:sz w:val="24"/>
        </w:rPr>
        <w:t>4、机械化作业驾驶员须遵循安全作业规定、遵守交通规则，不得无牌作业，不得违章作业。</w:t>
      </w:r>
    </w:p>
    <w:p>
      <w:pPr>
        <w:spacing w:line="500" w:lineRule="exact"/>
        <w:ind w:firstLine="480" w:firstLineChars="200"/>
        <w:jc w:val="left"/>
        <w:rPr>
          <w:rFonts w:ascii="宋体"/>
          <w:kern w:val="0"/>
          <w:sz w:val="24"/>
        </w:rPr>
      </w:pPr>
      <w:r>
        <w:rPr>
          <w:rFonts w:hint="eastAsia" w:ascii="宋体"/>
          <w:kern w:val="0"/>
          <w:sz w:val="24"/>
        </w:rPr>
        <w:t>5、其他要求：遇有重大活动或突发事件，及时组织力量做好保洁等保障工作，及时听从业主的指挥和调度；每年6-9月份清扫保洁时间相应延长；遇有不可抗力因素，承包人应无条件配合采购人做好保洁和垃圾清运工作。</w:t>
      </w:r>
    </w:p>
    <w:p>
      <w:pPr>
        <w:spacing w:line="500" w:lineRule="exact"/>
        <w:ind w:firstLine="482" w:firstLineChars="200"/>
        <w:jc w:val="left"/>
        <w:rPr>
          <w:rFonts w:ascii="宋体"/>
          <w:b/>
          <w:bCs/>
          <w:kern w:val="0"/>
          <w:sz w:val="24"/>
        </w:rPr>
      </w:pPr>
      <w:r>
        <w:rPr>
          <w:rFonts w:hint="eastAsia" w:ascii="宋体"/>
          <w:b/>
          <w:bCs/>
          <w:kern w:val="0"/>
          <w:sz w:val="24"/>
        </w:rPr>
        <w:t>（4）、供方公司内部管理规范要求</w:t>
      </w:r>
    </w:p>
    <w:p>
      <w:pPr>
        <w:spacing w:line="500" w:lineRule="exact"/>
        <w:ind w:firstLine="480" w:firstLineChars="200"/>
        <w:jc w:val="left"/>
        <w:rPr>
          <w:rFonts w:ascii="宋体"/>
          <w:kern w:val="0"/>
          <w:sz w:val="24"/>
        </w:rPr>
      </w:pPr>
      <w:r>
        <w:rPr>
          <w:rFonts w:hint="eastAsia" w:ascii="宋体"/>
          <w:kern w:val="0"/>
          <w:sz w:val="24"/>
        </w:rPr>
        <w:t>1、规范作业人员岗位职责管理，与作业人员签订岗位职责承诺书，严格按照采购人要求制作作业人员花名册，标明人员姓名（照片）、岗位、负责区域、工作时段、社保缴纳、人身意外险等信息，花名册彩色刊印提交采购人考核时核对，各岗位人员调整时，须在当天上报，以便采购人督查。</w:t>
      </w:r>
    </w:p>
    <w:p>
      <w:pPr>
        <w:spacing w:line="500" w:lineRule="exact"/>
        <w:ind w:firstLine="480" w:firstLineChars="200"/>
        <w:jc w:val="left"/>
        <w:rPr>
          <w:rFonts w:ascii="宋体"/>
          <w:kern w:val="0"/>
          <w:sz w:val="24"/>
        </w:rPr>
      </w:pPr>
      <w:r>
        <w:rPr>
          <w:rFonts w:hint="eastAsia" w:ascii="宋体"/>
          <w:kern w:val="0"/>
          <w:sz w:val="24"/>
        </w:rPr>
        <w:t>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w:t>
      </w:r>
    </w:p>
    <w:p>
      <w:pPr>
        <w:spacing w:line="500" w:lineRule="exact"/>
        <w:ind w:firstLine="480" w:firstLineChars="200"/>
        <w:jc w:val="left"/>
        <w:rPr>
          <w:rFonts w:ascii="宋体"/>
          <w:kern w:val="0"/>
          <w:sz w:val="24"/>
        </w:rPr>
      </w:pPr>
      <w:r>
        <w:rPr>
          <w:rFonts w:hint="eastAsia" w:ascii="宋体"/>
          <w:kern w:val="0"/>
          <w:sz w:val="24"/>
        </w:rPr>
        <w:t>3、加强内部作业管理，合同期内中标单位应加强作业管理，加强安全作业控制，项目管理人员应跟班作业，加强保洁巡视，做好巡视记录，每天检查员工清扫保洁及垃圾清运的时间、任务量等日常工作。</w:t>
      </w:r>
    </w:p>
    <w:p>
      <w:pPr>
        <w:spacing w:line="500" w:lineRule="exact"/>
        <w:ind w:firstLine="480" w:firstLineChars="200"/>
        <w:jc w:val="left"/>
        <w:rPr>
          <w:rFonts w:ascii="宋体"/>
          <w:kern w:val="0"/>
          <w:sz w:val="24"/>
        </w:rPr>
      </w:pPr>
      <w:r>
        <w:rPr>
          <w:rFonts w:hint="eastAsia" w:ascii="宋体"/>
          <w:kern w:val="0"/>
          <w:sz w:val="24"/>
        </w:rPr>
        <w:t>4、建立并规范作业台账，按规定建立规范、详细的养护作业台帐，做好养护工作量日报、月报及年报，按时上报各类报表并协助调查、解决来电来信来访等问题。</w:t>
      </w:r>
    </w:p>
    <w:p>
      <w:pPr>
        <w:spacing w:line="500" w:lineRule="exact"/>
        <w:ind w:firstLine="480" w:firstLineChars="200"/>
        <w:jc w:val="left"/>
        <w:rPr>
          <w:rFonts w:ascii="宋体"/>
          <w:kern w:val="0"/>
          <w:sz w:val="24"/>
        </w:rPr>
      </w:pPr>
      <w:r>
        <w:rPr>
          <w:rFonts w:hint="eastAsia" w:ascii="宋体"/>
          <w:kern w:val="0"/>
          <w:sz w:val="24"/>
        </w:rPr>
        <w:t>5、严格落实一线作业人员年龄结构，提升服务质量，本次项目所需的作业人员均由中标单位自行招聘，所招聘的人员必须在规定年龄以内</w:t>
      </w:r>
      <w:r>
        <w:rPr>
          <w:rFonts w:hint="eastAsia" w:ascii="宋体"/>
          <w:color w:val="FF0000"/>
          <w:kern w:val="0"/>
          <w:sz w:val="24"/>
          <w:lang w:eastAsia="zh-CN"/>
        </w:rPr>
        <w:t>（</w:t>
      </w:r>
      <w:r>
        <w:rPr>
          <w:rFonts w:hint="eastAsia" w:ascii="宋体"/>
          <w:color w:val="FF0000"/>
          <w:kern w:val="0"/>
          <w:sz w:val="24"/>
        </w:rPr>
        <w:t>男性应为60周岁以下，女性应为50周岁以下</w:t>
      </w:r>
      <w:r>
        <w:rPr>
          <w:rFonts w:hint="eastAsia" w:ascii="宋体"/>
          <w:color w:val="FF0000"/>
          <w:kern w:val="0"/>
          <w:sz w:val="24"/>
          <w:lang w:eastAsia="zh-CN"/>
        </w:rPr>
        <w:t>）</w:t>
      </w:r>
      <w:r>
        <w:rPr>
          <w:rFonts w:hint="eastAsia" w:ascii="宋体"/>
          <w:color w:val="FF0000"/>
          <w:kern w:val="0"/>
          <w:sz w:val="24"/>
        </w:rPr>
        <w:t>，</w:t>
      </w:r>
      <w:r>
        <w:rPr>
          <w:rFonts w:hint="eastAsia" w:ascii="宋体"/>
          <w:color w:val="FF0000"/>
          <w:kern w:val="0"/>
          <w:sz w:val="24"/>
          <w:lang w:val="en-US" w:eastAsia="zh-CN"/>
        </w:rPr>
        <w:t>结合本项目的投标承诺，</w:t>
      </w:r>
      <w:r>
        <w:rPr>
          <w:rFonts w:hint="eastAsia" w:ascii="宋体"/>
          <w:kern w:val="0"/>
          <w:sz w:val="24"/>
        </w:rPr>
        <w:t>优化作业人员年龄结构。</w:t>
      </w:r>
    </w:p>
    <w:p>
      <w:pPr>
        <w:spacing w:line="500" w:lineRule="exact"/>
        <w:ind w:firstLine="480" w:firstLineChars="200"/>
        <w:jc w:val="left"/>
        <w:rPr>
          <w:rFonts w:ascii="宋体"/>
          <w:kern w:val="0"/>
          <w:sz w:val="24"/>
        </w:rPr>
      </w:pPr>
      <w:r>
        <w:rPr>
          <w:rFonts w:hint="eastAsia" w:ascii="宋体"/>
          <w:kern w:val="0"/>
          <w:sz w:val="24"/>
        </w:rPr>
        <w:t>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pPr>
        <w:spacing w:line="500" w:lineRule="exact"/>
        <w:ind w:firstLine="480" w:firstLineChars="200"/>
        <w:jc w:val="left"/>
        <w:rPr>
          <w:rFonts w:ascii="宋体"/>
          <w:kern w:val="0"/>
          <w:sz w:val="24"/>
        </w:rPr>
      </w:pPr>
      <w:r>
        <w:rPr>
          <w:rFonts w:hint="eastAsia" w:ascii="宋体"/>
          <w:kern w:val="0"/>
          <w:sz w:val="24"/>
        </w:rPr>
        <w:t>7、加强作业车辆管理，中标单位应加强作业车辆的日常管理，确保专车专用，遵守交通规则，文明行驶，安全行驶。</w:t>
      </w:r>
    </w:p>
    <w:p>
      <w:pPr>
        <w:spacing w:line="500" w:lineRule="exact"/>
        <w:ind w:firstLine="480" w:firstLineChars="200"/>
        <w:jc w:val="left"/>
        <w:rPr>
          <w:rFonts w:ascii="宋体"/>
          <w:kern w:val="0"/>
          <w:sz w:val="24"/>
        </w:rPr>
      </w:pPr>
      <w:r>
        <w:rPr>
          <w:rFonts w:hint="eastAsia" w:ascii="宋体"/>
          <w:kern w:val="0"/>
          <w:sz w:val="24"/>
        </w:rPr>
        <w:t>8、建设信息化的环卫作业管理系统，推动环卫作业管理的智慧化、科学化，进一步提高环卫作业的效率，规范作业流程，提升服务质量。例如：录入所有作业人员及车辆详细信息，通过GPS定位和作业轨迹记录系统，实时监控和记录所有一线作业人员和车辆的在岗情况、作业时间、作业轨迹和作业频次，加强人员、车辆的在岗管理；通过科学的方法，收集和分析区域内各类垃圾的分布状况，科学调度垃圾清运力量，确保垃圾清运时效；通过即时指挥系统，确保卫生问题及时处置；通过数据分享，向采购人传递所有环卫作业管理信息，确保采购人能够随时掌握保洁服务动态，及时对保洁情况与质量进行监管和处置等等。</w:t>
      </w:r>
    </w:p>
    <w:p>
      <w:pPr>
        <w:tabs>
          <w:tab w:val="left" w:pos="0"/>
        </w:tabs>
        <w:spacing w:before="156" w:beforeLines="50" w:after="156" w:afterLines="50" w:line="360" w:lineRule="auto"/>
        <w:ind w:left="420" w:leftChars="200"/>
        <w:rPr>
          <w:rFonts w:ascii="宋体"/>
          <w:kern w:val="0"/>
          <w:sz w:val="24"/>
        </w:rPr>
      </w:pPr>
      <w:r>
        <w:rPr>
          <w:rFonts w:hint="eastAsia" w:ascii="宋体"/>
          <w:kern w:val="0"/>
          <w:sz w:val="24"/>
        </w:rPr>
        <w:t>9、管理团队人员每日在岗，做好在岗签到和工作记录。</w:t>
      </w:r>
    </w:p>
    <w:p>
      <w:pPr>
        <w:tabs>
          <w:tab w:val="left" w:pos="0"/>
        </w:tabs>
        <w:spacing w:before="156" w:beforeLines="50" w:after="156" w:afterLines="50" w:line="360" w:lineRule="auto"/>
        <w:ind w:left="420" w:leftChars="200"/>
        <w:rPr>
          <w:rFonts w:ascii="宋体" w:hAnsi="宋体" w:cs="宋体"/>
          <w:b/>
          <w:sz w:val="24"/>
        </w:rPr>
      </w:pPr>
      <w:r>
        <w:rPr>
          <w:rFonts w:hint="eastAsia" w:ascii="宋体" w:hAnsi="宋体" w:cs="宋体"/>
          <w:b/>
          <w:sz w:val="24"/>
        </w:rPr>
        <w:t>六、人员编制</w:t>
      </w:r>
    </w:p>
    <w:p>
      <w:pPr>
        <w:tabs>
          <w:tab w:val="left" w:pos="0"/>
        </w:tabs>
        <w:spacing w:before="156" w:beforeLines="50" w:after="156" w:afterLines="50" w:line="360" w:lineRule="auto"/>
        <w:ind w:firstLine="480" w:firstLineChars="200"/>
        <w:rPr>
          <w:rFonts w:ascii="宋体" w:hAnsi="宋体"/>
          <w:sz w:val="24"/>
        </w:rPr>
      </w:pPr>
      <w:r>
        <w:rPr>
          <w:rFonts w:hint="eastAsia" w:ascii="宋体"/>
          <w:kern w:val="0"/>
          <w:sz w:val="24"/>
        </w:rPr>
        <w:t>要求按时完成作业任务，保证作业质量。配备人员每天不少于40名。保洁人员须符合国家有关法律规定，身体健康，严格落实一线作业人员年龄结构，提升服务质量，本次项目所需的作业人员均由中标单位自行招聘，所招聘的人员必须在规定年龄以内</w:t>
      </w:r>
      <w:r>
        <w:rPr>
          <w:rFonts w:hint="eastAsia" w:ascii="宋体" w:hAnsi="宋体"/>
          <w:color w:val="FF0000"/>
          <w:kern w:val="2"/>
          <w:szCs w:val="24"/>
          <w:highlight w:val="none"/>
          <w:lang w:eastAsia="zh-CN"/>
        </w:rPr>
        <w:t>（</w:t>
      </w:r>
      <w:r>
        <w:rPr>
          <w:rFonts w:hint="eastAsia" w:ascii="宋体" w:hAnsi="宋体"/>
          <w:color w:val="FF0000"/>
          <w:kern w:val="2"/>
          <w:szCs w:val="24"/>
          <w:highlight w:val="none"/>
        </w:rPr>
        <w:t>男性应为60周岁以下，女性应为50周岁以下</w:t>
      </w:r>
      <w:r>
        <w:rPr>
          <w:rFonts w:hint="eastAsia" w:ascii="宋体" w:hAnsi="宋体"/>
          <w:color w:val="FF0000"/>
          <w:kern w:val="2"/>
          <w:szCs w:val="24"/>
          <w:highlight w:val="none"/>
          <w:lang w:eastAsia="zh-CN"/>
        </w:rPr>
        <w:t>）</w:t>
      </w:r>
      <w:r>
        <w:rPr>
          <w:rFonts w:hint="eastAsia" w:ascii="宋体"/>
          <w:kern w:val="0"/>
          <w:sz w:val="24"/>
        </w:rPr>
        <w:t>，</w:t>
      </w:r>
      <w:r>
        <w:rPr>
          <w:rFonts w:hint="eastAsia" w:ascii="宋体" w:hAnsi="宋体"/>
          <w:color w:val="FF0000"/>
          <w:kern w:val="2"/>
          <w:szCs w:val="24"/>
          <w:highlight w:val="none"/>
          <w:lang w:val="en-US" w:eastAsia="zh-CN"/>
        </w:rPr>
        <w:t>结合本项目的投标承诺，</w:t>
      </w:r>
      <w:r>
        <w:rPr>
          <w:rFonts w:hint="eastAsia" w:ascii="宋体"/>
          <w:kern w:val="0"/>
          <w:sz w:val="24"/>
        </w:rPr>
        <w:t>优化作业人员年龄结构。每日安排晚上值班人员，应对突发事件，如交通事故事发现场的清扫等。</w:t>
      </w:r>
      <w:r>
        <w:rPr>
          <w:rFonts w:hint="eastAsia" w:ascii="宋体" w:hAnsi="宋体"/>
          <w:sz w:val="24"/>
        </w:rPr>
        <w:t>保洁人员须符合国家有关法律规定，身体健康，并按月按时发放清扫保洁人员工资、不发生拖欠</w:t>
      </w:r>
      <w:r>
        <w:rPr>
          <w:rFonts w:hint="eastAsia" w:ascii="宋体" w:hAnsi="宋体"/>
          <w:b/>
          <w:sz w:val="24"/>
        </w:rPr>
        <w:t>。</w:t>
      </w:r>
      <w:r>
        <w:rPr>
          <w:rFonts w:hint="eastAsia" w:ascii="宋体" w:hAnsi="宋体"/>
          <w:sz w:val="24"/>
        </w:rPr>
        <w:t>同时按规定发放各类补贴。在中标后</w:t>
      </w:r>
      <w:r>
        <w:rPr>
          <w:rFonts w:ascii="宋体" w:hAnsi="宋体"/>
          <w:sz w:val="24"/>
        </w:rPr>
        <w:t>15</w:t>
      </w:r>
      <w:r>
        <w:rPr>
          <w:rFonts w:hint="eastAsia" w:ascii="宋体" w:hAnsi="宋体"/>
          <w:sz w:val="24"/>
        </w:rPr>
        <w:t>个工作日内给每位保洁作业人员办理好意外保险手续。</w:t>
      </w:r>
    </w:p>
    <w:p>
      <w:pPr>
        <w:tabs>
          <w:tab w:val="left" w:pos="0"/>
        </w:tabs>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七、违约责任</w:t>
      </w:r>
    </w:p>
    <w:p>
      <w:pPr>
        <w:spacing w:line="460" w:lineRule="exact"/>
        <w:ind w:left="239" w:leftChars="114" w:firstLine="480" w:firstLineChars="200"/>
        <w:jc w:val="left"/>
        <w:rPr>
          <w:rFonts w:ascii="宋体"/>
          <w:kern w:val="0"/>
          <w:sz w:val="24"/>
        </w:rPr>
      </w:pPr>
      <w:r>
        <w:rPr>
          <w:rFonts w:hint="eastAsia" w:ascii="宋体"/>
          <w:kern w:val="0"/>
          <w:sz w:val="24"/>
        </w:rPr>
        <w:t>1、如需方未按合同规定期限向供方付费，经供方催讨后仍未支付时，对逾期未付的费用每逾期一天，按应付金额的3‰支付滞纳金（双方有争议除外）。</w:t>
      </w:r>
    </w:p>
    <w:p>
      <w:pPr>
        <w:spacing w:line="460" w:lineRule="exact"/>
        <w:ind w:left="239" w:leftChars="114" w:firstLine="480" w:firstLineChars="200"/>
        <w:jc w:val="left"/>
        <w:rPr>
          <w:rFonts w:ascii="宋体"/>
          <w:kern w:val="0"/>
          <w:sz w:val="24"/>
        </w:rPr>
      </w:pPr>
      <w:r>
        <w:rPr>
          <w:rFonts w:hint="eastAsia" w:ascii="宋体"/>
          <w:kern w:val="0"/>
          <w:sz w:val="24"/>
        </w:rPr>
        <w:t>2、如供方未能按合同要求进行服务（按考核标准）给需方造成恶劣影响和损失时，需方有权向供方收取剩余合同金额3‰的违约金。</w:t>
      </w:r>
    </w:p>
    <w:p>
      <w:pPr>
        <w:tabs>
          <w:tab w:val="left" w:pos="0"/>
        </w:tabs>
        <w:spacing w:before="156" w:beforeLines="50" w:after="156" w:afterLines="50" w:line="360" w:lineRule="auto"/>
        <w:ind w:left="420" w:leftChars="200"/>
        <w:rPr>
          <w:rFonts w:ascii="宋体" w:hAnsi="宋体" w:cs="宋体"/>
          <w:b/>
          <w:color w:val="auto"/>
          <w:sz w:val="24"/>
        </w:rPr>
      </w:pPr>
      <w:r>
        <w:rPr>
          <w:rFonts w:hint="eastAsia" w:ascii="宋体" w:hAnsi="宋体" w:cs="宋体"/>
          <w:b/>
          <w:color w:val="auto"/>
          <w:sz w:val="24"/>
        </w:rPr>
        <w:t>八、附则</w:t>
      </w:r>
    </w:p>
    <w:p>
      <w:pPr>
        <w:spacing w:line="460" w:lineRule="exact"/>
        <w:ind w:firstLine="480" w:firstLineChars="200"/>
        <w:jc w:val="left"/>
        <w:rPr>
          <w:rFonts w:ascii="宋体"/>
          <w:color w:val="auto"/>
          <w:kern w:val="0"/>
          <w:sz w:val="24"/>
        </w:rPr>
      </w:pPr>
      <w:r>
        <w:rPr>
          <w:rFonts w:hint="eastAsia" w:ascii="宋体"/>
          <w:color w:val="auto"/>
          <w:kern w:val="0"/>
          <w:sz w:val="24"/>
        </w:rPr>
        <w:t>在本项目服务期内，如有保洁面积增减，在不改变合同其他条款的前提下，减少面积应在计量时按实核减，增加面积采购人可以与供应商协商签订补充合同，保洁人员及增加面积按实调整，单价按原中标单位的商务标进行调整，合同履约保证金不作调整。</w:t>
      </w:r>
    </w:p>
    <w:p>
      <w:pPr>
        <w:tabs>
          <w:tab w:val="left" w:pos="0"/>
        </w:tabs>
        <w:spacing w:before="156" w:beforeLines="50" w:after="156" w:afterLines="50" w:line="360" w:lineRule="auto"/>
        <w:ind w:left="420" w:leftChars="200"/>
        <w:rPr>
          <w:rFonts w:ascii="宋体" w:hAnsi="宋体" w:cs="宋体"/>
          <w:b/>
          <w:sz w:val="24"/>
        </w:rPr>
      </w:pPr>
      <w:r>
        <w:rPr>
          <w:rFonts w:hint="eastAsia" w:ascii="宋体" w:hAnsi="宋体" w:cs="宋体"/>
          <w:b/>
          <w:sz w:val="24"/>
        </w:rPr>
        <w:t>九、合同的变更与终止</w:t>
      </w:r>
    </w:p>
    <w:p>
      <w:pPr>
        <w:spacing w:line="460" w:lineRule="exact"/>
        <w:ind w:firstLine="480" w:firstLineChars="200"/>
        <w:jc w:val="left"/>
        <w:rPr>
          <w:rFonts w:ascii="宋体"/>
          <w:kern w:val="0"/>
          <w:sz w:val="24"/>
        </w:rPr>
      </w:pPr>
      <w:r>
        <w:rPr>
          <w:rFonts w:hint="eastAsia" w:ascii="宋体"/>
          <w:kern w:val="0"/>
          <w:sz w:val="24"/>
        </w:rPr>
        <w:t>1、合同的变更与提前终止必须采用书面形式；</w:t>
      </w:r>
    </w:p>
    <w:p>
      <w:pPr>
        <w:spacing w:line="460" w:lineRule="exact"/>
        <w:ind w:firstLine="480" w:firstLineChars="200"/>
        <w:jc w:val="left"/>
        <w:rPr>
          <w:rFonts w:ascii="宋体"/>
          <w:kern w:val="0"/>
          <w:sz w:val="24"/>
        </w:rPr>
      </w:pPr>
      <w:r>
        <w:rPr>
          <w:rFonts w:hint="eastAsia" w:ascii="宋体"/>
          <w:kern w:val="0"/>
          <w:sz w:val="24"/>
        </w:rPr>
        <w:t>2、本合同规定的履行期限届满，合同自行终止；</w:t>
      </w:r>
    </w:p>
    <w:p>
      <w:pPr>
        <w:spacing w:line="460" w:lineRule="exact"/>
        <w:ind w:firstLine="480" w:firstLineChars="200"/>
        <w:jc w:val="left"/>
        <w:rPr>
          <w:rFonts w:ascii="宋体"/>
          <w:kern w:val="0"/>
          <w:sz w:val="24"/>
        </w:rPr>
      </w:pPr>
      <w:r>
        <w:rPr>
          <w:rFonts w:hint="eastAsia" w:ascii="宋体"/>
          <w:kern w:val="0"/>
          <w:sz w:val="24"/>
        </w:rPr>
        <w:t>3、在合同履行过程中，如遇不可抗的因素，双方协商以补充合同方式解决；</w:t>
      </w:r>
    </w:p>
    <w:p>
      <w:pPr>
        <w:spacing w:line="460" w:lineRule="exact"/>
        <w:ind w:firstLine="480" w:firstLineChars="200"/>
        <w:jc w:val="left"/>
        <w:rPr>
          <w:rFonts w:ascii="宋体"/>
          <w:kern w:val="0"/>
          <w:sz w:val="24"/>
        </w:rPr>
      </w:pPr>
      <w:r>
        <w:rPr>
          <w:rFonts w:hint="eastAsia" w:ascii="宋体"/>
          <w:kern w:val="0"/>
          <w:sz w:val="24"/>
        </w:rPr>
        <w:t>4、合同内容变更、提前终止必须提前一个月书面通知对方（合同签订首个月除外）。</w:t>
      </w:r>
    </w:p>
    <w:p>
      <w:pPr>
        <w:tabs>
          <w:tab w:val="left" w:pos="0"/>
        </w:tabs>
        <w:spacing w:before="156" w:beforeLines="50" w:after="156" w:afterLines="50" w:line="360" w:lineRule="auto"/>
        <w:ind w:left="420" w:leftChars="200"/>
        <w:rPr>
          <w:rFonts w:ascii="宋体" w:hAnsi="宋体" w:cs="宋体"/>
          <w:b/>
          <w:sz w:val="24"/>
        </w:rPr>
      </w:pPr>
      <w:r>
        <w:rPr>
          <w:rFonts w:hint="eastAsia" w:ascii="宋体" w:hAnsi="宋体" w:cs="宋体"/>
          <w:b/>
          <w:sz w:val="24"/>
        </w:rPr>
        <w:t>十、合同解除</w:t>
      </w:r>
    </w:p>
    <w:p>
      <w:pPr>
        <w:spacing w:line="460" w:lineRule="exact"/>
        <w:ind w:left="360" w:firstLine="540" w:firstLineChars="225"/>
        <w:jc w:val="left"/>
        <w:rPr>
          <w:rFonts w:ascii="宋体"/>
          <w:kern w:val="0"/>
          <w:sz w:val="24"/>
        </w:rPr>
      </w:pPr>
      <w:r>
        <w:rPr>
          <w:rFonts w:hint="eastAsia" w:ascii="宋体"/>
          <w:kern w:val="0"/>
          <w:sz w:val="24"/>
        </w:rPr>
        <w:t>1、合同签订后一个月内供方承诺的</w:t>
      </w:r>
      <w:r>
        <w:rPr>
          <w:rFonts w:hint="eastAsia" w:ascii="宋体"/>
          <w:color w:val="FF0000"/>
          <w:kern w:val="0"/>
          <w:sz w:val="24"/>
        </w:rPr>
        <w:t>作业人员</w:t>
      </w:r>
      <w:r>
        <w:rPr>
          <w:rFonts w:hint="eastAsia" w:ascii="宋体"/>
          <w:color w:val="FF0000"/>
          <w:kern w:val="0"/>
          <w:sz w:val="24"/>
          <w:lang w:eastAsia="zh-CN"/>
        </w:rPr>
        <w:t>、</w:t>
      </w:r>
      <w:r>
        <w:rPr>
          <w:rFonts w:hint="eastAsia" w:ascii="宋体"/>
          <w:color w:val="FF0000"/>
          <w:kern w:val="0"/>
          <w:sz w:val="24"/>
          <w:lang w:val="en-US" w:eastAsia="zh-CN"/>
        </w:rPr>
        <w:t>车辆、船只等</w:t>
      </w:r>
      <w:r>
        <w:rPr>
          <w:rFonts w:hint="eastAsia" w:ascii="宋体"/>
          <w:kern w:val="0"/>
          <w:sz w:val="24"/>
        </w:rPr>
        <w:t>不到位的，需方可以单方面解除合同，并罚没履约保证金，</w:t>
      </w:r>
      <w:r>
        <w:rPr>
          <w:rFonts w:hint="eastAsia"/>
          <w:sz w:val="24"/>
        </w:rPr>
        <w:t>若产生损失的可要求中标人赔偿相应损失</w:t>
      </w:r>
      <w:r>
        <w:rPr>
          <w:rFonts w:hint="eastAsia" w:ascii="宋体"/>
          <w:kern w:val="0"/>
          <w:sz w:val="24"/>
        </w:rPr>
        <w:t>；</w:t>
      </w:r>
    </w:p>
    <w:p>
      <w:pPr>
        <w:spacing w:line="500" w:lineRule="exact"/>
        <w:ind w:firstLine="720" w:firstLineChars="300"/>
        <w:jc w:val="left"/>
        <w:rPr>
          <w:rFonts w:ascii="宋体"/>
          <w:kern w:val="0"/>
          <w:sz w:val="24"/>
        </w:rPr>
      </w:pPr>
      <w:r>
        <w:rPr>
          <w:rFonts w:hint="eastAsia" w:ascii="宋体"/>
          <w:kern w:val="0"/>
          <w:sz w:val="24"/>
        </w:rPr>
        <w:t>2、供方在承包期内，因工作不力月度考核分低于80分的，向供方单位下发责令限期整改通知书，累计二个月度考核分低于80分的，将解除承包合同。</w:t>
      </w:r>
    </w:p>
    <w:p>
      <w:pPr>
        <w:tabs>
          <w:tab w:val="left" w:pos="0"/>
        </w:tabs>
        <w:spacing w:before="156" w:beforeLines="50" w:after="156" w:afterLines="50" w:line="360" w:lineRule="auto"/>
        <w:ind w:left="420" w:leftChars="200"/>
        <w:rPr>
          <w:rFonts w:ascii="宋体" w:hAnsi="宋体" w:cs="宋体"/>
          <w:b/>
          <w:sz w:val="24"/>
        </w:rPr>
      </w:pPr>
      <w:r>
        <w:rPr>
          <w:rFonts w:hint="eastAsia" w:ascii="宋体" w:hAnsi="宋体"/>
          <w:b/>
          <w:sz w:val="24"/>
        </w:rPr>
        <w:t>十一、仲裁与起诉</w:t>
      </w:r>
    </w:p>
    <w:p>
      <w:pPr>
        <w:spacing w:line="360" w:lineRule="auto"/>
        <w:ind w:left="420" w:leftChars="200"/>
      </w:pPr>
      <w:r>
        <w:rPr>
          <w:rFonts w:hint="eastAsia" w:ascii="宋体" w:hAnsi="宋体"/>
          <w:sz w:val="24"/>
        </w:rPr>
        <w:t>本合同项目所在地为上虞区，本合同发生争议产生的诉讼，可向项目所在地有管辖权的法院提起诉讼。</w:t>
      </w:r>
    </w:p>
    <w:p>
      <w:pPr>
        <w:tabs>
          <w:tab w:val="left" w:pos="0"/>
        </w:tabs>
        <w:spacing w:before="156" w:beforeLines="50" w:after="156" w:afterLines="50" w:line="360" w:lineRule="auto"/>
        <w:ind w:left="420" w:leftChars="200"/>
        <w:rPr>
          <w:rFonts w:ascii="宋体" w:hAnsi="宋体" w:cs="宋体"/>
          <w:b/>
          <w:sz w:val="24"/>
        </w:rPr>
      </w:pPr>
      <w:r>
        <w:rPr>
          <w:rFonts w:hint="eastAsia" w:ascii="宋体" w:hAnsi="宋体"/>
          <w:b/>
          <w:sz w:val="24"/>
        </w:rPr>
        <w:t>十二、合同生效及其他</w:t>
      </w:r>
    </w:p>
    <w:p>
      <w:pPr>
        <w:spacing w:line="460" w:lineRule="exact"/>
        <w:ind w:firstLine="480" w:firstLineChars="200"/>
        <w:rPr>
          <w:rFonts w:ascii="宋体" w:hAnsi="宋体"/>
          <w:sz w:val="24"/>
        </w:rPr>
      </w:pPr>
      <w:r>
        <w:rPr>
          <w:rFonts w:hint="eastAsia" w:ascii="宋体" w:hAnsi="宋体"/>
          <w:sz w:val="24"/>
        </w:rPr>
        <w:t>（1）合同经双方法定代表人或委托代理人签字并加盖单位公章后生效。</w:t>
      </w:r>
    </w:p>
    <w:p>
      <w:pPr>
        <w:spacing w:line="460" w:lineRule="exact"/>
        <w:ind w:firstLine="480" w:firstLineChars="200"/>
        <w:rPr>
          <w:rFonts w:ascii="宋体" w:hAnsi="宋体"/>
          <w:sz w:val="24"/>
        </w:rPr>
      </w:pPr>
      <w:r>
        <w:rPr>
          <w:rFonts w:hint="eastAsia" w:ascii="宋体" w:hAnsi="宋体"/>
          <w:sz w:val="24"/>
        </w:rPr>
        <w:t>（2）合同执行中，如需修改或补充合同内容，由双方协商另签署书面修改或补充协议为主合同不可分割的一部分。</w:t>
      </w:r>
    </w:p>
    <w:p>
      <w:pPr>
        <w:spacing w:line="460" w:lineRule="exact"/>
        <w:ind w:firstLine="480" w:firstLineChars="200"/>
        <w:rPr>
          <w:rFonts w:ascii="宋体" w:hAnsi="宋体"/>
          <w:sz w:val="24"/>
        </w:rPr>
      </w:pPr>
      <w:r>
        <w:rPr>
          <w:rFonts w:hint="eastAsia" w:ascii="宋体" w:hAnsi="宋体"/>
          <w:sz w:val="24"/>
        </w:rPr>
        <w:t>（3）本合同未尽事宜，双方可以增加条款或补充协议的形式加以补充，但增加或补充协议的条款不得对招标文件作实质性修改。补充协议与本合同具有相同的法律效力。</w:t>
      </w:r>
    </w:p>
    <w:p>
      <w:pPr>
        <w:pStyle w:val="15"/>
        <w:snapToGrid w:val="0"/>
        <w:spacing w:line="360" w:lineRule="auto"/>
        <w:ind w:firstLine="410" w:firstLineChars="171"/>
      </w:pPr>
      <w:r>
        <w:rPr>
          <w:rFonts w:hint="eastAsia" w:hAnsi="宋体"/>
          <w:sz w:val="24"/>
        </w:rPr>
        <w:t>（4）</w:t>
      </w:r>
      <w:r>
        <w:rPr>
          <w:rFonts w:ascii="Verdana" w:hAnsi="Verdana" w:cs="Arial"/>
          <w:kern w:val="0"/>
          <w:sz w:val="24"/>
        </w:rPr>
        <w:t>合同双方确认，本合同及合同约定的其它文件组成部分中的各项约定都是通过法定招标过程形成的合法成果，如果</w:t>
      </w:r>
      <w:r>
        <w:rPr>
          <w:rFonts w:hint="eastAsia" w:ascii="Verdana" w:hAnsi="Verdana" w:cs="Arial"/>
          <w:kern w:val="0"/>
          <w:sz w:val="24"/>
        </w:rPr>
        <w:t>中标单位的投标文件与招标文件要求不一致的，履约时应以有利于采购人的条款执行</w:t>
      </w:r>
      <w:r>
        <w:rPr>
          <w:rFonts w:ascii="Verdana" w:hAnsi="Verdana" w:cs="Arial"/>
          <w:kern w:val="0"/>
          <w:sz w:val="24"/>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15"/>
        <w:snapToGrid w:val="0"/>
        <w:spacing w:line="360" w:lineRule="auto"/>
        <w:ind w:firstLine="410" w:firstLineChars="171"/>
        <w:rPr>
          <w:rFonts w:ascii="Verdana" w:hAnsi="Verdana" w:cs="Arial"/>
          <w:kern w:val="0"/>
          <w:sz w:val="24"/>
        </w:rPr>
      </w:pPr>
      <w:r>
        <w:rPr>
          <w:rFonts w:hint="eastAsia" w:ascii="Verdana" w:hAnsi="Verdana" w:cs="Arial"/>
          <w:kern w:val="0"/>
          <w:sz w:val="24"/>
        </w:rPr>
        <w:t>（5）本合同一式　肆 份，甲方和乙方各执　贰　份。</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330"/>
        <w:gridCol w:w="161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kern w:val="0"/>
                <w:sz w:val="24"/>
              </w:rPr>
            </w:pPr>
            <w:r>
              <w:rPr>
                <w:rFonts w:hint="eastAsia" w:ascii="宋体" w:hAnsi="宋体" w:cs="宋体"/>
                <w:kern w:val="0"/>
                <w:sz w:val="24"/>
              </w:rPr>
              <w:t>甲方</w:t>
            </w:r>
          </w:p>
        </w:tc>
        <w:tc>
          <w:tcPr>
            <w:tcW w:w="2330" w:type="dxa"/>
            <w:noWrap/>
            <w:vAlign w:val="center"/>
          </w:tcPr>
          <w:p>
            <w:pPr>
              <w:spacing w:line="360" w:lineRule="auto"/>
              <w:jc w:val="center"/>
              <w:rPr>
                <w:rFonts w:ascii="宋体" w:hAnsi="宋体" w:cs="宋体"/>
                <w:kern w:val="0"/>
                <w:sz w:val="24"/>
              </w:rPr>
            </w:pPr>
            <w:r>
              <w:rPr>
                <w:rFonts w:hint="eastAsia" w:ascii="宋体" w:hAnsi="宋体" w:cs="宋体"/>
                <w:kern w:val="0"/>
                <w:sz w:val="24"/>
              </w:rPr>
              <w:t>（盖章）</w:t>
            </w:r>
          </w:p>
        </w:tc>
        <w:tc>
          <w:tcPr>
            <w:tcW w:w="1612" w:type="dxa"/>
            <w:noWrap/>
            <w:vAlign w:val="center"/>
          </w:tcPr>
          <w:p>
            <w:pPr>
              <w:spacing w:line="360" w:lineRule="auto"/>
              <w:jc w:val="center"/>
              <w:rPr>
                <w:rFonts w:ascii="宋体" w:hAnsi="宋体" w:cs="宋体"/>
                <w:kern w:val="0"/>
                <w:sz w:val="24"/>
              </w:rPr>
            </w:pPr>
            <w:r>
              <w:rPr>
                <w:rFonts w:hint="eastAsia" w:ascii="宋体" w:hAnsi="宋体" w:cs="宋体"/>
                <w:kern w:val="0"/>
                <w:sz w:val="24"/>
              </w:rPr>
              <w:t>乙方</w:t>
            </w:r>
          </w:p>
        </w:tc>
        <w:tc>
          <w:tcPr>
            <w:tcW w:w="2686" w:type="dxa"/>
            <w:noWrap/>
            <w:vAlign w:val="center"/>
          </w:tcPr>
          <w:p>
            <w:pPr>
              <w:spacing w:line="360" w:lineRule="auto"/>
              <w:jc w:val="center"/>
              <w:rPr>
                <w:rFonts w:ascii="宋体" w:hAnsi="宋体" w:cs="宋体"/>
                <w:kern w:val="0"/>
                <w:sz w:val="24"/>
              </w:rPr>
            </w:pPr>
            <w:r>
              <w:rPr>
                <w:rFonts w:hint="eastAsia" w:ascii="宋体" w:hAnsi="宋体" w:cs="宋体"/>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kern w:val="0"/>
                <w:sz w:val="24"/>
              </w:rPr>
            </w:pPr>
            <w:r>
              <w:rPr>
                <w:rFonts w:hint="eastAsia" w:ascii="宋体" w:hAnsi="宋体" w:cs="宋体"/>
                <w:kern w:val="0"/>
                <w:sz w:val="24"/>
              </w:rPr>
              <w:t>代表签名</w:t>
            </w:r>
          </w:p>
        </w:tc>
        <w:tc>
          <w:tcPr>
            <w:tcW w:w="2330" w:type="dxa"/>
            <w:noWrap/>
            <w:vAlign w:val="center"/>
          </w:tcPr>
          <w:p>
            <w:pPr>
              <w:spacing w:line="360" w:lineRule="auto"/>
              <w:jc w:val="center"/>
              <w:rPr>
                <w:rFonts w:ascii="宋体" w:hAnsi="宋体" w:cs="宋体"/>
                <w:kern w:val="0"/>
                <w:sz w:val="24"/>
              </w:rPr>
            </w:pPr>
          </w:p>
        </w:tc>
        <w:tc>
          <w:tcPr>
            <w:tcW w:w="1612" w:type="dxa"/>
            <w:noWrap/>
            <w:vAlign w:val="center"/>
          </w:tcPr>
          <w:p>
            <w:pPr>
              <w:spacing w:line="360" w:lineRule="auto"/>
              <w:jc w:val="center"/>
              <w:rPr>
                <w:rFonts w:ascii="宋体" w:hAnsi="宋体" w:cs="宋体"/>
                <w:kern w:val="0"/>
                <w:sz w:val="24"/>
              </w:rPr>
            </w:pPr>
            <w:r>
              <w:rPr>
                <w:rFonts w:hint="eastAsia" w:ascii="宋体" w:hAnsi="宋体" w:cs="宋体"/>
                <w:kern w:val="0"/>
                <w:sz w:val="24"/>
              </w:rPr>
              <w:t>代表签名</w:t>
            </w:r>
          </w:p>
        </w:tc>
        <w:tc>
          <w:tcPr>
            <w:tcW w:w="2686" w:type="dxa"/>
            <w:noWrap/>
            <w:vAlign w:val="center"/>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kern w:val="0"/>
                <w:sz w:val="24"/>
              </w:rPr>
            </w:pPr>
            <w:r>
              <w:rPr>
                <w:rFonts w:hint="eastAsia" w:ascii="宋体" w:hAnsi="宋体" w:cs="宋体"/>
                <w:kern w:val="0"/>
                <w:sz w:val="24"/>
              </w:rPr>
              <w:t>地址</w:t>
            </w:r>
          </w:p>
        </w:tc>
        <w:tc>
          <w:tcPr>
            <w:tcW w:w="2330" w:type="dxa"/>
            <w:noWrap/>
            <w:vAlign w:val="center"/>
          </w:tcPr>
          <w:p>
            <w:pPr>
              <w:spacing w:line="360" w:lineRule="auto"/>
              <w:jc w:val="center"/>
              <w:rPr>
                <w:rFonts w:ascii="宋体" w:hAnsi="宋体" w:cs="宋体"/>
                <w:kern w:val="0"/>
                <w:sz w:val="24"/>
              </w:rPr>
            </w:pPr>
          </w:p>
        </w:tc>
        <w:tc>
          <w:tcPr>
            <w:tcW w:w="1612" w:type="dxa"/>
            <w:noWrap/>
            <w:vAlign w:val="center"/>
          </w:tcPr>
          <w:p>
            <w:pPr>
              <w:spacing w:line="360" w:lineRule="auto"/>
              <w:jc w:val="center"/>
              <w:rPr>
                <w:rFonts w:ascii="宋体" w:hAnsi="宋体" w:cs="宋体"/>
                <w:kern w:val="0"/>
                <w:sz w:val="24"/>
              </w:rPr>
            </w:pPr>
            <w:r>
              <w:rPr>
                <w:rFonts w:hint="eastAsia" w:ascii="宋体" w:hAnsi="宋体" w:cs="宋体"/>
                <w:kern w:val="0"/>
                <w:sz w:val="24"/>
              </w:rPr>
              <w:t>地址</w:t>
            </w:r>
          </w:p>
        </w:tc>
        <w:tc>
          <w:tcPr>
            <w:tcW w:w="2686" w:type="dxa"/>
            <w:noWrap/>
            <w:vAlign w:val="center"/>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kern w:val="0"/>
                <w:sz w:val="24"/>
              </w:rPr>
            </w:pPr>
            <w:r>
              <w:rPr>
                <w:rFonts w:hint="eastAsia" w:ascii="宋体" w:hAnsi="宋体" w:cs="宋体"/>
                <w:kern w:val="0"/>
                <w:sz w:val="24"/>
              </w:rPr>
              <w:t>电话</w:t>
            </w:r>
          </w:p>
        </w:tc>
        <w:tc>
          <w:tcPr>
            <w:tcW w:w="2330" w:type="dxa"/>
            <w:noWrap/>
            <w:vAlign w:val="center"/>
          </w:tcPr>
          <w:p>
            <w:pPr>
              <w:spacing w:line="360" w:lineRule="auto"/>
              <w:jc w:val="center"/>
              <w:rPr>
                <w:rFonts w:ascii="宋体" w:hAnsi="宋体" w:cs="宋体"/>
                <w:kern w:val="0"/>
                <w:sz w:val="24"/>
              </w:rPr>
            </w:pPr>
          </w:p>
        </w:tc>
        <w:tc>
          <w:tcPr>
            <w:tcW w:w="1612" w:type="dxa"/>
            <w:noWrap/>
            <w:vAlign w:val="center"/>
          </w:tcPr>
          <w:p>
            <w:pPr>
              <w:spacing w:line="360" w:lineRule="auto"/>
              <w:jc w:val="center"/>
              <w:rPr>
                <w:rFonts w:ascii="宋体" w:hAnsi="宋体" w:cs="宋体"/>
                <w:kern w:val="0"/>
                <w:sz w:val="24"/>
              </w:rPr>
            </w:pPr>
            <w:r>
              <w:rPr>
                <w:rFonts w:hint="eastAsia" w:ascii="宋体" w:hAnsi="宋体" w:cs="宋体"/>
                <w:kern w:val="0"/>
                <w:sz w:val="24"/>
              </w:rPr>
              <w:t>电话</w:t>
            </w:r>
          </w:p>
        </w:tc>
        <w:tc>
          <w:tcPr>
            <w:tcW w:w="2686" w:type="dxa"/>
            <w:noWrap/>
            <w:vAlign w:val="center"/>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kern w:val="0"/>
                <w:sz w:val="24"/>
              </w:rPr>
            </w:pPr>
            <w:r>
              <w:rPr>
                <w:rFonts w:hint="eastAsia" w:ascii="宋体" w:hAnsi="宋体" w:cs="宋体"/>
                <w:kern w:val="0"/>
                <w:sz w:val="24"/>
              </w:rPr>
              <w:t>开户银行</w:t>
            </w:r>
          </w:p>
        </w:tc>
        <w:tc>
          <w:tcPr>
            <w:tcW w:w="2330" w:type="dxa"/>
            <w:noWrap/>
            <w:vAlign w:val="center"/>
          </w:tcPr>
          <w:p>
            <w:pPr>
              <w:spacing w:line="360" w:lineRule="auto"/>
              <w:jc w:val="center"/>
              <w:rPr>
                <w:rFonts w:ascii="宋体" w:hAnsi="宋体" w:cs="宋体"/>
                <w:kern w:val="0"/>
                <w:sz w:val="24"/>
              </w:rPr>
            </w:pPr>
          </w:p>
        </w:tc>
        <w:tc>
          <w:tcPr>
            <w:tcW w:w="1612" w:type="dxa"/>
            <w:noWrap/>
            <w:vAlign w:val="center"/>
          </w:tcPr>
          <w:p>
            <w:pPr>
              <w:spacing w:line="360" w:lineRule="auto"/>
              <w:jc w:val="center"/>
              <w:rPr>
                <w:rFonts w:ascii="宋体" w:hAnsi="宋体" w:cs="宋体"/>
                <w:kern w:val="0"/>
                <w:sz w:val="24"/>
              </w:rPr>
            </w:pPr>
            <w:r>
              <w:rPr>
                <w:rFonts w:hint="eastAsia" w:ascii="宋体" w:hAnsi="宋体" w:cs="宋体"/>
                <w:kern w:val="0"/>
                <w:sz w:val="24"/>
              </w:rPr>
              <w:t>开户银行</w:t>
            </w:r>
          </w:p>
        </w:tc>
        <w:tc>
          <w:tcPr>
            <w:tcW w:w="2686" w:type="dxa"/>
            <w:noWrap/>
            <w:vAlign w:val="center"/>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kern w:val="0"/>
                <w:sz w:val="24"/>
              </w:rPr>
            </w:pPr>
            <w:r>
              <w:rPr>
                <w:rFonts w:hint="eastAsia" w:ascii="宋体" w:hAnsi="宋体" w:cs="宋体"/>
                <w:kern w:val="0"/>
                <w:sz w:val="24"/>
              </w:rPr>
              <w:t>帐号</w:t>
            </w:r>
          </w:p>
        </w:tc>
        <w:tc>
          <w:tcPr>
            <w:tcW w:w="2330" w:type="dxa"/>
            <w:noWrap/>
            <w:vAlign w:val="center"/>
          </w:tcPr>
          <w:p>
            <w:pPr>
              <w:spacing w:line="360" w:lineRule="auto"/>
              <w:jc w:val="center"/>
              <w:rPr>
                <w:rFonts w:ascii="宋体" w:hAnsi="宋体" w:cs="宋体"/>
                <w:kern w:val="0"/>
                <w:sz w:val="24"/>
              </w:rPr>
            </w:pPr>
          </w:p>
        </w:tc>
        <w:tc>
          <w:tcPr>
            <w:tcW w:w="1612" w:type="dxa"/>
            <w:noWrap/>
            <w:vAlign w:val="center"/>
          </w:tcPr>
          <w:p>
            <w:pPr>
              <w:spacing w:line="360" w:lineRule="auto"/>
              <w:jc w:val="center"/>
              <w:rPr>
                <w:rFonts w:ascii="宋体" w:hAnsi="宋体" w:cs="宋体"/>
                <w:kern w:val="0"/>
                <w:sz w:val="24"/>
              </w:rPr>
            </w:pPr>
            <w:r>
              <w:rPr>
                <w:rFonts w:hint="eastAsia" w:ascii="宋体" w:hAnsi="宋体" w:cs="宋体"/>
                <w:kern w:val="0"/>
                <w:sz w:val="24"/>
              </w:rPr>
              <w:t>帐号</w:t>
            </w:r>
          </w:p>
        </w:tc>
        <w:tc>
          <w:tcPr>
            <w:tcW w:w="2686" w:type="dxa"/>
            <w:noWrap/>
            <w:vAlign w:val="center"/>
          </w:tcPr>
          <w:p>
            <w:pPr>
              <w:spacing w:line="360" w:lineRule="auto"/>
              <w:jc w:val="center"/>
              <w:rPr>
                <w:rFonts w:ascii="宋体" w:hAnsi="宋体" w:cs="宋体"/>
                <w:kern w:val="0"/>
                <w:sz w:val="24"/>
              </w:rPr>
            </w:pPr>
          </w:p>
        </w:tc>
      </w:tr>
    </w:tbl>
    <w:p>
      <w:pPr>
        <w:rPr>
          <w:sz w:val="24"/>
          <w:szCs w:val="24"/>
        </w:rPr>
      </w:pPr>
    </w:p>
    <w:p>
      <w:pPr>
        <w:rPr>
          <w:rFonts w:hint="eastAsia" w:ascii="宋体" w:hAnsi="宋体" w:cs="宋体"/>
          <w:b/>
          <w:sz w:val="36"/>
          <w:szCs w:val="36"/>
        </w:rPr>
      </w:pPr>
      <w:bookmarkStart w:id="444" w:name="_Toc2226"/>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第六部分</w:t>
      </w:r>
      <w:bookmarkEnd w:id="436"/>
      <w:bookmarkEnd w:id="437"/>
      <w:r>
        <w:rPr>
          <w:rFonts w:hint="eastAsia" w:ascii="宋体" w:hAnsi="宋体" w:cs="宋体"/>
          <w:b/>
          <w:sz w:val="36"/>
          <w:szCs w:val="36"/>
        </w:rPr>
        <w:t>应提交的有关格式范例</w:t>
      </w:r>
      <w:bookmarkEnd w:id="444"/>
    </w:p>
    <w:p>
      <w:pPr>
        <w:spacing w:line="360" w:lineRule="auto"/>
        <w:ind w:firstLine="480" w:firstLineChars="200"/>
        <w:outlineLvl w:val="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投标人按照以下格式编制投标文件，并将资格文件、商务技术文件、报价文件分别上传，并与招标文件的评分要点准确设置关联点。</w:t>
      </w:r>
    </w:p>
    <w:p>
      <w:pPr>
        <w:spacing w:line="360" w:lineRule="auto"/>
        <w:ind w:firstLine="482" w:firstLineChars="200"/>
        <w:rPr>
          <w:rFonts w:ascii="宋体" w:hAnsi="宋体" w:cs="宋体"/>
          <w:b/>
          <w:sz w:val="24"/>
        </w:rPr>
      </w:pPr>
      <w:r>
        <w:rPr>
          <w:rFonts w:hint="eastAsia" w:ascii="宋体" w:hAnsi="宋体" w:cs="宋体"/>
          <w:b/>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ascii="宋体" w:hAnsi="宋体" w:cs="宋体"/>
          <w:b/>
          <w:kern w:val="0"/>
          <w:sz w:val="36"/>
          <w:szCs w:val="36"/>
        </w:rPr>
      </w:pPr>
      <w:r>
        <w:rPr>
          <w:rFonts w:hint="eastAsia" w:ascii="宋体" w:hAnsi="宋体" w:cs="宋体"/>
          <w:b/>
          <w:sz w:val="24"/>
        </w:rPr>
        <w:br w:type="page"/>
      </w: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480" w:firstLineChars="200"/>
        <w:rPr>
          <w:rFonts w:ascii="宋体" w:hAnsi="宋体" w:cs="宋体"/>
          <w:sz w:val="24"/>
        </w:rPr>
      </w:pPr>
      <w:r>
        <w:rPr>
          <w:rFonts w:hint="eastAsia" w:ascii="宋体" w:hAnsi="宋体" w:cs="宋体"/>
          <w:sz w:val="24"/>
        </w:rPr>
        <w:t>（1）法定代表人授权书；（格式见附件）</w:t>
      </w:r>
    </w:p>
    <w:p>
      <w:pPr>
        <w:spacing w:line="360" w:lineRule="auto"/>
        <w:ind w:firstLine="480" w:firstLineChars="200"/>
        <w:rPr>
          <w:rFonts w:ascii="宋体" w:hAnsi="宋体" w:cs="宋体"/>
          <w:sz w:val="24"/>
        </w:rPr>
      </w:pPr>
      <w:r>
        <w:rPr>
          <w:rFonts w:hint="eastAsia" w:ascii="宋体" w:hAnsi="宋体" w:cs="宋体"/>
          <w:sz w:val="24"/>
        </w:rPr>
        <w:t>（2）声明书；（格式见附件）</w:t>
      </w:r>
    </w:p>
    <w:p>
      <w:pPr>
        <w:spacing w:line="360" w:lineRule="auto"/>
        <w:ind w:firstLine="480" w:firstLineChars="200"/>
        <w:rPr>
          <w:rFonts w:ascii="宋体" w:hAnsi="宋体" w:cs="宋体"/>
          <w:sz w:val="24"/>
        </w:rPr>
      </w:pPr>
      <w:r>
        <w:rPr>
          <w:rFonts w:hint="eastAsia" w:ascii="宋体" w:hAnsi="宋体" w:cs="宋体"/>
          <w:sz w:val="24"/>
        </w:rPr>
        <w:t>（3）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）前一年度资产负债表等财务报表资料文件；(新成立的公司，必须提供情况说明)</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）具有履行合同所必需的设备和专业技术、售后保障等能力的承诺函；</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）提供有效的依法缴纳税收证明（完税凭证或税务部门出具的证明）和提供有效的依法缴纳社会保障资金证明（缴纳凭证或人社部门出具的证明）；</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）参加采购活动前三年内，没有重大违法记录、严重 失信行为和行贿记录的声明。</w:t>
      </w:r>
    </w:p>
    <w:p>
      <w:pPr>
        <w:pStyle w:val="12"/>
        <w:ind w:firstLine="486"/>
        <w:rPr>
          <w:rFonts w:ascii="宋体" w:hAnsi="宋体" w:cs="宋体"/>
        </w:rPr>
      </w:pPr>
    </w:p>
    <w:p>
      <w:pPr>
        <w:pStyle w:val="12"/>
        <w:ind w:firstLine="486"/>
        <w:rPr>
          <w:rFonts w:ascii="宋体" w:hAnsi="宋体" w:cs="宋体"/>
        </w:rPr>
      </w:pPr>
    </w:p>
    <w:p>
      <w:pPr>
        <w:pStyle w:val="12"/>
        <w:ind w:firstLine="486"/>
        <w:rPr>
          <w:rFonts w:ascii="宋体" w:hAnsi="宋体" w:cs="宋体"/>
        </w:rPr>
      </w:pPr>
    </w:p>
    <w:p>
      <w:pPr>
        <w:pStyle w:val="12"/>
        <w:ind w:firstLine="486"/>
        <w:rPr>
          <w:rFonts w:ascii="宋体" w:hAnsi="宋体" w:cs="宋体"/>
        </w:rPr>
      </w:pPr>
    </w:p>
    <w:p>
      <w:pPr>
        <w:pStyle w:val="12"/>
        <w:ind w:firstLine="486"/>
        <w:rPr>
          <w:rFonts w:ascii="宋体" w:hAnsi="宋体" w:cs="宋体"/>
        </w:rPr>
      </w:pPr>
    </w:p>
    <w:p>
      <w:pPr>
        <w:pStyle w:val="12"/>
        <w:ind w:firstLine="486"/>
        <w:rPr>
          <w:rFonts w:ascii="宋体" w:hAnsi="宋体" w:cs="宋体"/>
        </w:rPr>
      </w:pPr>
    </w:p>
    <w:p>
      <w:pPr>
        <w:pStyle w:val="12"/>
        <w:ind w:firstLine="486"/>
        <w:rPr>
          <w:rFonts w:ascii="宋体" w:hAnsi="宋体" w:cs="宋体"/>
        </w:rPr>
      </w:pPr>
    </w:p>
    <w:p>
      <w:pPr>
        <w:pStyle w:val="2"/>
        <w:rPr>
          <w:rFonts w:hAnsi="宋体" w:cs="宋体"/>
          <w:b w:val="0"/>
          <w:sz w:val="24"/>
          <w:szCs w:val="24"/>
        </w:rPr>
      </w:pPr>
      <w:bookmarkStart w:id="445" w:name="_Toc24699"/>
      <w:r>
        <w:rPr>
          <w:rFonts w:hint="eastAsia" w:hAnsi="宋体" w:cs="宋体"/>
          <w:sz w:val="24"/>
          <w:szCs w:val="24"/>
        </w:rPr>
        <w:t>附件一：</w:t>
      </w:r>
    </w:p>
    <w:p>
      <w:pPr>
        <w:spacing w:line="360" w:lineRule="auto"/>
        <w:jc w:val="center"/>
        <w:rPr>
          <w:rFonts w:ascii="宋体" w:hAnsi="宋体" w:cs="宋体"/>
          <w:b/>
          <w:bCs/>
          <w:sz w:val="32"/>
          <w:szCs w:val="32"/>
        </w:rPr>
      </w:pPr>
      <w:r>
        <w:rPr>
          <w:rFonts w:hint="eastAsia" w:ascii="宋体" w:hAnsi="宋体" w:cs="宋体"/>
          <w:b/>
          <w:bCs/>
          <w:sz w:val="32"/>
          <w:szCs w:val="32"/>
        </w:rPr>
        <w:t>法定代表人授权书</w:t>
      </w:r>
      <w:bookmarkEnd w:id="445"/>
    </w:p>
    <w:p>
      <w:pPr>
        <w:pStyle w:val="6"/>
        <w:spacing w:line="360" w:lineRule="auto"/>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绍兴市上虞区虞发市政工程有限公司：</w:t>
      </w:r>
    </w:p>
    <w:p>
      <w:pPr>
        <w:spacing w:line="360" w:lineRule="auto"/>
        <w:ind w:firstLine="480" w:firstLineChars="200"/>
        <w:rPr>
          <w:rFonts w:ascii="宋体" w:hAnsi="宋体" w:cs="宋体"/>
          <w:sz w:val="24"/>
        </w:rPr>
      </w:pPr>
      <w:r>
        <w:rPr>
          <w:rFonts w:hint="eastAsia" w:ascii="宋体" w:hAnsi="宋体" w:cs="宋体"/>
          <w:sz w:val="24"/>
        </w:rPr>
        <w:t>浙江建诚工程管理咨询有限公司：</w:t>
      </w:r>
    </w:p>
    <w:p>
      <w:pPr>
        <w:spacing w:line="360" w:lineRule="auto"/>
        <w:ind w:firstLine="480" w:firstLineChars="200"/>
        <w:rPr>
          <w:rFonts w:ascii="宋体" w:hAnsi="宋体" w:cs="宋体"/>
          <w:sz w:val="24"/>
        </w:rPr>
      </w:pPr>
      <w:r>
        <w:rPr>
          <w:rFonts w:hint="eastAsia" w:ascii="宋体" w:hAnsi="宋体" w:cs="宋体"/>
          <w:sz w:val="24"/>
          <w:u w:val="single"/>
        </w:rPr>
        <w:t xml:space="preserve">  （投标人全称） </w:t>
      </w:r>
      <w:r>
        <w:rPr>
          <w:rFonts w:hint="eastAsia" w:ascii="宋体" w:hAnsi="宋体" w:cs="宋体"/>
          <w:sz w:val="24"/>
        </w:rPr>
        <w:t>法定代表人授权</w:t>
      </w:r>
      <w:r>
        <w:rPr>
          <w:rFonts w:hint="eastAsia" w:ascii="宋体" w:hAnsi="宋体" w:cs="宋体"/>
          <w:sz w:val="24"/>
          <w:u w:val="single"/>
        </w:rPr>
        <w:t>（授权代表名称）</w:t>
      </w:r>
      <w:r>
        <w:rPr>
          <w:rFonts w:hint="eastAsia" w:ascii="宋体" w:hAnsi="宋体" w:cs="宋体"/>
          <w:sz w:val="24"/>
        </w:rPr>
        <w:t>为授权代表，参加贵处组织的</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cs="宋体"/>
          <w:sz w:val="24"/>
          <w:u w:val="single"/>
          <w:lang w:val="en-US" w:eastAsia="zh-CN"/>
        </w:rPr>
        <w:t xml:space="preserve">       </w:t>
      </w:r>
      <w:r>
        <w:rPr>
          <w:rFonts w:hint="eastAsia" w:ascii="宋体" w:hAnsi="宋体" w:cs="宋体"/>
          <w:sz w:val="24"/>
        </w:rPr>
        <w:t>项目</w:t>
      </w:r>
      <w:r>
        <w:rPr>
          <w:rFonts w:hint="eastAsia" w:ascii="宋体" w:hAnsi="宋体" w:cs="宋体"/>
          <w:sz w:val="24"/>
          <w:u w:val="single"/>
        </w:rPr>
        <w:t>（括号内填写招标编号）</w:t>
      </w:r>
      <w:r>
        <w:rPr>
          <w:rFonts w:hint="eastAsia" w:ascii="宋体" w:hAnsi="宋体" w:cs="宋体"/>
          <w:sz w:val="24"/>
        </w:rPr>
        <w:t>，授权处理招投标活动中的一切事宜。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法定代表人签字：</w:t>
      </w:r>
    </w:p>
    <w:p>
      <w:pPr>
        <w:spacing w:line="360" w:lineRule="auto"/>
        <w:ind w:firstLine="480" w:firstLineChars="200"/>
        <w:rPr>
          <w:rFonts w:ascii="宋体" w:hAnsi="宋体" w:cs="宋体"/>
          <w:sz w:val="24"/>
        </w:rPr>
      </w:pPr>
      <w:r>
        <w:rPr>
          <w:rFonts w:hint="eastAsia" w:ascii="宋体" w:hAnsi="宋体" w:cs="宋体"/>
          <w:sz w:val="24"/>
        </w:rPr>
        <w:t>投标人全称：（盖章）</w:t>
      </w:r>
    </w:p>
    <w:p>
      <w:pPr>
        <w:spacing w:line="360" w:lineRule="auto"/>
        <w:ind w:firstLine="480" w:firstLineChars="200"/>
        <w:rPr>
          <w:rFonts w:ascii="宋体" w:hAnsi="宋体" w:cs="宋体"/>
          <w:sz w:val="24"/>
        </w:rPr>
      </w:pPr>
      <w:r>
        <w:rPr>
          <w:rFonts w:hint="eastAsia" w:ascii="宋体" w:hAnsi="宋体" w:cs="宋体"/>
          <w:sz w:val="24"/>
        </w:rPr>
        <w:t>日期：</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rPr>
      </w:pPr>
      <w:r>
        <w:rPr>
          <w:rFonts w:hint="eastAsia" w:ascii="宋体" w:hAnsi="宋体" w:cs="宋体"/>
          <w:sz w:val="24"/>
        </w:rPr>
        <w:t>授权代表姓名：</w:t>
      </w:r>
    </w:p>
    <w:p>
      <w:pPr>
        <w:spacing w:line="360" w:lineRule="auto"/>
        <w:ind w:firstLine="480" w:firstLineChars="200"/>
        <w:rPr>
          <w:rFonts w:ascii="宋体" w:hAnsi="宋体" w:cs="宋体"/>
          <w:sz w:val="24"/>
        </w:rPr>
      </w:pPr>
      <w:r>
        <w:rPr>
          <w:rFonts w:hint="eastAsia" w:ascii="宋体" w:hAnsi="宋体" w:cs="宋体"/>
          <w:sz w:val="24"/>
        </w:rPr>
        <w:t>职务：</w:t>
      </w:r>
    </w:p>
    <w:p>
      <w:pPr>
        <w:spacing w:line="360" w:lineRule="auto"/>
        <w:ind w:firstLine="480" w:firstLineChars="200"/>
        <w:rPr>
          <w:rFonts w:ascii="宋体" w:hAnsi="宋体" w:cs="宋体"/>
          <w:sz w:val="24"/>
        </w:rPr>
      </w:pPr>
      <w:r>
        <w:rPr>
          <w:rFonts w:hint="eastAsia" w:ascii="宋体" w:hAnsi="宋体" w:cs="宋体"/>
          <w:sz w:val="24"/>
        </w:rPr>
        <w:t>详细通讯地址：</w:t>
      </w:r>
    </w:p>
    <w:p>
      <w:pPr>
        <w:spacing w:line="360" w:lineRule="auto"/>
        <w:ind w:firstLine="480" w:firstLineChars="200"/>
        <w:rPr>
          <w:rFonts w:ascii="宋体" w:hAnsi="宋体" w:cs="宋体"/>
          <w:sz w:val="24"/>
        </w:rPr>
      </w:pPr>
      <w:r>
        <w:rPr>
          <w:rFonts w:hint="eastAsia" w:ascii="宋体" w:hAnsi="宋体" w:cs="宋体"/>
          <w:sz w:val="24"/>
        </w:rPr>
        <w:t>传真：</w:t>
      </w:r>
    </w:p>
    <w:p>
      <w:pPr>
        <w:spacing w:line="360" w:lineRule="auto"/>
        <w:ind w:firstLine="480" w:firstLineChars="200"/>
        <w:rPr>
          <w:rFonts w:ascii="宋体" w:hAnsi="宋体" w:cs="宋体"/>
          <w:sz w:val="24"/>
        </w:rPr>
      </w:pPr>
      <w:r>
        <w:rPr>
          <w:rFonts w:hint="eastAsia" w:ascii="宋体" w:hAnsi="宋体" w:cs="宋体"/>
          <w:sz w:val="24"/>
        </w:rPr>
        <w:t>电话：</w:t>
      </w:r>
    </w:p>
    <w:p>
      <w:pPr>
        <w:spacing w:line="360" w:lineRule="auto"/>
        <w:ind w:firstLine="480" w:firstLineChars="200"/>
        <w:rPr>
          <w:rFonts w:ascii="宋体" w:hAnsi="宋体" w:cs="宋体"/>
          <w:sz w:val="24"/>
        </w:rPr>
      </w:pPr>
      <w:r>
        <w:rPr>
          <w:rFonts w:hint="eastAsia" w:ascii="宋体" w:hAnsi="宋体" w:cs="宋体"/>
          <w:sz w:val="24"/>
        </w:rPr>
        <w:t>邮政编码：</w:t>
      </w:r>
    </w:p>
    <w:p>
      <w:pPr>
        <w:pStyle w:val="15"/>
        <w:snapToGrid w:val="0"/>
        <w:spacing w:line="360" w:lineRule="auto"/>
        <w:rPr>
          <w:rFonts w:hAnsi="宋体" w:cs="宋体"/>
          <w:sz w:val="24"/>
        </w:rPr>
      </w:pPr>
    </w:p>
    <w:p>
      <w:pPr>
        <w:pStyle w:val="15"/>
        <w:snapToGrid w:val="0"/>
        <w:spacing w:line="360" w:lineRule="auto"/>
        <w:rPr>
          <w:rFonts w:hAnsi="宋体" w:cs="宋体"/>
          <w:sz w:val="24"/>
        </w:rPr>
      </w:pPr>
    </w:p>
    <w:p>
      <w:pPr>
        <w:pStyle w:val="15"/>
        <w:snapToGrid w:val="0"/>
        <w:spacing w:line="360" w:lineRule="auto"/>
        <w:rPr>
          <w:rFonts w:hAnsi="宋体" w:cs="宋体"/>
          <w:sz w:val="24"/>
        </w:rPr>
      </w:pPr>
    </w:p>
    <w:p>
      <w:pPr>
        <w:spacing w:line="360" w:lineRule="auto"/>
        <w:rPr>
          <w:rFonts w:ascii="宋体" w:hAnsi="宋体" w:cs="宋体"/>
          <w:b/>
          <w:sz w:val="24"/>
        </w:rPr>
      </w:pPr>
      <w:r>
        <w:rPr>
          <w:rFonts w:hint="eastAsia" w:ascii="宋体" w:hAnsi="宋体" w:cs="宋体"/>
          <w:b/>
          <w:sz w:val="24"/>
        </w:rPr>
        <w:t>附：授权代表身份证复印件（正反面）</w:t>
      </w:r>
    </w:p>
    <w:p>
      <w:pPr>
        <w:spacing w:line="360" w:lineRule="auto"/>
        <w:rPr>
          <w:rFonts w:ascii="宋体" w:hAnsi="宋体" w:cs="宋体"/>
          <w:b/>
          <w:sz w:val="24"/>
        </w:rPr>
      </w:pPr>
    </w:p>
    <w:p>
      <w:pPr>
        <w:pStyle w:val="12"/>
        <w:ind w:firstLine="486"/>
        <w:rPr>
          <w:rFonts w:ascii="宋体" w:hAnsi="宋体" w:cs="宋体"/>
        </w:rPr>
      </w:pPr>
    </w:p>
    <w:p>
      <w:pPr>
        <w:snapToGrid w:val="0"/>
        <w:spacing w:before="50" w:after="156" w:afterLines="50"/>
        <w:jc w:val="left"/>
        <w:rPr>
          <w:rFonts w:ascii="宋体" w:hAnsi="宋体" w:cs="宋体"/>
          <w:b/>
          <w:bCs/>
          <w:sz w:val="24"/>
          <w:lang w:val="zh-CN"/>
        </w:rPr>
      </w:pPr>
      <w:r>
        <w:rPr>
          <w:rFonts w:hint="eastAsia" w:ascii="宋体" w:hAnsi="宋体" w:cs="宋体"/>
          <w:b/>
          <w:bCs/>
          <w:sz w:val="24"/>
        </w:rPr>
        <w:br w:type="page"/>
      </w:r>
      <w:r>
        <w:rPr>
          <w:rFonts w:hint="eastAsia" w:ascii="宋体" w:hAnsi="宋体" w:cs="宋体"/>
          <w:b/>
          <w:bCs/>
          <w:sz w:val="24"/>
          <w:lang w:val="zh-CN"/>
        </w:rPr>
        <w:t>附件二：</w:t>
      </w:r>
    </w:p>
    <w:p>
      <w:pPr>
        <w:spacing w:line="360" w:lineRule="auto"/>
        <w:jc w:val="center"/>
        <w:rPr>
          <w:rFonts w:ascii="宋体" w:hAnsi="宋体" w:cs="宋体"/>
          <w:b/>
          <w:bCs/>
          <w:sz w:val="32"/>
          <w:szCs w:val="32"/>
        </w:rPr>
      </w:pPr>
      <w:r>
        <w:rPr>
          <w:rFonts w:hint="eastAsia" w:ascii="宋体" w:hAnsi="宋体" w:cs="宋体"/>
          <w:b/>
          <w:bCs/>
          <w:sz w:val="32"/>
          <w:szCs w:val="32"/>
        </w:rPr>
        <w:t>声 明 书</w:t>
      </w:r>
    </w:p>
    <w:p>
      <w:pPr>
        <w:spacing w:line="360" w:lineRule="auto"/>
        <w:ind w:firstLine="420" w:firstLineChars="200"/>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绍兴市上虞区虞发市政工程有限公司：</w:t>
      </w:r>
    </w:p>
    <w:p>
      <w:pPr>
        <w:spacing w:line="360" w:lineRule="auto"/>
        <w:ind w:firstLine="480" w:firstLineChars="200"/>
        <w:rPr>
          <w:rFonts w:ascii="宋体" w:hAnsi="宋体" w:cs="宋体"/>
          <w:sz w:val="24"/>
        </w:rPr>
      </w:pPr>
      <w:r>
        <w:rPr>
          <w:rFonts w:hint="eastAsia" w:ascii="宋体" w:hAnsi="宋体" w:cs="宋体"/>
          <w:sz w:val="24"/>
        </w:rPr>
        <w:t>浙江建诚工程管理咨询有限公司：</w:t>
      </w:r>
    </w:p>
    <w:p>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的投标，为此，我方就本次投标有关事项郑重声明如下：</w:t>
      </w:r>
    </w:p>
    <w:p>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pPr>
        <w:pStyle w:val="12"/>
        <w:rPr>
          <w:rFonts w:ascii="宋体" w:hAnsi="宋体" w:cs="宋体"/>
        </w:rPr>
      </w:pPr>
    </w:p>
    <w:p>
      <w:pPr>
        <w:pStyle w:val="12"/>
        <w:rPr>
          <w:rFonts w:ascii="宋体" w:hAnsi="宋体" w:cs="宋体"/>
        </w:rPr>
      </w:pPr>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ind w:firstLine="4080" w:firstLineChars="1700"/>
        <w:rPr>
          <w:rFonts w:ascii="宋体" w:hAnsi="宋体" w:cs="宋体"/>
          <w:sz w:val="36"/>
        </w:rPr>
      </w:pPr>
      <w:r>
        <w:rPr>
          <w:rFonts w:hint="eastAsia" w:ascii="宋体" w:hAnsi="宋体" w:cs="宋体"/>
          <w:sz w:val="24"/>
        </w:rPr>
        <w:t>日   期：</w:t>
      </w:r>
    </w:p>
    <w:p>
      <w:pPr>
        <w:pStyle w:val="12"/>
        <w:ind w:firstLine="566"/>
        <w:rPr>
          <w:rFonts w:ascii="宋体" w:hAnsi="宋体" w:cs="宋体"/>
          <w:sz w:val="28"/>
          <w:szCs w:val="28"/>
        </w:rPr>
      </w:pPr>
    </w:p>
    <w:p>
      <w:pPr>
        <w:pStyle w:val="6"/>
        <w:rPr>
          <w:rFonts w:ascii="宋体" w:hAnsi="宋体" w:cs="宋体"/>
        </w:rPr>
      </w:pPr>
    </w:p>
    <w:p>
      <w:pPr>
        <w:spacing w:line="360" w:lineRule="auto"/>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64"/>
        <w:numPr>
          <w:ilvl w:val="0"/>
          <w:numId w:val="41"/>
        </w:numPr>
        <w:spacing w:before="0"/>
        <w:ind w:firstLine="480" w:firstLineChars="0"/>
        <w:rPr>
          <w:rFonts w:ascii="宋体"/>
        </w:rPr>
      </w:pPr>
      <w:r>
        <w:rPr>
          <w:rFonts w:hint="eastAsia" w:ascii="宋体" w:hAnsi="宋体" w:cs="宋体"/>
        </w:rPr>
        <w:t>评分对应表（格式见附件，主要用于评委对应评分内容）</w:t>
      </w:r>
    </w:p>
    <w:p>
      <w:pPr>
        <w:pStyle w:val="64"/>
        <w:numPr>
          <w:ilvl w:val="0"/>
          <w:numId w:val="41"/>
        </w:numPr>
        <w:spacing w:before="0"/>
        <w:ind w:firstLine="480" w:firstLineChars="0"/>
        <w:rPr>
          <w:rFonts w:ascii="宋体"/>
        </w:rPr>
      </w:pPr>
      <w:r>
        <w:rPr>
          <w:rFonts w:hint="eastAsia" w:ascii="宋体" w:hAnsi="宋体" w:cs="宋体"/>
        </w:rPr>
        <w:t>供应商商务技术文件中资信分自评表（格式见附件）；</w:t>
      </w:r>
    </w:p>
    <w:p>
      <w:pPr>
        <w:pStyle w:val="64"/>
        <w:numPr>
          <w:ilvl w:val="0"/>
          <w:numId w:val="41"/>
        </w:numPr>
        <w:spacing w:before="0"/>
        <w:ind w:firstLine="480" w:firstLineChars="0"/>
        <w:rPr>
          <w:rFonts w:ascii="宋体"/>
        </w:rPr>
      </w:pPr>
      <w:r>
        <w:rPr>
          <w:rFonts w:hint="eastAsia" w:ascii="宋体" w:hAnsi="宋体" w:cs="宋体"/>
        </w:rPr>
        <w:t>技术响应及建议表（格式见附件）；</w:t>
      </w:r>
    </w:p>
    <w:p>
      <w:pPr>
        <w:pStyle w:val="64"/>
        <w:numPr>
          <w:ilvl w:val="0"/>
          <w:numId w:val="41"/>
        </w:numPr>
        <w:spacing w:before="0"/>
        <w:ind w:firstLine="480" w:firstLineChars="0"/>
        <w:rPr>
          <w:rFonts w:ascii="宋体"/>
        </w:rPr>
      </w:pPr>
      <w:r>
        <w:rPr>
          <w:rFonts w:hint="eastAsia" w:ascii="宋体" w:hAnsi="宋体" w:cs="宋体"/>
        </w:rPr>
        <w:t>商务响应表（格式见附件）；</w:t>
      </w:r>
    </w:p>
    <w:p>
      <w:pPr>
        <w:pStyle w:val="64"/>
        <w:numPr>
          <w:ilvl w:val="0"/>
          <w:numId w:val="41"/>
        </w:numPr>
        <w:spacing w:before="0"/>
        <w:ind w:firstLine="480" w:firstLineChars="0"/>
        <w:rPr>
          <w:rFonts w:ascii="宋体" w:hAnsi="宋体" w:cs="宋体"/>
        </w:rPr>
      </w:pPr>
      <w:r>
        <w:rPr>
          <w:rFonts w:hint="eastAsia" w:ascii="宋体" w:hAnsi="宋体" w:cs="宋体"/>
        </w:rPr>
        <w:t>本项目人员配置情况</w:t>
      </w:r>
    </w:p>
    <w:p>
      <w:pPr>
        <w:pStyle w:val="64"/>
        <w:numPr>
          <w:ilvl w:val="0"/>
          <w:numId w:val="41"/>
        </w:numPr>
        <w:spacing w:before="0"/>
        <w:ind w:firstLine="480" w:firstLineChars="0"/>
        <w:rPr>
          <w:rFonts w:ascii="宋体" w:hAnsi="宋体" w:cs="宋体"/>
        </w:rPr>
      </w:pPr>
      <w:r>
        <w:rPr>
          <w:rFonts w:hint="eastAsia" w:ascii="宋体" w:hAnsi="宋体" w:cs="宋体"/>
        </w:rPr>
        <w:t>船只</w:t>
      </w:r>
      <w:r>
        <w:rPr>
          <w:rFonts w:hint="eastAsia" w:ascii="宋体" w:hAnsi="宋体"/>
          <w:szCs w:val="21"/>
        </w:rPr>
        <w:t>及车辆配置</w:t>
      </w:r>
    </w:p>
    <w:p>
      <w:pPr>
        <w:pStyle w:val="64"/>
        <w:numPr>
          <w:ilvl w:val="0"/>
          <w:numId w:val="41"/>
        </w:numPr>
        <w:spacing w:before="0"/>
        <w:ind w:firstLine="480" w:firstLineChars="0"/>
        <w:rPr>
          <w:rFonts w:ascii="宋体" w:hAnsi="宋体" w:cs="宋体"/>
        </w:rPr>
      </w:pPr>
      <w:r>
        <w:rPr>
          <w:rFonts w:hint="eastAsia" w:ascii="宋体" w:hAnsi="宋体" w:cs="宋体"/>
        </w:rPr>
        <w:t>内部管理制度</w:t>
      </w:r>
    </w:p>
    <w:p>
      <w:pPr>
        <w:pStyle w:val="64"/>
        <w:numPr>
          <w:ilvl w:val="0"/>
          <w:numId w:val="41"/>
        </w:numPr>
        <w:spacing w:before="0"/>
        <w:ind w:firstLine="480" w:firstLineChars="0"/>
        <w:rPr>
          <w:rFonts w:ascii="宋体" w:hAnsi="宋体" w:cs="宋体"/>
        </w:rPr>
      </w:pPr>
      <w:r>
        <w:rPr>
          <w:rFonts w:hint="eastAsia" w:ascii="宋体" w:hAnsi="宋体" w:cs="宋体"/>
        </w:rPr>
        <w:t>河道保洁方案</w:t>
      </w:r>
    </w:p>
    <w:p>
      <w:pPr>
        <w:pStyle w:val="64"/>
        <w:numPr>
          <w:ilvl w:val="0"/>
          <w:numId w:val="41"/>
        </w:numPr>
        <w:spacing w:before="0"/>
        <w:ind w:firstLine="480" w:firstLineChars="0"/>
        <w:rPr>
          <w:rFonts w:ascii="宋体" w:hAnsi="宋体" w:cs="宋体"/>
        </w:rPr>
      </w:pPr>
      <w:r>
        <w:rPr>
          <w:rFonts w:hint="eastAsia" w:ascii="宋体" w:hAnsi="宋体" w:cs="宋体"/>
        </w:rPr>
        <w:t>特殊时期应急保障方案</w:t>
      </w:r>
    </w:p>
    <w:p>
      <w:pPr>
        <w:pStyle w:val="64"/>
        <w:numPr>
          <w:ilvl w:val="0"/>
          <w:numId w:val="41"/>
        </w:numPr>
        <w:spacing w:before="0"/>
        <w:ind w:firstLine="480" w:firstLineChars="0"/>
        <w:rPr>
          <w:rFonts w:ascii="宋体" w:hAnsi="宋体" w:cs="宋体"/>
        </w:rPr>
      </w:pPr>
      <w:r>
        <w:rPr>
          <w:rFonts w:hint="eastAsia" w:ascii="宋体" w:hAnsi="宋体" w:cs="宋体"/>
        </w:rPr>
        <w:t>安全措施及安全教育方案</w:t>
      </w:r>
    </w:p>
    <w:p>
      <w:pPr>
        <w:pStyle w:val="64"/>
        <w:numPr>
          <w:ilvl w:val="0"/>
          <w:numId w:val="41"/>
        </w:numPr>
        <w:spacing w:before="0"/>
        <w:ind w:firstLine="480" w:firstLineChars="0"/>
        <w:rPr>
          <w:rFonts w:ascii="宋体" w:hAnsi="宋体" w:cs="宋体"/>
        </w:rPr>
      </w:pPr>
      <w:r>
        <w:rPr>
          <w:rFonts w:hint="eastAsia" w:ascii="宋体" w:hAnsi="宋体" w:cs="宋体"/>
        </w:rPr>
        <w:t>企业业绩</w:t>
      </w:r>
    </w:p>
    <w:p>
      <w:pPr>
        <w:pStyle w:val="64"/>
        <w:numPr>
          <w:ilvl w:val="0"/>
          <w:numId w:val="41"/>
        </w:numPr>
        <w:spacing w:before="0"/>
        <w:ind w:firstLine="480" w:firstLineChars="0"/>
        <w:rPr>
          <w:rFonts w:ascii="宋体" w:hAnsi="宋体" w:cs="宋体"/>
        </w:rPr>
      </w:pPr>
      <w:r>
        <w:rPr>
          <w:rFonts w:hint="eastAsia" w:ascii="宋体" w:hAnsi="宋体" w:cs="宋体"/>
        </w:rPr>
        <w:t>项目负责人业绩</w:t>
      </w:r>
    </w:p>
    <w:p>
      <w:pPr>
        <w:pStyle w:val="64"/>
        <w:numPr>
          <w:ilvl w:val="0"/>
          <w:numId w:val="41"/>
        </w:numPr>
        <w:spacing w:before="0"/>
        <w:ind w:firstLine="480" w:firstLineChars="0"/>
        <w:rPr>
          <w:rFonts w:ascii="宋体" w:hAnsi="宋体" w:cs="宋体"/>
        </w:rPr>
      </w:pPr>
      <w:r>
        <w:rPr>
          <w:rFonts w:hint="eastAsia" w:ascii="宋体" w:hAnsi="宋体" w:cs="宋体"/>
        </w:rPr>
        <w:t>认证</w:t>
      </w:r>
    </w:p>
    <w:p>
      <w:pPr>
        <w:pStyle w:val="64"/>
        <w:numPr>
          <w:ilvl w:val="0"/>
          <w:numId w:val="41"/>
        </w:numPr>
        <w:spacing w:before="0"/>
        <w:ind w:firstLine="480" w:firstLineChars="0"/>
        <w:rPr>
          <w:rFonts w:ascii="宋体" w:hAnsi="宋体" w:cs="宋体"/>
        </w:rPr>
      </w:pPr>
      <w:r>
        <w:rPr>
          <w:rFonts w:hint="eastAsia" w:ascii="宋体" w:hAnsi="宋体" w:cs="宋体"/>
        </w:rPr>
        <w:t>内河船员情况</w:t>
      </w:r>
    </w:p>
    <w:p>
      <w:pPr>
        <w:pStyle w:val="64"/>
        <w:numPr>
          <w:ilvl w:val="0"/>
          <w:numId w:val="41"/>
        </w:numPr>
        <w:spacing w:before="0"/>
        <w:ind w:firstLine="480" w:firstLineChars="0"/>
        <w:rPr>
          <w:rFonts w:ascii="宋体" w:hAnsi="宋体" w:cs="宋体"/>
        </w:rPr>
      </w:pPr>
      <w:r>
        <w:rPr>
          <w:rFonts w:hint="eastAsia" w:ascii="宋体" w:hAnsi="宋体" w:cs="宋体"/>
        </w:rPr>
        <w:t>企业荣誉</w:t>
      </w:r>
    </w:p>
    <w:p>
      <w:pPr>
        <w:pStyle w:val="64"/>
        <w:numPr>
          <w:ilvl w:val="0"/>
          <w:numId w:val="41"/>
        </w:numPr>
        <w:spacing w:before="0"/>
        <w:ind w:firstLine="480" w:firstLineChars="0"/>
        <w:rPr>
          <w:rFonts w:ascii="宋体"/>
        </w:rPr>
      </w:pPr>
      <w:r>
        <w:rPr>
          <w:rFonts w:hint="eastAsia" w:ascii="宋体" w:hAnsi="宋体" w:cs="宋体"/>
        </w:rPr>
        <w:t>供应商认为需要的其他文件资料。</w:t>
      </w:r>
    </w:p>
    <w:p>
      <w:pPr>
        <w:pStyle w:val="64"/>
        <w:spacing w:before="0"/>
        <w:ind w:left="420" w:firstLine="0" w:firstLineChars="0"/>
        <w:rPr>
          <w:rFonts w:ascii="宋体"/>
        </w:rPr>
      </w:pPr>
    </w:p>
    <w:p>
      <w:pPr>
        <w:pStyle w:val="64"/>
        <w:spacing w:before="0"/>
        <w:ind w:left="420" w:leftChars="200" w:firstLine="0" w:firstLineChars="0"/>
        <w:rPr>
          <w:rFonts w:ascii="宋体"/>
        </w:rPr>
      </w:pPr>
    </w:p>
    <w:p>
      <w:pPr>
        <w:pStyle w:val="12"/>
        <w:ind w:firstLine="566"/>
        <w:rPr>
          <w:rFonts w:ascii="宋体" w:hAnsi="宋体" w:cs="宋体"/>
          <w:sz w:val="28"/>
          <w:szCs w:val="28"/>
        </w:rPr>
      </w:pPr>
    </w:p>
    <w:p>
      <w:pPr>
        <w:pStyle w:val="12"/>
        <w:rPr>
          <w:rFonts w:ascii="宋体" w:hAnsi="宋体" w:cs="宋体"/>
          <w:sz w:val="28"/>
          <w:szCs w:val="28"/>
        </w:rPr>
      </w:pPr>
    </w:p>
    <w:p>
      <w:pPr>
        <w:pStyle w:val="12"/>
        <w:rPr>
          <w:rFonts w:ascii="宋体" w:hAnsi="宋体" w:cs="宋体"/>
          <w:sz w:val="28"/>
          <w:szCs w:val="28"/>
        </w:rPr>
      </w:pPr>
    </w:p>
    <w:p>
      <w:pPr>
        <w:pStyle w:val="12"/>
        <w:rPr>
          <w:rFonts w:ascii="宋体" w:hAnsi="宋体" w:cs="宋体"/>
          <w:sz w:val="28"/>
          <w:szCs w:val="28"/>
        </w:rPr>
      </w:pPr>
    </w:p>
    <w:p>
      <w:pPr>
        <w:pStyle w:val="12"/>
        <w:rPr>
          <w:rFonts w:ascii="宋体" w:hAnsi="宋体" w:cs="宋体"/>
          <w:sz w:val="28"/>
          <w:szCs w:val="28"/>
        </w:rPr>
      </w:pPr>
    </w:p>
    <w:p>
      <w:pPr>
        <w:pStyle w:val="12"/>
        <w:rPr>
          <w:rFonts w:ascii="宋体" w:hAnsi="宋体" w:cs="宋体"/>
          <w:sz w:val="28"/>
          <w:szCs w:val="28"/>
        </w:rPr>
      </w:pPr>
    </w:p>
    <w:p>
      <w:pPr>
        <w:pStyle w:val="12"/>
        <w:ind w:left="0" w:leftChars="0"/>
        <w:jc w:val="left"/>
        <w:rPr>
          <w:rFonts w:ascii="宋体" w:hAnsi="宋体" w:cs="宋体"/>
          <w:b/>
          <w:bCs/>
          <w:sz w:val="24"/>
          <w:lang w:val="zh-CN"/>
        </w:rPr>
      </w:pPr>
      <w:bookmarkStart w:id="446" w:name="_Toc10131"/>
      <w:r>
        <w:rPr>
          <w:rFonts w:hint="eastAsia" w:ascii="宋体" w:hAnsi="宋体" w:cs="宋体"/>
          <w:b/>
          <w:bCs/>
          <w:sz w:val="24"/>
          <w:lang w:val="zh-CN"/>
        </w:rPr>
        <w:t>附件三：</w:t>
      </w:r>
    </w:p>
    <w:p>
      <w:pPr>
        <w:spacing w:line="360" w:lineRule="auto"/>
        <w:jc w:val="center"/>
        <w:rPr>
          <w:rFonts w:ascii="宋体" w:hAnsi="宋体" w:cs="宋体"/>
          <w:b/>
          <w:bCs/>
          <w:sz w:val="32"/>
          <w:szCs w:val="32"/>
        </w:rPr>
      </w:pPr>
      <w:r>
        <w:rPr>
          <w:rFonts w:hint="eastAsia" w:ascii="宋体" w:hAnsi="宋体" w:cs="宋体"/>
          <w:b/>
          <w:bCs/>
          <w:sz w:val="32"/>
          <w:szCs w:val="32"/>
        </w:rPr>
        <w:t>评分对应表</w:t>
      </w:r>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30"/>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对应评分办法及评分标准</w:t>
            </w:r>
          </w:p>
          <w:p>
            <w:pPr>
              <w:jc w:val="center"/>
              <w:rPr>
                <w:rFonts w:ascii="宋体" w:hAnsi="宋体" w:cs="宋体"/>
                <w:sz w:val="24"/>
              </w:rPr>
            </w:pPr>
            <w:r>
              <w:rPr>
                <w:rFonts w:hint="eastAsia" w:ascii="宋体" w:hAnsi="宋体" w:cs="宋体"/>
                <w:sz w:val="24"/>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bl>
    <w:p>
      <w:pPr>
        <w:spacing w:line="360" w:lineRule="auto"/>
        <w:ind w:firstLine="480" w:firstLineChars="200"/>
        <w:rPr>
          <w:rFonts w:ascii="宋体" w:hAnsi="宋体" w:cs="宋体"/>
          <w:sz w:val="24"/>
        </w:rPr>
      </w:pPr>
    </w:p>
    <w:p>
      <w:pPr>
        <w:pStyle w:val="27"/>
        <w:rPr>
          <w:rFonts w:ascii="宋体" w:hAnsi="宋体" w:cs="宋体"/>
        </w:rPr>
      </w:pPr>
    </w:p>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ind w:firstLine="4080" w:firstLineChars="1700"/>
        <w:rPr>
          <w:rFonts w:ascii="宋体" w:hAnsi="宋体" w:cs="宋体"/>
          <w:sz w:val="36"/>
        </w:rPr>
      </w:pPr>
      <w:r>
        <w:rPr>
          <w:rFonts w:hint="eastAsia" w:ascii="宋体" w:hAnsi="宋体" w:cs="宋体"/>
          <w:sz w:val="24"/>
        </w:rPr>
        <w:t>日   期：</w:t>
      </w:r>
    </w:p>
    <w:p>
      <w:pPr>
        <w:pStyle w:val="2"/>
        <w:rPr>
          <w:rFonts w:hAnsi="宋体" w:cs="宋体"/>
          <w:bCs/>
          <w:sz w:val="24"/>
          <w:szCs w:val="24"/>
        </w:rPr>
      </w:pPr>
      <w:r>
        <w:rPr>
          <w:rFonts w:hint="eastAsia" w:hAnsi="宋体" w:cs="宋体"/>
          <w:bCs/>
          <w:sz w:val="24"/>
          <w:szCs w:val="24"/>
        </w:rPr>
        <w:br w:type="page"/>
      </w:r>
      <w:r>
        <w:rPr>
          <w:rFonts w:hint="eastAsia" w:hAnsi="宋体" w:cs="宋体"/>
          <w:bCs/>
          <w:sz w:val="24"/>
          <w:szCs w:val="24"/>
        </w:rPr>
        <w:t>附件四：</w:t>
      </w:r>
    </w:p>
    <w:p>
      <w:pPr>
        <w:spacing w:line="360" w:lineRule="auto"/>
        <w:jc w:val="center"/>
        <w:rPr>
          <w:rFonts w:ascii="宋体" w:hAnsi="宋体" w:cs="宋体"/>
          <w:b/>
          <w:bCs/>
          <w:sz w:val="32"/>
          <w:szCs w:val="32"/>
        </w:rPr>
      </w:pPr>
      <w:r>
        <w:rPr>
          <w:rFonts w:hint="eastAsia" w:ascii="宋体" w:hAnsi="宋体" w:cs="宋体"/>
          <w:b/>
          <w:bCs/>
          <w:sz w:val="32"/>
          <w:szCs w:val="32"/>
        </w:rPr>
        <w:t>投标人商务技术文件中资信分自评表</w:t>
      </w:r>
      <w:bookmarkEnd w:id="446"/>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序号</w:t>
            </w:r>
          </w:p>
        </w:tc>
        <w:tc>
          <w:tcPr>
            <w:tcW w:w="2387" w:type="dxa"/>
            <w:noWrap/>
            <w:vAlign w:val="center"/>
          </w:tcPr>
          <w:p>
            <w:pPr>
              <w:jc w:val="center"/>
              <w:rPr>
                <w:rFonts w:ascii="宋体" w:hAnsi="宋体" w:cs="宋体"/>
                <w:sz w:val="24"/>
              </w:rPr>
            </w:pPr>
            <w:r>
              <w:rPr>
                <w:rFonts w:hint="eastAsia" w:ascii="宋体" w:hAnsi="宋体" w:cs="宋体"/>
                <w:sz w:val="24"/>
              </w:rPr>
              <w:t>资信分内容</w:t>
            </w:r>
          </w:p>
        </w:tc>
        <w:tc>
          <w:tcPr>
            <w:tcW w:w="1462" w:type="dxa"/>
            <w:noWrap/>
            <w:vAlign w:val="center"/>
          </w:tcPr>
          <w:p>
            <w:pPr>
              <w:jc w:val="center"/>
              <w:rPr>
                <w:rFonts w:ascii="宋体" w:hAnsi="宋体" w:cs="宋体"/>
                <w:sz w:val="24"/>
              </w:rPr>
            </w:pPr>
            <w:r>
              <w:rPr>
                <w:rFonts w:hint="eastAsia" w:ascii="宋体" w:hAnsi="宋体" w:cs="宋体"/>
                <w:sz w:val="24"/>
              </w:rPr>
              <w:t>自评得分</w:t>
            </w:r>
          </w:p>
        </w:tc>
        <w:tc>
          <w:tcPr>
            <w:tcW w:w="2415" w:type="dxa"/>
            <w:tcBorders>
              <w:right w:val="single" w:color="auto" w:sz="4" w:space="0"/>
            </w:tcBorders>
            <w:noWrap/>
            <w:vAlign w:val="center"/>
          </w:tcPr>
          <w:p>
            <w:pPr>
              <w:jc w:val="center"/>
              <w:rPr>
                <w:rFonts w:ascii="宋体" w:hAnsi="宋体" w:cs="宋体"/>
                <w:sz w:val="24"/>
              </w:rPr>
            </w:pPr>
            <w:r>
              <w:rPr>
                <w:rFonts w:hint="eastAsia" w:ascii="宋体" w:hAnsi="宋体" w:cs="宋体"/>
                <w:sz w:val="24"/>
              </w:rPr>
              <w:t>投标文件对应资料</w:t>
            </w:r>
          </w:p>
        </w:tc>
        <w:tc>
          <w:tcPr>
            <w:tcW w:w="1746" w:type="dxa"/>
            <w:tcBorders>
              <w:left w:val="single" w:color="auto" w:sz="4" w:space="0"/>
            </w:tcBorders>
            <w:noWrap/>
            <w:vAlign w:val="center"/>
          </w:tcPr>
          <w:p>
            <w:pPr>
              <w:jc w:val="center"/>
              <w:rPr>
                <w:rFonts w:ascii="宋体" w:hAnsi="宋体" w:cs="宋体"/>
                <w:sz w:val="24"/>
              </w:rPr>
            </w:pPr>
            <w:r>
              <w:rPr>
                <w:rFonts w:hint="eastAsia" w:ascii="宋体" w:hAnsi="宋体" w:cs="宋体"/>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1</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2</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3</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4</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5</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6</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7</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8</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合计</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ind w:firstLine="4080" w:firstLineChars="1700"/>
        <w:rPr>
          <w:rFonts w:ascii="宋体" w:hAnsi="宋体" w:cs="宋体"/>
          <w:sz w:val="36"/>
        </w:rPr>
      </w:pPr>
      <w:r>
        <w:rPr>
          <w:rFonts w:hint="eastAsia" w:ascii="宋体" w:hAnsi="宋体" w:cs="宋体"/>
          <w:sz w:val="24"/>
        </w:rPr>
        <w:t xml:space="preserve"> 日   期：</w:t>
      </w:r>
    </w:p>
    <w:p>
      <w:pPr>
        <w:snapToGrid w:val="0"/>
        <w:spacing w:before="50" w:after="156" w:afterLines="50"/>
        <w:jc w:val="left"/>
        <w:rPr>
          <w:rFonts w:ascii="宋体" w:hAnsi="宋体" w:cs="宋体"/>
          <w:b/>
          <w:bCs/>
          <w:sz w:val="24"/>
          <w:lang w:val="zh-CN"/>
        </w:rPr>
      </w:pPr>
    </w:p>
    <w:p>
      <w:pPr>
        <w:pStyle w:val="2"/>
        <w:rPr>
          <w:rFonts w:hAnsi="宋体" w:cs="宋体"/>
          <w:bCs/>
          <w:sz w:val="24"/>
          <w:szCs w:val="24"/>
        </w:rPr>
      </w:pPr>
      <w:bookmarkStart w:id="447" w:name="_Toc2823"/>
      <w:r>
        <w:rPr>
          <w:rFonts w:hint="eastAsia" w:hAnsi="宋体" w:cs="宋体"/>
          <w:bCs/>
          <w:sz w:val="24"/>
          <w:szCs w:val="24"/>
        </w:rPr>
        <w:br w:type="page"/>
      </w:r>
      <w:r>
        <w:rPr>
          <w:rFonts w:hint="eastAsia" w:hAnsi="宋体" w:cs="宋体"/>
          <w:bCs/>
          <w:sz w:val="24"/>
          <w:szCs w:val="24"/>
        </w:rPr>
        <w:t>附件五：</w:t>
      </w:r>
    </w:p>
    <w:p>
      <w:pPr>
        <w:spacing w:line="360" w:lineRule="auto"/>
        <w:jc w:val="center"/>
        <w:rPr>
          <w:rFonts w:ascii="宋体" w:hAnsi="宋体" w:cs="宋体"/>
          <w:b/>
          <w:bCs/>
          <w:sz w:val="32"/>
          <w:szCs w:val="32"/>
        </w:rPr>
      </w:pPr>
      <w:r>
        <w:rPr>
          <w:rFonts w:hint="eastAsia" w:ascii="宋体" w:hAnsi="宋体" w:cs="宋体"/>
          <w:b/>
          <w:bCs/>
          <w:sz w:val="32"/>
          <w:szCs w:val="32"/>
        </w:rPr>
        <w:t>技术响应及建议表</w:t>
      </w:r>
      <w:bookmarkEnd w:id="447"/>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p>
      <w:pPr>
        <w:spacing w:line="360" w:lineRule="auto"/>
        <w:ind w:firstLine="480" w:firstLineChars="200"/>
        <w:rPr>
          <w:rFonts w:ascii="宋体" w:hAnsi="宋体" w:cs="宋体"/>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1440" w:type="dxa"/>
            <w:noWrap/>
            <w:vAlign w:val="center"/>
          </w:tcPr>
          <w:p>
            <w:pPr>
              <w:snapToGrid w:val="0"/>
              <w:spacing w:before="50" w:after="50"/>
              <w:jc w:val="center"/>
              <w:rPr>
                <w:rFonts w:ascii="宋体" w:hAnsi="宋体" w:cs="宋体"/>
                <w:sz w:val="24"/>
              </w:rPr>
            </w:pPr>
            <w:r>
              <w:rPr>
                <w:rFonts w:hint="eastAsia" w:ascii="宋体" w:hAnsi="宋体" w:cs="宋体"/>
                <w:sz w:val="24"/>
              </w:rPr>
              <w:t>名称</w:t>
            </w:r>
          </w:p>
        </w:tc>
        <w:tc>
          <w:tcPr>
            <w:tcW w:w="1980" w:type="dxa"/>
            <w:noWrap/>
            <w:vAlign w:val="center"/>
          </w:tcPr>
          <w:p>
            <w:pPr>
              <w:snapToGrid w:val="0"/>
              <w:spacing w:before="50" w:after="50"/>
              <w:jc w:val="center"/>
              <w:rPr>
                <w:rFonts w:ascii="宋体" w:hAnsi="宋体" w:cs="宋体"/>
                <w:sz w:val="24"/>
              </w:rPr>
            </w:pPr>
            <w:r>
              <w:rPr>
                <w:rFonts w:hint="eastAsia" w:ascii="宋体" w:hAnsi="宋体" w:cs="宋体"/>
                <w:sz w:val="24"/>
              </w:rPr>
              <w:t>招标文件要求</w:t>
            </w:r>
          </w:p>
        </w:tc>
        <w:tc>
          <w:tcPr>
            <w:tcW w:w="2520" w:type="dxa"/>
            <w:noWrap/>
            <w:vAlign w:val="center"/>
          </w:tcPr>
          <w:p>
            <w:pPr>
              <w:snapToGrid w:val="0"/>
              <w:spacing w:before="50" w:after="50"/>
              <w:jc w:val="center"/>
              <w:rPr>
                <w:rFonts w:ascii="宋体" w:hAnsi="宋体" w:cs="宋体"/>
                <w:sz w:val="24"/>
              </w:rPr>
            </w:pPr>
            <w:r>
              <w:rPr>
                <w:rFonts w:hint="eastAsia" w:ascii="宋体" w:hAnsi="宋体" w:cs="宋体"/>
                <w:sz w:val="24"/>
              </w:rPr>
              <w:t>投标文件响应</w:t>
            </w:r>
          </w:p>
        </w:tc>
        <w:tc>
          <w:tcPr>
            <w:tcW w:w="1953" w:type="dxa"/>
            <w:noWrap/>
            <w:vAlign w:val="center"/>
          </w:tcPr>
          <w:p>
            <w:pPr>
              <w:snapToGrid w:val="0"/>
              <w:spacing w:before="50" w:after="50"/>
              <w:jc w:val="center"/>
              <w:rPr>
                <w:rFonts w:ascii="宋体" w:hAnsi="宋体" w:cs="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pPr>
              <w:snapToGrid w:val="0"/>
              <w:spacing w:before="50" w:after="50"/>
              <w:jc w:val="center"/>
              <w:rPr>
                <w:rFonts w:ascii="宋体" w:hAnsi="宋体" w:cs="宋体"/>
                <w:sz w:val="24"/>
              </w:rPr>
            </w:pPr>
            <w:r>
              <w:rPr>
                <w:rFonts w:hint="eastAsia" w:ascii="宋体" w:hAnsi="宋体" w:cs="宋体"/>
                <w:sz w:val="24"/>
              </w:rPr>
              <w:t>投标建议</w:t>
            </w:r>
          </w:p>
        </w:tc>
        <w:tc>
          <w:tcPr>
            <w:tcW w:w="6453" w:type="dxa"/>
            <w:gridSpan w:val="3"/>
            <w:noWrap/>
            <w:vAlign w:val="center"/>
          </w:tcPr>
          <w:p>
            <w:pPr>
              <w:spacing w:line="360" w:lineRule="auto"/>
              <w:jc w:val="center"/>
              <w:rPr>
                <w:rFonts w:ascii="宋体" w:hAnsi="宋体" w:cs="宋体"/>
                <w:sz w:val="24"/>
              </w:rPr>
            </w:pPr>
          </w:p>
        </w:tc>
      </w:tr>
    </w:tbl>
    <w:p>
      <w:pPr>
        <w:snapToGrid w:val="0"/>
        <w:spacing w:line="360" w:lineRule="auto"/>
        <w:rPr>
          <w:rFonts w:ascii="宋体" w:hAnsi="宋体" w:cs="宋体"/>
          <w:sz w:val="24"/>
        </w:rPr>
      </w:pPr>
    </w:p>
    <w:p>
      <w:pPr>
        <w:pStyle w:val="15"/>
        <w:spacing w:line="360" w:lineRule="auto"/>
        <w:rPr>
          <w:rFonts w:hAnsi="宋体" w:cs="宋体"/>
          <w:sz w:val="24"/>
        </w:rPr>
      </w:pPr>
      <w:r>
        <w:rPr>
          <w:rFonts w:hint="eastAsia" w:hAnsi="宋体" w:cs="宋体"/>
          <w:sz w:val="24"/>
        </w:rPr>
        <w:t>注：名称可基于项目清单根据投标人实际情况调整。</w:t>
      </w:r>
    </w:p>
    <w:p>
      <w:pPr>
        <w:rPr>
          <w:rFonts w:ascii="宋体" w:hAnsi="宋体" w:cs="宋体"/>
          <w:sz w:val="24"/>
        </w:rPr>
      </w:pPr>
    </w:p>
    <w:p>
      <w:pPr>
        <w:pStyle w:val="12"/>
      </w:pPr>
    </w:p>
    <w:p>
      <w:pPr>
        <w:snapToGrid w:val="0"/>
        <w:spacing w:line="360" w:lineRule="auto"/>
        <w:rPr>
          <w:rFonts w:ascii="宋体" w:hAnsi="宋体" w:cs="宋体"/>
          <w:sz w:val="24"/>
        </w:rPr>
      </w:pPr>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rPr>
          <w:rFonts w:ascii="宋体" w:hAnsi="宋体" w:cs="宋体"/>
          <w:sz w:val="36"/>
        </w:rPr>
      </w:pPr>
      <w:r>
        <w:rPr>
          <w:rFonts w:hint="eastAsia" w:ascii="宋体" w:hAnsi="宋体" w:cs="宋体"/>
          <w:sz w:val="24"/>
        </w:rPr>
        <w:t xml:space="preserve">                                  日   期：</w:t>
      </w:r>
    </w:p>
    <w:p>
      <w:pPr>
        <w:pStyle w:val="2"/>
        <w:rPr>
          <w:rFonts w:hAnsi="宋体" w:cs="宋体"/>
          <w:bCs/>
          <w:sz w:val="24"/>
          <w:szCs w:val="24"/>
        </w:rPr>
      </w:pPr>
      <w:r>
        <w:rPr>
          <w:rFonts w:hint="eastAsia" w:hAnsi="宋体" w:cs="宋体"/>
          <w:bCs/>
          <w:sz w:val="24"/>
          <w:szCs w:val="24"/>
        </w:rPr>
        <w:br w:type="page"/>
      </w:r>
      <w:r>
        <w:rPr>
          <w:rFonts w:hint="eastAsia" w:hAnsi="宋体" w:cs="宋体"/>
          <w:bCs/>
          <w:sz w:val="24"/>
          <w:szCs w:val="24"/>
        </w:rPr>
        <w:t>附件六：</w:t>
      </w:r>
    </w:p>
    <w:p>
      <w:pPr>
        <w:spacing w:line="360" w:lineRule="auto"/>
        <w:jc w:val="center"/>
        <w:rPr>
          <w:rFonts w:ascii="宋体" w:hAnsi="宋体" w:cs="宋体"/>
          <w:b/>
          <w:bCs/>
          <w:sz w:val="32"/>
          <w:szCs w:val="32"/>
        </w:rPr>
      </w:pPr>
      <w:r>
        <w:rPr>
          <w:rFonts w:hint="eastAsia" w:ascii="宋体" w:hAnsi="宋体" w:cs="宋体"/>
          <w:b/>
          <w:bCs/>
          <w:sz w:val="32"/>
          <w:szCs w:val="32"/>
        </w:rPr>
        <w:t>商务响应表</w:t>
      </w:r>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30"/>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是否</w:t>
            </w:r>
          </w:p>
          <w:p>
            <w:pPr>
              <w:snapToGrid w:val="0"/>
              <w:spacing w:before="50" w:after="50"/>
              <w:jc w:val="center"/>
              <w:rPr>
                <w:rFonts w:ascii="宋体" w:hAnsi="宋体" w:cs="宋体"/>
                <w:sz w:val="24"/>
              </w:rPr>
            </w:pPr>
            <w:r>
              <w:rPr>
                <w:rFonts w:hint="eastAsia" w:ascii="宋体" w:hAnsi="宋体" w:cs="宋体"/>
                <w:sz w:val="24"/>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服务时间及地点</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本地化服务</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技术培训</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经验或业绩要求</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bl>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ind w:firstLine="4080" w:firstLineChars="1700"/>
        <w:rPr>
          <w:rFonts w:ascii="宋体" w:hAnsi="宋体" w:cs="宋体"/>
          <w:sz w:val="36"/>
        </w:rPr>
      </w:pPr>
      <w:r>
        <w:rPr>
          <w:rFonts w:hint="eastAsia" w:ascii="宋体" w:hAnsi="宋体" w:cs="宋体"/>
          <w:sz w:val="24"/>
        </w:rPr>
        <w:t>日   期：</w:t>
      </w:r>
    </w:p>
    <w:p>
      <w:pPr>
        <w:pStyle w:val="29"/>
      </w:pPr>
    </w:p>
    <w:p>
      <w:pPr>
        <w:pStyle w:val="29"/>
      </w:pPr>
    </w:p>
    <w:p>
      <w:pPr>
        <w:pStyle w:val="29"/>
      </w:pPr>
    </w:p>
    <w:p>
      <w:pPr>
        <w:pStyle w:val="29"/>
      </w:pPr>
    </w:p>
    <w:p>
      <w:pPr>
        <w:pStyle w:val="29"/>
      </w:pPr>
    </w:p>
    <w:p>
      <w:pPr>
        <w:pStyle w:val="29"/>
      </w:pPr>
    </w:p>
    <w:p>
      <w:pPr>
        <w:pStyle w:val="29"/>
      </w:pPr>
    </w:p>
    <w:p>
      <w:pPr>
        <w:pStyle w:val="29"/>
        <w:ind w:left="0" w:leftChars="0" w:firstLine="0" w:firstLineChars="0"/>
        <w:rPr>
          <w:rFonts w:ascii="宋体" w:hAnsi="宋体" w:cs="宋体"/>
          <w:b/>
          <w:bCs/>
          <w:sz w:val="24"/>
          <w:lang w:val="zh-CN"/>
        </w:rPr>
      </w:pPr>
    </w:p>
    <w:p>
      <w:pPr>
        <w:spacing w:line="360" w:lineRule="auto"/>
        <w:jc w:val="center"/>
        <w:rPr>
          <w:rFonts w:ascii="宋体" w:hAnsi="宋体" w:cs="宋体"/>
          <w:b/>
          <w:kern w:val="0"/>
          <w:sz w:val="36"/>
          <w:szCs w:val="36"/>
        </w:rPr>
      </w:pPr>
      <w:r>
        <w:rPr>
          <w:rFonts w:hint="eastAsia" w:ascii="宋体" w:hAnsi="宋体" w:cs="宋体"/>
          <w:b/>
          <w:kern w:val="0"/>
          <w:sz w:val="36"/>
          <w:szCs w:val="36"/>
        </w:rPr>
        <w:br w:type="page"/>
      </w:r>
      <w:r>
        <w:rPr>
          <w:rFonts w:hint="eastAsia" w:ascii="宋体" w:hAnsi="宋体" w:cs="宋体"/>
          <w:b/>
          <w:kern w:val="0"/>
          <w:sz w:val="36"/>
          <w:szCs w:val="36"/>
        </w:rPr>
        <w:t>报价文件</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12"/>
        <w:ind w:firstLine="723"/>
        <w:rPr>
          <w:rFonts w:ascii="宋体" w:hAnsi="宋体" w:cs="宋体"/>
          <w:b/>
          <w:kern w:val="0"/>
          <w:sz w:val="36"/>
          <w:szCs w:val="36"/>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sz w:val="24"/>
        </w:rPr>
      </w:pPr>
      <w:r>
        <w:rPr>
          <w:rFonts w:hint="eastAsia" w:ascii="宋体" w:hAnsi="宋体" w:cs="宋体"/>
          <w:sz w:val="24"/>
        </w:rPr>
        <w:t>（1）投标函（格式见附件）；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sz w:val="24"/>
        </w:rPr>
      </w:pPr>
      <w:r>
        <w:rPr>
          <w:rFonts w:hint="eastAsia" w:ascii="宋体" w:hAnsi="宋体" w:cs="宋体"/>
          <w:sz w:val="24"/>
        </w:rPr>
        <w:t>（2）开标一览表（格式见附件）；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hint="eastAsia" w:ascii="宋体" w:hAnsi="宋体" w:eastAsia="宋体" w:cs="宋体"/>
          <w:sz w:val="24"/>
          <w:lang w:eastAsia="zh-CN"/>
        </w:rPr>
      </w:pPr>
      <w:r>
        <w:rPr>
          <w:rFonts w:hint="eastAsia" w:ascii="宋体" w:hAnsi="宋体" w:cs="宋体"/>
          <w:sz w:val="24"/>
        </w:rPr>
        <w:t>（3）投标报价明细表（格式见附件）</w:t>
      </w:r>
      <w:r>
        <w:rPr>
          <w:rFonts w:hint="eastAsia" w:ascii="宋体" w:hAnsi="宋体" w:cs="宋体"/>
          <w:sz w:val="24"/>
          <w:lang w:eastAsia="zh-CN"/>
        </w:rPr>
        <w:t>；</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FF0000"/>
          <w:sz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rPr>
        <w:t>每人工资标准投标报价明细表</w:t>
      </w:r>
      <w:r>
        <w:rPr>
          <w:rFonts w:hint="eastAsia" w:ascii="宋体" w:hAnsi="宋体" w:cs="宋体"/>
          <w:color w:val="FF0000"/>
          <w:sz w:val="24"/>
          <w:highlight w:val="none"/>
        </w:rPr>
        <w:t>（格式见附件）。</w:t>
      </w: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12"/>
        <w:ind w:firstLine="560"/>
        <w:rPr>
          <w:rFonts w:ascii="宋体" w:hAnsi="宋体" w:cs="宋体"/>
          <w:sz w:val="28"/>
          <w:szCs w:val="28"/>
        </w:rPr>
      </w:pPr>
    </w:p>
    <w:p>
      <w:pPr>
        <w:pStyle w:val="2"/>
        <w:rPr>
          <w:rFonts w:hAnsi="宋体" w:cs="宋体"/>
          <w:bCs/>
          <w:sz w:val="24"/>
          <w:szCs w:val="24"/>
          <w:lang w:val="zh-CN"/>
        </w:rPr>
      </w:pPr>
      <w:r>
        <w:rPr>
          <w:rFonts w:hint="eastAsia" w:hAnsi="宋体" w:cs="宋体"/>
          <w:szCs w:val="28"/>
        </w:rPr>
        <w:br w:type="page"/>
      </w:r>
      <w:bookmarkStart w:id="448" w:name="_Toc3094"/>
      <w:r>
        <w:rPr>
          <w:rFonts w:hint="eastAsia" w:hAnsi="宋体" w:cs="宋体"/>
          <w:bCs/>
          <w:sz w:val="24"/>
          <w:szCs w:val="24"/>
          <w:lang w:val="zh-CN"/>
        </w:rPr>
        <w:t>附件</w:t>
      </w:r>
      <w:bookmarkStart w:id="449" w:name="_Toc130094924"/>
      <w:bookmarkStart w:id="450" w:name="_Toc98731770"/>
      <w:r>
        <w:rPr>
          <w:rFonts w:hint="eastAsia" w:hAnsi="宋体" w:cs="宋体"/>
          <w:bCs/>
          <w:sz w:val="24"/>
          <w:szCs w:val="24"/>
          <w:lang w:val="en-US" w:eastAsia="zh-CN"/>
        </w:rPr>
        <w:t>七</w:t>
      </w:r>
      <w:r>
        <w:rPr>
          <w:rFonts w:hint="eastAsia" w:hAnsi="宋体" w:cs="宋体"/>
          <w:bCs/>
          <w:sz w:val="24"/>
          <w:szCs w:val="24"/>
        </w:rPr>
        <w:t>：</w:t>
      </w:r>
    </w:p>
    <w:p>
      <w:pPr>
        <w:spacing w:line="360" w:lineRule="auto"/>
        <w:jc w:val="center"/>
        <w:rPr>
          <w:rFonts w:ascii="宋体" w:hAnsi="宋体" w:cs="宋体"/>
          <w:b/>
          <w:bCs/>
          <w:sz w:val="32"/>
          <w:szCs w:val="32"/>
        </w:rPr>
      </w:pPr>
      <w:r>
        <w:rPr>
          <w:rFonts w:hint="eastAsia" w:ascii="宋体" w:hAnsi="宋体" w:cs="宋体"/>
          <w:b/>
          <w:bCs/>
          <w:sz w:val="32"/>
          <w:szCs w:val="32"/>
        </w:rPr>
        <w:t>投 标 函</w:t>
      </w:r>
      <w:bookmarkEnd w:id="448"/>
      <w:bookmarkEnd w:id="449"/>
      <w:bookmarkEnd w:id="450"/>
    </w:p>
    <w:p>
      <w:pPr>
        <w:spacing w:line="360" w:lineRule="auto"/>
        <w:ind w:firstLine="480" w:firstLineChars="200"/>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rPr>
        <w:t>绍兴市上虞区虞发市政工程有限公司：</w:t>
      </w:r>
    </w:p>
    <w:p>
      <w:pPr>
        <w:spacing w:line="360" w:lineRule="auto"/>
        <w:ind w:firstLine="480" w:firstLineChars="200"/>
        <w:rPr>
          <w:rFonts w:ascii="宋体" w:hAnsi="宋体" w:cs="宋体"/>
          <w:sz w:val="24"/>
        </w:rPr>
      </w:pPr>
      <w:r>
        <w:rPr>
          <w:rFonts w:hint="eastAsia" w:ascii="宋体" w:hAnsi="宋体" w:cs="宋体"/>
          <w:sz w:val="24"/>
        </w:rPr>
        <w:t>浙江建诚工程管理咨询有限公司：</w:t>
      </w:r>
    </w:p>
    <w:p>
      <w:pPr>
        <w:spacing w:line="360" w:lineRule="auto"/>
        <w:ind w:firstLine="480"/>
        <w:jc w:val="left"/>
        <w:rPr>
          <w:rFonts w:ascii="宋体" w:hAnsi="宋体" w:cs="宋体"/>
          <w:sz w:val="24"/>
        </w:rPr>
      </w:pPr>
      <w:r>
        <w:rPr>
          <w:rFonts w:hint="eastAsia" w:ascii="宋体" w:hAnsi="宋体" w:cs="宋体"/>
          <w:sz w:val="24"/>
        </w:rPr>
        <w:t>我单位认真研究了关于</w:t>
      </w:r>
      <w:r>
        <w:rPr>
          <w:rFonts w:hint="eastAsia" w:ascii="宋体" w:hAnsi="宋体" w:cs="宋体"/>
          <w:color w:val="auto"/>
          <w:sz w:val="24"/>
          <w:highlight w:val="none"/>
          <w:u w:val="single"/>
          <w:lang w:val="en-US" w:eastAsia="zh-CN"/>
        </w:rPr>
        <w:t xml:space="preserve">           （项目名称）  </w:t>
      </w:r>
      <w:r>
        <w:rPr>
          <w:rFonts w:hint="eastAsia" w:ascii="宋体" w:hAnsi="宋体" w:cs="宋体"/>
          <w:sz w:val="24"/>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480" w:firstLineChars="200"/>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9JBrSAAAABwEAAA8AAAAAAAAAAQAgAAAAIgAAAGRy&#10;cy9kb3ducmV2LnhtbFBLAQIUABQAAAAIAIdO4kBc6Rvv0gEAAJQDAAAOAAAAAAAAAAEAIAAAACE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rPr>
        <w:t>1、一旦我单位中标，我单位愿意承接开标一览表中所列的技术服务，工期为：。</w:t>
      </w:r>
    </w:p>
    <w:p>
      <w:pPr>
        <w:spacing w:line="360" w:lineRule="auto"/>
        <w:ind w:firstLine="480" w:firstLineChars="200"/>
        <w:rPr>
          <w:rFonts w:ascii="宋体" w:hAnsi="宋体" w:cs="宋体"/>
          <w:sz w:val="24"/>
        </w:rPr>
      </w:pPr>
      <w:r>
        <w:rPr>
          <w:rFonts w:hint="eastAsia" w:ascii="宋体" w:hAnsi="宋体" w:cs="宋体"/>
          <w:sz w:val="24"/>
        </w:rPr>
        <w:t>2、我单位同意提供按照</w:t>
      </w:r>
      <w:r>
        <w:rPr>
          <w:rFonts w:hint="eastAsia" w:ascii="宋体" w:hAnsi="宋体" w:cs="宋体"/>
          <w:bCs/>
          <w:sz w:val="24"/>
        </w:rPr>
        <w:t>采购人的可能要求与其投标有关的一切数据和资料，完全理解采购人不一定要接受最低价者作为中标人</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3、一旦我单位中标，我们保证按照招标文件的要求，完成服务。</w:t>
      </w:r>
    </w:p>
    <w:p>
      <w:pPr>
        <w:spacing w:line="360" w:lineRule="auto"/>
        <w:ind w:firstLine="480" w:firstLineChars="200"/>
        <w:rPr>
          <w:rFonts w:ascii="宋体" w:hAnsi="宋体" w:cs="宋体"/>
          <w:sz w:val="24"/>
        </w:rPr>
      </w:pPr>
      <w:r>
        <w:rPr>
          <w:rFonts w:hint="eastAsia" w:ascii="宋体" w:hAnsi="宋体" w:cs="宋体"/>
          <w:sz w:val="24"/>
        </w:rPr>
        <w:t>4、如果我单位中标，我方将按照要求提交履约保证金，严格履行合同义务。</w:t>
      </w:r>
    </w:p>
    <w:p>
      <w:pPr>
        <w:spacing w:line="360" w:lineRule="auto"/>
        <w:ind w:firstLine="480" w:firstLineChars="200"/>
        <w:rPr>
          <w:rFonts w:ascii="宋体" w:hAnsi="宋体" w:cs="宋体"/>
          <w:sz w:val="24"/>
        </w:rPr>
      </w:pPr>
      <w:r>
        <w:rPr>
          <w:rFonts w:hint="eastAsia" w:ascii="宋体" w:hAnsi="宋体" w:cs="宋体"/>
          <w:sz w:val="24"/>
        </w:rPr>
        <w:t>5、除非另行达成协议并生效，你方的中标通知书和本投标函将构成约束你我双方的合同。</w:t>
      </w:r>
    </w:p>
    <w:p>
      <w:pPr>
        <w:spacing w:line="360" w:lineRule="auto"/>
        <w:ind w:firstLine="480" w:firstLineChars="200"/>
        <w:rPr>
          <w:rFonts w:ascii="宋体" w:hAnsi="宋体" w:cs="宋体"/>
          <w:sz w:val="24"/>
        </w:rPr>
      </w:pPr>
      <w:r>
        <w:rPr>
          <w:rFonts w:hint="eastAsia" w:ascii="宋体" w:hAnsi="宋体" w:cs="宋体"/>
          <w:sz w:val="24"/>
        </w:rPr>
        <w:t>6、我单位承诺，一旦发生招标文件第二部分第12条规定情形之一的，承担该条款约定的责任。</w:t>
      </w:r>
    </w:p>
    <w:p>
      <w:pPr>
        <w:pStyle w:val="15"/>
        <w:snapToGrid w:val="0"/>
        <w:spacing w:line="360" w:lineRule="auto"/>
        <w:ind w:left="480"/>
        <w:jc w:val="left"/>
        <w:rPr>
          <w:rFonts w:hAnsi="宋体" w:cs="宋体"/>
          <w:sz w:val="24"/>
        </w:rPr>
      </w:pPr>
    </w:p>
    <w:p>
      <w:pPr>
        <w:spacing w:line="360" w:lineRule="auto"/>
        <w:ind w:firstLine="480" w:firstLineChars="200"/>
        <w:rPr>
          <w:rFonts w:ascii="宋体" w:hAnsi="宋体" w:cs="宋体"/>
          <w:bCs/>
          <w:sz w:val="24"/>
          <w:szCs w:val="21"/>
        </w:rPr>
      </w:pPr>
      <w:r>
        <w:rPr>
          <w:rFonts w:hint="eastAsia" w:ascii="宋体" w:hAnsi="宋体" w:cs="宋体"/>
          <w:bCs/>
          <w:sz w:val="24"/>
          <w:szCs w:val="21"/>
        </w:rPr>
        <w:t>地址：</w:t>
      </w:r>
      <w:r>
        <w:rPr>
          <w:rFonts w:hint="eastAsia" w:ascii="宋体" w:hAnsi="宋体" w:cs="宋体"/>
          <w:bCs/>
          <w:sz w:val="24"/>
          <w:szCs w:val="21"/>
          <w:lang w:val="en-US" w:eastAsia="zh-CN"/>
        </w:rPr>
        <w:t xml:space="preserve">                        </w:t>
      </w:r>
      <w:r>
        <w:rPr>
          <w:rFonts w:hint="eastAsia" w:ascii="宋体" w:hAnsi="宋体" w:cs="宋体"/>
          <w:bCs/>
          <w:sz w:val="24"/>
          <w:szCs w:val="21"/>
        </w:rPr>
        <w:t>邮编：</w:t>
      </w:r>
    </w:p>
    <w:p>
      <w:pPr>
        <w:spacing w:line="360" w:lineRule="auto"/>
        <w:ind w:firstLine="480" w:firstLineChars="200"/>
        <w:rPr>
          <w:rFonts w:ascii="宋体" w:hAnsi="宋体" w:cs="宋体"/>
          <w:bCs/>
          <w:sz w:val="24"/>
          <w:szCs w:val="21"/>
          <w:u w:val="single"/>
        </w:rPr>
      </w:pPr>
      <w:r>
        <w:rPr>
          <w:rFonts w:hint="eastAsia" w:ascii="宋体" w:hAnsi="宋体" w:cs="宋体"/>
          <w:bCs/>
          <w:sz w:val="24"/>
          <w:szCs w:val="21"/>
        </w:rPr>
        <w:t>电话：</w:t>
      </w:r>
      <w:r>
        <w:rPr>
          <w:rFonts w:hint="eastAsia" w:ascii="宋体" w:hAnsi="宋体" w:cs="宋体"/>
          <w:bCs/>
          <w:sz w:val="24"/>
          <w:szCs w:val="21"/>
          <w:lang w:val="en-US" w:eastAsia="zh-CN"/>
        </w:rPr>
        <w:t xml:space="preserve">                        </w:t>
      </w:r>
      <w:r>
        <w:rPr>
          <w:rFonts w:hint="eastAsia" w:ascii="宋体" w:hAnsi="宋体" w:cs="宋体"/>
          <w:bCs/>
          <w:sz w:val="24"/>
          <w:szCs w:val="21"/>
        </w:rPr>
        <w:t>传真：</w:t>
      </w:r>
    </w:p>
    <w:p>
      <w:pPr>
        <w:spacing w:line="360" w:lineRule="auto"/>
        <w:ind w:firstLine="480" w:firstLineChars="200"/>
        <w:rPr>
          <w:rFonts w:ascii="宋体" w:hAnsi="宋体" w:cs="宋体"/>
          <w:bCs/>
          <w:sz w:val="24"/>
          <w:szCs w:val="21"/>
        </w:rPr>
      </w:pPr>
      <w:r>
        <w:rPr>
          <w:rFonts w:hint="eastAsia" w:ascii="宋体" w:hAnsi="宋体" w:cs="宋体"/>
          <w:bCs/>
          <w:sz w:val="24"/>
          <w:szCs w:val="21"/>
        </w:rPr>
        <w:t>供应商代表姓名：</w:t>
      </w:r>
      <w:r>
        <w:rPr>
          <w:rFonts w:hint="eastAsia" w:ascii="宋体" w:hAnsi="宋体" w:cs="宋体"/>
          <w:bCs/>
          <w:sz w:val="24"/>
          <w:szCs w:val="21"/>
          <w:lang w:val="en-US" w:eastAsia="zh-CN"/>
        </w:rPr>
        <w:t xml:space="preserve">               </w:t>
      </w:r>
      <w:r>
        <w:rPr>
          <w:rFonts w:hint="eastAsia" w:ascii="宋体" w:hAnsi="宋体" w:cs="宋体"/>
          <w:bCs/>
          <w:sz w:val="24"/>
          <w:szCs w:val="21"/>
        </w:rPr>
        <w:t>职务：</w:t>
      </w:r>
    </w:p>
    <w:p>
      <w:pPr>
        <w:spacing w:line="360" w:lineRule="auto"/>
        <w:ind w:firstLine="480" w:firstLineChars="200"/>
        <w:rPr>
          <w:rFonts w:ascii="宋体" w:hAnsi="宋体" w:cs="宋体"/>
          <w:bCs/>
          <w:sz w:val="24"/>
          <w:szCs w:val="21"/>
          <w:u w:val="single"/>
        </w:rPr>
      </w:pPr>
      <w:r>
        <w:rPr>
          <w:rFonts w:hint="eastAsia" w:ascii="宋体" w:hAnsi="宋体" w:cs="宋体"/>
          <w:bCs/>
          <w:sz w:val="24"/>
          <w:szCs w:val="21"/>
        </w:rPr>
        <w:t>供应商名称</w:t>
      </w:r>
      <w:r>
        <w:rPr>
          <w:rFonts w:hint="eastAsia" w:ascii="宋体" w:hAnsi="宋体" w:cs="宋体"/>
          <w:bCs/>
          <w:sz w:val="24"/>
          <w:szCs w:val="21"/>
          <w:u w:val="single"/>
        </w:rPr>
        <w:t>：                   　　　</w:t>
      </w:r>
    </w:p>
    <w:p>
      <w:pPr>
        <w:spacing w:line="360" w:lineRule="auto"/>
        <w:ind w:firstLine="480" w:firstLineChars="200"/>
        <w:rPr>
          <w:rFonts w:ascii="宋体" w:hAnsi="宋体" w:cs="宋体"/>
          <w:bCs/>
          <w:sz w:val="24"/>
          <w:szCs w:val="21"/>
        </w:rPr>
      </w:pPr>
      <w:r>
        <w:rPr>
          <w:rFonts w:hint="eastAsia" w:ascii="宋体" w:hAnsi="宋体" w:cs="宋体"/>
          <w:bCs/>
          <w:sz w:val="24"/>
          <w:szCs w:val="21"/>
        </w:rPr>
        <w:t xml:space="preserve">（公章）：                   </w:t>
      </w: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firstLine="5280" w:firstLineChars="2200"/>
        <w:rPr>
          <w:rFonts w:ascii="宋体" w:hAnsi="宋体" w:cs="宋体"/>
          <w:bCs/>
          <w:sz w:val="24"/>
          <w:szCs w:val="21"/>
        </w:rPr>
      </w:pPr>
    </w:p>
    <w:p>
      <w:pPr>
        <w:pStyle w:val="2"/>
        <w:rPr>
          <w:rFonts w:hAnsi="宋体" w:cs="宋体"/>
          <w:bCs/>
          <w:sz w:val="24"/>
          <w:szCs w:val="24"/>
          <w:lang w:val="zh-CN"/>
        </w:rPr>
        <w:sectPr>
          <w:pgSz w:w="11906" w:h="16838"/>
          <w:pgMar w:top="1440" w:right="1800" w:bottom="1440" w:left="1800" w:header="851" w:footer="992" w:gutter="0"/>
          <w:cols w:space="720" w:num="1"/>
          <w:docGrid w:type="lines" w:linePitch="312" w:charSpace="0"/>
        </w:sectPr>
      </w:pPr>
      <w:bookmarkStart w:id="451" w:name="_Toc12011"/>
    </w:p>
    <w:p>
      <w:pPr>
        <w:pStyle w:val="15"/>
        <w:spacing w:line="460" w:lineRule="atLeast"/>
        <w:rPr>
          <w:rFonts w:hAnsi="宋体"/>
          <w:b/>
          <w:bCs/>
          <w:sz w:val="24"/>
        </w:rPr>
      </w:pPr>
      <w:r>
        <w:rPr>
          <w:rFonts w:hint="eastAsia" w:hAnsi="宋体"/>
          <w:b/>
          <w:bCs/>
          <w:sz w:val="24"/>
        </w:rPr>
        <w:t>附件</w:t>
      </w:r>
      <w:r>
        <w:rPr>
          <w:rFonts w:hint="eastAsia" w:hAnsi="宋体"/>
          <w:b/>
          <w:bCs/>
          <w:sz w:val="24"/>
          <w:lang w:val="en-US" w:eastAsia="zh-CN"/>
        </w:rPr>
        <w:t>八</w:t>
      </w:r>
      <w:r>
        <w:rPr>
          <w:rFonts w:hint="eastAsia" w:hAnsi="宋体"/>
          <w:b/>
          <w:bCs/>
          <w:sz w:val="24"/>
        </w:rPr>
        <w:t>：</w:t>
      </w:r>
    </w:p>
    <w:p>
      <w:pPr>
        <w:spacing w:line="360" w:lineRule="auto"/>
        <w:jc w:val="center"/>
        <w:rPr>
          <w:rFonts w:ascii="宋体" w:hAnsi="宋体" w:cs="宋体"/>
          <w:b/>
          <w:bCs/>
          <w:sz w:val="32"/>
          <w:szCs w:val="32"/>
        </w:rPr>
      </w:pPr>
      <w:r>
        <w:rPr>
          <w:rFonts w:hint="eastAsia" w:ascii="宋体" w:hAnsi="宋体" w:cs="宋体"/>
          <w:b/>
          <w:bCs/>
          <w:sz w:val="32"/>
          <w:szCs w:val="32"/>
        </w:rPr>
        <w:t>开标一览表</w:t>
      </w:r>
    </w:p>
    <w:p>
      <w:pPr>
        <w:pStyle w:val="15"/>
        <w:spacing w:line="460" w:lineRule="atLeast"/>
        <w:rPr>
          <w:rFonts w:hAnsi="宋体"/>
          <w:sz w:val="24"/>
        </w:rPr>
      </w:pPr>
    </w:p>
    <w:bookmarkEnd w:id="451"/>
    <w:p>
      <w:pPr>
        <w:spacing w:line="360" w:lineRule="auto"/>
        <w:ind w:firstLine="480" w:firstLineChars="200"/>
        <w:rPr>
          <w:rFonts w:ascii="宋体" w:hAnsi="宋体" w:cs="宋体"/>
          <w:sz w:val="24"/>
        </w:rPr>
      </w:pPr>
      <w:bookmarkStart w:id="452" w:name="_Toc7196"/>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项目编号：</w:t>
      </w:r>
    </w:p>
    <w:tbl>
      <w:tblPr>
        <w:tblStyle w:val="30"/>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678"/>
        <w:gridCol w:w="1643"/>
        <w:gridCol w:w="12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72" w:type="dxa"/>
            <w:vMerge w:val="restart"/>
            <w:noWrap/>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投标报价</w:t>
            </w:r>
          </w:p>
        </w:tc>
        <w:tc>
          <w:tcPr>
            <w:tcW w:w="1678" w:type="dxa"/>
            <w:noWrap/>
            <w:vAlign w:val="center"/>
          </w:tcPr>
          <w:p>
            <w:pPr>
              <w:spacing w:line="360" w:lineRule="auto"/>
              <w:jc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kern w:val="0"/>
                <w:sz w:val="24"/>
                <w:highlight w:val="none"/>
                <w:lang w:val="en-US" w:eastAsia="zh-CN"/>
              </w:rPr>
              <w:t>单价（元）</w:t>
            </w:r>
          </w:p>
        </w:tc>
        <w:tc>
          <w:tcPr>
            <w:tcW w:w="1643" w:type="dxa"/>
            <w:noWrap/>
            <w:vAlign w:val="center"/>
          </w:tcPr>
          <w:p>
            <w:pPr>
              <w:spacing w:line="360" w:lineRule="auto"/>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面积（平方米）</w:t>
            </w:r>
          </w:p>
        </w:tc>
        <w:tc>
          <w:tcPr>
            <w:tcW w:w="1250" w:type="dxa"/>
            <w:noWrap/>
            <w:vAlign w:val="center"/>
          </w:tcPr>
          <w:p>
            <w:pPr>
              <w:spacing w:line="360" w:lineRule="auto"/>
              <w:jc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服务期限（年）</w:t>
            </w:r>
          </w:p>
        </w:tc>
        <w:tc>
          <w:tcPr>
            <w:tcW w:w="2514" w:type="dxa"/>
            <w:noWrap/>
            <w:vAlign w:val="center"/>
          </w:tcPr>
          <w:p>
            <w:pPr>
              <w:spacing w:line="360" w:lineRule="auto"/>
              <w:jc w:val="center"/>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72" w:type="dxa"/>
            <w:vMerge w:val="continue"/>
            <w:noWrap/>
            <w:vAlign w:val="center"/>
          </w:tcPr>
          <w:p>
            <w:pPr>
              <w:spacing w:line="360" w:lineRule="auto"/>
              <w:jc w:val="center"/>
              <w:rPr>
                <w:rFonts w:hint="eastAsia" w:ascii="宋体" w:hAnsi="宋体" w:cs="宋体"/>
                <w:b/>
                <w:bCs/>
                <w:kern w:val="0"/>
                <w:sz w:val="24"/>
                <w:highlight w:val="none"/>
              </w:rPr>
            </w:pPr>
          </w:p>
        </w:tc>
        <w:tc>
          <w:tcPr>
            <w:tcW w:w="1678" w:type="dxa"/>
            <w:noWrap/>
            <w:vAlign w:val="center"/>
          </w:tcPr>
          <w:p>
            <w:pPr>
              <w:spacing w:line="360" w:lineRule="auto"/>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lang w:val="en-US" w:eastAsia="zh-CN"/>
              </w:rPr>
              <w:t>元</w:t>
            </w:r>
          </w:p>
        </w:tc>
        <w:tc>
          <w:tcPr>
            <w:tcW w:w="1643" w:type="dxa"/>
            <w:noWrap/>
            <w:vAlign w:val="center"/>
          </w:tcPr>
          <w:p>
            <w:pPr>
              <w:spacing w:line="360" w:lineRule="auto"/>
              <w:jc w:val="center"/>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5218907.2</w:t>
            </w:r>
          </w:p>
        </w:tc>
        <w:tc>
          <w:tcPr>
            <w:tcW w:w="1250" w:type="dxa"/>
            <w:noWrap/>
            <w:vAlign w:val="center"/>
          </w:tcPr>
          <w:p>
            <w:pPr>
              <w:spacing w:line="360" w:lineRule="auto"/>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2</w:t>
            </w:r>
          </w:p>
        </w:tc>
        <w:tc>
          <w:tcPr>
            <w:tcW w:w="2514"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8457" w:type="dxa"/>
            <w:gridSpan w:val="5"/>
            <w:noWrap/>
            <w:vAlign w:val="center"/>
          </w:tcPr>
          <w:p>
            <w:pPr>
              <w:autoSpaceDE w:val="0"/>
              <w:autoSpaceDN w:val="0"/>
              <w:adjustRightInd w:val="0"/>
              <w:spacing w:line="360" w:lineRule="auto"/>
              <w:ind w:firstLine="480" w:firstLineChars="200"/>
              <w:jc w:val="left"/>
              <w:rPr>
                <w:rFonts w:ascii="宋体" w:hAnsi="宋体" w:cs="宋体"/>
                <w:kern w:val="0"/>
                <w:sz w:val="24"/>
                <w:highlight w:val="yellow"/>
              </w:rPr>
            </w:pPr>
            <w:r>
              <w:rPr>
                <w:rFonts w:hint="eastAsia" w:hAnsi="宋体" w:cs="宋体"/>
                <w:color w:val="FF0000"/>
                <w:sz w:val="24"/>
                <w:szCs w:val="24"/>
                <w:lang w:val="en-US" w:eastAsia="zh-CN"/>
              </w:rPr>
              <w:t>投标</w:t>
            </w:r>
            <w:r>
              <w:rPr>
                <w:rFonts w:hint="eastAsia" w:ascii="宋体" w:hAnsi="宋体" w:cs="宋体"/>
                <w:bCs/>
                <w:color w:val="FF0000"/>
                <w:sz w:val="24"/>
                <w:highlight w:val="none"/>
                <w:lang w:val="en-US" w:eastAsia="zh-CN"/>
              </w:rPr>
              <w:t>综合单</w:t>
            </w:r>
            <w:r>
              <w:rPr>
                <w:rFonts w:hint="eastAsia" w:ascii="宋体" w:hAnsi="宋体" w:cs="宋体"/>
                <w:bCs/>
                <w:color w:val="FF0000"/>
                <w:sz w:val="24"/>
                <w:highlight w:val="none"/>
              </w:rPr>
              <w:t>价</w:t>
            </w:r>
            <w:r>
              <w:rPr>
                <w:rFonts w:hint="eastAsia" w:hAnsi="宋体" w:cs="宋体"/>
                <w:sz w:val="24"/>
                <w:szCs w:val="24"/>
              </w:rPr>
              <w:t>统一为人民币计价，</w:t>
            </w:r>
            <w:r>
              <w:rPr>
                <w:rFonts w:hint="eastAsia"/>
                <w:b/>
                <w:sz w:val="24"/>
              </w:rPr>
              <w:t>应</w:t>
            </w:r>
            <w:r>
              <w:rPr>
                <w:b/>
                <w:sz w:val="24"/>
              </w:rPr>
              <w:t>包括</w:t>
            </w:r>
            <w:r>
              <w:rPr>
                <w:rFonts w:hint="eastAsia"/>
                <w:b/>
                <w:sz w:val="24"/>
              </w:rPr>
              <w:t>但不限于完成本项目服务可能发生的全部费用包括</w:t>
            </w:r>
            <w:r>
              <w:rPr>
                <w:rFonts w:hint="eastAsia" w:hAnsi="宋体" w:cs="宋体"/>
                <w:b/>
                <w:bCs/>
                <w:sz w:val="24"/>
                <w:szCs w:val="24"/>
              </w:rPr>
              <w:t>保洁、管理人员的意外保险、</w:t>
            </w:r>
            <w:r>
              <w:rPr>
                <w:rFonts w:hint="eastAsia"/>
                <w:b/>
                <w:sz w:val="24"/>
              </w:rPr>
              <w:t>工资福利、社保、服装费、办公用品、劳动用品、工器具、管理费、税费、垃圾清扫清运设备及船只购置费用、运输费用、燃油、保养维修、垃圾处置及清运费用及不可预见费等所有费用</w:t>
            </w:r>
            <w:r>
              <w:rPr>
                <w:rFonts w:hint="eastAsia" w:hAnsi="宋体" w:cs="宋体"/>
                <w:kern w:val="0"/>
                <w:sz w:val="24"/>
              </w:rPr>
              <w:t>。</w:t>
            </w:r>
          </w:p>
        </w:tc>
      </w:tr>
    </w:tbl>
    <w:p>
      <w:pPr>
        <w:spacing w:line="360" w:lineRule="auto"/>
        <w:jc w:val="left"/>
        <w:rPr>
          <w:rFonts w:ascii="宋体" w:hAnsi="宋体" w:cs="宋体"/>
          <w:sz w:val="24"/>
        </w:rPr>
      </w:pPr>
      <w:r>
        <w:rPr>
          <w:rFonts w:hint="eastAsia" w:ascii="宋体" w:hAnsi="宋体" w:cs="宋体"/>
          <w:sz w:val="24"/>
        </w:rPr>
        <w:t xml:space="preserve">注: </w:t>
      </w:r>
    </w:p>
    <w:p>
      <w:pPr>
        <w:spacing w:line="360" w:lineRule="auto"/>
        <w:ind w:firstLine="480" w:firstLineChars="200"/>
        <w:jc w:val="left"/>
        <w:rPr>
          <w:rFonts w:ascii="宋体" w:hAnsi="宋体" w:cs="宋体"/>
          <w:sz w:val="24"/>
        </w:rPr>
      </w:pPr>
      <w:r>
        <w:rPr>
          <w:rFonts w:hint="eastAsia" w:ascii="宋体" w:hAnsi="宋体" w:cs="宋体"/>
          <w:sz w:val="24"/>
        </w:rPr>
        <w:t>1、报价一经涂改，应在涂改处加盖单位公章或者由法定代表人或授权委托人签字或盖章，否则其投标作无效标处理。</w:t>
      </w:r>
    </w:p>
    <w:p>
      <w:pPr>
        <w:spacing w:line="360" w:lineRule="auto"/>
        <w:rPr>
          <w:rFonts w:ascii="宋体" w:hAnsi="宋体" w:cs="宋体"/>
          <w:sz w:val="24"/>
        </w:rPr>
      </w:pPr>
    </w:p>
    <w:p>
      <w:pPr>
        <w:spacing w:line="360" w:lineRule="auto"/>
        <w:rPr>
          <w:rFonts w:ascii="宋体" w:hAnsi="宋体" w:cs="宋体"/>
          <w:sz w:val="24"/>
        </w:rPr>
      </w:pPr>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ind w:firstLine="4080" w:firstLineChars="1700"/>
        <w:rPr>
          <w:rFonts w:ascii="宋体" w:hAnsi="宋体" w:cs="宋体"/>
          <w:sz w:val="36"/>
        </w:rPr>
      </w:pPr>
      <w:r>
        <w:rPr>
          <w:rFonts w:hint="eastAsia" w:ascii="宋体" w:hAnsi="宋体" w:cs="宋体"/>
          <w:sz w:val="24"/>
        </w:rPr>
        <w:t>日   期：</w:t>
      </w:r>
    </w:p>
    <w:p>
      <w:pPr>
        <w:pStyle w:val="2"/>
        <w:rPr>
          <w:rFonts w:hAnsi="宋体" w:cs="宋体"/>
          <w:bCs/>
          <w:sz w:val="24"/>
          <w:szCs w:val="24"/>
          <w:lang w:val="zh-CN"/>
        </w:rPr>
      </w:pPr>
      <w:r>
        <w:rPr>
          <w:rFonts w:hint="eastAsia" w:hAnsi="宋体" w:cs="宋体"/>
          <w:bCs/>
          <w:sz w:val="24"/>
          <w:szCs w:val="24"/>
          <w:lang w:val="zh-CN"/>
        </w:rPr>
        <w:br w:type="page"/>
      </w:r>
      <w:r>
        <w:rPr>
          <w:rFonts w:hint="eastAsia" w:hAnsi="宋体" w:cs="宋体"/>
          <w:bCs/>
          <w:sz w:val="24"/>
          <w:szCs w:val="24"/>
          <w:lang w:val="zh-CN"/>
        </w:rPr>
        <w:t>附件</w:t>
      </w:r>
      <w:r>
        <w:rPr>
          <w:rFonts w:hint="eastAsia" w:hAnsi="宋体" w:cs="宋体"/>
          <w:bCs/>
          <w:sz w:val="24"/>
          <w:szCs w:val="24"/>
          <w:lang w:val="en-US" w:eastAsia="zh-CN"/>
        </w:rPr>
        <w:t>九</w:t>
      </w:r>
      <w:r>
        <w:rPr>
          <w:rFonts w:hint="eastAsia" w:hAnsi="宋体" w:cs="宋体"/>
          <w:bCs/>
          <w:sz w:val="24"/>
          <w:szCs w:val="24"/>
        </w:rPr>
        <w:t>：</w:t>
      </w:r>
    </w:p>
    <w:p>
      <w:pPr>
        <w:spacing w:line="360" w:lineRule="auto"/>
        <w:jc w:val="center"/>
        <w:rPr>
          <w:rFonts w:ascii="宋体" w:hAnsi="宋体" w:cs="宋体"/>
          <w:b/>
          <w:bCs/>
          <w:sz w:val="32"/>
          <w:szCs w:val="32"/>
        </w:rPr>
      </w:pPr>
      <w:r>
        <w:rPr>
          <w:rFonts w:hint="eastAsia" w:ascii="宋体" w:hAnsi="宋体" w:cs="宋体"/>
          <w:b/>
          <w:bCs/>
          <w:sz w:val="32"/>
          <w:szCs w:val="32"/>
        </w:rPr>
        <w:t>投标报价明细表</w:t>
      </w:r>
      <w:bookmarkEnd w:id="452"/>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 xml:space="preserve">采购编号：   </w:t>
      </w:r>
    </w:p>
    <w:tbl>
      <w:tblPr>
        <w:tblStyle w:val="30"/>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00"/>
        <w:gridCol w:w="875"/>
        <w:gridCol w:w="549"/>
        <w:gridCol w:w="755"/>
        <w:gridCol w:w="921"/>
        <w:gridCol w:w="161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1"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序号</w:t>
            </w:r>
          </w:p>
        </w:tc>
        <w:tc>
          <w:tcPr>
            <w:tcW w:w="1900"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名称</w:t>
            </w:r>
          </w:p>
        </w:tc>
        <w:tc>
          <w:tcPr>
            <w:tcW w:w="875" w:type="dxa"/>
            <w:vMerge w:val="restart"/>
            <w:noWrap/>
            <w:vAlign w:val="center"/>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规格等</w:t>
            </w:r>
          </w:p>
        </w:tc>
        <w:tc>
          <w:tcPr>
            <w:tcW w:w="549"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单位</w:t>
            </w:r>
          </w:p>
        </w:tc>
        <w:tc>
          <w:tcPr>
            <w:tcW w:w="755"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数量</w:t>
            </w:r>
          </w:p>
        </w:tc>
        <w:tc>
          <w:tcPr>
            <w:tcW w:w="921" w:type="dxa"/>
            <w:vMerge w:val="restart"/>
            <w:noWrap/>
            <w:vAlign w:val="center"/>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服务期</w:t>
            </w:r>
          </w:p>
        </w:tc>
        <w:tc>
          <w:tcPr>
            <w:tcW w:w="2526" w:type="dxa"/>
            <w:gridSpan w:val="2"/>
            <w:noWrap/>
            <w:vAlign w:val="center"/>
          </w:tcPr>
          <w:p>
            <w:pPr>
              <w:spacing w:line="360" w:lineRule="auto"/>
              <w:jc w:val="center"/>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报价</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元</w:t>
            </w:r>
            <w:r>
              <w:rPr>
                <w:rFonts w:hint="eastAsia" w:ascii="宋体" w:hAnsi="宋体" w:cs="宋体"/>
                <w:color w:val="FF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1" w:type="dxa"/>
            <w:vMerge w:val="continue"/>
            <w:noWrap/>
          </w:tcPr>
          <w:p>
            <w:pPr>
              <w:spacing w:line="360" w:lineRule="auto"/>
              <w:rPr>
                <w:rFonts w:ascii="宋体" w:hAnsi="宋体" w:cs="宋体"/>
                <w:color w:val="FF0000"/>
                <w:sz w:val="24"/>
                <w:highlight w:val="none"/>
              </w:rPr>
            </w:pPr>
          </w:p>
        </w:tc>
        <w:tc>
          <w:tcPr>
            <w:tcW w:w="1900" w:type="dxa"/>
            <w:vMerge w:val="continue"/>
            <w:noWrap/>
          </w:tcPr>
          <w:p>
            <w:pPr>
              <w:spacing w:line="360" w:lineRule="auto"/>
              <w:rPr>
                <w:rFonts w:ascii="宋体" w:hAnsi="宋体" w:cs="宋体"/>
                <w:color w:val="FF0000"/>
                <w:sz w:val="24"/>
                <w:highlight w:val="none"/>
              </w:rPr>
            </w:pPr>
          </w:p>
        </w:tc>
        <w:tc>
          <w:tcPr>
            <w:tcW w:w="875" w:type="dxa"/>
            <w:vMerge w:val="continue"/>
            <w:noWrap/>
          </w:tcPr>
          <w:p>
            <w:pPr>
              <w:spacing w:line="360" w:lineRule="auto"/>
              <w:rPr>
                <w:rFonts w:ascii="宋体" w:hAnsi="宋体" w:cs="宋体"/>
                <w:color w:val="FF0000"/>
                <w:sz w:val="24"/>
                <w:highlight w:val="none"/>
              </w:rPr>
            </w:pPr>
          </w:p>
        </w:tc>
        <w:tc>
          <w:tcPr>
            <w:tcW w:w="549" w:type="dxa"/>
            <w:vMerge w:val="continue"/>
            <w:noWrap/>
          </w:tcPr>
          <w:p>
            <w:pPr>
              <w:spacing w:line="360" w:lineRule="auto"/>
              <w:rPr>
                <w:rFonts w:ascii="宋体" w:hAnsi="宋体" w:cs="宋体"/>
                <w:color w:val="FF0000"/>
                <w:sz w:val="24"/>
                <w:highlight w:val="none"/>
              </w:rPr>
            </w:pPr>
          </w:p>
        </w:tc>
        <w:tc>
          <w:tcPr>
            <w:tcW w:w="755" w:type="dxa"/>
            <w:vMerge w:val="continue"/>
            <w:noWrap/>
          </w:tcPr>
          <w:p>
            <w:pPr>
              <w:spacing w:line="360" w:lineRule="auto"/>
              <w:rPr>
                <w:rFonts w:ascii="宋体" w:hAnsi="宋体" w:cs="宋体"/>
                <w:color w:val="FF0000"/>
                <w:sz w:val="24"/>
                <w:highlight w:val="none"/>
              </w:rPr>
            </w:pPr>
          </w:p>
        </w:tc>
        <w:tc>
          <w:tcPr>
            <w:tcW w:w="921" w:type="dxa"/>
            <w:vMerge w:val="continue"/>
            <w:noWrap/>
          </w:tcPr>
          <w:p>
            <w:pPr>
              <w:spacing w:line="360" w:lineRule="auto"/>
              <w:rPr>
                <w:rFonts w:ascii="宋体" w:hAnsi="宋体" w:cs="宋体"/>
                <w:color w:val="FF0000"/>
                <w:sz w:val="24"/>
                <w:highlight w:val="none"/>
              </w:rPr>
            </w:pPr>
          </w:p>
        </w:tc>
        <w:tc>
          <w:tcPr>
            <w:tcW w:w="1610"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子项</w:t>
            </w:r>
            <w:r>
              <w:rPr>
                <w:rFonts w:hint="eastAsia" w:ascii="宋体" w:hAnsi="宋体" w:cs="宋体"/>
                <w:color w:val="FF0000"/>
                <w:sz w:val="24"/>
                <w:highlight w:val="none"/>
              </w:rPr>
              <w:t>单价</w:t>
            </w:r>
          </w:p>
        </w:tc>
        <w:tc>
          <w:tcPr>
            <w:tcW w:w="916"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一</w:t>
            </w:r>
          </w:p>
        </w:tc>
        <w:tc>
          <w:tcPr>
            <w:tcW w:w="1900" w:type="dxa"/>
            <w:noWrap/>
          </w:tcPr>
          <w:p>
            <w:pPr>
              <w:spacing w:line="360" w:lineRule="auto"/>
              <w:rPr>
                <w:rFonts w:hint="default" w:ascii="宋体" w:hAnsi="宋体" w:eastAsia="宋体" w:cs="宋体"/>
                <w:b/>
                <w:color w:val="FF0000"/>
                <w:sz w:val="24"/>
                <w:highlight w:val="none"/>
                <w:lang w:val="en-US" w:eastAsia="zh-CN"/>
              </w:rPr>
            </w:pPr>
            <w:r>
              <w:rPr>
                <w:rFonts w:hint="eastAsia" w:ascii="宋体" w:hAnsi="宋体" w:cs="宋体"/>
                <w:b/>
                <w:color w:val="FF0000"/>
                <w:sz w:val="24"/>
                <w:highlight w:val="none"/>
                <w:lang w:val="en-US" w:eastAsia="zh-CN"/>
              </w:rPr>
              <w:t>保洁人员</w:t>
            </w:r>
          </w:p>
        </w:tc>
        <w:tc>
          <w:tcPr>
            <w:tcW w:w="875" w:type="dxa"/>
            <w:noWrap/>
          </w:tcPr>
          <w:p>
            <w:pPr>
              <w:spacing w:line="360" w:lineRule="auto"/>
              <w:rPr>
                <w:rFonts w:hint="eastAsia" w:ascii="宋体" w:hAnsi="宋体" w:cs="宋体"/>
                <w:b/>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jc w:val="center"/>
              <w:rPr>
                <w:rFonts w:ascii="宋体" w:hAnsi="宋体" w:cs="宋体"/>
                <w:color w:val="FF0000"/>
                <w:sz w:val="24"/>
                <w:highlight w:val="none"/>
              </w:rPr>
            </w:pPr>
          </w:p>
        </w:tc>
        <w:tc>
          <w:tcPr>
            <w:tcW w:w="916" w:type="dxa"/>
            <w:noWrap/>
          </w:tcPr>
          <w:p>
            <w:pPr>
              <w:spacing w:line="360" w:lineRule="auto"/>
              <w:jc w:val="center"/>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1.1</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河道保洁负责人</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jc w:val="center"/>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人</w:t>
            </w:r>
          </w:p>
        </w:tc>
        <w:tc>
          <w:tcPr>
            <w:tcW w:w="755" w:type="dxa"/>
            <w:noWrap/>
          </w:tcPr>
          <w:p>
            <w:pPr>
              <w:spacing w:line="360" w:lineRule="auto"/>
              <w:jc w:val="center"/>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1</w:t>
            </w:r>
          </w:p>
        </w:tc>
        <w:tc>
          <w:tcPr>
            <w:tcW w:w="921" w:type="dxa"/>
            <w:noWrap/>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1.2</w:t>
            </w:r>
          </w:p>
        </w:tc>
        <w:tc>
          <w:tcPr>
            <w:tcW w:w="1900" w:type="dxa"/>
            <w:noWrap/>
          </w:tcPr>
          <w:p>
            <w:pPr>
              <w:spacing w:line="360" w:lineRule="auto"/>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文员</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1.3</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安管员</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tcPr>
          <w:p>
            <w:pPr>
              <w:spacing w:line="360" w:lineRule="auto"/>
              <w:rPr>
                <w:rFonts w:hint="eastAsia" w:ascii="宋体" w:hAnsi="宋体" w:cs="宋体"/>
                <w:color w:val="FF0000"/>
                <w:sz w:val="24"/>
                <w:highlight w:val="none"/>
              </w:rPr>
            </w:pPr>
          </w:p>
        </w:tc>
        <w:tc>
          <w:tcPr>
            <w:tcW w:w="1900" w:type="dxa"/>
            <w:noWra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lang w:val="en-US" w:eastAsia="zh-CN"/>
              </w:rPr>
              <w:t>... ...</w:t>
            </w:r>
          </w:p>
        </w:tc>
        <w:tc>
          <w:tcPr>
            <w:tcW w:w="875" w:type="dxa"/>
            <w:noWrap/>
          </w:tcPr>
          <w:p>
            <w:pPr>
              <w:spacing w:line="360" w:lineRule="auto"/>
              <w:rPr>
                <w:rFonts w:hint="eastAsia" w:ascii="宋体" w:hAnsi="宋体" w:cs="宋体"/>
                <w:color w:val="FF0000"/>
                <w:sz w:val="24"/>
                <w:highlight w:val="none"/>
                <w:lang w:val="en-US" w:eastAsia="zh-CN"/>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二</w:t>
            </w:r>
          </w:p>
        </w:tc>
        <w:tc>
          <w:tcPr>
            <w:tcW w:w="1900" w:type="dxa"/>
            <w:noWrap/>
          </w:tcPr>
          <w:p>
            <w:pPr>
              <w:spacing w:line="360" w:lineRule="auto"/>
              <w:rPr>
                <w:rFonts w:hint="eastAsia" w:ascii="宋体" w:hAnsi="宋体" w:eastAsia="宋体" w:cs="宋体"/>
                <w:b/>
                <w:color w:val="FF0000"/>
                <w:sz w:val="24"/>
                <w:highlight w:val="none"/>
                <w:lang w:val="en-US" w:eastAsia="zh-CN"/>
              </w:rPr>
            </w:pPr>
            <w:r>
              <w:rPr>
                <w:rFonts w:hint="eastAsia" w:ascii="宋体" w:hAnsi="宋体" w:cs="宋体"/>
                <w:b/>
                <w:color w:val="FF0000"/>
                <w:sz w:val="24"/>
                <w:highlight w:val="none"/>
                <w:lang w:val="en-US" w:eastAsia="zh-CN"/>
              </w:rPr>
              <w:t>船只及车辆</w:t>
            </w:r>
          </w:p>
        </w:tc>
        <w:tc>
          <w:tcPr>
            <w:tcW w:w="875" w:type="dxa"/>
            <w:noWrap/>
          </w:tcPr>
          <w:p>
            <w:pPr>
              <w:spacing w:line="360" w:lineRule="auto"/>
              <w:rPr>
                <w:rFonts w:hint="eastAsia" w:ascii="宋体" w:hAnsi="宋体" w:cs="宋体"/>
                <w:b/>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2.1</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全自动机动保洁船</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2.2</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巡逻车</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tcPr>
          <w:p>
            <w:pPr>
              <w:spacing w:line="360" w:lineRule="auto"/>
              <w:rPr>
                <w:rFonts w:hint="eastAsia" w:ascii="宋体" w:hAnsi="宋体" w:cs="宋体"/>
                <w:color w:val="FF0000"/>
                <w:sz w:val="24"/>
                <w:highlight w:val="none"/>
              </w:rPr>
            </w:pP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 ...</w:t>
            </w:r>
          </w:p>
        </w:tc>
        <w:tc>
          <w:tcPr>
            <w:tcW w:w="875" w:type="dxa"/>
            <w:noWrap/>
          </w:tcPr>
          <w:p>
            <w:pPr>
              <w:spacing w:line="360" w:lineRule="auto"/>
              <w:rPr>
                <w:rFonts w:hint="eastAsia" w:ascii="宋体" w:hAnsi="宋体" w:cs="宋体"/>
                <w:color w:val="FF0000"/>
                <w:sz w:val="24"/>
                <w:highlight w:val="none"/>
                <w:lang w:val="en-US" w:eastAsia="zh-CN"/>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hint="eastAsia" w:ascii="宋体" w:hAnsi="宋体" w:eastAsia="宋体" w:cs="宋体"/>
                <w:b/>
                <w:color w:val="FF0000"/>
                <w:sz w:val="24"/>
                <w:highlight w:val="none"/>
                <w:lang w:eastAsia="zh-CN"/>
              </w:rPr>
            </w:pPr>
            <w:r>
              <w:rPr>
                <w:rFonts w:hint="eastAsia" w:ascii="宋体" w:hAnsi="宋体" w:cs="宋体"/>
                <w:b/>
                <w:color w:val="FF0000"/>
                <w:sz w:val="24"/>
                <w:highlight w:val="none"/>
                <w:lang w:val="en-US" w:eastAsia="zh-CN"/>
              </w:rPr>
              <w:t>三</w:t>
            </w:r>
          </w:p>
        </w:tc>
        <w:tc>
          <w:tcPr>
            <w:tcW w:w="1900" w:type="dxa"/>
            <w:noWrap/>
          </w:tcPr>
          <w:p>
            <w:pPr>
              <w:spacing w:line="360" w:lineRule="auto"/>
              <w:rPr>
                <w:rFonts w:ascii="宋体" w:hAnsi="宋体" w:cs="宋体"/>
                <w:b/>
                <w:color w:val="FF0000"/>
                <w:sz w:val="24"/>
                <w:highlight w:val="none"/>
              </w:rPr>
            </w:pPr>
            <w:r>
              <w:rPr>
                <w:rFonts w:hint="eastAsia" w:ascii="宋体" w:hAnsi="宋体" w:cs="宋体"/>
                <w:b/>
                <w:color w:val="FF0000"/>
                <w:sz w:val="24"/>
                <w:highlight w:val="none"/>
              </w:rPr>
              <w:t>其它</w:t>
            </w:r>
          </w:p>
        </w:tc>
        <w:tc>
          <w:tcPr>
            <w:tcW w:w="875" w:type="dxa"/>
            <w:noWrap/>
          </w:tcPr>
          <w:p>
            <w:pPr>
              <w:spacing w:line="360" w:lineRule="auto"/>
              <w:rPr>
                <w:rFonts w:hint="eastAsia" w:ascii="宋体" w:hAnsi="宋体" w:cs="宋体"/>
                <w:b/>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1" w:type="dxa"/>
            <w:noWrap/>
          </w:tcPr>
          <w:p>
            <w:pPr>
              <w:spacing w:line="360" w:lineRule="auto"/>
              <w:rPr>
                <w:rFonts w:hint="eastAsia" w:ascii="宋体" w:hAnsi="宋体" w:cs="宋体"/>
                <w:b/>
                <w:color w:val="FF0000"/>
                <w:sz w:val="24"/>
                <w:highlight w:val="none"/>
                <w:lang w:val="en-US" w:eastAsia="zh-CN"/>
              </w:rPr>
            </w:pPr>
          </w:p>
        </w:tc>
        <w:tc>
          <w:tcPr>
            <w:tcW w:w="1900" w:type="dxa"/>
            <w:noWrap/>
          </w:tcPr>
          <w:p>
            <w:pPr>
              <w:spacing w:line="360" w:lineRule="auto"/>
              <w:rPr>
                <w:rFonts w:hint="eastAsia" w:ascii="宋体" w:hAnsi="宋体" w:cs="宋体"/>
                <w:b/>
                <w:color w:val="FF0000"/>
                <w:sz w:val="24"/>
                <w:highlight w:val="none"/>
              </w:rPr>
            </w:pPr>
            <w:r>
              <w:rPr>
                <w:rFonts w:hint="eastAsia" w:ascii="宋体" w:hAnsi="宋体" w:cs="宋体"/>
                <w:color w:val="FF0000"/>
                <w:sz w:val="24"/>
                <w:highlight w:val="none"/>
                <w:lang w:val="en-US" w:eastAsia="zh-CN"/>
              </w:rPr>
              <w:t>... ...</w:t>
            </w:r>
          </w:p>
        </w:tc>
        <w:tc>
          <w:tcPr>
            <w:tcW w:w="875" w:type="dxa"/>
            <w:noWrap/>
          </w:tcPr>
          <w:p>
            <w:pPr>
              <w:spacing w:line="360" w:lineRule="auto"/>
              <w:rPr>
                <w:rFonts w:hint="eastAsia" w:ascii="宋体" w:hAnsi="宋体" w:cs="宋体"/>
                <w:color w:val="FF0000"/>
                <w:sz w:val="24"/>
                <w:highlight w:val="none"/>
                <w:lang w:val="en-US" w:eastAsia="zh-CN"/>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11" w:type="dxa"/>
            <w:gridSpan w:val="2"/>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总  计</w:t>
            </w:r>
          </w:p>
        </w:tc>
        <w:tc>
          <w:tcPr>
            <w:tcW w:w="4710" w:type="dxa"/>
            <w:gridSpan w:val="5"/>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11" w:type="dxa"/>
            <w:gridSpan w:val="2"/>
            <w:noWrap/>
            <w:vAlign w:val="center"/>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保洁面积</w:t>
            </w:r>
          </w:p>
        </w:tc>
        <w:tc>
          <w:tcPr>
            <w:tcW w:w="5626" w:type="dxa"/>
            <w:gridSpan w:val="6"/>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11" w:type="dxa"/>
            <w:gridSpan w:val="2"/>
            <w:noWrap/>
            <w:vAlign w:val="center"/>
          </w:tcPr>
          <w:p>
            <w:pPr>
              <w:pStyle w:val="15"/>
              <w:spacing w:line="360" w:lineRule="auto"/>
              <w:jc w:val="center"/>
              <w:rPr>
                <w:rFonts w:hint="eastAsia" w:ascii="宋体" w:eastAsia="宋体"/>
                <w:b/>
                <w:bCs/>
                <w:color w:val="FF0000"/>
                <w:sz w:val="24"/>
                <w:szCs w:val="24"/>
                <w:highlight w:val="none"/>
                <w:lang w:eastAsia="zh-CN"/>
              </w:rPr>
            </w:pPr>
            <w:r>
              <w:rPr>
                <w:rFonts w:hint="eastAsia"/>
                <w:b/>
                <w:bCs/>
                <w:color w:val="FF0000"/>
                <w:sz w:val="24"/>
                <w:szCs w:val="24"/>
                <w:highlight w:val="none"/>
                <w:lang w:eastAsia="zh-CN"/>
              </w:rPr>
              <w:t>每年每平</w:t>
            </w:r>
            <w:r>
              <w:rPr>
                <w:rFonts w:hint="eastAsia" w:ascii="宋体" w:eastAsia="宋体"/>
                <w:b/>
                <w:bCs/>
                <w:color w:val="FF0000"/>
                <w:sz w:val="24"/>
                <w:szCs w:val="24"/>
                <w:highlight w:val="none"/>
                <w:lang w:eastAsia="zh-CN"/>
              </w:rPr>
              <w:t>方米</w:t>
            </w:r>
          </w:p>
          <w:p>
            <w:pPr>
              <w:pStyle w:val="15"/>
              <w:spacing w:line="360" w:lineRule="auto"/>
              <w:jc w:val="center"/>
              <w:rPr>
                <w:rFonts w:hint="eastAsia" w:ascii="宋体" w:hAnsi="宋体" w:cs="宋体"/>
                <w:color w:val="FF0000"/>
                <w:sz w:val="24"/>
                <w:highlight w:val="none"/>
              </w:rPr>
            </w:pPr>
            <w:r>
              <w:rPr>
                <w:rFonts w:hint="eastAsia" w:ascii="宋体" w:eastAsia="宋体"/>
                <w:b/>
                <w:bCs/>
                <w:color w:val="FF0000"/>
                <w:sz w:val="24"/>
                <w:szCs w:val="24"/>
                <w:highlight w:val="none"/>
                <w:lang w:eastAsia="zh-CN"/>
              </w:rPr>
              <w:t>综合单价</w:t>
            </w:r>
          </w:p>
        </w:tc>
        <w:tc>
          <w:tcPr>
            <w:tcW w:w="5626" w:type="dxa"/>
            <w:gridSpan w:val="6"/>
            <w:noWrap/>
            <w:vAlign w:val="center"/>
          </w:tcPr>
          <w:p>
            <w:pPr>
              <w:pStyle w:val="15"/>
              <w:spacing w:line="360" w:lineRule="auto"/>
              <w:jc w:val="both"/>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u w:val="single"/>
                <w:lang w:val="en-US" w:eastAsia="zh-CN"/>
              </w:rPr>
              <w:t xml:space="preserve">=                </w:t>
            </w:r>
            <w:r>
              <w:rPr>
                <w:rFonts w:hint="eastAsia" w:ascii="宋体" w:hAnsi="宋体" w:cs="宋体"/>
                <w:b/>
                <w:bCs/>
                <w:color w:val="FF0000"/>
                <w:kern w:val="0"/>
                <w:sz w:val="24"/>
                <w:highlight w:val="none"/>
                <w:lang w:val="en-US" w:eastAsia="zh-CN"/>
              </w:rPr>
              <w:t>元；</w:t>
            </w:r>
          </w:p>
          <w:p>
            <w:pPr>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（注：</w:t>
            </w:r>
            <w:r>
              <w:rPr>
                <w:rFonts w:hint="eastAsia"/>
                <w:b/>
                <w:bCs/>
                <w:color w:val="FF0000"/>
                <w:sz w:val="24"/>
                <w:szCs w:val="24"/>
                <w:highlight w:val="none"/>
                <w:lang w:eastAsia="zh-CN"/>
              </w:rPr>
              <w:t>每年每平方米</w:t>
            </w:r>
            <w:r>
              <w:rPr>
                <w:rFonts w:hint="eastAsia" w:ascii="宋体" w:hAnsi="宋体" w:cs="宋体"/>
                <w:b/>
                <w:bCs/>
                <w:color w:val="FF0000"/>
                <w:kern w:val="0"/>
                <w:sz w:val="24"/>
                <w:highlight w:val="none"/>
                <w:lang w:val="en-US" w:eastAsia="zh-CN"/>
              </w:rPr>
              <w:t>综合单价=合计金额/保洁面积，计算时</w:t>
            </w:r>
            <w:r>
              <w:rPr>
                <w:rFonts w:hint="eastAsia" w:ascii="宋体" w:hAnsi="宋体" w:eastAsia="宋体" w:cs="宋体"/>
                <w:b/>
                <w:bCs/>
                <w:color w:val="FF0000"/>
                <w:kern w:val="0"/>
                <w:sz w:val="24"/>
                <w:highlight w:val="none"/>
                <w:lang w:val="en-US" w:eastAsia="zh-CN"/>
              </w:rPr>
              <w:t>四舍五入精确到元）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8237" w:type="dxa"/>
            <w:gridSpan w:val="8"/>
            <w:noWrap/>
            <w:vAlign w:val="center"/>
          </w:tcPr>
          <w:p>
            <w:pPr>
              <w:spacing w:line="360" w:lineRule="auto"/>
              <w:ind w:firstLine="480" w:firstLineChars="200"/>
              <w:rPr>
                <w:rFonts w:hint="eastAsia" w:hAnsi="宋体" w:cs="宋体"/>
                <w:color w:val="FF0000"/>
                <w:kern w:val="0"/>
                <w:sz w:val="24"/>
                <w:highlight w:val="none"/>
              </w:rPr>
            </w:pPr>
            <w:r>
              <w:rPr>
                <w:rFonts w:hint="eastAsia" w:hAnsi="宋体" w:cs="宋体"/>
                <w:color w:val="FF0000"/>
                <w:kern w:val="0"/>
                <w:sz w:val="24"/>
                <w:highlight w:val="none"/>
              </w:rPr>
              <w:t>投标</w:t>
            </w:r>
            <w:r>
              <w:rPr>
                <w:rFonts w:hint="eastAsia" w:hAnsi="宋体" w:cs="宋体"/>
                <w:color w:val="FF0000"/>
                <w:kern w:val="0"/>
                <w:sz w:val="24"/>
                <w:highlight w:val="none"/>
                <w:lang w:val="en-US" w:eastAsia="zh-CN"/>
              </w:rPr>
              <w:t>综合单</w:t>
            </w:r>
            <w:r>
              <w:rPr>
                <w:rFonts w:hint="eastAsia" w:hAnsi="宋体" w:cs="宋体"/>
                <w:color w:val="FF0000"/>
                <w:kern w:val="0"/>
                <w:sz w:val="24"/>
                <w:highlight w:val="none"/>
              </w:rPr>
              <w:t>价统一为人民币计价，</w:t>
            </w:r>
            <w:r>
              <w:rPr>
                <w:rFonts w:hint="eastAsia"/>
                <w:b/>
                <w:color w:val="FF0000"/>
                <w:sz w:val="24"/>
                <w:highlight w:val="none"/>
              </w:rPr>
              <w:t>应</w:t>
            </w:r>
            <w:r>
              <w:rPr>
                <w:b/>
                <w:color w:val="FF0000"/>
                <w:sz w:val="24"/>
                <w:highlight w:val="none"/>
              </w:rPr>
              <w:t>包括</w:t>
            </w:r>
            <w:r>
              <w:rPr>
                <w:rFonts w:hint="eastAsia"/>
                <w:b/>
                <w:color w:val="FF0000"/>
                <w:sz w:val="24"/>
                <w:highlight w:val="none"/>
              </w:rPr>
              <w:t>但不限于完成本项目服务可能发生的全部费用包括</w:t>
            </w:r>
            <w:r>
              <w:rPr>
                <w:rFonts w:hint="eastAsia" w:hAnsi="宋体" w:cs="宋体"/>
                <w:b/>
                <w:bCs/>
                <w:color w:val="FF0000"/>
                <w:sz w:val="24"/>
                <w:highlight w:val="none"/>
              </w:rPr>
              <w:t>保洁、管理人员的意外保险、</w:t>
            </w:r>
            <w:r>
              <w:rPr>
                <w:rFonts w:hint="eastAsia"/>
                <w:b/>
                <w:color w:val="FF0000"/>
                <w:sz w:val="24"/>
                <w:highlight w:val="none"/>
              </w:rPr>
              <w:t>工资福利、社保、服装费、办公用品、劳动用品、工器具、管理费、税费、垃圾清扫清运设备费用、运输费用、燃油、保养维修、垃圾处置及清运费用及不可预见费等所有费用</w:t>
            </w:r>
            <w:r>
              <w:rPr>
                <w:rFonts w:hint="eastAsia" w:hAnsi="宋体" w:cs="宋体"/>
                <w:color w:val="FF0000"/>
                <w:kern w:val="0"/>
                <w:sz w:val="24"/>
                <w:highlight w:val="none"/>
              </w:rPr>
              <w:t>。</w:t>
            </w:r>
          </w:p>
        </w:tc>
      </w:tr>
    </w:tbl>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注：表格不够可自行拓展。</w:t>
      </w:r>
    </w:p>
    <w:p>
      <w:pPr>
        <w:pStyle w:val="15"/>
        <w:spacing w:line="360" w:lineRule="auto"/>
        <w:rPr>
          <w:rFonts w:hAnsi="宋体" w:cs="宋体"/>
          <w:sz w:val="24"/>
        </w:rPr>
      </w:pPr>
    </w:p>
    <w:p>
      <w:pPr>
        <w:pStyle w:val="15"/>
        <w:spacing w:line="420" w:lineRule="auto"/>
        <w:rPr>
          <w:rFonts w:hAnsi="宋体" w:cs="宋体"/>
          <w:sz w:val="24"/>
        </w:rPr>
      </w:pPr>
      <w:r>
        <w:rPr>
          <w:rFonts w:hint="eastAsia" w:hAnsi="宋体" w:cs="宋体"/>
          <w:sz w:val="24"/>
        </w:rPr>
        <w:t xml:space="preserve">                                  投标人全称（盖章）：</w:t>
      </w:r>
    </w:p>
    <w:p>
      <w:pPr>
        <w:pStyle w:val="15"/>
        <w:spacing w:line="420" w:lineRule="auto"/>
        <w:rPr>
          <w:rFonts w:hAnsi="宋体" w:cs="宋体"/>
          <w:sz w:val="24"/>
        </w:rPr>
      </w:pPr>
      <w:r>
        <w:rPr>
          <w:rFonts w:hint="eastAsia" w:hAnsi="宋体" w:cs="宋体"/>
          <w:sz w:val="24"/>
        </w:rPr>
        <w:t xml:space="preserve">                                  法定代表人或授权委托人（签字或盖章）：</w:t>
      </w:r>
    </w:p>
    <w:p>
      <w:pPr>
        <w:spacing w:line="420" w:lineRule="auto"/>
        <w:ind w:firstLine="4080" w:firstLineChars="1700"/>
        <w:rPr>
          <w:rFonts w:ascii="宋体" w:hAnsi="宋体" w:cs="宋体"/>
          <w:sz w:val="36"/>
        </w:rPr>
      </w:pPr>
      <w:r>
        <w:rPr>
          <w:rFonts w:hint="eastAsia" w:ascii="宋体" w:hAnsi="宋体" w:cs="宋体"/>
          <w:sz w:val="24"/>
        </w:rPr>
        <w:t>日   期：</w:t>
      </w:r>
    </w:p>
    <w:p>
      <w:pPr>
        <w:spacing w:line="360" w:lineRule="auto"/>
        <w:ind w:left="3780" w:leftChars="1800" w:firstLine="562" w:firstLineChars="200"/>
        <w:rPr>
          <w:rFonts w:ascii="宋体" w:hAnsi="宋体" w:cs="宋体"/>
          <w:b/>
          <w:sz w:val="28"/>
          <w:szCs w:val="20"/>
        </w:rPr>
      </w:pPr>
    </w:p>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pStyle w:val="2"/>
      </w:pPr>
      <w:r>
        <w:rPr>
          <w:rFonts w:hint="eastAsia" w:hAnsi="宋体" w:cs="宋体"/>
          <w:bCs/>
          <w:color w:val="auto"/>
          <w:sz w:val="24"/>
          <w:szCs w:val="24"/>
          <w:highlight w:val="none"/>
          <w:lang w:val="zh-CN"/>
        </w:rPr>
        <w:t>附件</w:t>
      </w:r>
      <w:r>
        <w:rPr>
          <w:rFonts w:hint="eastAsia" w:hAnsi="宋体" w:cs="宋体"/>
          <w:bCs/>
          <w:color w:val="auto"/>
          <w:sz w:val="24"/>
          <w:szCs w:val="24"/>
          <w:highlight w:val="none"/>
        </w:rPr>
        <w:t>十：</w:t>
      </w:r>
    </w:p>
    <w:p>
      <w:pPr>
        <w:spacing w:line="360" w:lineRule="auto"/>
        <w:jc w:val="center"/>
        <w:rPr>
          <w:rFonts w:ascii="宋体" w:hAnsi="宋体" w:cs="宋体"/>
          <w:b/>
          <w:bCs/>
          <w:sz w:val="32"/>
          <w:szCs w:val="32"/>
        </w:rPr>
      </w:pPr>
      <w:r>
        <w:rPr>
          <w:rFonts w:hint="eastAsia" w:ascii="宋体" w:hAnsi="宋体" w:cs="宋体"/>
          <w:b/>
          <w:bCs/>
          <w:sz w:val="32"/>
          <w:szCs w:val="32"/>
        </w:rPr>
        <w:t>每人工资标准投标报价明细表</w:t>
      </w:r>
    </w:p>
    <w:p>
      <w:pPr>
        <w:pStyle w:val="15"/>
        <w:spacing w:line="288" w:lineRule="auto"/>
        <w:jc w:val="center"/>
        <w:rPr>
          <w:rFonts w:hAnsi="宋体" w:cs="宋体"/>
          <w:sz w:val="24"/>
          <w:szCs w:val="24"/>
        </w:rPr>
      </w:pPr>
      <w:r>
        <w:rPr>
          <w:rFonts w:hint="eastAsia" w:hAnsi="宋体" w:cs="宋体"/>
          <w:sz w:val="24"/>
          <w:szCs w:val="24"/>
        </w:rPr>
        <w:t>人员工资费用：包括基本工资、加班工资、节假日工资、福利、高温、社保、公积金等费用组成。</w:t>
      </w:r>
    </w:p>
    <w:p>
      <w:pPr>
        <w:pStyle w:val="15"/>
        <w:spacing w:line="288" w:lineRule="auto"/>
        <w:jc w:val="left"/>
        <w:rPr>
          <w:rFonts w:hAnsi="宋体" w:cs="宋体"/>
          <w:sz w:val="24"/>
          <w:szCs w:val="24"/>
        </w:rPr>
      </w:pPr>
      <w:r>
        <w:rPr>
          <w:rFonts w:hint="eastAsia" w:hAnsi="宋体" w:cs="宋体"/>
          <w:sz w:val="24"/>
          <w:szCs w:val="24"/>
        </w:rPr>
        <w:t>项目名称：</w:t>
      </w:r>
    </w:p>
    <w:p>
      <w:pPr>
        <w:pStyle w:val="15"/>
        <w:spacing w:line="288" w:lineRule="auto"/>
        <w:jc w:val="left"/>
        <w:rPr>
          <w:rFonts w:hAnsi="宋体" w:cs="宋体"/>
          <w:sz w:val="24"/>
          <w:szCs w:val="24"/>
        </w:rPr>
      </w:pPr>
      <w:r>
        <w:rPr>
          <w:rFonts w:hint="eastAsia" w:hAnsi="宋体" w:cs="宋体"/>
          <w:sz w:val="24"/>
          <w:szCs w:val="24"/>
        </w:rPr>
        <w:t>采购编号：</w:t>
      </w:r>
    </w:p>
    <w:tbl>
      <w:tblPr>
        <w:tblStyle w:val="30"/>
        <w:tblW w:w="8416" w:type="dxa"/>
        <w:jc w:val="center"/>
        <w:tblLayout w:type="fixed"/>
        <w:tblCellMar>
          <w:top w:w="0" w:type="dxa"/>
          <w:left w:w="108" w:type="dxa"/>
          <w:bottom w:w="0" w:type="dxa"/>
          <w:right w:w="108" w:type="dxa"/>
        </w:tblCellMar>
      </w:tblPr>
      <w:tblGrid>
        <w:gridCol w:w="545"/>
        <w:gridCol w:w="634"/>
        <w:gridCol w:w="939"/>
        <w:gridCol w:w="596"/>
        <w:gridCol w:w="619"/>
        <w:gridCol w:w="675"/>
        <w:gridCol w:w="545"/>
        <w:gridCol w:w="762"/>
        <w:gridCol w:w="1759"/>
        <w:gridCol w:w="1342"/>
      </w:tblGrid>
      <w:tr>
        <w:tblPrEx>
          <w:tblCellMar>
            <w:top w:w="0" w:type="dxa"/>
            <w:left w:w="108" w:type="dxa"/>
            <w:bottom w:w="0" w:type="dxa"/>
            <w:right w:w="108" w:type="dxa"/>
          </w:tblCellMar>
        </w:tblPrEx>
        <w:trPr>
          <w:trHeight w:val="6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r>
              <w:rPr>
                <w:rFonts w:hint="eastAsia" w:hAnsi="宋体"/>
              </w:rPr>
              <w:t>序号</w:t>
            </w:r>
          </w:p>
        </w:tc>
        <w:tc>
          <w:tcPr>
            <w:tcW w:w="6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项目名称</w:t>
            </w: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费用组成</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计薪天数</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单价</w:t>
            </w: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月数</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金额</w:t>
            </w: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备注</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政策依据</w:t>
            </w:r>
          </w:p>
        </w:tc>
      </w:tr>
      <w:tr>
        <w:tblPrEx>
          <w:tblCellMar>
            <w:top w:w="0" w:type="dxa"/>
            <w:left w:w="108" w:type="dxa"/>
            <w:bottom w:w="0" w:type="dxa"/>
            <w:right w:w="108" w:type="dxa"/>
          </w:tblCellMar>
        </w:tblPrEx>
        <w:trPr>
          <w:trHeight w:val="3448" w:hRule="atLeast"/>
          <w:jc w:val="center"/>
        </w:trPr>
        <w:tc>
          <w:tcPr>
            <w:tcW w:w="545"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rPr>
            </w:pPr>
            <w:r>
              <w:rPr>
                <w:rFonts w:hint="eastAsia" w:hAnsi="宋体"/>
              </w:rPr>
              <w:t>一</w:t>
            </w:r>
          </w:p>
        </w:tc>
        <w:tc>
          <w:tcPr>
            <w:tcW w:w="634"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rPr>
            </w:pPr>
            <w:r>
              <w:rPr>
                <w:rFonts w:hint="eastAsia" w:hAnsi="宋体"/>
              </w:rPr>
              <w:t>工资</w:t>
            </w: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基本工资</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结合本项目具体情况，要求本次员工基本工资最低不得低于绍兴市本年度最低工资标准（绍政发[2021]21号）2070元/月</w:t>
            </w:r>
          </w:p>
        </w:tc>
      </w:tr>
      <w:tr>
        <w:tblPrEx>
          <w:tblCellMar>
            <w:top w:w="0" w:type="dxa"/>
            <w:left w:w="108" w:type="dxa"/>
            <w:bottom w:w="0" w:type="dxa"/>
            <w:right w:w="108" w:type="dxa"/>
          </w:tblCellMar>
        </w:tblPrEx>
        <w:trPr>
          <w:trHeight w:val="2417"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法定节假日</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天/年</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每一名工作员工一年法定节假日补贴费用：每人每月最低工资标准×12个月÷250天（法定工作日）×3倍×11天</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《劳动法》第44条第（三）款规定）</w:t>
            </w:r>
          </w:p>
        </w:tc>
      </w:tr>
      <w:tr>
        <w:tblPrEx>
          <w:tblCellMar>
            <w:top w:w="0" w:type="dxa"/>
            <w:left w:w="108" w:type="dxa"/>
            <w:bottom w:w="0" w:type="dxa"/>
            <w:right w:w="108" w:type="dxa"/>
          </w:tblCellMar>
        </w:tblPrEx>
        <w:trPr>
          <w:trHeight w:val="4136"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双休日加班费</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天/年</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104</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每一名工作员工一年休息日加班费用：每人每月最低工资标准×12个月÷250天（法定工作日）×2倍×104天</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《劳动法》第44条第（三）款规定）工作人员做五休一，其中每周需有二天休息日加班，按年度104天计取，不得低于最低发放工资标准的两倍发放加班费。</w:t>
            </w:r>
          </w:p>
        </w:tc>
      </w:tr>
      <w:tr>
        <w:tblPrEx>
          <w:tblCellMar>
            <w:top w:w="0" w:type="dxa"/>
            <w:left w:w="108" w:type="dxa"/>
            <w:bottom w:w="0" w:type="dxa"/>
            <w:right w:w="108" w:type="dxa"/>
          </w:tblCellMar>
        </w:tblPrEx>
        <w:trPr>
          <w:trHeight w:val="469" w:hRule="atLeast"/>
          <w:jc w:val="center"/>
        </w:trPr>
        <w:tc>
          <w:tcPr>
            <w:tcW w:w="545"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3374"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合计</w:t>
            </w:r>
          </w:p>
        </w:tc>
        <w:tc>
          <w:tcPr>
            <w:tcW w:w="3863"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1729" w:hRule="atLeast"/>
          <w:jc w:val="center"/>
        </w:trPr>
        <w:tc>
          <w:tcPr>
            <w:tcW w:w="545"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rPr>
            </w:pPr>
            <w:r>
              <w:rPr>
                <w:rFonts w:hint="eastAsia" w:hAnsi="宋体"/>
              </w:rPr>
              <w:t>二</w:t>
            </w:r>
          </w:p>
        </w:tc>
        <w:tc>
          <w:tcPr>
            <w:tcW w:w="634"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rPr>
            </w:pPr>
            <w:r>
              <w:rPr>
                <w:rFonts w:hint="eastAsia" w:hAnsi="宋体"/>
              </w:rPr>
              <w:t>福利费</w:t>
            </w: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夏季高温补贴</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4</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规定高温费按300元/月发放，一年按4个月计发高温费，每人每年共1200元）</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按照（2018年65号文件《高温津贴实施办法》</w:t>
            </w:r>
          </w:p>
        </w:tc>
      </w:tr>
      <w:tr>
        <w:tblPrEx>
          <w:tblCellMar>
            <w:top w:w="0" w:type="dxa"/>
            <w:left w:w="108" w:type="dxa"/>
            <w:bottom w:w="0" w:type="dxa"/>
            <w:right w:w="108" w:type="dxa"/>
          </w:tblCellMar>
        </w:tblPrEx>
        <w:trPr>
          <w:trHeight w:val="1041"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节日福利费</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年</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节假日福利按年度不低于1900元/人计取</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2073"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意外保险</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中标人须为职工办理职工意外伤害保险，实现100%全覆盖。职工意外伤害保险每人每年不少于400元</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1041"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防护用品</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年</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防护用品（手套、毛巾、口罩、雨靴、雨衣、工作服等</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p>
            <w:pPr>
              <w:pStyle w:val="15"/>
              <w:spacing w:line="288" w:lineRule="auto"/>
              <w:jc w:val="center"/>
              <w:rPr>
                <w:rFonts w:hAnsi="宋体"/>
              </w:rPr>
            </w:pPr>
          </w:p>
        </w:tc>
      </w:tr>
      <w:tr>
        <w:tblPrEx>
          <w:tblCellMar>
            <w:top w:w="0" w:type="dxa"/>
            <w:left w:w="108" w:type="dxa"/>
            <w:bottom w:w="0" w:type="dxa"/>
            <w:right w:w="108" w:type="dxa"/>
          </w:tblCellMar>
        </w:tblPrEx>
        <w:trPr>
          <w:trHeight w:val="456" w:hRule="atLeast"/>
          <w:jc w:val="center"/>
        </w:trPr>
        <w:tc>
          <w:tcPr>
            <w:tcW w:w="545"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3374"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合计</w:t>
            </w:r>
          </w:p>
        </w:tc>
        <w:tc>
          <w:tcPr>
            <w:tcW w:w="3863"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697" w:hRule="atLeast"/>
          <w:jc w:val="center"/>
        </w:trPr>
        <w:tc>
          <w:tcPr>
            <w:tcW w:w="545"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rPr>
            </w:pPr>
            <w:r>
              <w:rPr>
                <w:rFonts w:hint="eastAsia" w:hAnsi="宋体"/>
              </w:rPr>
              <w:t>三</w:t>
            </w:r>
          </w:p>
        </w:tc>
        <w:tc>
          <w:tcPr>
            <w:tcW w:w="634" w:type="dxa"/>
            <w:vMerge w:val="restart"/>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r>
              <w:rPr>
                <w:rFonts w:hint="eastAsia" w:hAnsi="宋体"/>
              </w:rPr>
              <w:t>社会保障费</w:t>
            </w: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养老保险</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单位部分</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697"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医疗保险</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单位部分</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697"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失业保险</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单位部分</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697"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工伤保险</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单位部分</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697"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生育保险</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单位部分</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353"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93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残保金</w:t>
            </w:r>
          </w:p>
        </w:tc>
        <w:tc>
          <w:tcPr>
            <w:tcW w:w="59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月</w:t>
            </w:r>
          </w:p>
        </w:tc>
        <w:tc>
          <w:tcPr>
            <w:tcW w:w="61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w:t>
            </w:r>
          </w:p>
        </w:tc>
        <w:tc>
          <w:tcPr>
            <w:tcW w:w="67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54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12</w:t>
            </w:r>
          </w:p>
        </w:tc>
        <w:tc>
          <w:tcPr>
            <w:tcW w:w="76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c>
          <w:tcPr>
            <w:tcW w:w="1759"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单位部分</w:t>
            </w:r>
          </w:p>
        </w:tc>
        <w:tc>
          <w:tcPr>
            <w:tcW w:w="134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353" w:hRule="atLeast"/>
          <w:jc w:val="center"/>
        </w:trPr>
        <w:tc>
          <w:tcPr>
            <w:tcW w:w="545" w:type="dxa"/>
            <w:vMerge w:val="continue"/>
            <w:tcBorders>
              <w:left w:val="single" w:color="auto" w:sz="4" w:space="0"/>
              <w:right w:val="single" w:color="auto" w:sz="4" w:space="0"/>
            </w:tcBorders>
            <w:vAlign w:val="center"/>
          </w:tcPr>
          <w:p>
            <w:pPr>
              <w:pStyle w:val="15"/>
              <w:spacing w:line="288" w:lineRule="auto"/>
              <w:jc w:val="center"/>
              <w:rPr>
                <w:rFonts w:hAnsi="宋体"/>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3374"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1年合计</w:t>
            </w:r>
          </w:p>
        </w:tc>
        <w:tc>
          <w:tcPr>
            <w:tcW w:w="3863"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697" w:hRule="atLeast"/>
          <w:jc w:val="center"/>
        </w:trPr>
        <w:tc>
          <w:tcPr>
            <w:tcW w:w="545"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rPr>
            </w:pPr>
          </w:p>
        </w:tc>
        <w:tc>
          <w:tcPr>
            <w:tcW w:w="634"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r>
              <w:rPr>
                <w:rFonts w:hint="eastAsia" w:hAnsi="宋体"/>
              </w:rPr>
              <w:t>公积金</w:t>
            </w:r>
          </w:p>
        </w:tc>
        <w:tc>
          <w:tcPr>
            <w:tcW w:w="3374"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要按规定为其缴纳住房公积金，缴纳标准不低于职工工资的5%</w:t>
            </w:r>
          </w:p>
        </w:tc>
        <w:tc>
          <w:tcPr>
            <w:tcW w:w="3863"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p>
        </w:tc>
      </w:tr>
      <w:tr>
        <w:tblPrEx>
          <w:tblCellMar>
            <w:top w:w="0" w:type="dxa"/>
            <w:left w:w="108" w:type="dxa"/>
            <w:bottom w:w="0" w:type="dxa"/>
            <w:right w:w="108" w:type="dxa"/>
          </w:tblCellMar>
        </w:tblPrEx>
        <w:trPr>
          <w:trHeight w:val="42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rPr>
            </w:pPr>
            <w:r>
              <w:rPr>
                <w:rFonts w:hint="eastAsia" w:hAnsi="宋体"/>
              </w:rPr>
              <w:t>四</w:t>
            </w:r>
          </w:p>
        </w:tc>
        <w:tc>
          <w:tcPr>
            <w:tcW w:w="4008" w:type="dxa"/>
            <w:gridSpan w:val="6"/>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每人每年经费</w:t>
            </w:r>
          </w:p>
        </w:tc>
        <w:tc>
          <w:tcPr>
            <w:tcW w:w="3863"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rPr>
            </w:pPr>
            <w:r>
              <w:rPr>
                <w:rFonts w:hint="eastAsia" w:hAnsi="宋体"/>
              </w:rPr>
              <w:t>大写：　　　　 元（小写：　　　　　）</w:t>
            </w:r>
          </w:p>
        </w:tc>
      </w:tr>
    </w:tbl>
    <w:p>
      <w:pPr>
        <w:pStyle w:val="15"/>
        <w:spacing w:line="288" w:lineRule="auto"/>
        <w:jc w:val="left"/>
        <w:rPr>
          <w:rFonts w:hAnsi="宋体" w:cs="宋体"/>
          <w:sz w:val="24"/>
          <w:szCs w:val="24"/>
        </w:rPr>
      </w:pPr>
      <w:r>
        <w:rPr>
          <w:rFonts w:hint="eastAsia" w:hAnsi="宋体" w:cs="宋体"/>
          <w:sz w:val="24"/>
          <w:szCs w:val="24"/>
        </w:rPr>
        <w:t>备注：</w:t>
      </w:r>
    </w:p>
    <w:p>
      <w:pPr>
        <w:pStyle w:val="15"/>
        <w:spacing w:line="288" w:lineRule="auto"/>
        <w:jc w:val="left"/>
        <w:rPr>
          <w:rFonts w:hAnsi="宋体" w:cs="宋体"/>
          <w:sz w:val="24"/>
          <w:szCs w:val="24"/>
        </w:rPr>
      </w:pPr>
      <w:r>
        <w:rPr>
          <w:rFonts w:hint="eastAsia" w:hAnsi="宋体" w:cs="宋体"/>
          <w:sz w:val="24"/>
          <w:szCs w:val="24"/>
        </w:rPr>
        <w:t>1、单项价格低于上述任何一项测算标准报价的，按无效报价处理（不能参与价格标评审）。</w:t>
      </w:r>
    </w:p>
    <w:p>
      <w:pPr>
        <w:pStyle w:val="15"/>
        <w:spacing w:line="288" w:lineRule="auto"/>
        <w:jc w:val="left"/>
        <w:rPr>
          <w:rFonts w:hAnsi="宋体" w:cs="宋体"/>
          <w:sz w:val="24"/>
          <w:szCs w:val="24"/>
        </w:rPr>
      </w:pPr>
      <w:r>
        <w:rPr>
          <w:rFonts w:hint="eastAsia" w:hAnsi="宋体" w:cs="宋体"/>
          <w:sz w:val="24"/>
          <w:szCs w:val="24"/>
        </w:rPr>
        <w:t>2、项目人员工资应分别列明计算，其中一般工作人员（包括一线养护工作人员（男、女工））年工资按照上表计算。</w:t>
      </w:r>
    </w:p>
    <w:p>
      <w:pPr>
        <w:pStyle w:val="15"/>
        <w:spacing w:line="288" w:lineRule="auto"/>
        <w:jc w:val="left"/>
        <w:rPr>
          <w:rFonts w:hAnsi="宋体" w:cs="宋体"/>
          <w:sz w:val="24"/>
          <w:szCs w:val="24"/>
        </w:rPr>
      </w:pPr>
      <w:r>
        <w:rPr>
          <w:rFonts w:hint="eastAsia" w:hAnsi="宋体" w:cs="宋体"/>
          <w:sz w:val="24"/>
          <w:szCs w:val="24"/>
        </w:rPr>
        <w:t>3、现场负责人、巡逻兼文员、驾驶员人员工资按照本地情况，由投标单位按照上表最低工资上浮，</w:t>
      </w:r>
      <w:r>
        <w:rPr>
          <w:rFonts w:hint="eastAsia" w:hAnsi="宋体" w:cs="宋体"/>
          <w:color w:val="auto"/>
          <w:sz w:val="24"/>
          <w:szCs w:val="24"/>
          <w:highlight w:val="none"/>
        </w:rPr>
        <w:t>但不得低于上表绍兴市最低工资标准。</w:t>
      </w:r>
    </w:p>
    <w:p>
      <w:pPr>
        <w:pStyle w:val="15"/>
        <w:spacing w:line="420" w:lineRule="auto"/>
        <w:ind w:firstLine="4080" w:firstLineChars="1700"/>
        <w:rPr>
          <w:rFonts w:hAnsi="宋体" w:cs="宋体"/>
          <w:sz w:val="24"/>
          <w:szCs w:val="24"/>
        </w:rPr>
      </w:pPr>
      <w:r>
        <w:rPr>
          <w:rFonts w:hint="eastAsia" w:hAnsi="宋体" w:cs="宋体"/>
          <w:sz w:val="24"/>
          <w:szCs w:val="24"/>
        </w:rPr>
        <w:t>投标人全称（盖章）：</w:t>
      </w:r>
    </w:p>
    <w:p>
      <w:pPr>
        <w:pStyle w:val="15"/>
        <w:spacing w:line="420" w:lineRule="auto"/>
        <w:rPr>
          <w:rFonts w:hAnsi="宋体" w:cs="宋体"/>
          <w:sz w:val="24"/>
          <w:szCs w:val="24"/>
        </w:rPr>
      </w:pPr>
      <w:r>
        <w:rPr>
          <w:rFonts w:hint="eastAsia" w:hAnsi="宋体" w:cs="宋体"/>
          <w:sz w:val="24"/>
          <w:szCs w:val="24"/>
        </w:rPr>
        <w:t xml:space="preserve">                                  法定代表人或授权委托人（签字或盖章）：</w:t>
      </w:r>
    </w:p>
    <w:p>
      <w:pPr>
        <w:pStyle w:val="15"/>
        <w:spacing w:line="288" w:lineRule="auto"/>
        <w:jc w:val="center"/>
        <w:rPr>
          <w:rFonts w:hAnsi="宋体" w:cs="宋体"/>
          <w:sz w:val="24"/>
          <w:szCs w:val="24"/>
        </w:rPr>
      </w:pPr>
      <w:r>
        <w:rPr>
          <w:rFonts w:hint="eastAsia" w:hAnsi="宋体" w:cs="宋体"/>
          <w:sz w:val="24"/>
          <w:szCs w:val="24"/>
        </w:rPr>
        <w:t xml:space="preserve">        日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3"/>
      </w:rPr>
    </w:pP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instrText xml:space="preserve">PAGE   \* MERGEFORMAT</w:instrText>
                          </w:r>
                          <w:r>
                            <w:fldChar w:fldCharType="separate"/>
                          </w:r>
                          <w:r>
                            <w:rPr>
                              <w:lang w:val="zh-CN"/>
                            </w:rPr>
                            <w:t>61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61</w:t>
                    </w:r>
                    <w:r>
                      <w:rPr>
                        <w:lang w:val="zh-CN"/>
                      </w:rPr>
                      <w:fldChar w:fldCharType="end"/>
                    </w:r>
                  </w:p>
                </w:txbxContent>
              </v:textbox>
            </v:shape>
          </w:pict>
        </mc:Fallback>
      </mc:AlternateContent>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97A5524B"/>
    <w:multiLevelType w:val="singleLevel"/>
    <w:tmpl w:val="97A5524B"/>
    <w:lvl w:ilvl="0" w:tentative="0">
      <w:start w:val="1"/>
      <w:numFmt w:val="decimal"/>
      <w:suff w:val="nothing"/>
      <w:lvlText w:val="%1、"/>
      <w:lvlJc w:val="left"/>
    </w:lvl>
  </w:abstractNum>
  <w:abstractNum w:abstractNumId="5">
    <w:nsid w:val="A04E93BA"/>
    <w:multiLevelType w:val="singleLevel"/>
    <w:tmpl w:val="A04E93BA"/>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6">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7">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8">
    <w:nsid w:val="B942C309"/>
    <w:multiLevelType w:val="singleLevel"/>
    <w:tmpl w:val="B942C309"/>
    <w:lvl w:ilvl="0" w:tentative="0">
      <w:start w:val="1"/>
      <w:numFmt w:val="decimalEnclosedCircleChinese"/>
      <w:suff w:val="nothing"/>
      <w:lvlText w:val="%1　"/>
      <w:lvlJc w:val="left"/>
      <w:pPr>
        <w:ind w:left="-60" w:firstLine="1134"/>
      </w:pPr>
      <w:rPr>
        <w:rFonts w:hint="eastAsia"/>
        <w:color w:val="auto"/>
      </w:rPr>
    </w:lvl>
  </w:abstractNum>
  <w:abstractNum w:abstractNumId="9">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2">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3">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4">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6">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7">
    <w:nsid w:val="0EF9FA53"/>
    <w:multiLevelType w:val="singleLevel"/>
    <w:tmpl w:val="0EF9FA53"/>
    <w:lvl w:ilvl="0" w:tentative="0">
      <w:start w:val="3"/>
      <w:numFmt w:val="chineseCounting"/>
      <w:suff w:val="space"/>
      <w:lvlText w:val="第%1章"/>
      <w:lvlJc w:val="left"/>
      <w:rPr>
        <w:rFonts w:hint="eastAsia"/>
      </w:rPr>
    </w:lvl>
  </w:abstractNum>
  <w:abstractNum w:abstractNumId="18">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9">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2">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3">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4">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5">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6">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27">
    <w:nsid w:val="43F94463"/>
    <w:multiLevelType w:val="singleLevel"/>
    <w:tmpl w:val="43F94463"/>
    <w:lvl w:ilvl="0" w:tentative="0">
      <w:start w:val="1"/>
      <w:numFmt w:val="decimalEnclosedCircleChinese"/>
      <w:suff w:val="nothing"/>
      <w:lvlText w:val="%1　"/>
      <w:lvlJc w:val="left"/>
      <w:pPr>
        <w:ind w:left="-60" w:firstLine="1134"/>
      </w:pPr>
      <w:rPr>
        <w:rFonts w:hint="eastAsia"/>
        <w:color w:val="auto"/>
      </w:rPr>
    </w:lvl>
  </w:abstractNum>
  <w:abstractNum w:abstractNumId="28">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9">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0">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1">
    <w:nsid w:val="51450D3F"/>
    <w:multiLevelType w:val="singleLevel"/>
    <w:tmpl w:val="51450D3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2">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3">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4">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5">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6">
    <w:nsid w:val="63557B35"/>
    <w:multiLevelType w:val="singleLevel"/>
    <w:tmpl w:val="63557B35"/>
    <w:lvl w:ilvl="0" w:tentative="0">
      <w:start w:val="1"/>
      <w:numFmt w:val="upperLetter"/>
      <w:pStyle w:val="5"/>
      <w:lvlText w:val="%1、"/>
      <w:lvlJc w:val="left"/>
      <w:pPr>
        <w:tabs>
          <w:tab w:val="left" w:pos="1035"/>
        </w:tabs>
        <w:ind w:left="1035" w:hanging="420"/>
      </w:pPr>
      <w:rPr>
        <w:rFonts w:hint="eastAsia"/>
      </w:rPr>
    </w:lvl>
  </w:abstractNum>
  <w:abstractNum w:abstractNumId="37">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38">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39">
    <w:nsid w:val="765D7662"/>
    <w:multiLevelType w:val="singleLevel"/>
    <w:tmpl w:val="765D7662"/>
    <w:lvl w:ilvl="0" w:tentative="0">
      <w:start w:val="2"/>
      <w:numFmt w:val="decimal"/>
      <w:suff w:val="nothing"/>
      <w:lvlText w:val="%1、"/>
      <w:lvlJc w:val="left"/>
      <w:pPr>
        <w:ind w:left="420"/>
      </w:pPr>
    </w:lvl>
  </w:abstractNum>
  <w:abstractNum w:abstractNumId="40">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8"/>
  </w:num>
  <w:num w:numId="2">
    <w:abstractNumId w:val="36"/>
  </w:num>
  <w:num w:numId="3">
    <w:abstractNumId w:val="30"/>
  </w:num>
  <w:num w:numId="4">
    <w:abstractNumId w:val="19"/>
  </w:num>
  <w:num w:numId="5">
    <w:abstractNumId w:val="40"/>
  </w:num>
  <w:num w:numId="6">
    <w:abstractNumId w:val="20"/>
  </w:num>
  <w:num w:numId="7">
    <w:abstractNumId w:val="34"/>
  </w:num>
  <w:num w:numId="8">
    <w:abstractNumId w:val="0"/>
  </w:num>
  <w:num w:numId="9">
    <w:abstractNumId w:val="23"/>
  </w:num>
  <w:num w:numId="10">
    <w:abstractNumId w:val="6"/>
  </w:num>
  <w:num w:numId="11">
    <w:abstractNumId w:val="7"/>
  </w:num>
  <w:num w:numId="12">
    <w:abstractNumId w:val="16"/>
  </w:num>
  <w:num w:numId="13">
    <w:abstractNumId w:val="35"/>
  </w:num>
  <w:num w:numId="14">
    <w:abstractNumId w:val="11"/>
  </w:num>
  <w:num w:numId="15">
    <w:abstractNumId w:val="37"/>
  </w:num>
  <w:num w:numId="16">
    <w:abstractNumId w:val="18"/>
  </w:num>
  <w:num w:numId="17">
    <w:abstractNumId w:val="29"/>
  </w:num>
  <w:num w:numId="18">
    <w:abstractNumId w:val="27"/>
  </w:num>
  <w:num w:numId="19">
    <w:abstractNumId w:val="12"/>
  </w:num>
  <w:num w:numId="20">
    <w:abstractNumId w:val="2"/>
  </w:num>
  <w:num w:numId="21">
    <w:abstractNumId w:val="15"/>
  </w:num>
  <w:num w:numId="22">
    <w:abstractNumId w:val="3"/>
  </w:num>
  <w:num w:numId="23">
    <w:abstractNumId w:val="21"/>
  </w:num>
  <w:num w:numId="24">
    <w:abstractNumId w:val="25"/>
  </w:num>
  <w:num w:numId="25">
    <w:abstractNumId w:val="14"/>
  </w:num>
  <w:num w:numId="26">
    <w:abstractNumId w:val="9"/>
  </w:num>
  <w:num w:numId="27">
    <w:abstractNumId w:val="26"/>
  </w:num>
  <w:num w:numId="28">
    <w:abstractNumId w:val="10"/>
  </w:num>
  <w:num w:numId="29">
    <w:abstractNumId w:val="24"/>
  </w:num>
  <w:num w:numId="30">
    <w:abstractNumId w:val="33"/>
  </w:num>
  <w:num w:numId="31">
    <w:abstractNumId w:val="32"/>
  </w:num>
  <w:num w:numId="32">
    <w:abstractNumId w:val="13"/>
  </w:num>
  <w:num w:numId="33">
    <w:abstractNumId w:val="22"/>
  </w:num>
  <w:num w:numId="34">
    <w:abstractNumId w:val="38"/>
  </w:num>
  <w:num w:numId="35">
    <w:abstractNumId w:val="1"/>
  </w:num>
  <w:num w:numId="36">
    <w:abstractNumId w:val="4"/>
  </w:num>
  <w:num w:numId="37">
    <w:abstractNumId w:val="39"/>
  </w:num>
  <w:num w:numId="38">
    <w:abstractNumId w:val="31"/>
  </w:num>
  <w:num w:numId="39">
    <w:abstractNumId w:val="17"/>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jA5ZjFmMTIzMDExYmU3OTJkYTIwZTcyZmIzM2EifQ=="/>
  </w:docVars>
  <w:rsids>
    <w:rsidRoot w:val="004B0811"/>
    <w:rsid w:val="00000049"/>
    <w:rsid w:val="00001DA3"/>
    <w:rsid w:val="00006204"/>
    <w:rsid w:val="00006818"/>
    <w:rsid w:val="000075DA"/>
    <w:rsid w:val="000077D0"/>
    <w:rsid w:val="000148D6"/>
    <w:rsid w:val="00015D59"/>
    <w:rsid w:val="00016095"/>
    <w:rsid w:val="00016B73"/>
    <w:rsid w:val="00017390"/>
    <w:rsid w:val="00017802"/>
    <w:rsid w:val="00020033"/>
    <w:rsid w:val="00020A81"/>
    <w:rsid w:val="000213B6"/>
    <w:rsid w:val="00022E98"/>
    <w:rsid w:val="00024B66"/>
    <w:rsid w:val="00026361"/>
    <w:rsid w:val="000264F4"/>
    <w:rsid w:val="00027239"/>
    <w:rsid w:val="0002777F"/>
    <w:rsid w:val="0003102E"/>
    <w:rsid w:val="0003167E"/>
    <w:rsid w:val="000328AC"/>
    <w:rsid w:val="00033D8A"/>
    <w:rsid w:val="00035C7B"/>
    <w:rsid w:val="00041E62"/>
    <w:rsid w:val="0004226E"/>
    <w:rsid w:val="00045CF2"/>
    <w:rsid w:val="000464E5"/>
    <w:rsid w:val="0004792A"/>
    <w:rsid w:val="0004794A"/>
    <w:rsid w:val="00050858"/>
    <w:rsid w:val="000510A3"/>
    <w:rsid w:val="00052D30"/>
    <w:rsid w:val="00053264"/>
    <w:rsid w:val="000536AD"/>
    <w:rsid w:val="00055D77"/>
    <w:rsid w:val="00055F1C"/>
    <w:rsid w:val="00056840"/>
    <w:rsid w:val="000611ED"/>
    <w:rsid w:val="00062CA2"/>
    <w:rsid w:val="000635FE"/>
    <w:rsid w:val="00063E4F"/>
    <w:rsid w:val="0006491A"/>
    <w:rsid w:val="00066D6C"/>
    <w:rsid w:val="00067276"/>
    <w:rsid w:val="00070161"/>
    <w:rsid w:val="000708A0"/>
    <w:rsid w:val="00070FE2"/>
    <w:rsid w:val="00071029"/>
    <w:rsid w:val="00071C5B"/>
    <w:rsid w:val="00074863"/>
    <w:rsid w:val="00075387"/>
    <w:rsid w:val="00076F53"/>
    <w:rsid w:val="00087AF0"/>
    <w:rsid w:val="000912C7"/>
    <w:rsid w:val="0009279F"/>
    <w:rsid w:val="000929DA"/>
    <w:rsid w:val="00094E71"/>
    <w:rsid w:val="0009767A"/>
    <w:rsid w:val="00097953"/>
    <w:rsid w:val="000A241D"/>
    <w:rsid w:val="000A5490"/>
    <w:rsid w:val="000B0DE4"/>
    <w:rsid w:val="000B1151"/>
    <w:rsid w:val="000B1CDD"/>
    <w:rsid w:val="000B3611"/>
    <w:rsid w:val="000B4627"/>
    <w:rsid w:val="000B5F6E"/>
    <w:rsid w:val="000B76CD"/>
    <w:rsid w:val="000C2631"/>
    <w:rsid w:val="000C2AC6"/>
    <w:rsid w:val="000C663A"/>
    <w:rsid w:val="000C6E71"/>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E7745"/>
    <w:rsid w:val="000F02FC"/>
    <w:rsid w:val="000F1FF4"/>
    <w:rsid w:val="000F45D5"/>
    <w:rsid w:val="000F4A41"/>
    <w:rsid w:val="000F50EA"/>
    <w:rsid w:val="000F5E25"/>
    <w:rsid w:val="000F5F2A"/>
    <w:rsid w:val="000F7138"/>
    <w:rsid w:val="000F7272"/>
    <w:rsid w:val="000F7D1F"/>
    <w:rsid w:val="00102B8C"/>
    <w:rsid w:val="001049C2"/>
    <w:rsid w:val="0010598A"/>
    <w:rsid w:val="00106539"/>
    <w:rsid w:val="00106DAD"/>
    <w:rsid w:val="00107709"/>
    <w:rsid w:val="00112DFA"/>
    <w:rsid w:val="00116DAA"/>
    <w:rsid w:val="001207CD"/>
    <w:rsid w:val="00120FD6"/>
    <w:rsid w:val="0012256C"/>
    <w:rsid w:val="001234B4"/>
    <w:rsid w:val="001239D4"/>
    <w:rsid w:val="00124CC2"/>
    <w:rsid w:val="001306A4"/>
    <w:rsid w:val="00130B31"/>
    <w:rsid w:val="00131F44"/>
    <w:rsid w:val="00132490"/>
    <w:rsid w:val="001330B0"/>
    <w:rsid w:val="001346A9"/>
    <w:rsid w:val="00136306"/>
    <w:rsid w:val="00141DA5"/>
    <w:rsid w:val="001434F8"/>
    <w:rsid w:val="00145D2A"/>
    <w:rsid w:val="00145DEA"/>
    <w:rsid w:val="001468A0"/>
    <w:rsid w:val="00154F16"/>
    <w:rsid w:val="00157B09"/>
    <w:rsid w:val="00164064"/>
    <w:rsid w:val="00167BCB"/>
    <w:rsid w:val="0017220F"/>
    <w:rsid w:val="0017302D"/>
    <w:rsid w:val="00175A80"/>
    <w:rsid w:val="00181AB5"/>
    <w:rsid w:val="001840F0"/>
    <w:rsid w:val="0018512C"/>
    <w:rsid w:val="0018546D"/>
    <w:rsid w:val="00185753"/>
    <w:rsid w:val="00186A09"/>
    <w:rsid w:val="00187DD3"/>
    <w:rsid w:val="00191FD8"/>
    <w:rsid w:val="001940F2"/>
    <w:rsid w:val="00194886"/>
    <w:rsid w:val="00194D4C"/>
    <w:rsid w:val="0019559D"/>
    <w:rsid w:val="00196875"/>
    <w:rsid w:val="001A09BA"/>
    <w:rsid w:val="001A1935"/>
    <w:rsid w:val="001A493D"/>
    <w:rsid w:val="001A5F98"/>
    <w:rsid w:val="001B260D"/>
    <w:rsid w:val="001B2755"/>
    <w:rsid w:val="001B47F1"/>
    <w:rsid w:val="001B4867"/>
    <w:rsid w:val="001B6049"/>
    <w:rsid w:val="001B71A5"/>
    <w:rsid w:val="001B7285"/>
    <w:rsid w:val="001C140D"/>
    <w:rsid w:val="001C22F6"/>
    <w:rsid w:val="001C26B1"/>
    <w:rsid w:val="001C462F"/>
    <w:rsid w:val="001C48E8"/>
    <w:rsid w:val="001C53F8"/>
    <w:rsid w:val="001C6443"/>
    <w:rsid w:val="001C6B0C"/>
    <w:rsid w:val="001C770C"/>
    <w:rsid w:val="001D0151"/>
    <w:rsid w:val="001D0B98"/>
    <w:rsid w:val="001D1962"/>
    <w:rsid w:val="001D3140"/>
    <w:rsid w:val="001D3CEE"/>
    <w:rsid w:val="001D5944"/>
    <w:rsid w:val="001D7FA5"/>
    <w:rsid w:val="001E32A6"/>
    <w:rsid w:val="001E44D7"/>
    <w:rsid w:val="001E48F2"/>
    <w:rsid w:val="001E514D"/>
    <w:rsid w:val="001E6213"/>
    <w:rsid w:val="001E65BA"/>
    <w:rsid w:val="001E7840"/>
    <w:rsid w:val="001F0C21"/>
    <w:rsid w:val="001F201E"/>
    <w:rsid w:val="001F46F2"/>
    <w:rsid w:val="001F4C6E"/>
    <w:rsid w:val="001F596D"/>
    <w:rsid w:val="001F5E72"/>
    <w:rsid w:val="001F63FD"/>
    <w:rsid w:val="00201ADE"/>
    <w:rsid w:val="00204166"/>
    <w:rsid w:val="00204834"/>
    <w:rsid w:val="002054EF"/>
    <w:rsid w:val="00207B4A"/>
    <w:rsid w:val="00210ADD"/>
    <w:rsid w:val="00213308"/>
    <w:rsid w:val="002134B6"/>
    <w:rsid w:val="0021411E"/>
    <w:rsid w:val="002166F5"/>
    <w:rsid w:val="0022084E"/>
    <w:rsid w:val="0022104A"/>
    <w:rsid w:val="00221186"/>
    <w:rsid w:val="00221F74"/>
    <w:rsid w:val="00222F9D"/>
    <w:rsid w:val="00226C15"/>
    <w:rsid w:val="00227274"/>
    <w:rsid w:val="00233994"/>
    <w:rsid w:val="002364CF"/>
    <w:rsid w:val="00236ADE"/>
    <w:rsid w:val="0023751B"/>
    <w:rsid w:val="002375BB"/>
    <w:rsid w:val="00240191"/>
    <w:rsid w:val="00241308"/>
    <w:rsid w:val="00242543"/>
    <w:rsid w:val="0024409C"/>
    <w:rsid w:val="00244106"/>
    <w:rsid w:val="00245323"/>
    <w:rsid w:val="00245C61"/>
    <w:rsid w:val="00247E15"/>
    <w:rsid w:val="00252A03"/>
    <w:rsid w:val="00254070"/>
    <w:rsid w:val="002555E3"/>
    <w:rsid w:val="0025652F"/>
    <w:rsid w:val="00257CCC"/>
    <w:rsid w:val="002606EC"/>
    <w:rsid w:val="00260EDD"/>
    <w:rsid w:val="002648CE"/>
    <w:rsid w:val="00264AF0"/>
    <w:rsid w:val="00270E2D"/>
    <w:rsid w:val="002737DE"/>
    <w:rsid w:val="00274F9A"/>
    <w:rsid w:val="00275072"/>
    <w:rsid w:val="00275157"/>
    <w:rsid w:val="002751D8"/>
    <w:rsid w:val="00280D86"/>
    <w:rsid w:val="00284635"/>
    <w:rsid w:val="00285763"/>
    <w:rsid w:val="00285F7E"/>
    <w:rsid w:val="0029041C"/>
    <w:rsid w:val="0029087D"/>
    <w:rsid w:val="002916B1"/>
    <w:rsid w:val="00295155"/>
    <w:rsid w:val="00296D5E"/>
    <w:rsid w:val="002972FE"/>
    <w:rsid w:val="002A1994"/>
    <w:rsid w:val="002A2ACF"/>
    <w:rsid w:val="002A50C8"/>
    <w:rsid w:val="002A64CA"/>
    <w:rsid w:val="002B17BF"/>
    <w:rsid w:val="002B7653"/>
    <w:rsid w:val="002C4E6C"/>
    <w:rsid w:val="002C5223"/>
    <w:rsid w:val="002C7A2D"/>
    <w:rsid w:val="002D11D9"/>
    <w:rsid w:val="002D6B41"/>
    <w:rsid w:val="002E2739"/>
    <w:rsid w:val="002E35E9"/>
    <w:rsid w:val="002F08B1"/>
    <w:rsid w:val="002F097F"/>
    <w:rsid w:val="002F2E8D"/>
    <w:rsid w:val="002F378A"/>
    <w:rsid w:val="002F4F8D"/>
    <w:rsid w:val="003012E1"/>
    <w:rsid w:val="00304C92"/>
    <w:rsid w:val="00305DD1"/>
    <w:rsid w:val="00306DD9"/>
    <w:rsid w:val="003072EC"/>
    <w:rsid w:val="0031129B"/>
    <w:rsid w:val="00311554"/>
    <w:rsid w:val="0031584F"/>
    <w:rsid w:val="00317185"/>
    <w:rsid w:val="0032106B"/>
    <w:rsid w:val="0032607A"/>
    <w:rsid w:val="00327130"/>
    <w:rsid w:val="00330616"/>
    <w:rsid w:val="00333072"/>
    <w:rsid w:val="00334145"/>
    <w:rsid w:val="0033593F"/>
    <w:rsid w:val="00335F6A"/>
    <w:rsid w:val="00336801"/>
    <w:rsid w:val="00341057"/>
    <w:rsid w:val="00343AD4"/>
    <w:rsid w:val="00344647"/>
    <w:rsid w:val="00344C66"/>
    <w:rsid w:val="00346F9B"/>
    <w:rsid w:val="003503F3"/>
    <w:rsid w:val="00350650"/>
    <w:rsid w:val="003510DB"/>
    <w:rsid w:val="0035370E"/>
    <w:rsid w:val="00354D93"/>
    <w:rsid w:val="00355E84"/>
    <w:rsid w:val="00355E89"/>
    <w:rsid w:val="00361B43"/>
    <w:rsid w:val="00363BE4"/>
    <w:rsid w:val="0036471B"/>
    <w:rsid w:val="00365265"/>
    <w:rsid w:val="0036599E"/>
    <w:rsid w:val="00365DEC"/>
    <w:rsid w:val="00366048"/>
    <w:rsid w:val="003666A9"/>
    <w:rsid w:val="00367622"/>
    <w:rsid w:val="00370309"/>
    <w:rsid w:val="0037377A"/>
    <w:rsid w:val="00373BFA"/>
    <w:rsid w:val="0038062E"/>
    <w:rsid w:val="00380EBB"/>
    <w:rsid w:val="00381BBB"/>
    <w:rsid w:val="00383AA4"/>
    <w:rsid w:val="00392324"/>
    <w:rsid w:val="00392CCA"/>
    <w:rsid w:val="00395EFF"/>
    <w:rsid w:val="003A7212"/>
    <w:rsid w:val="003A7F88"/>
    <w:rsid w:val="003B254E"/>
    <w:rsid w:val="003B5E1A"/>
    <w:rsid w:val="003C045D"/>
    <w:rsid w:val="003C05AC"/>
    <w:rsid w:val="003C18E8"/>
    <w:rsid w:val="003C2615"/>
    <w:rsid w:val="003C2BEF"/>
    <w:rsid w:val="003D54F9"/>
    <w:rsid w:val="003E03D0"/>
    <w:rsid w:val="003E0923"/>
    <w:rsid w:val="003E2076"/>
    <w:rsid w:val="003E4A85"/>
    <w:rsid w:val="003E650C"/>
    <w:rsid w:val="003E724B"/>
    <w:rsid w:val="003E75CD"/>
    <w:rsid w:val="003F0CB6"/>
    <w:rsid w:val="003F6C24"/>
    <w:rsid w:val="004035C7"/>
    <w:rsid w:val="00403969"/>
    <w:rsid w:val="00403983"/>
    <w:rsid w:val="00404796"/>
    <w:rsid w:val="00411B98"/>
    <w:rsid w:val="00412A01"/>
    <w:rsid w:val="00414504"/>
    <w:rsid w:val="004205FB"/>
    <w:rsid w:val="0042158E"/>
    <w:rsid w:val="00423F56"/>
    <w:rsid w:val="00431075"/>
    <w:rsid w:val="0043130F"/>
    <w:rsid w:val="00432945"/>
    <w:rsid w:val="00432A66"/>
    <w:rsid w:val="0043576F"/>
    <w:rsid w:val="0044078E"/>
    <w:rsid w:val="00442E77"/>
    <w:rsid w:val="004448DE"/>
    <w:rsid w:val="00445CAB"/>
    <w:rsid w:val="0044612F"/>
    <w:rsid w:val="004544B9"/>
    <w:rsid w:val="00455B4C"/>
    <w:rsid w:val="0046081D"/>
    <w:rsid w:val="00463600"/>
    <w:rsid w:val="00463657"/>
    <w:rsid w:val="00464C4C"/>
    <w:rsid w:val="00465A05"/>
    <w:rsid w:val="004707ED"/>
    <w:rsid w:val="00470C83"/>
    <w:rsid w:val="004738DF"/>
    <w:rsid w:val="0047436B"/>
    <w:rsid w:val="0047738D"/>
    <w:rsid w:val="00477C97"/>
    <w:rsid w:val="00480341"/>
    <w:rsid w:val="004811FE"/>
    <w:rsid w:val="00481376"/>
    <w:rsid w:val="00481459"/>
    <w:rsid w:val="00481EE1"/>
    <w:rsid w:val="00482174"/>
    <w:rsid w:val="004821D3"/>
    <w:rsid w:val="00483ECB"/>
    <w:rsid w:val="00484007"/>
    <w:rsid w:val="004840E1"/>
    <w:rsid w:val="00485252"/>
    <w:rsid w:val="00486A31"/>
    <w:rsid w:val="00487344"/>
    <w:rsid w:val="004875E1"/>
    <w:rsid w:val="0049055D"/>
    <w:rsid w:val="00490DDE"/>
    <w:rsid w:val="00490F49"/>
    <w:rsid w:val="004960E6"/>
    <w:rsid w:val="0049797C"/>
    <w:rsid w:val="004A4142"/>
    <w:rsid w:val="004A6F58"/>
    <w:rsid w:val="004B05F4"/>
    <w:rsid w:val="004B0811"/>
    <w:rsid w:val="004B1FE8"/>
    <w:rsid w:val="004B3910"/>
    <w:rsid w:val="004B46C4"/>
    <w:rsid w:val="004B5330"/>
    <w:rsid w:val="004B6001"/>
    <w:rsid w:val="004B6A5A"/>
    <w:rsid w:val="004B71B3"/>
    <w:rsid w:val="004B7EA3"/>
    <w:rsid w:val="004C1318"/>
    <w:rsid w:val="004C1BA6"/>
    <w:rsid w:val="004C267F"/>
    <w:rsid w:val="004D35C6"/>
    <w:rsid w:val="004D57AE"/>
    <w:rsid w:val="004E3A69"/>
    <w:rsid w:val="004E3F19"/>
    <w:rsid w:val="004E52B0"/>
    <w:rsid w:val="004E60DF"/>
    <w:rsid w:val="004E7063"/>
    <w:rsid w:val="004F1B98"/>
    <w:rsid w:val="004F1EF6"/>
    <w:rsid w:val="004F29C5"/>
    <w:rsid w:val="004F493E"/>
    <w:rsid w:val="004F4A0C"/>
    <w:rsid w:val="004F675C"/>
    <w:rsid w:val="004F6D1A"/>
    <w:rsid w:val="005008FA"/>
    <w:rsid w:val="00500D57"/>
    <w:rsid w:val="00503277"/>
    <w:rsid w:val="00503B44"/>
    <w:rsid w:val="00503EAE"/>
    <w:rsid w:val="00511898"/>
    <w:rsid w:val="00511D3E"/>
    <w:rsid w:val="00517C29"/>
    <w:rsid w:val="00521532"/>
    <w:rsid w:val="005245BA"/>
    <w:rsid w:val="00525303"/>
    <w:rsid w:val="00525C33"/>
    <w:rsid w:val="0052677F"/>
    <w:rsid w:val="0052721E"/>
    <w:rsid w:val="005306F4"/>
    <w:rsid w:val="00531CDE"/>
    <w:rsid w:val="00532809"/>
    <w:rsid w:val="00533931"/>
    <w:rsid w:val="00533DC9"/>
    <w:rsid w:val="00536392"/>
    <w:rsid w:val="00536C08"/>
    <w:rsid w:val="00537173"/>
    <w:rsid w:val="005378CB"/>
    <w:rsid w:val="005404A5"/>
    <w:rsid w:val="00540CB5"/>
    <w:rsid w:val="0054181E"/>
    <w:rsid w:val="005445DF"/>
    <w:rsid w:val="00545155"/>
    <w:rsid w:val="00546A76"/>
    <w:rsid w:val="005475DF"/>
    <w:rsid w:val="0054799F"/>
    <w:rsid w:val="005500A4"/>
    <w:rsid w:val="005514E6"/>
    <w:rsid w:val="00554DAD"/>
    <w:rsid w:val="00554E93"/>
    <w:rsid w:val="005568C1"/>
    <w:rsid w:val="00557696"/>
    <w:rsid w:val="00560B4F"/>
    <w:rsid w:val="00560EA2"/>
    <w:rsid w:val="0056175F"/>
    <w:rsid w:val="00561E6A"/>
    <w:rsid w:val="005648E0"/>
    <w:rsid w:val="00564E8F"/>
    <w:rsid w:val="005662B1"/>
    <w:rsid w:val="00571B49"/>
    <w:rsid w:val="0057210E"/>
    <w:rsid w:val="00575F6F"/>
    <w:rsid w:val="00577904"/>
    <w:rsid w:val="00577BDE"/>
    <w:rsid w:val="0058006C"/>
    <w:rsid w:val="00580845"/>
    <w:rsid w:val="00581BE5"/>
    <w:rsid w:val="00582FCE"/>
    <w:rsid w:val="0058535A"/>
    <w:rsid w:val="005853D2"/>
    <w:rsid w:val="0059001D"/>
    <w:rsid w:val="005900B5"/>
    <w:rsid w:val="00591734"/>
    <w:rsid w:val="00591FA1"/>
    <w:rsid w:val="00592DF2"/>
    <w:rsid w:val="00593E6F"/>
    <w:rsid w:val="00594041"/>
    <w:rsid w:val="00594F19"/>
    <w:rsid w:val="00594F8E"/>
    <w:rsid w:val="005965F2"/>
    <w:rsid w:val="005A02D2"/>
    <w:rsid w:val="005A31DC"/>
    <w:rsid w:val="005A6032"/>
    <w:rsid w:val="005A61F4"/>
    <w:rsid w:val="005A6DCA"/>
    <w:rsid w:val="005A745F"/>
    <w:rsid w:val="005B5FD2"/>
    <w:rsid w:val="005B61AE"/>
    <w:rsid w:val="005B7C66"/>
    <w:rsid w:val="005C1EDC"/>
    <w:rsid w:val="005C3E58"/>
    <w:rsid w:val="005C40A5"/>
    <w:rsid w:val="005C469E"/>
    <w:rsid w:val="005C4B9B"/>
    <w:rsid w:val="005C515B"/>
    <w:rsid w:val="005C7DA4"/>
    <w:rsid w:val="005D3369"/>
    <w:rsid w:val="005D44DD"/>
    <w:rsid w:val="005D4538"/>
    <w:rsid w:val="005D509B"/>
    <w:rsid w:val="005D59F7"/>
    <w:rsid w:val="005D6FDE"/>
    <w:rsid w:val="005E2379"/>
    <w:rsid w:val="005E42E7"/>
    <w:rsid w:val="005E435B"/>
    <w:rsid w:val="005E45D4"/>
    <w:rsid w:val="005E5B93"/>
    <w:rsid w:val="005E781A"/>
    <w:rsid w:val="005F0902"/>
    <w:rsid w:val="005F20C3"/>
    <w:rsid w:val="005F252E"/>
    <w:rsid w:val="005F3EA6"/>
    <w:rsid w:val="005F4076"/>
    <w:rsid w:val="005F5C9B"/>
    <w:rsid w:val="005F6795"/>
    <w:rsid w:val="005F7D07"/>
    <w:rsid w:val="0060295B"/>
    <w:rsid w:val="0060337E"/>
    <w:rsid w:val="006037E7"/>
    <w:rsid w:val="00605B60"/>
    <w:rsid w:val="00605B63"/>
    <w:rsid w:val="00607067"/>
    <w:rsid w:val="00607DF3"/>
    <w:rsid w:val="006108E4"/>
    <w:rsid w:val="00610BEB"/>
    <w:rsid w:val="00610E5C"/>
    <w:rsid w:val="0061393B"/>
    <w:rsid w:val="0062675F"/>
    <w:rsid w:val="00626AD6"/>
    <w:rsid w:val="0062753E"/>
    <w:rsid w:val="00627BE7"/>
    <w:rsid w:val="00627CD0"/>
    <w:rsid w:val="00627E2D"/>
    <w:rsid w:val="0063140B"/>
    <w:rsid w:val="00631575"/>
    <w:rsid w:val="00633569"/>
    <w:rsid w:val="00635132"/>
    <w:rsid w:val="00635ADF"/>
    <w:rsid w:val="00642080"/>
    <w:rsid w:val="006435A9"/>
    <w:rsid w:val="006443D6"/>
    <w:rsid w:val="00644CB6"/>
    <w:rsid w:val="006503B5"/>
    <w:rsid w:val="0065060D"/>
    <w:rsid w:val="00654BDC"/>
    <w:rsid w:val="00655711"/>
    <w:rsid w:val="00657F9C"/>
    <w:rsid w:val="00665413"/>
    <w:rsid w:val="00665C0E"/>
    <w:rsid w:val="006708AA"/>
    <w:rsid w:val="00670DA8"/>
    <w:rsid w:val="006733B7"/>
    <w:rsid w:val="00684CC6"/>
    <w:rsid w:val="00684E9E"/>
    <w:rsid w:val="0068564F"/>
    <w:rsid w:val="00687BD4"/>
    <w:rsid w:val="00691327"/>
    <w:rsid w:val="00692449"/>
    <w:rsid w:val="00693E45"/>
    <w:rsid w:val="006951A4"/>
    <w:rsid w:val="00695EAD"/>
    <w:rsid w:val="0069614D"/>
    <w:rsid w:val="006974EF"/>
    <w:rsid w:val="006A1152"/>
    <w:rsid w:val="006A545D"/>
    <w:rsid w:val="006B16D2"/>
    <w:rsid w:val="006B18A5"/>
    <w:rsid w:val="006B464F"/>
    <w:rsid w:val="006B5750"/>
    <w:rsid w:val="006B6948"/>
    <w:rsid w:val="006B6CE2"/>
    <w:rsid w:val="006B6E7A"/>
    <w:rsid w:val="006C0A94"/>
    <w:rsid w:val="006C0D27"/>
    <w:rsid w:val="006C252F"/>
    <w:rsid w:val="006C7BC3"/>
    <w:rsid w:val="006D0D78"/>
    <w:rsid w:val="006D127E"/>
    <w:rsid w:val="006D1E67"/>
    <w:rsid w:val="006D31BD"/>
    <w:rsid w:val="006D6D42"/>
    <w:rsid w:val="006D79C2"/>
    <w:rsid w:val="006E03F0"/>
    <w:rsid w:val="006E132F"/>
    <w:rsid w:val="006E1676"/>
    <w:rsid w:val="006E5766"/>
    <w:rsid w:val="006E62AA"/>
    <w:rsid w:val="006F16AA"/>
    <w:rsid w:val="006F6BED"/>
    <w:rsid w:val="006F770E"/>
    <w:rsid w:val="00702AEC"/>
    <w:rsid w:val="00703C8C"/>
    <w:rsid w:val="00703F26"/>
    <w:rsid w:val="00704022"/>
    <w:rsid w:val="00705C4B"/>
    <w:rsid w:val="0071043E"/>
    <w:rsid w:val="007120A5"/>
    <w:rsid w:val="0071212F"/>
    <w:rsid w:val="00713C51"/>
    <w:rsid w:val="00720140"/>
    <w:rsid w:val="00720ECC"/>
    <w:rsid w:val="00722047"/>
    <w:rsid w:val="007266DF"/>
    <w:rsid w:val="007317F3"/>
    <w:rsid w:val="007318D9"/>
    <w:rsid w:val="00732283"/>
    <w:rsid w:val="007324B3"/>
    <w:rsid w:val="007339FF"/>
    <w:rsid w:val="00733A0A"/>
    <w:rsid w:val="0073530B"/>
    <w:rsid w:val="007353C8"/>
    <w:rsid w:val="00735F37"/>
    <w:rsid w:val="0073643B"/>
    <w:rsid w:val="007400BE"/>
    <w:rsid w:val="00741801"/>
    <w:rsid w:val="0074230B"/>
    <w:rsid w:val="00743CE7"/>
    <w:rsid w:val="00745BBA"/>
    <w:rsid w:val="00750AE3"/>
    <w:rsid w:val="00751C16"/>
    <w:rsid w:val="00752348"/>
    <w:rsid w:val="00753F62"/>
    <w:rsid w:val="0075462D"/>
    <w:rsid w:val="00755EB7"/>
    <w:rsid w:val="00757337"/>
    <w:rsid w:val="00757800"/>
    <w:rsid w:val="00757915"/>
    <w:rsid w:val="00762B3D"/>
    <w:rsid w:val="0076481D"/>
    <w:rsid w:val="00766552"/>
    <w:rsid w:val="00770F92"/>
    <w:rsid w:val="007717B4"/>
    <w:rsid w:val="00771B65"/>
    <w:rsid w:val="007731A3"/>
    <w:rsid w:val="007742D0"/>
    <w:rsid w:val="00774626"/>
    <w:rsid w:val="00776940"/>
    <w:rsid w:val="007800A5"/>
    <w:rsid w:val="00780F42"/>
    <w:rsid w:val="00785BE9"/>
    <w:rsid w:val="00786247"/>
    <w:rsid w:val="00786F83"/>
    <w:rsid w:val="007877D6"/>
    <w:rsid w:val="00796F96"/>
    <w:rsid w:val="00797CAE"/>
    <w:rsid w:val="007A5FA8"/>
    <w:rsid w:val="007A7E06"/>
    <w:rsid w:val="007B2FF7"/>
    <w:rsid w:val="007B33BF"/>
    <w:rsid w:val="007B5225"/>
    <w:rsid w:val="007B56F7"/>
    <w:rsid w:val="007B70B3"/>
    <w:rsid w:val="007C2604"/>
    <w:rsid w:val="007C2B64"/>
    <w:rsid w:val="007C5553"/>
    <w:rsid w:val="007D16EC"/>
    <w:rsid w:val="007D3620"/>
    <w:rsid w:val="007D4799"/>
    <w:rsid w:val="007E3946"/>
    <w:rsid w:val="007E4542"/>
    <w:rsid w:val="007E4563"/>
    <w:rsid w:val="007E66C4"/>
    <w:rsid w:val="007F3A4E"/>
    <w:rsid w:val="007F3D48"/>
    <w:rsid w:val="007F455F"/>
    <w:rsid w:val="0080010D"/>
    <w:rsid w:val="0080289B"/>
    <w:rsid w:val="0080361E"/>
    <w:rsid w:val="00805A92"/>
    <w:rsid w:val="008068C4"/>
    <w:rsid w:val="00810701"/>
    <w:rsid w:val="008112C2"/>
    <w:rsid w:val="0081686A"/>
    <w:rsid w:val="00817FD3"/>
    <w:rsid w:val="00824965"/>
    <w:rsid w:val="00824F2B"/>
    <w:rsid w:val="0083040C"/>
    <w:rsid w:val="008308A0"/>
    <w:rsid w:val="00833198"/>
    <w:rsid w:val="00833BF9"/>
    <w:rsid w:val="008341CE"/>
    <w:rsid w:val="0083519D"/>
    <w:rsid w:val="008351AF"/>
    <w:rsid w:val="00836471"/>
    <w:rsid w:val="00842685"/>
    <w:rsid w:val="00843413"/>
    <w:rsid w:val="00844745"/>
    <w:rsid w:val="008507BB"/>
    <w:rsid w:val="008509B5"/>
    <w:rsid w:val="00851F7A"/>
    <w:rsid w:val="00855A19"/>
    <w:rsid w:val="008568B1"/>
    <w:rsid w:val="00856F40"/>
    <w:rsid w:val="00865AF7"/>
    <w:rsid w:val="008660C6"/>
    <w:rsid w:val="00867215"/>
    <w:rsid w:val="008705F0"/>
    <w:rsid w:val="00876D91"/>
    <w:rsid w:val="0087739E"/>
    <w:rsid w:val="0088097C"/>
    <w:rsid w:val="00881169"/>
    <w:rsid w:val="00881590"/>
    <w:rsid w:val="00882269"/>
    <w:rsid w:val="00884273"/>
    <w:rsid w:val="0089235D"/>
    <w:rsid w:val="00894884"/>
    <w:rsid w:val="008948CC"/>
    <w:rsid w:val="00894E12"/>
    <w:rsid w:val="008963A2"/>
    <w:rsid w:val="008964D5"/>
    <w:rsid w:val="008A02CC"/>
    <w:rsid w:val="008A19FB"/>
    <w:rsid w:val="008A220C"/>
    <w:rsid w:val="008A6941"/>
    <w:rsid w:val="008B0B06"/>
    <w:rsid w:val="008B598D"/>
    <w:rsid w:val="008C0D07"/>
    <w:rsid w:val="008C12F0"/>
    <w:rsid w:val="008C2010"/>
    <w:rsid w:val="008C429A"/>
    <w:rsid w:val="008C47A8"/>
    <w:rsid w:val="008C516E"/>
    <w:rsid w:val="008C6CE7"/>
    <w:rsid w:val="008C767C"/>
    <w:rsid w:val="008D11F5"/>
    <w:rsid w:val="008D4094"/>
    <w:rsid w:val="008E1011"/>
    <w:rsid w:val="008E1905"/>
    <w:rsid w:val="008E2A88"/>
    <w:rsid w:val="008E57DF"/>
    <w:rsid w:val="008E6CC5"/>
    <w:rsid w:val="008E7A9E"/>
    <w:rsid w:val="008F0B77"/>
    <w:rsid w:val="008F290B"/>
    <w:rsid w:val="008F42B3"/>
    <w:rsid w:val="008F62A7"/>
    <w:rsid w:val="00904FB2"/>
    <w:rsid w:val="009072F4"/>
    <w:rsid w:val="00910D3D"/>
    <w:rsid w:val="00913166"/>
    <w:rsid w:val="009210AE"/>
    <w:rsid w:val="00922517"/>
    <w:rsid w:val="009227B3"/>
    <w:rsid w:val="00925172"/>
    <w:rsid w:val="0093003E"/>
    <w:rsid w:val="009301D4"/>
    <w:rsid w:val="0093191A"/>
    <w:rsid w:val="0093218D"/>
    <w:rsid w:val="00932D70"/>
    <w:rsid w:val="00933187"/>
    <w:rsid w:val="009332A3"/>
    <w:rsid w:val="009333E0"/>
    <w:rsid w:val="009373F5"/>
    <w:rsid w:val="00937B5B"/>
    <w:rsid w:val="0094293E"/>
    <w:rsid w:val="00947D51"/>
    <w:rsid w:val="00947E7A"/>
    <w:rsid w:val="00952610"/>
    <w:rsid w:val="00953B72"/>
    <w:rsid w:val="00955691"/>
    <w:rsid w:val="009557E9"/>
    <w:rsid w:val="009564C9"/>
    <w:rsid w:val="00956B6F"/>
    <w:rsid w:val="00963254"/>
    <w:rsid w:val="009636B7"/>
    <w:rsid w:val="00963C00"/>
    <w:rsid w:val="00967340"/>
    <w:rsid w:val="009701C5"/>
    <w:rsid w:val="009702FB"/>
    <w:rsid w:val="00970487"/>
    <w:rsid w:val="00970B38"/>
    <w:rsid w:val="0097133A"/>
    <w:rsid w:val="00972484"/>
    <w:rsid w:val="0097423A"/>
    <w:rsid w:val="00977D16"/>
    <w:rsid w:val="00981757"/>
    <w:rsid w:val="0098205C"/>
    <w:rsid w:val="00983B0B"/>
    <w:rsid w:val="00984340"/>
    <w:rsid w:val="00991557"/>
    <w:rsid w:val="009916C1"/>
    <w:rsid w:val="0099236C"/>
    <w:rsid w:val="00992F15"/>
    <w:rsid w:val="009932DC"/>
    <w:rsid w:val="00993C5B"/>
    <w:rsid w:val="00993D04"/>
    <w:rsid w:val="009944AC"/>
    <w:rsid w:val="00995F1D"/>
    <w:rsid w:val="00996377"/>
    <w:rsid w:val="0099788C"/>
    <w:rsid w:val="009A1276"/>
    <w:rsid w:val="009A1369"/>
    <w:rsid w:val="009A194B"/>
    <w:rsid w:val="009A588B"/>
    <w:rsid w:val="009B0797"/>
    <w:rsid w:val="009B19A2"/>
    <w:rsid w:val="009B1A96"/>
    <w:rsid w:val="009B1E0B"/>
    <w:rsid w:val="009B61BC"/>
    <w:rsid w:val="009C05E8"/>
    <w:rsid w:val="009C4BA6"/>
    <w:rsid w:val="009C4D08"/>
    <w:rsid w:val="009C5701"/>
    <w:rsid w:val="009C663B"/>
    <w:rsid w:val="009C7B33"/>
    <w:rsid w:val="009D0791"/>
    <w:rsid w:val="009D199D"/>
    <w:rsid w:val="009D20A7"/>
    <w:rsid w:val="009D219F"/>
    <w:rsid w:val="009D258E"/>
    <w:rsid w:val="009D2BEA"/>
    <w:rsid w:val="009D4EFC"/>
    <w:rsid w:val="009D50DE"/>
    <w:rsid w:val="009E227A"/>
    <w:rsid w:val="009E5D1E"/>
    <w:rsid w:val="009E79A0"/>
    <w:rsid w:val="009F0C7C"/>
    <w:rsid w:val="009F1C9F"/>
    <w:rsid w:val="009F3362"/>
    <w:rsid w:val="009F3FD5"/>
    <w:rsid w:val="009F50B7"/>
    <w:rsid w:val="009F65C5"/>
    <w:rsid w:val="009F75D9"/>
    <w:rsid w:val="00A00F6F"/>
    <w:rsid w:val="00A0323C"/>
    <w:rsid w:val="00A032AD"/>
    <w:rsid w:val="00A04CD8"/>
    <w:rsid w:val="00A0624B"/>
    <w:rsid w:val="00A0765D"/>
    <w:rsid w:val="00A11C4E"/>
    <w:rsid w:val="00A14C4D"/>
    <w:rsid w:val="00A165B8"/>
    <w:rsid w:val="00A16B1D"/>
    <w:rsid w:val="00A20580"/>
    <w:rsid w:val="00A20B8C"/>
    <w:rsid w:val="00A242F2"/>
    <w:rsid w:val="00A261F6"/>
    <w:rsid w:val="00A317D3"/>
    <w:rsid w:val="00A32040"/>
    <w:rsid w:val="00A32A2B"/>
    <w:rsid w:val="00A331A8"/>
    <w:rsid w:val="00A3757F"/>
    <w:rsid w:val="00A42993"/>
    <w:rsid w:val="00A44B73"/>
    <w:rsid w:val="00A44BBB"/>
    <w:rsid w:val="00A44E69"/>
    <w:rsid w:val="00A4589E"/>
    <w:rsid w:val="00A46C58"/>
    <w:rsid w:val="00A477A6"/>
    <w:rsid w:val="00A4785E"/>
    <w:rsid w:val="00A47E55"/>
    <w:rsid w:val="00A509C9"/>
    <w:rsid w:val="00A50A19"/>
    <w:rsid w:val="00A52293"/>
    <w:rsid w:val="00A5304B"/>
    <w:rsid w:val="00A53BBD"/>
    <w:rsid w:val="00A53BE4"/>
    <w:rsid w:val="00A55163"/>
    <w:rsid w:val="00A556D4"/>
    <w:rsid w:val="00A56108"/>
    <w:rsid w:val="00A572AF"/>
    <w:rsid w:val="00A5762D"/>
    <w:rsid w:val="00A6065D"/>
    <w:rsid w:val="00A606DD"/>
    <w:rsid w:val="00A610E5"/>
    <w:rsid w:val="00A61583"/>
    <w:rsid w:val="00A624EC"/>
    <w:rsid w:val="00A62BB5"/>
    <w:rsid w:val="00A653FA"/>
    <w:rsid w:val="00A65A5F"/>
    <w:rsid w:val="00A67145"/>
    <w:rsid w:val="00A730A0"/>
    <w:rsid w:val="00A7429B"/>
    <w:rsid w:val="00A755D2"/>
    <w:rsid w:val="00A7608C"/>
    <w:rsid w:val="00A7674A"/>
    <w:rsid w:val="00A8142C"/>
    <w:rsid w:val="00A82586"/>
    <w:rsid w:val="00A82743"/>
    <w:rsid w:val="00A8307D"/>
    <w:rsid w:val="00A85F63"/>
    <w:rsid w:val="00A87602"/>
    <w:rsid w:val="00A87E79"/>
    <w:rsid w:val="00A90C66"/>
    <w:rsid w:val="00A9202B"/>
    <w:rsid w:val="00A927FA"/>
    <w:rsid w:val="00A93FFC"/>
    <w:rsid w:val="00A95870"/>
    <w:rsid w:val="00A974CC"/>
    <w:rsid w:val="00AA4B4A"/>
    <w:rsid w:val="00AB0897"/>
    <w:rsid w:val="00AB102C"/>
    <w:rsid w:val="00AB1BC7"/>
    <w:rsid w:val="00AB2FF7"/>
    <w:rsid w:val="00AB3A8F"/>
    <w:rsid w:val="00AB5CA2"/>
    <w:rsid w:val="00AB6F1F"/>
    <w:rsid w:val="00AB7EA0"/>
    <w:rsid w:val="00AC092A"/>
    <w:rsid w:val="00AC1517"/>
    <w:rsid w:val="00AD26A9"/>
    <w:rsid w:val="00AD43C6"/>
    <w:rsid w:val="00AD4406"/>
    <w:rsid w:val="00AD5D1C"/>
    <w:rsid w:val="00AD64E0"/>
    <w:rsid w:val="00AD7E80"/>
    <w:rsid w:val="00AD7F24"/>
    <w:rsid w:val="00AE3C10"/>
    <w:rsid w:val="00AE5773"/>
    <w:rsid w:val="00AE5BC0"/>
    <w:rsid w:val="00AE5DA8"/>
    <w:rsid w:val="00AE73C1"/>
    <w:rsid w:val="00AF1A06"/>
    <w:rsid w:val="00AF3BED"/>
    <w:rsid w:val="00AF4C7A"/>
    <w:rsid w:val="00AF593E"/>
    <w:rsid w:val="00AF62F6"/>
    <w:rsid w:val="00B00DB3"/>
    <w:rsid w:val="00B0166D"/>
    <w:rsid w:val="00B01E5E"/>
    <w:rsid w:val="00B045E2"/>
    <w:rsid w:val="00B05835"/>
    <w:rsid w:val="00B0604B"/>
    <w:rsid w:val="00B11163"/>
    <w:rsid w:val="00B146C2"/>
    <w:rsid w:val="00B167D0"/>
    <w:rsid w:val="00B238AF"/>
    <w:rsid w:val="00B33CCF"/>
    <w:rsid w:val="00B354EC"/>
    <w:rsid w:val="00B40A16"/>
    <w:rsid w:val="00B4109D"/>
    <w:rsid w:val="00B42188"/>
    <w:rsid w:val="00B42597"/>
    <w:rsid w:val="00B42823"/>
    <w:rsid w:val="00B43764"/>
    <w:rsid w:val="00B445CF"/>
    <w:rsid w:val="00B463C0"/>
    <w:rsid w:val="00B4652A"/>
    <w:rsid w:val="00B4657A"/>
    <w:rsid w:val="00B507B8"/>
    <w:rsid w:val="00B54777"/>
    <w:rsid w:val="00B54848"/>
    <w:rsid w:val="00B5518D"/>
    <w:rsid w:val="00B56416"/>
    <w:rsid w:val="00B565DB"/>
    <w:rsid w:val="00B56E8A"/>
    <w:rsid w:val="00B57128"/>
    <w:rsid w:val="00B5726D"/>
    <w:rsid w:val="00B574CB"/>
    <w:rsid w:val="00B5798E"/>
    <w:rsid w:val="00B60381"/>
    <w:rsid w:val="00B607BA"/>
    <w:rsid w:val="00B61F4E"/>
    <w:rsid w:val="00B6276A"/>
    <w:rsid w:val="00B62B53"/>
    <w:rsid w:val="00B63F41"/>
    <w:rsid w:val="00B64D5E"/>
    <w:rsid w:val="00B64F6F"/>
    <w:rsid w:val="00B65AB8"/>
    <w:rsid w:val="00B67249"/>
    <w:rsid w:val="00B74938"/>
    <w:rsid w:val="00B75C85"/>
    <w:rsid w:val="00B7625E"/>
    <w:rsid w:val="00B76D9B"/>
    <w:rsid w:val="00B774BB"/>
    <w:rsid w:val="00B81257"/>
    <w:rsid w:val="00B81D00"/>
    <w:rsid w:val="00B83083"/>
    <w:rsid w:val="00B836F0"/>
    <w:rsid w:val="00B83F65"/>
    <w:rsid w:val="00B84B09"/>
    <w:rsid w:val="00B85934"/>
    <w:rsid w:val="00B86D8A"/>
    <w:rsid w:val="00B91637"/>
    <w:rsid w:val="00B91765"/>
    <w:rsid w:val="00B91C43"/>
    <w:rsid w:val="00B91FEF"/>
    <w:rsid w:val="00B922A9"/>
    <w:rsid w:val="00B92D96"/>
    <w:rsid w:val="00B9312D"/>
    <w:rsid w:val="00B9367D"/>
    <w:rsid w:val="00B93C16"/>
    <w:rsid w:val="00B95556"/>
    <w:rsid w:val="00B960CC"/>
    <w:rsid w:val="00B97B67"/>
    <w:rsid w:val="00B97E0A"/>
    <w:rsid w:val="00BA05F5"/>
    <w:rsid w:val="00BA06A5"/>
    <w:rsid w:val="00BA288B"/>
    <w:rsid w:val="00BB6002"/>
    <w:rsid w:val="00BB6293"/>
    <w:rsid w:val="00BC05AA"/>
    <w:rsid w:val="00BC1753"/>
    <w:rsid w:val="00BC2423"/>
    <w:rsid w:val="00BC3337"/>
    <w:rsid w:val="00BC3EB7"/>
    <w:rsid w:val="00BC42E7"/>
    <w:rsid w:val="00BC6A23"/>
    <w:rsid w:val="00BD0B30"/>
    <w:rsid w:val="00BD1053"/>
    <w:rsid w:val="00BD10B3"/>
    <w:rsid w:val="00BD16DE"/>
    <w:rsid w:val="00BD1B50"/>
    <w:rsid w:val="00BD306A"/>
    <w:rsid w:val="00BD37A0"/>
    <w:rsid w:val="00BD4A1A"/>
    <w:rsid w:val="00BD5A7B"/>
    <w:rsid w:val="00BD5A9C"/>
    <w:rsid w:val="00BE0BE0"/>
    <w:rsid w:val="00BE5318"/>
    <w:rsid w:val="00BE58B5"/>
    <w:rsid w:val="00BE5A1F"/>
    <w:rsid w:val="00BE5F32"/>
    <w:rsid w:val="00BE6365"/>
    <w:rsid w:val="00BE723C"/>
    <w:rsid w:val="00BE7689"/>
    <w:rsid w:val="00BF0FCB"/>
    <w:rsid w:val="00BF14BD"/>
    <w:rsid w:val="00BF1D92"/>
    <w:rsid w:val="00BF3D26"/>
    <w:rsid w:val="00BF3E33"/>
    <w:rsid w:val="00BF4B50"/>
    <w:rsid w:val="00BF579F"/>
    <w:rsid w:val="00BF57DA"/>
    <w:rsid w:val="00BF7D13"/>
    <w:rsid w:val="00C0067F"/>
    <w:rsid w:val="00C03E5B"/>
    <w:rsid w:val="00C04267"/>
    <w:rsid w:val="00C050B7"/>
    <w:rsid w:val="00C0689F"/>
    <w:rsid w:val="00C071CF"/>
    <w:rsid w:val="00C1315D"/>
    <w:rsid w:val="00C15AF4"/>
    <w:rsid w:val="00C17640"/>
    <w:rsid w:val="00C21BD6"/>
    <w:rsid w:val="00C237B0"/>
    <w:rsid w:val="00C23838"/>
    <w:rsid w:val="00C26131"/>
    <w:rsid w:val="00C27086"/>
    <w:rsid w:val="00C3078D"/>
    <w:rsid w:val="00C3475E"/>
    <w:rsid w:val="00C34A70"/>
    <w:rsid w:val="00C35FF3"/>
    <w:rsid w:val="00C367BC"/>
    <w:rsid w:val="00C43F77"/>
    <w:rsid w:val="00C44A1E"/>
    <w:rsid w:val="00C4766D"/>
    <w:rsid w:val="00C50119"/>
    <w:rsid w:val="00C53A8C"/>
    <w:rsid w:val="00C54622"/>
    <w:rsid w:val="00C55F10"/>
    <w:rsid w:val="00C56885"/>
    <w:rsid w:val="00C57EA2"/>
    <w:rsid w:val="00C6104B"/>
    <w:rsid w:val="00C620E4"/>
    <w:rsid w:val="00C639AE"/>
    <w:rsid w:val="00C6418C"/>
    <w:rsid w:val="00C645E3"/>
    <w:rsid w:val="00C7045F"/>
    <w:rsid w:val="00C76A08"/>
    <w:rsid w:val="00C8309F"/>
    <w:rsid w:val="00C847A4"/>
    <w:rsid w:val="00C847E4"/>
    <w:rsid w:val="00C85369"/>
    <w:rsid w:val="00C86D93"/>
    <w:rsid w:val="00C875DF"/>
    <w:rsid w:val="00C92459"/>
    <w:rsid w:val="00C92F99"/>
    <w:rsid w:val="00C93AF7"/>
    <w:rsid w:val="00C94501"/>
    <w:rsid w:val="00C94B9A"/>
    <w:rsid w:val="00C95CBB"/>
    <w:rsid w:val="00C95FF4"/>
    <w:rsid w:val="00CA599F"/>
    <w:rsid w:val="00CA5C90"/>
    <w:rsid w:val="00CA5DCF"/>
    <w:rsid w:val="00CA6A63"/>
    <w:rsid w:val="00CB5F36"/>
    <w:rsid w:val="00CC276A"/>
    <w:rsid w:val="00CD022A"/>
    <w:rsid w:val="00CD3F26"/>
    <w:rsid w:val="00CD4DC4"/>
    <w:rsid w:val="00CD518F"/>
    <w:rsid w:val="00CD5B6D"/>
    <w:rsid w:val="00CD68FE"/>
    <w:rsid w:val="00CD7C7A"/>
    <w:rsid w:val="00CE0CEA"/>
    <w:rsid w:val="00CE1964"/>
    <w:rsid w:val="00CE3ED8"/>
    <w:rsid w:val="00CF01DE"/>
    <w:rsid w:val="00CF0E38"/>
    <w:rsid w:val="00CF0E55"/>
    <w:rsid w:val="00CF2226"/>
    <w:rsid w:val="00CF2712"/>
    <w:rsid w:val="00CF4233"/>
    <w:rsid w:val="00D0165B"/>
    <w:rsid w:val="00D01A14"/>
    <w:rsid w:val="00D036E4"/>
    <w:rsid w:val="00D0536A"/>
    <w:rsid w:val="00D0576E"/>
    <w:rsid w:val="00D10192"/>
    <w:rsid w:val="00D1174A"/>
    <w:rsid w:val="00D12C4D"/>
    <w:rsid w:val="00D162B3"/>
    <w:rsid w:val="00D20839"/>
    <w:rsid w:val="00D20B2B"/>
    <w:rsid w:val="00D228E6"/>
    <w:rsid w:val="00D228FE"/>
    <w:rsid w:val="00D229E6"/>
    <w:rsid w:val="00D23330"/>
    <w:rsid w:val="00D23990"/>
    <w:rsid w:val="00D251F6"/>
    <w:rsid w:val="00D26AA9"/>
    <w:rsid w:val="00D27972"/>
    <w:rsid w:val="00D27CDD"/>
    <w:rsid w:val="00D3456D"/>
    <w:rsid w:val="00D34AFD"/>
    <w:rsid w:val="00D35025"/>
    <w:rsid w:val="00D3543B"/>
    <w:rsid w:val="00D35822"/>
    <w:rsid w:val="00D3624E"/>
    <w:rsid w:val="00D37FD7"/>
    <w:rsid w:val="00D41189"/>
    <w:rsid w:val="00D41480"/>
    <w:rsid w:val="00D42AD8"/>
    <w:rsid w:val="00D45133"/>
    <w:rsid w:val="00D45255"/>
    <w:rsid w:val="00D457D1"/>
    <w:rsid w:val="00D4583C"/>
    <w:rsid w:val="00D46EE0"/>
    <w:rsid w:val="00D47747"/>
    <w:rsid w:val="00D503DD"/>
    <w:rsid w:val="00D523E4"/>
    <w:rsid w:val="00D53CC4"/>
    <w:rsid w:val="00D56715"/>
    <w:rsid w:val="00D56D0C"/>
    <w:rsid w:val="00D57D37"/>
    <w:rsid w:val="00D57D6E"/>
    <w:rsid w:val="00D60AE8"/>
    <w:rsid w:val="00D62E02"/>
    <w:rsid w:val="00D641C9"/>
    <w:rsid w:val="00D70B53"/>
    <w:rsid w:val="00D72882"/>
    <w:rsid w:val="00D75178"/>
    <w:rsid w:val="00D75556"/>
    <w:rsid w:val="00D76264"/>
    <w:rsid w:val="00D765E6"/>
    <w:rsid w:val="00D839B5"/>
    <w:rsid w:val="00D8416F"/>
    <w:rsid w:val="00D859BC"/>
    <w:rsid w:val="00D8634B"/>
    <w:rsid w:val="00D87875"/>
    <w:rsid w:val="00D92227"/>
    <w:rsid w:val="00D94783"/>
    <w:rsid w:val="00D9530D"/>
    <w:rsid w:val="00D978B3"/>
    <w:rsid w:val="00DA124D"/>
    <w:rsid w:val="00DA1810"/>
    <w:rsid w:val="00DA18FA"/>
    <w:rsid w:val="00DA32AB"/>
    <w:rsid w:val="00DA3574"/>
    <w:rsid w:val="00DA54A3"/>
    <w:rsid w:val="00DA720F"/>
    <w:rsid w:val="00DB0ACF"/>
    <w:rsid w:val="00DB1105"/>
    <w:rsid w:val="00DB1B29"/>
    <w:rsid w:val="00DB6309"/>
    <w:rsid w:val="00DB6719"/>
    <w:rsid w:val="00DB70B4"/>
    <w:rsid w:val="00DC0050"/>
    <w:rsid w:val="00DC0BAA"/>
    <w:rsid w:val="00DC0FBD"/>
    <w:rsid w:val="00DC2CC3"/>
    <w:rsid w:val="00DC4426"/>
    <w:rsid w:val="00DC4473"/>
    <w:rsid w:val="00DC44E1"/>
    <w:rsid w:val="00DD1A9F"/>
    <w:rsid w:val="00DD3B2B"/>
    <w:rsid w:val="00DD75A9"/>
    <w:rsid w:val="00DD7A26"/>
    <w:rsid w:val="00DE0587"/>
    <w:rsid w:val="00DE1AF9"/>
    <w:rsid w:val="00DE230E"/>
    <w:rsid w:val="00DE327A"/>
    <w:rsid w:val="00DE3627"/>
    <w:rsid w:val="00DE4349"/>
    <w:rsid w:val="00DE5804"/>
    <w:rsid w:val="00DE6D72"/>
    <w:rsid w:val="00DF0906"/>
    <w:rsid w:val="00DF1B57"/>
    <w:rsid w:val="00DF35CA"/>
    <w:rsid w:val="00DF521F"/>
    <w:rsid w:val="00DF5D57"/>
    <w:rsid w:val="00DF60A0"/>
    <w:rsid w:val="00E030DA"/>
    <w:rsid w:val="00E03173"/>
    <w:rsid w:val="00E049D9"/>
    <w:rsid w:val="00E04B46"/>
    <w:rsid w:val="00E0588A"/>
    <w:rsid w:val="00E109E1"/>
    <w:rsid w:val="00E16EDD"/>
    <w:rsid w:val="00E16F3D"/>
    <w:rsid w:val="00E172C2"/>
    <w:rsid w:val="00E219AA"/>
    <w:rsid w:val="00E22793"/>
    <w:rsid w:val="00E25BD8"/>
    <w:rsid w:val="00E25C36"/>
    <w:rsid w:val="00E2645F"/>
    <w:rsid w:val="00E26746"/>
    <w:rsid w:val="00E2696D"/>
    <w:rsid w:val="00E30DB3"/>
    <w:rsid w:val="00E332DC"/>
    <w:rsid w:val="00E37368"/>
    <w:rsid w:val="00E404D5"/>
    <w:rsid w:val="00E4084C"/>
    <w:rsid w:val="00E42EC5"/>
    <w:rsid w:val="00E50A7F"/>
    <w:rsid w:val="00E50C39"/>
    <w:rsid w:val="00E51FBF"/>
    <w:rsid w:val="00E52540"/>
    <w:rsid w:val="00E542E0"/>
    <w:rsid w:val="00E55034"/>
    <w:rsid w:val="00E664F1"/>
    <w:rsid w:val="00E72373"/>
    <w:rsid w:val="00E72C8C"/>
    <w:rsid w:val="00E76BC1"/>
    <w:rsid w:val="00E80A6A"/>
    <w:rsid w:val="00E83E28"/>
    <w:rsid w:val="00E84803"/>
    <w:rsid w:val="00E851BE"/>
    <w:rsid w:val="00E8674F"/>
    <w:rsid w:val="00E943A5"/>
    <w:rsid w:val="00E960B8"/>
    <w:rsid w:val="00E967F2"/>
    <w:rsid w:val="00E970EC"/>
    <w:rsid w:val="00EA1381"/>
    <w:rsid w:val="00EA23A2"/>
    <w:rsid w:val="00EA4340"/>
    <w:rsid w:val="00EB0543"/>
    <w:rsid w:val="00EB32B5"/>
    <w:rsid w:val="00EB338D"/>
    <w:rsid w:val="00EC1976"/>
    <w:rsid w:val="00EC2995"/>
    <w:rsid w:val="00EC2CC8"/>
    <w:rsid w:val="00EC670D"/>
    <w:rsid w:val="00ED0948"/>
    <w:rsid w:val="00ED1489"/>
    <w:rsid w:val="00ED1555"/>
    <w:rsid w:val="00ED3018"/>
    <w:rsid w:val="00ED4F95"/>
    <w:rsid w:val="00ED5FE2"/>
    <w:rsid w:val="00ED7899"/>
    <w:rsid w:val="00EE0A8D"/>
    <w:rsid w:val="00EE3ECD"/>
    <w:rsid w:val="00EE4218"/>
    <w:rsid w:val="00EE447F"/>
    <w:rsid w:val="00EE5DCB"/>
    <w:rsid w:val="00EE74D4"/>
    <w:rsid w:val="00EF03DF"/>
    <w:rsid w:val="00EF0F08"/>
    <w:rsid w:val="00F00B27"/>
    <w:rsid w:val="00F0176E"/>
    <w:rsid w:val="00F01C18"/>
    <w:rsid w:val="00F032AD"/>
    <w:rsid w:val="00F03993"/>
    <w:rsid w:val="00F047F2"/>
    <w:rsid w:val="00F07E3B"/>
    <w:rsid w:val="00F12CA2"/>
    <w:rsid w:val="00F13964"/>
    <w:rsid w:val="00F14408"/>
    <w:rsid w:val="00F16A4E"/>
    <w:rsid w:val="00F17B15"/>
    <w:rsid w:val="00F2370C"/>
    <w:rsid w:val="00F24468"/>
    <w:rsid w:val="00F25AE7"/>
    <w:rsid w:val="00F2693B"/>
    <w:rsid w:val="00F27222"/>
    <w:rsid w:val="00F319C7"/>
    <w:rsid w:val="00F31F40"/>
    <w:rsid w:val="00F3330E"/>
    <w:rsid w:val="00F35275"/>
    <w:rsid w:val="00F3782F"/>
    <w:rsid w:val="00F37C74"/>
    <w:rsid w:val="00F40C38"/>
    <w:rsid w:val="00F42B6B"/>
    <w:rsid w:val="00F4329C"/>
    <w:rsid w:val="00F439FF"/>
    <w:rsid w:val="00F43AB6"/>
    <w:rsid w:val="00F43EC8"/>
    <w:rsid w:val="00F4413C"/>
    <w:rsid w:val="00F511A3"/>
    <w:rsid w:val="00F54D4C"/>
    <w:rsid w:val="00F56DEB"/>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086A"/>
    <w:rsid w:val="00F91AD6"/>
    <w:rsid w:val="00F93C2E"/>
    <w:rsid w:val="00F93CCD"/>
    <w:rsid w:val="00F967F2"/>
    <w:rsid w:val="00FA501D"/>
    <w:rsid w:val="00FA5B75"/>
    <w:rsid w:val="00FB2B85"/>
    <w:rsid w:val="00FB3401"/>
    <w:rsid w:val="00FB61C1"/>
    <w:rsid w:val="00FB6DE4"/>
    <w:rsid w:val="00FC2987"/>
    <w:rsid w:val="00FC6A2D"/>
    <w:rsid w:val="00FC76DA"/>
    <w:rsid w:val="00FC7A6E"/>
    <w:rsid w:val="00FD0622"/>
    <w:rsid w:val="00FD12B9"/>
    <w:rsid w:val="00FD26FC"/>
    <w:rsid w:val="00FD7A6D"/>
    <w:rsid w:val="00FE0BD4"/>
    <w:rsid w:val="00FE1C26"/>
    <w:rsid w:val="00FE2073"/>
    <w:rsid w:val="00FE20F7"/>
    <w:rsid w:val="00FE42AB"/>
    <w:rsid w:val="00FE5C9D"/>
    <w:rsid w:val="00FE5DF6"/>
    <w:rsid w:val="00FE71A9"/>
    <w:rsid w:val="00FF0CA4"/>
    <w:rsid w:val="00FF2A16"/>
    <w:rsid w:val="00FF2C73"/>
    <w:rsid w:val="00FF6BAA"/>
    <w:rsid w:val="00FF6C58"/>
    <w:rsid w:val="010274AA"/>
    <w:rsid w:val="01143E5D"/>
    <w:rsid w:val="0116131A"/>
    <w:rsid w:val="01245C17"/>
    <w:rsid w:val="01902569"/>
    <w:rsid w:val="01A20750"/>
    <w:rsid w:val="020636EB"/>
    <w:rsid w:val="02415548"/>
    <w:rsid w:val="0332624C"/>
    <w:rsid w:val="033755DF"/>
    <w:rsid w:val="03A00A3F"/>
    <w:rsid w:val="04070B51"/>
    <w:rsid w:val="048A2898"/>
    <w:rsid w:val="048A2AE0"/>
    <w:rsid w:val="04946B3B"/>
    <w:rsid w:val="04953828"/>
    <w:rsid w:val="04E46B70"/>
    <w:rsid w:val="04FF31AB"/>
    <w:rsid w:val="05B34EBF"/>
    <w:rsid w:val="0603770D"/>
    <w:rsid w:val="06334523"/>
    <w:rsid w:val="0701192F"/>
    <w:rsid w:val="07E82738"/>
    <w:rsid w:val="08E46FFA"/>
    <w:rsid w:val="08F21980"/>
    <w:rsid w:val="0925511C"/>
    <w:rsid w:val="093D0AA6"/>
    <w:rsid w:val="09764337"/>
    <w:rsid w:val="09DF505C"/>
    <w:rsid w:val="0A244050"/>
    <w:rsid w:val="0A6A3AB4"/>
    <w:rsid w:val="0A782AE6"/>
    <w:rsid w:val="0AC00944"/>
    <w:rsid w:val="0ACD31A5"/>
    <w:rsid w:val="0B155113"/>
    <w:rsid w:val="0B16430A"/>
    <w:rsid w:val="0B1900DA"/>
    <w:rsid w:val="0B6F5B6F"/>
    <w:rsid w:val="0B9E7664"/>
    <w:rsid w:val="0BBA38DD"/>
    <w:rsid w:val="0BC47440"/>
    <w:rsid w:val="0C5808DC"/>
    <w:rsid w:val="0D4A316C"/>
    <w:rsid w:val="0DC300DF"/>
    <w:rsid w:val="0E2308C2"/>
    <w:rsid w:val="0E321D71"/>
    <w:rsid w:val="0E4D3A14"/>
    <w:rsid w:val="0E950B06"/>
    <w:rsid w:val="0ED17DB9"/>
    <w:rsid w:val="0ED434D5"/>
    <w:rsid w:val="0EEF0A14"/>
    <w:rsid w:val="0F2C7CDB"/>
    <w:rsid w:val="0F2D1F0B"/>
    <w:rsid w:val="0F2D5010"/>
    <w:rsid w:val="0F346ECB"/>
    <w:rsid w:val="0F6420B4"/>
    <w:rsid w:val="0F956C90"/>
    <w:rsid w:val="0FE85723"/>
    <w:rsid w:val="0FFE6A1E"/>
    <w:rsid w:val="1007251B"/>
    <w:rsid w:val="103B5A7B"/>
    <w:rsid w:val="10B66219"/>
    <w:rsid w:val="10D10E21"/>
    <w:rsid w:val="110C3033"/>
    <w:rsid w:val="11666CBF"/>
    <w:rsid w:val="11E30B15"/>
    <w:rsid w:val="120E6DBF"/>
    <w:rsid w:val="1232350F"/>
    <w:rsid w:val="123676F6"/>
    <w:rsid w:val="12663517"/>
    <w:rsid w:val="129A5DEA"/>
    <w:rsid w:val="12AB4B85"/>
    <w:rsid w:val="12DA0641"/>
    <w:rsid w:val="12E658A9"/>
    <w:rsid w:val="12F21B5B"/>
    <w:rsid w:val="12F66148"/>
    <w:rsid w:val="13E35D80"/>
    <w:rsid w:val="140E0142"/>
    <w:rsid w:val="14D02652"/>
    <w:rsid w:val="14D12EDA"/>
    <w:rsid w:val="150F5661"/>
    <w:rsid w:val="1552090E"/>
    <w:rsid w:val="155950DF"/>
    <w:rsid w:val="15681D19"/>
    <w:rsid w:val="15693A7D"/>
    <w:rsid w:val="159555E5"/>
    <w:rsid w:val="159F7066"/>
    <w:rsid w:val="15A2155B"/>
    <w:rsid w:val="15DF0030"/>
    <w:rsid w:val="161861DE"/>
    <w:rsid w:val="16341ECC"/>
    <w:rsid w:val="16F8268A"/>
    <w:rsid w:val="170679DB"/>
    <w:rsid w:val="1707280A"/>
    <w:rsid w:val="177957EF"/>
    <w:rsid w:val="177C0144"/>
    <w:rsid w:val="178FA7FE"/>
    <w:rsid w:val="17901840"/>
    <w:rsid w:val="17EF9249"/>
    <w:rsid w:val="18353A7B"/>
    <w:rsid w:val="184C533C"/>
    <w:rsid w:val="18CA5C92"/>
    <w:rsid w:val="19021081"/>
    <w:rsid w:val="197F16AC"/>
    <w:rsid w:val="1A0C2356"/>
    <w:rsid w:val="1AC123F5"/>
    <w:rsid w:val="1AC467DA"/>
    <w:rsid w:val="1AFA150E"/>
    <w:rsid w:val="1B4147FD"/>
    <w:rsid w:val="1B662B7D"/>
    <w:rsid w:val="1B801D2C"/>
    <w:rsid w:val="1BA35B7F"/>
    <w:rsid w:val="1BD66F78"/>
    <w:rsid w:val="1BFC314F"/>
    <w:rsid w:val="1C9E1B58"/>
    <w:rsid w:val="1CE11AE5"/>
    <w:rsid w:val="1D1C08BA"/>
    <w:rsid w:val="1D6B14AC"/>
    <w:rsid w:val="1D873D93"/>
    <w:rsid w:val="1DA46D77"/>
    <w:rsid w:val="1DFFA25F"/>
    <w:rsid w:val="1E5F5824"/>
    <w:rsid w:val="1E6E6CDD"/>
    <w:rsid w:val="1E9D130C"/>
    <w:rsid w:val="1EA64051"/>
    <w:rsid w:val="1EB75C39"/>
    <w:rsid w:val="1F9A6A7C"/>
    <w:rsid w:val="1FA7BD7C"/>
    <w:rsid w:val="1FA94357"/>
    <w:rsid w:val="1FCD5046"/>
    <w:rsid w:val="1FFB5BC2"/>
    <w:rsid w:val="21456A1F"/>
    <w:rsid w:val="219B363D"/>
    <w:rsid w:val="21BF0647"/>
    <w:rsid w:val="22131B6D"/>
    <w:rsid w:val="22485AB4"/>
    <w:rsid w:val="22517CB1"/>
    <w:rsid w:val="225E730C"/>
    <w:rsid w:val="2314233E"/>
    <w:rsid w:val="23AC2606"/>
    <w:rsid w:val="23BF0E1F"/>
    <w:rsid w:val="23E2313E"/>
    <w:rsid w:val="23FC3B97"/>
    <w:rsid w:val="241057C6"/>
    <w:rsid w:val="242979CC"/>
    <w:rsid w:val="244424B4"/>
    <w:rsid w:val="244A2186"/>
    <w:rsid w:val="244E1F35"/>
    <w:rsid w:val="24863E3C"/>
    <w:rsid w:val="24D85EE9"/>
    <w:rsid w:val="24F52D8D"/>
    <w:rsid w:val="25313B52"/>
    <w:rsid w:val="254F7FAD"/>
    <w:rsid w:val="258B55EA"/>
    <w:rsid w:val="25B374C8"/>
    <w:rsid w:val="25FC7C1A"/>
    <w:rsid w:val="263DF98B"/>
    <w:rsid w:val="264057D8"/>
    <w:rsid w:val="26515BB5"/>
    <w:rsid w:val="26AE7062"/>
    <w:rsid w:val="26CD196A"/>
    <w:rsid w:val="26D70AB8"/>
    <w:rsid w:val="27045069"/>
    <w:rsid w:val="27171126"/>
    <w:rsid w:val="27550FA4"/>
    <w:rsid w:val="275C532C"/>
    <w:rsid w:val="276F70F1"/>
    <w:rsid w:val="27832B59"/>
    <w:rsid w:val="27B78A85"/>
    <w:rsid w:val="27CF76E2"/>
    <w:rsid w:val="2827420D"/>
    <w:rsid w:val="289073E7"/>
    <w:rsid w:val="289FF6D1"/>
    <w:rsid w:val="28C73708"/>
    <w:rsid w:val="290A4C20"/>
    <w:rsid w:val="29A23BD4"/>
    <w:rsid w:val="29C9293B"/>
    <w:rsid w:val="29F62207"/>
    <w:rsid w:val="2A1441C7"/>
    <w:rsid w:val="2A251233"/>
    <w:rsid w:val="2A33BC48"/>
    <w:rsid w:val="2A366CD9"/>
    <w:rsid w:val="2A6D04C4"/>
    <w:rsid w:val="2A6D04EB"/>
    <w:rsid w:val="2B27650D"/>
    <w:rsid w:val="2BA01B00"/>
    <w:rsid w:val="2BAE1386"/>
    <w:rsid w:val="2BF54A7B"/>
    <w:rsid w:val="2C0511A0"/>
    <w:rsid w:val="2C37335C"/>
    <w:rsid w:val="2C45620F"/>
    <w:rsid w:val="2C5C3886"/>
    <w:rsid w:val="2C5E4D56"/>
    <w:rsid w:val="2CBF08D0"/>
    <w:rsid w:val="2CC2130C"/>
    <w:rsid w:val="2CFF0A6D"/>
    <w:rsid w:val="2D7339F2"/>
    <w:rsid w:val="2DE67921"/>
    <w:rsid w:val="2DF752DC"/>
    <w:rsid w:val="2E056583"/>
    <w:rsid w:val="2E2D19E1"/>
    <w:rsid w:val="2E357C8D"/>
    <w:rsid w:val="2E7E0FA3"/>
    <w:rsid w:val="2E954E11"/>
    <w:rsid w:val="2EFF5261"/>
    <w:rsid w:val="2F2041C5"/>
    <w:rsid w:val="2F3C2B48"/>
    <w:rsid w:val="2F733FFF"/>
    <w:rsid w:val="2FC72067"/>
    <w:rsid w:val="304113D5"/>
    <w:rsid w:val="30521103"/>
    <w:rsid w:val="30FE666C"/>
    <w:rsid w:val="313E73FC"/>
    <w:rsid w:val="31655605"/>
    <w:rsid w:val="3196072F"/>
    <w:rsid w:val="31974C07"/>
    <w:rsid w:val="32003819"/>
    <w:rsid w:val="3209058F"/>
    <w:rsid w:val="324F1054"/>
    <w:rsid w:val="331D5F33"/>
    <w:rsid w:val="33837E11"/>
    <w:rsid w:val="33E06739"/>
    <w:rsid w:val="34002291"/>
    <w:rsid w:val="342A07E1"/>
    <w:rsid w:val="34860130"/>
    <w:rsid w:val="34AC045A"/>
    <w:rsid w:val="34B5434F"/>
    <w:rsid w:val="34F97AD0"/>
    <w:rsid w:val="35243833"/>
    <w:rsid w:val="359F0F01"/>
    <w:rsid w:val="35AE3E83"/>
    <w:rsid w:val="35CE1576"/>
    <w:rsid w:val="35D13EDF"/>
    <w:rsid w:val="35D901BD"/>
    <w:rsid w:val="35F84C42"/>
    <w:rsid w:val="36347478"/>
    <w:rsid w:val="363B60FF"/>
    <w:rsid w:val="36461ED7"/>
    <w:rsid w:val="365F3A33"/>
    <w:rsid w:val="36BE4F64"/>
    <w:rsid w:val="371F0B19"/>
    <w:rsid w:val="373032B7"/>
    <w:rsid w:val="374E0CCA"/>
    <w:rsid w:val="37792110"/>
    <w:rsid w:val="37830C65"/>
    <w:rsid w:val="37DD6782"/>
    <w:rsid w:val="37E45315"/>
    <w:rsid w:val="37FE7482"/>
    <w:rsid w:val="38314623"/>
    <w:rsid w:val="384C284D"/>
    <w:rsid w:val="3929719C"/>
    <w:rsid w:val="393557C2"/>
    <w:rsid w:val="39701334"/>
    <w:rsid w:val="397BE66A"/>
    <w:rsid w:val="397FE06D"/>
    <w:rsid w:val="39A71AE0"/>
    <w:rsid w:val="39C6079C"/>
    <w:rsid w:val="3A49127F"/>
    <w:rsid w:val="3A6B7399"/>
    <w:rsid w:val="3A762EED"/>
    <w:rsid w:val="3AA868F8"/>
    <w:rsid w:val="3AD34569"/>
    <w:rsid w:val="3B247649"/>
    <w:rsid w:val="3B3B0F7A"/>
    <w:rsid w:val="3B423D4C"/>
    <w:rsid w:val="3BCF16DA"/>
    <w:rsid w:val="3BD179F6"/>
    <w:rsid w:val="3BD72577"/>
    <w:rsid w:val="3BDD1E25"/>
    <w:rsid w:val="3BFEB7A2"/>
    <w:rsid w:val="3C0D25BB"/>
    <w:rsid w:val="3C1503FC"/>
    <w:rsid w:val="3C1629E9"/>
    <w:rsid w:val="3C1A7662"/>
    <w:rsid w:val="3C846003"/>
    <w:rsid w:val="3CE2587C"/>
    <w:rsid w:val="3D0C6BB9"/>
    <w:rsid w:val="3D3711B6"/>
    <w:rsid w:val="3D4E3649"/>
    <w:rsid w:val="3D5A065C"/>
    <w:rsid w:val="3D996CA3"/>
    <w:rsid w:val="3DF87E6E"/>
    <w:rsid w:val="3E0B1002"/>
    <w:rsid w:val="3E372D3C"/>
    <w:rsid w:val="3EA04FF3"/>
    <w:rsid w:val="3EBE42FA"/>
    <w:rsid w:val="3EBE60D1"/>
    <w:rsid w:val="3F2D038B"/>
    <w:rsid w:val="3F31580E"/>
    <w:rsid w:val="3F3E7126"/>
    <w:rsid w:val="3F4E3C38"/>
    <w:rsid w:val="3F4F2A5D"/>
    <w:rsid w:val="3F6A2758"/>
    <w:rsid w:val="3F6A4F29"/>
    <w:rsid w:val="3F7E3FCF"/>
    <w:rsid w:val="3FBFA5B1"/>
    <w:rsid w:val="3FE04A16"/>
    <w:rsid w:val="3FFEFD3F"/>
    <w:rsid w:val="3FFFEB12"/>
    <w:rsid w:val="400F37BF"/>
    <w:rsid w:val="40B43400"/>
    <w:rsid w:val="40C352CE"/>
    <w:rsid w:val="40CA378A"/>
    <w:rsid w:val="40D16DF1"/>
    <w:rsid w:val="40E72E1D"/>
    <w:rsid w:val="41232676"/>
    <w:rsid w:val="419C0EF3"/>
    <w:rsid w:val="426D2F96"/>
    <w:rsid w:val="42B85611"/>
    <w:rsid w:val="42F10640"/>
    <w:rsid w:val="434E377F"/>
    <w:rsid w:val="434F3326"/>
    <w:rsid w:val="435509AA"/>
    <w:rsid w:val="436F7DD9"/>
    <w:rsid w:val="43AE272A"/>
    <w:rsid w:val="43B90901"/>
    <w:rsid w:val="43FA3DB3"/>
    <w:rsid w:val="43FE2998"/>
    <w:rsid w:val="442E027D"/>
    <w:rsid w:val="4431073B"/>
    <w:rsid w:val="4432490B"/>
    <w:rsid w:val="44572895"/>
    <w:rsid w:val="45B86092"/>
    <w:rsid w:val="45CF3C0F"/>
    <w:rsid w:val="45F90525"/>
    <w:rsid w:val="465D485F"/>
    <w:rsid w:val="46F63E3C"/>
    <w:rsid w:val="46FC0DD5"/>
    <w:rsid w:val="47552172"/>
    <w:rsid w:val="480D19CC"/>
    <w:rsid w:val="48266846"/>
    <w:rsid w:val="483A103E"/>
    <w:rsid w:val="483D5735"/>
    <w:rsid w:val="485D476D"/>
    <w:rsid w:val="48947EDF"/>
    <w:rsid w:val="48C06C85"/>
    <w:rsid w:val="49005330"/>
    <w:rsid w:val="49AC4EC3"/>
    <w:rsid w:val="4A032FCD"/>
    <w:rsid w:val="4A216DB7"/>
    <w:rsid w:val="4AD9745F"/>
    <w:rsid w:val="4B906774"/>
    <w:rsid w:val="4BC67A6E"/>
    <w:rsid w:val="4C3020E1"/>
    <w:rsid w:val="4D4974B5"/>
    <w:rsid w:val="4D5544B3"/>
    <w:rsid w:val="4D6825F5"/>
    <w:rsid w:val="4DBC4D46"/>
    <w:rsid w:val="4E01233D"/>
    <w:rsid w:val="4E164558"/>
    <w:rsid w:val="4E451CB1"/>
    <w:rsid w:val="4EA17396"/>
    <w:rsid w:val="4EC40912"/>
    <w:rsid w:val="4EE169FF"/>
    <w:rsid w:val="4F1C5139"/>
    <w:rsid w:val="4F61304F"/>
    <w:rsid w:val="4FAF4BBF"/>
    <w:rsid w:val="4FCF06B5"/>
    <w:rsid w:val="4FD4D10A"/>
    <w:rsid w:val="4FFF2AE4"/>
    <w:rsid w:val="4FFF3D21"/>
    <w:rsid w:val="50A252D6"/>
    <w:rsid w:val="50B837CA"/>
    <w:rsid w:val="51043ACA"/>
    <w:rsid w:val="511A51B3"/>
    <w:rsid w:val="51207B71"/>
    <w:rsid w:val="513211B3"/>
    <w:rsid w:val="51A82E25"/>
    <w:rsid w:val="51B804CE"/>
    <w:rsid w:val="52774664"/>
    <w:rsid w:val="52D47449"/>
    <w:rsid w:val="52F6BFD0"/>
    <w:rsid w:val="534A70A8"/>
    <w:rsid w:val="534D6540"/>
    <w:rsid w:val="539E07FC"/>
    <w:rsid w:val="53A40654"/>
    <w:rsid w:val="53E3487C"/>
    <w:rsid w:val="54514DD0"/>
    <w:rsid w:val="553B5D98"/>
    <w:rsid w:val="55410F72"/>
    <w:rsid w:val="55670534"/>
    <w:rsid w:val="55F6681C"/>
    <w:rsid w:val="56034DF4"/>
    <w:rsid w:val="56553609"/>
    <w:rsid w:val="56970D0F"/>
    <w:rsid w:val="57033FED"/>
    <w:rsid w:val="571A77DF"/>
    <w:rsid w:val="57210C76"/>
    <w:rsid w:val="572D508C"/>
    <w:rsid w:val="572F6F6C"/>
    <w:rsid w:val="57654A31"/>
    <w:rsid w:val="57886AF0"/>
    <w:rsid w:val="578E53C8"/>
    <w:rsid w:val="579F625D"/>
    <w:rsid w:val="57BA3436"/>
    <w:rsid w:val="57BF57DC"/>
    <w:rsid w:val="57E06B02"/>
    <w:rsid w:val="57F9D1A7"/>
    <w:rsid w:val="58020172"/>
    <w:rsid w:val="580E264B"/>
    <w:rsid w:val="58365602"/>
    <w:rsid w:val="58474376"/>
    <w:rsid w:val="5875F465"/>
    <w:rsid w:val="594D5B3E"/>
    <w:rsid w:val="594E7704"/>
    <w:rsid w:val="597647D7"/>
    <w:rsid w:val="59825B0C"/>
    <w:rsid w:val="59DA3ECF"/>
    <w:rsid w:val="59E43542"/>
    <w:rsid w:val="5A002F5D"/>
    <w:rsid w:val="5A1B72AD"/>
    <w:rsid w:val="5A653070"/>
    <w:rsid w:val="5ABFC738"/>
    <w:rsid w:val="5B135597"/>
    <w:rsid w:val="5B356EE0"/>
    <w:rsid w:val="5B3C120E"/>
    <w:rsid w:val="5B42094D"/>
    <w:rsid w:val="5B4B5BCA"/>
    <w:rsid w:val="5B7406A2"/>
    <w:rsid w:val="5B975306"/>
    <w:rsid w:val="5BA32FA0"/>
    <w:rsid w:val="5BB22859"/>
    <w:rsid w:val="5BF764CF"/>
    <w:rsid w:val="5C1275A8"/>
    <w:rsid w:val="5C171C63"/>
    <w:rsid w:val="5C693D90"/>
    <w:rsid w:val="5C9B21DE"/>
    <w:rsid w:val="5CDD1367"/>
    <w:rsid w:val="5CF179B0"/>
    <w:rsid w:val="5D0F0009"/>
    <w:rsid w:val="5D600B2F"/>
    <w:rsid w:val="5D931F90"/>
    <w:rsid w:val="5DB55AC0"/>
    <w:rsid w:val="5E0B5FE6"/>
    <w:rsid w:val="5E3EBC68"/>
    <w:rsid w:val="5E642C52"/>
    <w:rsid w:val="5EEC7280"/>
    <w:rsid w:val="5F1E4B7F"/>
    <w:rsid w:val="5F1EE9EB"/>
    <w:rsid w:val="5F563D73"/>
    <w:rsid w:val="5F5D6897"/>
    <w:rsid w:val="5F630AD3"/>
    <w:rsid w:val="5F7F5CE7"/>
    <w:rsid w:val="5F9A5D46"/>
    <w:rsid w:val="5FA243E3"/>
    <w:rsid w:val="5FF633A4"/>
    <w:rsid w:val="5FFEF1FD"/>
    <w:rsid w:val="605D0E03"/>
    <w:rsid w:val="605D48E8"/>
    <w:rsid w:val="605F4C97"/>
    <w:rsid w:val="60616135"/>
    <w:rsid w:val="6062151C"/>
    <w:rsid w:val="6084033D"/>
    <w:rsid w:val="60B357D4"/>
    <w:rsid w:val="61326234"/>
    <w:rsid w:val="617769BF"/>
    <w:rsid w:val="61A178BC"/>
    <w:rsid w:val="62513172"/>
    <w:rsid w:val="62AD08FA"/>
    <w:rsid w:val="62BD2859"/>
    <w:rsid w:val="631F64EE"/>
    <w:rsid w:val="63236971"/>
    <w:rsid w:val="632D380F"/>
    <w:rsid w:val="635B6675"/>
    <w:rsid w:val="63617019"/>
    <w:rsid w:val="638A0A2F"/>
    <w:rsid w:val="63BA5304"/>
    <w:rsid w:val="63C40913"/>
    <w:rsid w:val="63D551B0"/>
    <w:rsid w:val="64042F7B"/>
    <w:rsid w:val="641701C7"/>
    <w:rsid w:val="64353387"/>
    <w:rsid w:val="6441618F"/>
    <w:rsid w:val="644A7263"/>
    <w:rsid w:val="64635F39"/>
    <w:rsid w:val="657C6AA7"/>
    <w:rsid w:val="65AD7EF2"/>
    <w:rsid w:val="66230075"/>
    <w:rsid w:val="6637200F"/>
    <w:rsid w:val="664240C0"/>
    <w:rsid w:val="667040ED"/>
    <w:rsid w:val="66A44562"/>
    <w:rsid w:val="66F568E3"/>
    <w:rsid w:val="671375EC"/>
    <w:rsid w:val="67EBB06A"/>
    <w:rsid w:val="682E2EC8"/>
    <w:rsid w:val="68330A3C"/>
    <w:rsid w:val="68332763"/>
    <w:rsid w:val="6877748A"/>
    <w:rsid w:val="68A73651"/>
    <w:rsid w:val="68D8181C"/>
    <w:rsid w:val="68F22D2E"/>
    <w:rsid w:val="694113E1"/>
    <w:rsid w:val="697C5474"/>
    <w:rsid w:val="69AC3C9F"/>
    <w:rsid w:val="69BF2D31"/>
    <w:rsid w:val="69D16911"/>
    <w:rsid w:val="69DA49A1"/>
    <w:rsid w:val="6A263282"/>
    <w:rsid w:val="6A430DFE"/>
    <w:rsid w:val="6A811E42"/>
    <w:rsid w:val="6A873109"/>
    <w:rsid w:val="6AB30C77"/>
    <w:rsid w:val="6AEC44EE"/>
    <w:rsid w:val="6AF37735"/>
    <w:rsid w:val="6B1FD89D"/>
    <w:rsid w:val="6B3342DD"/>
    <w:rsid w:val="6B3F3141"/>
    <w:rsid w:val="6B4F481A"/>
    <w:rsid w:val="6BB0106A"/>
    <w:rsid w:val="6BB73E72"/>
    <w:rsid w:val="6BD55655"/>
    <w:rsid w:val="6C0B71D9"/>
    <w:rsid w:val="6C6E3FED"/>
    <w:rsid w:val="6C9319F9"/>
    <w:rsid w:val="6CAF654A"/>
    <w:rsid w:val="6CCB64FE"/>
    <w:rsid w:val="6D7E847A"/>
    <w:rsid w:val="6D9052D2"/>
    <w:rsid w:val="6DC56E75"/>
    <w:rsid w:val="6DEE3888"/>
    <w:rsid w:val="6DF9ECB3"/>
    <w:rsid w:val="6E221A17"/>
    <w:rsid w:val="6E863529"/>
    <w:rsid w:val="6EADDAAA"/>
    <w:rsid w:val="6EAE1821"/>
    <w:rsid w:val="6EDE18F4"/>
    <w:rsid w:val="6EF7992B"/>
    <w:rsid w:val="6F053B1A"/>
    <w:rsid w:val="6F091D13"/>
    <w:rsid w:val="6F233546"/>
    <w:rsid w:val="6F4D6995"/>
    <w:rsid w:val="6F513699"/>
    <w:rsid w:val="6F65E748"/>
    <w:rsid w:val="6F7C2BCA"/>
    <w:rsid w:val="6F8C7FF8"/>
    <w:rsid w:val="6FBF7608"/>
    <w:rsid w:val="6FDE9864"/>
    <w:rsid w:val="6FF6547A"/>
    <w:rsid w:val="704F5BE2"/>
    <w:rsid w:val="70607547"/>
    <w:rsid w:val="70A55D29"/>
    <w:rsid w:val="70EA2C9F"/>
    <w:rsid w:val="70EC1DCC"/>
    <w:rsid w:val="71147384"/>
    <w:rsid w:val="716D5BFE"/>
    <w:rsid w:val="71EA50EF"/>
    <w:rsid w:val="723B02A5"/>
    <w:rsid w:val="72753F0F"/>
    <w:rsid w:val="72836379"/>
    <w:rsid w:val="72A4003F"/>
    <w:rsid w:val="72AA5467"/>
    <w:rsid w:val="72BB74BB"/>
    <w:rsid w:val="72FC4EBC"/>
    <w:rsid w:val="734E3FF8"/>
    <w:rsid w:val="734F6ADC"/>
    <w:rsid w:val="73C3A2DD"/>
    <w:rsid w:val="73FF531E"/>
    <w:rsid w:val="740907AF"/>
    <w:rsid w:val="74307B74"/>
    <w:rsid w:val="746813FC"/>
    <w:rsid w:val="74715214"/>
    <w:rsid w:val="74B27BCC"/>
    <w:rsid w:val="74D86FD2"/>
    <w:rsid w:val="74D91DBD"/>
    <w:rsid w:val="74E707FC"/>
    <w:rsid w:val="74EA0887"/>
    <w:rsid w:val="74EF2814"/>
    <w:rsid w:val="752537D8"/>
    <w:rsid w:val="75757E8E"/>
    <w:rsid w:val="75B467ED"/>
    <w:rsid w:val="75EF3D5A"/>
    <w:rsid w:val="75FD6934"/>
    <w:rsid w:val="762E6B11"/>
    <w:rsid w:val="76484006"/>
    <w:rsid w:val="76553B71"/>
    <w:rsid w:val="767FC684"/>
    <w:rsid w:val="76831373"/>
    <w:rsid w:val="768D1F11"/>
    <w:rsid w:val="76E1B51F"/>
    <w:rsid w:val="773702F2"/>
    <w:rsid w:val="7791551A"/>
    <w:rsid w:val="779C1096"/>
    <w:rsid w:val="77BE4631"/>
    <w:rsid w:val="77D710C6"/>
    <w:rsid w:val="77E601CD"/>
    <w:rsid w:val="77F38BD8"/>
    <w:rsid w:val="77F9A1BC"/>
    <w:rsid w:val="77FB6C96"/>
    <w:rsid w:val="781C0757"/>
    <w:rsid w:val="78327A5B"/>
    <w:rsid w:val="78DC76BA"/>
    <w:rsid w:val="79154E31"/>
    <w:rsid w:val="792A5615"/>
    <w:rsid w:val="798E6FFD"/>
    <w:rsid w:val="79E968A0"/>
    <w:rsid w:val="79EF2DF5"/>
    <w:rsid w:val="7A0E1947"/>
    <w:rsid w:val="7A3E01B2"/>
    <w:rsid w:val="7A5765FE"/>
    <w:rsid w:val="7A7F5EED"/>
    <w:rsid w:val="7AFB0585"/>
    <w:rsid w:val="7B0E4032"/>
    <w:rsid w:val="7B28363D"/>
    <w:rsid w:val="7B4351E9"/>
    <w:rsid w:val="7B461136"/>
    <w:rsid w:val="7B587DC7"/>
    <w:rsid w:val="7B5B682C"/>
    <w:rsid w:val="7B7758D8"/>
    <w:rsid w:val="7BB90894"/>
    <w:rsid w:val="7BC02F34"/>
    <w:rsid w:val="7BC36370"/>
    <w:rsid w:val="7BD473F0"/>
    <w:rsid w:val="7BF79881"/>
    <w:rsid w:val="7C031902"/>
    <w:rsid w:val="7C1E59E5"/>
    <w:rsid w:val="7C3D0F57"/>
    <w:rsid w:val="7C5F5195"/>
    <w:rsid w:val="7C665B94"/>
    <w:rsid w:val="7C9939F1"/>
    <w:rsid w:val="7CB451DB"/>
    <w:rsid w:val="7CBD2F1F"/>
    <w:rsid w:val="7CE53810"/>
    <w:rsid w:val="7CFDA553"/>
    <w:rsid w:val="7D3F1C1C"/>
    <w:rsid w:val="7D442DA9"/>
    <w:rsid w:val="7D54702D"/>
    <w:rsid w:val="7D5D77BB"/>
    <w:rsid w:val="7DB400CB"/>
    <w:rsid w:val="7DBF4249"/>
    <w:rsid w:val="7DCB42E9"/>
    <w:rsid w:val="7DDBC9C7"/>
    <w:rsid w:val="7E0B2713"/>
    <w:rsid w:val="7E1507E5"/>
    <w:rsid w:val="7E1C15AE"/>
    <w:rsid w:val="7E4F2EA5"/>
    <w:rsid w:val="7E616632"/>
    <w:rsid w:val="7E6BB12A"/>
    <w:rsid w:val="7E6D1151"/>
    <w:rsid w:val="7EAD113A"/>
    <w:rsid w:val="7EC75862"/>
    <w:rsid w:val="7ECE2B6E"/>
    <w:rsid w:val="7EEB80F4"/>
    <w:rsid w:val="7EF94683"/>
    <w:rsid w:val="7EFE2732"/>
    <w:rsid w:val="7EFE43EF"/>
    <w:rsid w:val="7EFFE44B"/>
    <w:rsid w:val="7F043992"/>
    <w:rsid w:val="7F1FC7C8"/>
    <w:rsid w:val="7F346099"/>
    <w:rsid w:val="7F3E6EAE"/>
    <w:rsid w:val="7F57782B"/>
    <w:rsid w:val="7F7F691B"/>
    <w:rsid w:val="7FB59140"/>
    <w:rsid w:val="7FB8716E"/>
    <w:rsid w:val="7FBBF74A"/>
    <w:rsid w:val="7FBE388C"/>
    <w:rsid w:val="7FDBF4AF"/>
    <w:rsid w:val="7FDC7266"/>
    <w:rsid w:val="7FDDA63B"/>
    <w:rsid w:val="7FDF4291"/>
    <w:rsid w:val="7FE500F3"/>
    <w:rsid w:val="7FEBC6A8"/>
    <w:rsid w:val="7FF25D0A"/>
    <w:rsid w:val="7FF74BB5"/>
    <w:rsid w:val="7FFDA42C"/>
    <w:rsid w:val="7FFE8103"/>
    <w:rsid w:val="7FFF6E58"/>
    <w:rsid w:val="87DFBE7F"/>
    <w:rsid w:val="88FB8A73"/>
    <w:rsid w:val="8B5FE70F"/>
    <w:rsid w:val="8F9974AF"/>
    <w:rsid w:val="95B7775D"/>
    <w:rsid w:val="976C2060"/>
    <w:rsid w:val="97E9DA0D"/>
    <w:rsid w:val="9A2B3391"/>
    <w:rsid w:val="9BD5666D"/>
    <w:rsid w:val="9D57D77A"/>
    <w:rsid w:val="A7CF48B6"/>
    <w:rsid w:val="B7464669"/>
    <w:rsid w:val="B74DA93F"/>
    <w:rsid w:val="BB7A1D70"/>
    <w:rsid w:val="BBD77A27"/>
    <w:rsid w:val="BBF5713E"/>
    <w:rsid w:val="BDFE9C78"/>
    <w:rsid w:val="BF3FC3F7"/>
    <w:rsid w:val="BFAA1F3C"/>
    <w:rsid w:val="BFE2DA6B"/>
    <w:rsid w:val="C37BFAB6"/>
    <w:rsid w:val="C6D7B0F4"/>
    <w:rsid w:val="C77ED337"/>
    <w:rsid w:val="CEFB8320"/>
    <w:rsid w:val="CF8DE4D9"/>
    <w:rsid w:val="CFB75209"/>
    <w:rsid w:val="CFDBAAD2"/>
    <w:rsid w:val="D75EE8FA"/>
    <w:rsid w:val="D7DF4401"/>
    <w:rsid w:val="D7EBE3A6"/>
    <w:rsid w:val="D9DF31E1"/>
    <w:rsid w:val="DBBB71E5"/>
    <w:rsid w:val="DBBFA71E"/>
    <w:rsid w:val="DBD246B3"/>
    <w:rsid w:val="DBFAB623"/>
    <w:rsid w:val="DDD7B2E1"/>
    <w:rsid w:val="DE576ACC"/>
    <w:rsid w:val="DE7F1F8D"/>
    <w:rsid w:val="DF6B800D"/>
    <w:rsid w:val="DF778DFF"/>
    <w:rsid w:val="DFBF96EA"/>
    <w:rsid w:val="DFEE5769"/>
    <w:rsid w:val="DFFB0B7B"/>
    <w:rsid w:val="E2BE51E5"/>
    <w:rsid w:val="E2BF4069"/>
    <w:rsid w:val="E5DE788E"/>
    <w:rsid w:val="E76D0C61"/>
    <w:rsid w:val="E77DB9FD"/>
    <w:rsid w:val="E7FFF99D"/>
    <w:rsid w:val="E9FDCD0A"/>
    <w:rsid w:val="EB772BA3"/>
    <w:rsid w:val="ED5F89A1"/>
    <w:rsid w:val="EDE8515A"/>
    <w:rsid w:val="EED48E53"/>
    <w:rsid w:val="EF41885C"/>
    <w:rsid w:val="EF766C34"/>
    <w:rsid w:val="EFE33EFD"/>
    <w:rsid w:val="EFF9713F"/>
    <w:rsid w:val="EFFDE39D"/>
    <w:rsid w:val="F3DB209F"/>
    <w:rsid w:val="F515D901"/>
    <w:rsid w:val="F5FEA2A3"/>
    <w:rsid w:val="F63B351B"/>
    <w:rsid w:val="F6DB07E7"/>
    <w:rsid w:val="F78FD1C5"/>
    <w:rsid w:val="F798F327"/>
    <w:rsid w:val="F7D5F6B5"/>
    <w:rsid w:val="F7DD673C"/>
    <w:rsid w:val="F7E78FF4"/>
    <w:rsid w:val="F7F9B550"/>
    <w:rsid w:val="F7FA9202"/>
    <w:rsid w:val="F7FBD900"/>
    <w:rsid w:val="F7FFFF47"/>
    <w:rsid w:val="F9FD2390"/>
    <w:rsid w:val="FACF2DEF"/>
    <w:rsid w:val="FAEF8947"/>
    <w:rsid w:val="FB560068"/>
    <w:rsid w:val="FB56BFD4"/>
    <w:rsid w:val="FB5B5DE6"/>
    <w:rsid w:val="FBFE2D30"/>
    <w:rsid w:val="FBFF73E5"/>
    <w:rsid w:val="FCFD97F2"/>
    <w:rsid w:val="FD12F1EC"/>
    <w:rsid w:val="FDB96F86"/>
    <w:rsid w:val="FDF89F08"/>
    <w:rsid w:val="FDFF4CFB"/>
    <w:rsid w:val="FDFF81A6"/>
    <w:rsid w:val="FE2F1BF6"/>
    <w:rsid w:val="FE76F434"/>
    <w:rsid w:val="FE9FCDBB"/>
    <w:rsid w:val="FEFF6F63"/>
    <w:rsid w:val="FF56A7F8"/>
    <w:rsid w:val="FF774ABD"/>
    <w:rsid w:val="FF7F0E72"/>
    <w:rsid w:val="FF7F3C0D"/>
    <w:rsid w:val="FFBDA13A"/>
    <w:rsid w:val="FFD59145"/>
    <w:rsid w:val="FFD5D95D"/>
    <w:rsid w:val="FFD91890"/>
    <w:rsid w:val="FFD9A9F6"/>
    <w:rsid w:val="FFDA29B0"/>
    <w:rsid w:val="FFFB4F1C"/>
    <w:rsid w:val="FFFFF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spacing w:line="216" w:lineRule="auto"/>
      <w:jc w:val="center"/>
      <w:outlineLvl w:val="0"/>
    </w:pPr>
    <w:rPr>
      <w:rFonts w:ascii="宋体" w:hAnsi="宋体"/>
      <w:b/>
      <w:sz w:val="30"/>
      <w:szCs w:val="20"/>
    </w:rPr>
  </w:style>
  <w:style w:type="paragraph" w:styleId="2">
    <w:name w:val="heading 2"/>
    <w:basedOn w:val="1"/>
    <w:next w:val="1"/>
    <w:link w:val="51"/>
    <w:qFormat/>
    <w:uiPriority w:val="0"/>
    <w:pPr>
      <w:keepNext/>
      <w:spacing w:line="216" w:lineRule="auto"/>
      <w:outlineLvl w:val="1"/>
    </w:pPr>
    <w:rPr>
      <w:rFonts w:ascii="宋体"/>
      <w:b/>
      <w:sz w:val="28"/>
      <w:szCs w:val="20"/>
    </w:rPr>
  </w:style>
  <w:style w:type="paragraph" w:styleId="4">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5">
    <w:name w:val="heading 4"/>
    <w:basedOn w:val="1"/>
    <w:next w:val="6"/>
    <w:qFormat/>
    <w:uiPriority w:val="0"/>
    <w:pPr>
      <w:keepNext/>
      <w:numPr>
        <w:ilvl w:val="0"/>
        <w:numId w:val="2"/>
      </w:numPr>
      <w:spacing w:line="216" w:lineRule="auto"/>
      <w:outlineLvl w:val="3"/>
    </w:pPr>
    <w:rPr>
      <w:rFonts w:ascii="黑体" w:eastAsia="黑体"/>
      <w:b/>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c 7"/>
    <w:basedOn w:val="1"/>
    <w:next w:val="1"/>
    <w:semiHidden/>
    <w:qFormat/>
    <w:uiPriority w:val="0"/>
    <w:pPr>
      <w:ind w:left="2520" w:leftChars="1200"/>
    </w:pPr>
  </w:style>
  <w:style w:type="paragraph" w:styleId="8">
    <w:name w:val="annotation text"/>
    <w:basedOn w:val="1"/>
    <w:link w:val="52"/>
    <w:qFormat/>
    <w:uiPriority w:val="0"/>
    <w:pPr>
      <w:adjustRightInd w:val="0"/>
      <w:jc w:val="left"/>
    </w:pPr>
  </w:style>
  <w:style w:type="paragraph" w:styleId="9">
    <w:name w:val="Body Text"/>
    <w:basedOn w:val="1"/>
    <w:next w:val="10"/>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1"/>
    <w:next w:val="11"/>
    <w:qFormat/>
    <w:uiPriority w:val="99"/>
    <w:pPr>
      <w:ind w:firstLine="420" w:firstLineChars="100"/>
    </w:pPr>
  </w:style>
  <w:style w:type="paragraph" w:styleId="11">
    <w:name w:val="toc 6"/>
    <w:basedOn w:val="1"/>
    <w:next w:val="1"/>
    <w:semiHidden/>
    <w:qFormat/>
    <w:uiPriority w:val="0"/>
    <w:pPr>
      <w:ind w:left="2100" w:leftChars="1000"/>
    </w:pPr>
  </w:style>
  <w:style w:type="paragraph" w:styleId="12">
    <w:name w:val="Body Text Indent"/>
    <w:basedOn w:val="1"/>
    <w:link w:val="48"/>
    <w:qFormat/>
    <w:uiPriority w:val="0"/>
    <w:pPr>
      <w:spacing w:after="120"/>
      <w:ind w:left="420" w:leftChars="200"/>
    </w:p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next w:val="1"/>
    <w:link w:val="53"/>
    <w:qFormat/>
    <w:uiPriority w:val="0"/>
    <w:rPr>
      <w:rFonts w:ascii="宋体" w:hAnsi="Courier New" w:cs="Courier New"/>
      <w:szCs w:val="21"/>
    </w:rPr>
  </w:style>
  <w:style w:type="paragraph" w:styleId="16">
    <w:name w:val="toc 8"/>
    <w:basedOn w:val="1"/>
    <w:next w:val="1"/>
    <w:semiHidden/>
    <w:qFormat/>
    <w:uiPriority w:val="0"/>
    <w:pPr>
      <w:ind w:left="2940" w:leftChars="1400"/>
    </w:pPr>
  </w:style>
  <w:style w:type="paragraph" w:styleId="17">
    <w:name w:val="Date"/>
    <w:basedOn w:val="1"/>
    <w:next w:val="1"/>
    <w:qFormat/>
    <w:uiPriority w:val="0"/>
    <w:pPr>
      <w:ind w:left="100" w:leftChars="2500"/>
    </w:pPr>
    <w:rPr>
      <w:rFonts w:ascii="宋体" w:hAnsi="宋体"/>
      <w:color w:val="000000"/>
      <w:sz w:val="24"/>
    </w:rPr>
  </w:style>
  <w:style w:type="paragraph" w:styleId="18">
    <w:name w:val="Balloon Text"/>
    <w:basedOn w:val="1"/>
    <w:semiHidden/>
    <w:qFormat/>
    <w:uiPriority w:val="0"/>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toc 1"/>
    <w:basedOn w:val="1"/>
    <w:next w:val="1"/>
    <w:semiHidden/>
    <w:qFormat/>
    <w:uiPriority w:val="0"/>
  </w:style>
  <w:style w:type="paragraph" w:styleId="22">
    <w:name w:val="toc 4"/>
    <w:basedOn w:val="1"/>
    <w:next w:val="1"/>
    <w:semiHidden/>
    <w:qFormat/>
    <w:uiPriority w:val="0"/>
    <w:pPr>
      <w:ind w:left="1260" w:leftChars="600"/>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39"/>
    <w:pPr>
      <w:ind w:left="420" w:leftChars="200"/>
    </w:pPr>
  </w:style>
  <w:style w:type="paragraph" w:styleId="25">
    <w:name w:val="toc 9"/>
    <w:basedOn w:val="1"/>
    <w:next w:val="1"/>
    <w:semiHidden/>
    <w:qFormat/>
    <w:uiPriority w:val="0"/>
    <w:pPr>
      <w:ind w:left="3360" w:leftChars="16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annotation subject"/>
    <w:basedOn w:val="8"/>
    <w:next w:val="8"/>
    <w:link w:val="81"/>
    <w:qFormat/>
    <w:uiPriority w:val="0"/>
    <w:pPr>
      <w:adjustRightInd/>
    </w:pPr>
    <w:rPr>
      <w:b/>
      <w:bCs/>
    </w:rPr>
  </w:style>
  <w:style w:type="paragraph" w:styleId="29">
    <w:name w:val="Body Text First Indent 2"/>
    <w:basedOn w:val="12"/>
    <w:link w:val="49"/>
    <w:qFormat/>
    <w:uiPriority w:val="0"/>
    <w:pPr>
      <w:ind w:firstLine="420" w:firstLineChars="20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basedOn w:val="32"/>
    <w:qFormat/>
    <w:uiPriority w:val="0"/>
  </w:style>
  <w:style w:type="character" w:styleId="34">
    <w:name w:val="FollowedHyperlink"/>
    <w:qFormat/>
    <w:uiPriority w:val="0"/>
    <w:rPr>
      <w:color w:val="800080"/>
      <w:u w:val="none"/>
    </w:rPr>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basedOn w:val="32"/>
    <w:qFormat/>
    <w:uiPriority w:val="0"/>
  </w:style>
  <w:style w:type="character" w:styleId="38">
    <w:name w:val="HTML Variable"/>
    <w:qFormat/>
    <w:uiPriority w:val="0"/>
  </w:style>
  <w:style w:type="character" w:styleId="39">
    <w:name w:val="Hyperlink"/>
    <w:qFormat/>
    <w:uiPriority w:val="0"/>
    <w:rPr>
      <w:color w:val="0000FF"/>
      <w:u w:val="non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paragraph" w:customStyle="1" w:styleId="45">
    <w:name w:val="Body Text First Indent 21"/>
    <w:basedOn w:val="46"/>
    <w:qFormat/>
    <w:uiPriority w:val="0"/>
    <w:pPr>
      <w:spacing w:line="360" w:lineRule="auto"/>
      <w:ind w:firstLine="420" w:firstLineChars="200"/>
    </w:pPr>
    <w:rPr>
      <w:rFonts w:ascii="Calibri" w:hAnsi="Calibri"/>
      <w:sz w:val="24"/>
      <w:szCs w:val="22"/>
    </w:rPr>
  </w:style>
  <w:style w:type="paragraph" w:customStyle="1" w:styleId="46">
    <w:name w:val="Body Text Indent1"/>
    <w:basedOn w:val="1"/>
    <w:next w:val="1"/>
    <w:qFormat/>
    <w:uiPriority w:val="0"/>
    <w:pPr>
      <w:spacing w:after="120"/>
      <w:ind w:left="420" w:leftChars="200"/>
    </w:pPr>
  </w:style>
  <w:style w:type="paragraph" w:customStyle="1" w:styleId="47">
    <w:name w:val="章正文"/>
    <w:basedOn w:val="1"/>
    <w:qFormat/>
    <w:uiPriority w:val="0"/>
    <w:pPr>
      <w:spacing w:beforeLines="50" w:after="120" w:line="300" w:lineRule="auto"/>
      <w:ind w:firstLine="480"/>
    </w:pPr>
    <w:rPr>
      <w:rFonts w:ascii="Helvetica" w:hAnsi="Helvetica" w:eastAsia="仿宋" w:cs="Helvetica"/>
      <w:kern w:val="0"/>
      <w:sz w:val="28"/>
      <w:szCs w:val="28"/>
    </w:rPr>
  </w:style>
  <w:style w:type="character" w:customStyle="1" w:styleId="48">
    <w:name w:val="正文文本缩进 字符"/>
    <w:link w:val="12"/>
    <w:qFormat/>
    <w:uiPriority w:val="0"/>
    <w:rPr>
      <w:kern w:val="2"/>
      <w:sz w:val="21"/>
      <w:szCs w:val="24"/>
    </w:rPr>
  </w:style>
  <w:style w:type="character" w:customStyle="1" w:styleId="49">
    <w:name w:val="正文文本首行缩进 2 字符"/>
    <w:link w:val="29"/>
    <w:qFormat/>
    <w:uiPriority w:val="0"/>
  </w:style>
  <w:style w:type="character" w:customStyle="1" w:styleId="50">
    <w:name w:val="标题 1 字符"/>
    <w:link w:val="3"/>
    <w:qFormat/>
    <w:uiPriority w:val="0"/>
    <w:rPr>
      <w:rFonts w:ascii="宋体" w:hAnsi="宋体"/>
      <w:b/>
      <w:kern w:val="2"/>
      <w:sz w:val="30"/>
    </w:rPr>
  </w:style>
  <w:style w:type="character" w:customStyle="1" w:styleId="51">
    <w:name w:val="标题 2 字符"/>
    <w:link w:val="2"/>
    <w:qFormat/>
    <w:uiPriority w:val="0"/>
    <w:rPr>
      <w:rFonts w:ascii="宋体"/>
      <w:b/>
      <w:kern w:val="2"/>
      <w:sz w:val="28"/>
    </w:rPr>
  </w:style>
  <w:style w:type="character" w:customStyle="1" w:styleId="52">
    <w:name w:val="批注文字 字符"/>
    <w:link w:val="8"/>
    <w:qFormat/>
    <w:uiPriority w:val="0"/>
    <w:rPr>
      <w:kern w:val="2"/>
      <w:sz w:val="21"/>
      <w:szCs w:val="24"/>
      <w:lang w:bidi="ar-SA"/>
    </w:rPr>
  </w:style>
  <w:style w:type="character" w:customStyle="1" w:styleId="53">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54">
    <w:name w:val="页脚 字符"/>
    <w:link w:val="19"/>
    <w:qFormat/>
    <w:uiPriority w:val="99"/>
    <w:rPr>
      <w:kern w:val="2"/>
      <w:sz w:val="18"/>
      <w:szCs w:val="18"/>
    </w:rPr>
  </w:style>
  <w:style w:type="character" w:customStyle="1" w:styleId="55">
    <w:name w:val="font21"/>
    <w:qFormat/>
    <w:uiPriority w:val="0"/>
    <w:rPr>
      <w:rFonts w:hint="eastAsia" w:ascii="宋体" w:hAnsi="宋体" w:eastAsia="宋体" w:cs="宋体"/>
      <w:color w:val="000000"/>
      <w:sz w:val="20"/>
      <w:szCs w:val="20"/>
      <w:u w:val="none"/>
    </w:rPr>
  </w:style>
  <w:style w:type="character" w:customStyle="1" w:styleId="56">
    <w:name w:val="Char Char26"/>
    <w:qFormat/>
    <w:uiPriority w:val="0"/>
    <w:rPr>
      <w:rFonts w:ascii="宋体" w:hAnsi="Courier New" w:eastAsia="宋体" w:cs="Arial"/>
      <w:snapToGrid w:val="0"/>
      <w:kern w:val="2"/>
      <w:sz w:val="21"/>
      <w:szCs w:val="21"/>
      <w:lang w:val="en-US" w:eastAsia="zh-CN" w:bidi="ar-SA"/>
    </w:rPr>
  </w:style>
  <w:style w:type="character" w:customStyle="1" w:styleId="57">
    <w:name w:val="font11"/>
    <w:qFormat/>
    <w:uiPriority w:val="0"/>
    <w:rPr>
      <w:rFonts w:hint="eastAsia" w:ascii="宋体" w:hAnsi="宋体" w:eastAsia="宋体" w:cs="宋体"/>
      <w:color w:val="000000"/>
      <w:sz w:val="20"/>
      <w:szCs w:val="20"/>
      <w:u w:val="none"/>
    </w:rPr>
  </w:style>
  <w:style w:type="character" w:customStyle="1" w:styleId="58">
    <w:name w:val="textcontents1"/>
    <w:qFormat/>
    <w:uiPriority w:val="99"/>
    <w:rPr>
      <w:rFonts w:cs="Times New Roman"/>
      <w:color w:val="000000"/>
      <w:sz w:val="30"/>
      <w:szCs w:val="30"/>
    </w:rPr>
  </w:style>
  <w:style w:type="character" w:customStyle="1" w:styleId="59">
    <w:name w:val="正文文本缩进 字符1"/>
    <w:qFormat/>
    <w:uiPriority w:val="0"/>
    <w:rPr>
      <w:kern w:val="2"/>
      <w:sz w:val="21"/>
      <w:szCs w:val="24"/>
    </w:rPr>
  </w:style>
  <w:style w:type="character" w:customStyle="1" w:styleId="60">
    <w:name w:val="NormalCharacter"/>
    <w:semiHidden/>
    <w:qFormat/>
    <w:uiPriority w:val="0"/>
  </w:style>
  <w:style w:type="character" w:customStyle="1" w:styleId="61">
    <w:name w:val="apple-converted-space"/>
    <w:qFormat/>
    <w:uiPriority w:val="0"/>
  </w:style>
  <w:style w:type="character" w:customStyle="1" w:styleId="62">
    <w:name w:val="普通文字 Char Char Char1"/>
    <w:qFormat/>
    <w:uiPriority w:val="0"/>
    <w:rPr>
      <w:rFonts w:ascii="宋体" w:hAnsi="Courier New" w:eastAsia="宋体"/>
      <w:kern w:val="2"/>
      <w:sz w:val="21"/>
      <w:lang w:val="en-US" w:eastAsia="zh-CN" w:bidi="ar-SA"/>
    </w:rPr>
  </w:style>
  <w:style w:type="character" w:customStyle="1" w:styleId="63">
    <w:name w:val="正文2 Char Char"/>
    <w:link w:val="64"/>
    <w:qFormat/>
    <w:uiPriority w:val="0"/>
    <w:rPr>
      <w:rFonts w:eastAsia="宋体"/>
      <w:kern w:val="2"/>
      <w:sz w:val="24"/>
      <w:lang w:val="en-US" w:eastAsia="zh-CN" w:bidi="ar-SA"/>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纯文本 字符1"/>
    <w:qFormat/>
    <w:uiPriority w:val="0"/>
    <w:rPr>
      <w:rFonts w:ascii="宋体" w:hAnsi="Courier New" w:eastAsia="宋体" w:cs="Courier New"/>
      <w:kern w:val="2"/>
      <w:sz w:val="21"/>
      <w:szCs w:val="21"/>
    </w:rPr>
  </w:style>
  <w:style w:type="paragraph" w:styleId="66">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67">
    <w:name w:val="List Paragraph1"/>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68">
    <w:name w:val="正文1"/>
    <w:basedOn w:val="1"/>
    <w:qFormat/>
    <w:uiPriority w:val="0"/>
    <w:rPr>
      <w:rFonts w:ascii="宋体" w:hAnsi="宋体" w:cs="宋体"/>
      <w:szCs w:val="21"/>
    </w:rPr>
  </w:style>
  <w:style w:type="paragraph" w:customStyle="1" w:styleId="69">
    <w:name w:val="[Normal]"/>
    <w:qFormat/>
    <w:uiPriority w:val="0"/>
    <w:rPr>
      <w:rFonts w:ascii="宋体" w:hAnsi="宋体" w:eastAsia="宋体" w:cs="Times New Roman"/>
      <w:sz w:val="24"/>
      <w:lang w:val="en-US" w:eastAsia="en-US" w:bidi="ar-SA"/>
    </w:rPr>
  </w:style>
  <w:style w:type="paragraph" w:customStyle="1" w:styleId="70">
    <w:name w:val="列出段落1"/>
    <w:basedOn w:val="1"/>
    <w:qFormat/>
    <w:uiPriority w:val="0"/>
    <w:pPr>
      <w:ind w:firstLine="420" w:firstLineChars="200"/>
    </w:pPr>
  </w:style>
  <w:style w:type="paragraph" w:customStyle="1" w:styleId="71">
    <w:name w:val="Char Char Char Char1"/>
    <w:basedOn w:val="1"/>
    <w:qFormat/>
    <w:uiPriority w:val="0"/>
    <w:rPr>
      <w:rFonts w:ascii="Tahoma" w:hAnsi="Tahoma"/>
      <w:sz w:val="24"/>
      <w:szCs w:val="20"/>
    </w:rPr>
  </w:style>
  <w:style w:type="character" w:customStyle="1" w:styleId="72">
    <w:name w:val="zbggmain style9"/>
    <w:qFormat/>
    <w:uiPriority w:val="0"/>
    <w:rPr>
      <w:rFonts w:ascii="Tahoma" w:hAnsi="Tahoma"/>
      <w:sz w:val="24"/>
      <w:szCs w:val="20"/>
    </w:rPr>
  </w:style>
  <w:style w:type="paragraph" w:customStyle="1" w:styleId="73">
    <w:name w:val="正文首行缩进 21"/>
    <w:basedOn w:val="74"/>
    <w:qFormat/>
    <w:uiPriority w:val="0"/>
    <w:pPr>
      <w:ind w:firstLine="420"/>
    </w:pPr>
    <w:rPr>
      <w:rFonts w:cs="宋体"/>
    </w:rPr>
  </w:style>
  <w:style w:type="paragraph" w:customStyle="1" w:styleId="74">
    <w:name w:val="正文文本缩进1"/>
    <w:basedOn w:val="1"/>
    <w:next w:val="1"/>
    <w:qFormat/>
    <w:uiPriority w:val="0"/>
    <w:pPr>
      <w:ind w:left="420" w:leftChars="200"/>
    </w:pPr>
    <w:rPr>
      <w:color w:val="000000"/>
      <w:szCs w:val="21"/>
    </w:rPr>
  </w:style>
  <w:style w:type="paragraph" w:customStyle="1" w:styleId="75">
    <w:name w:val="BodyText1I2"/>
    <w:basedOn w:val="76"/>
    <w:qFormat/>
    <w:uiPriority w:val="0"/>
    <w:pPr>
      <w:ind w:firstLine="420"/>
    </w:pPr>
    <w:rPr>
      <w:sz w:val="21"/>
    </w:rPr>
  </w:style>
  <w:style w:type="paragraph" w:customStyle="1" w:styleId="76">
    <w:name w:val="BodyTextIndent"/>
    <w:basedOn w:val="1"/>
    <w:next w:val="75"/>
    <w:qFormat/>
    <w:uiPriority w:val="0"/>
    <w:pPr>
      <w:spacing w:line="360" w:lineRule="auto"/>
      <w:ind w:firstLine="490"/>
      <w:jc w:val="left"/>
    </w:pPr>
    <w:rPr>
      <w:rFonts w:ascii="宋体" w:hAnsi="宋体"/>
      <w:sz w:val="24"/>
    </w:rPr>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8">
    <w:name w:val="font01"/>
    <w:qFormat/>
    <w:uiPriority w:val="0"/>
    <w:rPr>
      <w:rFonts w:hint="eastAsia" w:ascii="等线" w:hAnsi="等线" w:eastAsia="等线" w:cs="等线"/>
      <w:color w:val="000000"/>
      <w:sz w:val="22"/>
      <w:szCs w:val="22"/>
      <w:u w:val="none"/>
    </w:rPr>
  </w:style>
  <w:style w:type="paragraph" w:customStyle="1" w:styleId="79">
    <w:name w:val="正文11"/>
    <w:basedOn w:val="1"/>
    <w:qFormat/>
    <w:uiPriority w:val="0"/>
    <w:pPr>
      <w:tabs>
        <w:tab w:val="left" w:pos="420"/>
      </w:tabs>
      <w:spacing w:line="360" w:lineRule="auto"/>
      <w:ind w:firstLine="432"/>
    </w:pPr>
    <w:rPr>
      <w:rFonts w:ascii="宋体" w:hAnsi="宋体"/>
      <w:b/>
      <w:sz w:val="24"/>
    </w:rPr>
  </w:style>
  <w:style w:type="paragraph" w:customStyle="1" w:styleId="80">
    <w:name w:val="Table Paragraph"/>
    <w:basedOn w:val="1"/>
    <w:qFormat/>
    <w:uiPriority w:val="1"/>
  </w:style>
  <w:style w:type="character" w:customStyle="1" w:styleId="81">
    <w:name w:val="批注主题 字符"/>
    <w:link w:val="28"/>
    <w:qFormat/>
    <w:uiPriority w:val="0"/>
    <w:rPr>
      <w:b/>
      <w:bCs/>
      <w:kern w:val="2"/>
      <w:sz w:val="21"/>
      <w:szCs w:val="24"/>
      <w:lang w:bidi="ar-SA"/>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character" w:customStyle="1" w:styleId="83">
    <w:name w:val="font41"/>
    <w:basedOn w:val="32"/>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61</Pages>
  <Words>27873</Words>
  <Characters>29521</Characters>
  <Lines>243</Lines>
  <Paragraphs>68</Paragraphs>
  <TotalTime>3</TotalTime>
  <ScaleCrop>false</ScaleCrop>
  <LinksUpToDate>false</LinksUpToDate>
  <CharactersWithSpaces>30810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2022-04-14T03:09:00Z</dcterms:created>
  <dc:creator>wxg</dc:creator>
  <cp:lastModifiedBy>Administrator</cp:lastModifiedBy>
  <cp:lastPrinted>2022-03-26T05:01:00Z</cp:lastPrinted>
  <dcterms:modified xsi:type="dcterms:W3CDTF">2023-03-17T09:52:45Z</dcterms:modified>
  <dc:title>采购单位：</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E4A15A0FD66D4F64B618F2FF14A5DC79</vt:lpwstr>
  </property>
  <property fmtid="{D5CDD505-2E9C-101B-9397-08002B2CF9AE}" pid="4" name="commondata">
    <vt:lpwstr>eyJoZGlkIjoiMGMxOTZmYmYwNmE3NDdkMjFjOTU2NTAxZjdmNTVhZjgifQ==</vt:lpwstr>
  </property>
</Properties>
</file>