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4"/>
          <w:szCs w:val="44"/>
        </w:rPr>
      </w:pPr>
    </w:p>
    <w:p>
      <w:pPr>
        <w:jc w:val="center"/>
        <w:rPr>
          <w:rFonts w:ascii="宋体" w:hAnsi="宋体" w:cs="宋体"/>
          <w:b/>
          <w:sz w:val="44"/>
          <w:szCs w:val="44"/>
        </w:rPr>
      </w:pPr>
      <w:r>
        <w:rPr>
          <w:rFonts w:hint="eastAsia" w:ascii="宋体" w:hAnsi="宋体" w:cs="宋体"/>
          <w:b/>
          <w:sz w:val="44"/>
          <w:szCs w:val="44"/>
        </w:rPr>
        <w:t>杭州湾上虞经济技术开发区“工业互联网+危化安全生产”暨危化品“一件事”数字化集成协同系统</w:t>
      </w:r>
    </w:p>
    <w:p>
      <w:pPr>
        <w:spacing w:line="360" w:lineRule="auto"/>
        <w:jc w:val="center"/>
        <w:rPr>
          <w:rFonts w:ascii="宋体" w:hAnsi="宋体" w:cs="宋体"/>
          <w:b/>
          <w:sz w:val="72"/>
          <w:szCs w:val="72"/>
        </w:rPr>
      </w:pPr>
    </w:p>
    <w:p>
      <w:pPr>
        <w:spacing w:line="360" w:lineRule="auto"/>
        <w:jc w:val="center"/>
        <w:rPr>
          <w:rFonts w:ascii="宋体" w:hAnsi="宋体" w:cs="宋体"/>
          <w:b/>
          <w:sz w:val="72"/>
          <w:szCs w:val="72"/>
        </w:rPr>
      </w:pPr>
    </w:p>
    <w:p>
      <w:pPr>
        <w:spacing w:line="360" w:lineRule="auto"/>
        <w:jc w:val="center"/>
        <w:rPr>
          <w:rFonts w:ascii="宋体" w:hAnsi="宋体" w:cs="宋体"/>
          <w:b/>
          <w:sz w:val="56"/>
          <w:szCs w:val="56"/>
        </w:rPr>
      </w:pPr>
      <w:r>
        <w:rPr>
          <w:rFonts w:hint="eastAsia" w:ascii="宋体" w:hAnsi="宋体" w:cs="宋体"/>
          <w:b/>
          <w:sz w:val="56"/>
          <w:szCs w:val="56"/>
        </w:rPr>
        <w:t>招标文件</w:t>
      </w:r>
    </w:p>
    <w:p>
      <w:pPr>
        <w:spacing w:line="360" w:lineRule="auto"/>
        <w:jc w:val="center"/>
        <w:rPr>
          <w:rFonts w:ascii="宋体" w:hAnsi="宋体" w:cs="宋体"/>
          <w:b/>
          <w:sz w:val="24"/>
        </w:rPr>
      </w:pPr>
    </w:p>
    <w:p>
      <w:pPr>
        <w:pStyle w:val="8"/>
      </w:pPr>
    </w:p>
    <w:p>
      <w:pPr>
        <w:spacing w:line="360" w:lineRule="auto"/>
        <w:jc w:val="center"/>
        <w:rPr>
          <w:rFonts w:ascii="宋体" w:hAnsi="宋体" w:cs="宋体"/>
          <w:b/>
          <w:color w:val="auto"/>
          <w:sz w:val="24"/>
        </w:rPr>
      </w:pPr>
    </w:p>
    <w:p>
      <w:pPr>
        <w:snapToGrid w:val="0"/>
        <w:spacing w:line="360" w:lineRule="auto"/>
        <w:ind w:firstLine="2301" w:firstLineChars="767"/>
        <w:jc w:val="left"/>
        <w:rPr>
          <w:rFonts w:hint="eastAsia" w:ascii="宋体" w:hAnsi="宋体" w:eastAsia="宋体" w:cs="宋体"/>
          <w:color w:val="auto"/>
          <w:sz w:val="30"/>
          <w:szCs w:val="30"/>
          <w:u w:val="single"/>
          <w:lang w:eastAsia="zh-CN"/>
        </w:rPr>
      </w:pPr>
      <w:r>
        <w:rPr>
          <w:rFonts w:hint="eastAsia" w:ascii="宋体" w:hAnsi="宋体" w:cs="宋体"/>
          <w:color w:val="auto"/>
          <w:sz w:val="30"/>
          <w:szCs w:val="30"/>
        </w:rPr>
        <w:t>招标编号：</w:t>
      </w:r>
      <w:r>
        <w:rPr>
          <w:rFonts w:hint="eastAsia" w:ascii="宋体" w:hAnsi="宋体" w:cs="宋体"/>
          <w:color w:val="auto"/>
          <w:sz w:val="30"/>
          <w:szCs w:val="30"/>
          <w:u w:val="single"/>
          <w:lang w:eastAsia="zh-CN"/>
        </w:rPr>
        <w:t>YK2023016</w:t>
      </w:r>
    </w:p>
    <w:p>
      <w:pPr>
        <w:snapToGrid w:val="0"/>
        <w:spacing w:line="360" w:lineRule="auto"/>
        <w:ind w:firstLine="2301" w:firstLineChars="767"/>
        <w:jc w:val="left"/>
        <w:rPr>
          <w:rFonts w:ascii="宋体" w:hAnsi="宋体" w:cs="宋体"/>
          <w:sz w:val="30"/>
          <w:szCs w:val="30"/>
        </w:rPr>
      </w:pPr>
      <w:r>
        <w:rPr>
          <w:rFonts w:hint="eastAsia" w:ascii="宋体" w:hAnsi="宋体" w:cs="宋体"/>
          <w:sz w:val="30"/>
          <w:szCs w:val="30"/>
        </w:rPr>
        <w:t>采购方式：公开招标</w:t>
      </w:r>
    </w:p>
    <w:p>
      <w:pPr>
        <w:spacing w:line="360" w:lineRule="auto"/>
        <w:rPr>
          <w:rFonts w:ascii="宋体" w:hAnsi="宋体" w:cs="宋体"/>
          <w:sz w:val="28"/>
          <w:szCs w:val="20"/>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napToGrid w:val="0"/>
        <w:spacing w:line="360" w:lineRule="auto"/>
        <w:jc w:val="center"/>
        <w:rPr>
          <w:rFonts w:ascii="宋体" w:hAnsi="宋体" w:cs="宋体"/>
          <w:u w:val="single"/>
        </w:rPr>
      </w:pPr>
      <w:r>
        <w:rPr>
          <w:rFonts w:hint="eastAsia" w:ascii="宋体" w:hAnsi="宋体" w:cs="宋体"/>
          <w:sz w:val="30"/>
        </w:rPr>
        <w:t xml:space="preserve">  采购人：绍兴市上虞杭州湾工业园区投资发展有限公司</w:t>
      </w:r>
    </w:p>
    <w:p>
      <w:pPr>
        <w:snapToGrid w:val="0"/>
        <w:spacing w:line="360" w:lineRule="auto"/>
        <w:jc w:val="center"/>
        <w:rPr>
          <w:rFonts w:ascii="宋体" w:hAnsi="宋体" w:cs="宋体"/>
          <w:bCs/>
          <w:sz w:val="32"/>
          <w:szCs w:val="32"/>
        </w:rPr>
      </w:pPr>
      <w:r>
        <w:rPr>
          <w:rFonts w:hint="eastAsia" w:ascii="宋体" w:hAnsi="宋体" w:cs="宋体"/>
          <w:sz w:val="30"/>
        </w:rPr>
        <w:t xml:space="preserve">   采购代理机构：浙江宇康工程管理咨询有限公司</w:t>
      </w:r>
    </w:p>
    <w:p>
      <w:pPr>
        <w:spacing w:line="360" w:lineRule="auto"/>
        <w:jc w:val="center"/>
        <w:rPr>
          <w:rFonts w:ascii="宋体" w:hAnsi="宋体" w:cs="宋体"/>
          <w:sz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0" w:name="_Hlt67893495"/>
      <w:bookmarkEnd w:id="0"/>
    </w:p>
    <w:p>
      <w:pPr>
        <w:pStyle w:val="8"/>
      </w:pPr>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pStyle w:val="19"/>
        <w:tabs>
          <w:tab w:val="right" w:leader="dot" w:pos="8306"/>
        </w:tabs>
        <w:spacing w:line="360" w:lineRule="auto"/>
        <w:rPr>
          <w:sz w:val="24"/>
          <w:szCs w:val="32"/>
        </w:rPr>
      </w:pPr>
      <w:bookmarkStart w:id="1" w:name="_Hlt91233176"/>
      <w:bookmarkEnd w:id="1"/>
      <w:bookmarkStart w:id="2" w:name="_Toc91899869"/>
      <w:r>
        <w:rPr>
          <w:rFonts w:hint="eastAsia" w:ascii="宋体" w:hAnsi="宋体" w:cs="宋体"/>
          <w:b/>
          <w:snapToGrid w:val="0"/>
          <w:kern w:val="0"/>
          <w:sz w:val="96"/>
          <w:szCs w:val="96"/>
        </w:rPr>
        <w:fldChar w:fldCharType="begin"/>
      </w:r>
      <w:r>
        <w:rPr>
          <w:rFonts w:hint="eastAsia" w:ascii="宋体" w:hAnsi="宋体" w:cs="宋体"/>
          <w:b/>
          <w:snapToGrid w:val="0"/>
          <w:kern w:val="0"/>
          <w:sz w:val="96"/>
          <w:szCs w:val="96"/>
        </w:rPr>
        <w:instrText xml:space="preserve"> TOC \o "1-1" \h \z \u </w:instrText>
      </w:r>
      <w:r>
        <w:rPr>
          <w:rFonts w:hint="eastAsia" w:ascii="宋体" w:hAnsi="宋体" w:cs="宋体"/>
          <w:b/>
          <w:snapToGrid w:val="0"/>
          <w:kern w:val="0"/>
          <w:sz w:val="96"/>
          <w:szCs w:val="96"/>
        </w:rPr>
        <w:fldChar w:fldCharType="separate"/>
      </w:r>
      <w:r>
        <w:rPr>
          <w:rFonts w:hint="eastAsia" w:ascii="宋体" w:hAnsi="宋体" w:cs="宋体"/>
          <w:snapToGrid w:val="0"/>
          <w:kern w:val="0"/>
          <w:sz w:val="24"/>
          <w:szCs w:val="160"/>
        </w:rPr>
        <w:fldChar w:fldCharType="begin"/>
      </w:r>
      <w:r>
        <w:rPr>
          <w:rFonts w:hint="eastAsia" w:ascii="宋体" w:hAnsi="宋体" w:cs="宋体"/>
          <w:snapToGrid w:val="0"/>
          <w:kern w:val="0"/>
          <w:sz w:val="24"/>
          <w:szCs w:val="160"/>
        </w:rPr>
        <w:instrText xml:space="preserve"> HYPERLINK \l _Toc10509 </w:instrText>
      </w:r>
      <w:r>
        <w:rPr>
          <w:rFonts w:hint="eastAsia" w:ascii="宋体" w:hAnsi="宋体" w:cs="宋体"/>
          <w:snapToGrid w:val="0"/>
          <w:kern w:val="0"/>
          <w:sz w:val="24"/>
          <w:szCs w:val="160"/>
        </w:rPr>
        <w:fldChar w:fldCharType="separate"/>
      </w:r>
      <w:r>
        <w:rPr>
          <w:rFonts w:hint="eastAsia" w:ascii="宋体" w:hAnsi="宋体" w:cs="宋体"/>
          <w:sz w:val="24"/>
          <w:szCs w:val="22"/>
        </w:rPr>
        <w:t>第一部分 招标公告</w:t>
      </w:r>
      <w:r>
        <w:rPr>
          <w:sz w:val="24"/>
          <w:szCs w:val="32"/>
        </w:rPr>
        <w:tab/>
      </w:r>
      <w:r>
        <w:rPr>
          <w:sz w:val="24"/>
          <w:szCs w:val="32"/>
        </w:rPr>
        <w:fldChar w:fldCharType="begin"/>
      </w:r>
      <w:r>
        <w:rPr>
          <w:sz w:val="24"/>
          <w:szCs w:val="32"/>
        </w:rPr>
        <w:instrText xml:space="preserve"> PAGEREF _Toc10509 \h </w:instrText>
      </w:r>
      <w:r>
        <w:rPr>
          <w:sz w:val="24"/>
          <w:szCs w:val="32"/>
        </w:rPr>
        <w:fldChar w:fldCharType="separate"/>
      </w:r>
      <w:r>
        <w:rPr>
          <w:sz w:val="24"/>
          <w:szCs w:val="32"/>
        </w:rPr>
        <w:t>2</w:t>
      </w:r>
      <w:r>
        <w:rPr>
          <w:sz w:val="24"/>
          <w:szCs w:val="32"/>
        </w:rPr>
        <w:fldChar w:fldCharType="end"/>
      </w:r>
      <w:r>
        <w:rPr>
          <w:rFonts w:hint="eastAsia" w:ascii="宋体" w:hAnsi="宋体" w:cs="宋体"/>
          <w:snapToGrid w:val="0"/>
          <w:kern w:val="0"/>
          <w:sz w:val="24"/>
          <w:szCs w:val="160"/>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160"/>
        </w:rPr>
        <w:fldChar w:fldCharType="begin"/>
      </w:r>
      <w:r>
        <w:rPr>
          <w:rFonts w:hint="eastAsia" w:ascii="宋体" w:hAnsi="宋体" w:cs="宋体"/>
          <w:snapToGrid w:val="0"/>
          <w:kern w:val="0"/>
          <w:sz w:val="24"/>
          <w:szCs w:val="160"/>
        </w:rPr>
        <w:instrText xml:space="preserve"> HYPERLINK \l _Toc12572 </w:instrText>
      </w:r>
      <w:r>
        <w:rPr>
          <w:rFonts w:hint="eastAsia" w:ascii="宋体" w:hAnsi="宋体" w:cs="宋体"/>
          <w:snapToGrid w:val="0"/>
          <w:kern w:val="0"/>
          <w:sz w:val="24"/>
          <w:szCs w:val="160"/>
        </w:rPr>
        <w:fldChar w:fldCharType="separate"/>
      </w:r>
      <w:r>
        <w:rPr>
          <w:rFonts w:hint="eastAsia" w:ascii="宋体" w:hAnsi="宋体" w:cs="宋体"/>
          <w:sz w:val="24"/>
          <w:szCs w:val="22"/>
        </w:rPr>
        <w:t>第二部分</w:t>
      </w:r>
      <w:r>
        <w:rPr>
          <w:rFonts w:hint="eastAsia" w:ascii="宋体" w:hAnsi="宋体" w:cs="宋体"/>
          <w:sz w:val="24"/>
          <w:szCs w:val="22"/>
          <w:lang w:val="en-US" w:eastAsia="zh-CN"/>
        </w:rPr>
        <w:t xml:space="preserve"> </w:t>
      </w:r>
      <w:r>
        <w:rPr>
          <w:rFonts w:hint="eastAsia" w:ascii="宋体" w:hAnsi="宋体" w:cs="宋体"/>
          <w:sz w:val="24"/>
          <w:szCs w:val="22"/>
        </w:rPr>
        <w:t>投标须知</w:t>
      </w:r>
      <w:r>
        <w:rPr>
          <w:sz w:val="24"/>
          <w:szCs w:val="32"/>
        </w:rPr>
        <w:tab/>
      </w:r>
      <w:r>
        <w:rPr>
          <w:sz w:val="24"/>
          <w:szCs w:val="32"/>
        </w:rPr>
        <w:fldChar w:fldCharType="begin"/>
      </w:r>
      <w:r>
        <w:rPr>
          <w:sz w:val="24"/>
          <w:szCs w:val="32"/>
        </w:rPr>
        <w:instrText xml:space="preserve"> PAGEREF _Toc12572 \h </w:instrText>
      </w:r>
      <w:r>
        <w:rPr>
          <w:sz w:val="24"/>
          <w:szCs w:val="32"/>
        </w:rPr>
        <w:fldChar w:fldCharType="separate"/>
      </w:r>
      <w:r>
        <w:rPr>
          <w:sz w:val="24"/>
          <w:szCs w:val="32"/>
        </w:rPr>
        <w:t>6</w:t>
      </w:r>
      <w:r>
        <w:rPr>
          <w:sz w:val="24"/>
          <w:szCs w:val="32"/>
        </w:rPr>
        <w:fldChar w:fldCharType="end"/>
      </w:r>
      <w:r>
        <w:rPr>
          <w:rFonts w:hint="eastAsia" w:ascii="宋体" w:hAnsi="宋体" w:cs="宋体"/>
          <w:snapToGrid w:val="0"/>
          <w:kern w:val="0"/>
          <w:sz w:val="24"/>
          <w:szCs w:val="160"/>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160"/>
        </w:rPr>
        <w:fldChar w:fldCharType="begin"/>
      </w:r>
      <w:r>
        <w:rPr>
          <w:rFonts w:hint="eastAsia" w:ascii="宋体" w:hAnsi="宋体" w:cs="宋体"/>
          <w:snapToGrid w:val="0"/>
          <w:kern w:val="0"/>
          <w:sz w:val="24"/>
          <w:szCs w:val="160"/>
        </w:rPr>
        <w:instrText xml:space="preserve"> HYPERLINK \l _Toc3767 </w:instrText>
      </w:r>
      <w:r>
        <w:rPr>
          <w:rFonts w:hint="eastAsia" w:ascii="宋体" w:hAnsi="宋体" w:cs="宋体"/>
          <w:snapToGrid w:val="0"/>
          <w:kern w:val="0"/>
          <w:sz w:val="24"/>
          <w:szCs w:val="160"/>
        </w:rPr>
        <w:fldChar w:fldCharType="separate"/>
      </w:r>
      <w:r>
        <w:rPr>
          <w:rFonts w:hint="eastAsia" w:ascii="宋体" w:hAnsi="宋体" w:cs="宋体"/>
          <w:sz w:val="24"/>
          <w:szCs w:val="32"/>
        </w:rPr>
        <w:t>一、总则</w:t>
      </w:r>
      <w:r>
        <w:rPr>
          <w:sz w:val="24"/>
          <w:szCs w:val="32"/>
        </w:rPr>
        <w:tab/>
      </w:r>
      <w:r>
        <w:rPr>
          <w:sz w:val="24"/>
          <w:szCs w:val="32"/>
        </w:rPr>
        <w:fldChar w:fldCharType="begin"/>
      </w:r>
      <w:r>
        <w:rPr>
          <w:sz w:val="24"/>
          <w:szCs w:val="32"/>
        </w:rPr>
        <w:instrText xml:space="preserve"> PAGEREF _Toc3767 \h </w:instrText>
      </w:r>
      <w:r>
        <w:rPr>
          <w:sz w:val="24"/>
          <w:szCs w:val="32"/>
        </w:rPr>
        <w:fldChar w:fldCharType="separate"/>
      </w:r>
      <w:r>
        <w:rPr>
          <w:sz w:val="24"/>
          <w:szCs w:val="32"/>
        </w:rPr>
        <w:t>10</w:t>
      </w:r>
      <w:r>
        <w:rPr>
          <w:sz w:val="24"/>
          <w:szCs w:val="32"/>
        </w:rPr>
        <w:fldChar w:fldCharType="end"/>
      </w:r>
      <w:r>
        <w:rPr>
          <w:rFonts w:hint="eastAsia" w:ascii="宋体" w:hAnsi="宋体" w:cs="宋体"/>
          <w:snapToGrid w:val="0"/>
          <w:kern w:val="0"/>
          <w:sz w:val="24"/>
          <w:szCs w:val="160"/>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160"/>
        </w:rPr>
        <w:fldChar w:fldCharType="begin"/>
      </w:r>
      <w:r>
        <w:rPr>
          <w:rFonts w:hint="eastAsia" w:ascii="宋体" w:hAnsi="宋体" w:cs="宋体"/>
          <w:snapToGrid w:val="0"/>
          <w:kern w:val="0"/>
          <w:sz w:val="24"/>
          <w:szCs w:val="160"/>
        </w:rPr>
        <w:instrText xml:space="preserve"> HYPERLINK \l _Toc8068 </w:instrText>
      </w:r>
      <w:r>
        <w:rPr>
          <w:rFonts w:hint="eastAsia" w:ascii="宋体" w:hAnsi="宋体" w:cs="宋体"/>
          <w:snapToGrid w:val="0"/>
          <w:kern w:val="0"/>
          <w:sz w:val="24"/>
          <w:szCs w:val="160"/>
        </w:rPr>
        <w:fldChar w:fldCharType="separate"/>
      </w:r>
      <w:r>
        <w:rPr>
          <w:rFonts w:hint="eastAsia" w:ascii="宋体" w:hAnsi="宋体" w:cs="宋体"/>
          <w:sz w:val="24"/>
          <w:szCs w:val="32"/>
        </w:rPr>
        <w:t>二、招标文件</w:t>
      </w:r>
      <w:r>
        <w:rPr>
          <w:sz w:val="24"/>
          <w:szCs w:val="32"/>
        </w:rPr>
        <w:tab/>
      </w:r>
      <w:r>
        <w:rPr>
          <w:sz w:val="24"/>
          <w:szCs w:val="32"/>
        </w:rPr>
        <w:fldChar w:fldCharType="begin"/>
      </w:r>
      <w:r>
        <w:rPr>
          <w:sz w:val="24"/>
          <w:szCs w:val="32"/>
        </w:rPr>
        <w:instrText xml:space="preserve"> PAGEREF _Toc8068 \h </w:instrText>
      </w:r>
      <w:r>
        <w:rPr>
          <w:sz w:val="24"/>
          <w:szCs w:val="32"/>
        </w:rPr>
        <w:fldChar w:fldCharType="separate"/>
      </w:r>
      <w:r>
        <w:rPr>
          <w:sz w:val="24"/>
          <w:szCs w:val="32"/>
        </w:rPr>
        <w:t>10</w:t>
      </w:r>
      <w:r>
        <w:rPr>
          <w:sz w:val="24"/>
          <w:szCs w:val="32"/>
        </w:rPr>
        <w:fldChar w:fldCharType="end"/>
      </w:r>
      <w:r>
        <w:rPr>
          <w:rFonts w:hint="eastAsia" w:ascii="宋体" w:hAnsi="宋体" w:cs="宋体"/>
          <w:snapToGrid w:val="0"/>
          <w:kern w:val="0"/>
          <w:sz w:val="24"/>
          <w:szCs w:val="160"/>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160"/>
        </w:rPr>
        <w:fldChar w:fldCharType="begin"/>
      </w:r>
      <w:r>
        <w:rPr>
          <w:rFonts w:hint="eastAsia" w:ascii="宋体" w:hAnsi="宋体" w:cs="宋体"/>
          <w:snapToGrid w:val="0"/>
          <w:kern w:val="0"/>
          <w:sz w:val="24"/>
          <w:szCs w:val="160"/>
        </w:rPr>
        <w:instrText xml:space="preserve"> HYPERLINK \l _Toc3954 </w:instrText>
      </w:r>
      <w:r>
        <w:rPr>
          <w:rFonts w:hint="eastAsia" w:ascii="宋体" w:hAnsi="宋体" w:cs="宋体"/>
          <w:snapToGrid w:val="0"/>
          <w:kern w:val="0"/>
          <w:sz w:val="24"/>
          <w:szCs w:val="160"/>
        </w:rPr>
        <w:fldChar w:fldCharType="separate"/>
      </w:r>
      <w:r>
        <w:rPr>
          <w:rFonts w:hint="eastAsia" w:ascii="宋体" w:hAnsi="宋体" w:cs="宋体"/>
          <w:sz w:val="24"/>
          <w:szCs w:val="32"/>
        </w:rPr>
        <w:t>三、投标文件的编制</w:t>
      </w:r>
      <w:r>
        <w:rPr>
          <w:sz w:val="24"/>
          <w:szCs w:val="32"/>
        </w:rPr>
        <w:tab/>
      </w:r>
      <w:r>
        <w:rPr>
          <w:sz w:val="24"/>
          <w:szCs w:val="32"/>
        </w:rPr>
        <w:fldChar w:fldCharType="begin"/>
      </w:r>
      <w:r>
        <w:rPr>
          <w:sz w:val="24"/>
          <w:szCs w:val="32"/>
        </w:rPr>
        <w:instrText xml:space="preserve"> PAGEREF _Toc3954 \h </w:instrText>
      </w:r>
      <w:r>
        <w:rPr>
          <w:sz w:val="24"/>
          <w:szCs w:val="32"/>
        </w:rPr>
        <w:fldChar w:fldCharType="separate"/>
      </w:r>
      <w:r>
        <w:rPr>
          <w:sz w:val="24"/>
          <w:szCs w:val="32"/>
        </w:rPr>
        <w:t>12</w:t>
      </w:r>
      <w:r>
        <w:rPr>
          <w:sz w:val="24"/>
          <w:szCs w:val="32"/>
        </w:rPr>
        <w:fldChar w:fldCharType="end"/>
      </w:r>
      <w:r>
        <w:rPr>
          <w:rFonts w:hint="eastAsia" w:ascii="宋体" w:hAnsi="宋体" w:cs="宋体"/>
          <w:snapToGrid w:val="0"/>
          <w:kern w:val="0"/>
          <w:sz w:val="24"/>
          <w:szCs w:val="160"/>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160"/>
        </w:rPr>
        <w:fldChar w:fldCharType="begin"/>
      </w:r>
      <w:r>
        <w:rPr>
          <w:rFonts w:hint="eastAsia" w:ascii="宋体" w:hAnsi="宋体" w:cs="宋体"/>
          <w:snapToGrid w:val="0"/>
          <w:kern w:val="0"/>
          <w:sz w:val="24"/>
          <w:szCs w:val="160"/>
        </w:rPr>
        <w:instrText xml:space="preserve"> HYPERLINK \l _Toc15128 </w:instrText>
      </w:r>
      <w:r>
        <w:rPr>
          <w:rFonts w:hint="eastAsia" w:ascii="宋体" w:hAnsi="宋体" w:cs="宋体"/>
          <w:snapToGrid w:val="0"/>
          <w:kern w:val="0"/>
          <w:sz w:val="24"/>
          <w:szCs w:val="160"/>
        </w:rPr>
        <w:fldChar w:fldCharType="separate"/>
      </w:r>
      <w:r>
        <w:rPr>
          <w:rFonts w:hint="eastAsia" w:ascii="宋体" w:hAnsi="宋体" w:cs="宋体"/>
          <w:sz w:val="24"/>
          <w:szCs w:val="32"/>
        </w:rPr>
        <w:t>四、投标文件的递交</w:t>
      </w:r>
      <w:r>
        <w:rPr>
          <w:sz w:val="24"/>
          <w:szCs w:val="32"/>
        </w:rPr>
        <w:tab/>
      </w:r>
      <w:r>
        <w:rPr>
          <w:sz w:val="24"/>
          <w:szCs w:val="32"/>
        </w:rPr>
        <w:fldChar w:fldCharType="begin"/>
      </w:r>
      <w:r>
        <w:rPr>
          <w:sz w:val="24"/>
          <w:szCs w:val="32"/>
        </w:rPr>
        <w:instrText xml:space="preserve"> PAGEREF _Toc15128 \h </w:instrText>
      </w:r>
      <w:r>
        <w:rPr>
          <w:sz w:val="24"/>
          <w:szCs w:val="32"/>
        </w:rPr>
        <w:fldChar w:fldCharType="separate"/>
      </w:r>
      <w:r>
        <w:rPr>
          <w:sz w:val="24"/>
          <w:szCs w:val="32"/>
        </w:rPr>
        <w:t>15</w:t>
      </w:r>
      <w:r>
        <w:rPr>
          <w:sz w:val="24"/>
          <w:szCs w:val="32"/>
        </w:rPr>
        <w:fldChar w:fldCharType="end"/>
      </w:r>
      <w:r>
        <w:rPr>
          <w:rFonts w:hint="eastAsia" w:ascii="宋体" w:hAnsi="宋体" w:cs="宋体"/>
          <w:snapToGrid w:val="0"/>
          <w:kern w:val="0"/>
          <w:sz w:val="24"/>
          <w:szCs w:val="160"/>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160"/>
        </w:rPr>
        <w:fldChar w:fldCharType="begin"/>
      </w:r>
      <w:r>
        <w:rPr>
          <w:rFonts w:hint="eastAsia" w:ascii="宋体" w:hAnsi="宋体" w:cs="宋体"/>
          <w:snapToGrid w:val="0"/>
          <w:kern w:val="0"/>
          <w:sz w:val="24"/>
          <w:szCs w:val="160"/>
        </w:rPr>
        <w:instrText xml:space="preserve"> HYPERLINK \l _Toc24201 </w:instrText>
      </w:r>
      <w:r>
        <w:rPr>
          <w:rFonts w:hint="eastAsia" w:ascii="宋体" w:hAnsi="宋体" w:cs="宋体"/>
          <w:snapToGrid w:val="0"/>
          <w:kern w:val="0"/>
          <w:sz w:val="24"/>
          <w:szCs w:val="160"/>
        </w:rPr>
        <w:fldChar w:fldCharType="separate"/>
      </w:r>
      <w:r>
        <w:rPr>
          <w:rFonts w:hint="eastAsia" w:ascii="宋体" w:hAnsi="宋体" w:cs="宋体"/>
          <w:sz w:val="24"/>
          <w:szCs w:val="32"/>
        </w:rPr>
        <w:t>五、开标</w:t>
      </w:r>
      <w:r>
        <w:rPr>
          <w:sz w:val="24"/>
          <w:szCs w:val="32"/>
        </w:rPr>
        <w:tab/>
      </w:r>
      <w:r>
        <w:rPr>
          <w:sz w:val="24"/>
          <w:szCs w:val="32"/>
        </w:rPr>
        <w:fldChar w:fldCharType="begin"/>
      </w:r>
      <w:r>
        <w:rPr>
          <w:sz w:val="24"/>
          <w:szCs w:val="32"/>
        </w:rPr>
        <w:instrText xml:space="preserve"> PAGEREF _Toc24201 \h </w:instrText>
      </w:r>
      <w:r>
        <w:rPr>
          <w:sz w:val="24"/>
          <w:szCs w:val="32"/>
        </w:rPr>
        <w:fldChar w:fldCharType="separate"/>
      </w:r>
      <w:r>
        <w:rPr>
          <w:sz w:val="24"/>
          <w:szCs w:val="32"/>
        </w:rPr>
        <w:t>16</w:t>
      </w:r>
      <w:r>
        <w:rPr>
          <w:sz w:val="24"/>
          <w:szCs w:val="32"/>
        </w:rPr>
        <w:fldChar w:fldCharType="end"/>
      </w:r>
      <w:r>
        <w:rPr>
          <w:rFonts w:hint="eastAsia" w:ascii="宋体" w:hAnsi="宋体" w:cs="宋体"/>
          <w:snapToGrid w:val="0"/>
          <w:kern w:val="0"/>
          <w:sz w:val="24"/>
          <w:szCs w:val="160"/>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160"/>
        </w:rPr>
        <w:fldChar w:fldCharType="begin"/>
      </w:r>
      <w:r>
        <w:rPr>
          <w:rFonts w:hint="eastAsia" w:ascii="宋体" w:hAnsi="宋体" w:cs="宋体"/>
          <w:snapToGrid w:val="0"/>
          <w:kern w:val="0"/>
          <w:sz w:val="24"/>
          <w:szCs w:val="160"/>
        </w:rPr>
        <w:instrText xml:space="preserve"> HYPERLINK \l _Toc30455 </w:instrText>
      </w:r>
      <w:r>
        <w:rPr>
          <w:rFonts w:hint="eastAsia" w:ascii="宋体" w:hAnsi="宋体" w:cs="宋体"/>
          <w:snapToGrid w:val="0"/>
          <w:kern w:val="0"/>
          <w:sz w:val="24"/>
          <w:szCs w:val="160"/>
        </w:rPr>
        <w:fldChar w:fldCharType="separate"/>
      </w:r>
      <w:r>
        <w:rPr>
          <w:rFonts w:hint="eastAsia" w:ascii="宋体" w:hAnsi="宋体" w:cs="宋体"/>
          <w:sz w:val="24"/>
          <w:szCs w:val="32"/>
        </w:rPr>
        <w:t>六、资格审查</w:t>
      </w:r>
      <w:r>
        <w:rPr>
          <w:sz w:val="24"/>
          <w:szCs w:val="32"/>
        </w:rPr>
        <w:tab/>
      </w:r>
      <w:r>
        <w:rPr>
          <w:sz w:val="24"/>
          <w:szCs w:val="32"/>
        </w:rPr>
        <w:fldChar w:fldCharType="begin"/>
      </w:r>
      <w:r>
        <w:rPr>
          <w:sz w:val="24"/>
          <w:szCs w:val="32"/>
        </w:rPr>
        <w:instrText xml:space="preserve"> PAGEREF _Toc30455 \h </w:instrText>
      </w:r>
      <w:r>
        <w:rPr>
          <w:sz w:val="24"/>
          <w:szCs w:val="32"/>
        </w:rPr>
        <w:fldChar w:fldCharType="separate"/>
      </w:r>
      <w:r>
        <w:rPr>
          <w:sz w:val="24"/>
          <w:szCs w:val="32"/>
        </w:rPr>
        <w:t>16</w:t>
      </w:r>
      <w:r>
        <w:rPr>
          <w:sz w:val="24"/>
          <w:szCs w:val="32"/>
        </w:rPr>
        <w:fldChar w:fldCharType="end"/>
      </w:r>
      <w:r>
        <w:rPr>
          <w:rFonts w:hint="eastAsia" w:ascii="宋体" w:hAnsi="宋体" w:cs="宋体"/>
          <w:snapToGrid w:val="0"/>
          <w:kern w:val="0"/>
          <w:sz w:val="24"/>
          <w:szCs w:val="160"/>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160"/>
        </w:rPr>
        <w:fldChar w:fldCharType="begin"/>
      </w:r>
      <w:r>
        <w:rPr>
          <w:rFonts w:hint="eastAsia" w:ascii="宋体" w:hAnsi="宋体" w:cs="宋体"/>
          <w:snapToGrid w:val="0"/>
          <w:kern w:val="0"/>
          <w:sz w:val="24"/>
          <w:szCs w:val="160"/>
        </w:rPr>
        <w:instrText xml:space="preserve"> HYPERLINK \l _Toc920 </w:instrText>
      </w:r>
      <w:r>
        <w:rPr>
          <w:rFonts w:hint="eastAsia" w:ascii="宋体" w:hAnsi="宋体" w:cs="宋体"/>
          <w:snapToGrid w:val="0"/>
          <w:kern w:val="0"/>
          <w:sz w:val="24"/>
          <w:szCs w:val="160"/>
        </w:rPr>
        <w:fldChar w:fldCharType="separate"/>
      </w:r>
      <w:r>
        <w:rPr>
          <w:rFonts w:hint="eastAsia" w:ascii="宋体" w:hAnsi="宋体" w:cs="宋体"/>
          <w:sz w:val="24"/>
          <w:szCs w:val="32"/>
        </w:rPr>
        <w:t>七、评标</w:t>
      </w:r>
      <w:r>
        <w:rPr>
          <w:sz w:val="24"/>
          <w:szCs w:val="32"/>
        </w:rPr>
        <w:tab/>
      </w:r>
      <w:r>
        <w:rPr>
          <w:sz w:val="24"/>
          <w:szCs w:val="32"/>
        </w:rPr>
        <w:fldChar w:fldCharType="begin"/>
      </w:r>
      <w:r>
        <w:rPr>
          <w:sz w:val="24"/>
          <w:szCs w:val="32"/>
        </w:rPr>
        <w:instrText xml:space="preserve"> PAGEREF _Toc920 \h </w:instrText>
      </w:r>
      <w:r>
        <w:rPr>
          <w:sz w:val="24"/>
          <w:szCs w:val="32"/>
        </w:rPr>
        <w:fldChar w:fldCharType="separate"/>
      </w:r>
      <w:r>
        <w:rPr>
          <w:sz w:val="24"/>
          <w:szCs w:val="32"/>
        </w:rPr>
        <w:t>17</w:t>
      </w:r>
      <w:r>
        <w:rPr>
          <w:sz w:val="24"/>
          <w:szCs w:val="32"/>
        </w:rPr>
        <w:fldChar w:fldCharType="end"/>
      </w:r>
      <w:r>
        <w:rPr>
          <w:rFonts w:hint="eastAsia" w:ascii="宋体" w:hAnsi="宋体" w:cs="宋体"/>
          <w:snapToGrid w:val="0"/>
          <w:kern w:val="0"/>
          <w:sz w:val="24"/>
          <w:szCs w:val="160"/>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160"/>
        </w:rPr>
        <w:fldChar w:fldCharType="begin"/>
      </w:r>
      <w:r>
        <w:rPr>
          <w:rFonts w:hint="eastAsia" w:ascii="宋体" w:hAnsi="宋体" w:cs="宋体"/>
          <w:snapToGrid w:val="0"/>
          <w:kern w:val="0"/>
          <w:sz w:val="24"/>
          <w:szCs w:val="160"/>
        </w:rPr>
        <w:instrText xml:space="preserve"> HYPERLINK \l _Toc357 </w:instrText>
      </w:r>
      <w:r>
        <w:rPr>
          <w:rFonts w:hint="eastAsia" w:ascii="宋体" w:hAnsi="宋体" w:cs="宋体"/>
          <w:snapToGrid w:val="0"/>
          <w:kern w:val="0"/>
          <w:sz w:val="24"/>
          <w:szCs w:val="160"/>
        </w:rPr>
        <w:fldChar w:fldCharType="separate"/>
      </w:r>
      <w:r>
        <w:rPr>
          <w:rFonts w:hint="eastAsia" w:ascii="宋体" w:hAnsi="宋体" w:cs="宋体"/>
          <w:sz w:val="24"/>
          <w:szCs w:val="32"/>
        </w:rPr>
        <w:t>八、定 标</w:t>
      </w:r>
      <w:r>
        <w:rPr>
          <w:sz w:val="24"/>
          <w:szCs w:val="32"/>
        </w:rPr>
        <w:tab/>
      </w:r>
      <w:r>
        <w:rPr>
          <w:sz w:val="24"/>
          <w:szCs w:val="32"/>
        </w:rPr>
        <w:fldChar w:fldCharType="begin"/>
      </w:r>
      <w:r>
        <w:rPr>
          <w:sz w:val="24"/>
          <w:szCs w:val="32"/>
        </w:rPr>
        <w:instrText xml:space="preserve"> PAGEREF _Toc357 \h </w:instrText>
      </w:r>
      <w:r>
        <w:rPr>
          <w:sz w:val="24"/>
          <w:szCs w:val="32"/>
        </w:rPr>
        <w:fldChar w:fldCharType="separate"/>
      </w:r>
      <w:r>
        <w:rPr>
          <w:sz w:val="24"/>
          <w:szCs w:val="32"/>
        </w:rPr>
        <w:t>21</w:t>
      </w:r>
      <w:r>
        <w:rPr>
          <w:sz w:val="24"/>
          <w:szCs w:val="32"/>
        </w:rPr>
        <w:fldChar w:fldCharType="end"/>
      </w:r>
      <w:r>
        <w:rPr>
          <w:rFonts w:hint="eastAsia" w:ascii="宋体" w:hAnsi="宋体" w:cs="宋体"/>
          <w:snapToGrid w:val="0"/>
          <w:kern w:val="0"/>
          <w:sz w:val="24"/>
          <w:szCs w:val="160"/>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160"/>
        </w:rPr>
        <w:fldChar w:fldCharType="begin"/>
      </w:r>
      <w:r>
        <w:rPr>
          <w:rFonts w:hint="eastAsia" w:ascii="宋体" w:hAnsi="宋体" w:cs="宋体"/>
          <w:snapToGrid w:val="0"/>
          <w:kern w:val="0"/>
          <w:sz w:val="24"/>
          <w:szCs w:val="160"/>
        </w:rPr>
        <w:instrText xml:space="preserve"> HYPERLINK \l _Toc27805 </w:instrText>
      </w:r>
      <w:r>
        <w:rPr>
          <w:rFonts w:hint="eastAsia" w:ascii="宋体" w:hAnsi="宋体" w:cs="宋体"/>
          <w:snapToGrid w:val="0"/>
          <w:kern w:val="0"/>
          <w:sz w:val="24"/>
          <w:szCs w:val="160"/>
        </w:rPr>
        <w:fldChar w:fldCharType="separate"/>
      </w:r>
      <w:r>
        <w:rPr>
          <w:rFonts w:hint="eastAsia" w:ascii="宋体" w:hAnsi="宋体" w:cs="宋体"/>
          <w:sz w:val="24"/>
          <w:szCs w:val="32"/>
        </w:rPr>
        <w:t>九、合同签订及其他</w:t>
      </w:r>
      <w:r>
        <w:rPr>
          <w:sz w:val="24"/>
          <w:szCs w:val="32"/>
        </w:rPr>
        <w:tab/>
      </w:r>
      <w:r>
        <w:rPr>
          <w:sz w:val="24"/>
          <w:szCs w:val="32"/>
        </w:rPr>
        <w:fldChar w:fldCharType="begin"/>
      </w:r>
      <w:r>
        <w:rPr>
          <w:sz w:val="24"/>
          <w:szCs w:val="32"/>
        </w:rPr>
        <w:instrText xml:space="preserve"> PAGEREF _Toc27805 \h </w:instrText>
      </w:r>
      <w:r>
        <w:rPr>
          <w:sz w:val="24"/>
          <w:szCs w:val="32"/>
        </w:rPr>
        <w:fldChar w:fldCharType="separate"/>
      </w:r>
      <w:r>
        <w:rPr>
          <w:sz w:val="24"/>
          <w:szCs w:val="32"/>
        </w:rPr>
        <w:t>22</w:t>
      </w:r>
      <w:r>
        <w:rPr>
          <w:sz w:val="24"/>
          <w:szCs w:val="32"/>
        </w:rPr>
        <w:fldChar w:fldCharType="end"/>
      </w:r>
      <w:r>
        <w:rPr>
          <w:rFonts w:hint="eastAsia" w:ascii="宋体" w:hAnsi="宋体" w:cs="宋体"/>
          <w:snapToGrid w:val="0"/>
          <w:kern w:val="0"/>
          <w:sz w:val="24"/>
          <w:szCs w:val="160"/>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160"/>
        </w:rPr>
        <w:fldChar w:fldCharType="begin"/>
      </w:r>
      <w:r>
        <w:rPr>
          <w:rFonts w:hint="eastAsia" w:ascii="宋体" w:hAnsi="宋体" w:cs="宋体"/>
          <w:snapToGrid w:val="0"/>
          <w:kern w:val="0"/>
          <w:sz w:val="24"/>
          <w:szCs w:val="160"/>
        </w:rPr>
        <w:instrText xml:space="preserve"> HYPERLINK \l _Toc19976 </w:instrText>
      </w:r>
      <w:r>
        <w:rPr>
          <w:rFonts w:hint="eastAsia" w:ascii="宋体" w:hAnsi="宋体" w:cs="宋体"/>
          <w:snapToGrid w:val="0"/>
          <w:kern w:val="0"/>
          <w:sz w:val="24"/>
          <w:szCs w:val="160"/>
        </w:rPr>
        <w:fldChar w:fldCharType="separate"/>
      </w:r>
      <w:r>
        <w:rPr>
          <w:rFonts w:hint="eastAsia" w:ascii="宋体" w:hAnsi="宋体" w:cs="宋体"/>
          <w:sz w:val="24"/>
          <w:szCs w:val="32"/>
        </w:rPr>
        <w:t>十、质疑与投诉</w:t>
      </w:r>
      <w:r>
        <w:rPr>
          <w:sz w:val="24"/>
          <w:szCs w:val="32"/>
        </w:rPr>
        <w:tab/>
      </w:r>
      <w:r>
        <w:rPr>
          <w:sz w:val="24"/>
          <w:szCs w:val="32"/>
        </w:rPr>
        <w:fldChar w:fldCharType="begin"/>
      </w:r>
      <w:r>
        <w:rPr>
          <w:sz w:val="24"/>
          <w:szCs w:val="32"/>
        </w:rPr>
        <w:instrText xml:space="preserve"> PAGEREF _Toc19976 \h </w:instrText>
      </w:r>
      <w:r>
        <w:rPr>
          <w:sz w:val="24"/>
          <w:szCs w:val="32"/>
        </w:rPr>
        <w:fldChar w:fldCharType="separate"/>
      </w:r>
      <w:r>
        <w:rPr>
          <w:sz w:val="24"/>
          <w:szCs w:val="32"/>
        </w:rPr>
        <w:t>23</w:t>
      </w:r>
      <w:r>
        <w:rPr>
          <w:sz w:val="24"/>
          <w:szCs w:val="32"/>
        </w:rPr>
        <w:fldChar w:fldCharType="end"/>
      </w:r>
      <w:r>
        <w:rPr>
          <w:rFonts w:hint="eastAsia" w:ascii="宋体" w:hAnsi="宋体" w:cs="宋体"/>
          <w:snapToGrid w:val="0"/>
          <w:kern w:val="0"/>
          <w:sz w:val="24"/>
          <w:szCs w:val="160"/>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160"/>
        </w:rPr>
        <w:fldChar w:fldCharType="begin"/>
      </w:r>
      <w:r>
        <w:rPr>
          <w:rFonts w:hint="eastAsia" w:ascii="宋体" w:hAnsi="宋体" w:cs="宋体"/>
          <w:snapToGrid w:val="0"/>
          <w:kern w:val="0"/>
          <w:sz w:val="24"/>
          <w:szCs w:val="160"/>
        </w:rPr>
        <w:instrText xml:space="preserve"> HYPERLINK \l _Toc3523 </w:instrText>
      </w:r>
      <w:r>
        <w:rPr>
          <w:rFonts w:hint="eastAsia" w:ascii="宋体" w:hAnsi="宋体" w:cs="宋体"/>
          <w:snapToGrid w:val="0"/>
          <w:kern w:val="0"/>
          <w:sz w:val="24"/>
          <w:szCs w:val="160"/>
        </w:rPr>
        <w:fldChar w:fldCharType="separate"/>
      </w:r>
      <w:r>
        <w:rPr>
          <w:rFonts w:hint="eastAsia" w:ascii="宋体" w:hAnsi="宋体" w:cs="宋体"/>
          <w:sz w:val="24"/>
          <w:szCs w:val="44"/>
        </w:rPr>
        <w:t>第三部分 评标办法及评分标准</w:t>
      </w:r>
      <w:r>
        <w:rPr>
          <w:sz w:val="24"/>
          <w:szCs w:val="32"/>
        </w:rPr>
        <w:tab/>
      </w:r>
      <w:r>
        <w:rPr>
          <w:sz w:val="24"/>
          <w:szCs w:val="32"/>
        </w:rPr>
        <w:fldChar w:fldCharType="begin"/>
      </w:r>
      <w:r>
        <w:rPr>
          <w:sz w:val="24"/>
          <w:szCs w:val="32"/>
        </w:rPr>
        <w:instrText xml:space="preserve"> PAGEREF _Toc3523 \h </w:instrText>
      </w:r>
      <w:r>
        <w:rPr>
          <w:sz w:val="24"/>
          <w:szCs w:val="32"/>
        </w:rPr>
        <w:fldChar w:fldCharType="separate"/>
      </w:r>
      <w:r>
        <w:rPr>
          <w:sz w:val="24"/>
          <w:szCs w:val="32"/>
        </w:rPr>
        <w:t>25</w:t>
      </w:r>
      <w:r>
        <w:rPr>
          <w:sz w:val="24"/>
          <w:szCs w:val="32"/>
        </w:rPr>
        <w:fldChar w:fldCharType="end"/>
      </w:r>
      <w:r>
        <w:rPr>
          <w:rFonts w:hint="eastAsia" w:ascii="宋体" w:hAnsi="宋体" w:cs="宋体"/>
          <w:snapToGrid w:val="0"/>
          <w:kern w:val="0"/>
          <w:sz w:val="24"/>
          <w:szCs w:val="160"/>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160"/>
        </w:rPr>
        <w:fldChar w:fldCharType="begin"/>
      </w:r>
      <w:r>
        <w:rPr>
          <w:rFonts w:hint="eastAsia" w:ascii="宋体" w:hAnsi="宋体" w:cs="宋体"/>
          <w:snapToGrid w:val="0"/>
          <w:kern w:val="0"/>
          <w:sz w:val="24"/>
          <w:szCs w:val="160"/>
        </w:rPr>
        <w:instrText xml:space="preserve"> HYPERLINK \l _Toc31503 </w:instrText>
      </w:r>
      <w:r>
        <w:rPr>
          <w:rFonts w:hint="eastAsia" w:ascii="宋体" w:hAnsi="宋体" w:cs="宋体"/>
          <w:snapToGrid w:val="0"/>
          <w:kern w:val="0"/>
          <w:sz w:val="24"/>
          <w:szCs w:val="160"/>
        </w:rPr>
        <w:fldChar w:fldCharType="separate"/>
      </w:r>
      <w:r>
        <w:rPr>
          <w:rFonts w:hint="eastAsia"/>
          <w:sz w:val="24"/>
          <w:szCs w:val="24"/>
        </w:rPr>
        <w:t>第四部分 采购需求</w:t>
      </w:r>
      <w:r>
        <w:rPr>
          <w:sz w:val="24"/>
          <w:szCs w:val="32"/>
        </w:rPr>
        <w:tab/>
      </w:r>
      <w:r>
        <w:rPr>
          <w:sz w:val="24"/>
          <w:szCs w:val="32"/>
        </w:rPr>
        <w:fldChar w:fldCharType="begin"/>
      </w:r>
      <w:r>
        <w:rPr>
          <w:sz w:val="24"/>
          <w:szCs w:val="32"/>
        </w:rPr>
        <w:instrText xml:space="preserve"> PAGEREF _Toc31503 \h </w:instrText>
      </w:r>
      <w:r>
        <w:rPr>
          <w:sz w:val="24"/>
          <w:szCs w:val="32"/>
        </w:rPr>
        <w:fldChar w:fldCharType="separate"/>
      </w:r>
      <w:r>
        <w:rPr>
          <w:sz w:val="24"/>
          <w:szCs w:val="32"/>
        </w:rPr>
        <w:t>30</w:t>
      </w:r>
      <w:r>
        <w:rPr>
          <w:sz w:val="24"/>
          <w:szCs w:val="32"/>
        </w:rPr>
        <w:fldChar w:fldCharType="end"/>
      </w:r>
      <w:r>
        <w:rPr>
          <w:rFonts w:hint="eastAsia" w:ascii="宋体" w:hAnsi="宋体" w:cs="宋体"/>
          <w:snapToGrid w:val="0"/>
          <w:kern w:val="0"/>
          <w:sz w:val="24"/>
          <w:szCs w:val="160"/>
        </w:rPr>
        <w:fldChar w:fldCharType="end"/>
      </w:r>
    </w:p>
    <w:p>
      <w:pPr>
        <w:pStyle w:val="19"/>
        <w:tabs>
          <w:tab w:val="right" w:leader="dot" w:pos="8306"/>
        </w:tabs>
        <w:spacing w:line="360" w:lineRule="auto"/>
        <w:rPr>
          <w:sz w:val="24"/>
          <w:szCs w:val="32"/>
        </w:rPr>
      </w:pPr>
      <w:r>
        <w:rPr>
          <w:rFonts w:hint="eastAsia" w:ascii="宋体" w:hAnsi="宋体" w:cs="宋体"/>
          <w:snapToGrid w:val="0"/>
          <w:kern w:val="0"/>
          <w:sz w:val="24"/>
          <w:szCs w:val="160"/>
        </w:rPr>
        <w:fldChar w:fldCharType="begin"/>
      </w:r>
      <w:r>
        <w:rPr>
          <w:rFonts w:hint="eastAsia" w:ascii="宋体" w:hAnsi="宋体" w:cs="宋体"/>
          <w:snapToGrid w:val="0"/>
          <w:kern w:val="0"/>
          <w:sz w:val="24"/>
          <w:szCs w:val="160"/>
        </w:rPr>
        <w:instrText xml:space="preserve"> HYPERLINK \l _Toc25697 </w:instrText>
      </w:r>
      <w:r>
        <w:rPr>
          <w:rFonts w:hint="eastAsia" w:ascii="宋体" w:hAnsi="宋体" w:cs="宋体"/>
          <w:snapToGrid w:val="0"/>
          <w:kern w:val="0"/>
          <w:sz w:val="24"/>
          <w:szCs w:val="160"/>
        </w:rPr>
        <w:fldChar w:fldCharType="separate"/>
      </w:r>
      <w:r>
        <w:rPr>
          <w:rFonts w:hint="eastAsia" w:cs="宋体"/>
          <w:sz w:val="24"/>
          <w:szCs w:val="32"/>
        </w:rPr>
        <w:t>第五部分 采购合同</w:t>
      </w:r>
      <w:r>
        <w:rPr>
          <w:sz w:val="24"/>
          <w:szCs w:val="32"/>
        </w:rPr>
        <w:tab/>
      </w:r>
      <w:r>
        <w:rPr>
          <w:sz w:val="24"/>
          <w:szCs w:val="32"/>
        </w:rPr>
        <w:fldChar w:fldCharType="begin"/>
      </w:r>
      <w:r>
        <w:rPr>
          <w:sz w:val="24"/>
          <w:szCs w:val="32"/>
        </w:rPr>
        <w:instrText xml:space="preserve"> PAGEREF _Toc25697 \h </w:instrText>
      </w:r>
      <w:r>
        <w:rPr>
          <w:sz w:val="24"/>
          <w:szCs w:val="32"/>
        </w:rPr>
        <w:fldChar w:fldCharType="separate"/>
      </w:r>
      <w:r>
        <w:rPr>
          <w:sz w:val="24"/>
          <w:szCs w:val="32"/>
        </w:rPr>
        <w:t>59</w:t>
      </w:r>
      <w:r>
        <w:rPr>
          <w:sz w:val="24"/>
          <w:szCs w:val="32"/>
        </w:rPr>
        <w:fldChar w:fldCharType="end"/>
      </w:r>
      <w:r>
        <w:rPr>
          <w:rFonts w:hint="eastAsia" w:ascii="宋体" w:hAnsi="宋体" w:cs="宋体"/>
          <w:snapToGrid w:val="0"/>
          <w:kern w:val="0"/>
          <w:sz w:val="24"/>
          <w:szCs w:val="160"/>
        </w:rPr>
        <w:fldChar w:fldCharType="end"/>
      </w:r>
    </w:p>
    <w:p>
      <w:pPr>
        <w:pStyle w:val="19"/>
        <w:tabs>
          <w:tab w:val="right" w:leader="dot" w:pos="8306"/>
        </w:tabs>
        <w:spacing w:line="360" w:lineRule="auto"/>
      </w:pPr>
      <w:r>
        <w:rPr>
          <w:rFonts w:hint="eastAsia" w:ascii="宋体" w:hAnsi="宋体" w:cs="宋体"/>
          <w:snapToGrid w:val="0"/>
          <w:kern w:val="0"/>
          <w:sz w:val="24"/>
          <w:szCs w:val="160"/>
        </w:rPr>
        <w:fldChar w:fldCharType="begin"/>
      </w:r>
      <w:r>
        <w:rPr>
          <w:rFonts w:hint="eastAsia" w:ascii="宋体" w:hAnsi="宋体" w:cs="宋体"/>
          <w:snapToGrid w:val="0"/>
          <w:kern w:val="0"/>
          <w:sz w:val="24"/>
          <w:szCs w:val="160"/>
        </w:rPr>
        <w:instrText xml:space="preserve"> HYPERLINK \l _Toc12472 </w:instrText>
      </w:r>
      <w:r>
        <w:rPr>
          <w:rFonts w:hint="eastAsia" w:ascii="宋体" w:hAnsi="宋体" w:cs="宋体"/>
          <w:snapToGrid w:val="0"/>
          <w:kern w:val="0"/>
          <w:sz w:val="24"/>
          <w:szCs w:val="160"/>
        </w:rPr>
        <w:fldChar w:fldCharType="separate"/>
      </w:r>
      <w:r>
        <w:rPr>
          <w:rFonts w:hint="eastAsia"/>
          <w:sz w:val="24"/>
          <w:szCs w:val="24"/>
        </w:rPr>
        <w:t>第六部分 应提交的有关格式范例</w:t>
      </w:r>
      <w:r>
        <w:rPr>
          <w:sz w:val="24"/>
          <w:szCs w:val="32"/>
        </w:rPr>
        <w:tab/>
      </w:r>
      <w:r>
        <w:rPr>
          <w:sz w:val="24"/>
          <w:szCs w:val="32"/>
        </w:rPr>
        <w:fldChar w:fldCharType="begin"/>
      </w:r>
      <w:r>
        <w:rPr>
          <w:sz w:val="24"/>
          <w:szCs w:val="32"/>
        </w:rPr>
        <w:instrText xml:space="preserve"> PAGEREF _Toc12472 \h </w:instrText>
      </w:r>
      <w:r>
        <w:rPr>
          <w:sz w:val="24"/>
          <w:szCs w:val="32"/>
        </w:rPr>
        <w:fldChar w:fldCharType="separate"/>
      </w:r>
      <w:r>
        <w:rPr>
          <w:sz w:val="24"/>
          <w:szCs w:val="32"/>
        </w:rPr>
        <w:t>63</w:t>
      </w:r>
      <w:r>
        <w:rPr>
          <w:sz w:val="24"/>
          <w:szCs w:val="32"/>
        </w:rPr>
        <w:fldChar w:fldCharType="end"/>
      </w:r>
      <w:r>
        <w:rPr>
          <w:rFonts w:hint="eastAsia" w:ascii="宋体" w:hAnsi="宋体" w:cs="宋体"/>
          <w:snapToGrid w:val="0"/>
          <w:kern w:val="0"/>
          <w:sz w:val="24"/>
          <w:szCs w:val="160"/>
        </w:rPr>
        <w:fldChar w:fldCharType="end"/>
      </w:r>
    </w:p>
    <w:p>
      <w:pPr>
        <w:spacing w:line="360" w:lineRule="auto"/>
        <w:ind w:firstLine="480" w:firstLineChars="229"/>
        <w:rPr>
          <w:rFonts w:ascii="宋体" w:hAnsi="宋体" w:cs="宋体"/>
          <w:sz w:val="44"/>
          <w:szCs w:val="44"/>
        </w:rPr>
      </w:pPr>
      <w:r>
        <w:rPr>
          <w:rFonts w:hint="eastAsia" w:ascii="宋体" w:hAnsi="宋体" w:cs="宋体"/>
          <w:snapToGrid w:val="0"/>
          <w:kern w:val="0"/>
          <w:szCs w:val="96"/>
        </w:rPr>
        <w:fldChar w:fldCharType="end"/>
      </w:r>
    </w:p>
    <w:p>
      <w:pPr>
        <w:spacing w:line="360" w:lineRule="auto"/>
        <w:ind w:firstLine="549" w:firstLineChars="229"/>
        <w:rPr>
          <w:rFonts w:ascii="宋体" w:hAnsi="宋体" w:cs="宋体"/>
          <w:sz w:val="24"/>
        </w:rPr>
      </w:pPr>
    </w:p>
    <w:p>
      <w:pPr>
        <w:spacing w:line="360" w:lineRule="auto"/>
        <w:rPr>
          <w:rFonts w:ascii="宋体" w:hAnsi="宋体" w:cs="宋体"/>
          <w:sz w:val="24"/>
        </w:rPr>
      </w:pPr>
    </w:p>
    <w:bookmarkEnd w:id="2"/>
    <w:p>
      <w:pPr>
        <w:spacing w:line="360" w:lineRule="auto"/>
        <w:jc w:val="center"/>
        <w:outlineLvl w:val="0"/>
        <w:rPr>
          <w:rFonts w:ascii="宋体" w:hAnsi="宋体" w:cs="宋体"/>
          <w:b/>
          <w:sz w:val="36"/>
          <w:szCs w:val="20"/>
        </w:rPr>
        <w:sectPr>
          <w:footerReference r:id="rId5" w:type="default"/>
          <w:pgSz w:w="11906" w:h="16838"/>
          <w:pgMar w:top="1440" w:right="1800" w:bottom="1440" w:left="1800" w:header="851" w:footer="992" w:gutter="0"/>
          <w:pgNumType w:start="1"/>
          <w:cols w:space="720" w:num="1"/>
          <w:docGrid w:type="lines" w:linePitch="312" w:charSpace="0"/>
        </w:sectPr>
      </w:pPr>
      <w:bookmarkStart w:id="3" w:name="_Hlt74728647"/>
      <w:bookmarkEnd w:id="3"/>
      <w:bookmarkStart w:id="4" w:name="_Hlt74649545"/>
      <w:bookmarkEnd w:id="4"/>
      <w:bookmarkStart w:id="5" w:name="_Hlt74707423"/>
      <w:bookmarkEnd w:id="5"/>
      <w:bookmarkStart w:id="6" w:name="_Hlt74729822"/>
      <w:bookmarkEnd w:id="6"/>
      <w:bookmarkStart w:id="7" w:name="_Toc91899870"/>
      <w:bookmarkStart w:id="8" w:name="第二部分"/>
      <w:bookmarkStart w:id="9" w:name="_Toc91899871"/>
    </w:p>
    <w:p>
      <w:pPr>
        <w:spacing w:line="360" w:lineRule="auto"/>
        <w:jc w:val="center"/>
        <w:outlineLvl w:val="0"/>
        <w:rPr>
          <w:rFonts w:ascii="宋体" w:hAnsi="宋体" w:cs="宋体"/>
          <w:b/>
          <w:sz w:val="36"/>
          <w:szCs w:val="20"/>
        </w:rPr>
      </w:pPr>
      <w:bookmarkStart w:id="10" w:name="_Toc10509"/>
      <w:r>
        <w:rPr>
          <w:rFonts w:hint="eastAsia" w:ascii="宋体" w:hAnsi="宋体" w:cs="宋体"/>
          <w:b/>
          <w:sz w:val="36"/>
          <w:szCs w:val="20"/>
        </w:rPr>
        <w:t>第一部分 招标公告</w:t>
      </w:r>
      <w:bookmarkEnd w:id="10"/>
    </w:p>
    <w:p>
      <w:pPr>
        <w:adjustRightInd w:val="0"/>
        <w:spacing w:line="360" w:lineRule="auto"/>
        <w:jc w:val="center"/>
        <w:rPr>
          <w:rFonts w:ascii="宋体" w:hAnsi="宋体" w:cs="宋体"/>
          <w:sz w:val="28"/>
          <w:szCs w:val="28"/>
        </w:rPr>
      </w:pPr>
      <w:r>
        <w:rPr>
          <w:rFonts w:hint="eastAsia" w:ascii="宋体" w:hAnsi="宋体" w:cs="宋体"/>
          <w:sz w:val="28"/>
          <w:szCs w:val="28"/>
        </w:rPr>
        <w:t>浙江宇康工程管理咨询有限公司关于绍兴市上虞杭州湾工业园区投资发展有限公司杭州湾上虞经济技术开发区“工业互联网+危化安全生产”暨危化品“一件事”数字化集成协同系统的非政府采购招标公告</w:t>
      </w:r>
    </w:p>
    <w:p>
      <w:pPr>
        <w:adjustRightInd w:val="0"/>
        <w:spacing w:line="360" w:lineRule="auto"/>
        <w:jc w:val="center"/>
        <w:rPr>
          <w:rFonts w:ascii="宋体" w:hAnsi="宋体" w:cs="宋体"/>
          <w:color w:val="0000FF"/>
          <w:sz w:val="28"/>
          <w:szCs w:val="28"/>
        </w:rPr>
      </w:pPr>
      <w:r>
        <w:rPr>
          <w:rFonts w:hint="eastAsia" w:ascii="宋体" w:hAnsi="宋体" w:cs="宋体"/>
          <w:color w:val="0000FF"/>
          <w:sz w:val="28"/>
          <w:szCs w:val="28"/>
        </w:rPr>
        <w:t>公告日期：202</w:t>
      </w:r>
      <w:r>
        <w:rPr>
          <w:rFonts w:hint="eastAsia" w:ascii="宋体" w:hAnsi="宋体" w:cs="宋体"/>
          <w:color w:val="0000FF"/>
          <w:sz w:val="28"/>
          <w:szCs w:val="28"/>
          <w:lang w:val="en-US" w:eastAsia="zh-CN"/>
        </w:rPr>
        <w:t>3</w:t>
      </w:r>
      <w:r>
        <w:rPr>
          <w:rFonts w:hint="eastAsia" w:ascii="宋体" w:hAnsi="宋体" w:cs="宋体"/>
          <w:color w:val="0000FF"/>
          <w:sz w:val="28"/>
          <w:szCs w:val="28"/>
        </w:rPr>
        <w:t>年 月 日</w:t>
      </w:r>
    </w:p>
    <w:p>
      <w:pPr>
        <w:adjustRightInd w:val="0"/>
        <w:spacing w:line="360" w:lineRule="auto"/>
        <w:ind w:firstLine="480" w:firstLineChars="200"/>
        <w:rPr>
          <w:rFonts w:ascii="宋体" w:hAnsi="宋体" w:cs="宋体"/>
          <w:sz w:val="24"/>
        </w:rPr>
      </w:pPr>
      <w:r>
        <w:rPr>
          <w:rFonts w:hint="eastAsia" w:ascii="宋体" w:hAnsi="宋体" w:cs="宋体"/>
          <w:sz w:val="24"/>
        </w:rPr>
        <w:t>参照《上虞区区属国有企业货物和服务采购管理办法》等有关规定，</w:t>
      </w:r>
      <w:r>
        <w:rPr>
          <w:rFonts w:hint="eastAsia" w:ascii="宋体" w:hAnsi="宋体" w:cs="宋体"/>
          <w:sz w:val="24"/>
          <w:u w:val="single"/>
        </w:rPr>
        <w:t xml:space="preserve">浙江宇康工程管理咨询有限公司 </w:t>
      </w:r>
      <w:r>
        <w:rPr>
          <w:rFonts w:hint="eastAsia" w:ascii="宋体" w:hAnsi="宋体" w:cs="宋体"/>
          <w:sz w:val="24"/>
        </w:rPr>
        <w:t>受</w:t>
      </w:r>
      <w:r>
        <w:rPr>
          <w:rFonts w:hint="eastAsia" w:ascii="宋体" w:hAnsi="宋体" w:cs="宋体"/>
          <w:sz w:val="24"/>
          <w:u w:val="single"/>
        </w:rPr>
        <w:t>绍兴市上虞杭州湾工业园区投资发展有限公司</w:t>
      </w:r>
      <w:r>
        <w:rPr>
          <w:rFonts w:hint="eastAsia" w:ascii="宋体" w:hAnsi="宋体" w:cs="宋体"/>
          <w:sz w:val="24"/>
        </w:rPr>
        <w:t>委托，现就</w:t>
      </w:r>
      <w:r>
        <w:rPr>
          <w:rFonts w:hint="eastAsia" w:ascii="宋体" w:hAnsi="宋体" w:cs="宋体"/>
          <w:sz w:val="24"/>
          <w:u w:val="single"/>
        </w:rPr>
        <w:t>杭州湾上虞经济技术开发区“工业互联网+危化安全生产”暨危化品“一件事”数字化集成协同系统</w:t>
      </w:r>
      <w:r>
        <w:rPr>
          <w:rFonts w:hint="eastAsia" w:ascii="宋体" w:hAnsi="宋体" w:cs="宋体"/>
          <w:sz w:val="24"/>
        </w:rPr>
        <w:t>服务采购项目进行公开招标，欢迎国内合格的供应商前来投标。</w:t>
      </w:r>
    </w:p>
    <w:p>
      <w:pPr>
        <w:adjustRightInd w:val="0"/>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rPr>
        <w:t>一、招标项目编号：</w:t>
      </w:r>
      <w:r>
        <w:rPr>
          <w:rFonts w:hint="eastAsia" w:ascii="宋体" w:hAnsi="宋体" w:cs="宋体"/>
          <w:sz w:val="24"/>
          <w:u w:val="single"/>
          <w:lang w:eastAsia="zh-CN"/>
        </w:rPr>
        <w:t>YK2023016</w:t>
      </w:r>
    </w:p>
    <w:p>
      <w:pPr>
        <w:adjustRightInd w:val="0"/>
        <w:spacing w:line="360" w:lineRule="auto"/>
        <w:ind w:firstLine="480" w:firstLineChars="200"/>
        <w:rPr>
          <w:rFonts w:ascii="宋体" w:hAnsi="宋体" w:cs="宋体"/>
          <w:sz w:val="24"/>
        </w:rPr>
      </w:pPr>
      <w:r>
        <w:rPr>
          <w:rFonts w:hint="eastAsia" w:ascii="宋体" w:hAnsi="宋体" w:cs="宋体"/>
          <w:sz w:val="24"/>
        </w:rPr>
        <w:t>二、采购组织类型：</w:t>
      </w:r>
      <w:r>
        <w:rPr>
          <w:rFonts w:hint="eastAsia" w:ascii="宋体" w:hAnsi="宋体" w:cs="宋体"/>
          <w:sz w:val="24"/>
          <w:u w:val="single"/>
        </w:rPr>
        <w:t xml:space="preserve"> 国企采购 </w:t>
      </w:r>
    </w:p>
    <w:p>
      <w:pPr>
        <w:adjustRightInd w:val="0"/>
        <w:spacing w:line="360" w:lineRule="auto"/>
        <w:ind w:firstLine="480" w:firstLineChars="200"/>
        <w:rPr>
          <w:rFonts w:ascii="宋体" w:hAnsi="宋体" w:cs="宋体"/>
          <w:sz w:val="24"/>
        </w:rPr>
      </w:pPr>
      <w:r>
        <w:rPr>
          <w:rFonts w:hint="eastAsia" w:ascii="宋体" w:hAnsi="宋体" w:cs="宋体"/>
          <w:sz w:val="24"/>
        </w:rPr>
        <w:t>三、招标项目概况:</w:t>
      </w:r>
    </w:p>
    <w:tbl>
      <w:tblPr>
        <w:tblStyle w:val="23"/>
        <w:tblW w:w="9213"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450"/>
        <w:gridCol w:w="1949"/>
        <w:gridCol w:w="749"/>
        <w:gridCol w:w="811"/>
        <w:gridCol w:w="3300"/>
        <w:gridCol w:w="1230"/>
        <w:gridCol w:w="724"/>
      </w:tblGrid>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870" w:hRule="atLeast"/>
          <w:jc w:val="center"/>
        </w:trPr>
        <w:tc>
          <w:tcPr>
            <w:tcW w:w="450" w:type="dxa"/>
            <w:noWrap/>
            <w:vAlign w:val="center"/>
          </w:tcPr>
          <w:p>
            <w:pPr>
              <w:adjustRightInd w:val="0"/>
              <w:jc w:val="center"/>
              <w:rPr>
                <w:rFonts w:ascii="宋体" w:hAnsi="宋体" w:cs="宋体"/>
                <w:sz w:val="24"/>
              </w:rPr>
            </w:pPr>
            <w:r>
              <w:rPr>
                <w:rFonts w:hint="eastAsia" w:ascii="宋体" w:hAnsi="宋体" w:cs="宋体"/>
                <w:sz w:val="24"/>
              </w:rPr>
              <w:t>序号</w:t>
            </w:r>
          </w:p>
        </w:tc>
        <w:tc>
          <w:tcPr>
            <w:tcW w:w="1949" w:type="dxa"/>
            <w:noWrap/>
            <w:vAlign w:val="center"/>
          </w:tcPr>
          <w:p>
            <w:pPr>
              <w:adjustRightInd w:val="0"/>
              <w:jc w:val="center"/>
              <w:rPr>
                <w:rFonts w:ascii="宋体" w:hAnsi="宋体" w:cs="宋体"/>
                <w:sz w:val="24"/>
              </w:rPr>
            </w:pPr>
            <w:r>
              <w:rPr>
                <w:rFonts w:hint="eastAsia" w:ascii="宋体" w:hAnsi="宋体" w:cs="宋体"/>
                <w:sz w:val="24"/>
              </w:rPr>
              <w:t>项目名称</w:t>
            </w:r>
          </w:p>
        </w:tc>
        <w:tc>
          <w:tcPr>
            <w:tcW w:w="749" w:type="dxa"/>
            <w:noWrap/>
            <w:vAlign w:val="center"/>
          </w:tcPr>
          <w:p>
            <w:pPr>
              <w:adjustRightInd w:val="0"/>
              <w:jc w:val="center"/>
              <w:rPr>
                <w:rFonts w:ascii="宋体" w:hAnsi="宋体" w:cs="宋体"/>
                <w:sz w:val="24"/>
              </w:rPr>
            </w:pPr>
            <w:r>
              <w:rPr>
                <w:rFonts w:hint="eastAsia" w:ascii="宋体" w:hAnsi="宋体" w:cs="宋体"/>
                <w:sz w:val="24"/>
              </w:rPr>
              <w:t>数量</w:t>
            </w:r>
          </w:p>
        </w:tc>
        <w:tc>
          <w:tcPr>
            <w:tcW w:w="811" w:type="dxa"/>
            <w:noWrap/>
            <w:vAlign w:val="center"/>
          </w:tcPr>
          <w:p>
            <w:pPr>
              <w:adjustRightInd w:val="0"/>
              <w:jc w:val="center"/>
              <w:rPr>
                <w:rFonts w:ascii="宋体" w:hAnsi="宋体" w:cs="宋体"/>
                <w:sz w:val="24"/>
              </w:rPr>
            </w:pPr>
            <w:r>
              <w:rPr>
                <w:rFonts w:hint="eastAsia" w:ascii="宋体" w:hAnsi="宋体" w:cs="宋体"/>
                <w:sz w:val="24"/>
              </w:rPr>
              <w:t>单位</w:t>
            </w:r>
          </w:p>
        </w:tc>
        <w:tc>
          <w:tcPr>
            <w:tcW w:w="3300" w:type="dxa"/>
            <w:noWrap/>
            <w:vAlign w:val="center"/>
          </w:tcPr>
          <w:p>
            <w:pPr>
              <w:adjustRightInd w:val="0"/>
              <w:jc w:val="center"/>
              <w:rPr>
                <w:rFonts w:ascii="宋体" w:hAnsi="宋体" w:cs="宋体"/>
                <w:sz w:val="24"/>
              </w:rPr>
            </w:pPr>
            <w:r>
              <w:rPr>
                <w:rFonts w:hint="eastAsia" w:ascii="宋体" w:hAnsi="宋体" w:cs="宋体"/>
                <w:sz w:val="24"/>
              </w:rPr>
              <w:t>简要规格描述或标项基本概况介绍</w:t>
            </w:r>
          </w:p>
        </w:tc>
        <w:tc>
          <w:tcPr>
            <w:tcW w:w="1230" w:type="dxa"/>
            <w:noWrap/>
            <w:vAlign w:val="center"/>
          </w:tcPr>
          <w:p>
            <w:pPr>
              <w:adjustRightInd w:val="0"/>
              <w:jc w:val="center"/>
              <w:rPr>
                <w:rFonts w:ascii="宋体" w:hAnsi="宋体" w:cs="宋体"/>
                <w:color w:val="auto"/>
                <w:sz w:val="24"/>
              </w:rPr>
            </w:pPr>
            <w:r>
              <w:rPr>
                <w:rFonts w:hint="eastAsia" w:ascii="宋体" w:hAnsi="宋体" w:cs="宋体"/>
                <w:color w:val="auto"/>
                <w:sz w:val="24"/>
              </w:rPr>
              <w:t>最高限价</w:t>
            </w:r>
          </w:p>
          <w:p>
            <w:pPr>
              <w:adjustRightInd w:val="0"/>
              <w:jc w:val="center"/>
              <w:rPr>
                <w:rFonts w:ascii="宋体" w:hAnsi="宋体" w:cs="宋体"/>
                <w:color w:val="auto"/>
                <w:sz w:val="24"/>
              </w:rPr>
            </w:pPr>
            <w:r>
              <w:rPr>
                <w:rFonts w:hint="eastAsia" w:ascii="宋体" w:hAnsi="宋体" w:cs="宋体"/>
                <w:color w:val="auto"/>
                <w:sz w:val="24"/>
              </w:rPr>
              <w:t>(万元)</w:t>
            </w:r>
          </w:p>
        </w:tc>
        <w:tc>
          <w:tcPr>
            <w:tcW w:w="724" w:type="dxa"/>
            <w:noWrap/>
            <w:vAlign w:val="center"/>
          </w:tcPr>
          <w:p>
            <w:pPr>
              <w:adjustRightInd w:val="0"/>
              <w:jc w:val="center"/>
              <w:rPr>
                <w:rFonts w:ascii="宋体" w:hAnsi="宋体" w:cs="宋体"/>
                <w:sz w:val="24"/>
              </w:rPr>
            </w:pPr>
            <w:r>
              <w:rPr>
                <w:rFonts w:hint="eastAsia" w:ascii="宋体" w:hAnsi="宋体" w:cs="宋体"/>
                <w:sz w:val="24"/>
              </w:rPr>
              <w:t>备注</w:t>
            </w:r>
          </w:p>
        </w:tc>
      </w:tr>
      <w:tr>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2303" w:hRule="atLeast"/>
          <w:jc w:val="center"/>
        </w:trPr>
        <w:tc>
          <w:tcPr>
            <w:tcW w:w="450" w:type="dxa"/>
            <w:noWrap/>
            <w:vAlign w:val="center"/>
          </w:tcPr>
          <w:p>
            <w:pPr>
              <w:widowControl/>
              <w:spacing w:before="100" w:after="100"/>
              <w:jc w:val="center"/>
              <w:rPr>
                <w:rFonts w:ascii="宋体" w:hAnsi="宋体" w:cs="宋体"/>
                <w:sz w:val="24"/>
              </w:rPr>
            </w:pPr>
            <w:r>
              <w:rPr>
                <w:rFonts w:hint="eastAsia" w:ascii="宋体" w:hAnsi="宋体" w:cs="宋体"/>
                <w:sz w:val="24"/>
              </w:rPr>
              <w:t>1</w:t>
            </w:r>
          </w:p>
        </w:tc>
        <w:tc>
          <w:tcPr>
            <w:tcW w:w="1949" w:type="dxa"/>
            <w:noWrap/>
            <w:vAlign w:val="center"/>
          </w:tcPr>
          <w:p>
            <w:pPr>
              <w:widowControl/>
              <w:jc w:val="center"/>
              <w:rPr>
                <w:rFonts w:ascii="宋体" w:hAnsi="宋体" w:cs="宋体"/>
                <w:sz w:val="24"/>
              </w:rPr>
            </w:pPr>
            <w:r>
              <w:rPr>
                <w:rFonts w:hint="eastAsia" w:ascii="宋体" w:hAnsi="宋体" w:cs="宋体"/>
                <w:sz w:val="24"/>
              </w:rPr>
              <w:t>杭州湾上虞经济技术开发区“工业互联网+危化安全生产”暨危化品“一件事”数字化集成协同系统</w:t>
            </w:r>
          </w:p>
        </w:tc>
        <w:tc>
          <w:tcPr>
            <w:tcW w:w="749" w:type="dxa"/>
            <w:noWrap/>
            <w:vAlign w:val="center"/>
          </w:tcPr>
          <w:p>
            <w:pPr>
              <w:widowControl/>
              <w:spacing w:before="100" w:after="100"/>
              <w:jc w:val="center"/>
              <w:rPr>
                <w:rFonts w:ascii="宋体" w:hAnsi="宋体" w:cs="宋体"/>
                <w:sz w:val="24"/>
              </w:rPr>
            </w:pPr>
            <w:r>
              <w:rPr>
                <w:rFonts w:hint="eastAsia" w:ascii="宋体" w:hAnsi="宋体" w:cs="宋体"/>
                <w:sz w:val="24"/>
              </w:rPr>
              <w:t>1</w:t>
            </w:r>
          </w:p>
        </w:tc>
        <w:tc>
          <w:tcPr>
            <w:tcW w:w="811" w:type="dxa"/>
            <w:noWrap/>
            <w:vAlign w:val="center"/>
          </w:tcPr>
          <w:p>
            <w:pPr>
              <w:widowControl/>
              <w:spacing w:before="100" w:after="100"/>
              <w:jc w:val="center"/>
              <w:rPr>
                <w:rFonts w:ascii="宋体" w:hAnsi="宋体" w:cs="宋体"/>
                <w:sz w:val="24"/>
              </w:rPr>
            </w:pPr>
            <w:r>
              <w:rPr>
                <w:rFonts w:hint="eastAsia" w:ascii="宋体" w:hAnsi="宋体" w:cs="宋体"/>
                <w:sz w:val="24"/>
              </w:rPr>
              <w:t>项</w:t>
            </w:r>
          </w:p>
        </w:tc>
        <w:tc>
          <w:tcPr>
            <w:tcW w:w="3300" w:type="dxa"/>
            <w:noWrap/>
            <w:vAlign w:val="center"/>
          </w:tcPr>
          <w:p>
            <w:pPr>
              <w:widowControl/>
              <w:spacing w:before="100" w:after="100"/>
              <w:jc w:val="center"/>
              <w:rPr>
                <w:rFonts w:ascii="宋体" w:hAnsi="宋体" w:cs="宋体"/>
                <w:sz w:val="24"/>
              </w:rPr>
            </w:pPr>
            <w:r>
              <w:rPr>
                <w:rFonts w:hint="eastAsia" w:ascii="宋体" w:hAnsi="宋体" w:cs="宋体"/>
                <w:sz w:val="24"/>
              </w:rPr>
              <w:t>根据《“工业互联网+危化安全生产”试点建设方案》的建设要求，进一步迭代深化危化品安全环保智慧监管平台，满足实现涉危化部门上下贯通、多跨协同、一体运行的需要，拟建立一套先进的管理体系，真正推动线上线下一体化联合办公，打造一个落地实用的综合管理服务平台，以数字化手段赋能危化品全生命周期监管一件事，推动危险化学品安全风险管控数字化转型、智能化升级，建成危险化学品“一件事”数字化集成协同系统。</w:t>
            </w:r>
          </w:p>
        </w:tc>
        <w:tc>
          <w:tcPr>
            <w:tcW w:w="1230" w:type="dxa"/>
            <w:noWrap/>
            <w:vAlign w:val="center"/>
          </w:tcPr>
          <w:p>
            <w:pPr>
              <w:widowControl/>
              <w:spacing w:before="100" w:after="100"/>
              <w:jc w:val="center"/>
              <w:rPr>
                <w:rFonts w:ascii="宋体" w:hAnsi="宋体" w:cs="宋体"/>
                <w:color w:val="auto"/>
                <w:sz w:val="24"/>
              </w:rPr>
            </w:pPr>
            <w:r>
              <w:rPr>
                <w:rFonts w:hint="eastAsia" w:ascii="宋体" w:hAnsi="宋体" w:cs="宋体"/>
                <w:color w:val="auto"/>
                <w:sz w:val="24"/>
              </w:rPr>
              <w:t>2130.518</w:t>
            </w:r>
          </w:p>
        </w:tc>
        <w:tc>
          <w:tcPr>
            <w:tcW w:w="724" w:type="dxa"/>
            <w:noWrap/>
            <w:vAlign w:val="center"/>
          </w:tcPr>
          <w:p>
            <w:pPr>
              <w:adjustRightInd w:val="0"/>
              <w:jc w:val="center"/>
              <w:rPr>
                <w:rFonts w:ascii="宋体" w:hAnsi="宋体" w:cs="宋体"/>
                <w:sz w:val="24"/>
              </w:rPr>
            </w:pPr>
            <w:r>
              <w:rPr>
                <w:rFonts w:hint="eastAsia" w:ascii="宋体" w:hAnsi="宋体" w:cs="宋体"/>
                <w:sz w:val="24"/>
              </w:rPr>
              <w:t>/</w:t>
            </w:r>
          </w:p>
        </w:tc>
      </w:tr>
    </w:tbl>
    <w:p>
      <w:pPr>
        <w:adjustRightInd w:val="0"/>
        <w:spacing w:line="360" w:lineRule="auto"/>
        <w:ind w:firstLine="480" w:firstLineChars="200"/>
        <w:rPr>
          <w:rFonts w:ascii="宋体" w:hAnsi="宋体" w:cs="宋体"/>
          <w:sz w:val="24"/>
        </w:rPr>
      </w:pPr>
      <w:r>
        <w:rPr>
          <w:rFonts w:hint="eastAsia" w:ascii="宋体" w:hAnsi="宋体" w:cs="宋体"/>
          <w:sz w:val="24"/>
        </w:rPr>
        <w:t>四、投标供应商资格要求:</w:t>
      </w:r>
    </w:p>
    <w:p>
      <w:pPr>
        <w:pStyle w:val="21"/>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1、符合《虞国资委〔2021〕42 号》第十八条</w:t>
      </w:r>
    </w:p>
    <w:p>
      <w:pPr>
        <w:pStyle w:val="21"/>
        <w:shd w:val="clear" w:color="auto" w:fill="FFFFFF"/>
        <w:spacing w:before="0" w:beforeAutospacing="0" w:after="0" w:afterAutospacing="0" w:line="360" w:lineRule="auto"/>
        <w:ind w:firstLine="480" w:firstLineChars="200"/>
      </w:pPr>
      <w:r>
        <w:rPr>
          <w:rFonts w:hint="eastAsia"/>
          <w:shd w:val="clear" w:color="auto" w:fill="FFFFFF"/>
        </w:rPr>
        <w:t>（1）具有独立承担民事责任能力；</w:t>
      </w:r>
    </w:p>
    <w:p>
      <w:pPr>
        <w:pStyle w:val="21"/>
        <w:shd w:val="clear" w:color="auto" w:fill="FFFFFF"/>
        <w:spacing w:before="0" w:beforeAutospacing="0" w:after="0" w:afterAutospacing="0" w:line="360" w:lineRule="auto"/>
        <w:ind w:firstLine="480" w:firstLineChars="200"/>
      </w:pPr>
      <w:r>
        <w:rPr>
          <w:rFonts w:hint="eastAsia"/>
          <w:shd w:val="clear" w:color="auto" w:fill="FFFFFF"/>
        </w:rPr>
        <w:t>（2）具有良好的商业信誉；</w:t>
      </w:r>
    </w:p>
    <w:p>
      <w:pPr>
        <w:pStyle w:val="21"/>
        <w:shd w:val="clear" w:color="auto" w:fill="FFFFFF"/>
        <w:spacing w:before="0" w:beforeAutospacing="0" w:after="0" w:afterAutospacing="0" w:line="360" w:lineRule="auto"/>
        <w:ind w:firstLine="480" w:firstLineChars="200"/>
      </w:pPr>
      <w:r>
        <w:rPr>
          <w:rFonts w:hint="eastAsia"/>
          <w:shd w:val="clear" w:color="auto" w:fill="FFFFFF"/>
        </w:rPr>
        <w:t>（3）具有履行合同所必需的设备和专业技术、售后保障等能力；</w:t>
      </w:r>
    </w:p>
    <w:p>
      <w:pPr>
        <w:pStyle w:val="21"/>
        <w:shd w:val="clear" w:color="auto" w:fill="FFFFFF"/>
        <w:spacing w:before="0" w:beforeAutospacing="0" w:after="0" w:afterAutospacing="0" w:line="360" w:lineRule="auto"/>
        <w:ind w:firstLine="480" w:firstLineChars="200"/>
      </w:pPr>
      <w:r>
        <w:rPr>
          <w:rFonts w:hint="eastAsia"/>
          <w:shd w:val="clear" w:color="auto" w:fill="FFFFFF"/>
        </w:rPr>
        <w:t>（4）有依法缴纳税收和社会保障资金的良好记录；</w:t>
      </w:r>
    </w:p>
    <w:p>
      <w:pPr>
        <w:pStyle w:val="21"/>
        <w:shd w:val="clear" w:color="auto" w:fill="FFFFFF"/>
        <w:spacing w:before="0" w:beforeAutospacing="0" w:after="0" w:afterAutospacing="0" w:line="360" w:lineRule="auto"/>
        <w:ind w:firstLine="480" w:firstLineChars="200"/>
      </w:pPr>
      <w:r>
        <w:rPr>
          <w:rFonts w:hint="eastAsia"/>
          <w:shd w:val="clear" w:color="auto" w:fill="FFFFFF"/>
        </w:rPr>
        <w:t>（5）参加采购活动前三年内，没有重大违法记录、严重失信行为和行贿记录；</w:t>
      </w:r>
    </w:p>
    <w:p>
      <w:pPr>
        <w:pStyle w:val="21"/>
        <w:shd w:val="clear" w:color="auto" w:fill="FFFFFF"/>
        <w:spacing w:before="0" w:beforeAutospacing="0" w:after="0" w:afterAutospacing="0" w:line="360" w:lineRule="auto"/>
        <w:ind w:firstLine="480" w:firstLineChars="200"/>
        <w:rPr>
          <w:shd w:val="clear" w:color="auto" w:fill="FFFFFF"/>
        </w:rPr>
      </w:pPr>
      <w:r>
        <w:rPr>
          <w:rFonts w:hint="eastAsia"/>
          <w:shd w:val="clear" w:color="auto" w:fill="FFFFFF"/>
        </w:rPr>
        <w:t>（6）法律、行政法规规定的其他条件；</w:t>
      </w:r>
    </w:p>
    <w:p>
      <w:pPr>
        <w:adjustRightInd w:val="0"/>
        <w:spacing w:line="360" w:lineRule="auto"/>
        <w:ind w:left="420" w:leftChars="200"/>
        <w:rPr>
          <w:rFonts w:ascii="宋体" w:hAnsi="宋体" w:cs="宋体"/>
          <w:sz w:val="24"/>
        </w:rPr>
      </w:pPr>
      <w:r>
        <w:rPr>
          <w:rFonts w:hint="eastAsia" w:ascii="宋体" w:hAnsi="宋体" w:cs="宋体"/>
          <w:sz w:val="24"/>
        </w:rPr>
        <w:t>2.不允许联合体投标；</w:t>
      </w:r>
    </w:p>
    <w:p>
      <w:pPr>
        <w:adjustRightInd w:val="0"/>
        <w:spacing w:line="360" w:lineRule="auto"/>
        <w:ind w:left="420" w:leftChars="200"/>
        <w:rPr>
          <w:rFonts w:ascii="宋体" w:hAnsi="宋体" w:cs="宋体"/>
          <w:sz w:val="24"/>
        </w:rPr>
      </w:pPr>
      <w:r>
        <w:rPr>
          <w:rFonts w:hint="eastAsia" w:ascii="宋体" w:hAnsi="宋体" w:cs="宋体"/>
          <w:sz w:val="24"/>
        </w:rPr>
        <w:t>3.本次招标采用资格后审的审查方式，由采购人负责审查。</w:t>
      </w:r>
    </w:p>
    <w:p>
      <w:pPr>
        <w:adjustRightInd w:val="0"/>
        <w:spacing w:line="360" w:lineRule="auto"/>
        <w:ind w:left="420" w:leftChars="200"/>
        <w:rPr>
          <w:rFonts w:ascii="宋体" w:hAnsi="宋体" w:cs="宋体"/>
          <w:sz w:val="24"/>
        </w:rPr>
      </w:pPr>
      <w:r>
        <w:rPr>
          <w:rFonts w:hint="eastAsia" w:ascii="宋体" w:hAnsi="宋体" w:cs="宋体"/>
          <w:sz w:val="24"/>
        </w:rPr>
        <w:t>五、投标获取采购文件</w:t>
      </w:r>
    </w:p>
    <w:p>
      <w:pPr>
        <w:numPr>
          <w:ilvl w:val="0"/>
          <w:numId w:val="1"/>
        </w:numPr>
        <w:adjustRightInd w:val="0"/>
        <w:spacing w:line="360" w:lineRule="auto"/>
        <w:ind w:firstLine="480" w:firstLineChars="200"/>
        <w:rPr>
          <w:rFonts w:ascii="宋体" w:hAnsi="宋体" w:cs="宋体"/>
          <w:sz w:val="24"/>
        </w:rPr>
      </w:pPr>
      <w:bookmarkStart w:id="11" w:name="报名开始时间1"/>
      <w:r>
        <w:rPr>
          <w:rFonts w:hint="eastAsia" w:ascii="宋体" w:hAnsi="宋体" w:cs="宋体"/>
          <w:sz w:val="24"/>
        </w:rPr>
        <w:t>获取采购文件时间:</w:t>
      </w:r>
      <w:bookmarkEnd w:id="11"/>
      <w:r>
        <w:rPr>
          <w:rFonts w:hint="eastAsia" w:ascii="宋体" w:hAnsi="宋体" w:cs="宋体"/>
          <w:color w:val="0000FF"/>
          <w:sz w:val="24"/>
        </w:rPr>
        <w:t>2023年 月 日上午9:30之前获取。</w:t>
      </w:r>
    </w:p>
    <w:p>
      <w:pPr>
        <w:numPr>
          <w:ilvl w:val="0"/>
          <w:numId w:val="1"/>
        </w:numPr>
        <w:adjustRightInd w:val="0"/>
        <w:spacing w:line="360" w:lineRule="auto"/>
        <w:ind w:firstLine="480" w:firstLineChars="200"/>
        <w:rPr>
          <w:rFonts w:ascii="宋体" w:hAnsi="宋体" w:cs="宋体"/>
          <w:sz w:val="24"/>
        </w:rPr>
      </w:pPr>
      <w:r>
        <w:rPr>
          <w:rFonts w:hint="eastAsia" w:ascii="宋体" w:hAnsi="宋体" w:cs="宋体"/>
          <w:sz w:val="24"/>
        </w:rPr>
        <w:t>获取采购文件方式：供应商登陆政企云平台https://www.zhengcaiyun.cn/，在线申请获取采购文件（进入“项目采购”应用，在获取采购文件菜单中选择项目，申请获取采购文件）。</w:t>
      </w:r>
    </w:p>
    <w:p>
      <w:pPr>
        <w:numPr>
          <w:ilvl w:val="0"/>
          <w:numId w:val="1"/>
        </w:numPr>
        <w:adjustRightInd w:val="0"/>
        <w:spacing w:line="360" w:lineRule="auto"/>
        <w:ind w:firstLine="480" w:firstLineChars="200"/>
        <w:rPr>
          <w:rFonts w:ascii="宋体" w:hAnsi="宋体" w:cs="宋体"/>
          <w:sz w:val="24"/>
        </w:rPr>
      </w:pPr>
      <w:r>
        <w:rPr>
          <w:rFonts w:hint="eastAsia" w:ascii="宋体" w:hAnsi="宋体" w:cs="宋体"/>
          <w:sz w:val="24"/>
        </w:rPr>
        <w:t>提示：</w:t>
      </w:r>
    </w:p>
    <w:p>
      <w:pPr>
        <w:numPr>
          <w:ilvl w:val="0"/>
          <w:numId w:val="2"/>
        </w:numPr>
        <w:adjustRightInd w:val="0"/>
        <w:spacing w:line="360" w:lineRule="auto"/>
        <w:ind w:firstLine="480" w:firstLineChars="200"/>
        <w:rPr>
          <w:rFonts w:ascii="宋体" w:hAnsi="宋体" w:cs="宋体"/>
          <w:sz w:val="24"/>
        </w:rPr>
      </w:pPr>
      <w:r>
        <w:rPr>
          <w:rFonts w:hint="eastAsia" w:ascii="宋体" w:hAnsi="宋体" w:cs="宋体"/>
          <w:sz w:val="24"/>
        </w:rPr>
        <w:t>将拒绝接受未获取采购文件供应商的投标文件。</w:t>
      </w:r>
    </w:p>
    <w:p>
      <w:pPr>
        <w:numPr>
          <w:ilvl w:val="0"/>
          <w:numId w:val="2"/>
        </w:numPr>
        <w:adjustRightInd w:val="0"/>
        <w:spacing w:line="360" w:lineRule="auto"/>
        <w:ind w:firstLine="480" w:firstLineChars="200"/>
        <w:rPr>
          <w:rFonts w:ascii="宋体" w:hAnsi="宋体" w:cs="宋体"/>
          <w:sz w:val="24"/>
        </w:rPr>
      </w:pPr>
      <w:r>
        <w:rPr>
          <w:rFonts w:hint="eastAsia" w:ascii="宋体" w:hAnsi="宋体" w:cs="宋体"/>
          <w:sz w:val="24"/>
        </w:rPr>
        <w:t>招标文件及更正补充公告请自行登录浙江政府采购网或绍兴市上虞区公共资源交易中心网站，在采购公告页面中下载。</w:t>
      </w:r>
    </w:p>
    <w:p>
      <w:pPr>
        <w:adjustRightInd w:val="0"/>
        <w:spacing w:line="360" w:lineRule="auto"/>
        <w:ind w:firstLine="480" w:firstLineChars="200"/>
        <w:rPr>
          <w:rFonts w:ascii="宋体" w:hAnsi="宋体" w:cs="宋体"/>
          <w:sz w:val="24"/>
        </w:rPr>
      </w:pPr>
      <w:r>
        <w:rPr>
          <w:rFonts w:hint="eastAsia" w:ascii="宋体" w:hAnsi="宋体" w:cs="宋体"/>
          <w:sz w:val="24"/>
        </w:rPr>
        <w:t>六、投标与开标注意事项：</w:t>
      </w:r>
    </w:p>
    <w:p>
      <w:pPr>
        <w:numPr>
          <w:ilvl w:val="0"/>
          <w:numId w:val="3"/>
        </w:numPr>
        <w:adjustRightInd w:val="0"/>
        <w:spacing w:line="360" w:lineRule="auto"/>
        <w:ind w:firstLine="480" w:firstLineChars="200"/>
        <w:rPr>
          <w:rFonts w:ascii="宋体" w:hAnsi="宋体" w:cs="宋体"/>
          <w:sz w:val="24"/>
        </w:rPr>
      </w:pPr>
      <w:r>
        <w:rPr>
          <w:rFonts w:hint="eastAsia" w:ascii="宋体" w:hAnsi="宋体" w:cs="宋体"/>
          <w:sz w:val="24"/>
        </w:rPr>
        <w:t>本项目实行</w:t>
      </w:r>
      <w:r>
        <w:rPr>
          <w:rFonts w:hint="eastAsia" w:ascii="宋体" w:hAnsi="宋体" w:cs="宋体"/>
          <w:b/>
          <w:bCs/>
          <w:sz w:val="24"/>
        </w:rPr>
        <w:t>网上投标</w:t>
      </w:r>
      <w:r>
        <w:rPr>
          <w:rFonts w:hint="eastAsia" w:ascii="宋体" w:hAnsi="宋体" w:cs="宋体"/>
          <w:sz w:val="24"/>
        </w:rPr>
        <w:t>，采用电子投标文件，若供应商参与投标，自行承担投标一切费用。</w:t>
      </w:r>
    </w:p>
    <w:p>
      <w:pPr>
        <w:numPr>
          <w:ilvl w:val="0"/>
          <w:numId w:val="3"/>
        </w:numPr>
        <w:wordWrap w:val="0"/>
        <w:adjustRightInd w:val="0"/>
        <w:spacing w:line="360" w:lineRule="auto"/>
        <w:ind w:firstLine="480" w:firstLineChars="200"/>
        <w:rPr>
          <w:rFonts w:ascii="宋体" w:hAnsi="宋体" w:cs="宋体"/>
          <w:sz w:val="24"/>
        </w:rPr>
      </w:pPr>
      <w:r>
        <w:rPr>
          <w:rFonts w:hint="eastAsia" w:ascii="宋体" w:hAnsi="宋体" w:cs="宋体"/>
          <w:sz w:val="24"/>
        </w:rPr>
        <w:t>标前准备：各供应商应在开标前应确保成为浙江省政府采购网正式注册入库供应商，并完成CA数字证书办理。因未注册入库、未办理CA数字证书等原因造成无法投标或投标失败等后果由供应商自行承担。</w:t>
      </w:r>
    </w:p>
    <w:p>
      <w:pPr>
        <w:autoSpaceDE w:val="0"/>
        <w:autoSpaceDN w:val="0"/>
        <w:spacing w:line="360" w:lineRule="auto"/>
        <w:ind w:firstLine="480" w:firstLineChars="200"/>
        <w:textAlignment w:val="bottom"/>
        <w:rPr>
          <w:rFonts w:ascii="宋体" w:hAnsi="宋体" w:cs="宋体"/>
          <w:sz w:val="24"/>
          <w:szCs w:val="21"/>
        </w:rPr>
      </w:pPr>
      <w:r>
        <w:rPr>
          <w:rFonts w:hint="eastAsia" w:ascii="宋体" w:hAnsi="宋体" w:cs="宋体"/>
          <w:sz w:val="24"/>
          <w:szCs w:val="21"/>
        </w:rPr>
        <w:t>供应商将政企云电子交易客户端下载、安装完成后，可通过账号密码或CA登录客户端进行投标文件制作。在使用政企云投标客户端时，建议使用WIN7及以上操作系统。</w:t>
      </w:r>
    </w:p>
    <w:p>
      <w:pPr>
        <w:autoSpaceDE w:val="0"/>
        <w:autoSpaceDN w:val="0"/>
        <w:spacing w:line="360" w:lineRule="auto"/>
        <w:ind w:firstLine="480" w:firstLineChars="200"/>
        <w:textAlignment w:val="bottom"/>
        <w:rPr>
          <w:rFonts w:ascii="宋体" w:hAnsi="宋体" w:cs="宋体"/>
          <w:sz w:val="24"/>
          <w:szCs w:val="21"/>
        </w:rPr>
      </w:pPr>
      <w:r>
        <w:rPr>
          <w:rFonts w:hint="eastAsia" w:ascii="宋体" w:hAnsi="宋体" w:cs="宋体"/>
          <w:sz w:val="24"/>
          <w:szCs w:val="21"/>
        </w:rPr>
        <w:t>注：供应商先要申领CA，取得CA后需要在政企云平台进行绑定，CA相关操作可参考《CA管理学习专题》。完成CA数字证书办理在资料齐全的情况下预计7个工作日左右，建议供应商获取招标文件后立即办理。</w:t>
      </w:r>
    </w:p>
    <w:p>
      <w:pPr>
        <w:adjustRightInd w:val="0"/>
        <w:spacing w:line="360" w:lineRule="auto"/>
        <w:ind w:left="420" w:leftChars="200"/>
        <w:rPr>
          <w:rFonts w:ascii="宋体" w:hAnsi="宋体" w:cs="宋体"/>
          <w:sz w:val="24"/>
          <w:szCs w:val="21"/>
        </w:rPr>
      </w:pPr>
      <w:r>
        <w:rPr>
          <w:rFonts w:hint="eastAsia" w:ascii="宋体" w:hAnsi="宋体" w:cs="宋体"/>
          <w:sz w:val="24"/>
          <w:szCs w:val="21"/>
        </w:rPr>
        <w:t>《CA管理学习专题》：</w:t>
      </w:r>
    </w:p>
    <w:p>
      <w:pPr>
        <w:adjustRightInd w:val="0"/>
        <w:spacing w:line="360" w:lineRule="auto"/>
        <w:ind w:left="420" w:leftChars="200"/>
        <w:rPr>
          <w:rFonts w:ascii="宋体" w:hAnsi="宋体" w:cs="宋体"/>
          <w:sz w:val="24"/>
          <w:szCs w:val="21"/>
        </w:rPr>
      </w:pPr>
      <w:r>
        <w:rPr>
          <w:rFonts w:hint="eastAsia" w:ascii="宋体" w:hAnsi="宋体" w:cs="宋体"/>
          <w:sz w:val="24"/>
          <w:szCs w:val="21"/>
        </w:rPr>
        <w:t>https://edu.zcygov.cn/luban/ca?utm=web-government-front.380aac0a.0.0.fc2b6aa0b6e211ebbdb0dd007730dd44</w:t>
      </w:r>
    </w:p>
    <w:p>
      <w:pPr>
        <w:adjustRightInd w:val="0"/>
        <w:spacing w:line="360" w:lineRule="auto"/>
        <w:ind w:left="420" w:leftChars="200"/>
        <w:rPr>
          <w:rFonts w:ascii="宋体" w:hAnsi="宋体" w:cs="宋体"/>
          <w:sz w:val="24"/>
          <w:szCs w:val="21"/>
        </w:rPr>
      </w:pPr>
      <w:r>
        <w:rPr>
          <w:rFonts w:hint="eastAsia" w:ascii="宋体" w:hAnsi="宋体" w:cs="宋体"/>
          <w:sz w:val="24"/>
          <w:szCs w:val="21"/>
        </w:rPr>
        <w:t>《CA驱动和申领流程》:</w:t>
      </w:r>
    </w:p>
    <w:p>
      <w:pPr>
        <w:adjustRightInd w:val="0"/>
        <w:spacing w:line="360" w:lineRule="auto"/>
        <w:ind w:left="420" w:leftChars="200"/>
        <w:rPr>
          <w:rFonts w:ascii="宋体" w:hAnsi="宋体" w:cs="宋体"/>
          <w:sz w:val="24"/>
        </w:rPr>
      </w:pPr>
      <w:r>
        <w:fldChar w:fldCharType="begin"/>
      </w:r>
      <w:r>
        <w:instrText xml:space="preserve"> HYPERLINK "http://zfcg.czt.zj.gov.cn/bidClientTemplate/2019-05-27/12945.html" </w:instrText>
      </w:r>
      <w:r>
        <w:fldChar w:fldCharType="separate"/>
      </w:r>
      <w:r>
        <w:rPr>
          <w:rFonts w:hint="eastAsia" w:ascii="宋体" w:hAnsi="宋体" w:cs="宋体"/>
          <w:sz w:val="24"/>
          <w:szCs w:val="21"/>
        </w:rPr>
        <w:t>http://zfcg.czt.zj.gov.cn/bidClientTemplate/2019-05-27/12945.html</w:t>
      </w:r>
      <w:r>
        <w:rPr>
          <w:rFonts w:hint="eastAsia" w:ascii="宋体" w:hAnsi="宋体" w:cs="宋体"/>
          <w:sz w:val="24"/>
          <w:szCs w:val="21"/>
        </w:rPr>
        <w:fldChar w:fldCharType="end"/>
      </w:r>
    </w:p>
    <w:p>
      <w:pPr>
        <w:numPr>
          <w:ilvl w:val="0"/>
          <w:numId w:val="3"/>
        </w:numPr>
        <w:adjustRightInd w:val="0"/>
        <w:spacing w:line="360" w:lineRule="auto"/>
        <w:ind w:firstLine="480" w:firstLineChars="200"/>
        <w:rPr>
          <w:rFonts w:ascii="宋体" w:hAnsi="宋体" w:cs="宋体"/>
          <w:sz w:val="24"/>
        </w:rPr>
      </w:pPr>
      <w:r>
        <w:rPr>
          <w:rFonts w:hint="eastAsia" w:ascii="宋体" w:hAnsi="宋体" w:cs="宋体"/>
          <w:sz w:val="24"/>
        </w:rPr>
        <w:t>投标文件制作：</w:t>
      </w:r>
    </w:p>
    <w:p>
      <w:pPr>
        <w:numPr>
          <w:ilvl w:val="0"/>
          <w:numId w:val="4"/>
        </w:numPr>
        <w:adjustRightInd w:val="0"/>
        <w:spacing w:line="360" w:lineRule="auto"/>
        <w:ind w:firstLine="480" w:firstLineChars="200"/>
        <w:rPr>
          <w:rFonts w:ascii="宋体" w:hAnsi="宋体" w:cs="宋体"/>
          <w:sz w:val="24"/>
        </w:rPr>
      </w:pPr>
      <w:r>
        <w:rPr>
          <w:rFonts w:hint="eastAsia" w:ascii="宋体" w:hAnsi="宋体" w:cs="宋体"/>
          <w:sz w:val="24"/>
        </w:rPr>
        <w:t>应按照本项目招标文件和政企云平台的要求编制、加密并递交投标文件。供应商在使用系统进行投标的过程中遇到涉及平台使用的任何问题，可致电政企云平台技术支持热线咨询，联系方式：400-881-7190。</w:t>
      </w:r>
    </w:p>
    <w:p>
      <w:pPr>
        <w:numPr>
          <w:ilvl w:val="0"/>
          <w:numId w:val="4"/>
        </w:numPr>
        <w:wordWrap w:val="0"/>
        <w:adjustRightInd w:val="0"/>
        <w:spacing w:line="360" w:lineRule="auto"/>
        <w:ind w:firstLine="480" w:firstLineChars="200"/>
        <w:rPr>
          <w:rFonts w:ascii="宋体" w:hAnsi="宋体" w:cs="宋体"/>
          <w:sz w:val="24"/>
        </w:rPr>
      </w:pPr>
      <w:r>
        <w:rPr>
          <w:rFonts w:hint="eastAsia" w:ascii="宋体" w:hAnsi="宋体" w:cs="宋体"/>
          <w:sz w:val="24"/>
        </w:rPr>
        <w:t>投标人通过“政企云”平台电子投标工具制作投标文件。</w:t>
      </w:r>
    </w:p>
    <w:p>
      <w:pPr>
        <w:adjustRightInd w:val="0"/>
        <w:spacing w:line="360" w:lineRule="auto"/>
        <w:ind w:firstLine="480" w:firstLineChars="200"/>
        <w:jc w:val="left"/>
        <w:rPr>
          <w:rFonts w:ascii="宋体" w:hAnsi="宋体" w:cs="宋体"/>
          <w:sz w:val="24"/>
        </w:rPr>
      </w:pPr>
      <w:r>
        <w:rPr>
          <w:rFonts w:hint="eastAsia" w:ascii="宋体" w:hAnsi="宋体" w:cs="宋体"/>
          <w:sz w:val="24"/>
        </w:rPr>
        <w:t>《电子投标工具》：</w:t>
      </w:r>
    </w:p>
    <w:p>
      <w:pPr>
        <w:adjustRightInd w:val="0"/>
        <w:spacing w:line="360" w:lineRule="auto"/>
        <w:ind w:firstLine="420" w:firstLineChars="200"/>
        <w:jc w:val="left"/>
        <w:rPr>
          <w:rFonts w:ascii="宋体" w:hAnsi="宋体" w:cs="宋体"/>
          <w:sz w:val="24"/>
        </w:rPr>
      </w:pPr>
      <w:r>
        <w:fldChar w:fldCharType="begin"/>
      </w:r>
      <w:r>
        <w:instrText xml:space="preserve"> HYPERLINK "http://zfcg.czt.zj.gov.cn/bidClientTemplate/2019-09-24/12975.html" </w:instrText>
      </w:r>
      <w:r>
        <w:fldChar w:fldCharType="separate"/>
      </w:r>
      <w:r>
        <w:rPr>
          <w:rFonts w:hint="eastAsia" w:ascii="宋体" w:hAnsi="宋体" w:cs="宋体"/>
          <w:sz w:val="24"/>
        </w:rPr>
        <w:t>http://zfcg.czt.zj.gov.cn/bidClientTemplate/2019-09-24/12975.html</w:t>
      </w:r>
      <w:r>
        <w:rPr>
          <w:rFonts w:hint="eastAsia" w:ascii="宋体" w:hAnsi="宋体" w:cs="宋体"/>
          <w:sz w:val="24"/>
        </w:rPr>
        <w:fldChar w:fldCharType="end"/>
      </w:r>
    </w:p>
    <w:p>
      <w:pPr>
        <w:adjustRightInd w:val="0"/>
        <w:spacing w:line="360" w:lineRule="auto"/>
        <w:ind w:firstLine="480" w:firstLineChars="200"/>
        <w:jc w:val="left"/>
        <w:rPr>
          <w:rFonts w:ascii="宋体" w:hAnsi="宋体" w:cs="宋体"/>
          <w:sz w:val="24"/>
        </w:rPr>
      </w:pPr>
      <w:r>
        <w:rPr>
          <w:rFonts w:hint="eastAsia" w:ascii="宋体" w:hAnsi="宋体" w:cs="宋体"/>
          <w:sz w:val="24"/>
        </w:rPr>
        <w:t>《供应商-国企采购项目电子交易操作指南》：(需登录账号后查看)</w:t>
      </w:r>
    </w:p>
    <w:p>
      <w:pPr>
        <w:adjustRightInd w:val="0"/>
        <w:spacing w:line="360" w:lineRule="auto"/>
        <w:ind w:firstLine="420" w:firstLineChars="200"/>
        <w:jc w:val="left"/>
        <w:rPr>
          <w:rFonts w:ascii="宋体" w:hAnsi="宋体" w:cs="宋体"/>
          <w:sz w:val="24"/>
        </w:rPr>
      </w:pPr>
      <w:r>
        <w:fldChar w:fldCharType="begin"/>
      </w:r>
      <w:r>
        <w:instrText xml:space="preserve"> HYPERLINK "https://service.zcygov.cn/" \l "/knowledges/tree?tag=AG1DtGwBFdiHxlNdhY0r" </w:instrText>
      </w:r>
      <w:r>
        <w:fldChar w:fldCharType="separate"/>
      </w:r>
      <w:r>
        <w:rPr>
          <w:rFonts w:hint="eastAsia" w:ascii="宋体" w:hAnsi="宋体" w:cs="宋体"/>
          <w:sz w:val="24"/>
        </w:rPr>
        <w:t>https://service.zcygov.cn/#/knowledges/tree?tag=AG1DtGwBFdiHxlNdhY0r</w:t>
      </w:r>
      <w:r>
        <w:rPr>
          <w:rFonts w:hint="eastAsia" w:ascii="宋体" w:hAnsi="宋体" w:cs="宋体"/>
          <w:sz w:val="24"/>
        </w:rPr>
        <w:fldChar w:fldCharType="end"/>
      </w:r>
    </w:p>
    <w:p>
      <w:pPr>
        <w:adjustRightInd w:val="0"/>
        <w:spacing w:line="360" w:lineRule="auto"/>
        <w:ind w:firstLine="480" w:firstLineChars="200"/>
        <w:rPr>
          <w:rFonts w:ascii="宋体" w:hAnsi="宋体" w:cs="宋体"/>
          <w:sz w:val="24"/>
        </w:rPr>
      </w:pPr>
      <w:r>
        <w:rPr>
          <w:rFonts w:hint="eastAsia" w:ascii="宋体" w:hAnsi="宋体" w:cs="宋体"/>
          <w:sz w:val="24"/>
        </w:rPr>
        <w:t>4.供应商在法定质疑期内应一次性提出针对同一采购程序环节的质疑。否则质疑将不予受理。</w:t>
      </w:r>
    </w:p>
    <w:p>
      <w:pPr>
        <w:adjustRightInd w:val="0"/>
        <w:spacing w:line="360" w:lineRule="auto"/>
        <w:ind w:firstLine="480" w:firstLineChars="200"/>
        <w:rPr>
          <w:rFonts w:ascii="宋体" w:hAnsi="宋体" w:cs="宋体"/>
          <w:sz w:val="24"/>
        </w:rPr>
      </w:pPr>
      <w:r>
        <w:rPr>
          <w:rFonts w:hint="eastAsia" w:ascii="宋体" w:hAnsi="宋体" w:cs="宋体"/>
          <w:sz w:val="24"/>
        </w:rPr>
        <w:t>5.投标人可指派授权代表递交备份文件，授权代表递交备份文件需携带法定代表人授权书原件，于投标截止时间前到达开标地点递交。</w:t>
      </w:r>
    </w:p>
    <w:p>
      <w:pPr>
        <w:adjustRightInd w:val="0"/>
        <w:spacing w:line="360" w:lineRule="auto"/>
        <w:ind w:left="420" w:leftChars="200"/>
        <w:rPr>
          <w:rFonts w:ascii="宋体" w:hAnsi="宋体" w:cs="宋体"/>
          <w:sz w:val="24"/>
        </w:rPr>
      </w:pPr>
      <w:r>
        <w:rPr>
          <w:rFonts w:hint="eastAsia" w:ascii="宋体" w:hAnsi="宋体" w:cs="宋体"/>
          <w:sz w:val="24"/>
        </w:rPr>
        <w:t>6.特别提醒</w:t>
      </w:r>
    </w:p>
    <w:p>
      <w:pPr>
        <w:numPr>
          <w:ilvl w:val="0"/>
          <w:numId w:val="5"/>
        </w:numPr>
        <w:wordWrap w:val="0"/>
        <w:adjustRightInd w:val="0"/>
        <w:spacing w:line="360" w:lineRule="auto"/>
        <w:ind w:firstLine="480" w:firstLineChars="200"/>
        <w:rPr>
          <w:rFonts w:ascii="宋体" w:hAnsi="宋体" w:cs="宋体"/>
          <w:sz w:val="24"/>
        </w:rPr>
      </w:pPr>
      <w:r>
        <w:rPr>
          <w:rFonts w:hint="eastAsia" w:ascii="宋体" w:hAnsi="宋体" w:cs="宋体"/>
          <w:sz w:val="24"/>
        </w:rPr>
        <w:t>单位负责人为同一人或者存在直接控股、管理关系的不同供应商，不得参加同一合同项下的采购活动。</w:t>
      </w:r>
    </w:p>
    <w:p>
      <w:pPr>
        <w:numPr>
          <w:ilvl w:val="0"/>
          <w:numId w:val="5"/>
        </w:numPr>
        <w:adjustRightInd w:val="0"/>
        <w:spacing w:line="360" w:lineRule="auto"/>
        <w:ind w:firstLine="480" w:firstLineChars="200"/>
        <w:jc w:val="left"/>
        <w:rPr>
          <w:rFonts w:ascii="宋体" w:hAnsi="宋体" w:cs="宋体"/>
          <w:sz w:val="24"/>
        </w:rPr>
      </w:pPr>
      <w:r>
        <w:rPr>
          <w:rFonts w:hint="eastAsia" w:ascii="宋体" w:hAnsi="宋体" w:cs="宋体"/>
          <w:sz w:val="24"/>
        </w:rPr>
        <w:t xml:space="preserve"> 除单一来源采购项目外，为采购项目提供整体设计、规范编制或者项目管理、监理、检测等服务的供应商，不得再参加该采购项目的其他采购活动。</w:t>
      </w:r>
    </w:p>
    <w:p>
      <w:pPr>
        <w:adjustRightInd w:val="0"/>
        <w:spacing w:line="360" w:lineRule="auto"/>
        <w:ind w:firstLine="482" w:firstLineChars="200"/>
        <w:jc w:val="left"/>
        <w:rPr>
          <w:rFonts w:ascii="宋体" w:hAnsi="宋体" w:cs="宋体"/>
          <w:sz w:val="24"/>
        </w:rPr>
      </w:pPr>
      <w:r>
        <w:rPr>
          <w:rFonts w:hint="eastAsia" w:ascii="宋体" w:hAnsi="宋体" w:cs="宋体"/>
          <w:b/>
          <w:sz w:val="24"/>
        </w:rPr>
        <w:t>七、投标截止时间及要求：</w:t>
      </w:r>
      <w:r>
        <w:rPr>
          <w:rFonts w:hint="eastAsia" w:ascii="宋体" w:hAnsi="宋体" w:cs="宋体"/>
          <w:color w:val="0000FF"/>
          <w:sz w:val="24"/>
          <w:u w:val="single"/>
        </w:rPr>
        <w:t xml:space="preserve"> 2023 </w:t>
      </w:r>
      <w:r>
        <w:rPr>
          <w:rFonts w:hint="eastAsia" w:ascii="宋体" w:hAnsi="宋体" w:cs="宋体"/>
          <w:color w:val="0000FF"/>
          <w:sz w:val="24"/>
        </w:rPr>
        <w:t>年</w:t>
      </w:r>
      <w:r>
        <w:rPr>
          <w:rFonts w:hint="eastAsia" w:ascii="宋体" w:hAnsi="宋体" w:cs="宋体"/>
          <w:color w:val="0000FF"/>
          <w:sz w:val="24"/>
          <w:u w:val="single"/>
        </w:rPr>
        <w:t xml:space="preserve">  </w:t>
      </w:r>
      <w:r>
        <w:rPr>
          <w:rFonts w:hint="eastAsia" w:ascii="宋体" w:hAnsi="宋体" w:cs="宋体"/>
          <w:color w:val="0000FF"/>
          <w:sz w:val="24"/>
        </w:rPr>
        <w:t>月</w:t>
      </w:r>
      <w:r>
        <w:rPr>
          <w:rFonts w:hint="eastAsia" w:ascii="宋体" w:hAnsi="宋体" w:cs="宋体"/>
          <w:color w:val="0000FF"/>
          <w:sz w:val="24"/>
          <w:u w:val="single"/>
        </w:rPr>
        <w:t xml:space="preserve">  </w:t>
      </w:r>
      <w:r>
        <w:rPr>
          <w:rFonts w:hint="eastAsia" w:ascii="宋体" w:hAnsi="宋体" w:cs="宋体"/>
          <w:color w:val="0000FF"/>
          <w:sz w:val="24"/>
        </w:rPr>
        <w:t>日 上 午</w:t>
      </w:r>
      <w:r>
        <w:rPr>
          <w:rFonts w:hint="eastAsia" w:ascii="宋体" w:hAnsi="宋体" w:cs="宋体"/>
          <w:sz w:val="24"/>
          <w:u w:val="single"/>
        </w:rPr>
        <w:t xml:space="preserve"> 09 </w:t>
      </w:r>
      <w:r>
        <w:rPr>
          <w:rFonts w:hint="eastAsia" w:ascii="宋体" w:hAnsi="宋体" w:cs="宋体"/>
          <w:sz w:val="24"/>
        </w:rPr>
        <w:t>时</w:t>
      </w:r>
      <w:r>
        <w:rPr>
          <w:rFonts w:hint="eastAsia" w:ascii="宋体" w:hAnsi="宋体" w:cs="宋体"/>
          <w:sz w:val="24"/>
          <w:u w:val="single"/>
        </w:rPr>
        <w:t xml:space="preserve"> 30 </w:t>
      </w:r>
      <w:r>
        <w:rPr>
          <w:rFonts w:hint="eastAsia" w:ascii="宋体" w:hAnsi="宋体" w:cs="宋体"/>
          <w:sz w:val="24"/>
        </w:rPr>
        <w:t>分整</w:t>
      </w:r>
      <w:r>
        <w:rPr>
          <w:rFonts w:hint="eastAsia" w:ascii="宋体" w:hAnsi="宋体" w:cs="宋体"/>
          <w:bCs/>
          <w:kern w:val="0"/>
          <w:sz w:val="24"/>
        </w:rPr>
        <w:t>之前将电子投标文件上传到“政企云”平台。</w:t>
      </w:r>
    </w:p>
    <w:p>
      <w:pPr>
        <w:adjustRightInd w:val="0"/>
        <w:spacing w:line="360" w:lineRule="auto"/>
        <w:ind w:firstLine="482" w:firstLineChars="200"/>
        <w:jc w:val="left"/>
        <w:rPr>
          <w:rFonts w:ascii="宋体" w:hAnsi="宋体" w:cs="宋体"/>
          <w:sz w:val="24"/>
        </w:rPr>
      </w:pPr>
      <w:r>
        <w:rPr>
          <w:rFonts w:hint="eastAsia" w:ascii="宋体" w:hAnsi="宋体" w:cs="宋体"/>
          <w:b/>
          <w:sz w:val="24"/>
        </w:rPr>
        <w:t>八、开标时间及地点：</w:t>
      </w:r>
      <w:r>
        <w:rPr>
          <w:rFonts w:hint="eastAsia" w:ascii="宋体" w:hAnsi="宋体" w:cs="宋体"/>
          <w:color w:val="0000FF"/>
          <w:sz w:val="24"/>
          <w:u w:val="single"/>
        </w:rPr>
        <w:t xml:space="preserve"> 2023 </w:t>
      </w:r>
      <w:r>
        <w:rPr>
          <w:rFonts w:hint="eastAsia" w:ascii="宋体" w:hAnsi="宋体" w:cs="宋体"/>
          <w:color w:val="0000FF"/>
          <w:sz w:val="24"/>
        </w:rPr>
        <w:t>年</w:t>
      </w:r>
      <w:r>
        <w:rPr>
          <w:rFonts w:hint="eastAsia" w:ascii="宋体" w:hAnsi="宋体" w:cs="宋体"/>
          <w:color w:val="0000FF"/>
          <w:sz w:val="24"/>
          <w:u w:val="single"/>
        </w:rPr>
        <w:t xml:space="preserve">  </w:t>
      </w:r>
      <w:r>
        <w:rPr>
          <w:rFonts w:hint="eastAsia" w:ascii="宋体" w:hAnsi="宋体" w:cs="宋体"/>
          <w:color w:val="0000FF"/>
          <w:sz w:val="24"/>
        </w:rPr>
        <w:t>月</w:t>
      </w:r>
      <w:r>
        <w:rPr>
          <w:rFonts w:hint="eastAsia" w:ascii="宋体" w:hAnsi="宋体" w:cs="宋体"/>
          <w:color w:val="0000FF"/>
          <w:sz w:val="24"/>
          <w:u w:val="single"/>
        </w:rPr>
        <w:t xml:space="preserve">  </w:t>
      </w:r>
      <w:r>
        <w:rPr>
          <w:rFonts w:hint="eastAsia" w:ascii="宋体" w:hAnsi="宋体" w:cs="宋体"/>
          <w:color w:val="0000FF"/>
          <w:sz w:val="24"/>
        </w:rPr>
        <w:t>日 上 午</w:t>
      </w:r>
      <w:r>
        <w:rPr>
          <w:rFonts w:hint="eastAsia" w:ascii="宋体" w:hAnsi="宋体" w:cs="宋体"/>
          <w:sz w:val="24"/>
          <w:u w:val="single"/>
        </w:rPr>
        <w:t xml:space="preserve"> 09 </w:t>
      </w:r>
      <w:r>
        <w:rPr>
          <w:rFonts w:hint="eastAsia" w:ascii="宋体" w:hAnsi="宋体" w:cs="宋体"/>
          <w:sz w:val="24"/>
        </w:rPr>
        <w:t>时</w:t>
      </w:r>
      <w:r>
        <w:rPr>
          <w:rFonts w:hint="eastAsia" w:ascii="宋体" w:hAnsi="宋体" w:cs="宋体"/>
          <w:sz w:val="24"/>
          <w:u w:val="single"/>
        </w:rPr>
        <w:t xml:space="preserve"> 30 </w:t>
      </w:r>
      <w:r>
        <w:rPr>
          <w:rFonts w:hint="eastAsia" w:ascii="宋体" w:hAnsi="宋体" w:cs="宋体"/>
          <w:sz w:val="24"/>
        </w:rPr>
        <w:t>分</w:t>
      </w:r>
      <w:bookmarkStart w:id="12" w:name="B30_开标地点"/>
      <w:r>
        <w:rPr>
          <w:rFonts w:hint="eastAsia" w:ascii="宋体" w:hAnsi="宋体" w:cs="宋体"/>
          <w:sz w:val="24"/>
        </w:rPr>
        <w:t>整在</w:t>
      </w:r>
      <w:r>
        <w:rPr>
          <w:rFonts w:hint="eastAsia" w:ascii="宋体" w:hAnsi="宋体" w:cs="宋体"/>
          <w:color w:val="0000FF"/>
          <w:sz w:val="24"/>
        </w:rPr>
        <w:t>绍兴市上虞区公共资源交易中心三楼   开标室</w:t>
      </w:r>
      <w:r>
        <w:rPr>
          <w:rFonts w:hint="eastAsia" w:ascii="宋体" w:hAnsi="宋体" w:cs="宋体"/>
          <w:sz w:val="24"/>
        </w:rPr>
        <w:t>开标。</w:t>
      </w:r>
      <w:bookmarkEnd w:id="12"/>
    </w:p>
    <w:p>
      <w:pPr>
        <w:adjustRightInd w:val="0"/>
        <w:spacing w:line="360" w:lineRule="auto"/>
        <w:ind w:firstLine="480" w:firstLineChars="200"/>
        <w:rPr>
          <w:rFonts w:ascii="宋体" w:hAnsi="宋体" w:cs="宋体"/>
          <w:sz w:val="24"/>
        </w:rPr>
      </w:pPr>
      <w:r>
        <w:rPr>
          <w:rFonts w:hint="eastAsia" w:ascii="宋体" w:hAnsi="宋体" w:cs="宋体"/>
          <w:sz w:val="24"/>
        </w:rPr>
        <w:t>开标时间后30分钟内</w:t>
      </w:r>
      <w:r>
        <w:rPr>
          <w:rFonts w:hint="eastAsia" w:ascii="宋体" w:hAnsi="宋体" w:cs="宋体"/>
          <w:color w:val="0000FF"/>
          <w:sz w:val="24"/>
        </w:rPr>
        <w:t>（2023年 月 日 10 : 00 前）</w:t>
      </w:r>
      <w:r>
        <w:rPr>
          <w:rFonts w:hint="eastAsia" w:ascii="宋体" w:hAnsi="宋体" w:cs="宋体"/>
          <w:sz w:val="24"/>
        </w:rPr>
        <w:t>供应商可以登录“政企云”平台，用“项目采购-开标评标”功能进行解密投标文件。若供应商在规定</w:t>
      </w:r>
      <w:r>
        <w:rPr>
          <w:rFonts w:hint="eastAsia" w:hAnsi="宋体" w:cs="宋体"/>
          <w:sz w:val="24"/>
        </w:rPr>
        <w:t>时间内</w:t>
      </w:r>
      <w:r>
        <w:rPr>
          <w:rFonts w:hint="eastAsia" w:hAnsi="宋体" w:cs="宋体"/>
          <w:color w:val="0000FF"/>
          <w:sz w:val="24"/>
        </w:rPr>
        <w:t>（2023年 月 日 10 : 00 前）</w:t>
      </w:r>
      <w:r>
        <w:rPr>
          <w:rFonts w:hint="eastAsia" w:hAnsi="宋体" w:cs="宋体"/>
          <w:sz w:val="24"/>
        </w:rPr>
        <w:t>解密</w:t>
      </w:r>
      <w:r>
        <w:rPr>
          <w:rFonts w:hint="eastAsia" w:ascii="宋体" w:hAnsi="宋体" w:cs="宋体"/>
          <w:sz w:val="24"/>
        </w:rPr>
        <w:t>失败，则由采购代理机构工作人员上传投标人提供的备份文件。备份文件</w:t>
      </w:r>
      <w:r>
        <w:rPr>
          <w:rFonts w:hint="eastAsia" w:hAnsi="宋体" w:cs="宋体"/>
          <w:sz w:val="24"/>
        </w:rPr>
        <w:t>（后缀名为</w:t>
      </w:r>
      <w:r>
        <w:rPr>
          <w:rFonts w:hint="eastAsia" w:ascii="宋体" w:hAnsi="宋体" w:cs="宋体"/>
          <w:sz w:val="24"/>
        </w:rPr>
        <w:t>.bfbs</w:t>
      </w:r>
      <w:r>
        <w:rPr>
          <w:rFonts w:hint="eastAsia" w:hAnsi="宋体" w:cs="宋体"/>
          <w:sz w:val="24"/>
        </w:rPr>
        <w:t>）</w:t>
      </w:r>
      <w:r>
        <w:rPr>
          <w:rFonts w:hint="eastAsia" w:ascii="宋体" w:hAnsi="宋体" w:cs="宋体"/>
          <w:sz w:val="24"/>
        </w:rPr>
        <w:t>须存储在U盘中，与上传的电子投标文件一致，用信封进行密封并盖章</w:t>
      </w:r>
      <w:r>
        <w:rPr>
          <w:rFonts w:hint="eastAsia" w:hAnsi="宋体" w:cs="宋体"/>
          <w:sz w:val="24"/>
        </w:rPr>
        <w:t>，由授权代表在投标截止时间前递交至开标地点。</w:t>
      </w:r>
      <w:r>
        <w:rPr>
          <w:rFonts w:hint="eastAsia" w:ascii="宋体" w:hAnsi="宋体" w:cs="宋体"/>
          <w:sz w:val="24"/>
        </w:rPr>
        <w:t>若电子投标文件正常解锁，则U盘退还给供应商；若解锁失败，则由采购代理机构将U盘中的备份文件上传，该U盘将由采购代理机构保存。</w:t>
      </w:r>
    </w:p>
    <w:p>
      <w:pPr>
        <w:adjustRightInd w:val="0"/>
        <w:spacing w:line="360" w:lineRule="auto"/>
        <w:ind w:firstLine="480" w:firstLineChars="200"/>
        <w:rPr>
          <w:rFonts w:ascii="宋体" w:hAnsi="宋体" w:cs="宋体"/>
          <w:bCs/>
          <w:kern w:val="0"/>
          <w:sz w:val="24"/>
        </w:rPr>
      </w:pPr>
      <w:r>
        <w:rPr>
          <w:rFonts w:hint="eastAsia" w:ascii="宋体" w:hAnsi="宋体" w:cs="宋体"/>
          <w:sz w:val="24"/>
        </w:rPr>
        <w:t>本次开标（不）提供现场视频。</w:t>
      </w:r>
    </w:p>
    <w:p>
      <w:pPr>
        <w:adjustRightInd w:val="0"/>
        <w:spacing w:line="360" w:lineRule="auto"/>
        <w:ind w:firstLine="482" w:firstLineChars="200"/>
        <w:rPr>
          <w:rFonts w:ascii="宋体" w:hAnsi="宋体" w:cs="宋体"/>
          <w:b/>
          <w:kern w:val="0"/>
          <w:sz w:val="24"/>
        </w:rPr>
      </w:pPr>
      <w:r>
        <w:rPr>
          <w:rFonts w:hint="eastAsia" w:ascii="宋体" w:hAnsi="宋体" w:cs="宋体"/>
          <w:b/>
          <w:bCs/>
          <w:sz w:val="24"/>
        </w:rPr>
        <w:t>九、投标保证金：</w:t>
      </w:r>
      <w:r>
        <w:rPr>
          <w:rFonts w:hint="eastAsia" w:ascii="宋体" w:hAnsi="宋体" w:cs="宋体"/>
          <w:b/>
          <w:kern w:val="0"/>
          <w:sz w:val="24"/>
          <w:u w:val="single"/>
        </w:rPr>
        <w:t>本项目不设置投标保证金</w:t>
      </w:r>
      <w:r>
        <w:rPr>
          <w:rFonts w:hint="eastAsia" w:ascii="宋体" w:hAnsi="宋体" w:cs="宋体"/>
          <w:b/>
          <w:kern w:val="0"/>
          <w:sz w:val="24"/>
        </w:rPr>
        <w:t>。</w:t>
      </w:r>
    </w:p>
    <w:p>
      <w:pPr>
        <w:adjustRightInd w:val="0"/>
        <w:spacing w:line="360" w:lineRule="auto"/>
        <w:ind w:firstLine="480" w:firstLineChars="200"/>
        <w:rPr>
          <w:rFonts w:ascii="宋体" w:hAnsi="宋体" w:cs="宋体"/>
          <w:sz w:val="24"/>
        </w:rPr>
      </w:pPr>
      <w:r>
        <w:rPr>
          <w:rFonts w:hint="eastAsia" w:ascii="宋体" w:hAnsi="宋体" w:cs="宋体"/>
          <w:sz w:val="24"/>
        </w:rPr>
        <w:t>十、公告期限：5个工作日</w:t>
      </w:r>
    </w:p>
    <w:p>
      <w:pPr>
        <w:adjustRightInd w:val="0"/>
        <w:spacing w:line="360" w:lineRule="auto"/>
        <w:ind w:firstLine="480" w:firstLineChars="200"/>
        <w:rPr>
          <w:rFonts w:ascii="宋体" w:hAnsi="宋体" w:cs="宋体"/>
          <w:sz w:val="24"/>
        </w:rPr>
      </w:pPr>
      <w:r>
        <w:rPr>
          <w:rFonts w:hint="eastAsia" w:ascii="宋体" w:hAnsi="宋体" w:cs="宋体"/>
          <w:sz w:val="24"/>
        </w:rPr>
        <w:t>十一、联系方式：</w:t>
      </w:r>
    </w:p>
    <w:p>
      <w:pPr>
        <w:adjustRightInd w:val="0"/>
        <w:spacing w:line="360" w:lineRule="auto"/>
        <w:ind w:firstLine="480" w:firstLineChars="200"/>
        <w:rPr>
          <w:rFonts w:ascii="宋体" w:hAnsi="宋体" w:cs="宋体"/>
          <w:sz w:val="24"/>
        </w:rPr>
      </w:pPr>
      <w:r>
        <w:rPr>
          <w:rFonts w:hint="eastAsia" w:ascii="宋体" w:hAnsi="宋体" w:cs="宋体"/>
          <w:sz w:val="24"/>
        </w:rPr>
        <w:t>1.采购代理机构名称：浙江宇康工程管理咨询有限公司</w:t>
      </w:r>
    </w:p>
    <w:p>
      <w:pPr>
        <w:adjustRightInd w:val="0"/>
        <w:spacing w:line="360" w:lineRule="auto"/>
        <w:ind w:firstLine="480" w:firstLineChars="200"/>
        <w:rPr>
          <w:rFonts w:ascii="宋体" w:hAnsi="宋体" w:cs="宋体"/>
          <w:sz w:val="24"/>
        </w:rPr>
      </w:pPr>
      <w:r>
        <w:rPr>
          <w:rFonts w:hint="eastAsia" w:ascii="宋体" w:hAnsi="宋体" w:cs="宋体"/>
          <w:sz w:val="24"/>
        </w:rPr>
        <w:t>联系人：阮雨晴</w:t>
      </w:r>
    </w:p>
    <w:p>
      <w:pPr>
        <w:adjustRightInd w:val="0"/>
        <w:spacing w:line="360" w:lineRule="auto"/>
        <w:ind w:firstLine="480" w:firstLineChars="200"/>
        <w:rPr>
          <w:rFonts w:ascii="宋体" w:hAnsi="宋体" w:cs="宋体"/>
          <w:sz w:val="24"/>
        </w:rPr>
      </w:pPr>
      <w:r>
        <w:rPr>
          <w:rFonts w:hint="eastAsia" w:ascii="宋体" w:hAnsi="宋体" w:cs="宋体"/>
          <w:sz w:val="24"/>
        </w:rPr>
        <w:t>联系电话：18758328374</w:t>
      </w:r>
    </w:p>
    <w:p>
      <w:pPr>
        <w:adjustRightInd w:val="0"/>
        <w:spacing w:line="360" w:lineRule="auto"/>
        <w:ind w:firstLine="480" w:firstLineChars="200"/>
        <w:rPr>
          <w:rFonts w:ascii="宋体" w:hAnsi="宋体" w:cs="宋体"/>
          <w:sz w:val="24"/>
        </w:rPr>
      </w:pPr>
      <w:r>
        <w:rPr>
          <w:rFonts w:hint="eastAsia" w:ascii="宋体" w:hAnsi="宋体" w:cs="宋体"/>
          <w:sz w:val="24"/>
        </w:rPr>
        <w:t>地址：绍兴市上虞区百官街道江东北路588号百官广场30楼</w:t>
      </w:r>
    </w:p>
    <w:p>
      <w:pPr>
        <w:adjustRightInd w:val="0"/>
        <w:spacing w:line="360" w:lineRule="auto"/>
        <w:ind w:firstLine="480" w:firstLineChars="200"/>
        <w:rPr>
          <w:rFonts w:ascii="宋体" w:hAnsi="宋体" w:cs="宋体"/>
          <w:sz w:val="24"/>
        </w:rPr>
      </w:pPr>
      <w:r>
        <w:rPr>
          <w:rFonts w:hint="eastAsia" w:ascii="宋体" w:hAnsi="宋体" w:cs="宋体"/>
          <w:sz w:val="24"/>
        </w:rPr>
        <w:t>2.采购人名称：绍兴市上虞杭州湾工业园区投资发展有限公司</w:t>
      </w:r>
    </w:p>
    <w:p>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lang w:val="en-US" w:eastAsia="zh-CN"/>
        </w:rPr>
        <w:t>孙</w:t>
      </w:r>
      <w:r>
        <w:rPr>
          <w:rFonts w:hint="eastAsia" w:ascii="宋体" w:hAnsi="宋体" w:cs="宋体"/>
          <w:color w:val="auto"/>
          <w:sz w:val="24"/>
        </w:rPr>
        <w:t xml:space="preserve">先生            </w:t>
      </w:r>
    </w:p>
    <w:p>
      <w:pPr>
        <w:adjustRightInd w:val="0"/>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联系电话：0575-8</w:t>
      </w:r>
      <w:r>
        <w:rPr>
          <w:rFonts w:hint="eastAsia" w:ascii="宋体" w:hAnsi="宋体" w:cs="宋体"/>
          <w:color w:val="auto"/>
          <w:sz w:val="24"/>
          <w:lang w:val="en-US" w:eastAsia="zh-CN"/>
        </w:rPr>
        <w:t>2797780</w:t>
      </w:r>
    </w:p>
    <w:p>
      <w:pPr>
        <w:adjustRightInd w:val="0"/>
        <w:spacing w:line="360" w:lineRule="auto"/>
        <w:ind w:firstLine="480" w:firstLineChars="200"/>
        <w:rPr>
          <w:rFonts w:ascii="宋体" w:hAnsi="宋体" w:cs="宋体"/>
          <w:sz w:val="24"/>
        </w:rPr>
      </w:pPr>
      <w:r>
        <w:rPr>
          <w:rFonts w:hint="eastAsia" w:ascii="宋体" w:hAnsi="宋体" w:cs="宋体"/>
          <w:sz w:val="24"/>
        </w:rPr>
        <w:t>地址：绍兴市杭州湾上虞经济技术开发区康阳大道88号</w:t>
      </w:r>
    </w:p>
    <w:p>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3、采购主管部门：绍兴市上虞区杭州湾综合管理办公室 </w:t>
      </w:r>
    </w:p>
    <w:p>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lang w:val="en-US" w:eastAsia="zh-CN"/>
        </w:rPr>
        <w:t>杨</w:t>
      </w:r>
      <w:r>
        <w:rPr>
          <w:rFonts w:hint="eastAsia" w:ascii="宋体" w:hAnsi="宋体" w:cs="宋体"/>
          <w:color w:val="auto"/>
          <w:sz w:val="24"/>
        </w:rPr>
        <w:t xml:space="preserve">先生      </w:t>
      </w:r>
    </w:p>
    <w:p>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联系电话：0575-82536263 </w:t>
      </w:r>
    </w:p>
    <w:p>
      <w:pPr>
        <w:pStyle w:val="12"/>
        <w:ind w:left="0" w:leftChars="0" w:right="1470" w:firstLine="480" w:firstLineChars="200"/>
        <w:rPr>
          <w:color w:val="auto"/>
        </w:rPr>
      </w:pPr>
      <w:r>
        <w:rPr>
          <w:rFonts w:hint="eastAsia" w:ascii="宋体" w:hAnsi="宋体" w:cs="宋体"/>
          <w:color w:val="auto"/>
          <w:sz w:val="24"/>
        </w:rPr>
        <w:t>地址：浙江省杭州湾上虞经济技术开发区康阳大道88号</w:t>
      </w:r>
    </w:p>
    <w:p>
      <w:pPr>
        <w:spacing w:line="360" w:lineRule="auto"/>
        <w:jc w:val="center"/>
        <w:outlineLvl w:val="0"/>
        <w:rPr>
          <w:rFonts w:ascii="宋体" w:hAnsi="宋体" w:cs="宋体"/>
          <w:b/>
          <w:sz w:val="36"/>
          <w:szCs w:val="20"/>
        </w:rPr>
      </w:pPr>
      <w:r>
        <w:rPr>
          <w:rFonts w:hint="eastAsia" w:ascii="宋体" w:hAnsi="宋体" w:cs="宋体"/>
          <w:b/>
          <w:sz w:val="36"/>
          <w:szCs w:val="20"/>
        </w:rPr>
        <w:br w:type="page"/>
      </w:r>
      <w:bookmarkStart w:id="13" w:name="_Toc12572"/>
      <w:r>
        <w:rPr>
          <w:rFonts w:hint="eastAsia" w:ascii="宋体" w:hAnsi="宋体" w:cs="宋体"/>
          <w:b/>
          <w:sz w:val="36"/>
          <w:szCs w:val="20"/>
        </w:rPr>
        <w:t>第二部分</w:t>
      </w:r>
      <w:bookmarkEnd w:id="7"/>
      <w:bookmarkEnd w:id="8"/>
      <w:r>
        <w:rPr>
          <w:rFonts w:hint="eastAsia" w:ascii="宋体" w:hAnsi="宋体" w:cs="宋体"/>
          <w:b/>
          <w:sz w:val="36"/>
          <w:szCs w:val="20"/>
          <w:lang w:val="en-US" w:eastAsia="zh-CN"/>
        </w:rPr>
        <w:t xml:space="preserve"> </w:t>
      </w:r>
      <w:r>
        <w:rPr>
          <w:rFonts w:hint="eastAsia" w:ascii="宋体" w:hAnsi="宋体" w:cs="宋体"/>
          <w:b/>
          <w:sz w:val="36"/>
          <w:szCs w:val="20"/>
        </w:rPr>
        <w:t>投标须知</w:t>
      </w:r>
      <w:bookmarkEnd w:id="13"/>
    </w:p>
    <w:p>
      <w:pPr>
        <w:widowControl/>
        <w:adjustRightInd w:val="0"/>
        <w:snapToGrid w:val="0"/>
        <w:spacing w:line="360" w:lineRule="auto"/>
        <w:jc w:val="center"/>
        <w:rPr>
          <w:rFonts w:ascii="宋体" w:hAnsi="宋体" w:cs="宋体"/>
          <w:b/>
          <w:snapToGrid w:val="0"/>
          <w:kern w:val="0"/>
          <w:sz w:val="32"/>
          <w:szCs w:val="32"/>
        </w:rPr>
      </w:pPr>
      <w:r>
        <w:rPr>
          <w:rFonts w:hint="eastAsia" w:ascii="宋体" w:hAnsi="宋体" w:cs="宋体"/>
          <w:b/>
          <w:snapToGrid w:val="0"/>
          <w:kern w:val="0"/>
          <w:sz w:val="30"/>
          <w:szCs w:val="30"/>
        </w:rPr>
        <w:t>前附表</w:t>
      </w:r>
    </w:p>
    <w:tbl>
      <w:tblPr>
        <w:tblStyle w:val="23"/>
        <w:tblW w:w="93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6"/>
        <w:gridCol w:w="1800"/>
        <w:gridCol w:w="66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836" w:type="dxa"/>
            <w:noWrap/>
            <w:vAlign w:val="center"/>
          </w:tcPr>
          <w:p>
            <w:pPr>
              <w:snapToGrid w:val="0"/>
              <w:spacing w:line="360" w:lineRule="exact"/>
              <w:jc w:val="center"/>
              <w:rPr>
                <w:rFonts w:ascii="宋体" w:hAnsi="宋体" w:cs="宋体"/>
                <w:b/>
                <w:bCs/>
                <w:snapToGrid w:val="0"/>
                <w:kern w:val="0"/>
                <w:szCs w:val="21"/>
              </w:rPr>
            </w:pPr>
            <w:r>
              <w:rPr>
                <w:rFonts w:hint="eastAsia" w:ascii="宋体" w:hAnsi="宋体" w:cs="宋体"/>
                <w:b/>
                <w:bCs/>
                <w:snapToGrid w:val="0"/>
                <w:kern w:val="0"/>
                <w:szCs w:val="21"/>
              </w:rPr>
              <w:t>序号</w:t>
            </w:r>
          </w:p>
        </w:tc>
        <w:tc>
          <w:tcPr>
            <w:tcW w:w="1800" w:type="dxa"/>
            <w:noWrap/>
            <w:vAlign w:val="center"/>
          </w:tcPr>
          <w:p>
            <w:pPr>
              <w:snapToGrid w:val="0"/>
              <w:spacing w:line="360" w:lineRule="exact"/>
              <w:jc w:val="center"/>
              <w:rPr>
                <w:rFonts w:ascii="宋体" w:hAnsi="宋体" w:cs="宋体"/>
                <w:b/>
                <w:bCs/>
                <w:snapToGrid w:val="0"/>
                <w:kern w:val="0"/>
                <w:szCs w:val="21"/>
              </w:rPr>
            </w:pPr>
            <w:r>
              <w:rPr>
                <w:rFonts w:hint="eastAsia" w:ascii="宋体" w:hAnsi="宋体" w:cs="宋体"/>
                <w:b/>
                <w:bCs/>
                <w:snapToGrid w:val="0"/>
                <w:kern w:val="0"/>
                <w:szCs w:val="21"/>
              </w:rPr>
              <w:t>项目</w:t>
            </w:r>
          </w:p>
        </w:tc>
        <w:tc>
          <w:tcPr>
            <w:tcW w:w="6682" w:type="dxa"/>
            <w:noWrap/>
            <w:vAlign w:val="center"/>
          </w:tcPr>
          <w:p>
            <w:pPr>
              <w:snapToGrid w:val="0"/>
              <w:spacing w:line="360" w:lineRule="exact"/>
              <w:jc w:val="center"/>
              <w:rPr>
                <w:rFonts w:ascii="宋体" w:hAnsi="宋体" w:cs="宋体"/>
                <w:b/>
                <w:bCs/>
                <w:snapToGrid w:val="0"/>
                <w:kern w:val="0"/>
                <w:szCs w:val="21"/>
              </w:rPr>
            </w:pPr>
            <w:r>
              <w:rPr>
                <w:rFonts w:hint="eastAsia" w:ascii="宋体" w:hAnsi="宋体" w:cs="宋体"/>
                <w:b/>
                <w:bCs/>
                <w:snapToGrid w:val="0"/>
                <w:kern w:val="0"/>
                <w:szCs w:val="21"/>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w:t>
            </w:r>
          </w:p>
        </w:tc>
        <w:tc>
          <w:tcPr>
            <w:tcW w:w="1800"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项目名称</w:t>
            </w:r>
          </w:p>
        </w:tc>
        <w:tc>
          <w:tcPr>
            <w:tcW w:w="6682" w:type="dxa"/>
            <w:noWrap/>
            <w:vAlign w:val="center"/>
          </w:tcPr>
          <w:p>
            <w:pPr>
              <w:snapToGrid w:val="0"/>
              <w:spacing w:line="360" w:lineRule="exact"/>
              <w:ind w:firstLine="210" w:firstLineChars="100"/>
              <w:rPr>
                <w:rFonts w:ascii="宋体" w:hAnsi="宋体" w:cs="宋体"/>
                <w:snapToGrid w:val="0"/>
                <w:kern w:val="0"/>
                <w:szCs w:val="21"/>
              </w:rPr>
            </w:pPr>
            <w:r>
              <w:rPr>
                <w:rFonts w:hint="eastAsia" w:ascii="宋体" w:hAnsi="宋体" w:cs="宋体"/>
                <w:snapToGrid w:val="0"/>
                <w:kern w:val="0"/>
                <w:szCs w:val="21"/>
              </w:rPr>
              <w:t>杭州湾上虞经济技术开发区“工业互联网+危化安全生产”暨危化品“一件事”数字化集成协同系统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2</w:t>
            </w:r>
          </w:p>
        </w:tc>
        <w:tc>
          <w:tcPr>
            <w:tcW w:w="1800"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项目实施时间</w:t>
            </w:r>
          </w:p>
        </w:tc>
        <w:tc>
          <w:tcPr>
            <w:tcW w:w="6682" w:type="dxa"/>
            <w:noWrap/>
            <w:vAlign w:val="center"/>
          </w:tcPr>
          <w:p>
            <w:pPr>
              <w:widowControl/>
              <w:spacing w:before="100" w:after="100" w:line="336" w:lineRule="auto"/>
              <w:ind w:firstLine="527" w:firstLineChars="250"/>
              <w:jc w:val="left"/>
              <w:rPr>
                <w:rFonts w:ascii="宋体" w:hAnsi="宋体" w:cs="宋体"/>
                <w:sz w:val="24"/>
              </w:rPr>
            </w:pPr>
            <w:r>
              <w:rPr>
                <w:rFonts w:hint="eastAsia" w:ascii="宋体" w:hAnsi="宋体" w:cs="宋体"/>
                <w:b/>
                <w:bCs/>
                <w:snapToGrid w:val="0"/>
                <w:kern w:val="0"/>
              </w:rPr>
              <w:t>自合同签订之日起至合同履行完毕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3</w:t>
            </w:r>
          </w:p>
        </w:tc>
        <w:tc>
          <w:tcPr>
            <w:tcW w:w="1800" w:type="dxa"/>
            <w:noWrap/>
            <w:vAlign w:val="center"/>
          </w:tcPr>
          <w:p>
            <w:pPr>
              <w:snapToGrid w:val="0"/>
              <w:spacing w:line="360" w:lineRule="exact"/>
              <w:jc w:val="center"/>
              <w:rPr>
                <w:rFonts w:ascii="宋体" w:hAnsi="宋体" w:cs="宋体"/>
                <w:b/>
                <w:snapToGrid w:val="0"/>
                <w:kern w:val="0"/>
                <w:szCs w:val="21"/>
              </w:rPr>
            </w:pPr>
            <w:r>
              <w:rPr>
                <w:rFonts w:hint="eastAsia" w:ascii="宋体" w:hAnsi="宋体" w:cs="宋体"/>
                <w:b/>
                <w:snapToGrid w:val="0"/>
                <w:kern w:val="0"/>
                <w:szCs w:val="21"/>
              </w:rPr>
              <w:t>最高限价</w:t>
            </w:r>
          </w:p>
        </w:tc>
        <w:tc>
          <w:tcPr>
            <w:tcW w:w="6682" w:type="dxa"/>
            <w:noWrap/>
            <w:vAlign w:val="center"/>
          </w:tcPr>
          <w:p>
            <w:pPr>
              <w:snapToGrid w:val="0"/>
              <w:ind w:firstLine="420" w:firstLineChars="200"/>
            </w:pPr>
            <w:r>
              <w:rPr>
                <w:rFonts w:hint="eastAsia" w:ascii="宋体" w:hAnsi="宋体" w:cs="宋体"/>
              </w:rPr>
              <w:t>本项目最高限价人民</w:t>
            </w:r>
            <w:r>
              <w:rPr>
                <w:rFonts w:hint="eastAsia" w:ascii="宋体" w:hAnsi="宋体" w:cs="宋体"/>
                <w:color w:val="auto"/>
              </w:rPr>
              <w:t>币</w:t>
            </w:r>
            <w:r>
              <w:rPr>
                <w:rFonts w:hint="eastAsia" w:ascii="宋体" w:hAnsi="宋体" w:cs="宋体"/>
                <w:color w:val="auto"/>
                <w:u w:val="single"/>
              </w:rPr>
              <w:t>2130.518</w:t>
            </w:r>
            <w:r>
              <w:rPr>
                <w:rFonts w:hint="eastAsia" w:ascii="宋体" w:hAnsi="宋体" w:cs="宋体"/>
                <w:color w:val="auto"/>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 xml:space="preserve">                                                                                                   4</w:t>
            </w:r>
          </w:p>
        </w:tc>
        <w:tc>
          <w:tcPr>
            <w:tcW w:w="1800"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资格审查方式</w:t>
            </w:r>
          </w:p>
        </w:tc>
        <w:tc>
          <w:tcPr>
            <w:tcW w:w="6682" w:type="dxa"/>
            <w:noWrap/>
            <w:vAlign w:val="center"/>
          </w:tcPr>
          <w:p>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资格审查是指开标后，采购人或采购代理机构将依据法律法规和招标文件的规定对投标人的资格进行审查。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5</w:t>
            </w:r>
          </w:p>
        </w:tc>
        <w:tc>
          <w:tcPr>
            <w:tcW w:w="1800"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踏勘现场</w:t>
            </w:r>
          </w:p>
        </w:tc>
        <w:tc>
          <w:tcPr>
            <w:tcW w:w="6682" w:type="dxa"/>
            <w:noWrap/>
            <w:vAlign w:val="center"/>
          </w:tcPr>
          <w:p>
            <w:pPr>
              <w:snapToGrid w:val="0"/>
              <w:spacing w:line="360" w:lineRule="exact"/>
              <w:ind w:firstLine="422" w:firstLineChars="200"/>
              <w:rPr>
                <w:rFonts w:ascii="宋体" w:hAnsi="宋体" w:cs="宋体"/>
                <w:snapToGrid w:val="0"/>
                <w:kern w:val="0"/>
                <w:szCs w:val="21"/>
              </w:rPr>
            </w:pPr>
            <w:r>
              <w:rPr>
                <w:rFonts w:hint="eastAsia" w:ascii="宋体" w:hAnsi="宋体" w:cs="宋体"/>
                <w:b/>
                <w:snapToGrid w:val="0"/>
                <w:kern w:val="0"/>
                <w:szCs w:val="21"/>
              </w:rPr>
              <w:t>本项目不组织现场踏勘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6</w:t>
            </w:r>
          </w:p>
        </w:tc>
        <w:tc>
          <w:tcPr>
            <w:tcW w:w="1800"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询问</w:t>
            </w:r>
          </w:p>
        </w:tc>
        <w:tc>
          <w:tcPr>
            <w:tcW w:w="6682" w:type="dxa"/>
            <w:noWrap/>
            <w:vAlign w:val="center"/>
          </w:tcPr>
          <w:p>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供应商对国企采购活动事项有疑问的，可以向采购机构提出询问，采购人或者招标代理机构应当在3个工作日内对供应商依法提出的询问作出答复，但答复的内容不得涉及商业秘密。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7</w:t>
            </w:r>
          </w:p>
        </w:tc>
        <w:tc>
          <w:tcPr>
            <w:tcW w:w="1800"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招标文件的澄清与修改</w:t>
            </w:r>
          </w:p>
        </w:tc>
        <w:tc>
          <w:tcPr>
            <w:tcW w:w="6682" w:type="dxa"/>
            <w:noWrap/>
            <w:vAlign w:val="center"/>
          </w:tcPr>
          <w:p>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招标采购单位可以对已发出的招标文件进行必要澄清或者修改，澄清或者修改的内容可能影响投标文件编制的，应当在招标文件要求提交投标文件截止时间十五日前，在招标公告发布的媒体上发布更正公告，该澄清或者修改的内容为招标文件的组成部分。本项目招标文件和补充（答疑、澄清）、修改文件等请自行登录浙江政府采购网或绍兴市上虞区公共资源交易中心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8</w:t>
            </w:r>
          </w:p>
        </w:tc>
        <w:tc>
          <w:tcPr>
            <w:tcW w:w="1800"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投标文件组成</w:t>
            </w:r>
          </w:p>
        </w:tc>
        <w:tc>
          <w:tcPr>
            <w:tcW w:w="6682" w:type="dxa"/>
            <w:noWrap/>
            <w:vAlign w:val="center"/>
          </w:tcPr>
          <w:p>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投标人向采购人递交的投标文件由资格文件、商务技术文件、报价文件三部分组成。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9</w:t>
            </w:r>
          </w:p>
        </w:tc>
        <w:tc>
          <w:tcPr>
            <w:tcW w:w="1800"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评标办法</w:t>
            </w:r>
          </w:p>
        </w:tc>
        <w:tc>
          <w:tcPr>
            <w:tcW w:w="6682" w:type="dxa"/>
            <w:noWrap/>
            <w:vAlign w:val="center"/>
          </w:tcPr>
          <w:p>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10</w:t>
            </w:r>
          </w:p>
        </w:tc>
        <w:tc>
          <w:tcPr>
            <w:tcW w:w="1800"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投标文件递交地址及截止时间</w:t>
            </w:r>
          </w:p>
        </w:tc>
        <w:tc>
          <w:tcPr>
            <w:tcW w:w="6682" w:type="dxa"/>
            <w:noWrap/>
            <w:vAlign w:val="center"/>
          </w:tcPr>
          <w:p>
            <w:pPr>
              <w:snapToGrid w:val="0"/>
              <w:spacing w:line="360" w:lineRule="exact"/>
              <w:ind w:firstLine="420" w:firstLineChars="200"/>
              <w:rPr>
                <w:rFonts w:ascii="宋体" w:hAnsi="宋体" w:cs="宋体"/>
                <w:kern w:val="0"/>
                <w:szCs w:val="21"/>
              </w:rPr>
            </w:pPr>
            <w:r>
              <w:rPr>
                <w:rFonts w:hint="eastAsia" w:ascii="宋体" w:hAnsi="宋体" w:cs="宋体"/>
                <w:snapToGrid w:val="0"/>
                <w:kern w:val="0"/>
                <w:szCs w:val="21"/>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11</w:t>
            </w:r>
          </w:p>
        </w:tc>
        <w:tc>
          <w:tcPr>
            <w:tcW w:w="1800"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开标时间、地点</w:t>
            </w:r>
          </w:p>
        </w:tc>
        <w:tc>
          <w:tcPr>
            <w:tcW w:w="6682" w:type="dxa"/>
            <w:noWrap/>
            <w:vAlign w:val="center"/>
          </w:tcPr>
          <w:p>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开标时间：</w:t>
            </w:r>
            <w:r>
              <w:rPr>
                <w:rFonts w:hint="eastAsia" w:ascii="宋体" w:hAnsi="宋体" w:cs="宋体"/>
                <w:kern w:val="0"/>
                <w:szCs w:val="21"/>
              </w:rPr>
              <w:t>详见招标公告</w:t>
            </w:r>
          </w:p>
          <w:p>
            <w:pPr>
              <w:snapToGrid w:val="0"/>
              <w:spacing w:line="360" w:lineRule="exact"/>
              <w:ind w:firstLine="420" w:firstLineChars="200"/>
              <w:rPr>
                <w:rFonts w:ascii="宋体" w:hAnsi="宋体" w:cs="宋体"/>
                <w:kern w:val="0"/>
                <w:szCs w:val="21"/>
              </w:rPr>
            </w:pPr>
            <w:r>
              <w:rPr>
                <w:rFonts w:hint="eastAsia" w:ascii="宋体" w:hAnsi="宋体" w:cs="宋体"/>
                <w:snapToGrid w:val="0"/>
                <w:kern w:val="0"/>
                <w:szCs w:val="21"/>
              </w:rPr>
              <w:t>开标地点：</w:t>
            </w:r>
            <w:r>
              <w:rPr>
                <w:rFonts w:hint="eastAsia" w:ascii="宋体" w:hAnsi="宋体" w:cs="宋体"/>
                <w:kern w:val="0"/>
                <w:szCs w:val="21"/>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12</w:t>
            </w:r>
          </w:p>
        </w:tc>
        <w:tc>
          <w:tcPr>
            <w:tcW w:w="1800"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投标有效期</w:t>
            </w:r>
          </w:p>
        </w:tc>
        <w:tc>
          <w:tcPr>
            <w:tcW w:w="6682" w:type="dxa"/>
            <w:noWrap/>
            <w:vAlign w:val="center"/>
          </w:tcPr>
          <w:p>
            <w:pPr>
              <w:snapToGrid w:val="0"/>
              <w:spacing w:line="360" w:lineRule="exact"/>
              <w:ind w:firstLine="420" w:firstLineChars="200"/>
              <w:rPr>
                <w:rFonts w:ascii="宋体" w:hAnsi="宋体" w:cs="宋体"/>
                <w:snapToGrid w:val="0"/>
                <w:kern w:val="0"/>
                <w:szCs w:val="21"/>
              </w:rPr>
            </w:pPr>
            <w:r>
              <w:rPr>
                <w:rFonts w:hint="eastAsia" w:ascii="宋体" w:hAnsi="宋体" w:cs="宋体"/>
                <w:snapToGrid w:val="0"/>
                <w:kern w:val="0"/>
                <w:szCs w:val="21"/>
              </w:rPr>
              <w:t>投标有效期为从提交投标文件的截止之日起90天。投标人的投标文件中承诺的投标有效期少于招标文件中载明的投标有效期的，投标无效。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13</w:t>
            </w:r>
          </w:p>
        </w:tc>
        <w:tc>
          <w:tcPr>
            <w:tcW w:w="1800"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投标保证金</w:t>
            </w:r>
          </w:p>
        </w:tc>
        <w:tc>
          <w:tcPr>
            <w:tcW w:w="6682" w:type="dxa"/>
            <w:noWrap/>
            <w:vAlign w:val="center"/>
          </w:tcPr>
          <w:p>
            <w:pPr>
              <w:adjustRightInd w:val="0"/>
              <w:spacing w:line="360" w:lineRule="auto"/>
              <w:ind w:firstLine="422" w:firstLineChars="200"/>
              <w:rPr>
                <w:rFonts w:ascii="宋体" w:hAnsi="宋体" w:cs="宋体"/>
                <w:kern w:val="0"/>
                <w:szCs w:val="21"/>
              </w:rPr>
            </w:pPr>
            <w:r>
              <w:rPr>
                <w:rFonts w:hint="eastAsia" w:ascii="宋体" w:hAnsi="宋体" w:cs="宋体"/>
                <w:b/>
                <w:bCs/>
                <w:szCs w:val="21"/>
              </w:rPr>
              <w:t>投标保证金：本项目不设置投标保证金。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14</w:t>
            </w:r>
          </w:p>
        </w:tc>
        <w:tc>
          <w:tcPr>
            <w:tcW w:w="1800" w:type="dxa"/>
            <w:noWrap/>
            <w:vAlign w:val="center"/>
          </w:tcPr>
          <w:p>
            <w:pPr>
              <w:snapToGrid w:val="0"/>
              <w:spacing w:line="36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履约保证金</w:t>
            </w:r>
          </w:p>
        </w:tc>
        <w:tc>
          <w:tcPr>
            <w:tcW w:w="6682" w:type="dxa"/>
            <w:noWrap/>
            <w:vAlign w:val="center"/>
          </w:tcPr>
          <w:p>
            <w:pPr>
              <w:pStyle w:val="13"/>
              <w:snapToGrid w:val="0"/>
              <w:ind w:firstLine="420" w:firstLineChars="200"/>
              <w:rPr>
                <w:rFonts w:hAnsi="宋体" w:cs="宋体"/>
                <w:color w:val="auto"/>
                <w:kern w:val="0"/>
              </w:rPr>
            </w:pPr>
            <w:r>
              <w:rPr>
                <w:rFonts w:hint="eastAsia" w:hAnsi="宋体" w:cs="宋体"/>
                <w:color w:val="auto"/>
                <w:kern w:val="0"/>
              </w:rPr>
              <w:t>中标人在收到中标通知书后，需向采购人提供合同总价</w:t>
            </w:r>
            <w:r>
              <w:rPr>
                <w:rFonts w:hint="eastAsia" w:hAnsi="宋体" w:cs="宋体"/>
                <w:color w:val="auto"/>
                <w:kern w:val="0"/>
                <w:u w:val="single"/>
              </w:rPr>
              <w:t>　 1　</w:t>
            </w:r>
            <w:r>
              <w:rPr>
                <w:rFonts w:hint="eastAsia" w:hAnsi="宋体" w:cs="宋体"/>
                <w:color w:val="auto"/>
                <w:kern w:val="0"/>
              </w:rPr>
              <w:t>%的履约保证金，在中标人与采购人签订合同前递交。（投标人应当以支票、汇票、本票或者金融机构、保险公司、担保机构出具的保函等非现金形式提交）</w:t>
            </w:r>
          </w:p>
          <w:p>
            <w:pPr>
              <w:pStyle w:val="13"/>
              <w:snapToGrid w:val="0"/>
              <w:ind w:firstLine="420" w:firstLineChars="200"/>
              <w:rPr>
                <w:rFonts w:hAnsi="宋体" w:cs="宋体"/>
                <w:color w:val="auto"/>
                <w:kern w:val="0"/>
              </w:rPr>
            </w:pPr>
            <w:r>
              <w:rPr>
                <w:rFonts w:hint="eastAsia" w:hAnsi="宋体" w:cs="宋体"/>
                <w:color w:val="auto"/>
                <w:kern w:val="0"/>
              </w:rPr>
              <w:t xml:space="preserve"> 履约保证金在合同期满后或提前终止合同后向中标人无息退还全额履约保证金。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15</w:t>
            </w:r>
          </w:p>
        </w:tc>
        <w:tc>
          <w:tcPr>
            <w:tcW w:w="1800"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采购及中标公告发布媒体</w:t>
            </w:r>
          </w:p>
        </w:tc>
        <w:tc>
          <w:tcPr>
            <w:tcW w:w="6682" w:type="dxa"/>
            <w:noWrap/>
            <w:vAlign w:val="center"/>
          </w:tcPr>
          <w:p>
            <w:pPr>
              <w:pStyle w:val="13"/>
              <w:snapToGrid w:val="0"/>
              <w:spacing w:line="360" w:lineRule="exact"/>
              <w:ind w:firstLine="420" w:firstLineChars="200"/>
              <w:jc w:val="left"/>
              <w:rPr>
                <w:rFonts w:hAnsi="宋体" w:cs="宋体"/>
                <w:kern w:val="0"/>
              </w:rPr>
            </w:pPr>
            <w:r>
              <w:rPr>
                <w:rFonts w:hint="eastAsia" w:hAnsi="宋体" w:cs="宋体"/>
                <w:kern w:val="0"/>
              </w:rPr>
              <w:t>浙江政府采购网、绍兴市上虞区公共资源交易中心网站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zCs w:val="21"/>
              </w:rPr>
            </w:pPr>
            <w:r>
              <w:rPr>
                <w:rFonts w:hint="eastAsia" w:ascii="宋体" w:hAnsi="宋体" w:cs="宋体"/>
                <w:szCs w:val="21"/>
              </w:rPr>
              <w:t>16</w:t>
            </w:r>
          </w:p>
        </w:tc>
        <w:tc>
          <w:tcPr>
            <w:tcW w:w="1800"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质疑</w:t>
            </w:r>
          </w:p>
        </w:tc>
        <w:tc>
          <w:tcPr>
            <w:tcW w:w="6682" w:type="dxa"/>
            <w:noWrap/>
            <w:vAlign w:val="center"/>
          </w:tcPr>
          <w:p>
            <w:pPr>
              <w:pStyle w:val="2"/>
              <w:spacing w:after="0"/>
              <w:ind w:left="0" w:leftChars="0"/>
            </w:pPr>
            <w:r>
              <w:rPr>
                <w:rFonts w:hint="eastAsia"/>
              </w:rPr>
              <w:t>供应商认为采购文件、采购过程、中标或者成交结果使自己的权益受到损害的，可以在知道或者应知其权益受到损害之日起7个工作日内，以书面形式向采购人、采购代理机构提出质疑，采购人、采购代理机构应在7个工作日内做好答复工作，但答复内容不得涉及商业秘密。</w:t>
            </w:r>
          </w:p>
          <w:p>
            <w:pPr>
              <w:pStyle w:val="2"/>
              <w:spacing w:after="0"/>
              <w:ind w:left="0" w:leftChars="0"/>
              <w:rPr>
                <w:rFonts w:ascii="宋体" w:hAnsi="宋体" w:cs="宋体"/>
                <w:snapToGrid w:val="0"/>
                <w:kern w:val="0"/>
                <w:szCs w:val="21"/>
              </w:rPr>
            </w:pPr>
            <w:r>
              <w:rPr>
                <w:rFonts w:hint="eastAsia"/>
              </w:rPr>
              <w:t>《上虞区区属国有企业货物和服务采购管理办法》第四十九条规定的供应商应知其权益收到损害之日，是指：（一）对可以质疑的采购文件提出质疑的，为收到采购文件之日或者采购文件公告期限届满之日（公告期限届满后获取采购文件的，以公告期限届满之日为准）；（二）对采购过程提出质疑的，为各采购程序环节结束之日；（三）对中标或者成交结果提出质疑的，为中标或者成交结果公告期限届满之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17</w:t>
            </w:r>
          </w:p>
        </w:tc>
        <w:tc>
          <w:tcPr>
            <w:tcW w:w="1800"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投诉</w:t>
            </w:r>
          </w:p>
        </w:tc>
        <w:tc>
          <w:tcPr>
            <w:tcW w:w="6682" w:type="dxa"/>
            <w:noWrap/>
            <w:vAlign w:val="center"/>
          </w:tcPr>
          <w:p>
            <w:pPr>
              <w:snapToGrid w:val="0"/>
              <w:ind w:firstLine="420" w:firstLineChars="200"/>
              <w:jc w:val="left"/>
              <w:rPr>
                <w:rFonts w:ascii="宋体" w:hAnsi="宋体" w:cs="宋体"/>
                <w:snapToGrid w:val="0"/>
                <w:kern w:val="0"/>
                <w:szCs w:val="21"/>
              </w:rPr>
            </w:pPr>
            <w:r>
              <w:rPr>
                <w:rFonts w:hint="eastAsia" w:ascii="宋体" w:hAnsi="宋体" w:cs="宋体"/>
                <w:snapToGrid w:val="0"/>
                <w:kern w:val="0"/>
                <w:szCs w:val="21"/>
              </w:rPr>
              <w:t>按照《上虞区区属国有企业货物和服务采购管理办法》第五十条的规定：</w:t>
            </w:r>
          </w:p>
          <w:p>
            <w:pPr>
              <w:pStyle w:val="2"/>
              <w:spacing w:after="0"/>
              <w:ind w:left="0" w:leftChars="0"/>
            </w:pPr>
            <w:r>
              <w:rPr>
                <w:rFonts w:hint="eastAsia"/>
              </w:rPr>
              <w:t>质疑供应商对质疑的答复不满意，或者采购人或采购代理机构未在规定时间内答复的，可以在收到答复之日或者答复期满后 15 个工作日内依法向采购人主管部门投诉。采购人主管部门应当在 30 个工作日内调查并回应。投诉事项调查期间，采购人主管部门应当通知采购人暂停采购活动。</w:t>
            </w:r>
          </w:p>
          <w:p>
            <w:pPr>
              <w:pStyle w:val="2"/>
              <w:spacing w:after="0"/>
              <w:ind w:left="0" w:leftChars="0"/>
              <w:rPr>
                <w:rFonts w:ascii="宋体" w:hAnsi="宋体" w:cs="宋体"/>
                <w:snapToGrid w:val="0"/>
                <w:kern w:val="0"/>
                <w:szCs w:val="21"/>
              </w:rPr>
            </w:pPr>
            <w:r>
              <w:rPr>
                <w:rFonts w:hint="eastAsia"/>
              </w:rPr>
              <w:t>投诉人提交投诉件时，应当提供相关书面证据、依据和其他有关材料。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18</w:t>
            </w:r>
          </w:p>
        </w:tc>
        <w:tc>
          <w:tcPr>
            <w:tcW w:w="1800"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特别说明</w:t>
            </w:r>
          </w:p>
        </w:tc>
        <w:tc>
          <w:tcPr>
            <w:tcW w:w="6682" w:type="dxa"/>
            <w:noWrap/>
            <w:vAlign w:val="center"/>
          </w:tcPr>
          <w:p>
            <w:pPr>
              <w:pStyle w:val="13"/>
              <w:snapToGrid w:val="0"/>
              <w:spacing w:line="360" w:lineRule="exact"/>
              <w:ind w:firstLine="420" w:firstLineChars="200"/>
              <w:jc w:val="left"/>
              <w:rPr>
                <w:rFonts w:hAnsi="宋体" w:cs="宋体"/>
                <w:kern w:val="0"/>
              </w:rPr>
            </w:pPr>
            <w:r>
              <w:rPr>
                <w:rFonts w:hint="eastAsia" w:hAnsi="宋体" w:cs="宋体"/>
                <w:kern w:val="0"/>
              </w:rPr>
              <w:t>投标人应无条件的、认真仔细的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pPr>
              <w:pStyle w:val="13"/>
              <w:snapToGrid w:val="0"/>
              <w:spacing w:line="360" w:lineRule="exact"/>
              <w:ind w:firstLine="420" w:firstLineChars="200"/>
              <w:jc w:val="left"/>
              <w:rPr>
                <w:rFonts w:hAnsi="宋体" w:cs="宋体"/>
                <w:kern w:val="0"/>
              </w:rPr>
            </w:pPr>
            <w:r>
              <w:rPr>
                <w:rFonts w:hint="eastAsia" w:hAnsi="宋体" w:cs="宋体"/>
                <w:kern w:val="0"/>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pPr>
              <w:pStyle w:val="13"/>
              <w:snapToGrid w:val="0"/>
              <w:spacing w:line="360" w:lineRule="exact"/>
              <w:ind w:firstLine="420" w:firstLineChars="200"/>
              <w:jc w:val="left"/>
              <w:rPr>
                <w:rFonts w:hAnsi="宋体" w:cs="宋体"/>
                <w:b/>
                <w:kern w:val="0"/>
              </w:rPr>
            </w:pPr>
            <w:r>
              <w:rPr>
                <w:rFonts w:hint="eastAsia" w:hAnsi="宋体" w:cs="宋体"/>
                <w:kern w:val="0"/>
              </w:rPr>
              <w:t>招标文件中凡标注“</w:t>
            </w:r>
            <w:r>
              <w:rPr>
                <w:rFonts w:hint="eastAsia" w:hAnsi="宋体" w:cs="宋体"/>
              </w:rPr>
              <w:t>★</w:t>
            </w:r>
            <w:r>
              <w:rPr>
                <w:rFonts w:hint="eastAsia" w:hAnsi="宋体" w:cs="宋体"/>
                <w:kern w:val="0"/>
              </w:rPr>
              <w:t>”的条款均为实质性要求，不响应的投标文件将作无效标处理。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836"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19</w:t>
            </w:r>
          </w:p>
        </w:tc>
        <w:tc>
          <w:tcPr>
            <w:tcW w:w="1800" w:type="dxa"/>
            <w:noWrap/>
            <w:vAlign w:val="center"/>
          </w:tcPr>
          <w:p>
            <w:pPr>
              <w:snapToGrid w:val="0"/>
              <w:jc w:val="center"/>
              <w:rPr>
                <w:rFonts w:ascii="宋体" w:hAnsi="宋体" w:cs="宋体"/>
                <w:szCs w:val="21"/>
              </w:rPr>
            </w:pPr>
            <w:r>
              <w:rPr>
                <w:rFonts w:hint="eastAsia" w:ascii="宋体" w:hAnsi="宋体" w:cs="宋体"/>
                <w:szCs w:val="21"/>
              </w:rPr>
              <w:t>是否允许分包</w:t>
            </w:r>
          </w:p>
        </w:tc>
        <w:tc>
          <w:tcPr>
            <w:tcW w:w="6682" w:type="dxa"/>
            <w:noWrap/>
            <w:vAlign w:val="center"/>
          </w:tcPr>
          <w:p>
            <w:pPr>
              <w:ind w:firstLine="420" w:firstLineChars="200"/>
              <w:rPr>
                <w:rFonts w:ascii="宋体" w:hAnsi="宋体" w:cs="宋体"/>
                <w:szCs w:val="21"/>
              </w:rPr>
            </w:pPr>
            <w:r>
              <w:rPr>
                <w:rFonts w:hint="eastAsia" w:ascii="宋体" w:hAnsi="宋体" w:cs="宋体"/>
              </w:rPr>
              <w:t>本项目</w:t>
            </w:r>
            <w:r>
              <w:rPr>
                <w:rFonts w:hint="eastAsia" w:ascii="宋体" w:hAnsi="宋体" w:cs="宋体"/>
                <w:u w:val="single"/>
              </w:rPr>
              <w:t>不允许</w:t>
            </w:r>
            <w:r>
              <w:rPr>
                <w:rFonts w:hint="eastAsia" w:ascii="宋体" w:hAnsi="宋体" w:cs="宋体"/>
              </w:rPr>
              <w:t>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836"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20</w:t>
            </w:r>
          </w:p>
        </w:tc>
        <w:tc>
          <w:tcPr>
            <w:tcW w:w="1800" w:type="dxa"/>
            <w:tcBorders>
              <w:top w:val="single" w:color="auto" w:sz="4" w:space="0"/>
            </w:tcBorders>
            <w:noWrap/>
            <w:vAlign w:val="center"/>
          </w:tcPr>
          <w:p>
            <w:pPr>
              <w:snapToGrid w:val="0"/>
              <w:jc w:val="center"/>
              <w:rPr>
                <w:rFonts w:ascii="宋体" w:hAnsi="宋体" w:cs="宋体"/>
                <w:szCs w:val="21"/>
              </w:rPr>
            </w:pPr>
            <w:r>
              <w:rPr>
                <w:rFonts w:hint="eastAsia" w:ascii="宋体" w:hAnsi="宋体" w:cs="宋体"/>
                <w:szCs w:val="21"/>
              </w:rPr>
              <w:t>是否提供演示</w:t>
            </w:r>
          </w:p>
        </w:tc>
        <w:tc>
          <w:tcPr>
            <w:tcW w:w="6682" w:type="dxa"/>
            <w:tcBorders>
              <w:top w:val="single" w:color="auto" w:sz="4" w:space="0"/>
            </w:tcBorders>
            <w:noWrap/>
            <w:vAlign w:val="center"/>
          </w:tcPr>
          <w:p>
            <w:pPr>
              <w:ind w:firstLine="422" w:firstLineChars="200"/>
              <w:rPr>
                <w:rFonts w:ascii="宋体" w:hAnsi="宋体" w:cs="宋体"/>
                <w:b/>
                <w:bCs/>
                <w:szCs w:val="21"/>
              </w:rPr>
            </w:pPr>
            <w:r>
              <w:rPr>
                <w:rFonts w:hint="eastAsia" w:ascii="宋体" w:hAnsi="宋体" w:cs="宋体"/>
                <w:b/>
                <w:bCs/>
                <w:szCs w:val="21"/>
              </w:rPr>
              <w:t>本项目</w:t>
            </w:r>
            <w:r>
              <w:rPr>
                <w:rFonts w:hint="eastAsia" w:ascii="宋体" w:hAnsi="宋体" w:cs="宋体"/>
                <w:b/>
                <w:bCs/>
                <w:szCs w:val="21"/>
                <w:u w:val="single"/>
              </w:rPr>
              <w:t>需要</w:t>
            </w:r>
            <w:r>
              <w:rPr>
                <w:rFonts w:hint="eastAsia" w:ascii="宋体" w:hAnsi="宋体" w:cs="宋体"/>
                <w:b/>
                <w:bCs/>
                <w:szCs w:val="21"/>
              </w:rPr>
              <w:t>提供演示。</w:t>
            </w:r>
          </w:p>
          <w:p>
            <w:pPr>
              <w:ind w:firstLine="210" w:firstLineChars="100"/>
              <w:rPr>
                <w:rFonts w:ascii="宋体" w:hAnsi="宋体" w:cs="宋体"/>
                <w:szCs w:val="21"/>
              </w:rPr>
            </w:pPr>
            <w:r>
              <w:rPr>
                <w:rFonts w:hint="eastAsia" w:ascii="宋体" w:hAnsi="宋体" w:cs="宋体"/>
                <w:szCs w:val="21"/>
              </w:rPr>
              <w:t>（备注：1.将演示内容做视频放入U盘中，U盘作为商务技术文件组成部分，单独密封在密封袋中（快递袋不能作为密封袋）；</w:t>
            </w:r>
          </w:p>
          <w:p>
            <w:pPr>
              <w:ind w:firstLine="420" w:firstLineChars="200"/>
              <w:rPr>
                <w:rFonts w:ascii="宋体" w:hAnsi="宋体" w:cs="宋体"/>
                <w:szCs w:val="21"/>
              </w:rPr>
            </w:pPr>
            <w:r>
              <w:rPr>
                <w:rFonts w:hint="eastAsia" w:ascii="宋体" w:hAnsi="宋体" w:cs="宋体"/>
                <w:szCs w:val="21"/>
              </w:rPr>
              <w:t>2.视频要求：</w:t>
            </w:r>
          </w:p>
          <w:p>
            <w:pPr>
              <w:ind w:firstLine="420" w:firstLineChars="200"/>
              <w:rPr>
                <w:rFonts w:ascii="宋体" w:hAnsi="宋体" w:cs="宋体"/>
                <w:szCs w:val="21"/>
              </w:rPr>
            </w:pPr>
            <w:r>
              <w:rPr>
                <w:rFonts w:hint="eastAsia" w:ascii="宋体" w:hAnsi="宋体" w:cs="宋体"/>
                <w:szCs w:val="21"/>
              </w:rPr>
              <w:t>格式为常规视频格式，电脑录屏，播放时间不得超过15分钟，密封袋内U盘表面及演示视频内容不得显示投标单位名称或做其他特殊标识使专家提前获知投标供应商信息；</w:t>
            </w:r>
          </w:p>
          <w:p>
            <w:pPr>
              <w:ind w:firstLine="420" w:firstLineChars="200"/>
              <w:rPr>
                <w:rFonts w:ascii="宋体" w:hAnsi="宋体" w:cs="宋体"/>
                <w:szCs w:val="21"/>
              </w:rPr>
            </w:pPr>
            <w:r>
              <w:rPr>
                <w:rFonts w:hint="eastAsia" w:ascii="宋体" w:hAnsi="宋体" w:cs="宋体"/>
                <w:szCs w:val="21"/>
              </w:rPr>
              <w:t>3．封皮要求：</w:t>
            </w:r>
          </w:p>
          <w:p>
            <w:pPr>
              <w:ind w:firstLine="420" w:firstLineChars="200"/>
              <w:rPr>
                <w:rFonts w:ascii="宋体" w:hAnsi="宋体" w:cs="宋体"/>
                <w:szCs w:val="21"/>
              </w:rPr>
            </w:pPr>
            <w:r>
              <w:rPr>
                <w:rFonts w:hint="eastAsia" w:ascii="宋体" w:hAnsi="宋体" w:cs="宋体"/>
                <w:szCs w:val="21"/>
              </w:rPr>
              <w:t>在封皮上标注：“项目名称、采购编号、投标供应商名称”等内容并且标注“演示视频、2022年*月*日*几时*分开标，此时间以前不得开封”等字样(多标段项目需在密封袋封皮上同时注明：*标段)；</w:t>
            </w:r>
          </w:p>
          <w:p>
            <w:pPr>
              <w:ind w:firstLine="420" w:firstLineChars="200"/>
              <w:rPr>
                <w:rFonts w:ascii="宋体" w:hAnsi="宋体" w:cs="宋体"/>
                <w:szCs w:val="21"/>
              </w:rPr>
            </w:pPr>
            <w:r>
              <w:rPr>
                <w:rFonts w:hint="eastAsia" w:ascii="宋体" w:hAnsi="宋体" w:cs="宋体"/>
                <w:szCs w:val="21"/>
              </w:rPr>
              <w:t>4．递交时间：</w:t>
            </w:r>
          </w:p>
          <w:p>
            <w:pPr>
              <w:ind w:firstLine="420" w:firstLineChars="200"/>
              <w:rPr>
                <w:rFonts w:ascii="宋体" w:hAnsi="宋体" w:cs="宋体"/>
                <w:szCs w:val="21"/>
              </w:rPr>
            </w:pPr>
            <w:r>
              <w:rPr>
                <w:rFonts w:hint="eastAsia" w:ascii="宋体" w:hAnsi="宋体" w:cs="宋体"/>
                <w:szCs w:val="21"/>
              </w:rPr>
              <w:t>在投标截止时间前递交至浙江省绍兴市上虞区百官街道江东北路588号百官广场30楼，阮雨晴（收），联系号码：18758328374；</w:t>
            </w:r>
          </w:p>
          <w:p>
            <w:pPr>
              <w:ind w:firstLine="420" w:firstLineChars="200"/>
              <w:rPr>
                <w:rFonts w:ascii="宋体" w:hAnsi="宋体" w:cs="宋体"/>
                <w:szCs w:val="21"/>
              </w:rPr>
            </w:pPr>
            <w:r>
              <w:rPr>
                <w:rFonts w:hint="eastAsia" w:ascii="宋体" w:hAnsi="宋体" w:cs="宋体"/>
                <w:szCs w:val="21"/>
              </w:rPr>
              <w:t>5.在快递袋内另附纸注明：“项目名称、采购编号、投标供应商名称、项目负责人、联系方式”等内容，并加盖公章。若不符合演示视频文件包装要求，代理机构将据此联系投标供应商。因未附纸导致代理机构无法及时联系投标供应商补正修改的，责任由供应商自负；</w:t>
            </w:r>
          </w:p>
          <w:p>
            <w:pPr>
              <w:ind w:firstLine="420" w:firstLineChars="200"/>
              <w:rPr>
                <w:rFonts w:ascii="宋体" w:hAnsi="宋体" w:cs="宋体"/>
                <w:szCs w:val="21"/>
              </w:rPr>
            </w:pPr>
            <w:r>
              <w:rPr>
                <w:rFonts w:hint="eastAsia" w:ascii="宋体" w:hAnsi="宋体" w:cs="宋体"/>
                <w:szCs w:val="21"/>
              </w:rPr>
              <w:t>6.特别提醒：建议合理安排邮寄时间，以顺丰邮件形式邮寄，显示签收后第一时间电话联系收件人，确保在投标截止时间前使采购代理机构确认签收，供应商应在快递单中备注项目名称，因未备注或邮寄途中造成的提前启封等情形的，责任由供应商自负；递交的演示文件在投标截止时间后在监管部门的监督下启封，按登记顺序（匿名）由评审专家进行打分。）</w:t>
            </w:r>
            <w:r>
              <w:rPr>
                <w:rFonts w:hint="eastAsia" w:ascii="宋体" w:hAnsi="宋体" w:cs="宋体"/>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836" w:type="dxa"/>
            <w:vMerge w:val="restart"/>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21</w:t>
            </w:r>
          </w:p>
          <w:p>
            <w:pPr>
              <w:snapToGrid w:val="0"/>
              <w:spacing w:line="360" w:lineRule="exact"/>
              <w:jc w:val="center"/>
              <w:rPr>
                <w:rFonts w:ascii="宋体" w:hAnsi="宋体" w:cs="宋体"/>
                <w:snapToGrid w:val="0"/>
                <w:kern w:val="0"/>
                <w:szCs w:val="21"/>
              </w:rPr>
            </w:pPr>
          </w:p>
        </w:tc>
        <w:tc>
          <w:tcPr>
            <w:tcW w:w="1800" w:type="dxa"/>
            <w:vMerge w:val="restart"/>
            <w:tcBorders>
              <w:top w:val="single" w:color="auto" w:sz="4" w:space="0"/>
            </w:tcBorders>
            <w:noWrap/>
            <w:vAlign w:val="center"/>
          </w:tcPr>
          <w:p>
            <w:pPr>
              <w:snapToGrid w:val="0"/>
              <w:jc w:val="center"/>
              <w:rPr>
                <w:rFonts w:ascii="宋体" w:hAnsi="宋体" w:cs="宋体"/>
                <w:color w:val="auto"/>
                <w:szCs w:val="21"/>
              </w:rPr>
            </w:pPr>
            <w:r>
              <w:rPr>
                <w:rFonts w:hint="eastAsia" w:ascii="宋体" w:hAnsi="宋体" w:cs="宋体"/>
                <w:color w:val="auto"/>
                <w:szCs w:val="21"/>
              </w:rPr>
              <w:t>预付款</w:t>
            </w:r>
          </w:p>
          <w:p>
            <w:pPr>
              <w:snapToGrid w:val="0"/>
              <w:jc w:val="center"/>
              <w:rPr>
                <w:rFonts w:ascii="宋体" w:hAnsi="宋体" w:cs="宋体"/>
                <w:color w:val="auto"/>
                <w:szCs w:val="21"/>
              </w:rPr>
            </w:pPr>
          </w:p>
        </w:tc>
        <w:tc>
          <w:tcPr>
            <w:tcW w:w="6682" w:type="dxa"/>
            <w:tcBorders>
              <w:top w:val="single" w:color="auto" w:sz="4" w:space="0"/>
            </w:tcBorders>
            <w:noWrap/>
            <w:vAlign w:val="center"/>
          </w:tcPr>
          <w:p>
            <w:pPr>
              <w:ind w:firstLine="420" w:firstLineChars="200"/>
              <w:rPr>
                <w:rFonts w:ascii="宋体" w:hAnsi="宋体" w:cs="宋体"/>
                <w:color w:val="auto"/>
              </w:rPr>
            </w:pPr>
            <w:r>
              <w:rPr>
                <w:rFonts w:hint="eastAsia" w:ascii="宋体" w:hAnsi="宋体" w:cs="宋体"/>
                <w:color w:val="auto"/>
              </w:rPr>
              <w:t>本项目</w:t>
            </w:r>
            <w:r>
              <w:rPr>
                <w:rFonts w:hint="eastAsia"/>
                <w:color w:val="auto"/>
                <w:sz w:val="24"/>
              </w:rPr>
              <w:t>☑</w:t>
            </w:r>
            <w:r>
              <w:rPr>
                <w:rFonts w:hint="eastAsia" w:ascii="宋体" w:hAnsi="宋体" w:cs="宋体"/>
                <w:color w:val="auto"/>
              </w:rPr>
              <w:t xml:space="preserve">是  </w:t>
            </w:r>
            <w:r>
              <w:rPr>
                <w:rFonts w:hint="eastAsia"/>
                <w:color w:val="auto"/>
                <w:sz w:val="24"/>
              </w:rPr>
              <w:t>□</w:t>
            </w:r>
            <w:r>
              <w:rPr>
                <w:rFonts w:hint="eastAsia" w:ascii="宋体" w:hAnsi="宋体" w:cs="宋体"/>
                <w:color w:val="auto"/>
              </w:rPr>
              <w:t>否  涉及预付款，预付款比例为</w:t>
            </w:r>
            <w:r>
              <w:rPr>
                <w:rFonts w:hint="eastAsia" w:ascii="宋体" w:hAnsi="宋体" w:cs="宋体"/>
                <w:color w:val="auto"/>
                <w:u w:val="single"/>
              </w:rPr>
              <w:t xml:space="preserve">  40 %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836" w:type="dxa"/>
            <w:vMerge w:val="continue"/>
            <w:noWrap/>
            <w:vAlign w:val="center"/>
          </w:tcPr>
          <w:p>
            <w:pPr>
              <w:snapToGrid w:val="0"/>
              <w:spacing w:line="360" w:lineRule="exact"/>
              <w:jc w:val="center"/>
              <w:rPr>
                <w:rFonts w:ascii="宋体" w:hAnsi="宋体" w:cs="宋体"/>
                <w:snapToGrid w:val="0"/>
                <w:kern w:val="0"/>
                <w:szCs w:val="21"/>
              </w:rPr>
            </w:pPr>
          </w:p>
        </w:tc>
        <w:tc>
          <w:tcPr>
            <w:tcW w:w="1800" w:type="dxa"/>
            <w:vMerge w:val="continue"/>
            <w:noWrap/>
            <w:vAlign w:val="center"/>
          </w:tcPr>
          <w:p>
            <w:pPr>
              <w:snapToGrid w:val="0"/>
              <w:jc w:val="center"/>
              <w:rPr>
                <w:rFonts w:ascii="宋体" w:hAnsi="宋体" w:cs="宋体"/>
                <w:szCs w:val="21"/>
              </w:rPr>
            </w:pPr>
          </w:p>
        </w:tc>
        <w:tc>
          <w:tcPr>
            <w:tcW w:w="6682" w:type="dxa"/>
            <w:tcBorders>
              <w:top w:val="single" w:color="auto" w:sz="4" w:space="0"/>
            </w:tcBorders>
            <w:noWrap/>
            <w:vAlign w:val="center"/>
          </w:tcPr>
          <w:p>
            <w:pPr>
              <w:ind w:firstLine="420" w:firstLineChars="200"/>
              <w:rPr>
                <w:rFonts w:ascii="宋体" w:hAnsi="宋体" w:cs="宋体"/>
                <w:szCs w:val="21"/>
              </w:rPr>
            </w:pPr>
            <w:r>
              <w:rPr>
                <w:rFonts w:hint="eastAsia" w:ascii="宋体" w:hAnsi="宋体" w:cs="宋体"/>
                <w:szCs w:val="21"/>
              </w:rPr>
              <w:t>根据《浙江省财政厅关于进一步发挥政府采购政策功能全力推动经济稳进提质的通知》[浙财采监〔2022）3号]文件第二条第五点关于“进一步提高政府采购预付款比例”的规定：</w:t>
            </w:r>
          </w:p>
          <w:p>
            <w:pPr>
              <w:ind w:firstLine="420" w:firstLineChars="200"/>
              <w:rPr>
                <w:rFonts w:ascii="宋体" w:hAnsi="宋体" w:cs="宋体"/>
                <w:szCs w:val="21"/>
              </w:rPr>
            </w:pPr>
            <w:r>
              <w:rPr>
                <w:rFonts w:hint="eastAsia" w:ascii="宋体" w:hAnsi="宋体" w:cs="宋体"/>
                <w:szCs w:val="21"/>
              </w:rPr>
              <w:t>1、采购单位应当在政府采购合同中约定预付款；</w:t>
            </w:r>
          </w:p>
          <w:p>
            <w:pPr>
              <w:ind w:firstLine="420" w:firstLineChars="200"/>
              <w:rPr>
                <w:rFonts w:ascii="宋体" w:hAnsi="宋体" w:cs="宋体"/>
                <w:szCs w:val="21"/>
              </w:rPr>
            </w:pPr>
            <w:r>
              <w:rPr>
                <w:rFonts w:hint="eastAsia" w:ascii="宋体" w:hAnsi="宋体" w:cs="宋体"/>
                <w:szCs w:val="21"/>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pPr>
              <w:ind w:firstLine="420" w:firstLineChars="200"/>
              <w:rPr>
                <w:rFonts w:ascii="宋体" w:hAnsi="宋体" w:cs="宋体"/>
                <w:szCs w:val="21"/>
              </w:rPr>
            </w:pPr>
            <w:r>
              <w:rPr>
                <w:rFonts w:hint="eastAsia" w:ascii="宋体" w:hAnsi="宋体" w:cs="宋体"/>
                <w:szCs w:val="21"/>
              </w:rPr>
              <w:t>3、本项目涉及投标人为大型企业，或者以人工投入为主且实行按月定期结算支付款项的，预付款可低于上述比例或者不约定预付款（相应字样应在合同中体现）。</w:t>
            </w:r>
          </w:p>
          <w:p>
            <w:pPr>
              <w:ind w:firstLine="420" w:firstLineChars="200"/>
              <w:rPr>
                <w:rFonts w:ascii="宋体" w:hAnsi="宋体" w:cs="宋体"/>
                <w:szCs w:val="21"/>
              </w:rPr>
            </w:pPr>
            <w:r>
              <w:rPr>
                <w:rFonts w:hint="eastAsia" w:ascii="宋体" w:hAnsi="宋体" w:cs="宋体"/>
                <w:szCs w:val="21"/>
              </w:rPr>
              <w:t>4、在签订合同时，中标人明确表示无需预付款或者主动要求降低预付款比例的，应提交相应申请函经采购人确认后，可不适用前述规定。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22</w:t>
            </w:r>
          </w:p>
        </w:tc>
        <w:tc>
          <w:tcPr>
            <w:tcW w:w="1800" w:type="dxa"/>
            <w:noWrap/>
            <w:vAlign w:val="center"/>
          </w:tcPr>
          <w:p>
            <w:pPr>
              <w:snapToGrid w:val="0"/>
              <w:jc w:val="center"/>
              <w:rPr>
                <w:rFonts w:ascii="宋体" w:hAnsi="宋体" w:cs="宋体"/>
                <w:szCs w:val="21"/>
              </w:rPr>
            </w:pPr>
            <w:r>
              <w:rPr>
                <w:rFonts w:hint="eastAsia" w:ascii="宋体" w:hAnsi="宋体" w:cs="宋体"/>
                <w:szCs w:val="21"/>
              </w:rPr>
              <w:t>投标人信用信息查询渠道及截止时点、信用信息查询记录和证据留存的具体方式、信用信息的使用规则</w:t>
            </w:r>
          </w:p>
        </w:tc>
        <w:tc>
          <w:tcPr>
            <w:tcW w:w="6682" w:type="dxa"/>
            <w:noWrap/>
            <w:vAlign w:val="center"/>
          </w:tcPr>
          <w:p>
            <w:pPr>
              <w:ind w:firstLine="420" w:firstLineChars="200"/>
              <w:rPr>
                <w:rFonts w:ascii="宋体" w:hAnsi="宋体" w:cs="宋体"/>
                <w:szCs w:val="21"/>
              </w:rPr>
            </w:pPr>
            <w:r>
              <w:rPr>
                <w:rFonts w:hint="eastAsia" w:ascii="宋体" w:hAnsi="宋体" w:cs="宋体"/>
                <w:szCs w:val="21"/>
              </w:rPr>
              <w:t>1、查询渠道：信用中国（网址：http://www.creditchina.gov.cn）、中国政府采购网(网址：http://www.ccgp.gov.cn）。</w:t>
            </w:r>
          </w:p>
          <w:p>
            <w:pPr>
              <w:ind w:firstLine="420" w:firstLineChars="200"/>
              <w:rPr>
                <w:rFonts w:ascii="宋体" w:hAnsi="宋体" w:cs="宋体"/>
                <w:szCs w:val="21"/>
              </w:rPr>
            </w:pPr>
            <w:r>
              <w:rPr>
                <w:rFonts w:hint="eastAsia" w:ascii="宋体" w:hAnsi="宋体" w:cs="宋体"/>
                <w:szCs w:val="21"/>
              </w:rPr>
              <w:t>2、截止时点：开标后评标前。</w:t>
            </w:r>
          </w:p>
          <w:p>
            <w:pPr>
              <w:ind w:firstLine="420" w:firstLineChars="200"/>
              <w:rPr>
                <w:rFonts w:ascii="宋体" w:hAnsi="宋体" w:cs="宋体"/>
                <w:szCs w:val="21"/>
              </w:rPr>
            </w:pPr>
            <w:r>
              <w:rPr>
                <w:rFonts w:hint="eastAsia" w:ascii="宋体" w:hAnsi="宋体" w:cs="宋体"/>
                <w:szCs w:val="21"/>
              </w:rPr>
              <w:t>3、信用信息查询记录和证据留存的具体方式：由采购组织机构在规定查询时间内打印信用信息查询记录并归入项目档案。</w:t>
            </w:r>
          </w:p>
          <w:p>
            <w:pPr>
              <w:ind w:firstLine="420" w:firstLineChars="200"/>
              <w:rPr>
                <w:rFonts w:ascii="宋体" w:hAnsi="宋体" w:cs="宋体"/>
                <w:szCs w:val="21"/>
              </w:rPr>
            </w:pPr>
            <w:r>
              <w:rPr>
                <w:rFonts w:hint="eastAsia" w:ascii="宋体" w:hAnsi="宋体" w:cs="宋体"/>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6" w:type="dxa"/>
            <w:noWrap/>
            <w:vAlign w:val="center"/>
          </w:tcPr>
          <w:p>
            <w:pPr>
              <w:snapToGrid w:val="0"/>
              <w:spacing w:line="360" w:lineRule="exact"/>
              <w:jc w:val="center"/>
              <w:rPr>
                <w:rFonts w:ascii="宋体" w:hAnsi="宋体" w:cs="宋体"/>
                <w:snapToGrid w:val="0"/>
                <w:kern w:val="0"/>
                <w:szCs w:val="21"/>
              </w:rPr>
            </w:pPr>
            <w:r>
              <w:rPr>
                <w:rFonts w:hint="eastAsia" w:ascii="宋体" w:hAnsi="宋体" w:cs="宋体"/>
                <w:snapToGrid w:val="0"/>
                <w:kern w:val="0"/>
                <w:szCs w:val="21"/>
              </w:rPr>
              <w:t>23</w:t>
            </w:r>
          </w:p>
        </w:tc>
        <w:tc>
          <w:tcPr>
            <w:tcW w:w="1800" w:type="dxa"/>
            <w:noWrap/>
            <w:vAlign w:val="center"/>
          </w:tcPr>
          <w:p>
            <w:pPr>
              <w:snapToGrid w:val="0"/>
              <w:jc w:val="center"/>
              <w:rPr>
                <w:rFonts w:ascii="宋体" w:hAnsi="宋体" w:cs="宋体"/>
                <w:szCs w:val="21"/>
              </w:rPr>
            </w:pPr>
            <w:r>
              <w:rPr>
                <w:rFonts w:hint="eastAsia" w:ascii="宋体" w:hAnsi="宋体" w:cs="宋体"/>
                <w:szCs w:val="21"/>
              </w:rPr>
              <w:t>其他</w:t>
            </w:r>
          </w:p>
        </w:tc>
        <w:tc>
          <w:tcPr>
            <w:tcW w:w="6682" w:type="dxa"/>
            <w:noWrap/>
            <w:vAlign w:val="center"/>
          </w:tcPr>
          <w:p>
            <w:pPr>
              <w:numPr>
                <w:ilvl w:val="0"/>
                <w:numId w:val="6"/>
              </w:numPr>
              <w:ind w:firstLine="422" w:firstLineChars="200"/>
              <w:rPr>
                <w:rFonts w:ascii="宋体" w:hAnsi="宋体" w:cs="宋体"/>
                <w:b/>
                <w:szCs w:val="21"/>
              </w:rPr>
            </w:pPr>
            <w:r>
              <w:rPr>
                <w:rFonts w:hint="eastAsia" w:ascii="宋体" w:hAnsi="宋体" w:cs="宋体"/>
                <w:b/>
                <w:szCs w:val="21"/>
              </w:rPr>
              <w:t>本招标文件要求提供的身份证复印件皆需提供正反面，否则按不提供处理。</w:t>
            </w:r>
          </w:p>
          <w:p>
            <w:pPr>
              <w:ind w:firstLine="420" w:firstLineChars="200"/>
              <w:rPr>
                <w:rFonts w:ascii="宋体" w:hAnsi="宋体" w:cs="宋体"/>
                <w:b/>
                <w:szCs w:val="21"/>
              </w:rPr>
            </w:pPr>
            <w:r>
              <w:rPr>
                <w:rFonts w:hint="eastAsia" w:ascii="宋体" w:hAnsi="宋体" w:cs="宋体"/>
                <w:bCs/>
                <w:szCs w:val="21"/>
              </w:rPr>
              <w:t>2、</w:t>
            </w:r>
            <w:r>
              <w:rPr>
                <w:rFonts w:hint="eastAsia"/>
                <w:bCs/>
              </w:rPr>
              <w:t>本项目所供货物如涉及柴油动力移动源，柴油动力移动源应当符合低排放要求。</w:t>
            </w:r>
          </w:p>
        </w:tc>
      </w:tr>
    </w:tbl>
    <w:p>
      <w:pPr>
        <w:pStyle w:val="28"/>
        <w:spacing w:before="0"/>
        <w:ind w:firstLine="420"/>
        <w:rPr>
          <w:rFonts w:ascii="宋体" w:hAnsi="宋体" w:cs="宋体"/>
          <w:sz w:val="21"/>
          <w:szCs w:val="21"/>
        </w:rPr>
      </w:pPr>
      <w:r>
        <w:rPr>
          <w:rFonts w:hint="eastAsia" w:ascii="宋体" w:hAnsi="宋体" w:cs="宋体"/>
          <w:sz w:val="21"/>
          <w:szCs w:val="21"/>
        </w:rPr>
        <w:t>注：以上内容如有变化将另行通知。如通知其中某一内容发生变化，其余未提及的将不作变动。</w:t>
      </w:r>
    </w:p>
    <w:p>
      <w:pPr>
        <w:snapToGrid w:val="0"/>
        <w:spacing w:line="360" w:lineRule="auto"/>
        <w:jc w:val="center"/>
        <w:outlineLvl w:val="0"/>
        <w:rPr>
          <w:rFonts w:ascii="宋体" w:hAnsi="宋体" w:cs="宋体"/>
          <w:b/>
          <w:sz w:val="32"/>
        </w:rPr>
      </w:pPr>
      <w:r>
        <w:rPr>
          <w:rFonts w:hint="eastAsia" w:ascii="宋体" w:hAnsi="宋体" w:cs="宋体"/>
          <w:b/>
          <w:sz w:val="32"/>
          <w:szCs w:val="20"/>
        </w:rPr>
        <w:br w:type="page"/>
      </w:r>
      <w:bookmarkStart w:id="14" w:name="_Toc3767"/>
      <w:r>
        <w:rPr>
          <w:rFonts w:hint="eastAsia" w:ascii="宋体" w:hAnsi="宋体" w:cs="宋体"/>
          <w:b/>
          <w:sz w:val="32"/>
        </w:rPr>
        <w:t>一、总则</w:t>
      </w:r>
      <w:bookmarkEnd w:id="9"/>
      <w:bookmarkEnd w:id="14"/>
    </w:p>
    <w:p>
      <w:pPr>
        <w:pStyle w:val="13"/>
        <w:numPr>
          <w:ilvl w:val="0"/>
          <w:numId w:val="7"/>
        </w:numPr>
        <w:spacing w:line="360" w:lineRule="auto"/>
        <w:ind w:firstLine="482" w:firstLineChars="200"/>
        <w:rPr>
          <w:rFonts w:hAnsi="宋体" w:cs="宋体"/>
          <w:b/>
          <w:sz w:val="24"/>
          <w:szCs w:val="24"/>
        </w:rPr>
      </w:pPr>
      <w:bookmarkStart w:id="15" w:name="_Hlt74730295"/>
      <w:bookmarkEnd w:id="15"/>
      <w:bookmarkStart w:id="16" w:name="_Hlt74714665"/>
      <w:bookmarkEnd w:id="16"/>
      <w:bookmarkStart w:id="17" w:name="_Toc91899872"/>
      <w:bookmarkStart w:id="18" w:name="_Hlt74730208"/>
      <w:bookmarkStart w:id="19" w:name="_Hlt74730112"/>
      <w:r>
        <w:rPr>
          <w:rFonts w:hint="eastAsia" w:hAnsi="宋体" w:cs="宋体"/>
          <w:b/>
          <w:sz w:val="24"/>
          <w:szCs w:val="24"/>
        </w:rPr>
        <w:t>项目说明</w:t>
      </w:r>
      <w:bookmarkEnd w:id="17"/>
    </w:p>
    <w:p>
      <w:pPr>
        <w:pStyle w:val="28"/>
        <w:numPr>
          <w:ilvl w:val="0"/>
          <w:numId w:val="8"/>
        </w:numPr>
        <w:tabs>
          <w:tab w:val="left" w:pos="0"/>
        </w:tabs>
        <w:spacing w:before="0"/>
        <w:ind w:firstLine="480"/>
        <w:rPr>
          <w:rFonts w:ascii="宋体" w:hAnsi="宋体" w:cs="宋体"/>
          <w:szCs w:val="24"/>
        </w:rPr>
      </w:pPr>
      <w:r>
        <w:rPr>
          <w:rFonts w:hint="eastAsia" w:ascii="宋体" w:hAnsi="宋体" w:cs="宋体"/>
          <w:szCs w:val="24"/>
        </w:rPr>
        <w:t>项目说明见前附表所述。投标人一旦参与本次招标活动，即被视为接受了本招标文件的所有内容，如有任何异议，均已在法定时间内提出。</w:t>
      </w:r>
    </w:p>
    <w:p>
      <w:pPr>
        <w:pStyle w:val="28"/>
        <w:numPr>
          <w:ilvl w:val="0"/>
          <w:numId w:val="8"/>
        </w:numPr>
        <w:tabs>
          <w:tab w:val="left" w:pos="0"/>
        </w:tabs>
        <w:spacing w:before="0"/>
        <w:ind w:firstLine="480"/>
        <w:rPr>
          <w:rFonts w:ascii="宋体" w:hAnsi="宋体" w:cs="宋体"/>
          <w:szCs w:val="24"/>
        </w:rPr>
      </w:pPr>
      <w:r>
        <w:rPr>
          <w:rFonts w:hint="eastAsia" w:ascii="宋体" w:hAnsi="宋体" w:cs="宋体"/>
          <w:szCs w:val="24"/>
        </w:rPr>
        <w:t>投标人须对所投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cs="宋体"/>
          <w:szCs w:val="24"/>
          <w:lang w:val="zh-CN"/>
        </w:rPr>
        <w:t>供应商</w:t>
      </w:r>
      <w:r>
        <w:rPr>
          <w:rFonts w:hint="eastAsia" w:ascii="宋体" w:hAnsi="宋体" w:cs="宋体"/>
          <w:szCs w:val="24"/>
        </w:rPr>
        <w:t>应承担相应后果，</w:t>
      </w:r>
      <w:r>
        <w:rPr>
          <w:rFonts w:hint="eastAsia" w:ascii="宋体" w:hAnsi="宋体" w:cs="宋体"/>
          <w:szCs w:val="24"/>
          <w:lang w:val="zh-CN"/>
        </w:rPr>
        <w:t>并负责赔偿。</w:t>
      </w:r>
      <w:r>
        <w:rPr>
          <w:rFonts w:hint="eastAsia" w:ascii="宋体" w:hAnsi="宋体" w:cs="宋体"/>
          <w:szCs w:val="24"/>
        </w:rPr>
        <w:t>供应商为执行本项目合同而提供的技术资料等归采购人所有。</w:t>
      </w:r>
    </w:p>
    <w:p>
      <w:pPr>
        <w:snapToGrid w:val="0"/>
        <w:spacing w:line="440" w:lineRule="exact"/>
        <w:ind w:firstLine="480" w:firstLineChars="200"/>
        <w:jc w:val="left"/>
        <w:rPr>
          <w:rFonts w:ascii="宋体" w:hAnsi="宋体" w:cs="宋体"/>
          <w:sz w:val="24"/>
        </w:rPr>
      </w:pPr>
      <w:bookmarkStart w:id="20" w:name="_Toc91899873"/>
      <w:r>
        <w:rPr>
          <w:rFonts w:hint="eastAsia" w:ascii="宋体" w:hAnsi="宋体" w:cs="宋体"/>
          <w:sz w:val="24"/>
        </w:rPr>
        <w:t>1.3本招标文件所称公章是指单位法定名称章或者冠以单位法定名称的电子公章。</w:t>
      </w:r>
    </w:p>
    <w:p>
      <w:pPr>
        <w:snapToGrid w:val="0"/>
        <w:spacing w:line="440" w:lineRule="exact"/>
        <w:ind w:firstLine="480" w:firstLineChars="200"/>
        <w:jc w:val="left"/>
        <w:rPr>
          <w:rFonts w:ascii="宋体" w:hAnsi="宋体" w:cs="宋体"/>
          <w:sz w:val="24"/>
        </w:rPr>
      </w:pPr>
      <w:r>
        <w:rPr>
          <w:rFonts w:hint="eastAsia" w:ascii="宋体" w:hAnsi="宋体" w:cs="宋体"/>
          <w:sz w:val="24"/>
        </w:rPr>
        <w:t>1.4公开招标数额标准以上的采购项目，投标截止后投标人不足3家或者通过资格审查或符合性审查的投标人不足3家的，除采购任务取消情形外，按照以下方式处理：</w:t>
      </w:r>
    </w:p>
    <w:p>
      <w:pPr>
        <w:pStyle w:val="28"/>
        <w:numPr>
          <w:ilvl w:val="0"/>
          <w:numId w:val="9"/>
        </w:numPr>
        <w:spacing w:before="0"/>
        <w:ind w:firstLine="480"/>
        <w:rPr>
          <w:rFonts w:ascii="宋体" w:hAnsi="宋体" w:cs="宋体"/>
          <w:szCs w:val="24"/>
        </w:rPr>
      </w:pPr>
      <w:r>
        <w:rPr>
          <w:rFonts w:hint="eastAsia" w:ascii="宋体" w:hAnsi="宋体" w:cs="宋体"/>
          <w:szCs w:val="24"/>
        </w:rPr>
        <w:t>招标文件存在不合理条款或者招标程序不符合规定的，采购人、采购代理机构改正后依法重新招标；</w:t>
      </w:r>
    </w:p>
    <w:p>
      <w:pPr>
        <w:pStyle w:val="28"/>
        <w:numPr>
          <w:ilvl w:val="0"/>
          <w:numId w:val="9"/>
        </w:numPr>
        <w:spacing w:before="0"/>
        <w:ind w:firstLine="480"/>
        <w:rPr>
          <w:rFonts w:ascii="宋体" w:hAnsi="宋体" w:cs="宋体"/>
          <w:szCs w:val="24"/>
        </w:rPr>
      </w:pPr>
      <w:r>
        <w:rPr>
          <w:rFonts w:hint="eastAsia" w:ascii="宋体" w:hAnsi="宋体" w:cs="宋体"/>
          <w:szCs w:val="24"/>
        </w:rPr>
        <w:t>招标文件没有不合理条款、招标程序符合规定，需要采用其他采购方式采购的，采购人应当依法报财政部门批准。</w:t>
      </w:r>
    </w:p>
    <w:p>
      <w:pPr>
        <w:pStyle w:val="13"/>
        <w:numPr>
          <w:ilvl w:val="0"/>
          <w:numId w:val="7"/>
        </w:numPr>
        <w:spacing w:line="360" w:lineRule="auto"/>
        <w:ind w:firstLine="482" w:firstLineChars="200"/>
        <w:rPr>
          <w:rFonts w:hAnsi="宋体" w:cs="宋体"/>
          <w:b/>
          <w:sz w:val="24"/>
          <w:szCs w:val="24"/>
        </w:rPr>
      </w:pPr>
      <w:r>
        <w:rPr>
          <w:rFonts w:hint="eastAsia" w:hAnsi="宋体" w:cs="宋体"/>
          <w:b/>
          <w:sz w:val="24"/>
          <w:szCs w:val="24"/>
        </w:rPr>
        <w:t>采购方式</w:t>
      </w:r>
      <w:bookmarkEnd w:id="20"/>
    </w:p>
    <w:p>
      <w:pPr>
        <w:tabs>
          <w:tab w:val="left" w:pos="3780"/>
        </w:tabs>
        <w:spacing w:line="360" w:lineRule="auto"/>
        <w:ind w:firstLine="480" w:firstLineChars="200"/>
        <w:rPr>
          <w:rFonts w:ascii="宋体" w:hAnsi="宋体" w:cs="宋体"/>
          <w:sz w:val="24"/>
        </w:rPr>
      </w:pPr>
      <w:r>
        <w:rPr>
          <w:rFonts w:hint="eastAsia" w:ascii="宋体" w:hAnsi="宋体" w:cs="宋体"/>
          <w:sz w:val="24"/>
        </w:rPr>
        <w:t>公开招标。</w:t>
      </w:r>
      <w:bookmarkEnd w:id="18"/>
      <w:bookmarkEnd w:id="19"/>
      <w:bookmarkStart w:id="21" w:name="_Hlt68516771"/>
      <w:bookmarkEnd w:id="21"/>
      <w:bookmarkStart w:id="22" w:name="_Hlt74388212"/>
      <w:bookmarkEnd w:id="22"/>
    </w:p>
    <w:p>
      <w:pPr>
        <w:pStyle w:val="13"/>
        <w:numPr>
          <w:ilvl w:val="0"/>
          <w:numId w:val="7"/>
        </w:numPr>
        <w:spacing w:line="360" w:lineRule="auto"/>
        <w:ind w:firstLine="482" w:firstLineChars="200"/>
        <w:rPr>
          <w:rFonts w:hAnsi="宋体" w:cs="宋体"/>
          <w:b/>
          <w:sz w:val="24"/>
          <w:szCs w:val="24"/>
        </w:rPr>
      </w:pPr>
      <w:bookmarkStart w:id="23" w:name="_Toc91899877"/>
      <w:bookmarkStart w:id="24" w:name="_Hlt74730303"/>
      <w:r>
        <w:rPr>
          <w:rFonts w:hint="eastAsia" w:hAnsi="宋体" w:cs="宋体"/>
          <w:b/>
          <w:sz w:val="24"/>
          <w:szCs w:val="24"/>
        </w:rPr>
        <w:t>投标费用</w:t>
      </w:r>
      <w:bookmarkEnd w:id="23"/>
    </w:p>
    <w:bookmarkEnd w:id="24"/>
    <w:p>
      <w:pPr>
        <w:autoSpaceDE w:val="0"/>
        <w:autoSpaceDN w:val="0"/>
        <w:spacing w:line="360" w:lineRule="auto"/>
        <w:ind w:firstLine="523" w:firstLineChars="218"/>
        <w:rPr>
          <w:rFonts w:ascii="宋体" w:hAnsi="宋体" w:cs="宋体"/>
          <w:sz w:val="24"/>
          <w:lang w:val="zh-CN"/>
        </w:rPr>
      </w:pPr>
      <w:r>
        <w:rPr>
          <w:rFonts w:hint="eastAsia" w:ascii="宋体" w:hAnsi="宋体" w:cs="宋体"/>
          <w:sz w:val="24"/>
        </w:rPr>
        <w:t>投标人需自行承担涉及投标的一切费用（招标文件有其他相反规定除外）。</w:t>
      </w:r>
    </w:p>
    <w:p>
      <w:pPr>
        <w:spacing w:line="360" w:lineRule="auto"/>
        <w:jc w:val="center"/>
        <w:rPr>
          <w:rFonts w:ascii="宋体" w:hAnsi="宋体" w:cs="宋体"/>
          <w:b/>
          <w:sz w:val="24"/>
        </w:rPr>
      </w:pPr>
      <w:bookmarkStart w:id="25" w:name="_Hlt68072990"/>
      <w:bookmarkEnd w:id="25"/>
      <w:bookmarkStart w:id="26" w:name="_Hlt74707468"/>
      <w:bookmarkEnd w:id="26"/>
      <w:bookmarkStart w:id="27" w:name="_Hlt68057669"/>
      <w:bookmarkEnd w:id="27"/>
      <w:bookmarkStart w:id="28" w:name="_Hlt74729768"/>
      <w:bookmarkEnd w:id="28"/>
      <w:bookmarkStart w:id="29" w:name="_Hlt75236290"/>
      <w:bookmarkEnd w:id="29"/>
      <w:bookmarkStart w:id="30" w:name="_Toc91899879"/>
    </w:p>
    <w:p>
      <w:pPr>
        <w:snapToGrid w:val="0"/>
        <w:spacing w:line="360" w:lineRule="auto"/>
        <w:jc w:val="center"/>
        <w:outlineLvl w:val="0"/>
        <w:rPr>
          <w:rFonts w:ascii="宋体" w:hAnsi="宋体" w:cs="宋体"/>
          <w:b/>
          <w:sz w:val="32"/>
        </w:rPr>
      </w:pPr>
      <w:bookmarkStart w:id="31" w:name="_Toc8068"/>
      <w:r>
        <w:rPr>
          <w:rFonts w:hint="eastAsia" w:ascii="宋体" w:hAnsi="宋体" w:cs="宋体"/>
          <w:b/>
          <w:sz w:val="32"/>
        </w:rPr>
        <w:t>二、招标文件</w:t>
      </w:r>
      <w:bookmarkEnd w:id="30"/>
      <w:bookmarkEnd w:id="31"/>
    </w:p>
    <w:p>
      <w:pPr>
        <w:pStyle w:val="13"/>
        <w:numPr>
          <w:ilvl w:val="0"/>
          <w:numId w:val="7"/>
        </w:numPr>
        <w:spacing w:line="360" w:lineRule="auto"/>
        <w:ind w:firstLine="482" w:firstLineChars="200"/>
        <w:rPr>
          <w:rFonts w:hAnsi="宋体" w:cs="宋体"/>
          <w:b/>
          <w:sz w:val="24"/>
          <w:szCs w:val="24"/>
        </w:rPr>
      </w:pPr>
      <w:bookmarkStart w:id="32" w:name="_Toc91899880"/>
      <w:bookmarkStart w:id="33" w:name="_Hlt74730307"/>
      <w:r>
        <w:rPr>
          <w:rFonts w:hint="eastAsia" w:hAnsi="宋体" w:cs="宋体"/>
          <w:b/>
          <w:sz w:val="24"/>
          <w:szCs w:val="24"/>
        </w:rPr>
        <w:t>招标文件的构成</w:t>
      </w:r>
      <w:bookmarkEnd w:id="32"/>
    </w:p>
    <w:bookmarkEnd w:id="33"/>
    <w:p>
      <w:pPr>
        <w:pStyle w:val="28"/>
        <w:numPr>
          <w:ilvl w:val="0"/>
          <w:numId w:val="10"/>
        </w:numPr>
        <w:spacing w:before="0"/>
        <w:ind w:firstLine="480"/>
        <w:rPr>
          <w:rFonts w:ascii="宋体" w:hAnsi="宋体" w:cs="宋体"/>
          <w:szCs w:val="24"/>
        </w:rPr>
      </w:pPr>
      <w:r>
        <w:rPr>
          <w:rFonts w:hint="eastAsia" w:ascii="宋体" w:hAnsi="宋体" w:cs="宋体"/>
          <w:szCs w:val="24"/>
        </w:rPr>
        <w:t>招标文件包括下列文件及附件</w:t>
      </w:r>
    </w:p>
    <w:p>
      <w:pPr>
        <w:pStyle w:val="28"/>
        <w:numPr>
          <w:ilvl w:val="0"/>
          <w:numId w:val="11"/>
        </w:numPr>
        <w:spacing w:before="0"/>
        <w:ind w:firstLine="480"/>
        <w:rPr>
          <w:rFonts w:ascii="宋体" w:hAnsi="宋体" w:cs="宋体"/>
          <w:szCs w:val="24"/>
        </w:rPr>
      </w:pPr>
      <w:r>
        <w:rPr>
          <w:rFonts w:hint="eastAsia" w:ascii="宋体" w:hAnsi="宋体" w:cs="宋体"/>
          <w:szCs w:val="24"/>
        </w:rPr>
        <w:t>第一部分 招标公告</w:t>
      </w:r>
    </w:p>
    <w:p>
      <w:pPr>
        <w:pStyle w:val="28"/>
        <w:numPr>
          <w:ilvl w:val="0"/>
          <w:numId w:val="11"/>
        </w:numPr>
        <w:spacing w:before="0"/>
        <w:ind w:firstLine="480"/>
        <w:rPr>
          <w:rFonts w:ascii="宋体" w:hAnsi="宋体" w:cs="宋体"/>
          <w:szCs w:val="24"/>
        </w:rPr>
      </w:pPr>
      <w:r>
        <w:rPr>
          <w:rFonts w:hint="eastAsia" w:ascii="宋体" w:hAnsi="宋体" w:cs="宋体"/>
          <w:szCs w:val="24"/>
        </w:rPr>
        <w:t>第二部分 投标须知</w:t>
      </w:r>
    </w:p>
    <w:p>
      <w:pPr>
        <w:pStyle w:val="28"/>
        <w:numPr>
          <w:ilvl w:val="0"/>
          <w:numId w:val="11"/>
        </w:numPr>
        <w:spacing w:before="0"/>
        <w:ind w:firstLine="480"/>
        <w:rPr>
          <w:rFonts w:ascii="宋体" w:hAnsi="宋体" w:cs="宋体"/>
          <w:szCs w:val="24"/>
        </w:rPr>
      </w:pPr>
      <w:r>
        <w:rPr>
          <w:rFonts w:hint="eastAsia" w:ascii="宋体" w:hAnsi="宋体" w:cs="宋体"/>
          <w:szCs w:val="24"/>
        </w:rPr>
        <w:t>第三部分 评标办法及评分标准</w:t>
      </w:r>
    </w:p>
    <w:p>
      <w:pPr>
        <w:pStyle w:val="28"/>
        <w:numPr>
          <w:ilvl w:val="0"/>
          <w:numId w:val="11"/>
        </w:numPr>
        <w:spacing w:before="0"/>
        <w:ind w:firstLine="480"/>
        <w:rPr>
          <w:rFonts w:ascii="宋体" w:hAnsi="宋体" w:cs="宋体"/>
          <w:szCs w:val="24"/>
        </w:rPr>
      </w:pPr>
      <w:r>
        <w:rPr>
          <w:rFonts w:hint="eastAsia" w:ascii="宋体" w:hAnsi="宋体" w:cs="宋体"/>
          <w:szCs w:val="24"/>
        </w:rPr>
        <w:t>第四部分 采购需求</w:t>
      </w:r>
    </w:p>
    <w:p>
      <w:pPr>
        <w:pStyle w:val="28"/>
        <w:numPr>
          <w:ilvl w:val="0"/>
          <w:numId w:val="11"/>
        </w:numPr>
        <w:spacing w:before="0"/>
        <w:ind w:firstLine="480"/>
        <w:rPr>
          <w:rFonts w:ascii="宋体" w:hAnsi="宋体" w:cs="宋体"/>
          <w:szCs w:val="24"/>
        </w:rPr>
      </w:pPr>
      <w:r>
        <w:rPr>
          <w:rFonts w:hint="eastAsia" w:ascii="宋体" w:hAnsi="宋体" w:cs="宋体"/>
          <w:szCs w:val="24"/>
        </w:rPr>
        <w:t>第五部分 采购合同的一般和特殊条款</w:t>
      </w:r>
    </w:p>
    <w:p>
      <w:pPr>
        <w:pStyle w:val="28"/>
        <w:numPr>
          <w:ilvl w:val="0"/>
          <w:numId w:val="11"/>
        </w:numPr>
        <w:spacing w:before="0"/>
        <w:ind w:firstLine="480"/>
        <w:rPr>
          <w:rFonts w:ascii="宋体" w:hAnsi="宋体" w:cs="宋体"/>
          <w:szCs w:val="24"/>
        </w:rPr>
      </w:pPr>
      <w:r>
        <w:rPr>
          <w:rFonts w:hint="eastAsia" w:ascii="宋体" w:hAnsi="宋体" w:cs="宋体"/>
          <w:szCs w:val="24"/>
        </w:rPr>
        <w:t>第六部分 应提交的有关格式范例</w:t>
      </w:r>
    </w:p>
    <w:p>
      <w:pPr>
        <w:pStyle w:val="28"/>
        <w:numPr>
          <w:ilvl w:val="0"/>
          <w:numId w:val="10"/>
        </w:numPr>
        <w:spacing w:before="0"/>
        <w:ind w:firstLine="480"/>
        <w:rPr>
          <w:rFonts w:ascii="宋体" w:hAnsi="宋体" w:cs="宋体"/>
          <w:szCs w:val="24"/>
        </w:rPr>
      </w:pPr>
      <w:r>
        <w:rPr>
          <w:rFonts w:hint="eastAsia" w:ascii="宋体" w:hAnsi="宋体" w:cs="宋体"/>
          <w:szCs w:val="24"/>
        </w:rPr>
        <w:t>投标人应认真审阅招标文件中所有的内容，包括编制和提交采购响应文件须知、评标办法及评分标准、项目技术规范和服务要求、采购合同的一般和特殊条款、应提交的有关格式范例等。</w:t>
      </w:r>
    </w:p>
    <w:p>
      <w:pPr>
        <w:pStyle w:val="13"/>
        <w:numPr>
          <w:ilvl w:val="0"/>
          <w:numId w:val="7"/>
        </w:numPr>
        <w:spacing w:line="360" w:lineRule="auto"/>
        <w:ind w:firstLine="482" w:firstLineChars="200"/>
        <w:rPr>
          <w:rFonts w:hAnsi="宋体" w:cs="宋体"/>
          <w:b/>
          <w:sz w:val="24"/>
          <w:szCs w:val="24"/>
        </w:rPr>
      </w:pPr>
      <w:r>
        <w:rPr>
          <w:rFonts w:hint="eastAsia" w:hAnsi="宋体" w:cs="宋体"/>
          <w:b/>
          <w:sz w:val="24"/>
          <w:szCs w:val="24"/>
        </w:rPr>
        <w:t>招标文件的解释</w:t>
      </w:r>
    </w:p>
    <w:p>
      <w:pPr>
        <w:pStyle w:val="28"/>
        <w:numPr>
          <w:ilvl w:val="0"/>
          <w:numId w:val="12"/>
        </w:numPr>
        <w:spacing w:before="0"/>
        <w:ind w:firstLine="480"/>
        <w:rPr>
          <w:rFonts w:ascii="宋体" w:hAnsi="宋体" w:cs="宋体"/>
          <w:szCs w:val="24"/>
        </w:rPr>
      </w:pPr>
      <w:r>
        <w:rPr>
          <w:rFonts w:hint="eastAsia" w:ascii="宋体" w:hAnsi="宋体" w:cs="宋体"/>
          <w:szCs w:val="24"/>
        </w:rPr>
        <w:t>已获取招标文件的潜在投标人，若有问题需要澄清，应于投标截止时间前，以书面形式向采购代理机构提出，采购代理机构与采购人研究后，对认为有必要回答的问题，将通过招标公告发布网站通知所有招标文件收受人。</w:t>
      </w:r>
    </w:p>
    <w:p>
      <w:pPr>
        <w:pStyle w:val="28"/>
        <w:numPr>
          <w:ilvl w:val="0"/>
          <w:numId w:val="12"/>
        </w:numPr>
        <w:spacing w:before="0"/>
        <w:ind w:firstLine="480"/>
        <w:rPr>
          <w:rFonts w:ascii="宋体" w:hAnsi="宋体" w:cs="宋体"/>
          <w:szCs w:val="24"/>
        </w:rPr>
      </w:pPr>
      <w:r>
        <w:rPr>
          <w:rFonts w:hint="eastAsia" w:ascii="宋体" w:hAnsi="宋体" w:cs="宋体"/>
          <w:szCs w:val="24"/>
        </w:rPr>
        <w:t>采购代理机构如对已发出的招标文件进行必要澄清或者修改的，将在发布招标公告的网站上发布更正公告，同时视情况延长投标截止时间和开标时间。该澄清或者修改的内容为招标文件的组成部分。</w:t>
      </w:r>
    </w:p>
    <w:p>
      <w:pPr>
        <w:pStyle w:val="28"/>
        <w:numPr>
          <w:ilvl w:val="0"/>
          <w:numId w:val="12"/>
        </w:numPr>
        <w:spacing w:before="0"/>
        <w:ind w:firstLine="480"/>
        <w:rPr>
          <w:rFonts w:ascii="宋体" w:hAnsi="宋体" w:cs="宋体"/>
          <w:szCs w:val="24"/>
        </w:rPr>
      </w:pPr>
      <w:r>
        <w:rPr>
          <w:rFonts w:hint="eastAsia" w:ascii="宋体" w:hAnsi="宋体" w:cs="宋体"/>
          <w:szCs w:val="24"/>
        </w:rPr>
        <w:t>不论采购代理机构向投标人发送的资料文件，还是投标人提出的问题，均采用书面形式。</w:t>
      </w:r>
    </w:p>
    <w:p>
      <w:pPr>
        <w:pStyle w:val="13"/>
        <w:numPr>
          <w:ilvl w:val="0"/>
          <w:numId w:val="7"/>
        </w:numPr>
        <w:spacing w:line="360" w:lineRule="auto"/>
        <w:ind w:firstLine="482" w:firstLineChars="200"/>
        <w:rPr>
          <w:rFonts w:hAnsi="宋体" w:cs="宋体"/>
          <w:b/>
          <w:sz w:val="24"/>
          <w:szCs w:val="24"/>
        </w:rPr>
      </w:pPr>
      <w:r>
        <w:rPr>
          <w:rFonts w:hint="eastAsia" w:hAnsi="宋体" w:cs="宋体"/>
          <w:b/>
          <w:sz w:val="24"/>
          <w:szCs w:val="24"/>
        </w:rPr>
        <w:t>招标文件的修改、澄清</w:t>
      </w:r>
    </w:p>
    <w:p>
      <w:pPr>
        <w:pStyle w:val="28"/>
        <w:numPr>
          <w:ilvl w:val="0"/>
          <w:numId w:val="13"/>
        </w:numPr>
        <w:spacing w:before="0"/>
        <w:ind w:firstLine="480"/>
        <w:rPr>
          <w:rFonts w:ascii="宋体" w:hAnsi="宋体" w:cs="宋体"/>
          <w:szCs w:val="24"/>
        </w:rPr>
      </w:pPr>
      <w:r>
        <w:rPr>
          <w:rFonts w:hint="eastAsia" w:ascii="宋体" w:hAnsi="宋体" w:cs="宋体"/>
          <w:szCs w:val="24"/>
        </w:rPr>
        <w:t>从招标文件发出至投标截止时间前，采购代理机构可能会以补充通知的方式修改招标文件。补充通知作为招标文件的组成部分，各潜在投标人应自行在公告发布网站查看。若有必要，采购代理机构将酌情延长递交投标文件的截止日期。</w:t>
      </w:r>
    </w:p>
    <w:p>
      <w:pPr>
        <w:pStyle w:val="28"/>
        <w:numPr>
          <w:ilvl w:val="0"/>
          <w:numId w:val="13"/>
        </w:numPr>
        <w:spacing w:before="0"/>
        <w:ind w:firstLine="480"/>
        <w:rPr>
          <w:rFonts w:ascii="宋体" w:hAnsi="宋体" w:cs="宋体"/>
          <w:szCs w:val="24"/>
        </w:rPr>
      </w:pPr>
      <w:r>
        <w:rPr>
          <w:rFonts w:hint="eastAsia" w:ascii="宋体" w:hAnsi="宋体" w:cs="宋体"/>
          <w:szCs w:val="24"/>
        </w:rPr>
        <w:t>对投标文件中含义不明、表述不一致或有明显计算错误等内容，评标委员会将对投标人进行询标，并要求投标人作电子澄清（询标由专家在政采云系统上发起询标函，投标人在澄清处在规定时间内进行答复）；投标人的电子澄清，应由法定代表人进行电子签章（也可由法定代表人或授权代表签字扫描后上传），作为投标文件的补充部分，但澄清的内容不得改变投标文件的实质性内容。</w:t>
      </w:r>
    </w:p>
    <w:p>
      <w:pPr>
        <w:pStyle w:val="13"/>
        <w:numPr>
          <w:ilvl w:val="0"/>
          <w:numId w:val="7"/>
        </w:numPr>
        <w:spacing w:line="360" w:lineRule="auto"/>
        <w:ind w:firstLine="482" w:firstLineChars="200"/>
        <w:rPr>
          <w:rFonts w:hAnsi="宋体" w:cs="宋体"/>
          <w:b/>
          <w:sz w:val="24"/>
          <w:szCs w:val="24"/>
        </w:rPr>
      </w:pPr>
      <w:r>
        <w:rPr>
          <w:rFonts w:hint="eastAsia" w:hAnsi="宋体" w:cs="宋体"/>
          <w:b/>
          <w:sz w:val="24"/>
          <w:szCs w:val="24"/>
        </w:rPr>
        <w:t>投标报价</w:t>
      </w:r>
    </w:p>
    <w:p>
      <w:pPr>
        <w:pStyle w:val="28"/>
        <w:numPr>
          <w:ilvl w:val="0"/>
          <w:numId w:val="14"/>
        </w:numPr>
        <w:spacing w:before="0"/>
        <w:ind w:firstLine="482"/>
        <w:rPr>
          <w:rFonts w:ascii="宋体" w:hAnsi="宋体" w:cs="宋体"/>
          <w:b/>
          <w:bCs/>
          <w:szCs w:val="24"/>
        </w:rPr>
      </w:pPr>
      <w:r>
        <w:rPr>
          <w:rFonts w:hint="eastAsia" w:ascii="宋体" w:hAnsi="宋体" w:cs="宋体"/>
          <w:b/>
          <w:bCs/>
        </w:rPr>
        <w:t>本次</w:t>
      </w:r>
      <w:r>
        <w:rPr>
          <w:rFonts w:hint="eastAsia" w:ascii="宋体" w:hAnsi="宋体" w:cs="宋体"/>
          <w:b/>
          <w:bCs/>
          <w:lang w:val="en-US" w:eastAsia="zh-CN"/>
        </w:rPr>
        <w:t>投标</w:t>
      </w:r>
      <w:r>
        <w:rPr>
          <w:rFonts w:hint="eastAsia" w:ascii="宋体" w:hAnsi="宋体" w:cs="宋体"/>
          <w:b/>
          <w:bCs/>
        </w:rPr>
        <w:t>报价应包括人员的工资福利、五险一金、软件系统费（含设计、开发、集成、测试、维护、升级等）、硬件及配件、实施部署费、安装费、调试费、运杂费、技术培训费、售后服务费、人工费用、税金等一切费用</w:t>
      </w:r>
      <w:r>
        <w:rPr>
          <w:rFonts w:hint="eastAsia" w:ascii="宋体" w:hAnsi="宋体" w:cs="宋体"/>
          <w:b/>
          <w:bCs/>
          <w:szCs w:val="24"/>
        </w:rPr>
        <w:t>。投标人在编写投标方案时应充分考虑各种风险因素，凡投标人漏项、漏报均认为已包含在报价中，结算时不再增加。</w:t>
      </w:r>
    </w:p>
    <w:p>
      <w:pPr>
        <w:pStyle w:val="28"/>
        <w:numPr>
          <w:ilvl w:val="0"/>
          <w:numId w:val="14"/>
        </w:numPr>
        <w:spacing w:before="0"/>
        <w:ind w:firstLine="480"/>
        <w:rPr>
          <w:rFonts w:ascii="宋体" w:hAnsi="宋体" w:cs="宋体"/>
          <w:szCs w:val="24"/>
        </w:rPr>
      </w:pPr>
      <w:r>
        <w:rPr>
          <w:rFonts w:hint="eastAsia" w:ascii="宋体" w:hAnsi="宋体" w:cs="宋体"/>
          <w:szCs w:val="24"/>
        </w:rPr>
        <w:t>其它费用处理</w:t>
      </w:r>
    </w:p>
    <w:p>
      <w:pPr>
        <w:pStyle w:val="28"/>
        <w:tabs>
          <w:tab w:val="left" w:pos="0"/>
        </w:tabs>
        <w:spacing w:before="0"/>
        <w:ind w:left="420" w:leftChars="200" w:firstLine="0" w:firstLineChars="0"/>
        <w:rPr>
          <w:rFonts w:ascii="宋体" w:hAnsi="宋体" w:cs="宋体"/>
          <w:szCs w:val="24"/>
        </w:rPr>
      </w:pPr>
      <w:r>
        <w:rPr>
          <w:rFonts w:hint="eastAsia" w:ascii="宋体" w:hAnsi="宋体" w:cs="宋体"/>
          <w:szCs w:val="24"/>
        </w:rPr>
        <w:t>招标文件未列明，而投标人认为必需的费用也需列入报价。</w:t>
      </w:r>
    </w:p>
    <w:p>
      <w:pPr>
        <w:pStyle w:val="28"/>
        <w:numPr>
          <w:ilvl w:val="0"/>
          <w:numId w:val="14"/>
        </w:numPr>
        <w:spacing w:before="0"/>
        <w:ind w:firstLine="480"/>
        <w:rPr>
          <w:rFonts w:ascii="宋体" w:hAnsi="宋体" w:cs="宋体"/>
          <w:szCs w:val="24"/>
        </w:rPr>
      </w:pPr>
      <w:r>
        <w:rPr>
          <w:rFonts w:hint="eastAsia" w:ascii="宋体" w:hAnsi="宋体" w:cs="宋体"/>
          <w:szCs w:val="24"/>
        </w:rPr>
        <w:t>投标货币</w:t>
      </w:r>
    </w:p>
    <w:p>
      <w:pPr>
        <w:pStyle w:val="28"/>
        <w:snapToGrid w:val="0"/>
        <w:spacing w:before="0" w:line="500" w:lineRule="exact"/>
        <w:ind w:firstLine="480"/>
        <w:rPr>
          <w:rFonts w:ascii="宋体" w:hAnsi="宋体" w:cs="宋体"/>
          <w:szCs w:val="24"/>
        </w:rPr>
      </w:pPr>
      <w:r>
        <w:rPr>
          <w:rFonts w:hint="eastAsia" w:ascii="宋体" w:hAnsi="宋体" w:cs="宋体"/>
          <w:szCs w:val="24"/>
        </w:rPr>
        <w:t>投标文件中价格全部采用人民币报价。报价应是唯一的, 采购代理机构将不接受有选择的报价。</w:t>
      </w:r>
    </w:p>
    <w:p>
      <w:pPr>
        <w:pStyle w:val="5"/>
        <w:snapToGrid w:val="0"/>
        <w:ind w:firstLine="480" w:firstLineChars="200"/>
        <w:rPr>
          <w:rFonts w:hAnsi="宋体" w:cs="宋体"/>
          <w:szCs w:val="24"/>
        </w:rPr>
      </w:pPr>
    </w:p>
    <w:p>
      <w:pPr>
        <w:snapToGrid w:val="0"/>
        <w:spacing w:line="360" w:lineRule="auto"/>
        <w:jc w:val="center"/>
        <w:outlineLvl w:val="0"/>
        <w:rPr>
          <w:rFonts w:ascii="宋体" w:hAnsi="宋体" w:cs="宋体"/>
          <w:b/>
          <w:sz w:val="32"/>
        </w:rPr>
      </w:pPr>
      <w:bookmarkStart w:id="34" w:name="_Hlt75236011"/>
      <w:bookmarkEnd w:id="34"/>
      <w:bookmarkStart w:id="35" w:name="_Toc3954"/>
      <w:bookmarkStart w:id="36" w:name="_Toc91899884"/>
      <w:r>
        <w:rPr>
          <w:rFonts w:hint="eastAsia" w:ascii="宋体" w:hAnsi="宋体" w:cs="宋体"/>
          <w:b/>
          <w:sz w:val="32"/>
        </w:rPr>
        <w:t>三、投标文件的编制</w:t>
      </w:r>
      <w:bookmarkEnd w:id="35"/>
      <w:bookmarkEnd w:id="36"/>
    </w:p>
    <w:p>
      <w:pPr>
        <w:pStyle w:val="13"/>
        <w:numPr>
          <w:ilvl w:val="0"/>
          <w:numId w:val="7"/>
        </w:numPr>
        <w:spacing w:line="360" w:lineRule="auto"/>
        <w:ind w:firstLine="482" w:firstLineChars="200"/>
        <w:rPr>
          <w:rFonts w:hAnsi="宋体" w:cs="宋体"/>
          <w:b/>
          <w:sz w:val="24"/>
          <w:szCs w:val="24"/>
        </w:rPr>
      </w:pPr>
      <w:bookmarkStart w:id="37" w:name="_Toc86216991"/>
      <w:bookmarkStart w:id="38" w:name="_Toc91899892"/>
      <w:r>
        <w:rPr>
          <w:rFonts w:hint="eastAsia" w:hAnsi="宋体" w:cs="宋体"/>
          <w:b/>
          <w:sz w:val="24"/>
          <w:szCs w:val="24"/>
        </w:rPr>
        <w:t>投标文件的语言</w:t>
      </w:r>
    </w:p>
    <w:p>
      <w:pPr>
        <w:pStyle w:val="28"/>
        <w:tabs>
          <w:tab w:val="left" w:pos="0"/>
        </w:tabs>
        <w:spacing w:before="0"/>
        <w:ind w:firstLine="480"/>
        <w:rPr>
          <w:rFonts w:ascii="宋体" w:hAnsi="宋体" w:cs="宋体"/>
          <w:szCs w:val="24"/>
          <w:lang w:val="zh-CN"/>
        </w:rPr>
      </w:pPr>
      <w:r>
        <w:rPr>
          <w:rFonts w:hint="eastAsia" w:ascii="宋体" w:hAnsi="宋体" w:cs="宋体"/>
          <w:szCs w:val="24"/>
        </w:rPr>
        <w:t>投标文件及投标人与采购有关的来往通知、函件和文件均应使用中文。</w:t>
      </w:r>
    </w:p>
    <w:p>
      <w:pPr>
        <w:pStyle w:val="13"/>
        <w:numPr>
          <w:ilvl w:val="0"/>
          <w:numId w:val="7"/>
        </w:numPr>
        <w:spacing w:line="360" w:lineRule="auto"/>
        <w:ind w:firstLine="482" w:firstLineChars="200"/>
        <w:rPr>
          <w:rFonts w:hAnsi="宋体" w:cs="宋体"/>
          <w:b/>
          <w:sz w:val="24"/>
          <w:szCs w:val="24"/>
        </w:rPr>
      </w:pPr>
      <w:r>
        <w:rPr>
          <w:rFonts w:hint="eastAsia" w:hAnsi="宋体" w:cs="宋体"/>
          <w:b/>
          <w:sz w:val="24"/>
          <w:szCs w:val="24"/>
        </w:rPr>
        <w:t>投标文件的组成</w:t>
      </w:r>
    </w:p>
    <w:p>
      <w:pPr>
        <w:pStyle w:val="28"/>
        <w:tabs>
          <w:tab w:val="left" w:pos="0"/>
        </w:tabs>
        <w:spacing w:before="0"/>
        <w:ind w:firstLine="480"/>
        <w:rPr>
          <w:rFonts w:ascii="宋体" w:hAnsi="宋体" w:cs="宋体"/>
          <w:szCs w:val="24"/>
        </w:rPr>
      </w:pPr>
      <w:r>
        <w:rPr>
          <w:rFonts w:hint="eastAsia" w:ascii="宋体" w:hAnsi="宋体" w:cs="宋体"/>
          <w:szCs w:val="24"/>
        </w:rPr>
        <w:t>投标文件应当包括以下主要内容：资格文件、商务技术文件、报价文件。</w:t>
      </w:r>
    </w:p>
    <w:p>
      <w:pPr>
        <w:pStyle w:val="28"/>
        <w:numPr>
          <w:ilvl w:val="0"/>
          <w:numId w:val="15"/>
        </w:numPr>
        <w:spacing w:before="0"/>
        <w:ind w:firstLine="480"/>
        <w:rPr>
          <w:rFonts w:ascii="宋体" w:hAnsi="宋体" w:cs="宋体"/>
          <w:szCs w:val="24"/>
        </w:rPr>
      </w:pPr>
      <w:r>
        <w:rPr>
          <w:rFonts w:hint="eastAsia" w:ascii="宋体" w:hAnsi="宋体" w:cs="宋体"/>
          <w:szCs w:val="24"/>
        </w:rPr>
        <w:t>资格文件包括以下内容：</w:t>
      </w:r>
    </w:p>
    <w:p>
      <w:pPr>
        <w:pStyle w:val="28"/>
        <w:numPr>
          <w:ilvl w:val="0"/>
          <w:numId w:val="16"/>
        </w:numPr>
        <w:spacing w:before="0"/>
        <w:ind w:firstLine="480"/>
        <w:rPr>
          <w:rFonts w:ascii="宋体" w:hAnsi="宋体" w:cs="宋体"/>
          <w:szCs w:val="24"/>
        </w:rPr>
      </w:pPr>
      <w:r>
        <w:rPr>
          <w:rFonts w:hint="eastAsia" w:ascii="宋体" w:hAnsi="宋体" w:cs="宋体"/>
          <w:szCs w:val="24"/>
        </w:rPr>
        <w:t>法定代表人授权书（格式见附件）；如法定代表人直接参加投标并对相应文件签字的（签字是指线下签字扫描后上传或者线上进行电子签章），只需提供其身份证复印件，否则应提供授权代表身份证复印件；</w:t>
      </w:r>
    </w:p>
    <w:p>
      <w:pPr>
        <w:pStyle w:val="28"/>
        <w:numPr>
          <w:ilvl w:val="0"/>
          <w:numId w:val="16"/>
        </w:numPr>
        <w:spacing w:before="0"/>
        <w:ind w:firstLine="480"/>
        <w:rPr>
          <w:rFonts w:ascii="宋体" w:hAnsi="宋体" w:cs="宋体"/>
          <w:szCs w:val="24"/>
        </w:rPr>
      </w:pPr>
      <w:r>
        <w:rPr>
          <w:rFonts w:hint="eastAsia" w:ascii="宋体" w:hAnsi="宋体" w:cs="宋体"/>
          <w:szCs w:val="24"/>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pStyle w:val="28"/>
        <w:spacing w:before="0"/>
        <w:ind w:firstLine="480"/>
        <w:rPr>
          <w:rFonts w:ascii="宋体" w:hAnsi="宋体" w:cs="宋体"/>
          <w:szCs w:val="24"/>
        </w:rPr>
      </w:pPr>
      <w:r>
        <w:rPr>
          <w:rFonts w:hint="eastAsia" w:ascii="宋体" w:hAnsi="宋体" w:cs="宋体"/>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pStyle w:val="28"/>
        <w:numPr>
          <w:ilvl w:val="0"/>
          <w:numId w:val="16"/>
        </w:numPr>
        <w:spacing w:before="0"/>
        <w:ind w:firstLine="480"/>
        <w:rPr>
          <w:rFonts w:ascii="宋体" w:hAnsi="宋体" w:cs="宋体"/>
          <w:szCs w:val="24"/>
        </w:rPr>
      </w:pPr>
      <w:r>
        <w:rPr>
          <w:rFonts w:hint="eastAsia" w:ascii="宋体" w:hAnsi="宋体" w:cs="宋体"/>
          <w:szCs w:val="24"/>
        </w:rPr>
        <w:t>具有履行合同所必需的产品和专业技术能力的承诺函；</w:t>
      </w:r>
    </w:p>
    <w:p>
      <w:pPr>
        <w:pStyle w:val="28"/>
        <w:numPr>
          <w:ilvl w:val="0"/>
          <w:numId w:val="16"/>
        </w:numPr>
        <w:spacing w:before="0"/>
        <w:ind w:firstLine="480"/>
        <w:rPr>
          <w:rFonts w:ascii="宋体" w:hAnsi="宋体" w:cs="宋体"/>
          <w:szCs w:val="24"/>
        </w:rPr>
      </w:pPr>
      <w:r>
        <w:rPr>
          <w:rFonts w:hint="eastAsia" w:ascii="宋体" w:hAnsi="宋体" w:cs="宋体"/>
          <w:szCs w:val="24"/>
        </w:rPr>
        <w:t>投标人承诺函（格式见附件）。</w:t>
      </w:r>
    </w:p>
    <w:p>
      <w:pPr>
        <w:pStyle w:val="28"/>
        <w:numPr>
          <w:ilvl w:val="0"/>
          <w:numId w:val="15"/>
        </w:numPr>
        <w:spacing w:before="0"/>
        <w:ind w:firstLine="480"/>
        <w:rPr>
          <w:rFonts w:ascii="宋体" w:hAnsi="宋体" w:cs="宋体"/>
          <w:szCs w:val="24"/>
        </w:rPr>
      </w:pPr>
      <w:r>
        <w:rPr>
          <w:rFonts w:hint="eastAsia" w:ascii="宋体" w:hAnsi="宋体" w:cs="宋体"/>
          <w:szCs w:val="24"/>
        </w:rPr>
        <w:t>商务技术文件，本次招标需要投标人提供以下项所列的技术文件：</w:t>
      </w:r>
    </w:p>
    <w:p>
      <w:pPr>
        <w:pStyle w:val="28"/>
        <w:numPr>
          <w:ilvl w:val="0"/>
          <w:numId w:val="17"/>
        </w:numPr>
        <w:spacing w:before="0"/>
        <w:ind w:firstLine="480"/>
        <w:rPr>
          <w:rFonts w:ascii="宋体"/>
        </w:rPr>
      </w:pPr>
      <w:r>
        <w:rPr>
          <w:rFonts w:hint="eastAsia" w:ascii="宋体" w:hAnsi="宋体" w:cs="宋体"/>
        </w:rPr>
        <w:t>评分对应表（格式见附件，主要用于评委对应评分内容）；</w:t>
      </w:r>
    </w:p>
    <w:p>
      <w:pPr>
        <w:pStyle w:val="28"/>
        <w:numPr>
          <w:ilvl w:val="0"/>
          <w:numId w:val="17"/>
        </w:numPr>
        <w:spacing w:before="0"/>
        <w:ind w:firstLine="480"/>
        <w:rPr>
          <w:rFonts w:ascii="宋体"/>
        </w:rPr>
      </w:pPr>
      <w:r>
        <w:rPr>
          <w:rFonts w:hint="eastAsia" w:ascii="宋体" w:hAnsi="宋体" w:cs="宋体"/>
        </w:rPr>
        <w:t>供应商商务技术文件中资信分自评表（格式见附件）；</w:t>
      </w:r>
    </w:p>
    <w:p>
      <w:pPr>
        <w:pStyle w:val="28"/>
        <w:numPr>
          <w:ilvl w:val="0"/>
          <w:numId w:val="17"/>
        </w:numPr>
        <w:spacing w:before="0"/>
        <w:ind w:firstLine="480"/>
        <w:rPr>
          <w:rFonts w:ascii="宋体"/>
        </w:rPr>
      </w:pPr>
      <w:r>
        <w:rPr>
          <w:rFonts w:hint="eastAsia" w:ascii="宋体" w:hAnsi="宋体" w:cs="宋体"/>
        </w:rPr>
        <w:t>投标项目明细清单（格式见附件）；</w:t>
      </w:r>
    </w:p>
    <w:p>
      <w:pPr>
        <w:pStyle w:val="28"/>
        <w:numPr>
          <w:ilvl w:val="0"/>
          <w:numId w:val="17"/>
        </w:numPr>
        <w:spacing w:before="0"/>
        <w:ind w:firstLine="480"/>
        <w:rPr>
          <w:rFonts w:ascii="宋体"/>
        </w:rPr>
      </w:pPr>
      <w:r>
        <w:rPr>
          <w:rFonts w:hint="eastAsia" w:ascii="宋体" w:hAnsi="宋体" w:cs="宋体"/>
        </w:rPr>
        <w:t>技术响应及建议表（格式见附件）；</w:t>
      </w:r>
    </w:p>
    <w:p>
      <w:pPr>
        <w:pStyle w:val="28"/>
        <w:numPr>
          <w:ilvl w:val="0"/>
          <w:numId w:val="17"/>
        </w:numPr>
        <w:spacing w:before="0"/>
        <w:ind w:firstLine="480"/>
        <w:rPr>
          <w:rFonts w:ascii="宋体"/>
        </w:rPr>
      </w:pPr>
      <w:r>
        <w:rPr>
          <w:rFonts w:hint="eastAsia" w:ascii="宋体" w:hAnsi="宋体" w:cs="宋体"/>
        </w:rPr>
        <w:t>商务响应表（格式见附件）；</w:t>
      </w:r>
    </w:p>
    <w:p>
      <w:pPr>
        <w:pStyle w:val="28"/>
        <w:numPr>
          <w:ilvl w:val="0"/>
          <w:numId w:val="17"/>
        </w:numPr>
        <w:spacing w:before="0"/>
        <w:ind w:firstLine="480"/>
        <w:rPr>
          <w:rFonts w:ascii="宋体" w:hAnsi="宋体" w:cs="宋体"/>
          <w:lang w:val="zh-TW"/>
        </w:rPr>
      </w:pPr>
      <w:r>
        <w:rPr>
          <w:rFonts w:hint="eastAsia" w:ascii="宋体" w:hAnsi="宋体" w:cs="宋体"/>
          <w:lang w:val="zh-TW"/>
        </w:rPr>
        <w:t>总体方案设计；</w:t>
      </w:r>
    </w:p>
    <w:p>
      <w:pPr>
        <w:pStyle w:val="28"/>
        <w:numPr>
          <w:ilvl w:val="0"/>
          <w:numId w:val="17"/>
        </w:numPr>
        <w:spacing w:before="0"/>
        <w:ind w:firstLine="480"/>
        <w:rPr>
          <w:rFonts w:ascii="宋体" w:hAnsi="宋体" w:cs="宋体"/>
          <w:lang w:val="zh-TW"/>
        </w:rPr>
      </w:pPr>
      <w:r>
        <w:rPr>
          <w:rFonts w:hint="eastAsia" w:ascii="宋体" w:hAnsi="宋体" w:cs="宋体"/>
          <w:lang w:val="zh-TW"/>
        </w:rPr>
        <w:t>软件功能方案；</w:t>
      </w:r>
    </w:p>
    <w:p>
      <w:pPr>
        <w:pStyle w:val="28"/>
        <w:numPr>
          <w:ilvl w:val="0"/>
          <w:numId w:val="17"/>
        </w:numPr>
        <w:spacing w:before="0"/>
        <w:ind w:firstLine="480"/>
        <w:rPr>
          <w:rFonts w:ascii="宋体" w:hAnsi="宋体" w:cs="宋体"/>
          <w:lang w:val="zh-TW"/>
        </w:rPr>
      </w:pPr>
      <w:r>
        <w:rPr>
          <w:rFonts w:hint="eastAsia" w:ascii="宋体" w:hAnsi="宋体" w:cs="宋体"/>
          <w:lang w:val="zh-TW"/>
        </w:rPr>
        <w:t>硬件配置；</w:t>
      </w:r>
    </w:p>
    <w:p>
      <w:pPr>
        <w:pStyle w:val="28"/>
        <w:numPr>
          <w:ilvl w:val="0"/>
          <w:numId w:val="17"/>
        </w:numPr>
        <w:spacing w:before="0"/>
        <w:ind w:firstLine="480"/>
        <w:rPr>
          <w:rFonts w:ascii="宋体" w:hAnsi="宋体" w:cs="宋体"/>
        </w:rPr>
      </w:pPr>
      <w:r>
        <w:rPr>
          <w:rFonts w:hint="eastAsia" w:ascii="宋体" w:hAnsi="宋体" w:cs="宋体"/>
        </w:rPr>
        <w:t>系统演示；</w:t>
      </w:r>
    </w:p>
    <w:p>
      <w:pPr>
        <w:pStyle w:val="28"/>
        <w:numPr>
          <w:ilvl w:val="0"/>
          <w:numId w:val="17"/>
        </w:numPr>
        <w:spacing w:before="0"/>
        <w:ind w:firstLine="480"/>
        <w:rPr>
          <w:rFonts w:ascii="宋体" w:hAnsi="宋体" w:cs="宋体"/>
        </w:rPr>
      </w:pPr>
      <w:r>
        <w:rPr>
          <w:rFonts w:hint="eastAsia" w:ascii="宋体" w:hAnsi="宋体" w:cs="宋体"/>
        </w:rPr>
        <w:t>软件质量可靠性评估；</w:t>
      </w:r>
    </w:p>
    <w:p>
      <w:pPr>
        <w:pStyle w:val="28"/>
        <w:numPr>
          <w:ilvl w:val="0"/>
          <w:numId w:val="17"/>
        </w:numPr>
        <w:spacing w:before="0"/>
        <w:ind w:firstLine="480"/>
        <w:rPr>
          <w:rFonts w:ascii="宋体" w:hAnsi="宋体" w:cs="宋体"/>
        </w:rPr>
      </w:pPr>
      <w:r>
        <w:rPr>
          <w:rFonts w:hint="eastAsia" w:ascii="宋体" w:hAnsi="宋体" w:cs="宋体"/>
        </w:rPr>
        <w:t>实施方案；</w:t>
      </w:r>
    </w:p>
    <w:p>
      <w:pPr>
        <w:pStyle w:val="28"/>
        <w:numPr>
          <w:ilvl w:val="0"/>
          <w:numId w:val="17"/>
        </w:numPr>
        <w:spacing w:before="0"/>
        <w:ind w:firstLine="480"/>
        <w:rPr>
          <w:rFonts w:ascii="宋体" w:hAnsi="宋体" w:cs="宋体"/>
          <w:lang w:val="zh-TW"/>
        </w:rPr>
      </w:pPr>
      <w:r>
        <w:rPr>
          <w:rFonts w:hint="eastAsia" w:ascii="宋体" w:hAnsi="宋体" w:cs="宋体"/>
          <w:lang w:val="zh-TW"/>
        </w:rPr>
        <w:t>售后服务；</w:t>
      </w:r>
    </w:p>
    <w:p>
      <w:pPr>
        <w:pStyle w:val="28"/>
        <w:numPr>
          <w:ilvl w:val="0"/>
          <w:numId w:val="17"/>
        </w:numPr>
        <w:spacing w:before="0"/>
        <w:ind w:firstLine="480"/>
        <w:rPr>
          <w:rFonts w:ascii="宋体" w:hAnsi="宋体" w:cs="宋体"/>
        </w:rPr>
      </w:pPr>
      <w:r>
        <w:rPr>
          <w:rFonts w:hint="eastAsia" w:ascii="宋体" w:hAnsi="宋体" w:cs="宋体"/>
        </w:rPr>
        <w:t>认证证书；</w:t>
      </w:r>
    </w:p>
    <w:p>
      <w:pPr>
        <w:pStyle w:val="28"/>
        <w:numPr>
          <w:ilvl w:val="0"/>
          <w:numId w:val="17"/>
        </w:numPr>
        <w:spacing w:before="0"/>
        <w:ind w:firstLine="480"/>
        <w:rPr>
          <w:rFonts w:ascii="宋体" w:hAnsi="宋体" w:cs="宋体"/>
        </w:rPr>
      </w:pPr>
      <w:r>
        <w:rPr>
          <w:rFonts w:hint="eastAsia" w:ascii="宋体" w:hAnsi="宋体" w:cs="宋体"/>
        </w:rPr>
        <w:t>团队实力；</w:t>
      </w:r>
    </w:p>
    <w:p>
      <w:pPr>
        <w:pStyle w:val="28"/>
        <w:numPr>
          <w:ilvl w:val="0"/>
          <w:numId w:val="17"/>
        </w:numPr>
        <w:spacing w:before="0"/>
        <w:ind w:firstLine="480"/>
        <w:rPr>
          <w:rFonts w:ascii="宋体" w:hAnsi="宋体" w:cs="宋体"/>
        </w:rPr>
      </w:pPr>
      <w:r>
        <w:rPr>
          <w:rFonts w:hint="eastAsia" w:ascii="宋体" w:hAnsi="宋体" w:cs="宋体"/>
        </w:rPr>
        <w:t>项目组人员清单（格式见附件）；</w:t>
      </w:r>
    </w:p>
    <w:p>
      <w:pPr>
        <w:pStyle w:val="28"/>
        <w:numPr>
          <w:ilvl w:val="0"/>
          <w:numId w:val="17"/>
        </w:numPr>
        <w:spacing w:before="0"/>
        <w:ind w:firstLine="480"/>
        <w:rPr>
          <w:rFonts w:ascii="宋体" w:hAnsi="宋体" w:cs="宋体"/>
        </w:rPr>
      </w:pPr>
      <w:r>
        <w:rPr>
          <w:rFonts w:hint="eastAsia" w:ascii="宋体" w:hAnsi="宋体" w:cs="宋体"/>
        </w:rPr>
        <w:t>供应商荣誉；</w:t>
      </w:r>
    </w:p>
    <w:p>
      <w:pPr>
        <w:pStyle w:val="28"/>
        <w:numPr>
          <w:ilvl w:val="0"/>
          <w:numId w:val="17"/>
        </w:numPr>
        <w:spacing w:before="0"/>
        <w:ind w:firstLine="480"/>
        <w:rPr>
          <w:rFonts w:ascii="宋体" w:hAnsi="宋体" w:cs="宋体"/>
        </w:rPr>
      </w:pPr>
      <w:r>
        <w:rPr>
          <w:rFonts w:hint="eastAsia" w:ascii="宋体" w:hAnsi="宋体" w:cs="宋体"/>
        </w:rPr>
        <w:t>供应商业绩；</w:t>
      </w:r>
    </w:p>
    <w:p>
      <w:pPr>
        <w:pStyle w:val="28"/>
        <w:numPr>
          <w:ilvl w:val="0"/>
          <w:numId w:val="17"/>
        </w:numPr>
        <w:spacing w:before="0"/>
        <w:ind w:firstLine="480"/>
        <w:rPr>
          <w:rFonts w:ascii="宋体"/>
        </w:rPr>
      </w:pPr>
      <w:r>
        <w:rPr>
          <w:rFonts w:hint="eastAsia" w:ascii="宋体" w:hAnsi="宋体" w:cs="宋体"/>
        </w:rPr>
        <w:t>供应商认为需要的其他文件资料。</w:t>
      </w:r>
    </w:p>
    <w:p>
      <w:pPr>
        <w:pStyle w:val="28"/>
        <w:tabs>
          <w:tab w:val="left" w:pos="0"/>
        </w:tabs>
        <w:spacing w:before="0"/>
        <w:ind w:firstLine="480"/>
        <w:rPr>
          <w:rFonts w:ascii="宋体" w:hAnsi="宋体" w:cs="宋体"/>
          <w:szCs w:val="24"/>
        </w:rPr>
      </w:pPr>
      <w:r>
        <w:rPr>
          <w:rFonts w:hint="eastAsia" w:ascii="宋体" w:hAnsi="宋体" w:cs="宋体"/>
          <w:szCs w:val="24"/>
        </w:rPr>
        <w:t>注：以上内容应与评标办法中内容具有一致性。</w:t>
      </w:r>
    </w:p>
    <w:p>
      <w:pPr>
        <w:pStyle w:val="28"/>
        <w:tabs>
          <w:tab w:val="left" w:pos="0"/>
        </w:tabs>
        <w:spacing w:before="0"/>
        <w:ind w:firstLine="480"/>
        <w:rPr>
          <w:rFonts w:ascii="宋体" w:hAnsi="宋体" w:cs="宋体"/>
          <w:szCs w:val="24"/>
        </w:rPr>
      </w:pPr>
      <w:r>
        <w:rPr>
          <w:rFonts w:hint="eastAsia" w:ascii="宋体" w:hAnsi="宋体" w:cs="宋体"/>
          <w:szCs w:val="24"/>
        </w:rPr>
        <w:t>如果本项目涉及软件采购，还需提供相关完整配置方案（软件名称、品牌、规格型号、数量、主要技术参数等），提供主要投标产品的技术参数证明材料（如官网截图、产品彩页、技术说明等），明确表示该项指标所涉及的软件是标准配置还是选择配置。</w:t>
      </w:r>
    </w:p>
    <w:p>
      <w:pPr>
        <w:pStyle w:val="28"/>
        <w:tabs>
          <w:tab w:val="left" w:pos="0"/>
        </w:tabs>
        <w:spacing w:before="0"/>
        <w:ind w:firstLine="480"/>
        <w:rPr>
          <w:rFonts w:ascii="宋体" w:hAnsi="宋体" w:cs="宋体"/>
          <w:szCs w:val="24"/>
        </w:rPr>
      </w:pPr>
      <w:r>
        <w:rPr>
          <w:rFonts w:hint="eastAsia" w:ascii="宋体" w:hAnsi="宋体" w:cs="宋体"/>
          <w:szCs w:val="24"/>
        </w:rPr>
        <w:t>投标人在投标文件中应对项目技术规范和服务要求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投标。</w:t>
      </w:r>
      <w:r>
        <w:rPr>
          <w:rFonts w:hint="eastAsia" w:ascii="宋体" w:hAnsi="宋体" w:cs="宋体"/>
          <w:b/>
          <w:bCs/>
          <w:szCs w:val="24"/>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pPr>
        <w:pStyle w:val="28"/>
        <w:numPr>
          <w:ilvl w:val="0"/>
          <w:numId w:val="15"/>
        </w:numPr>
        <w:spacing w:before="0"/>
        <w:ind w:firstLine="480"/>
        <w:rPr>
          <w:rFonts w:ascii="宋体" w:hAnsi="宋体" w:cs="宋体"/>
          <w:szCs w:val="24"/>
        </w:rPr>
      </w:pPr>
      <w:r>
        <w:rPr>
          <w:rFonts w:hint="eastAsia" w:ascii="宋体" w:hAnsi="宋体" w:cs="宋体"/>
          <w:szCs w:val="24"/>
        </w:rPr>
        <w:t>报价文件包括以下内容：</w:t>
      </w:r>
    </w:p>
    <w:p>
      <w:pPr>
        <w:pStyle w:val="28"/>
        <w:numPr>
          <w:ilvl w:val="0"/>
          <w:numId w:val="18"/>
        </w:numPr>
        <w:spacing w:before="0"/>
        <w:ind w:firstLine="480"/>
        <w:rPr>
          <w:rFonts w:ascii="宋体" w:hAnsi="宋体" w:cs="宋体"/>
          <w:szCs w:val="24"/>
        </w:rPr>
      </w:pPr>
      <w:r>
        <w:rPr>
          <w:rFonts w:hint="eastAsia" w:ascii="宋体" w:hAnsi="宋体" w:cs="宋体"/>
          <w:szCs w:val="24"/>
        </w:rPr>
        <w:t>投标函（格式见附件）；</w:t>
      </w:r>
    </w:p>
    <w:p>
      <w:pPr>
        <w:pStyle w:val="28"/>
        <w:numPr>
          <w:ilvl w:val="0"/>
          <w:numId w:val="18"/>
        </w:numPr>
        <w:spacing w:before="0"/>
        <w:ind w:firstLine="480"/>
        <w:rPr>
          <w:rFonts w:ascii="宋体" w:hAnsi="宋体" w:cs="宋体"/>
          <w:szCs w:val="24"/>
        </w:rPr>
      </w:pPr>
      <w:r>
        <w:rPr>
          <w:rFonts w:hint="eastAsia" w:ascii="宋体" w:hAnsi="宋体" w:cs="宋体"/>
          <w:szCs w:val="24"/>
        </w:rPr>
        <w:t>开标一览表（格式见附件）；</w:t>
      </w:r>
    </w:p>
    <w:p>
      <w:pPr>
        <w:pStyle w:val="28"/>
        <w:numPr>
          <w:ilvl w:val="0"/>
          <w:numId w:val="18"/>
        </w:numPr>
        <w:spacing w:before="0"/>
        <w:ind w:firstLine="480"/>
        <w:rPr>
          <w:rFonts w:ascii="宋体" w:hAnsi="宋体" w:cs="宋体"/>
          <w:szCs w:val="24"/>
        </w:rPr>
      </w:pPr>
      <w:r>
        <w:rPr>
          <w:rFonts w:hint="eastAsia" w:ascii="宋体" w:hAnsi="宋体" w:cs="宋体"/>
          <w:szCs w:val="24"/>
        </w:rPr>
        <w:t>投标报价明细表（格式见附件）。</w:t>
      </w:r>
    </w:p>
    <w:p>
      <w:pPr>
        <w:pStyle w:val="13"/>
        <w:numPr>
          <w:ilvl w:val="0"/>
          <w:numId w:val="7"/>
        </w:numPr>
        <w:spacing w:line="360" w:lineRule="auto"/>
        <w:ind w:firstLine="482" w:firstLineChars="200"/>
        <w:rPr>
          <w:rFonts w:hAnsi="宋体" w:cs="宋体"/>
          <w:b/>
          <w:sz w:val="24"/>
          <w:szCs w:val="24"/>
        </w:rPr>
      </w:pPr>
      <w:bookmarkStart w:id="39" w:name="_Toc91899887"/>
      <w:r>
        <w:rPr>
          <w:rFonts w:hint="eastAsia" w:hAnsi="宋体" w:cs="宋体"/>
          <w:b/>
          <w:sz w:val="24"/>
          <w:szCs w:val="24"/>
        </w:rPr>
        <w:t>投标有效期</w:t>
      </w:r>
    </w:p>
    <w:p>
      <w:pPr>
        <w:pStyle w:val="28"/>
        <w:numPr>
          <w:ilvl w:val="0"/>
          <w:numId w:val="19"/>
        </w:numPr>
        <w:spacing w:before="0"/>
        <w:ind w:firstLine="480"/>
        <w:rPr>
          <w:rFonts w:ascii="宋体" w:hAnsi="宋体" w:cs="宋体"/>
          <w:szCs w:val="24"/>
        </w:rPr>
      </w:pPr>
      <w:r>
        <w:rPr>
          <w:rFonts w:hint="eastAsia" w:ascii="宋体" w:hAnsi="宋体" w:cs="宋体"/>
        </w:rPr>
        <w:t>投标文件未在投标截止时间前完成传输的或者未按时解密的，视为放弃投标；投标文件解密失败后未提供备份文件或者备份文件也出现异常情况无法进行评审的，亦视为放弃投标。</w:t>
      </w:r>
    </w:p>
    <w:p>
      <w:pPr>
        <w:pStyle w:val="28"/>
        <w:numPr>
          <w:ilvl w:val="0"/>
          <w:numId w:val="19"/>
        </w:numPr>
        <w:spacing w:before="0"/>
        <w:ind w:firstLine="480"/>
        <w:rPr>
          <w:rFonts w:ascii="宋体" w:hAnsi="宋体" w:cs="宋体"/>
          <w:szCs w:val="24"/>
        </w:rPr>
      </w:pPr>
      <w:r>
        <w:rPr>
          <w:rFonts w:hint="eastAsia" w:ascii="宋体" w:hAnsi="宋体" w:cs="宋体"/>
          <w:szCs w:val="24"/>
        </w:rPr>
        <w:t>投标文件上传后，自投标截止日期起，在前附表所列的投标有效期内有效。</w:t>
      </w:r>
    </w:p>
    <w:p>
      <w:pPr>
        <w:pStyle w:val="28"/>
        <w:numPr>
          <w:ilvl w:val="0"/>
          <w:numId w:val="19"/>
        </w:numPr>
        <w:spacing w:before="0"/>
        <w:ind w:firstLine="480"/>
        <w:rPr>
          <w:rFonts w:ascii="宋体" w:hAnsi="宋体" w:cs="宋体"/>
          <w:szCs w:val="24"/>
        </w:rPr>
      </w:pPr>
      <w:r>
        <w:rPr>
          <w:rFonts w:hint="eastAsia" w:ascii="宋体" w:hAnsi="宋体" w:cs="宋体"/>
          <w:szCs w:val="24"/>
        </w:rPr>
        <w:t>在原定投标有效期满之前，如果出现特殊情况，采购代理机构可以以书面形式通知投标人延长投标有效期。</w:t>
      </w:r>
    </w:p>
    <w:p>
      <w:pPr>
        <w:pStyle w:val="13"/>
        <w:numPr>
          <w:ilvl w:val="0"/>
          <w:numId w:val="7"/>
        </w:numPr>
        <w:spacing w:line="360" w:lineRule="auto"/>
        <w:ind w:firstLine="482" w:firstLineChars="200"/>
        <w:rPr>
          <w:rFonts w:hAnsi="宋体" w:cs="宋体"/>
          <w:b/>
          <w:sz w:val="24"/>
          <w:szCs w:val="24"/>
        </w:rPr>
      </w:pPr>
      <w:r>
        <w:rPr>
          <w:rFonts w:hint="eastAsia" w:hAnsi="宋体" w:cs="宋体"/>
          <w:b/>
          <w:sz w:val="24"/>
          <w:szCs w:val="24"/>
        </w:rPr>
        <w:t>投标人如有下列情况之一者列入不良行为记录：</w:t>
      </w:r>
    </w:p>
    <w:p>
      <w:pPr>
        <w:pStyle w:val="28"/>
        <w:numPr>
          <w:ilvl w:val="0"/>
          <w:numId w:val="20"/>
        </w:numPr>
        <w:spacing w:before="0" w:line="336" w:lineRule="auto"/>
        <w:ind w:firstLine="480"/>
        <w:rPr>
          <w:rFonts w:ascii="宋体" w:hAnsi="宋体" w:cs="宋体"/>
          <w:szCs w:val="24"/>
        </w:rPr>
      </w:pPr>
      <w:r>
        <w:rPr>
          <w:rFonts w:hint="eastAsia" w:ascii="宋体" w:hAnsi="宋体" w:cs="宋体"/>
          <w:szCs w:val="24"/>
        </w:rPr>
        <w:t>投标人在投标有效期内撤回投标的；</w:t>
      </w:r>
    </w:p>
    <w:p>
      <w:pPr>
        <w:pStyle w:val="28"/>
        <w:numPr>
          <w:ilvl w:val="0"/>
          <w:numId w:val="20"/>
        </w:numPr>
        <w:spacing w:before="0" w:line="336" w:lineRule="auto"/>
        <w:ind w:firstLine="480"/>
        <w:rPr>
          <w:rFonts w:ascii="宋体" w:hAnsi="宋体" w:cs="宋体"/>
          <w:szCs w:val="24"/>
        </w:rPr>
      </w:pPr>
      <w:r>
        <w:rPr>
          <w:rFonts w:hint="eastAsia" w:ascii="宋体" w:hAnsi="宋体" w:cs="宋体"/>
          <w:szCs w:val="24"/>
        </w:rPr>
        <w:t>中标人或中标候选人放弃中标或中标候选人资格的；</w:t>
      </w:r>
    </w:p>
    <w:p>
      <w:pPr>
        <w:pStyle w:val="28"/>
        <w:numPr>
          <w:ilvl w:val="0"/>
          <w:numId w:val="20"/>
        </w:numPr>
        <w:spacing w:before="0" w:line="336" w:lineRule="auto"/>
        <w:ind w:firstLine="480"/>
        <w:rPr>
          <w:rFonts w:ascii="宋体" w:hAnsi="宋体" w:cs="宋体"/>
          <w:szCs w:val="24"/>
        </w:rPr>
      </w:pPr>
      <w:r>
        <w:rPr>
          <w:rFonts w:hint="eastAsia" w:ascii="宋体" w:hAnsi="宋体" w:cs="宋体"/>
          <w:szCs w:val="24"/>
        </w:rPr>
        <w:t>擅自修改或拒绝接受已经确认的条款；</w:t>
      </w:r>
    </w:p>
    <w:p>
      <w:pPr>
        <w:pStyle w:val="28"/>
        <w:numPr>
          <w:ilvl w:val="0"/>
          <w:numId w:val="20"/>
        </w:numPr>
        <w:spacing w:before="0" w:line="336" w:lineRule="auto"/>
        <w:ind w:firstLine="480"/>
        <w:rPr>
          <w:rFonts w:ascii="宋体" w:hAnsi="宋体" w:cs="宋体"/>
          <w:szCs w:val="24"/>
        </w:rPr>
      </w:pPr>
      <w:r>
        <w:rPr>
          <w:rFonts w:hint="eastAsia" w:ascii="宋体" w:hAnsi="宋体" w:cs="宋体"/>
          <w:szCs w:val="24"/>
        </w:rPr>
        <w:t>中标人未按规定与采购人签订合同；</w:t>
      </w:r>
    </w:p>
    <w:p>
      <w:pPr>
        <w:pStyle w:val="28"/>
        <w:numPr>
          <w:ilvl w:val="0"/>
          <w:numId w:val="20"/>
        </w:numPr>
        <w:spacing w:before="0" w:line="336" w:lineRule="auto"/>
        <w:ind w:firstLine="480"/>
        <w:rPr>
          <w:rFonts w:ascii="宋体" w:hAnsi="宋体" w:cs="宋体"/>
          <w:szCs w:val="24"/>
        </w:rPr>
      </w:pPr>
      <w:r>
        <w:rPr>
          <w:rFonts w:hint="eastAsia" w:ascii="宋体" w:hAnsi="宋体" w:cs="宋体"/>
          <w:szCs w:val="24"/>
        </w:rPr>
        <w:t>未按规定提供履约保证金；</w:t>
      </w:r>
    </w:p>
    <w:p>
      <w:pPr>
        <w:pStyle w:val="28"/>
        <w:numPr>
          <w:ilvl w:val="0"/>
          <w:numId w:val="20"/>
        </w:numPr>
        <w:spacing w:before="0" w:line="336" w:lineRule="auto"/>
        <w:ind w:firstLine="480"/>
        <w:rPr>
          <w:rFonts w:ascii="宋体" w:hAnsi="宋体" w:cs="宋体"/>
          <w:szCs w:val="24"/>
        </w:rPr>
      </w:pPr>
      <w:r>
        <w:rPr>
          <w:rFonts w:hint="eastAsia" w:ascii="宋体" w:hAnsi="宋体" w:cs="宋体"/>
          <w:szCs w:val="24"/>
        </w:rPr>
        <w:t>投标人采取提供虚假资料等不正当手段的；</w:t>
      </w:r>
    </w:p>
    <w:p>
      <w:pPr>
        <w:pStyle w:val="28"/>
        <w:numPr>
          <w:ilvl w:val="0"/>
          <w:numId w:val="20"/>
        </w:numPr>
        <w:spacing w:before="0" w:line="336" w:lineRule="auto"/>
        <w:ind w:firstLine="480"/>
        <w:rPr>
          <w:rFonts w:ascii="宋体" w:hAnsi="宋体" w:cs="宋体"/>
          <w:szCs w:val="24"/>
        </w:rPr>
      </w:pPr>
      <w:r>
        <w:rPr>
          <w:rFonts w:hint="eastAsia" w:ascii="宋体" w:hAnsi="宋体" w:cs="宋体"/>
          <w:szCs w:val="24"/>
        </w:rPr>
        <w:t>投标人在投标过程中串通投标的。</w:t>
      </w:r>
    </w:p>
    <w:p>
      <w:pPr>
        <w:pStyle w:val="13"/>
        <w:numPr>
          <w:ilvl w:val="0"/>
          <w:numId w:val="7"/>
        </w:numPr>
        <w:spacing w:line="360" w:lineRule="auto"/>
        <w:ind w:firstLine="482" w:firstLineChars="200"/>
        <w:rPr>
          <w:rFonts w:hAnsi="宋体" w:cs="宋体"/>
          <w:b/>
          <w:sz w:val="24"/>
          <w:szCs w:val="24"/>
        </w:rPr>
      </w:pPr>
      <w:r>
        <w:rPr>
          <w:rFonts w:hint="eastAsia" w:hAnsi="宋体" w:cs="宋体"/>
          <w:b/>
          <w:sz w:val="24"/>
          <w:szCs w:val="24"/>
        </w:rPr>
        <w:t>投标文件的编制和签署</w:t>
      </w:r>
    </w:p>
    <w:bookmarkEnd w:id="39"/>
    <w:p>
      <w:pPr>
        <w:pStyle w:val="28"/>
        <w:numPr>
          <w:ilvl w:val="0"/>
          <w:numId w:val="21"/>
        </w:numPr>
        <w:spacing w:before="0"/>
        <w:ind w:firstLine="480"/>
        <w:rPr>
          <w:rFonts w:ascii="宋体" w:hAnsi="宋体" w:cs="宋体"/>
          <w:szCs w:val="24"/>
        </w:rPr>
      </w:pPr>
      <w:r>
        <w:rPr>
          <w:rFonts w:hint="eastAsia" w:ascii="宋体" w:hAnsi="宋体" w:cs="宋体"/>
        </w:rPr>
        <w:t>按招标文件9.1条、9.2条、9.3条要求提供的各种文件，投标文件分为资格文件、商务技术文件和报价文件三部分。</w:t>
      </w:r>
    </w:p>
    <w:p>
      <w:pPr>
        <w:pStyle w:val="28"/>
        <w:numPr>
          <w:ilvl w:val="0"/>
          <w:numId w:val="21"/>
        </w:numPr>
        <w:spacing w:before="0"/>
        <w:ind w:firstLine="480"/>
        <w:rPr>
          <w:rFonts w:ascii="宋体" w:hAnsi="宋体" w:cs="宋体"/>
          <w:szCs w:val="24"/>
        </w:rPr>
      </w:pPr>
      <w:r>
        <w:rPr>
          <w:rFonts w:hint="eastAsia" w:ascii="宋体" w:hAnsi="宋体" w:cs="宋体"/>
          <w:szCs w:val="24"/>
        </w:rPr>
        <w:t>投标文件须按附件格式要求进行电子签章，投标人应写全称。（电子投标文件中所须加盖公章部分均应采用电子签章）</w:t>
      </w:r>
    </w:p>
    <w:p>
      <w:pPr>
        <w:pStyle w:val="28"/>
        <w:numPr>
          <w:ilvl w:val="0"/>
          <w:numId w:val="21"/>
        </w:numPr>
        <w:spacing w:before="0"/>
        <w:ind w:firstLine="480"/>
        <w:rPr>
          <w:rFonts w:ascii="宋体" w:hAnsi="宋体" w:cs="宋体"/>
          <w:szCs w:val="24"/>
        </w:rPr>
      </w:pPr>
      <w:r>
        <w:rPr>
          <w:rFonts w:hint="eastAsia" w:ascii="宋体" w:hAnsi="宋体" w:cs="宋体"/>
          <w:szCs w:val="24"/>
        </w:rPr>
        <w:t>全套投标文件应无涂改和行间插字，除非这些删改是根据采购代理机构要求进行，或者是投标人造成的必须修改的错误。所修改处应由法定代表人或其授权代表签字盖章予以确认。</w:t>
      </w:r>
    </w:p>
    <w:p>
      <w:pPr>
        <w:pStyle w:val="28"/>
        <w:numPr>
          <w:ilvl w:val="0"/>
          <w:numId w:val="21"/>
        </w:numPr>
        <w:spacing w:before="0"/>
        <w:ind w:firstLine="480"/>
        <w:rPr>
          <w:rFonts w:ascii="宋体" w:hAnsi="宋体" w:cs="宋体"/>
          <w:szCs w:val="24"/>
        </w:rPr>
      </w:pPr>
      <w:r>
        <w:rPr>
          <w:rFonts w:hint="eastAsia" w:ascii="宋体" w:hAnsi="宋体" w:cs="宋体"/>
          <w:szCs w:val="24"/>
        </w:rPr>
        <w:t>由于字迹模糊或表达不清引起的后果由投标人负责。</w:t>
      </w:r>
    </w:p>
    <w:p>
      <w:pPr>
        <w:pStyle w:val="13"/>
        <w:numPr>
          <w:ilvl w:val="0"/>
          <w:numId w:val="7"/>
        </w:numPr>
        <w:spacing w:line="360" w:lineRule="auto"/>
        <w:ind w:firstLine="482" w:firstLineChars="200"/>
        <w:rPr>
          <w:rFonts w:hAnsi="宋体" w:cs="宋体"/>
          <w:b/>
          <w:sz w:val="24"/>
          <w:szCs w:val="24"/>
        </w:rPr>
      </w:pPr>
      <w:r>
        <w:rPr>
          <w:rFonts w:hint="eastAsia" w:hAnsi="宋体" w:cs="宋体"/>
          <w:b/>
          <w:sz w:val="24"/>
          <w:szCs w:val="24"/>
        </w:rPr>
        <w:t xml:space="preserve"> 投标文件的形式</w:t>
      </w:r>
    </w:p>
    <w:p>
      <w:pPr>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szCs w:val="21"/>
        </w:rPr>
        <w:t>投标文件为电子投标文件，电子投标文件按“政采云供应商项目采购-电子招投标操作指南”及本招标文件要求制作、加密传输。</w:t>
      </w:r>
    </w:p>
    <w:p>
      <w:pPr>
        <w:spacing w:line="360" w:lineRule="auto"/>
        <w:jc w:val="center"/>
        <w:rPr>
          <w:rFonts w:ascii="宋体" w:hAnsi="宋体" w:cs="宋体"/>
          <w:b/>
          <w:sz w:val="24"/>
        </w:rPr>
      </w:pPr>
    </w:p>
    <w:p>
      <w:pPr>
        <w:snapToGrid w:val="0"/>
        <w:spacing w:line="360" w:lineRule="auto"/>
        <w:jc w:val="center"/>
        <w:outlineLvl w:val="0"/>
        <w:rPr>
          <w:rFonts w:ascii="宋体" w:hAnsi="宋体" w:cs="宋体"/>
          <w:b/>
          <w:sz w:val="32"/>
        </w:rPr>
      </w:pPr>
      <w:bookmarkStart w:id="40" w:name="_Toc15128"/>
      <w:r>
        <w:rPr>
          <w:rFonts w:hint="eastAsia" w:ascii="宋体" w:hAnsi="宋体" w:cs="宋体"/>
          <w:b/>
          <w:sz w:val="32"/>
        </w:rPr>
        <w:t>四、投标文件的递交</w:t>
      </w:r>
      <w:bookmarkEnd w:id="37"/>
      <w:bookmarkEnd w:id="40"/>
    </w:p>
    <w:bookmarkEnd w:id="38"/>
    <w:p>
      <w:pPr>
        <w:pStyle w:val="13"/>
        <w:numPr>
          <w:ilvl w:val="0"/>
          <w:numId w:val="7"/>
        </w:numPr>
        <w:spacing w:line="360" w:lineRule="auto"/>
        <w:ind w:firstLine="482" w:firstLineChars="200"/>
        <w:rPr>
          <w:rFonts w:hAnsi="宋体" w:cs="宋体"/>
          <w:b/>
          <w:sz w:val="24"/>
          <w:szCs w:val="24"/>
        </w:rPr>
      </w:pPr>
      <w:bookmarkStart w:id="41" w:name="第三部分"/>
      <w:bookmarkStart w:id="42" w:name="_Toc164416483"/>
      <w:r>
        <w:rPr>
          <w:rFonts w:hint="eastAsia" w:hAnsi="宋体" w:cs="宋体"/>
          <w:b/>
          <w:sz w:val="24"/>
          <w:szCs w:val="24"/>
        </w:rPr>
        <w:t>投标截止期</w:t>
      </w:r>
    </w:p>
    <w:p>
      <w:pPr>
        <w:pStyle w:val="28"/>
        <w:numPr>
          <w:ilvl w:val="0"/>
          <w:numId w:val="22"/>
        </w:numPr>
        <w:spacing w:before="0"/>
        <w:ind w:firstLine="480"/>
        <w:rPr>
          <w:rFonts w:ascii="宋体" w:hAnsi="宋体" w:cs="宋体"/>
          <w:szCs w:val="24"/>
        </w:rPr>
      </w:pPr>
      <w:r>
        <w:rPr>
          <w:rFonts w:hint="eastAsia" w:ascii="宋体" w:hAnsi="宋体" w:cs="宋体"/>
        </w:rPr>
        <w:t>投标文件必须在规定的投标截止时间前在政采云系统内完成传输，以纸质、电报、电话、传真形式的投标概不接受。为应对投标文件解密失败等异常情况，投标人可指派授权代表在投标截止时间之前到达开标地点提交备份文件。</w:t>
      </w:r>
    </w:p>
    <w:p>
      <w:pPr>
        <w:pStyle w:val="28"/>
        <w:numPr>
          <w:ilvl w:val="0"/>
          <w:numId w:val="22"/>
        </w:numPr>
        <w:spacing w:before="0"/>
        <w:ind w:firstLine="480"/>
        <w:rPr>
          <w:rFonts w:ascii="宋体" w:hAnsi="宋体" w:cs="宋体"/>
        </w:rPr>
      </w:pPr>
      <w:r>
        <w:rPr>
          <w:rFonts w:hint="eastAsia" w:ascii="宋体" w:hAnsi="宋体" w:cs="宋体"/>
        </w:rPr>
        <w:t>采购人因故推迟投标截止时间，将以公告形式通知。在这种情况下，采购人和投标人的权利和义务将受到新的截止时间的约束。</w:t>
      </w:r>
    </w:p>
    <w:p>
      <w:pPr>
        <w:pStyle w:val="13"/>
        <w:numPr>
          <w:ilvl w:val="0"/>
          <w:numId w:val="7"/>
        </w:numPr>
        <w:spacing w:line="360" w:lineRule="auto"/>
        <w:ind w:firstLine="482" w:firstLineChars="200"/>
        <w:rPr>
          <w:rFonts w:hAnsi="宋体" w:cs="宋体"/>
          <w:b/>
          <w:sz w:val="24"/>
          <w:szCs w:val="24"/>
        </w:rPr>
      </w:pPr>
      <w:r>
        <w:rPr>
          <w:rFonts w:hint="eastAsia" w:hAnsi="宋体" w:cs="宋体"/>
          <w:b/>
          <w:sz w:val="24"/>
          <w:szCs w:val="24"/>
        </w:rPr>
        <w:t>投标文件的修改、撤销</w:t>
      </w:r>
    </w:p>
    <w:p>
      <w:pPr>
        <w:pStyle w:val="13"/>
        <w:spacing w:line="360" w:lineRule="auto"/>
        <w:ind w:firstLine="480" w:firstLineChars="200"/>
        <w:rPr>
          <w:rFonts w:hAnsi="宋体" w:cs="宋体"/>
          <w:sz w:val="24"/>
        </w:rPr>
      </w:pPr>
      <w:r>
        <w:rPr>
          <w:rFonts w:hint="eastAsia" w:hAnsi="宋体" w:cs="宋体"/>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pacing w:line="360" w:lineRule="auto"/>
        <w:jc w:val="center"/>
        <w:rPr>
          <w:rFonts w:ascii="宋体" w:hAnsi="宋体" w:cs="宋体"/>
          <w:b/>
          <w:sz w:val="24"/>
        </w:rPr>
      </w:pPr>
      <w:bookmarkStart w:id="43" w:name="_Toc91899897"/>
    </w:p>
    <w:p>
      <w:pPr>
        <w:snapToGrid w:val="0"/>
        <w:spacing w:line="360" w:lineRule="auto"/>
        <w:jc w:val="center"/>
        <w:outlineLvl w:val="0"/>
        <w:rPr>
          <w:rFonts w:ascii="宋体" w:hAnsi="宋体" w:cs="宋体"/>
          <w:b/>
          <w:sz w:val="32"/>
        </w:rPr>
      </w:pPr>
      <w:bookmarkStart w:id="44" w:name="_Toc24201"/>
      <w:r>
        <w:rPr>
          <w:rFonts w:hint="eastAsia" w:ascii="宋体" w:hAnsi="宋体" w:cs="宋体"/>
          <w:b/>
          <w:sz w:val="32"/>
        </w:rPr>
        <w:t>五、开标</w:t>
      </w:r>
      <w:bookmarkEnd w:id="43"/>
      <w:bookmarkEnd w:id="44"/>
    </w:p>
    <w:p>
      <w:pPr>
        <w:pStyle w:val="13"/>
        <w:numPr>
          <w:ilvl w:val="0"/>
          <w:numId w:val="7"/>
        </w:numPr>
        <w:spacing w:line="360" w:lineRule="auto"/>
        <w:ind w:firstLine="482" w:firstLineChars="200"/>
        <w:rPr>
          <w:rFonts w:hAnsi="宋体" w:cs="宋体"/>
          <w:b/>
          <w:sz w:val="24"/>
          <w:szCs w:val="24"/>
        </w:rPr>
      </w:pPr>
      <w:r>
        <w:rPr>
          <w:rFonts w:hint="eastAsia" w:hAnsi="宋体" w:cs="宋体"/>
          <w:b/>
          <w:sz w:val="24"/>
          <w:szCs w:val="24"/>
        </w:rPr>
        <w:t>开标</w:t>
      </w:r>
    </w:p>
    <w:p>
      <w:pPr>
        <w:pStyle w:val="13"/>
        <w:numPr>
          <w:ilvl w:val="0"/>
          <w:numId w:val="23"/>
        </w:numPr>
        <w:spacing w:line="360" w:lineRule="auto"/>
        <w:ind w:firstLine="480" w:firstLineChars="200"/>
        <w:rPr>
          <w:rFonts w:hAnsi="宋体" w:cs="宋体"/>
          <w:sz w:val="24"/>
        </w:rPr>
      </w:pPr>
      <w:r>
        <w:rPr>
          <w:rFonts w:hint="eastAsia" w:hAnsi="宋体" w:cs="宋体"/>
          <w:sz w:val="24"/>
        </w:rPr>
        <w:t>在投标截止时间前按规定提交投标文件的投标人在三家（含）以上的，由采购人或采购代理机构组织进行开标。</w:t>
      </w:r>
    </w:p>
    <w:p>
      <w:pPr>
        <w:pStyle w:val="13"/>
        <w:numPr>
          <w:ilvl w:val="0"/>
          <w:numId w:val="23"/>
        </w:numPr>
        <w:spacing w:line="360" w:lineRule="auto"/>
        <w:ind w:firstLine="482" w:firstLineChars="200"/>
        <w:rPr>
          <w:rFonts w:hAnsi="宋体" w:cs="宋体"/>
          <w:sz w:val="24"/>
          <w:szCs w:val="24"/>
        </w:rPr>
      </w:pPr>
      <w:r>
        <w:rPr>
          <w:rFonts w:hint="eastAsia" w:hAnsi="宋体" w:cs="宋体"/>
          <w:b/>
          <w:bCs/>
          <w:sz w:val="24"/>
        </w:rPr>
        <w:t>投标人登录政企云平台，用“项目采购-开标评标”功能对电子投标文件进行在线解密。在线解密电子投标文件时间为开标时间起30分钟内。若电子投标文件解密失败，则由采购代理机构工作人员上传投标人提供的备份文件。</w:t>
      </w:r>
      <w:r>
        <w:rPr>
          <w:rFonts w:hint="eastAsia" w:hAnsi="宋体" w:cs="宋体"/>
          <w:sz w:val="24"/>
          <w:szCs w:val="24"/>
        </w:rPr>
        <w:t>备份文件（后缀名为.bfbs）须存储在U盘中，与上传的电子投标文件一致，用信封进行密封并盖章，由授权代表在投标截止时间前递交至开标地点。</w:t>
      </w:r>
    </w:p>
    <w:p>
      <w:pPr>
        <w:pStyle w:val="13"/>
        <w:numPr>
          <w:ilvl w:val="0"/>
          <w:numId w:val="23"/>
        </w:numPr>
        <w:spacing w:line="360" w:lineRule="auto"/>
        <w:ind w:firstLine="480" w:firstLineChars="200"/>
        <w:rPr>
          <w:rFonts w:hAnsi="宋体" w:cs="宋体"/>
          <w:sz w:val="24"/>
        </w:rPr>
      </w:pPr>
      <w:r>
        <w:rPr>
          <w:rFonts w:hint="eastAsia" w:hAnsi="宋体" w:cs="宋体"/>
          <w:sz w:val="24"/>
        </w:rPr>
        <w:t>采购人按招标文件规定的时间、地点公开开标。开标仪式由采购人或采购代理机构主持及有关人员参加。</w:t>
      </w:r>
    </w:p>
    <w:p>
      <w:pPr>
        <w:pStyle w:val="28"/>
        <w:numPr>
          <w:ilvl w:val="0"/>
          <w:numId w:val="23"/>
        </w:numPr>
        <w:spacing w:before="0"/>
        <w:ind w:firstLine="480"/>
        <w:rPr>
          <w:rFonts w:ascii="宋体" w:hAnsi="宋体" w:cs="宋体"/>
          <w:szCs w:val="24"/>
        </w:rPr>
      </w:pPr>
      <w:r>
        <w:rPr>
          <w:rFonts w:hint="eastAsia" w:ascii="宋体" w:hAnsi="宋体" w:cs="宋体"/>
          <w:szCs w:val="24"/>
        </w:rPr>
        <w:t>本项目为电子投标项目，投标人一般不需要参加现场投标和开标，若投标人需要指派授权代表递交备份文件，则授权代表应随身携带法定代表人授权书原件于投标截止时间前到达开标地点递交备份文件。若电子投标文件正常解锁，则U盘退还给供应商；若解锁失败，则由采购代理机构将U盘中的备份文件上传，该U盘将由采购代理机构保存。</w:t>
      </w:r>
    </w:p>
    <w:p>
      <w:pPr>
        <w:pStyle w:val="28"/>
        <w:numPr>
          <w:ilvl w:val="0"/>
          <w:numId w:val="23"/>
        </w:numPr>
        <w:spacing w:before="0"/>
        <w:ind w:firstLine="480"/>
        <w:rPr>
          <w:rFonts w:ascii="宋体" w:hAnsi="宋体" w:cs="宋体"/>
          <w:szCs w:val="24"/>
        </w:rPr>
      </w:pPr>
      <w:r>
        <w:rPr>
          <w:rFonts w:hint="eastAsia" w:ascii="宋体" w:hAnsi="宋体" w:cs="宋体"/>
          <w:szCs w:val="24"/>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spacing w:line="360" w:lineRule="auto"/>
        <w:jc w:val="center"/>
        <w:rPr>
          <w:rFonts w:ascii="宋体" w:hAnsi="宋体" w:cs="宋体"/>
          <w:b/>
          <w:sz w:val="24"/>
        </w:rPr>
      </w:pPr>
    </w:p>
    <w:p>
      <w:pPr>
        <w:snapToGrid w:val="0"/>
        <w:spacing w:line="360" w:lineRule="auto"/>
        <w:jc w:val="center"/>
        <w:outlineLvl w:val="0"/>
        <w:rPr>
          <w:rFonts w:ascii="宋体" w:hAnsi="宋体" w:cs="宋体"/>
          <w:b/>
          <w:sz w:val="32"/>
        </w:rPr>
      </w:pPr>
      <w:bookmarkStart w:id="45" w:name="_Toc30455"/>
      <w:r>
        <w:rPr>
          <w:rFonts w:hint="eastAsia" w:ascii="宋体" w:hAnsi="宋体" w:cs="宋体"/>
          <w:b/>
          <w:sz w:val="32"/>
        </w:rPr>
        <w:t>六、资格审查</w:t>
      </w:r>
      <w:bookmarkEnd w:id="45"/>
    </w:p>
    <w:p>
      <w:pPr>
        <w:pStyle w:val="13"/>
        <w:numPr>
          <w:ilvl w:val="0"/>
          <w:numId w:val="7"/>
        </w:numPr>
        <w:spacing w:line="360" w:lineRule="auto"/>
        <w:ind w:firstLine="482" w:firstLineChars="200"/>
        <w:rPr>
          <w:rFonts w:hAnsi="宋体" w:cs="宋体"/>
          <w:b/>
          <w:sz w:val="24"/>
          <w:szCs w:val="24"/>
        </w:rPr>
      </w:pPr>
      <w:r>
        <w:rPr>
          <w:rFonts w:hint="eastAsia" w:hAnsi="宋体" w:cs="宋体"/>
          <w:b/>
          <w:sz w:val="24"/>
          <w:szCs w:val="24"/>
        </w:rPr>
        <w:t>资格审查</w:t>
      </w:r>
    </w:p>
    <w:p>
      <w:pPr>
        <w:pStyle w:val="28"/>
        <w:numPr>
          <w:ilvl w:val="0"/>
          <w:numId w:val="24"/>
        </w:numPr>
        <w:spacing w:before="0"/>
        <w:ind w:firstLine="480"/>
        <w:rPr>
          <w:rFonts w:ascii="宋体" w:hAnsi="宋体" w:cs="宋体"/>
          <w:szCs w:val="24"/>
        </w:rPr>
      </w:pPr>
      <w:bookmarkStart w:id="46" w:name="_Hlt75236101"/>
      <w:bookmarkEnd w:id="46"/>
      <w:bookmarkStart w:id="47" w:name="_Toc91899902"/>
      <w:r>
        <w:rPr>
          <w:rFonts w:hint="eastAsia" w:ascii="宋体" w:hAnsi="宋体" w:cs="宋体"/>
          <w:szCs w:val="24"/>
        </w:rPr>
        <w:t>开标后，采购人或采购代理机构将依法对投标人的资格进行审查；</w:t>
      </w:r>
    </w:p>
    <w:p>
      <w:pPr>
        <w:pStyle w:val="28"/>
        <w:numPr>
          <w:ilvl w:val="0"/>
          <w:numId w:val="24"/>
        </w:numPr>
        <w:spacing w:before="0"/>
        <w:ind w:firstLine="480"/>
        <w:rPr>
          <w:rFonts w:ascii="宋体" w:hAnsi="宋体" w:cs="宋体"/>
          <w:szCs w:val="24"/>
        </w:rPr>
      </w:pPr>
      <w:r>
        <w:rPr>
          <w:rFonts w:hint="eastAsia" w:ascii="宋体" w:hAnsi="宋体" w:cs="宋体"/>
          <w:szCs w:val="24"/>
        </w:rPr>
        <w:t>采购人或采购代理机构依据法律法规和招标文件的规定，对投标人的基本资格条件、特定资格条件进行审查。</w:t>
      </w:r>
    </w:p>
    <w:p>
      <w:pPr>
        <w:pStyle w:val="28"/>
        <w:numPr>
          <w:ilvl w:val="0"/>
          <w:numId w:val="24"/>
        </w:numPr>
        <w:spacing w:before="0"/>
        <w:ind w:firstLine="480"/>
        <w:rPr>
          <w:rFonts w:ascii="宋体" w:hAnsi="宋体" w:cs="宋体"/>
          <w:szCs w:val="24"/>
        </w:rPr>
      </w:pPr>
      <w:r>
        <w:rPr>
          <w:rFonts w:hint="eastAsia" w:ascii="宋体" w:hAnsi="宋体" w:cs="宋体"/>
          <w:szCs w:val="24"/>
        </w:rPr>
        <w:t>采购人或采购代理机构将通过“信用中国”网站(www.creditchina.gov.cn)、中国政府采购网(</w:t>
      </w:r>
      <w:r>
        <w:fldChar w:fldCharType="begin"/>
      </w:r>
      <w:r>
        <w:instrText xml:space="preserve"> HYPERLINK "http://www.ccgp.gov.cn" </w:instrText>
      </w:r>
      <w:r>
        <w:fldChar w:fldCharType="separate"/>
      </w:r>
      <w:r>
        <w:rPr>
          <w:rFonts w:hint="eastAsia" w:ascii="宋体" w:hAnsi="宋体" w:cs="宋体"/>
          <w:szCs w:val="24"/>
        </w:rPr>
        <w:t>www.ccgp.gov.cn</w:t>
      </w:r>
      <w:r>
        <w:rPr>
          <w:rFonts w:hint="eastAsia" w:ascii="宋体" w:hAnsi="宋体" w:cs="宋体"/>
          <w:szCs w:val="24"/>
        </w:rPr>
        <w:fldChar w:fldCharType="end"/>
      </w:r>
      <w:r>
        <w:rPr>
          <w:rFonts w:hint="eastAsia" w:ascii="宋体" w:hAnsi="宋体" w:cs="宋体"/>
          <w:szCs w:val="24"/>
        </w:rPr>
        <w:t>)渠道查询投标人开标后评标前的信用记录，经查询投标人列入失信被执行人名单、重大税收违法案件当事人名单、政府采购严重违法失信行为记录名单的，其投标无效；</w:t>
      </w:r>
    </w:p>
    <w:p>
      <w:pPr>
        <w:pStyle w:val="28"/>
        <w:numPr>
          <w:ilvl w:val="0"/>
          <w:numId w:val="24"/>
        </w:numPr>
        <w:spacing w:before="0"/>
        <w:ind w:firstLine="480"/>
        <w:rPr>
          <w:rFonts w:ascii="宋体" w:hAnsi="宋体" w:cs="宋体"/>
          <w:szCs w:val="24"/>
        </w:rPr>
      </w:pPr>
      <w:r>
        <w:rPr>
          <w:rFonts w:hint="eastAsia" w:ascii="宋体" w:hAnsi="宋体" w:cs="宋体"/>
          <w:szCs w:val="24"/>
        </w:rPr>
        <w:t>采购人或采购代理机构出具《投标人资格审查意见表》，投标人未按照招标文件要求提供与基本资格条件、特定资格条件相应的有效资格证明材料的，视为投标人不具备招标文件中规定的资格要求，其投标无效。</w:t>
      </w:r>
    </w:p>
    <w:p>
      <w:pPr>
        <w:spacing w:line="360" w:lineRule="auto"/>
        <w:jc w:val="center"/>
        <w:rPr>
          <w:rFonts w:ascii="宋体" w:hAnsi="宋体" w:cs="宋体"/>
          <w:b/>
          <w:sz w:val="24"/>
        </w:rPr>
      </w:pPr>
    </w:p>
    <w:p>
      <w:pPr>
        <w:snapToGrid w:val="0"/>
        <w:spacing w:line="360" w:lineRule="auto"/>
        <w:jc w:val="center"/>
        <w:outlineLvl w:val="0"/>
        <w:rPr>
          <w:rFonts w:ascii="宋体" w:hAnsi="宋体" w:cs="宋体"/>
          <w:b/>
          <w:sz w:val="32"/>
        </w:rPr>
      </w:pPr>
      <w:bookmarkStart w:id="48" w:name="_Toc920"/>
      <w:r>
        <w:rPr>
          <w:rFonts w:hint="eastAsia" w:ascii="宋体" w:hAnsi="宋体" w:cs="宋体"/>
          <w:b/>
          <w:sz w:val="32"/>
        </w:rPr>
        <w:t>七、评标</w:t>
      </w:r>
      <w:bookmarkEnd w:id="47"/>
      <w:bookmarkEnd w:id="48"/>
    </w:p>
    <w:p>
      <w:pPr>
        <w:pStyle w:val="13"/>
        <w:numPr>
          <w:ilvl w:val="0"/>
          <w:numId w:val="7"/>
        </w:numPr>
        <w:spacing w:line="360" w:lineRule="auto"/>
        <w:ind w:firstLine="482" w:firstLineChars="200"/>
        <w:rPr>
          <w:rFonts w:hAnsi="宋体" w:cs="宋体"/>
          <w:b/>
          <w:sz w:val="24"/>
          <w:szCs w:val="24"/>
        </w:rPr>
      </w:pPr>
      <w:bookmarkStart w:id="49" w:name="_Toc91899903"/>
      <w:r>
        <w:rPr>
          <w:rFonts w:hint="eastAsia" w:hAnsi="宋体" w:cs="宋体"/>
          <w:b/>
          <w:sz w:val="24"/>
          <w:szCs w:val="24"/>
        </w:rPr>
        <w:t>评标原则</w:t>
      </w:r>
    </w:p>
    <w:p>
      <w:pPr>
        <w:pStyle w:val="28"/>
        <w:numPr>
          <w:ilvl w:val="0"/>
          <w:numId w:val="25"/>
        </w:numPr>
        <w:spacing w:before="0"/>
        <w:ind w:firstLine="480"/>
        <w:rPr>
          <w:rFonts w:ascii="宋体" w:hAnsi="宋体" w:cs="宋体"/>
          <w:szCs w:val="24"/>
        </w:rPr>
      </w:pPr>
      <w:r>
        <w:rPr>
          <w:rFonts w:hint="eastAsia" w:ascii="宋体" w:hAnsi="宋体" w:cs="宋体"/>
          <w:szCs w:val="24"/>
        </w:rPr>
        <w:t>竞争优选；</w:t>
      </w:r>
    </w:p>
    <w:p>
      <w:pPr>
        <w:pStyle w:val="28"/>
        <w:numPr>
          <w:ilvl w:val="0"/>
          <w:numId w:val="25"/>
        </w:numPr>
        <w:spacing w:before="0"/>
        <w:ind w:firstLine="480"/>
        <w:rPr>
          <w:rFonts w:ascii="宋体" w:hAnsi="宋体" w:cs="宋体"/>
          <w:szCs w:val="24"/>
        </w:rPr>
      </w:pPr>
      <w:r>
        <w:rPr>
          <w:rFonts w:hint="eastAsia" w:ascii="宋体" w:hAnsi="宋体" w:cs="宋体"/>
          <w:szCs w:val="24"/>
          <w:lang w:val="zh-CN"/>
        </w:rPr>
        <w:t>坚持公开</w:t>
      </w:r>
      <w:r>
        <w:rPr>
          <w:rFonts w:hint="eastAsia" w:ascii="宋体" w:hAnsi="宋体" w:cs="宋体"/>
          <w:szCs w:val="24"/>
        </w:rPr>
        <w:t>、公平、公正、科学合理</w:t>
      </w:r>
      <w:r>
        <w:rPr>
          <w:rFonts w:hint="eastAsia" w:ascii="宋体" w:hAnsi="宋体" w:cs="宋体"/>
          <w:szCs w:val="24"/>
          <w:lang w:val="zh-CN"/>
        </w:rPr>
        <w:t>的原则；</w:t>
      </w:r>
    </w:p>
    <w:p>
      <w:pPr>
        <w:pStyle w:val="28"/>
        <w:numPr>
          <w:ilvl w:val="0"/>
          <w:numId w:val="25"/>
        </w:numPr>
        <w:spacing w:before="0"/>
        <w:ind w:firstLine="480"/>
        <w:rPr>
          <w:rFonts w:ascii="宋体" w:hAnsi="宋体" w:cs="宋体"/>
          <w:szCs w:val="24"/>
          <w:lang w:val="zh-CN"/>
        </w:rPr>
      </w:pPr>
      <w:r>
        <w:rPr>
          <w:rFonts w:hint="eastAsia" w:ascii="宋体" w:hAnsi="宋体" w:cs="宋体"/>
          <w:szCs w:val="24"/>
        </w:rPr>
        <w:t>价格合理，方案、产品先进可行；</w:t>
      </w:r>
    </w:p>
    <w:p>
      <w:pPr>
        <w:pStyle w:val="28"/>
        <w:numPr>
          <w:ilvl w:val="0"/>
          <w:numId w:val="25"/>
        </w:numPr>
        <w:spacing w:before="0"/>
        <w:ind w:firstLine="480"/>
        <w:rPr>
          <w:rFonts w:ascii="宋体" w:hAnsi="宋体" w:cs="宋体"/>
          <w:szCs w:val="24"/>
          <w:lang w:val="zh-CN"/>
        </w:rPr>
      </w:pPr>
      <w:r>
        <w:rPr>
          <w:rFonts w:hint="eastAsia" w:ascii="宋体" w:hAnsi="宋体" w:cs="宋体"/>
          <w:szCs w:val="24"/>
          <w:lang w:val="zh-CN"/>
        </w:rPr>
        <w:t>反对不正当竞争。</w:t>
      </w:r>
    </w:p>
    <w:p>
      <w:pPr>
        <w:pStyle w:val="13"/>
        <w:numPr>
          <w:ilvl w:val="0"/>
          <w:numId w:val="7"/>
        </w:numPr>
        <w:spacing w:line="360" w:lineRule="auto"/>
        <w:ind w:firstLine="482" w:firstLineChars="200"/>
        <w:rPr>
          <w:rFonts w:hAnsi="宋体" w:cs="宋体"/>
          <w:b/>
          <w:sz w:val="24"/>
          <w:szCs w:val="24"/>
        </w:rPr>
      </w:pPr>
      <w:r>
        <w:rPr>
          <w:rFonts w:hint="eastAsia" w:hAnsi="宋体" w:cs="宋体"/>
          <w:b/>
          <w:sz w:val="24"/>
          <w:szCs w:val="24"/>
        </w:rPr>
        <w:t>评标组织</w:t>
      </w:r>
    </w:p>
    <w:p>
      <w:pPr>
        <w:pStyle w:val="28"/>
        <w:numPr>
          <w:ilvl w:val="0"/>
          <w:numId w:val="26"/>
        </w:numPr>
        <w:spacing w:before="0"/>
        <w:ind w:firstLine="480"/>
        <w:rPr>
          <w:rFonts w:ascii="宋体" w:hAnsi="宋体" w:cs="宋体"/>
          <w:szCs w:val="24"/>
          <w:lang w:val="zh-CN"/>
        </w:rPr>
      </w:pPr>
      <w:r>
        <w:rPr>
          <w:rFonts w:hint="eastAsia" w:ascii="宋体" w:hAnsi="宋体" w:cs="宋体"/>
          <w:szCs w:val="24"/>
          <w:lang w:val="zh-CN"/>
        </w:rPr>
        <w:t>评标委员会由采购人代表和评审专家组成，成员人数应当为</w:t>
      </w:r>
      <w:r>
        <w:rPr>
          <w:rFonts w:hint="eastAsia" w:ascii="宋体" w:hAnsi="宋体" w:cs="宋体"/>
          <w:szCs w:val="24"/>
        </w:rPr>
        <w:t>5</w:t>
      </w:r>
      <w:r>
        <w:rPr>
          <w:rFonts w:hint="eastAsia" w:ascii="宋体" w:hAnsi="宋体" w:cs="宋体"/>
          <w:szCs w:val="24"/>
          <w:lang w:val="zh-CN"/>
        </w:rPr>
        <w:t>人以上单数，其中评审专家不得少于成员总数的三分之二；</w:t>
      </w:r>
    </w:p>
    <w:p>
      <w:pPr>
        <w:pStyle w:val="28"/>
        <w:numPr>
          <w:ilvl w:val="0"/>
          <w:numId w:val="26"/>
        </w:numPr>
        <w:spacing w:before="0"/>
        <w:ind w:firstLine="480"/>
        <w:rPr>
          <w:rFonts w:ascii="宋体" w:hAnsi="宋体" w:cs="宋体"/>
          <w:szCs w:val="24"/>
          <w:lang w:val="zh-CN"/>
        </w:rPr>
      </w:pPr>
      <w:r>
        <w:rPr>
          <w:rFonts w:hint="eastAsia" w:ascii="宋体" w:hAnsi="宋体" w:cs="宋体"/>
          <w:szCs w:val="24"/>
          <w:lang w:val="zh-CN"/>
        </w:rPr>
        <w:t>评标工作由评标委员会负责，并推选产生的组长主持；</w:t>
      </w:r>
    </w:p>
    <w:p>
      <w:pPr>
        <w:pStyle w:val="28"/>
        <w:numPr>
          <w:ilvl w:val="0"/>
          <w:numId w:val="26"/>
        </w:numPr>
        <w:spacing w:before="0"/>
        <w:ind w:firstLine="480"/>
        <w:rPr>
          <w:rFonts w:ascii="宋体" w:hAnsi="宋体" w:cs="宋体"/>
          <w:szCs w:val="24"/>
          <w:lang w:val="zh-CN"/>
        </w:rPr>
      </w:pPr>
      <w:r>
        <w:rPr>
          <w:rFonts w:hint="eastAsia" w:ascii="宋体" w:hAnsi="宋体" w:cs="宋体"/>
          <w:szCs w:val="24"/>
          <w:lang w:val="zh-CN"/>
        </w:rPr>
        <w:t>本次评标为在线评标。</w:t>
      </w:r>
    </w:p>
    <w:p>
      <w:pPr>
        <w:pStyle w:val="13"/>
        <w:numPr>
          <w:ilvl w:val="0"/>
          <w:numId w:val="7"/>
        </w:numPr>
        <w:spacing w:line="360" w:lineRule="auto"/>
        <w:ind w:firstLine="482" w:firstLineChars="200"/>
        <w:rPr>
          <w:rFonts w:hAnsi="宋体" w:cs="宋体"/>
          <w:b/>
          <w:sz w:val="24"/>
          <w:szCs w:val="24"/>
        </w:rPr>
      </w:pPr>
      <w:r>
        <w:rPr>
          <w:rFonts w:hint="eastAsia" w:hAnsi="宋体" w:cs="宋体"/>
          <w:b/>
          <w:sz w:val="24"/>
          <w:szCs w:val="24"/>
        </w:rPr>
        <w:t>评标办法</w:t>
      </w:r>
    </w:p>
    <w:p>
      <w:pPr>
        <w:spacing w:line="360" w:lineRule="auto"/>
        <w:ind w:firstLine="467" w:firstLineChars="194"/>
        <w:rPr>
          <w:rFonts w:ascii="宋体" w:hAnsi="宋体" w:cs="宋体"/>
          <w:b/>
          <w:kern w:val="0"/>
          <w:sz w:val="24"/>
          <w:szCs w:val="20"/>
        </w:rPr>
      </w:pPr>
      <w:r>
        <w:rPr>
          <w:rFonts w:hint="eastAsia" w:ascii="宋体" w:hAnsi="宋体" w:cs="宋体"/>
          <w:b/>
          <w:kern w:val="0"/>
          <w:sz w:val="24"/>
          <w:szCs w:val="20"/>
        </w:rPr>
        <w:t>本项目评标办法是综合评分法，具体评标内容及评分标准等详见招标文件第三部分。</w:t>
      </w:r>
    </w:p>
    <w:p>
      <w:pPr>
        <w:pStyle w:val="13"/>
        <w:numPr>
          <w:ilvl w:val="0"/>
          <w:numId w:val="7"/>
        </w:numPr>
        <w:spacing w:line="360" w:lineRule="auto"/>
        <w:ind w:firstLine="482" w:firstLineChars="200"/>
        <w:rPr>
          <w:rFonts w:hAnsi="宋体" w:cs="宋体"/>
          <w:b/>
          <w:sz w:val="24"/>
          <w:szCs w:val="24"/>
        </w:rPr>
      </w:pPr>
      <w:r>
        <w:rPr>
          <w:rFonts w:hint="eastAsia" w:hAnsi="宋体" w:cs="宋体"/>
          <w:b/>
          <w:sz w:val="24"/>
          <w:szCs w:val="24"/>
        </w:rPr>
        <w:t>投标文件符合性审查</w:t>
      </w:r>
    </w:p>
    <w:p>
      <w:pPr>
        <w:pStyle w:val="28"/>
        <w:numPr>
          <w:ilvl w:val="0"/>
          <w:numId w:val="27"/>
        </w:numPr>
        <w:spacing w:before="0"/>
        <w:ind w:firstLine="480"/>
        <w:rPr>
          <w:rFonts w:ascii="宋体" w:hAnsi="宋体" w:cs="宋体"/>
          <w:szCs w:val="24"/>
          <w:lang w:val="zh-CN"/>
        </w:rPr>
      </w:pPr>
      <w:r>
        <w:rPr>
          <w:rFonts w:hint="eastAsia" w:ascii="宋体" w:hAnsi="宋体" w:cs="宋体"/>
          <w:szCs w:val="24"/>
          <w:lang w:val="zh-CN"/>
        </w:rPr>
        <w:t>投标文件符合性审查：评标委员会依据招标文件的规定，从投标文件的有效性、完整性和对招标文件的响应程度进行审查，以确定是否对招标文件的要求作出实质性响应。</w:t>
      </w:r>
    </w:p>
    <w:p>
      <w:pPr>
        <w:pStyle w:val="28"/>
        <w:numPr>
          <w:ilvl w:val="0"/>
          <w:numId w:val="27"/>
        </w:numPr>
        <w:spacing w:before="0"/>
        <w:ind w:firstLine="480"/>
        <w:rPr>
          <w:rFonts w:ascii="宋体" w:hAnsi="宋体" w:cs="宋体"/>
          <w:szCs w:val="24"/>
          <w:lang w:val="zh-CN"/>
        </w:rPr>
      </w:pPr>
      <w:r>
        <w:rPr>
          <w:rFonts w:hint="eastAsia" w:ascii="宋体" w:hAnsi="宋体" w:cs="宋体"/>
          <w:szCs w:val="24"/>
          <w:lang w:val="zh-CN"/>
        </w:rPr>
        <w:t>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pPr>
        <w:pStyle w:val="28"/>
        <w:numPr>
          <w:ilvl w:val="0"/>
          <w:numId w:val="27"/>
        </w:numPr>
        <w:spacing w:before="0"/>
        <w:ind w:firstLine="480"/>
        <w:rPr>
          <w:rFonts w:ascii="宋体" w:hAnsi="宋体" w:cs="宋体"/>
          <w:szCs w:val="24"/>
          <w:lang w:val="zh-CN"/>
        </w:rPr>
      </w:pPr>
      <w:r>
        <w:rPr>
          <w:rFonts w:hint="eastAsia" w:ascii="宋体" w:hAnsi="宋体" w:cs="宋体"/>
          <w:szCs w:val="24"/>
          <w:lang w:val="zh-CN"/>
        </w:rPr>
        <w:t xml:space="preserve">如果投标文件没有实质上响应招标文件的要求，评标委员会将判定无效投标，投标人不得通过修改或撤销不合要求的偏离或保留而使其投标成为实质性响应的投标。 </w:t>
      </w:r>
    </w:p>
    <w:p>
      <w:pPr>
        <w:pStyle w:val="28"/>
        <w:numPr>
          <w:ilvl w:val="0"/>
          <w:numId w:val="27"/>
        </w:numPr>
        <w:spacing w:before="0"/>
        <w:ind w:firstLine="480"/>
        <w:rPr>
          <w:rFonts w:ascii="宋体" w:hAnsi="宋体" w:cs="宋体"/>
          <w:szCs w:val="24"/>
          <w:lang w:val="zh-CN"/>
        </w:rPr>
      </w:pPr>
      <w:r>
        <w:rPr>
          <w:rFonts w:hint="eastAsia" w:ascii="宋体" w:hAnsi="宋体" w:cs="宋体"/>
          <w:szCs w:val="24"/>
          <w:lang w:val="zh-CN"/>
        </w:rPr>
        <w:t>即按《评分标准》确定的标准，以经审查合格的投标文件进行资信、技术和商务评估，并综合进行比较与评价。参照《浙江省政府采购活动现场组织管理办法》的通知（浙财采监{2015}13号）规定，“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13"/>
        <w:numPr>
          <w:ilvl w:val="0"/>
          <w:numId w:val="7"/>
        </w:numPr>
        <w:spacing w:line="360" w:lineRule="auto"/>
        <w:ind w:firstLine="482" w:firstLineChars="200"/>
        <w:rPr>
          <w:rFonts w:hAnsi="宋体" w:cs="宋体"/>
          <w:b/>
          <w:sz w:val="24"/>
          <w:szCs w:val="24"/>
        </w:rPr>
      </w:pPr>
      <w:r>
        <w:rPr>
          <w:rFonts w:hint="eastAsia" w:hAnsi="宋体" w:cs="宋体"/>
          <w:b/>
          <w:sz w:val="24"/>
          <w:szCs w:val="24"/>
        </w:rPr>
        <w:t>修正原则</w:t>
      </w:r>
    </w:p>
    <w:p>
      <w:pPr>
        <w:pStyle w:val="28"/>
        <w:spacing w:before="0"/>
        <w:ind w:left="420" w:leftChars="200" w:firstLine="0" w:firstLineChars="0"/>
        <w:rPr>
          <w:rFonts w:ascii="宋体" w:hAnsi="宋体" w:cs="宋体"/>
          <w:szCs w:val="24"/>
          <w:lang w:val="zh-CN"/>
        </w:rPr>
      </w:pPr>
      <w:r>
        <w:rPr>
          <w:rFonts w:hint="eastAsia" w:ascii="宋体" w:hAnsi="宋体" w:cs="宋体"/>
          <w:szCs w:val="24"/>
          <w:lang w:val="zh-CN"/>
        </w:rPr>
        <w:t>投标文件报价出现前后不一致的，按照下列规定修正：</w:t>
      </w:r>
    </w:p>
    <w:p>
      <w:pPr>
        <w:pStyle w:val="28"/>
        <w:numPr>
          <w:ilvl w:val="0"/>
          <w:numId w:val="28"/>
        </w:numPr>
        <w:spacing w:before="0"/>
        <w:ind w:firstLine="480"/>
        <w:rPr>
          <w:rFonts w:ascii="宋体" w:hAnsi="宋体" w:cs="宋体"/>
          <w:szCs w:val="24"/>
          <w:lang w:val="zh-CN"/>
        </w:rPr>
      </w:pPr>
      <w:r>
        <w:rPr>
          <w:rFonts w:hint="eastAsia" w:ascii="宋体" w:hAnsi="宋体" w:cs="宋体"/>
          <w:szCs w:val="24"/>
          <w:lang w:val="zh-CN"/>
        </w:rPr>
        <w:t>投标文件中投标（开标）一览表内容与投标文件中相应内容不一致的，以投标（开标）一览表为准；</w:t>
      </w:r>
    </w:p>
    <w:p>
      <w:pPr>
        <w:pStyle w:val="28"/>
        <w:numPr>
          <w:ilvl w:val="0"/>
          <w:numId w:val="28"/>
        </w:numPr>
        <w:spacing w:before="0"/>
        <w:ind w:firstLine="480"/>
        <w:rPr>
          <w:rFonts w:ascii="宋体" w:hAnsi="宋体" w:cs="宋体"/>
          <w:szCs w:val="24"/>
          <w:lang w:val="zh-CN"/>
        </w:rPr>
      </w:pPr>
      <w:r>
        <w:rPr>
          <w:rFonts w:hint="eastAsia" w:ascii="宋体" w:hAnsi="宋体" w:cs="宋体"/>
          <w:szCs w:val="24"/>
          <w:lang w:val="zh-CN"/>
        </w:rPr>
        <w:t>大写金额和小写金额不一致的，以大写金额为准；</w:t>
      </w:r>
    </w:p>
    <w:p>
      <w:pPr>
        <w:pStyle w:val="28"/>
        <w:numPr>
          <w:ilvl w:val="0"/>
          <w:numId w:val="28"/>
        </w:numPr>
        <w:spacing w:before="0"/>
        <w:ind w:firstLine="480"/>
        <w:rPr>
          <w:rFonts w:ascii="宋体" w:hAnsi="宋体" w:cs="宋体"/>
          <w:szCs w:val="24"/>
          <w:lang w:val="zh-CN"/>
        </w:rPr>
      </w:pPr>
      <w:r>
        <w:rPr>
          <w:rFonts w:hint="eastAsia" w:ascii="宋体" w:hAnsi="宋体" w:cs="宋体"/>
          <w:szCs w:val="24"/>
          <w:lang w:val="zh-CN"/>
        </w:rPr>
        <w:t>单价金额小数点或者百分比有明显错位的，以投标（开标）一览表的总价为准，并修改单价；</w:t>
      </w:r>
    </w:p>
    <w:p>
      <w:pPr>
        <w:pStyle w:val="28"/>
        <w:numPr>
          <w:ilvl w:val="0"/>
          <w:numId w:val="28"/>
        </w:numPr>
        <w:spacing w:before="0"/>
        <w:ind w:firstLine="480"/>
        <w:rPr>
          <w:rFonts w:ascii="宋体" w:hAnsi="宋体" w:cs="宋体"/>
          <w:szCs w:val="24"/>
          <w:lang w:val="zh-CN"/>
        </w:rPr>
      </w:pPr>
      <w:r>
        <w:rPr>
          <w:rFonts w:hint="eastAsia" w:ascii="宋体" w:hAnsi="宋体" w:cs="宋体"/>
          <w:szCs w:val="24"/>
          <w:lang w:val="zh-CN"/>
        </w:rPr>
        <w:t>总价金额与按单价汇总金额不一致的，以单价金额计算结果为准。</w:t>
      </w:r>
    </w:p>
    <w:p>
      <w:pPr>
        <w:pStyle w:val="28"/>
        <w:spacing w:before="0"/>
        <w:ind w:firstLine="480"/>
        <w:rPr>
          <w:rFonts w:ascii="宋体" w:hAnsi="宋体" w:cs="宋体"/>
          <w:szCs w:val="24"/>
          <w:lang w:val="zh-CN"/>
        </w:rPr>
      </w:pPr>
      <w:r>
        <w:rPr>
          <w:rFonts w:hint="eastAsia" w:ascii="宋体" w:hAnsi="宋体" w:cs="宋体"/>
          <w:szCs w:val="24"/>
          <w:lang w:val="zh-CN"/>
        </w:rPr>
        <w:t>同时出现两种以上不一致的，按照前款规定的顺序修正。修正后的报价按照财政部公布第87号令 《政府采购产品和服务招标投标管理办法》第五十一条第二款的规定经投标人确认后产生约束力，投标人不确认的，其投标无效。</w:t>
      </w:r>
    </w:p>
    <w:p>
      <w:pPr>
        <w:pStyle w:val="13"/>
        <w:numPr>
          <w:ilvl w:val="0"/>
          <w:numId w:val="7"/>
        </w:numPr>
        <w:spacing w:line="360" w:lineRule="auto"/>
        <w:ind w:firstLine="482" w:firstLineChars="200"/>
        <w:rPr>
          <w:rFonts w:hAnsi="宋体" w:cs="宋体"/>
          <w:b/>
          <w:sz w:val="24"/>
          <w:szCs w:val="24"/>
        </w:rPr>
      </w:pPr>
      <w:r>
        <w:rPr>
          <w:rFonts w:hint="eastAsia" w:hAnsi="宋体" w:cs="宋体"/>
          <w:b/>
          <w:sz w:val="24"/>
          <w:szCs w:val="24"/>
        </w:rPr>
        <w:t>投标文件的澄清</w:t>
      </w:r>
    </w:p>
    <w:p>
      <w:pPr>
        <w:pStyle w:val="28"/>
        <w:numPr>
          <w:ilvl w:val="0"/>
          <w:numId w:val="29"/>
        </w:numPr>
        <w:spacing w:before="0"/>
        <w:ind w:firstLine="480"/>
        <w:rPr>
          <w:rFonts w:ascii="宋体" w:hAnsi="宋体" w:cs="宋体"/>
          <w:szCs w:val="24"/>
          <w:lang w:val="zh-CN"/>
        </w:rPr>
      </w:pPr>
      <w:r>
        <w:rPr>
          <w:rFonts w:hint="eastAsia" w:ascii="宋体" w:hAnsi="宋体" w:cs="宋体"/>
          <w:szCs w:val="24"/>
          <w:lang w:val="zh-CN"/>
        </w:rPr>
        <w:t>评审中因投标文件含义不明、表述不一致或有明显计算错误等内容需要供应商作出澄清、说明或者补正的，评标委员会和供应商应当通过政采云平台交换数据电文，给予供应商提交澄清说明或补正的时间不少于半小时，供应商已经明确表示澄清说明或补正完毕的除外。</w:t>
      </w:r>
    </w:p>
    <w:p>
      <w:pPr>
        <w:pStyle w:val="28"/>
        <w:numPr>
          <w:ilvl w:val="0"/>
          <w:numId w:val="29"/>
        </w:numPr>
        <w:spacing w:before="0"/>
        <w:ind w:firstLine="480"/>
        <w:rPr>
          <w:rFonts w:ascii="宋体" w:hAnsi="宋体" w:cs="宋体"/>
          <w:szCs w:val="24"/>
          <w:lang w:val="zh-CN"/>
        </w:rPr>
      </w:pPr>
      <w:r>
        <w:rPr>
          <w:rFonts w:hint="eastAsia" w:ascii="宋体" w:hAnsi="宋体" w:cs="宋体"/>
          <w:szCs w:val="24"/>
          <w:lang w:val="zh-CN"/>
        </w:rPr>
        <w:t>供应商通过政企云平台交换的数据电文必须进行电子签章。</w:t>
      </w:r>
    </w:p>
    <w:p>
      <w:pPr>
        <w:pStyle w:val="13"/>
        <w:numPr>
          <w:ilvl w:val="0"/>
          <w:numId w:val="7"/>
        </w:numPr>
        <w:spacing w:line="360" w:lineRule="auto"/>
        <w:ind w:firstLine="482" w:firstLineChars="200"/>
        <w:rPr>
          <w:rFonts w:hAnsi="宋体" w:cs="宋体"/>
          <w:b/>
          <w:sz w:val="24"/>
          <w:szCs w:val="24"/>
        </w:rPr>
      </w:pPr>
      <w:r>
        <w:rPr>
          <w:rFonts w:hint="eastAsia" w:hAnsi="宋体" w:cs="宋体"/>
          <w:b/>
          <w:sz w:val="24"/>
          <w:szCs w:val="24"/>
        </w:rPr>
        <w:t>无效投标</w:t>
      </w:r>
    </w:p>
    <w:p>
      <w:pPr>
        <w:spacing w:line="360" w:lineRule="auto"/>
        <w:ind w:firstLine="480" w:firstLineChars="200"/>
        <w:rPr>
          <w:rFonts w:ascii="宋体" w:hAnsi="宋体" w:cs="宋体"/>
          <w:sz w:val="24"/>
          <w:szCs w:val="21"/>
        </w:rPr>
      </w:pPr>
      <w:r>
        <w:rPr>
          <w:rFonts w:hint="eastAsia" w:ascii="宋体" w:hAnsi="宋体" w:cs="宋体"/>
          <w:sz w:val="24"/>
          <w:szCs w:val="21"/>
        </w:rPr>
        <w:t>经过审查，凡不符合有关规定，不响应招标文件的实质性条款，存在以下重大偏离之一的，经评标委员会认定，将因未通过资格性或符合性审查而被作为无效投标处理：</w:t>
      </w:r>
    </w:p>
    <w:p>
      <w:pPr>
        <w:numPr>
          <w:ilvl w:val="0"/>
          <w:numId w:val="30"/>
        </w:numPr>
        <w:spacing w:line="336" w:lineRule="auto"/>
        <w:ind w:firstLine="482" w:firstLineChars="200"/>
        <w:rPr>
          <w:rFonts w:ascii="宋体" w:hAnsi="宋体" w:cs="宋体"/>
          <w:b/>
          <w:bCs/>
          <w:sz w:val="24"/>
        </w:rPr>
      </w:pPr>
      <w:r>
        <w:rPr>
          <w:rFonts w:hint="eastAsia" w:ascii="宋体" w:hAnsi="宋体" w:cs="宋体"/>
          <w:b/>
          <w:bCs/>
          <w:sz w:val="24"/>
        </w:rPr>
        <w:t>未按照招标文件规定要求签署、盖章的；</w:t>
      </w:r>
    </w:p>
    <w:p>
      <w:pPr>
        <w:numPr>
          <w:ilvl w:val="0"/>
          <w:numId w:val="30"/>
        </w:numPr>
        <w:spacing w:line="336" w:lineRule="auto"/>
        <w:ind w:firstLine="482" w:firstLineChars="200"/>
        <w:rPr>
          <w:rFonts w:ascii="宋体" w:hAnsi="宋体" w:cs="宋体"/>
          <w:b/>
          <w:bCs/>
          <w:sz w:val="24"/>
        </w:rPr>
      </w:pPr>
      <w:r>
        <w:rPr>
          <w:rFonts w:hint="eastAsia" w:ascii="宋体" w:hAnsi="宋体" w:cs="宋体"/>
          <w:b/>
          <w:bCs/>
          <w:sz w:val="24"/>
        </w:rPr>
        <w:t xml:space="preserve">《法定代表人授权书》填写不全、错误、未加盖投标人公章（公章和签字或盖章缺一不可）； </w:t>
      </w:r>
    </w:p>
    <w:p>
      <w:pPr>
        <w:numPr>
          <w:ilvl w:val="0"/>
          <w:numId w:val="30"/>
        </w:numPr>
        <w:spacing w:line="336" w:lineRule="auto"/>
        <w:ind w:firstLine="482" w:firstLineChars="200"/>
        <w:rPr>
          <w:rFonts w:ascii="宋体" w:hAnsi="宋体" w:cs="宋体"/>
          <w:b/>
          <w:bCs/>
          <w:sz w:val="24"/>
        </w:rPr>
      </w:pPr>
      <w:r>
        <w:rPr>
          <w:rFonts w:hint="eastAsia" w:ascii="宋体" w:hAnsi="宋体" w:cs="宋体"/>
          <w:b/>
          <w:bCs/>
          <w:sz w:val="24"/>
        </w:rPr>
        <w:t>个体工商户的身份证明与营业执照不一致的；</w:t>
      </w:r>
    </w:p>
    <w:p>
      <w:pPr>
        <w:numPr>
          <w:ilvl w:val="0"/>
          <w:numId w:val="30"/>
        </w:numPr>
        <w:spacing w:line="336" w:lineRule="auto"/>
        <w:ind w:firstLine="482" w:firstLineChars="200"/>
        <w:rPr>
          <w:rFonts w:ascii="宋体" w:hAnsi="宋体" w:cs="宋体"/>
          <w:b/>
          <w:bCs/>
          <w:sz w:val="24"/>
        </w:rPr>
      </w:pPr>
      <w:r>
        <w:rPr>
          <w:rFonts w:hint="eastAsia" w:ascii="宋体" w:hAnsi="宋体" w:cs="宋体"/>
          <w:b/>
          <w:bCs/>
          <w:sz w:val="24"/>
        </w:rPr>
        <w:t>投标文件中的投标函未加盖投标人的企业公章或填写不全的；</w:t>
      </w:r>
    </w:p>
    <w:p>
      <w:pPr>
        <w:numPr>
          <w:ilvl w:val="0"/>
          <w:numId w:val="30"/>
        </w:numPr>
        <w:spacing w:line="336" w:lineRule="auto"/>
        <w:ind w:firstLine="482" w:firstLineChars="200"/>
        <w:rPr>
          <w:rFonts w:ascii="宋体" w:hAnsi="宋体" w:cs="宋体"/>
          <w:b/>
          <w:bCs/>
          <w:sz w:val="24"/>
        </w:rPr>
      </w:pPr>
      <w:r>
        <w:rPr>
          <w:rFonts w:hint="eastAsia" w:ascii="宋体" w:hAnsi="宋体" w:cs="宋体"/>
          <w:b/>
          <w:bCs/>
          <w:sz w:val="24"/>
        </w:rPr>
        <w:t>报价一经涂改，未在涂改处加盖投标单位公章或者未经法定代表人或其授权代表签字或盖章的；</w:t>
      </w:r>
    </w:p>
    <w:p>
      <w:pPr>
        <w:numPr>
          <w:ilvl w:val="0"/>
          <w:numId w:val="30"/>
        </w:numPr>
        <w:spacing w:line="336" w:lineRule="auto"/>
        <w:ind w:firstLine="482" w:firstLineChars="200"/>
        <w:rPr>
          <w:rFonts w:ascii="宋体" w:hAnsi="宋体" w:cs="宋体"/>
          <w:b/>
          <w:bCs/>
          <w:sz w:val="24"/>
        </w:rPr>
      </w:pPr>
      <w:r>
        <w:rPr>
          <w:rFonts w:hint="eastAsia" w:ascii="宋体" w:hAnsi="宋体" w:cs="宋体"/>
          <w:b/>
          <w:bCs/>
          <w:sz w:val="24"/>
        </w:rPr>
        <w:t>因未按规定的格式填写，内容不全或主要实质性内容字迹模糊辨认不清,经评标委员会认定为无法评审的；</w:t>
      </w:r>
    </w:p>
    <w:p>
      <w:pPr>
        <w:numPr>
          <w:ilvl w:val="0"/>
          <w:numId w:val="30"/>
        </w:numPr>
        <w:spacing w:line="336" w:lineRule="auto"/>
        <w:ind w:firstLine="482" w:firstLineChars="200"/>
        <w:rPr>
          <w:rFonts w:ascii="宋体" w:hAnsi="宋体" w:cs="宋体"/>
          <w:b/>
          <w:bCs/>
          <w:sz w:val="24"/>
        </w:rPr>
      </w:pPr>
      <w:r>
        <w:rPr>
          <w:rFonts w:hint="eastAsia" w:ascii="宋体" w:hAnsi="宋体" w:cs="宋体"/>
          <w:b/>
          <w:bCs/>
          <w:sz w:val="24"/>
        </w:rPr>
        <w:t>出现同一标的物或本次招标产品(服务)内的主要产品(重要组成部分)出现技术、商务描述不一致或前后描述不一致，经评标委员会认定后为无法评审的；</w:t>
      </w:r>
    </w:p>
    <w:p>
      <w:pPr>
        <w:numPr>
          <w:ilvl w:val="0"/>
          <w:numId w:val="30"/>
        </w:numPr>
        <w:spacing w:line="336" w:lineRule="auto"/>
        <w:ind w:firstLine="482" w:firstLineChars="200"/>
        <w:rPr>
          <w:rFonts w:ascii="宋体" w:hAnsi="宋体" w:cs="宋体"/>
          <w:b/>
          <w:bCs/>
          <w:sz w:val="24"/>
        </w:rPr>
      </w:pPr>
      <w:r>
        <w:rPr>
          <w:rFonts w:hint="eastAsia" w:ascii="宋体" w:hAnsi="宋体" w:cs="宋体"/>
          <w:b/>
          <w:bCs/>
          <w:sz w:val="24"/>
        </w:rPr>
        <w:t>投标详细配置清单响应表不真实填写或弄虚作假的；改变招标文件提供的清单中的计量单位、工程数量；</w:t>
      </w:r>
    </w:p>
    <w:p>
      <w:pPr>
        <w:numPr>
          <w:ilvl w:val="0"/>
          <w:numId w:val="30"/>
        </w:numPr>
        <w:spacing w:line="336" w:lineRule="auto"/>
        <w:ind w:firstLine="482" w:firstLineChars="200"/>
        <w:rPr>
          <w:rFonts w:ascii="宋体" w:hAnsi="宋体" w:cs="宋体"/>
          <w:b/>
          <w:bCs/>
          <w:sz w:val="24"/>
        </w:rPr>
      </w:pPr>
      <w:r>
        <w:rPr>
          <w:rFonts w:hint="eastAsia" w:ascii="宋体" w:hAnsi="宋体" w:cs="宋体"/>
          <w:b/>
          <w:bCs/>
          <w:sz w:val="24"/>
        </w:rPr>
        <w:t>对招标产品技术规格未详细应答，致使其技术文件无法评审的；</w:t>
      </w:r>
    </w:p>
    <w:p>
      <w:pPr>
        <w:numPr>
          <w:ilvl w:val="0"/>
          <w:numId w:val="30"/>
        </w:numPr>
        <w:spacing w:line="336" w:lineRule="auto"/>
        <w:ind w:firstLine="482" w:firstLineChars="200"/>
        <w:rPr>
          <w:rFonts w:ascii="宋体" w:hAnsi="宋体" w:cs="宋体"/>
          <w:b/>
          <w:bCs/>
          <w:sz w:val="24"/>
        </w:rPr>
      </w:pPr>
      <w:r>
        <w:rPr>
          <w:rFonts w:hint="eastAsia" w:ascii="宋体" w:hAnsi="宋体" w:cs="宋体"/>
          <w:b/>
          <w:bCs/>
          <w:sz w:val="24"/>
        </w:rPr>
        <w:t>投标文件有招标方不能接受的条件；</w:t>
      </w:r>
    </w:p>
    <w:p>
      <w:pPr>
        <w:numPr>
          <w:ilvl w:val="0"/>
          <w:numId w:val="30"/>
        </w:numPr>
        <w:spacing w:line="336" w:lineRule="auto"/>
        <w:ind w:firstLine="482" w:firstLineChars="200"/>
        <w:rPr>
          <w:rFonts w:ascii="宋体" w:hAnsi="宋体" w:cs="宋体"/>
          <w:b/>
          <w:bCs/>
          <w:sz w:val="24"/>
        </w:rPr>
      </w:pPr>
      <w:r>
        <w:rPr>
          <w:rFonts w:hint="eastAsia" w:ascii="宋体" w:hAnsi="宋体" w:cs="宋体"/>
          <w:b/>
          <w:bCs/>
          <w:sz w:val="24"/>
        </w:rPr>
        <w:t>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numPr>
          <w:ilvl w:val="0"/>
          <w:numId w:val="30"/>
        </w:numPr>
        <w:spacing w:line="336" w:lineRule="auto"/>
        <w:ind w:firstLine="482" w:firstLineChars="200"/>
        <w:rPr>
          <w:rFonts w:ascii="宋体" w:hAnsi="宋体" w:cs="宋体"/>
          <w:b/>
          <w:bCs/>
          <w:sz w:val="24"/>
        </w:rPr>
      </w:pPr>
      <w:r>
        <w:rPr>
          <w:rFonts w:hint="eastAsia" w:ascii="宋体" w:hAnsi="宋体" w:cs="宋体"/>
          <w:b/>
          <w:bCs/>
          <w:sz w:val="24"/>
        </w:rPr>
        <w:t>投标报价超过预算金额或最高限价的；</w:t>
      </w:r>
    </w:p>
    <w:p>
      <w:pPr>
        <w:numPr>
          <w:ilvl w:val="0"/>
          <w:numId w:val="30"/>
        </w:numPr>
        <w:spacing w:line="336" w:lineRule="auto"/>
        <w:ind w:firstLine="482" w:firstLineChars="200"/>
        <w:rPr>
          <w:rFonts w:ascii="宋体" w:hAnsi="宋体" w:cs="宋体"/>
          <w:b/>
          <w:bCs/>
          <w:sz w:val="24"/>
        </w:rPr>
      </w:pPr>
      <w:r>
        <w:rPr>
          <w:rFonts w:hint="eastAsia" w:ascii="宋体" w:hAnsi="宋体" w:cs="宋体"/>
          <w:b/>
          <w:bCs/>
          <w:sz w:val="24"/>
        </w:rPr>
        <w:t>投标文件“商务技术文件资料”部分中出现《开标一览表》或《投标报价明细表》相关内容的；</w:t>
      </w:r>
    </w:p>
    <w:p>
      <w:pPr>
        <w:numPr>
          <w:ilvl w:val="0"/>
          <w:numId w:val="30"/>
        </w:numPr>
        <w:spacing w:line="336" w:lineRule="auto"/>
        <w:ind w:firstLine="482" w:firstLineChars="200"/>
        <w:rPr>
          <w:rFonts w:ascii="宋体" w:hAnsi="宋体" w:cs="宋体"/>
          <w:b/>
          <w:bCs/>
          <w:sz w:val="24"/>
        </w:rPr>
      </w:pPr>
      <w:r>
        <w:rPr>
          <w:rFonts w:hint="eastAsia" w:ascii="宋体" w:hAnsi="宋体" w:cs="宋体"/>
          <w:b/>
          <w:bCs/>
          <w:sz w:val="24"/>
        </w:rPr>
        <w:t>评标委员会认定有重大偏差或实质性不响应招标文件要求的，即“★”的关键性指标及技术参数要求负偏离或缺漏；</w:t>
      </w:r>
    </w:p>
    <w:p>
      <w:pPr>
        <w:numPr>
          <w:ilvl w:val="0"/>
          <w:numId w:val="30"/>
        </w:numPr>
        <w:spacing w:line="336" w:lineRule="auto"/>
        <w:ind w:firstLine="482" w:firstLineChars="200"/>
        <w:rPr>
          <w:rFonts w:ascii="宋体" w:hAnsi="宋体" w:cs="宋体"/>
          <w:b/>
          <w:bCs/>
          <w:sz w:val="24"/>
        </w:rPr>
      </w:pPr>
      <w:r>
        <w:rPr>
          <w:rFonts w:hint="eastAsia" w:ascii="宋体" w:hAnsi="宋体" w:cs="宋体"/>
          <w:b/>
          <w:bCs/>
          <w:sz w:val="24"/>
        </w:rPr>
        <w:t>投标人拒绝按招标文件规定的修正原则对投标文件进行修改的；</w:t>
      </w:r>
    </w:p>
    <w:p>
      <w:pPr>
        <w:numPr>
          <w:ilvl w:val="0"/>
          <w:numId w:val="30"/>
        </w:numPr>
        <w:spacing w:line="336" w:lineRule="auto"/>
        <w:ind w:firstLine="482" w:firstLineChars="200"/>
        <w:rPr>
          <w:rFonts w:ascii="宋体" w:hAnsi="宋体" w:cs="宋体"/>
          <w:b/>
          <w:bCs/>
          <w:sz w:val="24"/>
        </w:rPr>
      </w:pPr>
      <w:r>
        <w:rPr>
          <w:rFonts w:hint="eastAsia" w:ascii="宋体" w:hAnsi="宋体" w:cs="宋体"/>
          <w:b/>
          <w:bCs/>
          <w:sz w:val="24"/>
        </w:rPr>
        <w:t>有下列情形之一的，视为投标人串通投标，其投标无效：</w:t>
      </w:r>
    </w:p>
    <w:p>
      <w:pPr>
        <w:tabs>
          <w:tab w:val="left" w:pos="0"/>
        </w:tabs>
        <w:spacing w:line="336" w:lineRule="auto"/>
        <w:ind w:left="420" w:leftChars="200"/>
        <w:rPr>
          <w:rFonts w:ascii="宋体" w:hAnsi="宋体" w:cs="宋体"/>
          <w:b/>
          <w:bCs/>
          <w:sz w:val="24"/>
        </w:rPr>
      </w:pPr>
      <w:r>
        <w:rPr>
          <w:rFonts w:hint="eastAsia" w:ascii="宋体" w:hAnsi="宋体" w:cs="宋体"/>
          <w:b/>
          <w:bCs/>
          <w:sz w:val="24"/>
        </w:rPr>
        <w:t>24.16.1不同投标人的投标文件由同一单位或者个人编制；</w:t>
      </w:r>
    </w:p>
    <w:p>
      <w:pPr>
        <w:tabs>
          <w:tab w:val="left" w:pos="0"/>
        </w:tabs>
        <w:spacing w:line="336" w:lineRule="auto"/>
        <w:ind w:left="420" w:leftChars="200"/>
        <w:rPr>
          <w:rFonts w:ascii="宋体" w:hAnsi="宋体" w:cs="宋体"/>
          <w:b/>
          <w:bCs/>
          <w:sz w:val="24"/>
        </w:rPr>
      </w:pPr>
      <w:r>
        <w:rPr>
          <w:rFonts w:hint="eastAsia" w:ascii="宋体" w:hAnsi="宋体" w:cs="宋体"/>
          <w:b/>
          <w:bCs/>
          <w:sz w:val="24"/>
        </w:rPr>
        <w:t>24.16.2不同投标人委托同一单位或者个人办理投标事宜；</w:t>
      </w:r>
    </w:p>
    <w:p>
      <w:pPr>
        <w:tabs>
          <w:tab w:val="left" w:pos="0"/>
        </w:tabs>
        <w:spacing w:line="336" w:lineRule="auto"/>
        <w:ind w:left="420" w:leftChars="200"/>
        <w:rPr>
          <w:rFonts w:ascii="宋体" w:hAnsi="宋体" w:cs="宋体"/>
          <w:b/>
          <w:bCs/>
          <w:sz w:val="24"/>
        </w:rPr>
      </w:pPr>
      <w:r>
        <w:rPr>
          <w:rFonts w:hint="eastAsia" w:ascii="宋体" w:hAnsi="宋体" w:cs="宋体"/>
          <w:b/>
          <w:bCs/>
          <w:sz w:val="24"/>
        </w:rPr>
        <w:t>24.16.3不同投标人的投标文件载明的项目管理成员或者联系人员为同一人；</w:t>
      </w:r>
    </w:p>
    <w:p>
      <w:pPr>
        <w:tabs>
          <w:tab w:val="left" w:pos="0"/>
        </w:tabs>
        <w:spacing w:line="336" w:lineRule="auto"/>
        <w:ind w:left="420" w:leftChars="200"/>
        <w:rPr>
          <w:rFonts w:ascii="宋体" w:hAnsi="宋体" w:cs="宋体"/>
          <w:b/>
          <w:bCs/>
          <w:sz w:val="24"/>
        </w:rPr>
      </w:pPr>
      <w:r>
        <w:rPr>
          <w:rFonts w:hint="eastAsia" w:ascii="宋体" w:hAnsi="宋体" w:cs="宋体"/>
          <w:b/>
          <w:bCs/>
          <w:sz w:val="24"/>
        </w:rPr>
        <w:t>24.16.4不同投标人的投标文件异常一致或者投标报价呈规律性差异；</w:t>
      </w:r>
    </w:p>
    <w:p>
      <w:pPr>
        <w:tabs>
          <w:tab w:val="left" w:pos="0"/>
        </w:tabs>
        <w:spacing w:line="336" w:lineRule="auto"/>
        <w:ind w:left="420" w:leftChars="200"/>
        <w:rPr>
          <w:rFonts w:ascii="宋体" w:hAnsi="宋体" w:cs="宋体"/>
          <w:b/>
          <w:bCs/>
          <w:sz w:val="24"/>
        </w:rPr>
      </w:pPr>
      <w:r>
        <w:rPr>
          <w:rFonts w:hint="eastAsia" w:ascii="宋体" w:hAnsi="宋体" w:cs="宋体"/>
          <w:b/>
          <w:bCs/>
          <w:sz w:val="24"/>
        </w:rPr>
        <w:t>24.16.5不同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pPr>
        <w:tabs>
          <w:tab w:val="left" w:pos="0"/>
        </w:tabs>
        <w:spacing w:line="360" w:lineRule="auto"/>
        <w:ind w:firstLine="482" w:firstLineChars="200"/>
        <w:rPr>
          <w:rFonts w:ascii="宋体" w:hAnsi="宋体" w:cs="宋体"/>
          <w:b/>
          <w:bCs/>
          <w:sz w:val="24"/>
          <w:szCs w:val="32"/>
        </w:rPr>
      </w:pPr>
      <w:r>
        <w:rPr>
          <w:rFonts w:hint="eastAsia" w:ascii="宋体" w:hAnsi="宋体" w:cs="宋体"/>
          <w:b/>
          <w:sz w:val="24"/>
          <w:szCs w:val="21"/>
        </w:rPr>
        <w:t>24.17员工工资标准低于绍兴市最低工资标准的</w:t>
      </w:r>
      <w:r>
        <w:rPr>
          <w:rFonts w:hint="eastAsia" w:ascii="宋体" w:hAnsi="宋体" w:cs="宋体"/>
          <w:b/>
          <w:bCs/>
          <w:sz w:val="24"/>
          <w:szCs w:val="32"/>
        </w:rPr>
        <w:t>；</w:t>
      </w:r>
    </w:p>
    <w:p>
      <w:pPr>
        <w:tabs>
          <w:tab w:val="left" w:pos="0"/>
        </w:tabs>
        <w:spacing w:line="360" w:lineRule="auto"/>
        <w:ind w:firstLine="482" w:firstLineChars="200"/>
      </w:pPr>
      <w:r>
        <w:rPr>
          <w:rFonts w:hint="eastAsia" w:ascii="宋体" w:hAnsi="宋体" w:cs="宋体"/>
          <w:b/>
          <w:bCs/>
          <w:sz w:val="24"/>
          <w:szCs w:val="32"/>
        </w:rPr>
        <w:t>24.18其他违反法律、法规的情形。</w:t>
      </w:r>
    </w:p>
    <w:p>
      <w:pPr>
        <w:pStyle w:val="13"/>
        <w:numPr>
          <w:ilvl w:val="0"/>
          <w:numId w:val="7"/>
        </w:numPr>
        <w:spacing w:line="360" w:lineRule="auto"/>
        <w:ind w:firstLine="482" w:firstLineChars="200"/>
        <w:rPr>
          <w:rFonts w:hAnsi="宋体" w:cs="宋体"/>
          <w:b/>
          <w:sz w:val="24"/>
          <w:szCs w:val="24"/>
        </w:rPr>
      </w:pPr>
      <w:r>
        <w:rPr>
          <w:rFonts w:hint="eastAsia" w:hAnsi="宋体" w:cs="宋体"/>
          <w:b/>
          <w:sz w:val="24"/>
          <w:szCs w:val="24"/>
        </w:rPr>
        <w:t>废标</w:t>
      </w:r>
    </w:p>
    <w:p>
      <w:pPr>
        <w:spacing w:line="360" w:lineRule="auto"/>
        <w:ind w:firstLine="480" w:firstLineChars="200"/>
        <w:rPr>
          <w:rFonts w:ascii="宋体" w:hAnsi="宋体" w:cs="宋体"/>
          <w:sz w:val="24"/>
          <w:szCs w:val="21"/>
        </w:rPr>
      </w:pPr>
      <w:r>
        <w:rPr>
          <w:rFonts w:hint="eastAsia" w:ascii="宋体" w:hAnsi="宋体" w:cs="宋体"/>
          <w:sz w:val="24"/>
          <w:szCs w:val="21"/>
        </w:rPr>
        <w:t>按照《上虞区区属国有企业货物和服务采购管理办法》第四十二条之规定，在公开招标采购中，出现下列情形之一的，应予终止采购程序或废标：</w:t>
      </w:r>
    </w:p>
    <w:p>
      <w:pPr>
        <w:spacing w:line="360" w:lineRule="auto"/>
        <w:ind w:firstLine="480" w:firstLineChars="200"/>
        <w:rPr>
          <w:rFonts w:ascii="宋体" w:hAnsi="宋体" w:cs="宋体"/>
          <w:sz w:val="24"/>
          <w:szCs w:val="21"/>
        </w:rPr>
      </w:pPr>
      <w:r>
        <w:rPr>
          <w:rFonts w:hint="eastAsia" w:ascii="宋体" w:hAnsi="宋体" w:cs="宋体"/>
          <w:sz w:val="24"/>
          <w:szCs w:val="21"/>
        </w:rPr>
        <w:t>25.1 符合专业条件的供应商或者对采购文件作实质响应的供应商不足 3 家；</w:t>
      </w:r>
    </w:p>
    <w:p>
      <w:pPr>
        <w:spacing w:line="360" w:lineRule="auto"/>
        <w:ind w:firstLine="480" w:firstLineChars="200"/>
        <w:rPr>
          <w:rFonts w:ascii="宋体" w:hAnsi="宋体" w:cs="宋体"/>
          <w:sz w:val="24"/>
          <w:szCs w:val="21"/>
        </w:rPr>
      </w:pPr>
      <w:r>
        <w:rPr>
          <w:rFonts w:hint="eastAsia" w:ascii="宋体" w:hAnsi="宋体" w:cs="宋体"/>
          <w:sz w:val="24"/>
          <w:szCs w:val="21"/>
        </w:rPr>
        <w:t>25.2 出现影响采购公正的违法、违规行为的；</w:t>
      </w:r>
    </w:p>
    <w:p>
      <w:pPr>
        <w:spacing w:line="360" w:lineRule="auto"/>
        <w:ind w:firstLine="480" w:firstLineChars="200"/>
        <w:rPr>
          <w:rFonts w:ascii="宋体" w:hAnsi="宋体" w:cs="宋体"/>
          <w:sz w:val="24"/>
          <w:szCs w:val="21"/>
        </w:rPr>
      </w:pPr>
      <w:r>
        <w:rPr>
          <w:rFonts w:hint="eastAsia" w:ascii="宋体" w:hAnsi="宋体" w:cs="宋体"/>
          <w:sz w:val="24"/>
          <w:szCs w:val="21"/>
        </w:rPr>
        <w:t>25.3 投标人的报价均超过了采购预算；</w:t>
      </w:r>
    </w:p>
    <w:p>
      <w:pPr>
        <w:spacing w:line="360" w:lineRule="auto"/>
        <w:ind w:firstLine="480" w:firstLineChars="200"/>
        <w:rPr>
          <w:rFonts w:ascii="宋体" w:hAnsi="宋体" w:cs="宋体"/>
          <w:sz w:val="24"/>
          <w:szCs w:val="21"/>
        </w:rPr>
      </w:pPr>
      <w:r>
        <w:rPr>
          <w:rFonts w:hint="eastAsia" w:ascii="宋体" w:hAnsi="宋体" w:cs="宋体"/>
          <w:sz w:val="24"/>
          <w:szCs w:val="21"/>
        </w:rPr>
        <w:t>25.4 因重大变故，采购任务取消的。</w:t>
      </w:r>
    </w:p>
    <w:p>
      <w:pPr>
        <w:spacing w:line="360" w:lineRule="auto"/>
        <w:ind w:firstLine="480" w:firstLineChars="200"/>
        <w:rPr>
          <w:rFonts w:ascii="宋体" w:hAnsi="宋体" w:cs="宋体"/>
          <w:sz w:val="24"/>
          <w:szCs w:val="21"/>
        </w:rPr>
      </w:pPr>
      <w:r>
        <w:rPr>
          <w:rFonts w:hint="eastAsia" w:ascii="宋体" w:hAnsi="宋体" w:cs="宋体"/>
          <w:sz w:val="24"/>
          <w:szCs w:val="21"/>
        </w:rPr>
        <w:t>废标后，采购代理机构应当将废标理由通知所有投标人。</w:t>
      </w:r>
    </w:p>
    <w:p>
      <w:pPr>
        <w:pStyle w:val="13"/>
        <w:numPr>
          <w:ilvl w:val="0"/>
          <w:numId w:val="7"/>
        </w:numPr>
        <w:spacing w:line="360" w:lineRule="auto"/>
        <w:ind w:firstLine="482" w:firstLineChars="200"/>
        <w:rPr>
          <w:rFonts w:hAnsi="宋体" w:cs="宋体"/>
          <w:b/>
          <w:sz w:val="24"/>
          <w:szCs w:val="24"/>
        </w:rPr>
      </w:pPr>
      <w:r>
        <w:rPr>
          <w:rFonts w:hint="eastAsia" w:hAnsi="宋体" w:cs="宋体"/>
          <w:b/>
          <w:bCs/>
          <w:sz w:val="24"/>
          <w:szCs w:val="24"/>
          <w:lang w:val="zh-CN"/>
        </w:rPr>
        <w:t>中止电子交易活动和</w:t>
      </w:r>
      <w:r>
        <w:rPr>
          <w:rFonts w:hint="eastAsia" w:hAnsi="宋体" w:cs="宋体"/>
          <w:b/>
          <w:sz w:val="24"/>
          <w:szCs w:val="24"/>
        </w:rPr>
        <w:t>重新组织采购</w:t>
      </w:r>
    </w:p>
    <w:p>
      <w:pPr>
        <w:pStyle w:val="28"/>
        <w:tabs>
          <w:tab w:val="left" w:pos="0"/>
        </w:tabs>
        <w:spacing w:before="0"/>
        <w:ind w:firstLine="480"/>
        <w:rPr>
          <w:rFonts w:ascii="宋体" w:hAnsi="宋体" w:cs="宋体"/>
          <w:szCs w:val="24"/>
          <w:lang w:val="zh-CN"/>
        </w:rPr>
      </w:pPr>
      <w:r>
        <w:rPr>
          <w:rFonts w:hint="eastAsia" w:ascii="宋体" w:hAnsi="宋体" w:cs="宋体"/>
          <w:szCs w:val="24"/>
        </w:rPr>
        <w:t>26.1</w:t>
      </w:r>
      <w:r>
        <w:rPr>
          <w:rFonts w:hint="eastAsia" w:ascii="宋体" w:hAnsi="宋体" w:cs="宋体"/>
          <w:szCs w:val="24"/>
          <w:lang w:val="zh-CN"/>
        </w:rPr>
        <w:t>采购过程中出现以下情形，导致电子交易平台无法正常运行，或者无法保证电子交易的公平、公正和安全时，采购组织机构可中止电子交易活动：</w:t>
      </w:r>
    </w:p>
    <w:p>
      <w:pPr>
        <w:numPr>
          <w:ilvl w:val="0"/>
          <w:numId w:val="31"/>
        </w:numPr>
        <w:tabs>
          <w:tab w:val="left" w:pos="0"/>
        </w:tabs>
        <w:spacing w:line="360" w:lineRule="auto"/>
        <w:ind w:firstLine="480" w:firstLineChars="200"/>
        <w:rPr>
          <w:rFonts w:ascii="宋体" w:hAnsi="宋体" w:cs="宋体"/>
          <w:sz w:val="24"/>
          <w:szCs w:val="21"/>
        </w:rPr>
      </w:pPr>
      <w:r>
        <w:rPr>
          <w:rFonts w:hint="eastAsia" w:ascii="宋体" w:hAnsi="宋体" w:cs="宋体"/>
          <w:sz w:val="24"/>
          <w:szCs w:val="21"/>
        </w:rPr>
        <w:t xml:space="preserve">电子交易平台发生故障而无法登录访问的； </w:t>
      </w:r>
    </w:p>
    <w:p>
      <w:pPr>
        <w:numPr>
          <w:ilvl w:val="0"/>
          <w:numId w:val="31"/>
        </w:numPr>
        <w:tabs>
          <w:tab w:val="left" w:pos="0"/>
        </w:tabs>
        <w:spacing w:line="360" w:lineRule="auto"/>
        <w:ind w:firstLine="480" w:firstLineChars="200"/>
        <w:rPr>
          <w:rFonts w:ascii="宋体" w:hAnsi="宋体" w:cs="宋体"/>
          <w:sz w:val="24"/>
          <w:szCs w:val="21"/>
        </w:rPr>
      </w:pPr>
      <w:r>
        <w:rPr>
          <w:rFonts w:hint="eastAsia" w:ascii="宋体" w:hAnsi="宋体" w:cs="宋体"/>
          <w:sz w:val="24"/>
          <w:szCs w:val="21"/>
        </w:rPr>
        <w:t>电子交易平台应用或数据库出现错误，不能进行正常操作的；</w:t>
      </w:r>
    </w:p>
    <w:p>
      <w:pPr>
        <w:numPr>
          <w:ilvl w:val="0"/>
          <w:numId w:val="31"/>
        </w:numPr>
        <w:tabs>
          <w:tab w:val="left" w:pos="0"/>
        </w:tabs>
        <w:spacing w:line="360" w:lineRule="auto"/>
        <w:ind w:firstLine="480" w:firstLineChars="200"/>
        <w:rPr>
          <w:rFonts w:ascii="宋体" w:hAnsi="宋体" w:cs="宋体"/>
          <w:sz w:val="24"/>
          <w:szCs w:val="21"/>
        </w:rPr>
      </w:pPr>
      <w:r>
        <w:rPr>
          <w:rFonts w:hint="eastAsia" w:ascii="宋体" w:hAnsi="宋体" w:cs="宋体"/>
          <w:sz w:val="24"/>
          <w:szCs w:val="21"/>
        </w:rPr>
        <w:t>电子交易平台发现严重安全漏洞，有潜在泄密危险的；</w:t>
      </w:r>
    </w:p>
    <w:p>
      <w:pPr>
        <w:numPr>
          <w:ilvl w:val="0"/>
          <w:numId w:val="31"/>
        </w:numPr>
        <w:tabs>
          <w:tab w:val="left" w:pos="0"/>
        </w:tabs>
        <w:spacing w:line="360" w:lineRule="auto"/>
        <w:ind w:firstLine="480" w:firstLineChars="200"/>
        <w:rPr>
          <w:rFonts w:ascii="宋体" w:hAnsi="宋体" w:cs="宋体"/>
          <w:sz w:val="24"/>
          <w:szCs w:val="21"/>
        </w:rPr>
      </w:pPr>
      <w:r>
        <w:rPr>
          <w:rFonts w:hint="eastAsia" w:ascii="宋体" w:hAnsi="宋体" w:cs="宋体"/>
          <w:sz w:val="24"/>
          <w:szCs w:val="21"/>
        </w:rPr>
        <w:t xml:space="preserve">病毒发作导致不能进行正常操作的； </w:t>
      </w:r>
    </w:p>
    <w:p>
      <w:pPr>
        <w:numPr>
          <w:ilvl w:val="0"/>
          <w:numId w:val="31"/>
        </w:numPr>
        <w:tabs>
          <w:tab w:val="left" w:pos="0"/>
        </w:tabs>
        <w:spacing w:line="360" w:lineRule="auto"/>
        <w:ind w:firstLine="480" w:firstLineChars="200"/>
        <w:rPr>
          <w:rFonts w:ascii="宋体" w:hAnsi="宋体" w:cs="宋体"/>
          <w:sz w:val="24"/>
          <w:szCs w:val="21"/>
        </w:rPr>
      </w:pPr>
      <w:r>
        <w:rPr>
          <w:rFonts w:hint="eastAsia" w:ascii="宋体" w:hAnsi="宋体" w:cs="宋体"/>
          <w:sz w:val="24"/>
          <w:szCs w:val="21"/>
        </w:rPr>
        <w:t>其他无法保证电子交易的公平、公正和安全的情况。</w:t>
      </w:r>
    </w:p>
    <w:p>
      <w:pPr>
        <w:pStyle w:val="28"/>
        <w:tabs>
          <w:tab w:val="left" w:pos="0"/>
        </w:tabs>
        <w:spacing w:before="0"/>
        <w:ind w:firstLine="480"/>
        <w:rPr>
          <w:rFonts w:ascii="宋体" w:hAnsi="宋体" w:cs="宋体"/>
          <w:szCs w:val="24"/>
        </w:rPr>
      </w:pPr>
      <w:r>
        <w:rPr>
          <w:rFonts w:hint="eastAsia" w:ascii="宋体" w:hAnsi="宋体" w:cs="宋体"/>
          <w:szCs w:val="24"/>
        </w:rPr>
        <w:t>26.2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3"/>
        <w:numPr>
          <w:ilvl w:val="0"/>
          <w:numId w:val="7"/>
        </w:numPr>
        <w:spacing w:line="360" w:lineRule="auto"/>
        <w:ind w:firstLine="482" w:firstLineChars="200"/>
        <w:rPr>
          <w:rFonts w:hAnsi="宋体" w:cs="宋体"/>
          <w:b/>
          <w:sz w:val="24"/>
          <w:szCs w:val="24"/>
        </w:rPr>
      </w:pPr>
      <w:r>
        <w:rPr>
          <w:rFonts w:hint="eastAsia" w:hAnsi="宋体" w:cs="宋体"/>
          <w:b/>
          <w:sz w:val="24"/>
          <w:szCs w:val="24"/>
        </w:rPr>
        <w:t>保密及其它注意事项</w:t>
      </w:r>
    </w:p>
    <w:p>
      <w:pPr>
        <w:pStyle w:val="28"/>
        <w:numPr>
          <w:ilvl w:val="0"/>
          <w:numId w:val="32"/>
        </w:numPr>
        <w:spacing w:before="0"/>
        <w:ind w:firstLine="480"/>
        <w:rPr>
          <w:rFonts w:ascii="宋体" w:hAnsi="宋体" w:cs="宋体"/>
          <w:szCs w:val="24"/>
        </w:rPr>
      </w:pPr>
      <w:r>
        <w:rPr>
          <w:rFonts w:hint="eastAsia" w:ascii="宋体" w:hAnsi="宋体" w:cs="宋体"/>
          <w:szCs w:val="24"/>
        </w:rPr>
        <w:t>评标是招标工作的重要环节，评标工作由评标委员会独立进行。评标委员会将遵照评标原则，公正、平等地对待所有投标人；</w:t>
      </w:r>
    </w:p>
    <w:p>
      <w:pPr>
        <w:pStyle w:val="28"/>
        <w:numPr>
          <w:ilvl w:val="0"/>
          <w:numId w:val="32"/>
        </w:numPr>
        <w:spacing w:before="0"/>
        <w:ind w:firstLine="480"/>
        <w:rPr>
          <w:rFonts w:ascii="宋体" w:hAnsi="宋体" w:cs="宋体"/>
          <w:szCs w:val="24"/>
        </w:rPr>
      </w:pPr>
      <w:r>
        <w:rPr>
          <w:rFonts w:hint="eastAsia" w:ascii="宋体" w:hAnsi="宋体" w:cs="宋体"/>
          <w:szCs w:val="24"/>
        </w:rPr>
        <w:t>在开标、投标期间，投标人不得向评委询问评标情况，不得进行旨在影响评标结果的活动。采购人不得在中标人确定前，与投标人就投标价格、投标方案等实质性内容进行谈判；</w:t>
      </w:r>
    </w:p>
    <w:p>
      <w:pPr>
        <w:pStyle w:val="28"/>
        <w:numPr>
          <w:ilvl w:val="0"/>
          <w:numId w:val="32"/>
        </w:numPr>
        <w:spacing w:before="0"/>
        <w:ind w:firstLine="480"/>
        <w:rPr>
          <w:rFonts w:ascii="宋体" w:hAnsi="宋体" w:cs="宋体"/>
          <w:szCs w:val="24"/>
        </w:rPr>
      </w:pPr>
      <w:r>
        <w:rPr>
          <w:rFonts w:hint="eastAsia" w:ascii="宋体" w:hAnsi="宋体" w:cs="宋体"/>
          <w:szCs w:val="24"/>
        </w:rPr>
        <w:t>为保证定标的公正性，在评标过程中，评委不得与投标人私下交换意见。在招标工作结束后，凡与评标情况有接触的任何人，不得也不应将评标情况扩散出评委人员之外；</w:t>
      </w:r>
    </w:p>
    <w:p>
      <w:pPr>
        <w:pStyle w:val="28"/>
        <w:numPr>
          <w:ilvl w:val="0"/>
          <w:numId w:val="32"/>
        </w:numPr>
        <w:spacing w:before="0"/>
        <w:ind w:firstLine="480"/>
        <w:rPr>
          <w:rFonts w:ascii="宋体" w:hAnsi="宋体" w:cs="宋体"/>
          <w:szCs w:val="24"/>
        </w:rPr>
      </w:pPr>
      <w:r>
        <w:rPr>
          <w:rFonts w:hint="eastAsia" w:ascii="宋体" w:hAnsi="宋体" w:cs="宋体"/>
          <w:szCs w:val="24"/>
        </w:rPr>
        <w:t>投标人相互之间，或与采购人相互不得串通投标，不得排挤其他投标人的公平竞争，损害采购人或者其他投标人的合法权益；</w:t>
      </w:r>
    </w:p>
    <w:p>
      <w:pPr>
        <w:pStyle w:val="28"/>
        <w:numPr>
          <w:ilvl w:val="0"/>
          <w:numId w:val="32"/>
        </w:numPr>
        <w:spacing w:before="0"/>
        <w:ind w:firstLine="480"/>
        <w:rPr>
          <w:rFonts w:ascii="宋体" w:hAnsi="宋体" w:cs="宋体"/>
          <w:szCs w:val="24"/>
        </w:rPr>
      </w:pPr>
      <w:r>
        <w:rPr>
          <w:rFonts w:hint="eastAsia" w:ascii="宋体" w:hAnsi="宋体" w:cs="宋体"/>
          <w:szCs w:val="24"/>
        </w:rPr>
        <w:t>评标委员会不向投标人解释未中标的原因；</w:t>
      </w:r>
    </w:p>
    <w:p>
      <w:pPr>
        <w:pStyle w:val="28"/>
        <w:numPr>
          <w:ilvl w:val="0"/>
          <w:numId w:val="32"/>
        </w:numPr>
        <w:spacing w:before="0"/>
        <w:ind w:firstLine="480"/>
        <w:rPr>
          <w:rFonts w:ascii="宋体" w:hAnsi="宋体" w:cs="宋体"/>
          <w:szCs w:val="24"/>
        </w:rPr>
      </w:pPr>
      <w:r>
        <w:rPr>
          <w:rFonts w:hint="eastAsia" w:ascii="宋体" w:hAnsi="宋体" w:cs="宋体"/>
          <w:szCs w:val="24"/>
        </w:rPr>
        <w:t>特别说明：政企云公司如对电子化开标及评审程序有调整的，按调整后的程序操作。</w:t>
      </w:r>
    </w:p>
    <w:p>
      <w:pPr>
        <w:spacing w:line="360" w:lineRule="auto"/>
        <w:ind w:firstLine="420"/>
        <w:jc w:val="center"/>
        <w:rPr>
          <w:rFonts w:ascii="宋体" w:hAnsi="宋体" w:cs="宋体"/>
          <w:b/>
          <w:sz w:val="24"/>
        </w:rPr>
      </w:pPr>
    </w:p>
    <w:p>
      <w:pPr>
        <w:snapToGrid w:val="0"/>
        <w:spacing w:line="360" w:lineRule="auto"/>
        <w:jc w:val="center"/>
        <w:outlineLvl w:val="0"/>
        <w:rPr>
          <w:rFonts w:ascii="宋体" w:hAnsi="宋体" w:cs="宋体"/>
          <w:b/>
          <w:sz w:val="32"/>
        </w:rPr>
      </w:pPr>
      <w:bookmarkStart w:id="50" w:name="_Toc19547"/>
      <w:bookmarkStart w:id="51" w:name="_Toc357"/>
      <w:r>
        <w:rPr>
          <w:rFonts w:hint="eastAsia" w:ascii="宋体" w:hAnsi="宋体" w:cs="宋体"/>
          <w:b/>
          <w:sz w:val="32"/>
        </w:rPr>
        <w:t>八、定 标</w:t>
      </w:r>
      <w:bookmarkEnd w:id="50"/>
      <w:bookmarkEnd w:id="51"/>
    </w:p>
    <w:p>
      <w:pPr>
        <w:pStyle w:val="28"/>
        <w:tabs>
          <w:tab w:val="left" w:pos="0"/>
        </w:tabs>
        <w:spacing w:before="0"/>
        <w:ind w:firstLine="480"/>
        <w:rPr>
          <w:rFonts w:ascii="宋体" w:hAnsi="宋体" w:cs="宋体"/>
          <w:szCs w:val="24"/>
        </w:rPr>
      </w:pPr>
      <w:bookmarkStart w:id="52" w:name="_Toc15760"/>
      <w:r>
        <w:rPr>
          <w:rFonts w:hint="eastAsia" w:ascii="宋体" w:hAnsi="宋体" w:cs="宋体"/>
          <w:szCs w:val="24"/>
        </w:rPr>
        <w:t>28.1项目由评标委员会根据第三章《评标办法与评分标准》规定提出中标候选人排序。</w:t>
      </w:r>
    </w:p>
    <w:p>
      <w:pPr>
        <w:pStyle w:val="28"/>
        <w:tabs>
          <w:tab w:val="left" w:pos="0"/>
        </w:tabs>
        <w:spacing w:before="0"/>
        <w:ind w:firstLine="480"/>
        <w:rPr>
          <w:rFonts w:ascii="宋体" w:hAnsi="宋体" w:cs="宋体"/>
          <w:szCs w:val="24"/>
        </w:rPr>
      </w:pPr>
      <w:r>
        <w:rPr>
          <w:rFonts w:hint="eastAsia" w:ascii="宋体" w:hAnsi="宋体" w:cs="宋体"/>
          <w:szCs w:val="24"/>
        </w:rPr>
        <w:t>28.2采购代理机构应当在评标结束后2个工作日内将评标报告送采购人。</w:t>
      </w:r>
    </w:p>
    <w:p>
      <w:pPr>
        <w:pStyle w:val="28"/>
        <w:tabs>
          <w:tab w:val="left" w:pos="0"/>
        </w:tabs>
        <w:spacing w:before="0"/>
        <w:ind w:firstLine="480"/>
        <w:rPr>
          <w:rFonts w:ascii="宋体" w:hAnsi="宋体" w:cs="宋体"/>
          <w:szCs w:val="24"/>
        </w:rPr>
      </w:pPr>
      <w:r>
        <w:rPr>
          <w:rFonts w:hint="eastAsia" w:ascii="宋体" w:hAnsi="宋体" w:cs="宋体"/>
          <w:szCs w:val="24"/>
        </w:rPr>
        <w:t>28.3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28"/>
        <w:tabs>
          <w:tab w:val="left" w:pos="0"/>
        </w:tabs>
        <w:spacing w:before="0"/>
        <w:ind w:firstLine="480"/>
        <w:rPr>
          <w:rFonts w:ascii="宋体" w:hAnsi="宋体" w:cs="宋体"/>
          <w:szCs w:val="24"/>
        </w:rPr>
      </w:pPr>
      <w:r>
        <w:rPr>
          <w:rFonts w:hint="eastAsia" w:ascii="宋体" w:hAnsi="宋体" w:cs="宋体"/>
          <w:szCs w:val="24"/>
        </w:rPr>
        <w:t>28.4采购人或者采购代理机构应当自中标人确定之日起2个工作日内，在发布招标公告的网站上公告中标结果，公告期限为1个工作日。在公告中标结果的同时，采购人或者采购代理机构应当向中标人发出中标通知书；</w:t>
      </w:r>
    </w:p>
    <w:p>
      <w:pPr>
        <w:pStyle w:val="28"/>
        <w:tabs>
          <w:tab w:val="left" w:pos="0"/>
        </w:tabs>
        <w:spacing w:before="0"/>
        <w:ind w:firstLine="480"/>
        <w:rPr>
          <w:rFonts w:ascii="宋体" w:hAnsi="宋体" w:cs="宋体"/>
          <w:szCs w:val="24"/>
        </w:rPr>
      </w:pPr>
      <w:r>
        <w:rPr>
          <w:rFonts w:hint="eastAsia" w:ascii="宋体" w:hAnsi="宋体" w:cs="宋体"/>
          <w:szCs w:val="24"/>
        </w:rPr>
        <w:t>28.5中标人应携带介绍信自行前往采购代理机构领取中标通知书。</w:t>
      </w:r>
    </w:p>
    <w:p>
      <w:pPr>
        <w:ind w:firstLine="480" w:firstLineChars="200"/>
        <w:rPr>
          <w:rFonts w:ascii="宋体" w:hAnsi="宋体" w:cs="宋体"/>
          <w:sz w:val="24"/>
          <w:szCs w:val="32"/>
        </w:rPr>
      </w:pPr>
      <w:bookmarkStart w:id="53" w:name="_Toc27357"/>
      <w:bookmarkStart w:id="54" w:name="_Toc23365"/>
      <w:r>
        <w:rPr>
          <w:rFonts w:hint="eastAsia" w:ascii="宋体" w:hAnsi="宋体" w:cs="宋体"/>
          <w:sz w:val="24"/>
          <w:szCs w:val="32"/>
        </w:rPr>
        <w:t>28.6中标通知书发出后，采购人不得违法改变中标结果，中标人无正当理由不得放弃中标。</w:t>
      </w:r>
      <w:bookmarkEnd w:id="53"/>
      <w:bookmarkEnd w:id="54"/>
    </w:p>
    <w:p>
      <w:pPr>
        <w:snapToGrid w:val="0"/>
        <w:spacing w:line="360" w:lineRule="auto"/>
        <w:jc w:val="center"/>
        <w:outlineLvl w:val="0"/>
        <w:rPr>
          <w:rFonts w:ascii="宋体" w:hAnsi="宋体" w:cs="宋体"/>
          <w:b/>
          <w:sz w:val="32"/>
        </w:rPr>
      </w:pPr>
    </w:p>
    <w:p>
      <w:pPr>
        <w:snapToGrid w:val="0"/>
        <w:spacing w:line="360" w:lineRule="auto"/>
        <w:jc w:val="center"/>
        <w:outlineLvl w:val="0"/>
        <w:rPr>
          <w:rFonts w:ascii="宋体" w:hAnsi="宋体" w:cs="宋体"/>
          <w:b/>
          <w:sz w:val="32"/>
        </w:rPr>
      </w:pPr>
      <w:bookmarkStart w:id="55" w:name="_Toc27805"/>
      <w:r>
        <w:rPr>
          <w:rFonts w:hint="eastAsia" w:ascii="宋体" w:hAnsi="宋体" w:cs="宋体"/>
          <w:b/>
          <w:sz w:val="32"/>
        </w:rPr>
        <w:t>九、合同签订及其他</w:t>
      </w:r>
      <w:bookmarkEnd w:id="52"/>
      <w:bookmarkEnd w:id="55"/>
    </w:p>
    <w:p>
      <w:pPr>
        <w:pStyle w:val="28"/>
        <w:tabs>
          <w:tab w:val="left" w:pos="0"/>
        </w:tabs>
        <w:spacing w:before="0"/>
        <w:ind w:firstLine="480"/>
        <w:rPr>
          <w:rFonts w:ascii="宋体" w:hAnsi="宋体" w:cs="宋体"/>
          <w:szCs w:val="24"/>
        </w:rPr>
      </w:pPr>
      <w:r>
        <w:rPr>
          <w:rFonts w:hint="eastAsia" w:ascii="宋体" w:hAnsi="宋体" w:cs="宋体"/>
          <w:szCs w:val="24"/>
        </w:rPr>
        <w:t>29.1 采购人应当自中标通知书发出之日起30日内，按照招标文件和中标人投标文件的规定，与中标人签订书面合同。所签订的合同不得对招标文件确定的事项和中标人投标文件作实质性修改。</w:t>
      </w:r>
    </w:p>
    <w:p>
      <w:pPr>
        <w:pStyle w:val="28"/>
        <w:tabs>
          <w:tab w:val="left" w:pos="0"/>
        </w:tabs>
        <w:spacing w:before="0"/>
        <w:ind w:firstLine="480"/>
        <w:rPr>
          <w:rFonts w:ascii="宋体" w:hAnsi="宋体" w:cs="宋体"/>
          <w:szCs w:val="24"/>
        </w:rPr>
      </w:pPr>
      <w:r>
        <w:rPr>
          <w:rFonts w:hint="eastAsia" w:ascii="宋体" w:hAnsi="宋体" w:cs="宋体"/>
          <w:szCs w:val="24"/>
        </w:rPr>
        <w:t>29.2 中标或者成交供应商拒绝与采购人签订合同的，采购人可以按照评审报告推荐的中标或者成交候选人名单排序，确定下一候选人为中标或者成交供应商，也可以重新开展采购活动。</w:t>
      </w:r>
    </w:p>
    <w:p>
      <w:pPr>
        <w:pStyle w:val="13"/>
        <w:spacing w:line="360" w:lineRule="auto"/>
        <w:ind w:left="420" w:leftChars="200"/>
        <w:rPr>
          <w:rFonts w:hAnsi="宋体" w:cs="宋体"/>
          <w:b/>
          <w:sz w:val="24"/>
          <w:szCs w:val="24"/>
        </w:rPr>
      </w:pPr>
      <w:r>
        <w:rPr>
          <w:rFonts w:hint="eastAsia" w:hAnsi="宋体" w:cs="宋体"/>
          <w:b/>
          <w:sz w:val="24"/>
          <w:szCs w:val="24"/>
        </w:rPr>
        <w:t>30.履约保证金</w:t>
      </w:r>
    </w:p>
    <w:p>
      <w:pPr>
        <w:pStyle w:val="28"/>
        <w:tabs>
          <w:tab w:val="left" w:pos="0"/>
        </w:tabs>
        <w:spacing w:before="0"/>
        <w:ind w:firstLine="480"/>
        <w:rPr>
          <w:rFonts w:ascii="宋体" w:hAnsi="宋体" w:cs="宋体"/>
          <w:szCs w:val="24"/>
        </w:rPr>
      </w:pPr>
      <w:r>
        <w:rPr>
          <w:rFonts w:hint="eastAsia" w:ascii="宋体" w:hAnsi="宋体" w:cs="宋体"/>
          <w:szCs w:val="24"/>
        </w:rPr>
        <w:t>采购合同条款要求中标供应商提交履约保证金的，供应商应当以支票、汇票、本票或者金融机构、保险公司、担保机构出具的保函等非现金形式提交。</w:t>
      </w:r>
    </w:p>
    <w:p>
      <w:pPr>
        <w:pStyle w:val="13"/>
        <w:spacing w:line="360" w:lineRule="auto"/>
        <w:ind w:left="420" w:leftChars="200"/>
        <w:rPr>
          <w:rFonts w:hAnsi="宋体" w:cs="宋体"/>
          <w:b/>
          <w:sz w:val="24"/>
          <w:szCs w:val="24"/>
        </w:rPr>
      </w:pPr>
      <w:r>
        <w:rPr>
          <w:rFonts w:hint="eastAsia" w:hAnsi="宋体" w:cs="宋体"/>
          <w:b/>
          <w:sz w:val="24"/>
          <w:szCs w:val="24"/>
        </w:rPr>
        <w:t>31.验收</w:t>
      </w:r>
    </w:p>
    <w:p>
      <w:pPr>
        <w:pStyle w:val="28"/>
        <w:tabs>
          <w:tab w:val="left" w:pos="0"/>
        </w:tabs>
        <w:spacing w:before="0"/>
        <w:ind w:firstLine="480"/>
        <w:rPr>
          <w:rFonts w:ascii="宋体" w:hAnsi="宋体" w:cs="宋体"/>
          <w:szCs w:val="24"/>
        </w:rPr>
      </w:pPr>
      <w:r>
        <w:rPr>
          <w:rFonts w:hint="eastAsia" w:ascii="宋体" w:hAnsi="宋体" w:cs="宋体"/>
          <w:szCs w:val="24"/>
        </w:rPr>
        <w:t>31.1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28"/>
        <w:tabs>
          <w:tab w:val="left" w:pos="0"/>
        </w:tabs>
        <w:spacing w:before="0"/>
        <w:ind w:firstLine="480"/>
        <w:rPr>
          <w:rFonts w:ascii="宋体" w:hAnsi="宋体" w:cs="宋体"/>
          <w:szCs w:val="24"/>
        </w:rPr>
      </w:pPr>
      <w:r>
        <w:rPr>
          <w:rFonts w:hint="eastAsia" w:ascii="宋体" w:hAnsi="宋体" w:cs="宋体"/>
          <w:szCs w:val="24"/>
        </w:rPr>
        <w:t>31.2采购人应当及时对采购项目进行验收，采购人可以邀请参加本项目的其他投标人或者第三方机构参与验收，参与验收的投标人或者第三方机构的意见作为验收书的参考资料一并存档。</w:t>
      </w:r>
    </w:p>
    <w:p>
      <w:pPr>
        <w:pStyle w:val="28"/>
        <w:tabs>
          <w:tab w:val="left" w:pos="0"/>
        </w:tabs>
        <w:spacing w:before="0"/>
        <w:ind w:firstLine="480"/>
        <w:rPr>
          <w:rFonts w:ascii="宋体" w:hAnsi="宋体" w:cs="宋体"/>
          <w:szCs w:val="24"/>
        </w:rPr>
      </w:pPr>
      <w:r>
        <w:rPr>
          <w:rFonts w:hint="eastAsia" w:ascii="宋体" w:hAnsi="宋体" w:cs="宋体"/>
          <w:szCs w:val="24"/>
        </w:rPr>
        <w:t>31.3采购人负责加强对中标人的履约管理，并按照采购合同约定，及时向中标人支付采购资金。对于中标人违反采购合同约定的行为，采购人应当及时处理，依法追究其违约责任。</w:t>
      </w:r>
    </w:p>
    <w:p>
      <w:pPr>
        <w:pStyle w:val="13"/>
        <w:spacing w:line="360" w:lineRule="auto"/>
        <w:ind w:left="420" w:leftChars="200"/>
        <w:rPr>
          <w:rFonts w:hAnsi="宋体" w:cs="宋体"/>
          <w:b/>
          <w:sz w:val="24"/>
          <w:szCs w:val="24"/>
        </w:rPr>
      </w:pPr>
      <w:r>
        <w:rPr>
          <w:rFonts w:hint="eastAsia" w:hAnsi="宋体" w:cs="宋体"/>
          <w:b/>
          <w:sz w:val="24"/>
          <w:szCs w:val="24"/>
        </w:rPr>
        <w:t>32.货款结算方式</w:t>
      </w:r>
    </w:p>
    <w:p>
      <w:pPr>
        <w:tabs>
          <w:tab w:val="left" w:pos="0"/>
        </w:tabs>
        <w:spacing w:line="360" w:lineRule="auto"/>
        <w:ind w:firstLine="480"/>
        <w:rPr>
          <w:rFonts w:ascii="宋体" w:hAnsi="宋体" w:cs="宋体"/>
          <w:sz w:val="24"/>
        </w:rPr>
      </w:pPr>
      <w:r>
        <w:rPr>
          <w:rFonts w:hint="eastAsia" w:ascii="宋体" w:hAnsi="宋体" w:cs="宋体"/>
          <w:sz w:val="24"/>
        </w:rPr>
        <w:t>付款方式：采购人与中标人依照招标文件规定的付款方式进行项目款项的支付。</w:t>
      </w:r>
    </w:p>
    <w:p>
      <w:pPr>
        <w:pStyle w:val="13"/>
        <w:spacing w:line="360" w:lineRule="auto"/>
        <w:ind w:left="420" w:leftChars="200"/>
        <w:rPr>
          <w:rFonts w:hAnsi="宋体" w:cs="宋体"/>
          <w:b/>
          <w:sz w:val="24"/>
          <w:szCs w:val="24"/>
        </w:rPr>
      </w:pPr>
      <w:r>
        <w:rPr>
          <w:rFonts w:hint="eastAsia" w:hAnsi="宋体" w:cs="宋体"/>
          <w:b/>
          <w:sz w:val="24"/>
          <w:szCs w:val="24"/>
        </w:rPr>
        <w:t>33.售后服务考核</w:t>
      </w:r>
    </w:p>
    <w:p>
      <w:pPr>
        <w:tabs>
          <w:tab w:val="left" w:pos="0"/>
        </w:tabs>
        <w:spacing w:line="360" w:lineRule="auto"/>
        <w:ind w:firstLine="480"/>
        <w:rPr>
          <w:rFonts w:ascii="宋体" w:hAnsi="宋体" w:cs="宋体"/>
          <w:sz w:val="24"/>
        </w:rPr>
      </w:pPr>
      <w:r>
        <w:rPr>
          <w:rFonts w:ascii="宋体" w:hAnsi="宋体" w:cs="宋体"/>
          <w:sz w:val="24"/>
        </w:rPr>
        <w:t>采购代理机构将配合采购人主管部门不定期对合同的履约情况进行检查，发现弄虚作假，偷工减料，以次充好，达不到国家、行业有关标准和技术文件规定的，一经查实，由有关职能部门给与相应处罚。</w:t>
      </w:r>
    </w:p>
    <w:p>
      <w:pPr>
        <w:spacing w:line="360" w:lineRule="auto"/>
        <w:jc w:val="center"/>
        <w:rPr>
          <w:rFonts w:ascii="宋体" w:hAnsi="宋体" w:cs="宋体"/>
          <w:b/>
          <w:sz w:val="24"/>
        </w:rPr>
      </w:pPr>
    </w:p>
    <w:p>
      <w:pPr>
        <w:snapToGrid w:val="0"/>
        <w:spacing w:line="360" w:lineRule="auto"/>
        <w:jc w:val="center"/>
        <w:outlineLvl w:val="0"/>
        <w:rPr>
          <w:rFonts w:ascii="宋体" w:hAnsi="宋体" w:cs="宋体"/>
          <w:b/>
          <w:sz w:val="32"/>
        </w:rPr>
      </w:pPr>
      <w:bookmarkStart w:id="56" w:name="_Toc19976"/>
      <w:bookmarkStart w:id="57" w:name="_Toc10926"/>
      <w:r>
        <w:rPr>
          <w:rFonts w:hint="eastAsia" w:ascii="宋体" w:hAnsi="宋体" w:cs="宋体"/>
          <w:b/>
          <w:sz w:val="32"/>
        </w:rPr>
        <w:t>十、质疑与投诉</w:t>
      </w:r>
      <w:bookmarkEnd w:id="56"/>
      <w:bookmarkEnd w:id="57"/>
    </w:p>
    <w:p>
      <w:pPr>
        <w:tabs>
          <w:tab w:val="left" w:pos="0"/>
        </w:tabs>
        <w:spacing w:line="360" w:lineRule="auto"/>
        <w:ind w:firstLine="480"/>
        <w:rPr>
          <w:rFonts w:ascii="宋体" w:hAnsi="宋体" w:cs="宋体"/>
          <w:sz w:val="24"/>
        </w:rPr>
      </w:pPr>
      <w:r>
        <w:rPr>
          <w:rFonts w:hint="eastAsia" w:ascii="宋体" w:hAnsi="宋体" w:cs="宋体"/>
          <w:sz w:val="24"/>
        </w:rPr>
        <w:t>参照《上虞区区属国有企业货物和服务采购管理办法》的规定，采购供应商可以依法提起质疑和投诉。</w:t>
      </w:r>
    </w:p>
    <w:p>
      <w:pPr>
        <w:pStyle w:val="13"/>
        <w:spacing w:line="360" w:lineRule="auto"/>
        <w:ind w:left="420" w:leftChars="200"/>
        <w:rPr>
          <w:rFonts w:hAnsi="宋体" w:cs="宋体"/>
          <w:b/>
          <w:sz w:val="24"/>
          <w:szCs w:val="24"/>
          <w:lang w:val="zh-CN"/>
        </w:rPr>
      </w:pPr>
      <w:r>
        <w:rPr>
          <w:rFonts w:hint="eastAsia" w:hAnsi="宋体" w:cs="宋体"/>
          <w:b/>
          <w:sz w:val="24"/>
          <w:szCs w:val="24"/>
        </w:rPr>
        <w:t>34.</w:t>
      </w:r>
      <w:r>
        <w:rPr>
          <w:rFonts w:hint="eastAsia" w:hAnsi="宋体" w:cs="宋体"/>
          <w:b/>
          <w:sz w:val="24"/>
          <w:szCs w:val="24"/>
          <w:lang w:val="zh-CN"/>
        </w:rPr>
        <w:t>供应商询问</w:t>
      </w:r>
    </w:p>
    <w:p>
      <w:pPr>
        <w:pStyle w:val="13"/>
        <w:spacing w:line="360" w:lineRule="auto"/>
        <w:ind w:firstLine="480" w:firstLineChars="200"/>
        <w:rPr>
          <w:rFonts w:hAnsi="宋体" w:cs="宋体"/>
          <w:sz w:val="24"/>
        </w:rPr>
      </w:pPr>
      <w:r>
        <w:rPr>
          <w:rFonts w:hint="eastAsia" w:hAnsi="宋体" w:cs="宋体"/>
          <w:sz w:val="24"/>
        </w:rPr>
        <w:t>供应商对国企采购活动事项有疑问的，可以向采购代理机构提出询问，采购代理机构将对供应商依法提出的询问作出答复，但答复的内容不得涉及商业秘密。</w:t>
      </w:r>
    </w:p>
    <w:p>
      <w:pPr>
        <w:pStyle w:val="13"/>
        <w:numPr>
          <w:ilvl w:val="0"/>
          <w:numId w:val="33"/>
        </w:numPr>
        <w:spacing w:line="360" w:lineRule="auto"/>
        <w:ind w:left="420" w:leftChars="200"/>
        <w:rPr>
          <w:rFonts w:hAnsi="宋体" w:cs="宋体"/>
          <w:b/>
          <w:sz w:val="24"/>
          <w:szCs w:val="24"/>
          <w:lang w:val="zh-CN"/>
        </w:rPr>
      </w:pPr>
      <w:r>
        <w:rPr>
          <w:rFonts w:hint="eastAsia" w:hAnsi="宋体" w:cs="宋体"/>
          <w:b/>
          <w:sz w:val="24"/>
          <w:szCs w:val="24"/>
          <w:lang w:val="zh-CN"/>
        </w:rPr>
        <w:t>供应商质疑</w:t>
      </w:r>
    </w:p>
    <w:p>
      <w:pPr>
        <w:ind w:firstLine="482" w:firstLineChars="200"/>
        <w:rPr>
          <w:rFonts w:ascii="宋体" w:hAnsi="宋体" w:cs="宋体"/>
          <w:b/>
          <w:sz w:val="24"/>
          <w:lang w:val="zh-CN"/>
        </w:rPr>
      </w:pPr>
      <w:r>
        <w:rPr>
          <w:rFonts w:hint="eastAsia" w:hAnsi="宋体" w:cs="宋体"/>
          <w:b/>
          <w:sz w:val="24"/>
        </w:rPr>
        <w:t>参照</w:t>
      </w:r>
      <w:r>
        <w:rPr>
          <w:rFonts w:hint="eastAsia" w:ascii="宋体" w:hAnsi="宋体" w:cs="宋体"/>
          <w:b/>
          <w:sz w:val="24"/>
          <w:lang w:val="zh-CN"/>
        </w:rPr>
        <w:t>《上虞区区属国有企业货物和服务采购管理办法》第四十九条</w:t>
      </w:r>
      <w:r>
        <w:rPr>
          <w:rFonts w:hint="eastAsia" w:ascii="宋体" w:hAnsi="宋体" w:cs="宋体"/>
          <w:b/>
          <w:sz w:val="24"/>
        </w:rPr>
        <w:t>的</w:t>
      </w:r>
      <w:r>
        <w:rPr>
          <w:rFonts w:hint="eastAsia" w:ascii="宋体" w:hAnsi="宋体" w:cs="宋体"/>
          <w:b/>
          <w:sz w:val="24"/>
          <w:lang w:val="zh-CN"/>
        </w:rPr>
        <w:t>规定</w:t>
      </w:r>
    </w:p>
    <w:p>
      <w:pPr>
        <w:pStyle w:val="28"/>
        <w:tabs>
          <w:tab w:val="left" w:pos="0"/>
        </w:tabs>
        <w:spacing w:before="0"/>
        <w:ind w:firstLine="480"/>
      </w:pPr>
      <w:r>
        <w:rPr>
          <w:rFonts w:hint="eastAsia" w:ascii="宋体" w:hAnsi="宋体" w:cs="宋体"/>
          <w:szCs w:val="24"/>
        </w:rPr>
        <w:t>35.1</w:t>
      </w:r>
      <w:r>
        <w:rPr>
          <w:rFonts w:hint="eastAsia"/>
        </w:rPr>
        <w:t>供应商认为采购文件、采购过程、中标或者成交结果使自己的权益受到损害的，可以在知道或者应知其权益受到损害之日起7个工作日内，以书面形式向采购人、采购代理机构提出质疑，采购人、采购代理机构应在7个工作日内做好答复工作，但答复内容不得涉及商业秘密。</w:t>
      </w:r>
    </w:p>
    <w:p>
      <w:pPr>
        <w:pStyle w:val="28"/>
        <w:tabs>
          <w:tab w:val="left" w:pos="0"/>
        </w:tabs>
        <w:spacing w:before="0"/>
        <w:ind w:firstLine="480"/>
        <w:rPr>
          <w:rFonts w:ascii="宋体" w:hAnsi="宋体" w:cs="宋体"/>
          <w:szCs w:val="24"/>
        </w:rPr>
      </w:pPr>
      <w:r>
        <w:rPr>
          <w:rFonts w:hint="eastAsia"/>
        </w:rPr>
        <w:t>《上虞区区属国有企业货物和服务采购管理办法》第四十九条规定的供应商应知其权益收到损害之日，是指：（一）对可以质疑的采购文件提出质疑的，为收到采购文件之日或者采购文件公告期限届满之日（公告期限届满后获取采购文件的，以公告期限届满之日为准）；（二）对采购过程提出质疑的，为各采购程序环节结束之日；（三）对中标或者成交结果提出质疑的，为中标或者成交结果公告期限届满之日。</w:t>
      </w:r>
    </w:p>
    <w:p>
      <w:pPr>
        <w:pStyle w:val="28"/>
        <w:tabs>
          <w:tab w:val="left" w:pos="0"/>
        </w:tabs>
        <w:spacing w:before="0"/>
        <w:ind w:left="420" w:leftChars="200" w:firstLine="0" w:firstLineChars="0"/>
        <w:rPr>
          <w:rFonts w:ascii="宋体" w:hAnsi="宋体" w:cs="宋体"/>
          <w:szCs w:val="24"/>
        </w:rPr>
      </w:pPr>
      <w:r>
        <w:rPr>
          <w:rFonts w:hint="eastAsia" w:ascii="宋体" w:hAnsi="宋体" w:cs="宋体"/>
          <w:szCs w:val="24"/>
        </w:rPr>
        <w:t>35.2供应商提交的质疑书需一式三份，由法定代表人签字（或盖章）并加盖单位公章。质疑书至少应包括下列主要内容：</w:t>
      </w:r>
    </w:p>
    <w:p>
      <w:pPr>
        <w:pStyle w:val="13"/>
        <w:numPr>
          <w:ilvl w:val="0"/>
          <w:numId w:val="34"/>
        </w:numPr>
        <w:spacing w:line="360" w:lineRule="auto"/>
        <w:ind w:firstLine="480" w:firstLineChars="200"/>
        <w:rPr>
          <w:rFonts w:hAnsi="宋体" w:cs="宋体"/>
          <w:sz w:val="24"/>
        </w:rPr>
      </w:pPr>
      <w:r>
        <w:rPr>
          <w:rFonts w:hint="eastAsia" w:hAnsi="宋体" w:cs="宋体"/>
          <w:sz w:val="24"/>
        </w:rPr>
        <w:t>质疑人的名称、地址、邮政编码、联系人、联系电话，以及被质疑人名称及联系方式；</w:t>
      </w:r>
    </w:p>
    <w:p>
      <w:pPr>
        <w:pStyle w:val="13"/>
        <w:numPr>
          <w:ilvl w:val="0"/>
          <w:numId w:val="34"/>
        </w:numPr>
        <w:spacing w:line="360" w:lineRule="auto"/>
        <w:ind w:firstLine="480" w:firstLineChars="200"/>
        <w:rPr>
          <w:rFonts w:hAnsi="宋体" w:cs="宋体"/>
          <w:sz w:val="24"/>
        </w:rPr>
      </w:pPr>
      <w:r>
        <w:rPr>
          <w:rFonts w:hint="eastAsia" w:hAnsi="宋体" w:cs="宋体"/>
          <w:sz w:val="24"/>
        </w:rPr>
        <w:t>被质疑采购项目名称、编号及采购内容；</w:t>
      </w:r>
    </w:p>
    <w:p>
      <w:pPr>
        <w:pStyle w:val="13"/>
        <w:numPr>
          <w:ilvl w:val="0"/>
          <w:numId w:val="34"/>
        </w:numPr>
        <w:spacing w:line="360" w:lineRule="auto"/>
        <w:ind w:firstLine="480" w:firstLineChars="200"/>
        <w:rPr>
          <w:rFonts w:hAnsi="宋体" w:cs="宋体"/>
          <w:sz w:val="24"/>
        </w:rPr>
      </w:pPr>
      <w:r>
        <w:rPr>
          <w:rFonts w:hint="eastAsia" w:hAnsi="宋体" w:cs="宋体"/>
          <w:sz w:val="24"/>
        </w:rPr>
        <w:t>具体的质疑事项及事实依据；</w:t>
      </w:r>
    </w:p>
    <w:p>
      <w:pPr>
        <w:pStyle w:val="13"/>
        <w:numPr>
          <w:ilvl w:val="0"/>
          <w:numId w:val="34"/>
        </w:numPr>
        <w:spacing w:line="360" w:lineRule="auto"/>
        <w:ind w:firstLine="480" w:firstLineChars="200"/>
        <w:rPr>
          <w:rFonts w:hAnsi="宋体" w:cs="宋体"/>
          <w:sz w:val="24"/>
        </w:rPr>
      </w:pPr>
      <w:r>
        <w:rPr>
          <w:rFonts w:hint="eastAsia" w:hAnsi="宋体" w:cs="宋体"/>
          <w:sz w:val="24"/>
        </w:rPr>
        <w:t>认为自己合法权益受到损害或可能受到损害的相关证据材料；</w:t>
      </w:r>
    </w:p>
    <w:p>
      <w:pPr>
        <w:pStyle w:val="13"/>
        <w:numPr>
          <w:ilvl w:val="0"/>
          <w:numId w:val="34"/>
        </w:numPr>
        <w:spacing w:line="360" w:lineRule="auto"/>
        <w:ind w:firstLine="480" w:firstLineChars="200"/>
        <w:rPr>
          <w:rFonts w:hAnsi="宋体" w:cs="宋体"/>
          <w:sz w:val="24"/>
        </w:rPr>
      </w:pPr>
      <w:r>
        <w:rPr>
          <w:rFonts w:hint="eastAsia" w:hAnsi="宋体" w:cs="宋体"/>
          <w:sz w:val="24"/>
        </w:rPr>
        <w:t>提出质疑的日期。</w:t>
      </w:r>
    </w:p>
    <w:p>
      <w:pPr>
        <w:pStyle w:val="13"/>
        <w:spacing w:line="360" w:lineRule="auto"/>
        <w:ind w:firstLine="482" w:firstLineChars="200"/>
        <w:rPr>
          <w:rFonts w:hAnsi="宋体" w:cs="宋体"/>
          <w:b/>
          <w:sz w:val="24"/>
        </w:rPr>
      </w:pPr>
      <w:r>
        <w:rPr>
          <w:rFonts w:hint="eastAsia" w:hAnsi="宋体" w:cs="宋体"/>
          <w:b/>
          <w:sz w:val="24"/>
        </w:rPr>
        <w:t>未按上述内容填写的质疑书将不予受理。</w:t>
      </w:r>
    </w:p>
    <w:p>
      <w:pPr>
        <w:pStyle w:val="28"/>
        <w:tabs>
          <w:tab w:val="left" w:pos="0"/>
        </w:tabs>
        <w:spacing w:before="0"/>
        <w:ind w:firstLine="480"/>
        <w:rPr>
          <w:rFonts w:ascii="宋体" w:hAnsi="宋体" w:cs="宋体"/>
          <w:szCs w:val="24"/>
        </w:rPr>
      </w:pPr>
      <w:r>
        <w:rPr>
          <w:rFonts w:hint="eastAsia" w:ascii="宋体" w:hAnsi="宋体" w:cs="宋体"/>
          <w:szCs w:val="24"/>
        </w:rPr>
        <w:t>35.3采购代理机构应当在收到供应商的书面质疑后七个工作日内作出答复，并以书面形式通知质疑供应商和其他与质疑处理结果有利害关系的国企采购当事人，但答复的内容不得涉及商业秘密。</w:t>
      </w:r>
    </w:p>
    <w:p>
      <w:pPr>
        <w:pStyle w:val="28"/>
        <w:tabs>
          <w:tab w:val="left" w:pos="0"/>
        </w:tabs>
        <w:spacing w:before="0"/>
        <w:ind w:firstLine="480"/>
        <w:rPr>
          <w:rFonts w:ascii="宋体" w:hAnsi="宋体" w:cs="宋体"/>
          <w:szCs w:val="24"/>
        </w:rPr>
      </w:pPr>
      <w:r>
        <w:rPr>
          <w:rFonts w:hint="eastAsia" w:ascii="宋体" w:hAnsi="宋体" w:cs="宋体"/>
          <w:szCs w:val="24"/>
        </w:rPr>
        <w:t>35.4询问或者质疑事项可能影响采购结果的，采购人应当暂停签订合同，已经签订合同的，应当中止履行合同。</w:t>
      </w:r>
    </w:p>
    <w:p>
      <w:pPr>
        <w:pStyle w:val="13"/>
        <w:spacing w:line="360" w:lineRule="auto"/>
        <w:ind w:left="420" w:leftChars="200"/>
        <w:rPr>
          <w:rFonts w:hAnsi="宋体" w:cs="宋体"/>
          <w:b/>
          <w:sz w:val="24"/>
          <w:szCs w:val="24"/>
          <w:lang w:val="zh-CN"/>
        </w:rPr>
      </w:pPr>
      <w:r>
        <w:rPr>
          <w:rFonts w:hint="eastAsia" w:hAnsi="宋体" w:cs="宋体"/>
          <w:b/>
          <w:sz w:val="24"/>
          <w:szCs w:val="24"/>
        </w:rPr>
        <w:t>36</w:t>
      </w:r>
      <w:r>
        <w:rPr>
          <w:rFonts w:hint="eastAsia" w:hAnsi="宋体" w:cs="宋体"/>
          <w:b/>
          <w:sz w:val="24"/>
          <w:szCs w:val="24"/>
          <w:lang w:val="zh-CN"/>
        </w:rPr>
        <w:t>供应商投诉</w:t>
      </w:r>
    </w:p>
    <w:p>
      <w:pPr>
        <w:pStyle w:val="13"/>
        <w:spacing w:line="360" w:lineRule="auto"/>
        <w:ind w:left="420" w:leftChars="200"/>
        <w:rPr>
          <w:rFonts w:hAnsi="宋体" w:cs="宋体"/>
          <w:b/>
          <w:sz w:val="24"/>
          <w:szCs w:val="24"/>
          <w:lang w:val="zh-CN"/>
        </w:rPr>
      </w:pPr>
      <w:r>
        <w:rPr>
          <w:rFonts w:hint="eastAsia" w:hAnsi="宋体" w:cs="宋体"/>
          <w:b/>
          <w:sz w:val="24"/>
          <w:szCs w:val="24"/>
        </w:rPr>
        <w:t>参照</w:t>
      </w:r>
      <w:r>
        <w:rPr>
          <w:rFonts w:hint="eastAsia" w:hAnsi="宋体" w:cs="宋体"/>
          <w:b/>
          <w:sz w:val="24"/>
          <w:szCs w:val="24"/>
          <w:lang w:val="zh-CN"/>
        </w:rPr>
        <w:t>《上虞区区属国有企业货物和服务采购管理办法》第五十条的规定</w:t>
      </w:r>
    </w:p>
    <w:p>
      <w:pPr>
        <w:pStyle w:val="28"/>
        <w:tabs>
          <w:tab w:val="left" w:pos="0"/>
        </w:tabs>
        <w:spacing w:before="0"/>
        <w:ind w:firstLine="480"/>
        <w:rPr>
          <w:rFonts w:ascii="宋体" w:hAnsi="宋体" w:cs="宋体"/>
          <w:szCs w:val="24"/>
        </w:rPr>
      </w:pPr>
      <w:r>
        <w:rPr>
          <w:rFonts w:hint="eastAsia" w:ascii="宋体" w:hAnsi="宋体" w:cs="宋体"/>
          <w:szCs w:val="24"/>
        </w:rPr>
        <w:t>36.1质疑供应商对质疑的答复不满意，或者采购人或采购代理机构未在规定时间内答复的，可以在收到答复之日或者答复期满后 15 个工作日内依法向采购人主管部门投诉。采购人主管部门应当在 30 个工作日内调查并回应。投诉事项调查期间，采购人主管部门应当通知采购人暂停采购活动。</w:t>
      </w:r>
    </w:p>
    <w:p>
      <w:pPr>
        <w:pStyle w:val="28"/>
        <w:tabs>
          <w:tab w:val="left" w:pos="0"/>
        </w:tabs>
        <w:spacing w:before="0"/>
        <w:ind w:firstLine="480"/>
        <w:rPr>
          <w:rFonts w:ascii="宋体" w:hAnsi="宋体" w:cs="宋体"/>
          <w:b/>
        </w:rPr>
      </w:pPr>
      <w:r>
        <w:rPr>
          <w:rFonts w:hint="eastAsia" w:ascii="宋体" w:hAnsi="宋体" w:cs="宋体"/>
          <w:szCs w:val="24"/>
        </w:rPr>
        <w:t>36.2投诉人提交投诉件时，应当提供相关书面证据、依据和其他有关材料。</w:t>
      </w:r>
    </w:p>
    <w:bookmarkEnd w:id="49"/>
    <w:p>
      <w:pPr>
        <w:spacing w:afterLines="50" w:line="360" w:lineRule="auto"/>
        <w:jc w:val="center"/>
        <w:outlineLvl w:val="0"/>
        <w:rPr>
          <w:rFonts w:ascii="宋体" w:hAnsi="宋体" w:cs="宋体"/>
          <w:b/>
          <w:sz w:val="36"/>
          <w:szCs w:val="36"/>
        </w:rPr>
      </w:pPr>
      <w:r>
        <w:rPr>
          <w:rFonts w:hint="eastAsia" w:ascii="宋体" w:hAnsi="宋体" w:cs="宋体"/>
          <w:sz w:val="24"/>
          <w:szCs w:val="20"/>
        </w:rPr>
        <w:br w:type="page"/>
      </w:r>
      <w:bookmarkStart w:id="58" w:name="_Toc3523"/>
      <w:r>
        <w:rPr>
          <w:rFonts w:hint="eastAsia" w:ascii="宋体" w:hAnsi="宋体" w:cs="宋体"/>
          <w:b/>
          <w:sz w:val="36"/>
          <w:szCs w:val="36"/>
        </w:rPr>
        <w:t>第三部分</w:t>
      </w:r>
      <w:bookmarkEnd w:id="41"/>
      <w:bookmarkEnd w:id="42"/>
      <w:bookmarkStart w:id="59" w:name="_Toc184310305"/>
      <w:bookmarkEnd w:id="59"/>
      <w:bookmarkStart w:id="60" w:name="_Toc184310302"/>
      <w:bookmarkEnd w:id="60"/>
      <w:bookmarkStart w:id="61" w:name="_Toc184310293"/>
      <w:bookmarkEnd w:id="61"/>
      <w:bookmarkStart w:id="62" w:name="_Toc184313284"/>
      <w:bookmarkEnd w:id="62"/>
      <w:bookmarkStart w:id="63" w:name="_Toc184313276"/>
      <w:bookmarkEnd w:id="63"/>
      <w:bookmarkStart w:id="64" w:name="_Toc184310341"/>
      <w:bookmarkEnd w:id="64"/>
      <w:bookmarkStart w:id="65" w:name="_Toc184314425"/>
      <w:bookmarkEnd w:id="65"/>
      <w:bookmarkStart w:id="66" w:name="_Toc184313272"/>
      <w:bookmarkEnd w:id="66"/>
      <w:bookmarkStart w:id="67" w:name="_Toc184313246"/>
      <w:bookmarkEnd w:id="67"/>
      <w:bookmarkStart w:id="68" w:name="_Toc184312112"/>
      <w:bookmarkEnd w:id="68"/>
      <w:bookmarkStart w:id="69" w:name="_Toc184313254"/>
      <w:bookmarkEnd w:id="69"/>
      <w:bookmarkStart w:id="70" w:name="_Toc184310297"/>
      <w:bookmarkEnd w:id="70"/>
      <w:bookmarkStart w:id="71" w:name="_Toc184313264"/>
      <w:bookmarkEnd w:id="71"/>
      <w:bookmarkStart w:id="72" w:name="_Toc184310286"/>
      <w:bookmarkEnd w:id="72"/>
      <w:bookmarkStart w:id="73" w:name="_Toc184308074"/>
      <w:bookmarkEnd w:id="73"/>
      <w:bookmarkStart w:id="74" w:name="_Toc184308043"/>
      <w:bookmarkEnd w:id="74"/>
      <w:bookmarkStart w:id="75" w:name="_Toc184314482"/>
      <w:bookmarkEnd w:id="75"/>
      <w:bookmarkStart w:id="76" w:name="_Toc184312082"/>
      <w:bookmarkEnd w:id="76"/>
      <w:bookmarkStart w:id="77" w:name="_Toc184314463"/>
      <w:bookmarkEnd w:id="77"/>
      <w:bookmarkStart w:id="78" w:name="_Toc184314462"/>
      <w:bookmarkEnd w:id="78"/>
      <w:bookmarkStart w:id="79" w:name="_Toc184308047"/>
      <w:bookmarkEnd w:id="79"/>
      <w:bookmarkStart w:id="80" w:name="_Toc184310334"/>
      <w:bookmarkEnd w:id="80"/>
      <w:bookmarkStart w:id="81" w:name="_Toc184312138"/>
      <w:bookmarkEnd w:id="81"/>
      <w:bookmarkStart w:id="82" w:name="_Toc184313286"/>
      <w:bookmarkEnd w:id="82"/>
      <w:bookmarkStart w:id="83" w:name="_Toc184314412"/>
      <w:bookmarkEnd w:id="83"/>
      <w:bookmarkStart w:id="84" w:name="_Toc184313287"/>
      <w:bookmarkEnd w:id="84"/>
      <w:bookmarkStart w:id="85" w:name="_Toc184310296"/>
      <w:bookmarkEnd w:id="85"/>
      <w:bookmarkStart w:id="86" w:name="_Toc184314445"/>
      <w:bookmarkEnd w:id="86"/>
      <w:bookmarkStart w:id="87" w:name="_Toc184308069"/>
      <w:bookmarkEnd w:id="87"/>
      <w:bookmarkStart w:id="88" w:name="_Toc184312114"/>
      <w:bookmarkEnd w:id="88"/>
      <w:bookmarkStart w:id="89" w:name="_Toc184312094"/>
      <w:bookmarkEnd w:id="89"/>
      <w:bookmarkStart w:id="90" w:name="_Toc184312107"/>
      <w:bookmarkEnd w:id="90"/>
      <w:bookmarkStart w:id="91" w:name="_Toc184312116"/>
      <w:bookmarkEnd w:id="91"/>
      <w:bookmarkStart w:id="92" w:name="_Toc184313289"/>
      <w:bookmarkEnd w:id="92"/>
      <w:bookmarkStart w:id="93" w:name="_Toc184310314"/>
      <w:bookmarkEnd w:id="93"/>
      <w:bookmarkStart w:id="94" w:name="_Toc184312092"/>
      <w:bookmarkEnd w:id="94"/>
      <w:bookmarkStart w:id="95" w:name="_Toc184313243"/>
      <w:bookmarkEnd w:id="95"/>
      <w:bookmarkStart w:id="96" w:name="_Toc184312119"/>
      <w:bookmarkEnd w:id="96"/>
      <w:bookmarkStart w:id="97" w:name="_Toc184314419"/>
      <w:bookmarkEnd w:id="97"/>
      <w:bookmarkStart w:id="98" w:name="_Toc184312076"/>
      <w:bookmarkEnd w:id="98"/>
      <w:bookmarkStart w:id="99" w:name="_Toc184314476"/>
      <w:bookmarkEnd w:id="99"/>
      <w:bookmarkStart w:id="100" w:name="_Toc184312123"/>
      <w:bookmarkEnd w:id="100"/>
      <w:bookmarkStart w:id="101" w:name="_Toc184313252"/>
      <w:bookmarkEnd w:id="101"/>
      <w:bookmarkStart w:id="102" w:name="_Toc184310282"/>
      <w:bookmarkEnd w:id="102"/>
      <w:bookmarkStart w:id="103" w:name="_Toc184308041"/>
      <w:bookmarkEnd w:id="103"/>
      <w:bookmarkStart w:id="104" w:name="_Toc184313305"/>
      <w:bookmarkEnd w:id="104"/>
      <w:bookmarkStart w:id="105" w:name="_Toc184313295"/>
      <w:bookmarkEnd w:id="105"/>
      <w:bookmarkStart w:id="106" w:name="_Toc184312136"/>
      <w:bookmarkEnd w:id="106"/>
      <w:bookmarkStart w:id="107" w:name="_Toc184312134"/>
      <w:bookmarkEnd w:id="107"/>
      <w:bookmarkStart w:id="108" w:name="_Toc184310323"/>
      <w:bookmarkEnd w:id="108"/>
      <w:bookmarkStart w:id="109" w:name="_Toc184313274"/>
      <w:bookmarkEnd w:id="109"/>
      <w:bookmarkStart w:id="110" w:name="_Toc184313296"/>
      <w:bookmarkEnd w:id="110"/>
      <w:bookmarkStart w:id="111" w:name="_Toc184312105"/>
      <w:bookmarkEnd w:id="111"/>
      <w:bookmarkStart w:id="112" w:name="_Toc184312083"/>
      <w:bookmarkEnd w:id="112"/>
      <w:bookmarkStart w:id="113" w:name="_Toc184308068"/>
      <w:bookmarkEnd w:id="113"/>
      <w:bookmarkStart w:id="114" w:name="_Toc184313273"/>
      <w:bookmarkEnd w:id="114"/>
      <w:bookmarkStart w:id="115" w:name="_Toc184314418"/>
      <w:bookmarkEnd w:id="115"/>
      <w:bookmarkStart w:id="116" w:name="_Toc184312096"/>
      <w:bookmarkEnd w:id="116"/>
      <w:bookmarkStart w:id="117" w:name="_Toc184314417"/>
      <w:bookmarkEnd w:id="117"/>
      <w:bookmarkStart w:id="118" w:name="_Toc184308079"/>
      <w:bookmarkEnd w:id="118"/>
      <w:bookmarkStart w:id="119" w:name="_Toc184308099"/>
      <w:bookmarkEnd w:id="119"/>
      <w:bookmarkStart w:id="120" w:name="_Toc184310310"/>
      <w:bookmarkEnd w:id="120"/>
      <w:bookmarkStart w:id="121" w:name="_Toc184314471"/>
      <w:bookmarkEnd w:id="121"/>
      <w:bookmarkStart w:id="122" w:name="_Toc184308082"/>
      <w:bookmarkEnd w:id="122"/>
      <w:bookmarkStart w:id="123" w:name="_Toc184314475"/>
      <w:bookmarkEnd w:id="123"/>
      <w:bookmarkStart w:id="124" w:name="_Toc184310322"/>
      <w:bookmarkEnd w:id="124"/>
      <w:bookmarkStart w:id="125" w:name="_Toc184314443"/>
      <w:bookmarkEnd w:id="125"/>
      <w:bookmarkStart w:id="126" w:name="_Toc184313271"/>
      <w:bookmarkEnd w:id="126"/>
      <w:bookmarkStart w:id="127" w:name="_Toc184313244"/>
      <w:bookmarkEnd w:id="127"/>
      <w:bookmarkStart w:id="128" w:name="_Toc184312098"/>
      <w:bookmarkEnd w:id="128"/>
      <w:bookmarkStart w:id="129" w:name="_Toc184308085"/>
      <w:bookmarkEnd w:id="129"/>
      <w:bookmarkStart w:id="130" w:name="_Toc184314449"/>
      <w:bookmarkEnd w:id="130"/>
      <w:bookmarkStart w:id="131" w:name="_Toc184314416"/>
      <w:bookmarkEnd w:id="131"/>
      <w:bookmarkStart w:id="132" w:name="_Toc184312127"/>
      <w:bookmarkEnd w:id="132"/>
      <w:bookmarkStart w:id="133" w:name="_Toc184308084"/>
      <w:bookmarkEnd w:id="133"/>
      <w:bookmarkStart w:id="134" w:name="_Toc184310281"/>
      <w:bookmarkEnd w:id="134"/>
      <w:bookmarkStart w:id="135" w:name="_Toc184310333"/>
      <w:bookmarkEnd w:id="135"/>
      <w:bookmarkStart w:id="136" w:name="_Toc184310290"/>
      <w:bookmarkEnd w:id="136"/>
      <w:bookmarkStart w:id="137" w:name="_Toc184313275"/>
      <w:bookmarkEnd w:id="137"/>
      <w:bookmarkStart w:id="138" w:name="_Toc184310328"/>
      <w:bookmarkEnd w:id="138"/>
      <w:bookmarkStart w:id="139" w:name="_Toc184313301"/>
      <w:bookmarkEnd w:id="139"/>
      <w:bookmarkStart w:id="140" w:name="_Toc184314469"/>
      <w:bookmarkEnd w:id="140"/>
      <w:bookmarkStart w:id="141" w:name="_Toc184308104"/>
      <w:bookmarkEnd w:id="141"/>
      <w:bookmarkStart w:id="142" w:name="_Toc184314446"/>
      <w:bookmarkEnd w:id="142"/>
      <w:bookmarkStart w:id="143" w:name="_Toc184312088"/>
      <w:bookmarkEnd w:id="143"/>
      <w:bookmarkStart w:id="144" w:name="_Toc184308054"/>
      <w:bookmarkEnd w:id="144"/>
      <w:bookmarkStart w:id="145" w:name="_Toc184310337"/>
      <w:bookmarkEnd w:id="145"/>
      <w:bookmarkStart w:id="146" w:name="_Toc184313242"/>
      <w:bookmarkEnd w:id="146"/>
      <w:bookmarkStart w:id="147" w:name="_Toc184314459"/>
      <w:bookmarkEnd w:id="147"/>
      <w:bookmarkStart w:id="148" w:name="_Toc184313238"/>
      <w:bookmarkEnd w:id="148"/>
      <w:bookmarkStart w:id="149" w:name="_Toc184308087"/>
      <w:bookmarkEnd w:id="149"/>
      <w:bookmarkStart w:id="150" w:name="_Toc184313294"/>
      <w:bookmarkEnd w:id="150"/>
      <w:bookmarkStart w:id="151" w:name="_Toc184310308"/>
      <w:bookmarkEnd w:id="151"/>
      <w:bookmarkStart w:id="152" w:name="_Toc184310335"/>
      <w:bookmarkEnd w:id="152"/>
      <w:bookmarkStart w:id="153" w:name="_Toc184310342"/>
      <w:bookmarkEnd w:id="153"/>
      <w:bookmarkStart w:id="154" w:name="_Toc184313306"/>
      <w:bookmarkEnd w:id="154"/>
      <w:bookmarkStart w:id="155" w:name="_Toc184310280"/>
      <w:bookmarkEnd w:id="155"/>
      <w:bookmarkStart w:id="156" w:name="_Toc184314434"/>
      <w:bookmarkEnd w:id="156"/>
      <w:bookmarkStart w:id="157" w:name="_Toc184314464"/>
      <w:bookmarkEnd w:id="157"/>
      <w:bookmarkStart w:id="158" w:name="_Toc184313279"/>
      <w:bookmarkEnd w:id="158"/>
      <w:bookmarkStart w:id="159" w:name="_Toc184312131"/>
      <w:bookmarkEnd w:id="159"/>
      <w:bookmarkStart w:id="160" w:name="_Toc184310325"/>
      <w:bookmarkEnd w:id="160"/>
      <w:bookmarkStart w:id="161" w:name="_Toc184314422"/>
      <w:bookmarkEnd w:id="161"/>
      <w:bookmarkStart w:id="162" w:name="_Toc184308090"/>
      <w:bookmarkEnd w:id="162"/>
      <w:bookmarkStart w:id="163" w:name="_Toc184308089"/>
      <w:bookmarkEnd w:id="163"/>
      <w:bookmarkStart w:id="164" w:name="_Toc184314470"/>
      <w:bookmarkEnd w:id="164"/>
      <w:bookmarkStart w:id="165" w:name="_Toc184313268"/>
      <w:bookmarkEnd w:id="165"/>
      <w:bookmarkStart w:id="166" w:name="_Toc184308051"/>
      <w:bookmarkEnd w:id="166"/>
      <w:bookmarkStart w:id="167" w:name="_Toc184310288"/>
      <w:bookmarkEnd w:id="167"/>
      <w:bookmarkStart w:id="168" w:name="_Toc184312070"/>
      <w:bookmarkEnd w:id="168"/>
      <w:bookmarkStart w:id="169" w:name="_Toc184314479"/>
      <w:bookmarkEnd w:id="169"/>
      <w:bookmarkStart w:id="170" w:name="_Toc184308060"/>
      <w:bookmarkEnd w:id="170"/>
      <w:bookmarkStart w:id="171" w:name="_Toc184313245"/>
      <w:bookmarkEnd w:id="171"/>
      <w:bookmarkStart w:id="172" w:name="_Toc184314423"/>
      <w:bookmarkEnd w:id="172"/>
      <w:bookmarkStart w:id="173" w:name="_Toc184314468"/>
      <w:bookmarkEnd w:id="173"/>
      <w:bookmarkStart w:id="174" w:name="_Toc184312111"/>
      <w:bookmarkEnd w:id="174"/>
      <w:bookmarkStart w:id="175" w:name="_Toc184308094"/>
      <w:bookmarkEnd w:id="175"/>
      <w:bookmarkStart w:id="176" w:name="_Toc184313292"/>
      <w:bookmarkEnd w:id="176"/>
      <w:bookmarkStart w:id="177" w:name="_Toc184308070"/>
      <w:bookmarkEnd w:id="177"/>
      <w:bookmarkStart w:id="178" w:name="_Toc184310284"/>
      <w:bookmarkEnd w:id="178"/>
      <w:bookmarkStart w:id="179" w:name="_Toc184314432"/>
      <w:bookmarkEnd w:id="179"/>
      <w:bookmarkStart w:id="180" w:name="_Toc184308065"/>
      <w:bookmarkEnd w:id="180"/>
      <w:bookmarkStart w:id="181" w:name="_Toc184312108"/>
      <w:bookmarkEnd w:id="181"/>
      <w:bookmarkStart w:id="182" w:name="_Toc184313282"/>
      <w:bookmarkEnd w:id="182"/>
      <w:bookmarkStart w:id="183" w:name="_Toc184308088"/>
      <w:bookmarkEnd w:id="183"/>
      <w:bookmarkStart w:id="184" w:name="_Toc184308100"/>
      <w:bookmarkEnd w:id="184"/>
      <w:bookmarkStart w:id="185" w:name="_Toc184313267"/>
      <w:bookmarkEnd w:id="185"/>
      <w:bookmarkStart w:id="186" w:name="_Toc184313298"/>
      <w:bookmarkEnd w:id="186"/>
      <w:bookmarkStart w:id="187" w:name="_Toc184310343"/>
      <w:bookmarkEnd w:id="187"/>
      <w:bookmarkStart w:id="188" w:name="_Toc184314444"/>
      <w:bookmarkEnd w:id="188"/>
      <w:bookmarkStart w:id="189" w:name="_Toc184310319"/>
      <w:bookmarkEnd w:id="189"/>
      <w:bookmarkStart w:id="190" w:name="_Toc184312139"/>
      <w:bookmarkEnd w:id="190"/>
      <w:bookmarkStart w:id="191" w:name="_Toc184308038"/>
      <w:bookmarkEnd w:id="191"/>
      <w:bookmarkStart w:id="192" w:name="_Toc184312068"/>
      <w:bookmarkEnd w:id="192"/>
      <w:bookmarkStart w:id="193" w:name="_Toc184314410"/>
      <w:bookmarkEnd w:id="193"/>
      <w:bookmarkStart w:id="194" w:name="_Toc184308071"/>
      <w:bookmarkEnd w:id="194"/>
      <w:bookmarkStart w:id="195" w:name="_Toc184312091"/>
      <w:bookmarkEnd w:id="195"/>
      <w:bookmarkStart w:id="196" w:name="_Toc184310304"/>
      <w:bookmarkEnd w:id="196"/>
      <w:bookmarkStart w:id="197" w:name="_Toc184313266"/>
      <w:bookmarkEnd w:id="197"/>
      <w:bookmarkStart w:id="198" w:name="_Toc184313263"/>
      <w:bookmarkEnd w:id="198"/>
      <w:bookmarkStart w:id="199" w:name="_Toc184308102"/>
      <w:bookmarkEnd w:id="199"/>
      <w:bookmarkStart w:id="200" w:name="_Toc184312128"/>
      <w:bookmarkEnd w:id="200"/>
      <w:bookmarkStart w:id="201" w:name="_Toc184310338"/>
      <w:bookmarkEnd w:id="201"/>
      <w:bookmarkStart w:id="202" w:name="_Toc184314477"/>
      <w:bookmarkEnd w:id="202"/>
      <w:bookmarkStart w:id="203" w:name="_Toc184314414"/>
      <w:bookmarkEnd w:id="203"/>
      <w:bookmarkStart w:id="204" w:name="_Toc184313280"/>
      <w:bookmarkEnd w:id="204"/>
      <w:bookmarkStart w:id="205" w:name="_Toc184312075"/>
      <w:bookmarkEnd w:id="205"/>
      <w:bookmarkStart w:id="206" w:name="_Toc184308076"/>
      <w:bookmarkEnd w:id="206"/>
      <w:bookmarkStart w:id="207" w:name="_Toc184312117"/>
      <w:bookmarkEnd w:id="207"/>
      <w:bookmarkStart w:id="208" w:name="_Toc184314439"/>
      <w:bookmarkEnd w:id="208"/>
      <w:bookmarkStart w:id="209" w:name="_Toc184312121"/>
      <w:bookmarkEnd w:id="209"/>
      <w:bookmarkStart w:id="210" w:name="_Toc184310344"/>
      <w:bookmarkEnd w:id="210"/>
      <w:bookmarkStart w:id="211" w:name="_Toc184312102"/>
      <w:bookmarkEnd w:id="211"/>
      <w:bookmarkStart w:id="212" w:name="_Toc184314460"/>
      <w:bookmarkEnd w:id="212"/>
      <w:bookmarkStart w:id="213" w:name="_Toc184308052"/>
      <w:bookmarkEnd w:id="213"/>
      <w:bookmarkStart w:id="214" w:name="_Toc184314447"/>
      <w:bookmarkEnd w:id="214"/>
      <w:bookmarkStart w:id="215" w:name="_Toc184310291"/>
      <w:bookmarkEnd w:id="215"/>
      <w:bookmarkStart w:id="216" w:name="_Toc184314436"/>
      <w:bookmarkEnd w:id="216"/>
      <w:bookmarkStart w:id="217" w:name="_Toc184314437"/>
      <w:bookmarkEnd w:id="217"/>
      <w:bookmarkStart w:id="218" w:name="_Toc184310318"/>
      <w:bookmarkEnd w:id="218"/>
      <w:bookmarkStart w:id="219" w:name="_Toc184313249"/>
      <w:bookmarkEnd w:id="219"/>
      <w:bookmarkStart w:id="220" w:name="_Toc184314429"/>
      <w:bookmarkEnd w:id="220"/>
      <w:bookmarkStart w:id="221" w:name="_Toc184312087"/>
      <w:bookmarkEnd w:id="221"/>
      <w:bookmarkStart w:id="222" w:name="_Toc184312078"/>
      <w:bookmarkEnd w:id="222"/>
      <w:bookmarkStart w:id="223" w:name="_Toc184314478"/>
      <w:bookmarkEnd w:id="223"/>
      <w:bookmarkStart w:id="224" w:name="_Toc184308083"/>
      <w:bookmarkEnd w:id="224"/>
      <w:bookmarkStart w:id="225" w:name="_Toc184314473"/>
      <w:bookmarkEnd w:id="225"/>
      <w:bookmarkStart w:id="226" w:name="_Toc184313259"/>
      <w:bookmarkEnd w:id="226"/>
      <w:bookmarkStart w:id="227" w:name="_Toc184308048"/>
      <w:bookmarkEnd w:id="227"/>
      <w:bookmarkStart w:id="228" w:name="_Toc184308062"/>
      <w:bookmarkEnd w:id="228"/>
      <w:bookmarkStart w:id="229" w:name="_Toc184312099"/>
      <w:bookmarkEnd w:id="229"/>
      <w:bookmarkStart w:id="230" w:name="_Toc184314480"/>
      <w:bookmarkEnd w:id="230"/>
      <w:bookmarkStart w:id="231" w:name="_Toc184310283"/>
      <w:bookmarkEnd w:id="231"/>
      <w:bookmarkStart w:id="232" w:name="_Toc184314415"/>
      <w:bookmarkEnd w:id="232"/>
      <w:bookmarkStart w:id="233" w:name="_Toc184308055"/>
      <w:bookmarkEnd w:id="233"/>
      <w:bookmarkStart w:id="234" w:name="_Toc184313258"/>
      <w:bookmarkEnd w:id="234"/>
      <w:bookmarkStart w:id="235" w:name="_Toc184312090"/>
      <w:bookmarkEnd w:id="235"/>
      <w:bookmarkStart w:id="236" w:name="_Toc184308106"/>
      <w:bookmarkEnd w:id="236"/>
      <w:bookmarkStart w:id="237" w:name="_Toc184312118"/>
      <w:bookmarkEnd w:id="237"/>
      <w:bookmarkStart w:id="238" w:name="_Toc184313256"/>
      <w:bookmarkEnd w:id="238"/>
      <w:bookmarkStart w:id="239" w:name="_Toc184314450"/>
      <w:bookmarkEnd w:id="239"/>
      <w:bookmarkStart w:id="240" w:name="_Toc184312132"/>
      <w:bookmarkEnd w:id="240"/>
      <w:bookmarkStart w:id="241" w:name="_Toc184308053"/>
      <w:bookmarkEnd w:id="241"/>
      <w:bookmarkStart w:id="242" w:name="_Toc184312135"/>
      <w:bookmarkEnd w:id="242"/>
      <w:bookmarkStart w:id="243" w:name="_Toc184313251"/>
      <w:bookmarkEnd w:id="243"/>
      <w:bookmarkStart w:id="244" w:name="_Toc184312069"/>
      <w:bookmarkEnd w:id="244"/>
      <w:bookmarkStart w:id="245" w:name="_Toc184308108"/>
      <w:bookmarkEnd w:id="245"/>
      <w:bookmarkStart w:id="246" w:name="_Toc184314457"/>
      <w:bookmarkEnd w:id="246"/>
      <w:bookmarkStart w:id="247" w:name="_Toc184308095"/>
      <w:bookmarkEnd w:id="247"/>
      <w:bookmarkStart w:id="248" w:name="_Toc184312110"/>
      <w:bookmarkEnd w:id="248"/>
      <w:bookmarkStart w:id="249" w:name="_Toc184312086"/>
      <w:bookmarkEnd w:id="249"/>
      <w:bookmarkStart w:id="250" w:name="_Toc184308050"/>
      <w:bookmarkEnd w:id="250"/>
      <w:bookmarkStart w:id="251" w:name="_Toc184314435"/>
      <w:bookmarkEnd w:id="251"/>
      <w:bookmarkStart w:id="252" w:name="_Toc184310287"/>
      <w:bookmarkEnd w:id="252"/>
      <w:bookmarkStart w:id="253" w:name="_Toc184312085"/>
      <w:bookmarkEnd w:id="253"/>
      <w:bookmarkStart w:id="254" w:name="_Toc184312084"/>
      <w:bookmarkEnd w:id="254"/>
      <w:bookmarkStart w:id="255" w:name="_Toc184312126"/>
      <w:bookmarkEnd w:id="255"/>
      <w:bookmarkStart w:id="256" w:name="_Toc184314428"/>
      <w:bookmarkEnd w:id="256"/>
      <w:bookmarkStart w:id="257" w:name="_Toc184308086"/>
      <w:bookmarkEnd w:id="257"/>
      <w:bookmarkStart w:id="258" w:name="_Toc184310294"/>
      <w:bookmarkEnd w:id="258"/>
      <w:bookmarkStart w:id="259" w:name="_Toc184314456"/>
      <w:bookmarkEnd w:id="259"/>
      <w:bookmarkStart w:id="260" w:name="_Toc184308107"/>
      <w:bookmarkEnd w:id="260"/>
      <w:bookmarkStart w:id="261" w:name="_Toc184310289"/>
      <w:bookmarkEnd w:id="261"/>
      <w:bookmarkStart w:id="262" w:name="_Toc184308097"/>
      <w:bookmarkEnd w:id="262"/>
      <w:bookmarkStart w:id="263" w:name="_Toc184310306"/>
      <w:bookmarkEnd w:id="263"/>
      <w:bookmarkStart w:id="264" w:name="_Toc184313240"/>
      <w:bookmarkEnd w:id="264"/>
      <w:bookmarkStart w:id="265" w:name="_Toc184313248"/>
      <w:bookmarkEnd w:id="265"/>
      <w:bookmarkStart w:id="266" w:name="_Toc184313297"/>
      <w:bookmarkEnd w:id="266"/>
      <w:bookmarkStart w:id="267" w:name="_Toc184308063"/>
      <w:bookmarkEnd w:id="267"/>
      <w:bookmarkStart w:id="268" w:name="_Toc184314474"/>
      <w:bookmarkEnd w:id="268"/>
      <w:bookmarkStart w:id="269" w:name="_Toc184310278"/>
      <w:bookmarkEnd w:id="269"/>
      <w:bookmarkStart w:id="270" w:name="_Toc184313300"/>
      <w:bookmarkEnd w:id="270"/>
      <w:bookmarkStart w:id="271" w:name="_Toc184314451"/>
      <w:bookmarkEnd w:id="271"/>
      <w:bookmarkStart w:id="272" w:name="_Toc184310312"/>
      <w:bookmarkEnd w:id="272"/>
      <w:bookmarkStart w:id="273" w:name="_Toc184313299"/>
      <w:bookmarkEnd w:id="273"/>
      <w:bookmarkStart w:id="274" w:name="_Toc184308081"/>
      <w:bookmarkEnd w:id="274"/>
      <w:bookmarkStart w:id="275" w:name="_Toc184310276"/>
      <w:bookmarkEnd w:id="275"/>
      <w:bookmarkStart w:id="276" w:name="_Toc184310311"/>
      <w:bookmarkEnd w:id="276"/>
      <w:bookmarkStart w:id="277" w:name="_Toc184310329"/>
      <w:bookmarkEnd w:id="277"/>
      <w:bookmarkStart w:id="278" w:name="_Toc184310279"/>
      <w:bookmarkEnd w:id="278"/>
      <w:bookmarkStart w:id="279" w:name="_Toc184312089"/>
      <w:bookmarkEnd w:id="279"/>
      <w:bookmarkStart w:id="280" w:name="_Toc184313288"/>
      <w:bookmarkEnd w:id="280"/>
      <w:bookmarkStart w:id="281" w:name="_Toc184308072"/>
      <w:bookmarkEnd w:id="281"/>
      <w:bookmarkStart w:id="282" w:name="_Toc184314452"/>
      <w:bookmarkEnd w:id="282"/>
      <w:bookmarkStart w:id="283" w:name="_Toc184312130"/>
      <w:bookmarkEnd w:id="283"/>
      <w:bookmarkStart w:id="284" w:name="_Toc184314440"/>
      <w:bookmarkEnd w:id="284"/>
      <w:bookmarkStart w:id="285" w:name="_Toc184312100"/>
      <w:bookmarkEnd w:id="285"/>
      <w:bookmarkStart w:id="286" w:name="_Toc184312079"/>
      <w:bookmarkEnd w:id="286"/>
      <w:bookmarkStart w:id="287" w:name="_Toc184310309"/>
      <w:bookmarkEnd w:id="287"/>
      <w:bookmarkStart w:id="288" w:name="_Toc184314413"/>
      <w:bookmarkEnd w:id="288"/>
      <w:bookmarkStart w:id="289" w:name="_Toc184314461"/>
      <w:bookmarkEnd w:id="289"/>
      <w:bookmarkStart w:id="290" w:name="_Toc184313255"/>
      <w:bookmarkEnd w:id="290"/>
      <w:bookmarkStart w:id="291" w:name="_Toc184312129"/>
      <w:bookmarkEnd w:id="291"/>
      <w:bookmarkStart w:id="292" w:name="_Toc184312077"/>
      <w:bookmarkEnd w:id="292"/>
      <w:bookmarkStart w:id="293" w:name="_Toc184312120"/>
      <w:bookmarkEnd w:id="293"/>
      <w:bookmarkStart w:id="294" w:name="_Toc184312103"/>
      <w:bookmarkEnd w:id="294"/>
      <w:bookmarkStart w:id="295" w:name="_Toc184310313"/>
      <w:bookmarkEnd w:id="295"/>
      <w:bookmarkStart w:id="296" w:name="_Toc184314411"/>
      <w:bookmarkEnd w:id="296"/>
      <w:bookmarkStart w:id="297" w:name="_Toc184312106"/>
      <w:bookmarkEnd w:id="297"/>
      <w:bookmarkStart w:id="298" w:name="_Toc184308056"/>
      <w:bookmarkEnd w:id="298"/>
      <w:bookmarkStart w:id="299" w:name="_Toc184308077"/>
      <w:bookmarkEnd w:id="299"/>
      <w:bookmarkStart w:id="300" w:name="_Toc184313283"/>
      <w:bookmarkEnd w:id="300"/>
      <w:bookmarkStart w:id="301" w:name="_Toc184308073"/>
      <w:bookmarkEnd w:id="301"/>
      <w:bookmarkStart w:id="302" w:name="_Toc184310285"/>
      <w:bookmarkEnd w:id="302"/>
      <w:bookmarkStart w:id="303" w:name="_Toc184312137"/>
      <w:bookmarkEnd w:id="303"/>
      <w:bookmarkStart w:id="304" w:name="_Toc184310298"/>
      <w:bookmarkEnd w:id="304"/>
      <w:bookmarkStart w:id="305" w:name="_Toc184310340"/>
      <w:bookmarkEnd w:id="305"/>
      <w:bookmarkStart w:id="306" w:name="_Toc184310331"/>
      <w:bookmarkEnd w:id="306"/>
      <w:bookmarkStart w:id="307" w:name="_Toc184314472"/>
      <w:bookmarkEnd w:id="307"/>
      <w:bookmarkStart w:id="308" w:name="_Toc184313270"/>
      <w:bookmarkEnd w:id="308"/>
      <w:bookmarkStart w:id="309" w:name="_Toc184313253"/>
      <w:bookmarkEnd w:id="309"/>
      <w:bookmarkStart w:id="310" w:name="_Toc184312073"/>
      <w:bookmarkEnd w:id="310"/>
      <w:bookmarkStart w:id="311" w:name="_Toc184312109"/>
      <w:bookmarkEnd w:id="311"/>
      <w:bookmarkStart w:id="312" w:name="_Toc184313257"/>
      <w:bookmarkEnd w:id="312"/>
      <w:bookmarkStart w:id="313" w:name="_Toc184310326"/>
      <w:bookmarkEnd w:id="313"/>
      <w:bookmarkStart w:id="314" w:name="_Toc184313308"/>
      <w:bookmarkEnd w:id="314"/>
      <w:bookmarkStart w:id="315" w:name="_Toc184314420"/>
      <w:bookmarkEnd w:id="315"/>
      <w:bookmarkStart w:id="316" w:name="_Toc184314481"/>
      <w:bookmarkEnd w:id="316"/>
      <w:bookmarkStart w:id="317" w:name="_Toc184310300"/>
      <w:bookmarkEnd w:id="317"/>
      <w:bookmarkStart w:id="318" w:name="_Toc184312095"/>
      <w:bookmarkEnd w:id="318"/>
      <w:bookmarkStart w:id="319" w:name="_Toc184314438"/>
      <w:bookmarkEnd w:id="319"/>
      <w:bookmarkStart w:id="320" w:name="_Toc184313309"/>
      <w:bookmarkEnd w:id="320"/>
      <w:bookmarkStart w:id="321" w:name="_Toc184312115"/>
      <w:bookmarkEnd w:id="321"/>
      <w:bookmarkStart w:id="322" w:name="_Toc184308049"/>
      <w:bookmarkEnd w:id="322"/>
      <w:bookmarkStart w:id="323" w:name="_Toc184310273"/>
      <w:bookmarkEnd w:id="323"/>
      <w:bookmarkStart w:id="324" w:name="_Toc184310327"/>
      <w:bookmarkEnd w:id="324"/>
      <w:bookmarkStart w:id="325" w:name="_Toc184310295"/>
      <w:bookmarkEnd w:id="325"/>
      <w:bookmarkStart w:id="326" w:name="_Toc184314442"/>
      <w:bookmarkEnd w:id="326"/>
      <w:bookmarkStart w:id="327" w:name="_Toc184313278"/>
      <w:bookmarkEnd w:id="327"/>
      <w:bookmarkStart w:id="328" w:name="_Toc184308067"/>
      <w:bookmarkEnd w:id="328"/>
      <w:bookmarkStart w:id="329" w:name="_Toc184308078"/>
      <w:bookmarkEnd w:id="329"/>
      <w:bookmarkStart w:id="330" w:name="_Toc184312122"/>
      <w:bookmarkEnd w:id="330"/>
      <w:bookmarkStart w:id="331" w:name="_Toc184310277"/>
      <w:bookmarkEnd w:id="331"/>
      <w:bookmarkStart w:id="332" w:name="_Toc184310307"/>
      <w:bookmarkEnd w:id="332"/>
      <w:bookmarkStart w:id="333" w:name="_Toc184312133"/>
      <w:bookmarkEnd w:id="333"/>
      <w:bookmarkStart w:id="334" w:name="_Toc184308061"/>
      <w:bookmarkEnd w:id="334"/>
      <w:bookmarkStart w:id="335" w:name="_Toc184314427"/>
      <w:bookmarkEnd w:id="335"/>
      <w:bookmarkStart w:id="336" w:name="_Toc184313303"/>
      <w:bookmarkEnd w:id="336"/>
      <w:bookmarkStart w:id="337" w:name="_Toc184312104"/>
      <w:bookmarkEnd w:id="337"/>
      <w:bookmarkStart w:id="338" w:name="_Toc184310330"/>
      <w:bookmarkEnd w:id="338"/>
      <w:bookmarkStart w:id="339" w:name="_Toc184310274"/>
      <w:bookmarkEnd w:id="339"/>
      <w:bookmarkStart w:id="340" w:name="_Toc184308098"/>
      <w:bookmarkEnd w:id="340"/>
      <w:bookmarkStart w:id="341" w:name="_Toc184308105"/>
      <w:bookmarkEnd w:id="341"/>
      <w:bookmarkStart w:id="342" w:name="_Toc184313290"/>
      <w:bookmarkEnd w:id="342"/>
      <w:bookmarkStart w:id="343" w:name="_Toc184313247"/>
      <w:bookmarkEnd w:id="343"/>
      <w:bookmarkStart w:id="344" w:name="_Toc184312125"/>
      <w:bookmarkEnd w:id="344"/>
      <w:bookmarkStart w:id="345" w:name="_Toc184310303"/>
      <w:bookmarkEnd w:id="345"/>
      <w:bookmarkStart w:id="346" w:name="_Toc184310315"/>
      <w:bookmarkEnd w:id="346"/>
      <w:bookmarkStart w:id="347" w:name="_Toc184310336"/>
      <w:bookmarkEnd w:id="347"/>
      <w:bookmarkStart w:id="348" w:name="_Toc184314421"/>
      <w:bookmarkEnd w:id="348"/>
      <w:bookmarkStart w:id="349" w:name="_Toc184313310"/>
      <w:bookmarkEnd w:id="349"/>
      <w:bookmarkStart w:id="350" w:name="_Toc184313269"/>
      <w:bookmarkEnd w:id="350"/>
      <w:bookmarkStart w:id="351" w:name="_Toc184308059"/>
      <w:bookmarkEnd w:id="351"/>
      <w:bookmarkStart w:id="352" w:name="_Toc184314454"/>
      <w:bookmarkEnd w:id="352"/>
      <w:bookmarkStart w:id="353" w:name="_Toc184314458"/>
      <w:bookmarkEnd w:id="353"/>
      <w:bookmarkStart w:id="354" w:name="_Toc184313262"/>
      <w:bookmarkEnd w:id="354"/>
      <w:bookmarkStart w:id="355" w:name="_Toc184310320"/>
      <w:bookmarkEnd w:id="355"/>
      <w:bookmarkStart w:id="356" w:name="_Toc184308075"/>
      <w:bookmarkEnd w:id="356"/>
      <w:bookmarkStart w:id="357" w:name="_Toc184314467"/>
      <w:bookmarkEnd w:id="357"/>
      <w:bookmarkStart w:id="358" w:name="_Toc184314455"/>
      <w:bookmarkEnd w:id="358"/>
      <w:bookmarkStart w:id="359" w:name="_Toc184314426"/>
      <w:bookmarkEnd w:id="359"/>
      <w:bookmarkStart w:id="360" w:name="_Toc184313239"/>
      <w:bookmarkEnd w:id="360"/>
      <w:bookmarkStart w:id="361" w:name="_Toc184308042"/>
      <w:bookmarkEnd w:id="361"/>
      <w:bookmarkStart w:id="362" w:name="_Toc184310301"/>
      <w:bookmarkEnd w:id="362"/>
      <w:bookmarkStart w:id="363" w:name="_Toc184308092"/>
      <w:bookmarkEnd w:id="363"/>
      <w:bookmarkStart w:id="364" w:name="_Toc184310272"/>
      <w:bookmarkEnd w:id="364"/>
      <w:bookmarkStart w:id="365" w:name="_Toc184314424"/>
      <w:bookmarkEnd w:id="365"/>
      <w:bookmarkStart w:id="366" w:name="_Toc184308101"/>
      <w:bookmarkEnd w:id="366"/>
      <w:bookmarkStart w:id="367" w:name="_Toc184312093"/>
      <w:bookmarkEnd w:id="367"/>
      <w:bookmarkStart w:id="368" w:name="_Toc184310316"/>
      <w:bookmarkEnd w:id="368"/>
      <w:bookmarkStart w:id="369" w:name="_Toc184310275"/>
      <w:bookmarkEnd w:id="369"/>
      <w:bookmarkStart w:id="370" w:name="_Toc184314453"/>
      <w:bookmarkEnd w:id="370"/>
      <w:bookmarkStart w:id="371" w:name="_Toc184310292"/>
      <w:bookmarkEnd w:id="371"/>
      <w:bookmarkStart w:id="372" w:name="_Toc184313302"/>
      <w:bookmarkEnd w:id="372"/>
      <w:bookmarkStart w:id="373" w:name="_Toc184313261"/>
      <w:bookmarkEnd w:id="373"/>
      <w:bookmarkStart w:id="374" w:name="_Toc184312097"/>
      <w:bookmarkEnd w:id="374"/>
      <w:bookmarkStart w:id="375" w:name="_Toc184308096"/>
      <w:bookmarkEnd w:id="375"/>
      <w:bookmarkStart w:id="376" w:name="_Toc184310299"/>
      <w:bookmarkEnd w:id="376"/>
      <w:bookmarkStart w:id="377" w:name="_Toc184312113"/>
      <w:bookmarkEnd w:id="377"/>
      <w:bookmarkStart w:id="378" w:name="_Toc184314466"/>
      <w:bookmarkEnd w:id="378"/>
      <w:bookmarkStart w:id="379" w:name="_Toc184308040"/>
      <w:bookmarkEnd w:id="379"/>
      <w:bookmarkStart w:id="380" w:name="_Toc184310332"/>
      <w:bookmarkEnd w:id="380"/>
      <w:bookmarkStart w:id="381" w:name="_Toc184308066"/>
      <w:bookmarkEnd w:id="381"/>
      <w:bookmarkStart w:id="382" w:name="_Toc184308064"/>
      <w:bookmarkEnd w:id="382"/>
      <w:bookmarkStart w:id="383" w:name="_Toc184308057"/>
      <w:bookmarkEnd w:id="383"/>
      <w:bookmarkStart w:id="384" w:name="_Toc184314431"/>
      <w:bookmarkEnd w:id="384"/>
      <w:bookmarkStart w:id="385" w:name="_Toc184308036"/>
      <w:bookmarkEnd w:id="385"/>
      <w:bookmarkStart w:id="386" w:name="_Toc184314430"/>
      <w:bookmarkEnd w:id="386"/>
      <w:bookmarkStart w:id="387" w:name="_Toc184313285"/>
      <w:bookmarkEnd w:id="387"/>
      <w:bookmarkStart w:id="388" w:name="_Toc184314465"/>
      <w:bookmarkEnd w:id="388"/>
      <w:bookmarkStart w:id="389" w:name="_Toc184308091"/>
      <w:bookmarkEnd w:id="389"/>
      <w:bookmarkStart w:id="390" w:name="_Toc184312072"/>
      <w:bookmarkEnd w:id="390"/>
      <w:bookmarkStart w:id="391" w:name="_Toc184313304"/>
      <w:bookmarkEnd w:id="391"/>
      <w:bookmarkStart w:id="392" w:name="_Toc184313293"/>
      <w:bookmarkEnd w:id="392"/>
      <w:bookmarkStart w:id="393" w:name="_Toc184310317"/>
      <w:bookmarkEnd w:id="393"/>
      <w:bookmarkStart w:id="394" w:name="_Toc184314448"/>
      <w:bookmarkEnd w:id="394"/>
      <w:bookmarkStart w:id="395" w:name="_Toc184310339"/>
      <w:bookmarkEnd w:id="395"/>
      <w:bookmarkStart w:id="396" w:name="_Toc184314441"/>
      <w:bookmarkEnd w:id="396"/>
      <w:bookmarkStart w:id="397" w:name="_Toc184312124"/>
      <w:bookmarkEnd w:id="397"/>
      <w:bookmarkStart w:id="398" w:name="_Toc184308039"/>
      <w:bookmarkEnd w:id="398"/>
      <w:bookmarkStart w:id="399" w:name="_Toc184314433"/>
      <w:bookmarkEnd w:id="399"/>
      <w:bookmarkStart w:id="400" w:name="_Toc184313260"/>
      <w:bookmarkEnd w:id="400"/>
      <w:bookmarkStart w:id="401" w:name="_Toc184308045"/>
      <w:bookmarkEnd w:id="401"/>
      <w:bookmarkStart w:id="402" w:name="_Toc184308046"/>
      <w:bookmarkEnd w:id="402"/>
      <w:bookmarkStart w:id="403" w:name="_Toc184310324"/>
      <w:bookmarkEnd w:id="403"/>
      <w:bookmarkStart w:id="404" w:name="_Toc184308080"/>
      <w:bookmarkEnd w:id="404"/>
      <w:bookmarkStart w:id="405" w:name="_Toc184312067"/>
      <w:bookmarkEnd w:id="405"/>
      <w:bookmarkStart w:id="406" w:name="_Toc184312080"/>
      <w:bookmarkEnd w:id="406"/>
      <w:bookmarkStart w:id="407" w:name="_Toc184312074"/>
      <w:bookmarkEnd w:id="407"/>
      <w:bookmarkStart w:id="408" w:name="_Toc184313291"/>
      <w:bookmarkEnd w:id="408"/>
      <w:bookmarkStart w:id="409" w:name="_Toc184308044"/>
      <w:bookmarkEnd w:id="409"/>
      <w:bookmarkStart w:id="410" w:name="_Toc184312101"/>
      <w:bookmarkEnd w:id="410"/>
      <w:bookmarkStart w:id="411" w:name="_Toc184308103"/>
      <w:bookmarkEnd w:id="411"/>
      <w:bookmarkStart w:id="412" w:name="_Toc184313281"/>
      <w:bookmarkEnd w:id="412"/>
      <w:bookmarkStart w:id="413" w:name="_Toc184313277"/>
      <w:bookmarkEnd w:id="413"/>
      <w:bookmarkStart w:id="414" w:name="_Toc184310321"/>
      <w:bookmarkEnd w:id="414"/>
      <w:bookmarkStart w:id="415" w:name="_Toc184308037"/>
      <w:bookmarkEnd w:id="415"/>
      <w:bookmarkStart w:id="416" w:name="_Toc184313241"/>
      <w:bookmarkEnd w:id="416"/>
      <w:bookmarkStart w:id="417" w:name="_Toc184308058"/>
      <w:bookmarkEnd w:id="417"/>
      <w:bookmarkStart w:id="418" w:name="_Toc184308093"/>
      <w:bookmarkEnd w:id="418"/>
      <w:bookmarkStart w:id="419" w:name="_Toc184312081"/>
      <w:bookmarkEnd w:id="419"/>
      <w:bookmarkStart w:id="420" w:name="_Toc184313307"/>
      <w:bookmarkEnd w:id="420"/>
      <w:bookmarkStart w:id="421" w:name="_Toc184313265"/>
      <w:bookmarkEnd w:id="421"/>
      <w:bookmarkStart w:id="422" w:name="_Toc184313250"/>
      <w:bookmarkEnd w:id="422"/>
      <w:bookmarkStart w:id="423" w:name="_Toc184312071"/>
      <w:bookmarkEnd w:id="423"/>
      <w:bookmarkStart w:id="424" w:name="第四部分"/>
      <w:r>
        <w:rPr>
          <w:rFonts w:hint="eastAsia" w:ascii="宋体" w:hAnsi="宋体" w:cs="宋体"/>
          <w:b/>
          <w:sz w:val="36"/>
          <w:szCs w:val="36"/>
        </w:rPr>
        <w:t xml:space="preserve"> 评标办法及评分标准</w:t>
      </w:r>
      <w:bookmarkEnd w:id="58"/>
    </w:p>
    <w:p>
      <w:pPr>
        <w:pStyle w:val="8"/>
        <w:spacing w:line="360" w:lineRule="auto"/>
        <w:jc w:val="center"/>
        <w:rPr>
          <w:rFonts w:hAnsi="宋体" w:cs="宋体"/>
          <w:bCs/>
        </w:rPr>
      </w:pPr>
      <w:bookmarkStart w:id="425" w:name="_Toc1764"/>
      <w:r>
        <w:rPr>
          <w:rFonts w:hint="eastAsia" w:hAnsi="宋体" w:cs="宋体"/>
          <w:bCs/>
        </w:rPr>
        <w:t>第一章　评标办法</w:t>
      </w:r>
      <w:bookmarkEnd w:id="425"/>
    </w:p>
    <w:p>
      <w:pPr>
        <w:spacing w:line="336" w:lineRule="auto"/>
        <w:ind w:firstLine="482" w:firstLineChars="200"/>
        <w:rPr>
          <w:rFonts w:ascii="宋体" w:hAnsi="宋体" w:cs="宋体"/>
          <w:b/>
          <w:bCs/>
          <w:sz w:val="24"/>
        </w:rPr>
      </w:pPr>
      <w:r>
        <w:rPr>
          <w:rFonts w:hint="eastAsia" w:ascii="宋体" w:hAnsi="宋体" w:cs="宋体"/>
          <w:b/>
          <w:bCs/>
          <w:sz w:val="24"/>
        </w:rPr>
        <w:t>一、本次招标将按下列第</w:t>
      </w:r>
      <w:r>
        <w:rPr>
          <w:rFonts w:hint="eastAsia" w:ascii="宋体" w:hAnsi="宋体" w:cs="宋体"/>
          <w:b/>
          <w:bCs/>
          <w:sz w:val="24"/>
          <w:u w:val="single"/>
        </w:rPr>
        <w:t>　1　</w:t>
      </w:r>
      <w:r>
        <w:rPr>
          <w:rFonts w:hint="eastAsia" w:ascii="宋体" w:hAnsi="宋体" w:cs="宋体"/>
          <w:b/>
          <w:bCs/>
          <w:sz w:val="24"/>
        </w:rPr>
        <w:t>种评标办法进行评标：</w:t>
      </w:r>
    </w:p>
    <w:p>
      <w:pPr>
        <w:spacing w:line="336" w:lineRule="auto"/>
        <w:ind w:firstLine="480" w:firstLineChars="200"/>
        <w:rPr>
          <w:rFonts w:ascii="宋体" w:hAnsi="宋体" w:cs="宋体"/>
          <w:sz w:val="24"/>
        </w:rPr>
      </w:pPr>
      <w:r>
        <w:rPr>
          <w:rFonts w:hint="eastAsia" w:ascii="宋体" w:hAnsi="宋体" w:cs="宋体"/>
          <w:sz w:val="24"/>
        </w:rPr>
        <w:t>1.综合评分法。即在最大限度地满足招标文件实质性要求的前提下，按照《评分标准》规定的评分因素对各投标人的投标文件进行综合评审，以技术分、资信分、商务分总得分最高的投标人作为中标候选人。如最高总得分相同的，以报价低者作为中标候选人。如最高总得分且报价相同的，以技术指标优者作为中标候选人；无法确定技术指标优劣的，则抽签确定中标候选人。</w:t>
      </w:r>
    </w:p>
    <w:p>
      <w:pPr>
        <w:spacing w:line="336" w:lineRule="auto"/>
        <w:ind w:firstLine="480" w:firstLineChars="200"/>
        <w:rPr>
          <w:rFonts w:ascii="宋体" w:hAnsi="宋体" w:cs="宋体"/>
          <w:sz w:val="24"/>
        </w:rPr>
      </w:pPr>
      <w:r>
        <w:rPr>
          <w:rFonts w:hint="eastAsia" w:ascii="宋体" w:hAnsi="宋体" w:cs="宋体"/>
          <w:sz w:val="24"/>
        </w:rPr>
        <w:t>2.最低评标价法。即在全部满足招标文件实质性要求的前提下，以评审后最低评标价的投标人作为中标候选人。如最低报价相同的，以技术指标优者作为中标候选人；无法确定技术指标优劣的，则抽签确定中标候选人。</w:t>
      </w:r>
    </w:p>
    <w:p>
      <w:pPr>
        <w:spacing w:line="360" w:lineRule="auto"/>
        <w:ind w:firstLine="480" w:firstLineChars="200"/>
        <w:rPr>
          <w:rFonts w:ascii="宋体" w:hAnsi="宋体" w:cs="宋体"/>
          <w:sz w:val="24"/>
          <w:szCs w:val="21"/>
        </w:rPr>
      </w:pPr>
      <w:r>
        <w:rPr>
          <w:rFonts w:hint="eastAsia" w:ascii="宋体" w:hAnsi="宋体" w:cs="宋体"/>
          <w:sz w:val="24"/>
        </w:rPr>
        <w:t>本次评标采用百分制计分，计算时四舍五入保留到小数点后两位。</w:t>
      </w:r>
    </w:p>
    <w:p>
      <w:pPr>
        <w:spacing w:line="360" w:lineRule="auto"/>
        <w:ind w:firstLine="480" w:firstLineChars="200"/>
        <w:rPr>
          <w:rFonts w:ascii="宋体" w:hAnsi="宋体" w:cs="宋体"/>
          <w:sz w:val="24"/>
          <w:szCs w:val="21"/>
        </w:rPr>
      </w:pPr>
    </w:p>
    <w:p>
      <w:pPr>
        <w:pStyle w:val="8"/>
        <w:spacing w:line="360" w:lineRule="auto"/>
        <w:jc w:val="center"/>
        <w:rPr>
          <w:rFonts w:hAnsi="宋体" w:cs="宋体"/>
        </w:rPr>
      </w:pPr>
      <w:r>
        <w:rPr>
          <w:rFonts w:hint="eastAsia" w:hAnsi="宋体" w:cs="宋体"/>
        </w:rPr>
        <w:t>第二章　评分标准</w:t>
      </w:r>
    </w:p>
    <w:p>
      <w:pPr>
        <w:spacing w:line="360" w:lineRule="auto"/>
        <w:ind w:firstLine="482" w:firstLineChars="200"/>
        <w:rPr>
          <w:rFonts w:ascii="宋体" w:hAnsi="宋体"/>
          <w:b/>
          <w:bCs/>
          <w:sz w:val="24"/>
          <w:szCs w:val="21"/>
        </w:rPr>
      </w:pPr>
      <w:r>
        <w:rPr>
          <w:rFonts w:hint="eastAsia" w:ascii="宋体" w:hAnsi="宋体"/>
          <w:b/>
          <w:bCs/>
          <w:sz w:val="24"/>
          <w:szCs w:val="21"/>
        </w:rPr>
        <w:t>一、报价文件评</w:t>
      </w:r>
      <w:r>
        <w:rPr>
          <w:rFonts w:hint="eastAsia" w:ascii="宋体" w:hAnsi="宋体"/>
          <w:b/>
          <w:bCs/>
          <w:color w:val="auto"/>
          <w:sz w:val="24"/>
          <w:szCs w:val="21"/>
        </w:rPr>
        <w:t>分标准（30分）</w:t>
      </w:r>
    </w:p>
    <w:p>
      <w:pPr>
        <w:spacing w:line="336" w:lineRule="auto"/>
        <w:ind w:firstLine="480" w:firstLineChars="200"/>
        <w:rPr>
          <w:rFonts w:ascii="宋体" w:hAnsi="宋体"/>
          <w:sz w:val="24"/>
        </w:rPr>
      </w:pPr>
      <w:r>
        <w:rPr>
          <w:rFonts w:hint="eastAsia" w:ascii="宋体" w:hAnsi="宋体"/>
          <w:sz w:val="24"/>
        </w:rPr>
        <w:t>报价文件主要是对投标人的有效报价进行评议，其评分标准及分值设置规则如下：</w:t>
      </w:r>
    </w:p>
    <w:p>
      <w:pPr>
        <w:spacing w:line="336" w:lineRule="auto"/>
        <w:ind w:firstLine="480" w:firstLineChars="200"/>
        <w:rPr>
          <w:rFonts w:ascii="宋体" w:hAnsi="宋体"/>
          <w:sz w:val="24"/>
        </w:rPr>
      </w:pPr>
      <w:r>
        <w:rPr>
          <w:rFonts w:hint="eastAsia" w:ascii="宋体" w:hAnsi="宋体"/>
          <w:sz w:val="24"/>
        </w:rPr>
        <w:t>1.本次招标最高限价规定如下：</w:t>
      </w:r>
    </w:p>
    <w:p>
      <w:pPr>
        <w:spacing w:line="360" w:lineRule="auto"/>
        <w:ind w:firstLine="480" w:firstLineChars="200"/>
        <w:rPr>
          <w:rFonts w:ascii="宋体" w:hAnsi="宋体"/>
          <w:b/>
          <w:bCs/>
          <w:color w:val="auto"/>
          <w:sz w:val="24"/>
          <w:szCs w:val="21"/>
        </w:rPr>
      </w:pPr>
      <w:r>
        <w:rPr>
          <w:rFonts w:hint="eastAsia" w:ascii="宋体" w:hAnsi="宋体"/>
          <w:b w:val="0"/>
          <w:bCs w:val="0"/>
          <w:sz w:val="24"/>
          <w:szCs w:val="21"/>
        </w:rPr>
        <w:t>本项目投标报价</w:t>
      </w:r>
      <w:r>
        <w:rPr>
          <w:rFonts w:hint="eastAsia" w:ascii="宋体" w:hAnsi="宋体"/>
          <w:b w:val="0"/>
          <w:bCs w:val="0"/>
          <w:color w:val="auto"/>
          <w:sz w:val="24"/>
          <w:szCs w:val="21"/>
        </w:rPr>
        <w:t>的</w:t>
      </w:r>
      <w:r>
        <w:rPr>
          <w:rFonts w:hint="eastAsia" w:ascii="宋体" w:hAnsi="宋体"/>
          <w:b/>
          <w:bCs/>
          <w:color w:val="auto"/>
          <w:sz w:val="24"/>
          <w:szCs w:val="21"/>
        </w:rPr>
        <w:t>最高限价</w:t>
      </w:r>
      <w:r>
        <w:rPr>
          <w:rFonts w:hint="eastAsia" w:ascii="宋体" w:hAnsi="宋体"/>
          <w:b/>
          <w:color w:val="auto"/>
          <w:sz w:val="24"/>
          <w:szCs w:val="21"/>
        </w:rPr>
        <w:t>为人民币</w:t>
      </w:r>
      <w:r>
        <w:rPr>
          <w:rFonts w:hint="eastAsia" w:ascii="宋体" w:hAnsi="宋体"/>
          <w:b/>
          <w:color w:val="auto"/>
          <w:sz w:val="24"/>
          <w:szCs w:val="21"/>
          <w:u w:val="single"/>
        </w:rPr>
        <w:t xml:space="preserve"> 贰仟壹佰叁拾万伍仟壹佰捌拾元整 </w:t>
      </w:r>
      <w:r>
        <w:rPr>
          <w:rFonts w:hint="eastAsia" w:ascii="宋体" w:hAnsi="宋体"/>
          <w:b/>
          <w:color w:val="auto"/>
          <w:sz w:val="24"/>
          <w:szCs w:val="21"/>
        </w:rPr>
        <w:t xml:space="preserve"> （小写¥</w:t>
      </w:r>
      <w:r>
        <w:rPr>
          <w:rFonts w:hint="eastAsia" w:ascii="宋体" w:hAnsi="宋体"/>
          <w:b/>
          <w:color w:val="auto"/>
          <w:sz w:val="24"/>
          <w:szCs w:val="21"/>
          <w:u w:val="single"/>
        </w:rPr>
        <w:t xml:space="preserve"> 21305180.00</w:t>
      </w:r>
      <w:r>
        <w:rPr>
          <w:rFonts w:hint="eastAsia" w:ascii="宋体" w:hAnsi="宋体"/>
          <w:b/>
          <w:color w:val="auto"/>
          <w:sz w:val="24"/>
          <w:szCs w:val="21"/>
        </w:rPr>
        <w:t>元）</w:t>
      </w:r>
      <w:r>
        <w:rPr>
          <w:rFonts w:hint="eastAsia" w:ascii="宋体" w:hAnsi="宋体"/>
          <w:b/>
          <w:bCs/>
          <w:color w:val="auto"/>
          <w:sz w:val="24"/>
          <w:szCs w:val="21"/>
        </w:rPr>
        <w:t>。</w:t>
      </w:r>
    </w:p>
    <w:p>
      <w:pPr>
        <w:spacing w:line="360" w:lineRule="auto"/>
        <w:ind w:firstLine="480" w:firstLineChars="200"/>
        <w:rPr>
          <w:rFonts w:ascii="宋体" w:hAnsi="宋体"/>
          <w:sz w:val="24"/>
          <w:szCs w:val="21"/>
        </w:rPr>
      </w:pPr>
      <w:r>
        <w:rPr>
          <w:rFonts w:hint="eastAsia" w:ascii="宋体" w:hAnsi="宋体"/>
          <w:sz w:val="24"/>
          <w:szCs w:val="21"/>
        </w:rPr>
        <w:t>2.投标人的报价在最高限价内的，为有效报价。</w:t>
      </w:r>
    </w:p>
    <w:p>
      <w:pPr>
        <w:spacing w:line="360" w:lineRule="auto"/>
        <w:ind w:firstLine="480" w:firstLineChars="200"/>
        <w:rPr>
          <w:rFonts w:ascii="宋体" w:hAnsi="宋体"/>
          <w:sz w:val="24"/>
          <w:szCs w:val="21"/>
        </w:rPr>
      </w:pPr>
      <w:r>
        <w:rPr>
          <w:rFonts w:hint="eastAsia" w:ascii="宋体" w:hAnsi="宋体"/>
          <w:sz w:val="24"/>
          <w:szCs w:val="21"/>
        </w:rPr>
        <w:t>3.本次评标设有最佳报价。最佳报价确定方式：根据所有入围投标人有效报价中的最低报价作为最佳报价。</w:t>
      </w:r>
    </w:p>
    <w:p>
      <w:pPr>
        <w:spacing w:line="360" w:lineRule="auto"/>
        <w:ind w:firstLine="480" w:firstLineChars="200"/>
        <w:rPr>
          <w:rFonts w:ascii="宋体" w:hAnsi="宋体"/>
          <w:sz w:val="24"/>
          <w:szCs w:val="21"/>
        </w:rPr>
      </w:pPr>
      <w:r>
        <w:rPr>
          <w:rFonts w:hint="eastAsia" w:ascii="宋体" w:hAnsi="宋体"/>
          <w:sz w:val="24"/>
          <w:szCs w:val="21"/>
        </w:rPr>
        <w:t>4.最佳报价者的报价分为满分，其他投标人的有效报价与最佳报价相比，按下列方法计算其报价分：</w:t>
      </w:r>
    </w:p>
    <w:p>
      <w:pPr>
        <w:spacing w:line="360" w:lineRule="auto"/>
        <w:ind w:firstLine="480" w:firstLineChars="200"/>
        <w:rPr>
          <w:rFonts w:ascii="宋体" w:hAnsi="宋体"/>
          <w:sz w:val="24"/>
          <w:szCs w:val="21"/>
        </w:rPr>
      </w:pPr>
      <w:r>
        <w:rPr>
          <w:rFonts w:hint="eastAsia" w:ascii="宋体" w:hAnsi="宋体"/>
          <w:sz w:val="24"/>
          <w:szCs w:val="21"/>
        </w:rPr>
        <w:t>投标价格分=(最佳报价/投标报价)*价格权值*100。</w:t>
      </w:r>
    </w:p>
    <w:p>
      <w:pPr>
        <w:spacing w:line="360" w:lineRule="auto"/>
        <w:ind w:firstLine="480" w:firstLineChars="200"/>
        <w:rPr>
          <w:rFonts w:ascii="宋体" w:hAnsi="宋体"/>
          <w:sz w:val="24"/>
          <w:szCs w:val="21"/>
        </w:rPr>
      </w:pPr>
      <w:r>
        <w:rPr>
          <w:rFonts w:hint="eastAsia" w:ascii="宋体" w:hAnsi="宋体"/>
          <w:sz w:val="24"/>
          <w:szCs w:val="21"/>
        </w:rPr>
        <w:t>5.当投标（开标）一览表与投标报价明细表报价不一致时，以投标（开标）一览表为准，报价明细表报价予以修正并由授权代表签字确认，拒绝修正或确认的，则做无效标处理。</w:t>
      </w:r>
    </w:p>
    <w:p>
      <w:pPr>
        <w:spacing w:line="360" w:lineRule="auto"/>
        <w:ind w:firstLine="480" w:firstLineChars="200"/>
        <w:rPr>
          <w:rFonts w:ascii="宋体" w:hAnsi="宋体"/>
          <w:sz w:val="24"/>
          <w:szCs w:val="21"/>
        </w:rPr>
      </w:pPr>
      <w:r>
        <w:rPr>
          <w:rFonts w:hint="eastAsia" w:ascii="宋体" w:hAnsi="宋体"/>
          <w:sz w:val="24"/>
          <w:szCs w:val="21"/>
        </w:rPr>
        <w:t>6.投标文件只允许有一个报价，投标报价应按招标文件中相关附表格式填报，该投标报价应与明细报价汇总相等，且不允许出现报价优惠、赠送等字样（明细出现“0”元，视同赠送）,如出现则做</w:t>
      </w:r>
      <w:r>
        <w:rPr>
          <w:rFonts w:hint="eastAsia" w:ascii="宋体" w:hAnsi="宋体"/>
          <w:b/>
          <w:bCs/>
          <w:sz w:val="24"/>
          <w:szCs w:val="21"/>
        </w:rPr>
        <w:t>无效投标</w:t>
      </w:r>
      <w:r>
        <w:rPr>
          <w:rFonts w:hint="eastAsia" w:ascii="宋体" w:hAnsi="宋体"/>
          <w:sz w:val="24"/>
          <w:szCs w:val="21"/>
        </w:rPr>
        <w:t>处理。</w:t>
      </w:r>
    </w:p>
    <w:p>
      <w:pPr>
        <w:autoSpaceDE w:val="0"/>
        <w:autoSpaceDN w:val="0"/>
        <w:spacing w:line="360" w:lineRule="auto"/>
        <w:ind w:firstLine="482"/>
        <w:rPr>
          <w:rFonts w:ascii="宋体" w:hAnsi="宋体" w:cs="仿宋_GB2312"/>
          <w:sz w:val="24"/>
        </w:rPr>
      </w:pPr>
      <w:r>
        <w:rPr>
          <w:rFonts w:hint="eastAsia" w:ascii="宋体" w:hAnsi="宋体"/>
          <w:sz w:val="24"/>
          <w:szCs w:val="21"/>
        </w:rPr>
        <w:t>7.</w:t>
      </w:r>
      <w:r>
        <w:rPr>
          <w:rFonts w:hint="eastAsia" w:ascii="宋体" w:hAnsi="宋体" w:cs="仿宋_GB2312"/>
          <w:b/>
          <w:sz w:val="24"/>
        </w:rPr>
        <w:t>投标价格的合理性</w:t>
      </w:r>
      <w:r>
        <w:rPr>
          <w:rFonts w:hint="eastAsia" w:ascii="宋体" w:hAnsi="宋体" w:cs="仿宋_GB2312"/>
          <w:sz w:val="24"/>
        </w:rPr>
        <w:t>：</w:t>
      </w:r>
      <w:r>
        <w:rPr>
          <w:rFonts w:ascii="Arial" w:hAnsi="Arial" w:cs="Arial"/>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rPr>
          <w:rFonts w:ascii="宋体" w:hAnsi="宋体"/>
          <w:b/>
          <w:bCs/>
          <w:sz w:val="24"/>
          <w:szCs w:val="21"/>
        </w:rPr>
      </w:pPr>
      <w:r>
        <w:rPr>
          <w:rFonts w:hint="eastAsia" w:ascii="宋体" w:hAnsi="宋体"/>
          <w:b/>
          <w:bCs/>
          <w:sz w:val="24"/>
          <w:szCs w:val="21"/>
        </w:rPr>
        <w:t>二.商务技术文件评标内容及</w:t>
      </w:r>
      <w:r>
        <w:rPr>
          <w:rFonts w:hint="eastAsia" w:ascii="宋体" w:hAnsi="宋体"/>
          <w:b/>
          <w:bCs/>
          <w:color w:val="auto"/>
          <w:sz w:val="24"/>
          <w:szCs w:val="21"/>
        </w:rPr>
        <w:t>标准（70分）</w:t>
      </w:r>
    </w:p>
    <w:p>
      <w:pPr>
        <w:ind w:firstLine="482" w:firstLineChars="200"/>
        <w:rPr>
          <w:rFonts w:ascii="宋体" w:hAnsi="宋体" w:cs="宋体"/>
          <w:b/>
          <w:bCs/>
          <w:sz w:val="24"/>
        </w:rPr>
      </w:pPr>
      <w:r>
        <w:rPr>
          <w:rFonts w:hint="eastAsia" w:ascii="宋体" w:hAnsi="宋体" w:cs="宋体"/>
          <w:b/>
          <w:bCs/>
          <w:sz w:val="24"/>
        </w:rPr>
        <w:t>1、评分细则</w:t>
      </w:r>
    </w:p>
    <w:tbl>
      <w:tblPr>
        <w:tblStyle w:val="2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401"/>
        <w:gridCol w:w="5955"/>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adjustRightInd w:val="0"/>
              <w:spacing w:beforeLines="50" w:line="360" w:lineRule="auto"/>
              <w:jc w:val="center"/>
              <w:rPr>
                <w:rFonts w:ascii="宋体" w:hAnsi="宋体" w:cs="宋体"/>
                <w:color w:val="auto"/>
                <w:sz w:val="24"/>
              </w:rPr>
            </w:pPr>
            <w:r>
              <w:rPr>
                <w:rFonts w:hint="eastAsia" w:ascii="宋体" w:hAnsi="宋体" w:cs="宋体"/>
                <w:color w:val="auto"/>
                <w:sz w:val="24"/>
              </w:rPr>
              <w:t>类型</w:t>
            </w:r>
          </w:p>
        </w:tc>
        <w:tc>
          <w:tcPr>
            <w:tcW w:w="1401" w:type="dxa"/>
            <w:tcBorders>
              <w:top w:val="single" w:color="auto" w:sz="4" w:space="0"/>
              <w:left w:val="single" w:color="auto" w:sz="4" w:space="0"/>
              <w:bottom w:val="single" w:color="auto" w:sz="4" w:space="0"/>
              <w:right w:val="single" w:color="auto" w:sz="4" w:space="0"/>
            </w:tcBorders>
            <w:vAlign w:val="center"/>
          </w:tcPr>
          <w:p>
            <w:pPr>
              <w:adjustRightInd w:val="0"/>
              <w:spacing w:beforeLines="50" w:line="360" w:lineRule="auto"/>
              <w:jc w:val="center"/>
              <w:rPr>
                <w:rFonts w:ascii="宋体" w:hAnsi="宋体" w:cs="宋体"/>
                <w:color w:val="auto"/>
                <w:sz w:val="24"/>
              </w:rPr>
            </w:pPr>
            <w:r>
              <w:rPr>
                <w:rFonts w:hint="eastAsia" w:ascii="宋体" w:hAnsi="宋体" w:cs="宋体"/>
                <w:color w:val="auto"/>
                <w:sz w:val="24"/>
              </w:rPr>
              <w:t>项目</w:t>
            </w:r>
          </w:p>
        </w:tc>
        <w:tc>
          <w:tcPr>
            <w:tcW w:w="5955" w:type="dxa"/>
            <w:tcBorders>
              <w:top w:val="single" w:color="auto" w:sz="4" w:space="0"/>
              <w:left w:val="single" w:color="auto" w:sz="4" w:space="0"/>
              <w:bottom w:val="single" w:color="auto" w:sz="4" w:space="0"/>
              <w:right w:val="single" w:color="auto" w:sz="4" w:space="0"/>
            </w:tcBorders>
            <w:vAlign w:val="center"/>
          </w:tcPr>
          <w:p>
            <w:pPr>
              <w:adjustRightInd w:val="0"/>
              <w:spacing w:beforeLines="50" w:line="360" w:lineRule="auto"/>
              <w:jc w:val="center"/>
              <w:rPr>
                <w:rFonts w:ascii="宋体" w:hAnsi="宋体" w:cs="宋体"/>
                <w:color w:val="auto"/>
                <w:sz w:val="24"/>
              </w:rPr>
            </w:pPr>
            <w:r>
              <w:rPr>
                <w:rFonts w:hint="eastAsia" w:ascii="宋体" w:hAnsi="宋体" w:cs="宋体"/>
                <w:color w:val="auto"/>
                <w:sz w:val="24"/>
              </w:rPr>
              <w:t>评标要点及说明</w:t>
            </w:r>
          </w:p>
        </w:tc>
        <w:tc>
          <w:tcPr>
            <w:tcW w:w="707" w:type="dxa"/>
            <w:tcBorders>
              <w:top w:val="single" w:color="auto" w:sz="4" w:space="0"/>
              <w:left w:val="single" w:color="auto" w:sz="4" w:space="0"/>
              <w:bottom w:val="single" w:color="auto" w:sz="4" w:space="0"/>
              <w:right w:val="single" w:color="auto" w:sz="4" w:space="0"/>
            </w:tcBorders>
            <w:vAlign w:val="center"/>
          </w:tcPr>
          <w:p>
            <w:pPr>
              <w:adjustRightInd w:val="0"/>
              <w:spacing w:beforeLines="50" w:line="360" w:lineRule="auto"/>
              <w:jc w:val="center"/>
              <w:rPr>
                <w:rFonts w:ascii="宋体" w:hAnsi="宋体" w:cs="宋体"/>
                <w:color w:val="auto"/>
                <w:sz w:val="24"/>
              </w:rPr>
            </w:pPr>
            <w:r>
              <w:rPr>
                <w:rFonts w:hint="eastAsia" w:ascii="宋体" w:hAnsi="宋体" w:cs="宋体"/>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restart"/>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技术</w:t>
            </w:r>
          </w:p>
          <w:p>
            <w:pPr>
              <w:widowControl/>
              <w:spacing w:line="360" w:lineRule="auto"/>
              <w:jc w:val="center"/>
              <w:rPr>
                <w:rFonts w:ascii="宋体" w:hAnsi="宋体" w:cs="宋体"/>
                <w:color w:val="auto"/>
                <w:sz w:val="24"/>
              </w:rPr>
            </w:pPr>
            <w:r>
              <w:rPr>
                <w:rFonts w:hint="eastAsia" w:ascii="宋体" w:hAnsi="宋体" w:cs="宋体"/>
                <w:color w:val="auto"/>
                <w:sz w:val="24"/>
              </w:rPr>
              <w:t>（60分）</w:t>
            </w:r>
          </w:p>
        </w:tc>
        <w:tc>
          <w:tcPr>
            <w:tcW w:w="1401" w:type="dxa"/>
            <w:vMerge w:val="restart"/>
            <w:tcBorders>
              <w:left w:val="single" w:color="auto" w:sz="4" w:space="0"/>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lang w:val="zh-TW"/>
              </w:rPr>
              <w:t>总体方案设计（</w:t>
            </w:r>
            <w:r>
              <w:rPr>
                <w:rFonts w:hint="eastAsia" w:ascii="宋体" w:hAnsi="宋体" w:cs="宋体"/>
                <w:color w:val="auto"/>
                <w:sz w:val="24"/>
                <w:lang w:val="en-US" w:eastAsia="zh-CN"/>
              </w:rPr>
              <w:t>7</w:t>
            </w:r>
            <w:r>
              <w:rPr>
                <w:rFonts w:hint="eastAsia" w:ascii="宋体" w:hAnsi="宋体" w:cs="宋体"/>
                <w:color w:val="auto"/>
                <w:sz w:val="24"/>
              </w:rPr>
              <w:t>分</w:t>
            </w:r>
            <w:r>
              <w:rPr>
                <w:rFonts w:hint="eastAsia" w:ascii="宋体" w:hAnsi="宋体" w:cs="宋体"/>
                <w:color w:val="auto"/>
                <w:sz w:val="24"/>
                <w:lang w:val="zh-TW"/>
              </w:rPr>
              <w:t>）</w:t>
            </w:r>
          </w:p>
        </w:tc>
        <w:tc>
          <w:tcPr>
            <w:tcW w:w="6662" w:type="dxa"/>
            <w:gridSpan w:val="2"/>
            <w:tcBorders>
              <w:top w:val="single" w:color="auto" w:sz="4" w:space="0"/>
              <w:left w:val="single" w:color="auto" w:sz="4" w:space="0"/>
              <w:right w:val="single" w:color="auto" w:sz="4" w:space="0"/>
            </w:tcBorders>
            <w:vAlign w:val="center"/>
          </w:tcPr>
          <w:p>
            <w:pPr>
              <w:spacing w:line="276" w:lineRule="auto"/>
              <w:ind w:firstLine="480" w:firstLineChars="200"/>
              <w:jc w:val="left"/>
              <w:rPr>
                <w:rFonts w:ascii="宋体" w:hAnsi="宋体" w:cs="宋体"/>
                <w:bCs/>
                <w:color w:val="auto"/>
                <w:sz w:val="24"/>
              </w:rPr>
            </w:pPr>
            <w:r>
              <w:rPr>
                <w:rFonts w:hint="eastAsia" w:ascii="宋体" w:hAnsi="宋体" w:cs="宋体"/>
                <w:color w:val="auto"/>
                <w:sz w:val="24"/>
                <w:lang w:val="zh-TW"/>
              </w:rPr>
              <w:t>结合国家及省市级相关政策要求，以及上虞经济技术开发区实际情况，分析园区现状特点以及项目业务需求，提出针对性方案。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vMerge w:val="continue"/>
            <w:tcBorders>
              <w:left w:val="single" w:color="auto" w:sz="4" w:space="0"/>
              <w:right w:val="single" w:color="auto" w:sz="4" w:space="0"/>
            </w:tcBorders>
            <w:vAlign w:val="center"/>
          </w:tcPr>
          <w:p>
            <w:pPr>
              <w:spacing w:line="360" w:lineRule="exact"/>
              <w:jc w:val="center"/>
              <w:rPr>
                <w:rFonts w:ascii="宋体" w:hAnsi="宋体" w:cs="宋体"/>
                <w:color w:val="auto"/>
                <w:sz w:val="24"/>
                <w:lang w:val="zh-TW"/>
              </w:rPr>
            </w:pPr>
          </w:p>
        </w:tc>
        <w:tc>
          <w:tcPr>
            <w:tcW w:w="5955" w:type="dxa"/>
            <w:tcBorders>
              <w:top w:val="single" w:color="auto" w:sz="4" w:space="0"/>
              <w:left w:val="single" w:color="auto" w:sz="4" w:space="0"/>
              <w:right w:val="single" w:color="auto" w:sz="4" w:space="0"/>
            </w:tcBorders>
            <w:vAlign w:val="center"/>
          </w:tcPr>
          <w:p>
            <w:pPr>
              <w:spacing w:line="276" w:lineRule="auto"/>
              <w:ind w:firstLine="480" w:firstLineChars="200"/>
              <w:jc w:val="left"/>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lang w:val="zh-TW"/>
              </w:rPr>
              <w:t>对园区现有信息系统平台的硬件设施、网络架构、软件系统、数据接入的现状情况进行分析，根据分析报告的合理全面性</w:t>
            </w:r>
            <w:r>
              <w:rPr>
                <w:rFonts w:hint="eastAsia" w:ascii="宋体" w:hAnsi="宋体" w:cs="宋体"/>
                <w:color w:val="auto"/>
                <w:sz w:val="24"/>
              </w:rPr>
              <w:t>进行打分</w:t>
            </w:r>
            <w:r>
              <w:rPr>
                <w:rFonts w:hint="eastAsia" w:ascii="宋体" w:hAnsi="宋体" w:cs="宋体"/>
                <w:color w:val="auto"/>
                <w:sz w:val="24"/>
                <w:lang w:val="zh-TW"/>
              </w:rPr>
              <w:t>。</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lang w:eastAsia="zh-CN"/>
              </w:rPr>
            </w:pPr>
            <w:r>
              <w:rPr>
                <w:rFonts w:hint="eastAsia" w:ascii="宋体" w:hAnsi="宋体" w:cs="宋体"/>
                <w:bCs/>
                <w:color w:val="auto"/>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vMerge w:val="continue"/>
            <w:tcBorders>
              <w:left w:val="single" w:color="auto" w:sz="4" w:space="0"/>
              <w:right w:val="single" w:color="auto" w:sz="4" w:space="0"/>
            </w:tcBorders>
            <w:vAlign w:val="center"/>
          </w:tcPr>
          <w:p>
            <w:pPr>
              <w:spacing w:line="360" w:lineRule="exact"/>
              <w:jc w:val="center"/>
              <w:rPr>
                <w:rFonts w:ascii="宋体" w:hAnsi="宋体" w:cs="宋体"/>
                <w:color w:val="auto"/>
                <w:sz w:val="24"/>
                <w:lang w:val="zh-TW"/>
              </w:rPr>
            </w:pPr>
          </w:p>
        </w:tc>
        <w:tc>
          <w:tcPr>
            <w:tcW w:w="5955" w:type="dxa"/>
            <w:tcBorders>
              <w:top w:val="single" w:color="auto" w:sz="4" w:space="0"/>
              <w:left w:val="single" w:color="auto" w:sz="4" w:space="0"/>
              <w:right w:val="single" w:color="auto" w:sz="4" w:space="0"/>
            </w:tcBorders>
            <w:vAlign w:val="center"/>
          </w:tcPr>
          <w:p>
            <w:pPr>
              <w:spacing w:line="276" w:lineRule="auto"/>
              <w:ind w:firstLine="480" w:firstLineChars="200"/>
              <w:jc w:val="left"/>
              <w:rPr>
                <w:rFonts w:ascii="宋体" w:hAnsi="宋体" w:cs="宋体"/>
                <w:color w:val="auto"/>
                <w:sz w:val="24"/>
                <w:lang w:val="zh-TW"/>
              </w:rPr>
            </w:pPr>
            <w:r>
              <w:rPr>
                <w:rFonts w:hint="eastAsia" w:ascii="宋体" w:hAnsi="宋体" w:cs="宋体"/>
                <w:color w:val="auto"/>
                <w:sz w:val="24"/>
                <w:lang w:val="en-US" w:eastAsia="zh-CN"/>
              </w:rPr>
              <w:t>根据投标人对</w:t>
            </w:r>
            <w:r>
              <w:rPr>
                <w:rFonts w:hint="eastAsia" w:ascii="宋体" w:hAnsi="宋体" w:cs="宋体"/>
                <w:color w:val="auto"/>
                <w:sz w:val="24"/>
                <w:lang w:val="zh-TW"/>
              </w:rPr>
              <w:t>总体架构设计思路</w:t>
            </w:r>
            <w:r>
              <w:rPr>
                <w:rFonts w:hint="eastAsia" w:ascii="宋体" w:hAnsi="宋体" w:cs="宋体"/>
                <w:color w:val="auto"/>
                <w:sz w:val="24"/>
                <w:lang w:val="zh-TW" w:eastAsia="zh-CN"/>
              </w:rPr>
              <w:t>的</w:t>
            </w:r>
            <w:r>
              <w:rPr>
                <w:rFonts w:hint="eastAsia" w:ascii="宋体" w:hAnsi="宋体" w:cs="宋体"/>
                <w:color w:val="auto"/>
                <w:sz w:val="24"/>
                <w:lang w:val="zh-TW"/>
              </w:rPr>
              <w:t>清晰</w:t>
            </w:r>
            <w:r>
              <w:rPr>
                <w:rFonts w:hint="eastAsia" w:ascii="宋体" w:hAnsi="宋体" w:cs="宋体"/>
                <w:color w:val="auto"/>
                <w:sz w:val="24"/>
                <w:lang w:val="en-US" w:eastAsia="zh-CN"/>
              </w:rPr>
              <w:t>性</w:t>
            </w:r>
            <w:r>
              <w:rPr>
                <w:rFonts w:hint="eastAsia" w:ascii="宋体" w:hAnsi="宋体" w:cs="宋体"/>
                <w:color w:val="auto"/>
                <w:sz w:val="24"/>
                <w:lang w:val="zh-TW"/>
              </w:rPr>
              <w:t>、内容</w:t>
            </w:r>
            <w:r>
              <w:rPr>
                <w:rFonts w:hint="eastAsia" w:ascii="宋体" w:hAnsi="宋体" w:cs="宋体"/>
                <w:color w:val="auto"/>
                <w:sz w:val="24"/>
                <w:lang w:val="zh-TW" w:eastAsia="zh-CN"/>
              </w:rPr>
              <w:t>的</w:t>
            </w:r>
            <w:r>
              <w:rPr>
                <w:rFonts w:hint="eastAsia" w:ascii="宋体" w:hAnsi="宋体" w:cs="宋体"/>
                <w:color w:val="auto"/>
                <w:sz w:val="24"/>
                <w:lang w:val="zh-TW"/>
              </w:rPr>
              <w:t>全面</w:t>
            </w:r>
            <w:r>
              <w:rPr>
                <w:rFonts w:hint="eastAsia" w:ascii="宋体" w:hAnsi="宋体" w:cs="宋体"/>
                <w:color w:val="auto"/>
                <w:sz w:val="24"/>
                <w:lang w:val="en-US" w:eastAsia="zh-CN"/>
              </w:rPr>
              <w:t>性</w:t>
            </w:r>
            <w:r>
              <w:rPr>
                <w:rFonts w:hint="eastAsia" w:ascii="宋体" w:hAnsi="宋体" w:cs="宋体"/>
                <w:color w:val="auto"/>
                <w:sz w:val="24"/>
                <w:lang w:val="zh-TW"/>
              </w:rPr>
              <w:t>（包含总体架构设计、业务架构设计、信息安全设计等）</w:t>
            </w:r>
            <w:r>
              <w:rPr>
                <w:rFonts w:hint="eastAsia" w:ascii="宋体" w:hAnsi="宋体" w:cs="宋体"/>
                <w:color w:val="auto"/>
                <w:sz w:val="24"/>
                <w:lang w:val="zh-TW" w:eastAsia="zh-CN"/>
              </w:rPr>
              <w:t>、</w:t>
            </w:r>
            <w:r>
              <w:rPr>
                <w:rFonts w:hint="eastAsia" w:ascii="宋体" w:hAnsi="宋体" w:cs="宋体"/>
                <w:color w:val="auto"/>
                <w:sz w:val="24"/>
                <w:lang w:val="zh-TW"/>
              </w:rPr>
              <w:t>描述</w:t>
            </w:r>
            <w:r>
              <w:rPr>
                <w:rFonts w:hint="eastAsia" w:ascii="宋体" w:hAnsi="宋体" w:cs="宋体"/>
                <w:color w:val="auto"/>
                <w:sz w:val="24"/>
                <w:lang w:val="zh-TW" w:eastAsia="zh-CN"/>
              </w:rPr>
              <w:t>的</w:t>
            </w:r>
            <w:r>
              <w:rPr>
                <w:rFonts w:hint="eastAsia" w:ascii="宋体" w:hAnsi="宋体" w:cs="宋体"/>
                <w:color w:val="auto"/>
                <w:sz w:val="24"/>
                <w:lang w:val="zh-TW"/>
              </w:rPr>
              <w:t>完整</w:t>
            </w:r>
            <w:r>
              <w:rPr>
                <w:rFonts w:hint="eastAsia" w:ascii="宋体" w:hAnsi="宋体" w:cs="宋体"/>
                <w:color w:val="auto"/>
                <w:sz w:val="24"/>
                <w:lang w:val="en-US" w:eastAsia="zh-CN"/>
              </w:rPr>
              <w:t>性</w:t>
            </w:r>
            <w:r>
              <w:rPr>
                <w:rFonts w:hint="eastAsia" w:ascii="宋体" w:hAnsi="宋体" w:cs="宋体"/>
                <w:color w:val="auto"/>
                <w:sz w:val="24"/>
              </w:rPr>
              <w:t>进行打分。</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color w:val="auto"/>
                <w:sz w:val="24"/>
              </w:rPr>
            </w:pPr>
            <w:r>
              <w:rPr>
                <w:rFonts w:hint="eastAsia" w:ascii="宋体" w:hAnsi="宋体" w:cs="宋体"/>
                <w:bCs/>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vMerge w:val="restart"/>
            <w:tcBorders>
              <w:left w:val="single" w:color="auto" w:sz="4" w:space="0"/>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lang w:val="zh-TW"/>
              </w:rPr>
              <w:t>软件功能方案（</w:t>
            </w: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分</w:t>
            </w:r>
            <w:r>
              <w:rPr>
                <w:rFonts w:hint="eastAsia" w:ascii="宋体" w:hAnsi="宋体" w:cs="宋体"/>
                <w:color w:val="auto"/>
                <w:sz w:val="24"/>
                <w:lang w:val="zh-TW"/>
              </w:rPr>
              <w:t>）</w:t>
            </w:r>
          </w:p>
        </w:tc>
        <w:tc>
          <w:tcPr>
            <w:tcW w:w="5955" w:type="dxa"/>
            <w:tcBorders>
              <w:top w:val="single" w:color="auto" w:sz="4" w:space="0"/>
              <w:left w:val="single" w:color="auto" w:sz="4" w:space="0"/>
              <w:right w:val="single" w:color="auto" w:sz="4" w:space="0"/>
            </w:tcBorders>
            <w:vAlign w:val="center"/>
          </w:tcPr>
          <w:p>
            <w:pPr>
              <w:spacing w:line="276" w:lineRule="auto"/>
              <w:ind w:firstLine="480" w:firstLineChars="200"/>
              <w:jc w:val="left"/>
              <w:rPr>
                <w:rFonts w:ascii="宋体" w:hAnsi="宋体" w:cs="宋体"/>
                <w:color w:val="auto"/>
                <w:sz w:val="24"/>
              </w:rPr>
            </w:pPr>
            <w:r>
              <w:rPr>
                <w:rFonts w:hint="eastAsia" w:ascii="宋体" w:hAnsi="宋体" w:cs="宋体"/>
                <w:color w:val="auto"/>
                <w:sz w:val="24"/>
              </w:rPr>
              <w:t>投标人依据浙江省数字化改革要求及园区现状，</w:t>
            </w:r>
            <w:r>
              <w:rPr>
                <w:rFonts w:hint="eastAsia" w:ascii="宋体" w:hAnsi="宋体" w:cs="宋体"/>
                <w:color w:val="auto"/>
                <w:sz w:val="24"/>
                <w:lang w:val="en-US" w:eastAsia="zh-CN"/>
              </w:rPr>
              <w:t>提供</w:t>
            </w:r>
            <w:r>
              <w:rPr>
                <w:rFonts w:hint="eastAsia" w:ascii="宋体" w:hAnsi="宋体" w:cs="宋体"/>
                <w:color w:val="auto"/>
                <w:sz w:val="24"/>
              </w:rPr>
              <w:t>危化品监管“一件事”集成应用的建设方案（需提供业务流程、系统架构及系统功能设计说明）</w:t>
            </w:r>
            <w:r>
              <w:rPr>
                <w:rFonts w:hint="eastAsia" w:ascii="宋体" w:hAnsi="宋体" w:cs="宋体"/>
                <w:color w:val="auto"/>
                <w:sz w:val="24"/>
                <w:lang w:eastAsia="zh-CN"/>
              </w:rPr>
              <w:t>，</w:t>
            </w:r>
            <w:r>
              <w:rPr>
                <w:rFonts w:hint="eastAsia" w:ascii="宋体" w:hAnsi="宋体" w:cs="宋体"/>
                <w:color w:val="auto"/>
                <w:sz w:val="24"/>
                <w:lang w:val="en-US" w:eastAsia="zh-CN"/>
              </w:rPr>
              <w:t>根据方案的合理全面性打分</w:t>
            </w:r>
            <w:r>
              <w:rPr>
                <w:rFonts w:hint="eastAsia" w:ascii="宋体" w:hAnsi="宋体" w:cs="宋体"/>
                <w:color w:val="auto"/>
                <w:sz w:val="24"/>
              </w:rPr>
              <w:t>。</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vMerge w:val="continue"/>
            <w:tcBorders>
              <w:left w:val="single" w:color="auto" w:sz="4" w:space="0"/>
              <w:right w:val="single" w:color="auto" w:sz="4" w:space="0"/>
            </w:tcBorders>
            <w:vAlign w:val="center"/>
          </w:tcPr>
          <w:p>
            <w:pPr>
              <w:spacing w:line="360" w:lineRule="exact"/>
              <w:jc w:val="center"/>
              <w:rPr>
                <w:rFonts w:ascii="宋体" w:hAnsi="宋体" w:cs="宋体"/>
                <w:color w:val="auto"/>
                <w:sz w:val="24"/>
              </w:rPr>
            </w:pPr>
          </w:p>
        </w:tc>
        <w:tc>
          <w:tcPr>
            <w:tcW w:w="5955" w:type="dxa"/>
            <w:tcBorders>
              <w:top w:val="single" w:color="auto" w:sz="4" w:space="0"/>
              <w:left w:val="single" w:color="auto" w:sz="4" w:space="0"/>
              <w:right w:val="single" w:color="auto" w:sz="4" w:space="0"/>
            </w:tcBorders>
            <w:vAlign w:val="center"/>
          </w:tcPr>
          <w:p>
            <w:pPr>
              <w:spacing w:line="276" w:lineRule="auto"/>
              <w:ind w:firstLine="480" w:firstLineChars="200"/>
              <w:jc w:val="left"/>
              <w:rPr>
                <w:rFonts w:ascii="宋体" w:hAnsi="宋体" w:cs="宋体"/>
                <w:color w:val="auto"/>
                <w:sz w:val="24"/>
                <w:lang w:val="zh-TW"/>
              </w:rPr>
            </w:pPr>
            <w:r>
              <w:rPr>
                <w:rFonts w:hint="eastAsia" w:ascii="宋体" w:hAnsi="宋体" w:cs="宋体"/>
                <w:color w:val="auto"/>
                <w:sz w:val="24"/>
              </w:rPr>
              <w:t>投标人依据《“工业互联网+危化安全生产”试点建设方案》要求及园区现状，</w:t>
            </w:r>
            <w:r>
              <w:rPr>
                <w:rFonts w:hint="eastAsia" w:ascii="宋体" w:hAnsi="宋体" w:cs="宋体"/>
                <w:color w:val="auto"/>
                <w:sz w:val="24"/>
                <w:lang w:val="en-US" w:eastAsia="zh-CN"/>
              </w:rPr>
              <w:t>提供</w:t>
            </w:r>
            <w:r>
              <w:rPr>
                <w:rFonts w:hint="eastAsia" w:ascii="宋体" w:hAnsi="宋体" w:cs="宋体"/>
                <w:color w:val="auto"/>
                <w:sz w:val="24"/>
              </w:rPr>
              <w:t>“工业互联网+危化安全生产”园区应用场景的建设方案（需提供业务流程、系统架构及系统功能设计说明），</w:t>
            </w:r>
            <w:r>
              <w:rPr>
                <w:rFonts w:hint="eastAsia" w:ascii="宋体" w:hAnsi="宋体" w:cs="宋体"/>
                <w:color w:val="auto"/>
                <w:sz w:val="24"/>
                <w:lang w:val="en-US" w:eastAsia="zh-CN"/>
              </w:rPr>
              <w:t>根据方案的合理全面性打分</w:t>
            </w:r>
            <w:r>
              <w:rPr>
                <w:rFonts w:hint="eastAsia" w:ascii="宋体" w:hAnsi="宋体" w:cs="宋体"/>
                <w:color w:val="auto"/>
                <w:sz w:val="24"/>
              </w:rPr>
              <w:t>。</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vMerge w:val="continue"/>
            <w:tcBorders>
              <w:left w:val="single" w:color="auto" w:sz="4" w:space="0"/>
              <w:right w:val="single" w:color="auto" w:sz="4" w:space="0"/>
            </w:tcBorders>
            <w:vAlign w:val="center"/>
          </w:tcPr>
          <w:p>
            <w:pPr>
              <w:spacing w:line="360" w:lineRule="exact"/>
              <w:jc w:val="center"/>
              <w:rPr>
                <w:rFonts w:ascii="宋体" w:hAnsi="宋体" w:cs="宋体"/>
                <w:color w:val="auto"/>
                <w:sz w:val="24"/>
              </w:rPr>
            </w:pPr>
          </w:p>
        </w:tc>
        <w:tc>
          <w:tcPr>
            <w:tcW w:w="5955" w:type="dxa"/>
            <w:tcBorders>
              <w:top w:val="single" w:color="auto" w:sz="4" w:space="0"/>
              <w:left w:val="single" w:color="auto" w:sz="4" w:space="0"/>
              <w:right w:val="single" w:color="auto" w:sz="4" w:space="0"/>
            </w:tcBorders>
            <w:vAlign w:val="center"/>
          </w:tcPr>
          <w:p>
            <w:pPr>
              <w:spacing w:line="276" w:lineRule="auto"/>
              <w:ind w:firstLine="480" w:firstLineChars="200"/>
              <w:jc w:val="left"/>
              <w:rPr>
                <w:rFonts w:ascii="宋体" w:hAnsi="宋体" w:cs="宋体"/>
                <w:color w:val="auto"/>
                <w:sz w:val="24"/>
                <w:lang w:val="zh-TW"/>
              </w:rPr>
            </w:pPr>
            <w:r>
              <w:rPr>
                <w:rFonts w:hint="eastAsia" w:ascii="宋体" w:hAnsi="宋体" w:cs="宋体"/>
                <w:color w:val="auto"/>
                <w:sz w:val="24"/>
              </w:rPr>
              <w:t>投标人结合园区信息化平台现状</w:t>
            </w:r>
            <w:r>
              <w:rPr>
                <w:rFonts w:hint="eastAsia" w:ascii="宋体" w:hAnsi="宋体" w:cs="宋体"/>
                <w:color w:val="auto"/>
                <w:sz w:val="24"/>
                <w:lang w:eastAsia="zh-CN"/>
              </w:rPr>
              <w:t>，</w:t>
            </w:r>
            <w:r>
              <w:rPr>
                <w:rFonts w:hint="eastAsia" w:ascii="宋体" w:hAnsi="宋体" w:cs="宋体"/>
                <w:color w:val="auto"/>
                <w:sz w:val="24"/>
                <w:lang w:val="en-US" w:eastAsia="zh-CN"/>
              </w:rPr>
              <w:t>提供</w:t>
            </w:r>
            <w:r>
              <w:rPr>
                <w:rFonts w:hint="eastAsia" w:ascii="宋体" w:hAnsi="宋体" w:cs="宋体"/>
                <w:color w:val="auto"/>
                <w:sz w:val="24"/>
              </w:rPr>
              <w:t>智慧园区监管平台升级应用场景（包括运维运营系统提升、环保监测系统升级、能源管理系统升级）</w:t>
            </w:r>
            <w:r>
              <w:rPr>
                <w:rFonts w:hint="eastAsia" w:ascii="宋体" w:hAnsi="宋体" w:cs="宋体"/>
                <w:color w:val="auto"/>
                <w:sz w:val="24"/>
                <w:lang w:val="en-US" w:eastAsia="zh-CN"/>
              </w:rPr>
              <w:t>方案</w:t>
            </w:r>
            <w:r>
              <w:rPr>
                <w:rFonts w:hint="eastAsia" w:ascii="宋体" w:hAnsi="宋体" w:cs="宋体"/>
                <w:color w:val="auto"/>
                <w:sz w:val="24"/>
              </w:rPr>
              <w:t>（需提供业务流程、系统架构及系统功能设计说明），</w:t>
            </w:r>
            <w:r>
              <w:rPr>
                <w:rFonts w:hint="eastAsia" w:ascii="宋体" w:hAnsi="宋体" w:cs="宋体"/>
                <w:color w:val="auto"/>
                <w:sz w:val="24"/>
                <w:lang w:val="en-US" w:eastAsia="zh-CN"/>
              </w:rPr>
              <w:t>根据方案的合理全面性打分</w:t>
            </w:r>
            <w:r>
              <w:rPr>
                <w:rFonts w:hint="eastAsia" w:ascii="宋体" w:hAnsi="宋体" w:cs="宋体"/>
                <w:color w:val="auto"/>
                <w:sz w:val="24"/>
              </w:rPr>
              <w:t>。</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vMerge w:val="continue"/>
            <w:tcBorders>
              <w:left w:val="single" w:color="auto" w:sz="4" w:space="0"/>
              <w:right w:val="single" w:color="auto" w:sz="4" w:space="0"/>
            </w:tcBorders>
            <w:vAlign w:val="center"/>
          </w:tcPr>
          <w:p>
            <w:pPr>
              <w:spacing w:line="360" w:lineRule="exact"/>
              <w:jc w:val="center"/>
              <w:rPr>
                <w:rFonts w:ascii="宋体" w:hAnsi="宋体" w:cs="宋体"/>
                <w:color w:val="auto"/>
                <w:sz w:val="24"/>
              </w:rPr>
            </w:pPr>
          </w:p>
        </w:tc>
        <w:tc>
          <w:tcPr>
            <w:tcW w:w="5955" w:type="dxa"/>
            <w:tcBorders>
              <w:top w:val="single" w:color="auto" w:sz="4" w:space="0"/>
              <w:left w:val="single" w:color="auto" w:sz="4" w:space="0"/>
              <w:right w:val="single" w:color="auto" w:sz="4" w:space="0"/>
            </w:tcBorders>
            <w:vAlign w:val="center"/>
          </w:tcPr>
          <w:p>
            <w:pPr>
              <w:spacing w:line="276" w:lineRule="auto"/>
              <w:ind w:firstLine="480" w:firstLineChars="200"/>
              <w:jc w:val="left"/>
              <w:rPr>
                <w:rFonts w:ascii="宋体" w:hAnsi="宋体" w:cs="宋体"/>
                <w:color w:val="auto"/>
                <w:sz w:val="24"/>
                <w:lang w:val="zh-TW"/>
              </w:rPr>
            </w:pPr>
            <w:r>
              <w:rPr>
                <w:rFonts w:hint="eastAsia" w:ascii="宋体" w:hAnsi="宋体" w:cs="宋体"/>
                <w:color w:val="auto"/>
                <w:sz w:val="24"/>
                <w:lang w:val="zh-TW"/>
              </w:rPr>
              <w:t>根据投标人</w:t>
            </w:r>
            <w:r>
              <w:rPr>
                <w:rFonts w:hint="eastAsia" w:ascii="宋体" w:hAnsi="宋体" w:cs="宋体"/>
                <w:color w:val="auto"/>
                <w:sz w:val="24"/>
                <w:lang w:val="en-US" w:eastAsia="zh-CN"/>
              </w:rPr>
              <w:t>提供的</w:t>
            </w:r>
            <w:r>
              <w:rPr>
                <w:rFonts w:hint="eastAsia" w:ascii="宋体" w:hAnsi="宋体" w:cs="宋体"/>
                <w:color w:val="auto"/>
                <w:sz w:val="24"/>
                <w:lang w:val="zh-TW"/>
              </w:rPr>
              <w:t>企业应用场景的建设方案</w:t>
            </w:r>
            <w:r>
              <w:rPr>
                <w:rFonts w:hint="eastAsia" w:ascii="宋体" w:hAnsi="宋体" w:cs="宋体"/>
                <w:color w:val="auto"/>
                <w:sz w:val="24"/>
                <w:lang w:eastAsia="zh-CN"/>
              </w:rPr>
              <w:t>（</w:t>
            </w:r>
            <w:r>
              <w:rPr>
                <w:rFonts w:hint="eastAsia" w:ascii="宋体" w:hAnsi="宋体" w:cs="宋体"/>
                <w:color w:val="auto"/>
                <w:sz w:val="24"/>
                <w:lang w:val="en-US" w:eastAsia="zh-CN"/>
              </w:rPr>
              <w:t>需提供</w:t>
            </w:r>
            <w:r>
              <w:rPr>
                <w:rFonts w:hint="eastAsia" w:ascii="宋体" w:hAnsi="宋体" w:cs="宋体"/>
                <w:color w:val="auto"/>
                <w:sz w:val="24"/>
              </w:rPr>
              <w:t>业务流程、系统架构及关键技术设计说明</w:t>
            </w:r>
            <w:r>
              <w:rPr>
                <w:rFonts w:hint="eastAsia" w:ascii="宋体" w:hAnsi="宋体" w:cs="宋体"/>
                <w:color w:val="auto"/>
                <w:sz w:val="24"/>
                <w:lang w:eastAsia="zh-CN"/>
              </w:rPr>
              <w:t>）</w:t>
            </w:r>
            <w:r>
              <w:rPr>
                <w:rFonts w:hint="eastAsia" w:ascii="宋体" w:hAnsi="宋体" w:cs="宋体"/>
                <w:color w:val="auto"/>
                <w:sz w:val="24"/>
                <w:lang w:val="zh-TW"/>
              </w:rPr>
              <w:t>进行打分</w:t>
            </w:r>
            <w:r>
              <w:rPr>
                <w:rFonts w:hint="eastAsia" w:ascii="宋体" w:hAnsi="宋体" w:cs="宋体"/>
                <w:color w:val="auto"/>
                <w:sz w:val="24"/>
              </w:rPr>
              <w:t>，</w:t>
            </w:r>
            <w:r>
              <w:rPr>
                <w:rFonts w:hint="eastAsia" w:ascii="宋体" w:hAnsi="宋体" w:cs="宋体"/>
                <w:color w:val="auto"/>
                <w:sz w:val="24"/>
                <w:lang w:val="en-US" w:eastAsia="zh-CN"/>
              </w:rPr>
              <w:t>根据方案的合理全面性打分</w:t>
            </w:r>
            <w:r>
              <w:rPr>
                <w:rFonts w:hint="eastAsia" w:ascii="宋体" w:hAnsi="宋体" w:cs="宋体"/>
                <w:color w:val="auto"/>
                <w:sz w:val="24"/>
              </w:rPr>
              <w:t>。</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vMerge w:val="continue"/>
            <w:tcBorders>
              <w:left w:val="single" w:color="auto" w:sz="4" w:space="0"/>
              <w:right w:val="single" w:color="auto" w:sz="4" w:space="0"/>
            </w:tcBorders>
            <w:vAlign w:val="center"/>
          </w:tcPr>
          <w:p>
            <w:pPr>
              <w:spacing w:line="360" w:lineRule="exact"/>
              <w:jc w:val="center"/>
              <w:rPr>
                <w:rFonts w:ascii="宋体" w:hAnsi="宋体" w:cs="宋体"/>
                <w:color w:val="auto"/>
                <w:sz w:val="24"/>
              </w:rPr>
            </w:pPr>
          </w:p>
        </w:tc>
        <w:tc>
          <w:tcPr>
            <w:tcW w:w="5955" w:type="dxa"/>
            <w:tcBorders>
              <w:top w:val="single" w:color="auto" w:sz="4" w:space="0"/>
              <w:left w:val="single" w:color="auto" w:sz="4" w:space="0"/>
              <w:right w:val="single" w:color="auto" w:sz="4" w:space="0"/>
            </w:tcBorders>
            <w:vAlign w:val="center"/>
          </w:tcPr>
          <w:p>
            <w:pPr>
              <w:spacing w:line="276" w:lineRule="auto"/>
              <w:ind w:firstLine="480" w:firstLineChars="200"/>
              <w:jc w:val="left"/>
              <w:rPr>
                <w:color w:val="auto"/>
              </w:rPr>
            </w:pPr>
            <w:r>
              <w:rPr>
                <w:rFonts w:hint="eastAsia" w:ascii="宋体" w:hAnsi="宋体" w:cs="宋体"/>
                <w:color w:val="auto"/>
                <w:sz w:val="24"/>
              </w:rPr>
              <w:t>投标人对园区企业安全风险现状充分调研，明确诊断分析思路，提供符合园区实际情况、切实可行的</w:t>
            </w:r>
            <w:r>
              <w:rPr>
                <w:rFonts w:hint="eastAsia" w:ascii="宋体" w:hAnsi="宋体" w:cs="宋体"/>
                <w:color w:val="auto"/>
                <w:sz w:val="24"/>
                <w:lang w:val="zh-TW"/>
              </w:rPr>
              <w:t>企业安全风险诊断分析的</w:t>
            </w:r>
            <w:r>
              <w:rPr>
                <w:rFonts w:hint="eastAsia" w:ascii="宋体" w:hAnsi="宋体" w:cs="宋体"/>
                <w:color w:val="auto"/>
                <w:sz w:val="24"/>
              </w:rPr>
              <w:t>建设方案</w:t>
            </w:r>
            <w:r>
              <w:rPr>
                <w:rFonts w:hint="eastAsia" w:ascii="宋体" w:hAnsi="宋体" w:cs="宋体"/>
                <w:color w:val="auto"/>
                <w:sz w:val="24"/>
                <w:lang w:eastAsia="zh-CN"/>
              </w:rPr>
              <w:t>，</w:t>
            </w:r>
            <w:r>
              <w:rPr>
                <w:rFonts w:hint="eastAsia" w:ascii="宋体" w:hAnsi="宋体" w:cs="宋体"/>
                <w:color w:val="auto"/>
                <w:sz w:val="24"/>
                <w:lang w:val="en-US" w:eastAsia="zh-CN"/>
              </w:rPr>
              <w:t>根据方案的合理全面性打分</w:t>
            </w:r>
            <w:r>
              <w:rPr>
                <w:rFonts w:hint="eastAsia" w:ascii="宋体" w:hAnsi="宋体" w:cs="宋体"/>
                <w:color w:val="auto"/>
                <w:sz w:val="24"/>
              </w:rPr>
              <w:t>。</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vMerge w:val="continue"/>
            <w:tcBorders>
              <w:left w:val="single" w:color="auto" w:sz="4" w:space="0"/>
              <w:right w:val="single" w:color="auto" w:sz="4" w:space="0"/>
            </w:tcBorders>
            <w:vAlign w:val="center"/>
          </w:tcPr>
          <w:p>
            <w:pPr>
              <w:spacing w:line="360" w:lineRule="exact"/>
              <w:jc w:val="center"/>
              <w:rPr>
                <w:rFonts w:ascii="宋体" w:hAnsi="宋体" w:cs="宋体"/>
                <w:color w:val="auto"/>
                <w:sz w:val="24"/>
              </w:rPr>
            </w:pPr>
          </w:p>
        </w:tc>
        <w:tc>
          <w:tcPr>
            <w:tcW w:w="5955" w:type="dxa"/>
            <w:tcBorders>
              <w:top w:val="single" w:color="auto" w:sz="4" w:space="0"/>
              <w:left w:val="single" w:color="auto" w:sz="4" w:space="0"/>
              <w:right w:val="single" w:color="auto" w:sz="4" w:space="0"/>
            </w:tcBorders>
            <w:vAlign w:val="center"/>
          </w:tcPr>
          <w:p>
            <w:pPr>
              <w:spacing w:line="276" w:lineRule="auto"/>
              <w:ind w:firstLine="480" w:firstLineChars="200"/>
              <w:jc w:val="left"/>
              <w:rPr>
                <w:rFonts w:ascii="宋体" w:hAnsi="宋体" w:cs="宋体"/>
                <w:color w:val="auto"/>
                <w:sz w:val="24"/>
                <w:lang w:val="zh-TW"/>
              </w:rPr>
            </w:pPr>
            <w:r>
              <w:rPr>
                <w:rFonts w:hint="eastAsia" w:ascii="宋体" w:hAnsi="宋体" w:cs="宋体"/>
                <w:color w:val="auto"/>
                <w:sz w:val="24"/>
              </w:rPr>
              <w:t>根据投标人</w:t>
            </w:r>
            <w:r>
              <w:rPr>
                <w:rFonts w:hint="eastAsia" w:ascii="宋体" w:hAnsi="宋体" w:cs="宋体"/>
                <w:color w:val="auto"/>
                <w:sz w:val="24"/>
                <w:lang w:val="en-US" w:eastAsia="zh-CN"/>
              </w:rPr>
              <w:t>提供的</w:t>
            </w:r>
            <w:r>
              <w:rPr>
                <w:rFonts w:hint="eastAsia" w:ascii="宋体" w:hAnsi="宋体" w:cs="宋体"/>
                <w:color w:val="auto"/>
                <w:sz w:val="24"/>
              </w:rPr>
              <w:t>工业互联网平台的建设方案</w:t>
            </w:r>
            <w:r>
              <w:rPr>
                <w:rFonts w:hint="eastAsia" w:ascii="宋体" w:hAnsi="宋体" w:cs="宋体"/>
                <w:color w:val="auto"/>
                <w:sz w:val="24"/>
                <w:lang w:val="en-US" w:eastAsia="zh-CN"/>
              </w:rPr>
              <w:t>设计</w:t>
            </w:r>
            <w:r>
              <w:rPr>
                <w:rFonts w:hint="eastAsia" w:ascii="宋体" w:hAnsi="宋体" w:cs="宋体"/>
                <w:color w:val="auto"/>
                <w:sz w:val="24"/>
                <w:lang w:eastAsia="zh-CN"/>
              </w:rPr>
              <w:t>（</w:t>
            </w:r>
            <w:r>
              <w:rPr>
                <w:rFonts w:hint="eastAsia" w:ascii="宋体" w:hAnsi="宋体" w:cs="宋体"/>
                <w:color w:val="auto"/>
                <w:sz w:val="24"/>
                <w:lang w:val="en-US" w:eastAsia="zh-CN"/>
              </w:rPr>
              <w:t>包括</w:t>
            </w:r>
            <w:r>
              <w:rPr>
                <w:rFonts w:hint="eastAsia" w:ascii="宋体" w:hAnsi="宋体" w:cs="宋体"/>
                <w:color w:val="auto"/>
                <w:sz w:val="24"/>
              </w:rPr>
              <w:t>智能化能力组件、哨兵系统云边计算平台、三维地理信息服务</w:t>
            </w:r>
            <w:r>
              <w:rPr>
                <w:rFonts w:hint="eastAsia" w:ascii="宋体" w:hAnsi="宋体" w:cs="宋体"/>
                <w:color w:val="auto"/>
                <w:sz w:val="24"/>
                <w:lang w:eastAsia="zh-CN"/>
              </w:rPr>
              <w:t>）的</w:t>
            </w:r>
            <w:r>
              <w:rPr>
                <w:rFonts w:hint="eastAsia" w:ascii="宋体" w:hAnsi="宋体" w:cs="宋体"/>
                <w:color w:val="auto"/>
                <w:sz w:val="24"/>
                <w:lang w:val="en-US" w:eastAsia="zh-CN"/>
              </w:rPr>
              <w:t>合理全面性</w:t>
            </w:r>
            <w:r>
              <w:rPr>
                <w:rFonts w:hint="eastAsia" w:ascii="宋体" w:hAnsi="宋体" w:cs="宋体"/>
                <w:color w:val="auto"/>
                <w:sz w:val="24"/>
              </w:rPr>
              <w:t>进行打分。</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vMerge w:val="restart"/>
            <w:tcBorders>
              <w:left w:val="single" w:color="auto" w:sz="4" w:space="0"/>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lang w:val="zh-TW"/>
              </w:rPr>
              <w:t>硬件配置方案（</w:t>
            </w:r>
            <w:r>
              <w:rPr>
                <w:rFonts w:hint="eastAsia" w:ascii="宋体" w:hAnsi="宋体" w:cs="宋体"/>
                <w:color w:val="auto"/>
                <w:sz w:val="24"/>
                <w:lang w:val="en-US" w:eastAsia="zh-CN"/>
              </w:rPr>
              <w:t>10</w:t>
            </w:r>
            <w:r>
              <w:rPr>
                <w:rFonts w:hint="eastAsia" w:ascii="宋体" w:hAnsi="宋体" w:cs="宋体"/>
                <w:color w:val="auto"/>
                <w:sz w:val="24"/>
              </w:rPr>
              <w:t>分</w:t>
            </w:r>
            <w:r>
              <w:rPr>
                <w:rFonts w:hint="eastAsia" w:ascii="宋体" w:hAnsi="宋体" w:cs="宋体"/>
                <w:color w:val="auto"/>
                <w:sz w:val="24"/>
                <w:lang w:val="zh-TW"/>
              </w:rPr>
              <w:t>）</w:t>
            </w:r>
          </w:p>
        </w:tc>
        <w:tc>
          <w:tcPr>
            <w:tcW w:w="5955" w:type="dxa"/>
            <w:tcBorders>
              <w:top w:val="single" w:color="auto" w:sz="4" w:space="0"/>
              <w:left w:val="single" w:color="auto" w:sz="4" w:space="0"/>
              <w:right w:val="single" w:color="auto" w:sz="4" w:space="0"/>
            </w:tcBorders>
            <w:vAlign w:val="center"/>
          </w:tcPr>
          <w:p>
            <w:pPr>
              <w:spacing w:line="276" w:lineRule="auto"/>
              <w:ind w:firstLine="480" w:firstLineChars="200"/>
              <w:jc w:val="left"/>
              <w:rPr>
                <w:rFonts w:hint="default" w:ascii="宋体" w:hAnsi="宋体" w:eastAsia="宋体" w:cs="宋体"/>
                <w:color w:val="auto"/>
                <w:sz w:val="24"/>
                <w:lang w:val="en-US" w:eastAsia="zh-CN"/>
              </w:rPr>
            </w:pPr>
            <w:r>
              <w:rPr>
                <w:rFonts w:hint="eastAsia" w:ascii="宋体" w:hAnsi="宋体" w:cs="宋体"/>
                <w:color w:val="auto"/>
                <w:sz w:val="24"/>
              </w:rPr>
              <w:t>投标人提供的</w:t>
            </w:r>
            <w:r>
              <w:rPr>
                <w:rFonts w:hint="eastAsia" w:ascii="宋体" w:hAnsi="宋体" w:cs="宋体"/>
                <w:color w:val="auto"/>
                <w:sz w:val="24"/>
                <w:lang w:val="zh-TW"/>
              </w:rPr>
              <w:t>基础硬件产品配置参数对应《硬件设施功能参数表》逐条响应，</w:t>
            </w:r>
            <w:r>
              <w:rPr>
                <w:rFonts w:hint="eastAsia" w:ascii="宋体" w:hAnsi="宋体" w:cs="宋体"/>
                <w:color w:val="auto"/>
                <w:sz w:val="24"/>
              </w:rPr>
              <w:t>评委根据其参数与</w:t>
            </w:r>
            <w:r>
              <w:rPr>
                <w:rFonts w:hint="eastAsia" w:ascii="宋体" w:hAnsi="宋体" w:cs="宋体"/>
                <w:color w:val="auto"/>
                <w:sz w:val="24"/>
                <w:lang w:val="zh-TW"/>
              </w:rPr>
              <w:t>项目需求的</w:t>
            </w:r>
            <w:r>
              <w:rPr>
                <w:rFonts w:hint="eastAsia" w:ascii="宋体" w:hAnsi="宋体" w:cs="宋体"/>
                <w:color w:val="auto"/>
                <w:sz w:val="24"/>
              </w:rPr>
              <w:t>满足情况进行打分</w:t>
            </w:r>
            <w:r>
              <w:rPr>
                <w:rFonts w:hint="eastAsia" w:ascii="宋体" w:hAnsi="宋体" w:cs="宋体"/>
                <w:color w:val="auto"/>
                <w:sz w:val="24"/>
                <w:lang w:val="zh-TW"/>
              </w:rPr>
              <w:t>。</w:t>
            </w:r>
            <w:r>
              <w:rPr>
                <w:rFonts w:hint="eastAsia" w:ascii="宋体" w:hAnsi="宋体" w:cs="宋体"/>
                <w:color w:val="auto"/>
                <w:sz w:val="24"/>
                <w:lang w:val="en-US" w:eastAsia="zh-CN"/>
              </w:rPr>
              <w:t>定制类产品需提供响应承诺函，其他产品需提供技术参数证明材料（如官网截图、产品彩页、技术说明等）</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lang w:eastAsia="zh-CN"/>
              </w:rPr>
            </w:pPr>
            <w:r>
              <w:rPr>
                <w:rFonts w:hint="eastAsia" w:ascii="宋体" w:hAnsi="宋体" w:cs="宋体"/>
                <w:bCs/>
                <w:color w:val="auto"/>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vMerge w:val="continue"/>
            <w:tcBorders>
              <w:left w:val="single" w:color="auto" w:sz="4" w:space="0"/>
              <w:right w:val="single" w:color="auto" w:sz="4" w:space="0"/>
            </w:tcBorders>
            <w:vAlign w:val="center"/>
          </w:tcPr>
          <w:p>
            <w:pPr>
              <w:spacing w:line="360" w:lineRule="exact"/>
              <w:jc w:val="center"/>
              <w:rPr>
                <w:rFonts w:hint="eastAsia" w:ascii="宋体" w:hAnsi="宋体" w:cs="宋体"/>
                <w:color w:val="auto"/>
                <w:sz w:val="24"/>
                <w:lang w:val="zh-TW"/>
              </w:rPr>
            </w:pPr>
          </w:p>
        </w:tc>
        <w:tc>
          <w:tcPr>
            <w:tcW w:w="5955" w:type="dxa"/>
            <w:tcBorders>
              <w:top w:val="single" w:color="auto" w:sz="4" w:space="0"/>
              <w:left w:val="single" w:color="auto" w:sz="4" w:space="0"/>
              <w:right w:val="single" w:color="auto" w:sz="4" w:space="0"/>
            </w:tcBorders>
            <w:vAlign w:val="center"/>
          </w:tcPr>
          <w:p>
            <w:pPr>
              <w:spacing w:line="276" w:lineRule="auto"/>
              <w:ind w:firstLine="480" w:firstLineChars="200"/>
              <w:jc w:val="left"/>
              <w:rPr>
                <w:rFonts w:hint="eastAsia" w:ascii="宋体" w:hAnsi="宋体" w:cs="宋体"/>
                <w:color w:val="auto"/>
                <w:sz w:val="24"/>
              </w:rPr>
            </w:pPr>
            <w:r>
              <w:rPr>
                <w:rFonts w:hint="eastAsia" w:ascii="宋体" w:hAnsi="宋体" w:cs="宋体"/>
                <w:color w:val="auto"/>
                <w:sz w:val="24"/>
                <w:lang w:val="zh-TW"/>
              </w:rPr>
              <w:t>投标人结合园区户外监测设备现状，</w:t>
            </w:r>
            <w:r>
              <w:rPr>
                <w:rFonts w:hint="eastAsia" w:ascii="宋体" w:hAnsi="宋体" w:cs="宋体"/>
                <w:color w:val="auto"/>
                <w:sz w:val="24"/>
              </w:rPr>
              <w:t>提供高空瞭望、全景摄像头、大范围速扫</w:t>
            </w:r>
            <w:r>
              <w:rPr>
                <w:rFonts w:hint="eastAsia" w:ascii="宋体" w:hAnsi="宋体" w:cs="宋体"/>
                <w:color w:val="auto"/>
                <w:sz w:val="24"/>
                <w:lang w:val="zh-TW"/>
              </w:rPr>
              <w:t>硬件设备的配置</w:t>
            </w:r>
            <w:r>
              <w:rPr>
                <w:rFonts w:hint="eastAsia" w:ascii="宋体" w:hAnsi="宋体" w:cs="宋体"/>
                <w:color w:val="auto"/>
                <w:sz w:val="24"/>
              </w:rPr>
              <w:t>方案（包括</w:t>
            </w:r>
            <w:r>
              <w:rPr>
                <w:rFonts w:hint="eastAsia" w:ascii="宋体" w:hAnsi="宋体" w:cs="宋体"/>
                <w:color w:val="auto"/>
                <w:sz w:val="24"/>
                <w:lang w:val="zh-TW"/>
              </w:rPr>
              <w:t>设备配置、规划、布点图纸</w:t>
            </w:r>
            <w:r>
              <w:rPr>
                <w:rFonts w:hint="eastAsia" w:ascii="宋体" w:hAnsi="宋体" w:cs="宋体"/>
                <w:color w:val="auto"/>
                <w:sz w:val="24"/>
              </w:rPr>
              <w:t>），</w:t>
            </w:r>
            <w:r>
              <w:rPr>
                <w:rFonts w:hint="eastAsia" w:ascii="宋体" w:hAnsi="宋体" w:cs="宋体"/>
                <w:color w:val="auto"/>
                <w:sz w:val="24"/>
                <w:lang w:val="en-US" w:eastAsia="zh-CN"/>
              </w:rPr>
              <w:t>布点图纸的设计结合原有设备，突出布点的准确性和科学性，</w:t>
            </w:r>
            <w:r>
              <w:rPr>
                <w:rFonts w:hint="eastAsia" w:ascii="宋体" w:hAnsi="宋体" w:cs="宋体"/>
                <w:color w:val="auto"/>
                <w:sz w:val="24"/>
              </w:rPr>
              <w:t>根据</w:t>
            </w:r>
            <w:r>
              <w:rPr>
                <w:rFonts w:hint="eastAsia" w:ascii="宋体" w:hAnsi="宋体" w:cs="宋体"/>
                <w:color w:val="auto"/>
                <w:sz w:val="24"/>
                <w:lang w:val="zh-TW"/>
              </w:rPr>
              <w:t>方案的合理全面</w:t>
            </w:r>
            <w:r>
              <w:rPr>
                <w:rFonts w:hint="eastAsia" w:ascii="宋体" w:hAnsi="宋体" w:cs="宋体"/>
                <w:color w:val="auto"/>
                <w:sz w:val="24"/>
              </w:rPr>
              <w:t>性进行打分</w:t>
            </w:r>
            <w:r>
              <w:rPr>
                <w:rFonts w:hint="eastAsia" w:ascii="宋体" w:hAnsi="宋体" w:cs="宋体"/>
                <w:color w:val="auto"/>
                <w:sz w:val="24"/>
                <w:lang w:val="zh-TW"/>
              </w:rPr>
              <w:t>。</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hint="default" w:ascii="宋体" w:hAnsi="宋体" w:cs="宋体"/>
                <w:bCs/>
                <w:color w:val="auto"/>
                <w:sz w:val="24"/>
                <w:lang w:val="en-US" w:eastAsia="zh-CN"/>
              </w:rPr>
            </w:pPr>
            <w:r>
              <w:rPr>
                <w:rFonts w:hint="eastAsia" w:ascii="宋体" w:hAnsi="宋体" w:cs="宋体"/>
                <w:bCs/>
                <w:color w:val="auto"/>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vMerge w:val="continue"/>
            <w:tcBorders>
              <w:left w:val="single" w:color="auto" w:sz="4" w:space="0"/>
              <w:right w:val="single" w:color="auto" w:sz="4" w:space="0"/>
            </w:tcBorders>
            <w:vAlign w:val="center"/>
          </w:tcPr>
          <w:p>
            <w:pPr>
              <w:spacing w:line="360" w:lineRule="exact"/>
              <w:jc w:val="center"/>
              <w:rPr>
                <w:rFonts w:ascii="宋体" w:hAnsi="宋体" w:cs="宋体"/>
                <w:color w:val="auto"/>
                <w:sz w:val="24"/>
              </w:rPr>
            </w:pPr>
          </w:p>
        </w:tc>
        <w:tc>
          <w:tcPr>
            <w:tcW w:w="5955" w:type="dxa"/>
            <w:tcBorders>
              <w:top w:val="single" w:color="auto" w:sz="4" w:space="0"/>
              <w:left w:val="single" w:color="auto" w:sz="4" w:space="0"/>
              <w:right w:val="single" w:color="auto" w:sz="4" w:space="0"/>
            </w:tcBorders>
            <w:vAlign w:val="center"/>
          </w:tcPr>
          <w:p>
            <w:pPr>
              <w:spacing w:line="276" w:lineRule="auto"/>
              <w:ind w:firstLine="480" w:firstLineChars="200"/>
              <w:jc w:val="left"/>
              <w:rPr>
                <w:rFonts w:ascii="宋体" w:hAnsi="宋体" w:cs="宋体"/>
                <w:color w:val="auto"/>
                <w:sz w:val="24"/>
                <w:lang w:val="zh-TW"/>
              </w:rPr>
            </w:pPr>
            <w:r>
              <w:rPr>
                <w:rFonts w:hint="eastAsia" w:ascii="宋体" w:hAnsi="宋体" w:cs="宋体"/>
                <w:color w:val="auto"/>
                <w:sz w:val="24"/>
                <w:lang w:val="zh-TW"/>
              </w:rPr>
              <w:t>投标人结合园区机房和网络现状，提供整体网络物理拓扑设计图、数据机房和容灾机房设备部署设计图，根据设计图的合理全面性进行打分。</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Cs/>
                <w:color w:val="auto"/>
                <w:sz w:val="24"/>
              </w:rPr>
            </w:pPr>
            <w:r>
              <w:rPr>
                <w:rFonts w:hint="eastAsia" w:ascii="宋体" w:hAnsi="宋体" w:cs="宋体"/>
                <w:bCs/>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vMerge w:val="restart"/>
            <w:tcBorders>
              <w:left w:val="single" w:color="auto" w:sz="4" w:space="0"/>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rPr>
              <w:t>系统演示（20分）</w:t>
            </w:r>
          </w:p>
        </w:tc>
        <w:tc>
          <w:tcPr>
            <w:tcW w:w="6662" w:type="dxa"/>
            <w:gridSpan w:val="2"/>
            <w:tcBorders>
              <w:top w:val="single" w:color="auto" w:sz="4" w:space="0"/>
              <w:left w:val="single" w:color="auto" w:sz="4" w:space="0"/>
              <w:right w:val="single" w:color="auto" w:sz="4" w:space="0"/>
            </w:tcBorders>
            <w:vAlign w:val="center"/>
          </w:tcPr>
          <w:p>
            <w:pPr>
              <w:spacing w:line="276" w:lineRule="auto"/>
              <w:ind w:firstLine="482" w:firstLineChars="200"/>
              <w:jc w:val="left"/>
              <w:rPr>
                <w:rFonts w:ascii="宋体" w:hAnsi="宋体" w:cs="宋体"/>
                <w:color w:val="auto"/>
                <w:sz w:val="24"/>
              </w:rPr>
            </w:pPr>
            <w:r>
              <w:rPr>
                <w:rFonts w:hint="eastAsia" w:ascii="宋体" w:hAnsi="宋体" w:cs="宋体"/>
                <w:b/>
                <w:bCs/>
                <w:color w:val="auto"/>
                <w:sz w:val="24"/>
              </w:rPr>
              <w:t>投标人需采用视频演讲方式进行演示，演示时间不超过15分钟，最高20分，没有演示不得分。演示内容须做视频放入U盘中，U盘作为商务技术文件组成部分，演示U盘内容包封、递交方式详见投标须知前附表。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vMerge w:val="continue"/>
            <w:tcBorders>
              <w:left w:val="single" w:color="auto" w:sz="4" w:space="0"/>
              <w:right w:val="single" w:color="auto" w:sz="4" w:space="0"/>
            </w:tcBorders>
            <w:vAlign w:val="center"/>
          </w:tcPr>
          <w:p>
            <w:pPr>
              <w:spacing w:line="360" w:lineRule="exact"/>
              <w:jc w:val="center"/>
              <w:rPr>
                <w:rFonts w:ascii="宋体" w:hAnsi="宋体" w:cs="宋体"/>
                <w:color w:val="auto"/>
                <w:sz w:val="24"/>
              </w:rPr>
            </w:pPr>
          </w:p>
        </w:tc>
        <w:tc>
          <w:tcPr>
            <w:tcW w:w="5955" w:type="dxa"/>
            <w:tcBorders>
              <w:top w:val="single" w:color="auto" w:sz="4" w:space="0"/>
              <w:left w:val="single" w:color="auto" w:sz="4" w:space="0"/>
              <w:right w:val="single" w:color="auto" w:sz="4" w:space="0"/>
            </w:tcBorders>
            <w:vAlign w:val="center"/>
          </w:tcPr>
          <w:p>
            <w:pPr>
              <w:spacing w:line="276" w:lineRule="auto"/>
              <w:ind w:firstLine="480" w:firstLineChars="200"/>
              <w:jc w:val="left"/>
              <w:rPr>
                <w:rFonts w:hint="eastAsia" w:ascii="Times New Roman" w:hAnsi="Times New Roman" w:eastAsia="宋体" w:cs="Times New Roman"/>
                <w:color w:val="auto"/>
                <w:kern w:val="2"/>
                <w:sz w:val="21"/>
                <w:szCs w:val="24"/>
                <w:lang w:val="en-US" w:eastAsia="zh-CN" w:bidi="ar-SA"/>
              </w:rPr>
            </w:pPr>
            <w:r>
              <w:rPr>
                <w:rFonts w:hint="eastAsia" w:ascii="宋体" w:hAnsi="宋体" w:cs="宋体"/>
                <w:color w:val="auto"/>
                <w:sz w:val="24"/>
              </w:rPr>
              <w:t>敏捷应急模拟演练系统：提供多角色人员参与协同演练在线、不同演练路线的应急处理完整流程、最后在线生成演练结果并导出演练报告。根据演示效果与招标需求的满足情况进行打分。</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vMerge w:val="continue"/>
            <w:tcBorders>
              <w:left w:val="single" w:color="auto" w:sz="4" w:space="0"/>
              <w:right w:val="single" w:color="auto" w:sz="4" w:space="0"/>
            </w:tcBorders>
            <w:vAlign w:val="center"/>
          </w:tcPr>
          <w:p>
            <w:pPr>
              <w:spacing w:line="360" w:lineRule="exact"/>
              <w:jc w:val="center"/>
              <w:rPr>
                <w:rFonts w:ascii="宋体" w:hAnsi="宋体" w:cs="宋体"/>
                <w:color w:val="auto"/>
                <w:sz w:val="24"/>
              </w:rPr>
            </w:pPr>
          </w:p>
        </w:tc>
        <w:tc>
          <w:tcPr>
            <w:tcW w:w="5955" w:type="dxa"/>
            <w:tcBorders>
              <w:top w:val="single" w:color="auto" w:sz="4" w:space="0"/>
              <w:left w:val="single" w:color="auto" w:sz="4" w:space="0"/>
              <w:right w:val="single" w:color="auto" w:sz="4" w:space="0"/>
            </w:tcBorders>
            <w:vAlign w:val="center"/>
          </w:tcPr>
          <w:p>
            <w:pPr>
              <w:spacing w:line="276" w:lineRule="auto"/>
              <w:ind w:firstLine="480" w:firstLineChars="200"/>
              <w:jc w:val="left"/>
              <w:rPr>
                <w:rFonts w:ascii="宋体" w:hAnsi="宋体" w:eastAsia="宋体" w:cs="宋体"/>
                <w:color w:val="auto"/>
                <w:kern w:val="2"/>
                <w:sz w:val="24"/>
                <w:szCs w:val="24"/>
                <w:lang w:val="en-US" w:eastAsia="zh-CN" w:bidi="ar-SA"/>
              </w:rPr>
            </w:pPr>
            <w:r>
              <w:rPr>
                <w:rFonts w:hint="eastAsia" w:ascii="宋体" w:hAnsi="宋体" w:cs="宋体"/>
                <w:color w:val="auto"/>
                <w:sz w:val="24"/>
              </w:rPr>
              <w:t>演示哨兵系统：包括边缘设备管理与边缘应用下发功能、AI模型下发、企业边缘设备视频在线管理和视频智能分析、边缘平台支持随意选取固定路数的视频实时画面共享到园区平台。根据演示效果与招标需求的满足情况进行打分。</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color w:val="auto"/>
                <w:kern w:val="2"/>
                <w:sz w:val="24"/>
                <w:szCs w:val="24"/>
                <w:lang w:val="en-US" w:eastAsia="zh-CN" w:bidi="ar-SA"/>
              </w:rPr>
            </w:pPr>
            <w:r>
              <w:rPr>
                <w:rFonts w:hint="eastAsia" w:ascii="宋体" w:hAnsi="宋体" w:cs="宋体"/>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vMerge w:val="continue"/>
            <w:tcBorders>
              <w:left w:val="single" w:color="auto" w:sz="4" w:space="0"/>
              <w:right w:val="single" w:color="auto" w:sz="4" w:space="0"/>
            </w:tcBorders>
            <w:vAlign w:val="center"/>
          </w:tcPr>
          <w:p>
            <w:pPr>
              <w:spacing w:line="360" w:lineRule="exact"/>
              <w:jc w:val="center"/>
              <w:rPr>
                <w:rFonts w:ascii="宋体" w:hAnsi="宋体" w:cs="宋体"/>
                <w:color w:val="auto"/>
                <w:sz w:val="24"/>
              </w:rPr>
            </w:pPr>
          </w:p>
        </w:tc>
        <w:tc>
          <w:tcPr>
            <w:tcW w:w="5955" w:type="dxa"/>
            <w:tcBorders>
              <w:top w:val="single" w:color="auto" w:sz="4" w:space="0"/>
              <w:left w:val="single" w:color="auto" w:sz="4" w:space="0"/>
              <w:right w:val="single" w:color="auto" w:sz="4" w:space="0"/>
            </w:tcBorders>
            <w:vAlign w:val="center"/>
          </w:tcPr>
          <w:p>
            <w:pPr>
              <w:spacing w:line="276" w:lineRule="auto"/>
              <w:ind w:firstLine="480" w:firstLineChars="200"/>
              <w:jc w:val="left"/>
              <w:rPr>
                <w:rFonts w:ascii="宋体" w:hAnsi="宋体" w:eastAsia="宋体" w:cs="宋体"/>
                <w:color w:val="auto"/>
                <w:kern w:val="2"/>
                <w:sz w:val="24"/>
                <w:szCs w:val="24"/>
                <w:lang w:val="zh-TW" w:eastAsia="zh-CN" w:bidi="ar-SA"/>
              </w:rPr>
            </w:pPr>
            <w:r>
              <w:rPr>
                <w:rFonts w:hint="eastAsia" w:ascii="宋体" w:hAnsi="宋体" w:cs="宋体"/>
                <w:color w:val="auto"/>
                <w:sz w:val="24"/>
              </w:rPr>
              <w:t>特殊作业管理系统：演示通过视频AI功能对企业现场无计划作业行为</w:t>
            </w:r>
            <w:r>
              <w:rPr>
                <w:rFonts w:hint="eastAsia" w:ascii="宋体" w:hAnsi="宋体" w:cs="宋体"/>
                <w:color w:val="auto"/>
                <w:sz w:val="24"/>
                <w:lang w:val="zh-TW"/>
              </w:rPr>
              <w:t>进行智能</w:t>
            </w:r>
            <w:r>
              <w:rPr>
                <w:rFonts w:hint="eastAsia" w:ascii="宋体" w:hAnsi="宋体" w:cs="宋体"/>
                <w:color w:val="auto"/>
                <w:sz w:val="24"/>
              </w:rPr>
              <w:t>识别并在线实时报警、对无计划作业识别模型的后台配置功能、无计划作业报警的人工确认、企业处理、监管人员闭环的在线完整过程，根据演示效果与招标需求的满足情况进行打分。</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color w:val="auto"/>
                <w:kern w:val="2"/>
                <w:sz w:val="24"/>
                <w:szCs w:val="24"/>
                <w:lang w:val="en-US" w:eastAsia="zh-CN" w:bidi="ar-SA"/>
              </w:rPr>
            </w:pPr>
            <w:r>
              <w:rPr>
                <w:rFonts w:ascii="宋体" w:hAnsi="宋体" w:cs="宋体"/>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vMerge w:val="continue"/>
            <w:tcBorders>
              <w:left w:val="single" w:color="auto" w:sz="4" w:space="0"/>
              <w:right w:val="single" w:color="auto" w:sz="4" w:space="0"/>
            </w:tcBorders>
            <w:vAlign w:val="center"/>
          </w:tcPr>
          <w:p>
            <w:pPr>
              <w:spacing w:line="360" w:lineRule="exact"/>
              <w:jc w:val="center"/>
              <w:rPr>
                <w:rFonts w:ascii="宋体" w:hAnsi="宋体" w:cs="宋体"/>
                <w:color w:val="auto"/>
                <w:sz w:val="24"/>
              </w:rPr>
            </w:pPr>
          </w:p>
        </w:tc>
        <w:tc>
          <w:tcPr>
            <w:tcW w:w="5955" w:type="dxa"/>
            <w:tcBorders>
              <w:top w:val="single" w:color="auto" w:sz="4" w:space="0"/>
              <w:left w:val="single" w:color="auto" w:sz="4" w:space="0"/>
              <w:right w:val="single" w:color="auto" w:sz="4" w:space="0"/>
            </w:tcBorders>
            <w:vAlign w:val="center"/>
          </w:tcPr>
          <w:p>
            <w:pPr>
              <w:spacing w:line="276" w:lineRule="auto"/>
              <w:ind w:firstLine="480" w:firstLineChars="200"/>
              <w:jc w:val="left"/>
              <w:rPr>
                <w:rFonts w:ascii="宋体" w:hAnsi="宋体" w:eastAsia="宋体" w:cs="宋体"/>
                <w:color w:val="auto"/>
                <w:kern w:val="2"/>
                <w:sz w:val="24"/>
                <w:szCs w:val="24"/>
                <w:lang w:val="zh-TW" w:eastAsia="zh-CN" w:bidi="ar-SA"/>
              </w:rPr>
            </w:pPr>
            <w:r>
              <w:rPr>
                <w:rFonts w:hint="eastAsia" w:ascii="宋体" w:hAnsi="宋体" w:cs="宋体"/>
                <w:color w:val="auto"/>
                <w:sz w:val="24"/>
                <w:lang w:val="zh-TW"/>
              </w:rPr>
              <w:t>过程报警智能评估系统：演示导入DCS控制系统的报警EXCEL文件（数据条数不得少于1</w:t>
            </w:r>
            <w:r>
              <w:rPr>
                <w:rFonts w:ascii="宋体" w:hAnsi="宋体" w:eastAsia="PMingLiU" w:cs="宋体"/>
                <w:color w:val="auto"/>
                <w:sz w:val="24"/>
                <w:lang w:val="zh-TW" w:eastAsia="zh-TW"/>
              </w:rPr>
              <w:t>000</w:t>
            </w:r>
            <w:r>
              <w:rPr>
                <w:rFonts w:hint="eastAsia" w:cs="宋体" w:asciiTheme="minorEastAsia" w:hAnsiTheme="minorEastAsia" w:eastAsiaTheme="minorEastAsia"/>
                <w:color w:val="auto"/>
                <w:sz w:val="24"/>
                <w:lang w:val="zh-TW" w:eastAsia="zh-TW"/>
              </w:rPr>
              <w:t>条</w:t>
            </w:r>
            <w:r>
              <w:rPr>
                <w:rFonts w:hint="eastAsia" w:ascii="宋体" w:hAnsi="宋体" w:cs="宋体"/>
                <w:color w:val="auto"/>
                <w:sz w:val="24"/>
                <w:lang w:val="zh-TW"/>
              </w:rPr>
              <w:t>），在线实时生成对瞬闪报警、间歇报警、报警KPI、在线率评价的分析报告，</w:t>
            </w:r>
            <w:r>
              <w:rPr>
                <w:rFonts w:hint="eastAsia" w:ascii="宋体" w:hAnsi="宋体" w:cs="宋体"/>
                <w:color w:val="auto"/>
                <w:sz w:val="24"/>
              </w:rPr>
              <w:t>根据演示效果与招标需求的满足情况进行打分。</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color w:val="auto"/>
                <w:kern w:val="2"/>
                <w:sz w:val="24"/>
                <w:szCs w:val="24"/>
                <w:lang w:val="en-US" w:eastAsia="zh-CN" w:bidi="ar-SA"/>
              </w:rPr>
            </w:pPr>
            <w:r>
              <w:rPr>
                <w:rFonts w:ascii="宋体" w:hAnsi="宋体" w:cs="宋体"/>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vMerge w:val="continue"/>
            <w:tcBorders>
              <w:left w:val="single" w:color="auto" w:sz="4" w:space="0"/>
              <w:right w:val="single" w:color="auto" w:sz="4" w:space="0"/>
            </w:tcBorders>
            <w:vAlign w:val="center"/>
          </w:tcPr>
          <w:p>
            <w:pPr>
              <w:spacing w:line="360" w:lineRule="exact"/>
              <w:jc w:val="center"/>
              <w:rPr>
                <w:rFonts w:ascii="宋体" w:hAnsi="宋体" w:cs="宋体"/>
                <w:color w:val="auto"/>
                <w:sz w:val="24"/>
              </w:rPr>
            </w:pPr>
          </w:p>
        </w:tc>
        <w:tc>
          <w:tcPr>
            <w:tcW w:w="5955" w:type="dxa"/>
            <w:tcBorders>
              <w:top w:val="single" w:color="auto" w:sz="4" w:space="0"/>
              <w:left w:val="single" w:color="auto" w:sz="4" w:space="0"/>
              <w:right w:val="single" w:color="auto" w:sz="4" w:space="0"/>
            </w:tcBorders>
            <w:vAlign w:val="center"/>
          </w:tcPr>
          <w:p>
            <w:pPr>
              <w:spacing w:line="276" w:lineRule="auto"/>
              <w:ind w:firstLine="480" w:firstLineChars="200"/>
              <w:jc w:val="left"/>
              <w:rPr>
                <w:rFonts w:ascii="宋体" w:hAnsi="宋体" w:eastAsia="宋体" w:cs="宋体"/>
                <w:color w:val="auto"/>
                <w:kern w:val="2"/>
                <w:sz w:val="24"/>
                <w:szCs w:val="24"/>
                <w:lang w:val="zh-TW" w:eastAsia="zh-CN" w:bidi="ar-SA"/>
              </w:rPr>
            </w:pPr>
            <w:r>
              <w:rPr>
                <w:rFonts w:hint="eastAsia" w:ascii="宋体" w:hAnsi="宋体" w:cs="宋体"/>
                <w:color w:val="auto"/>
                <w:sz w:val="24"/>
              </w:rPr>
              <w:t>AR增强现实系统：包含分别对普通视频画面和高空瞭望画面进行在线点、线、面三种形式的标签标注功能，标签在线分别关联实时点位数据和企业档案数据。根据演示效果与招标需求的满足情况进行打分。</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color w:val="auto"/>
                <w:kern w:val="2"/>
                <w:sz w:val="24"/>
                <w:szCs w:val="24"/>
                <w:lang w:val="en-US" w:eastAsia="zh-CN" w:bidi="ar-SA"/>
              </w:rPr>
            </w:pPr>
            <w:r>
              <w:rPr>
                <w:rFonts w:ascii="宋体" w:hAnsi="宋体" w:cs="宋体"/>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vMerge w:val="continue"/>
            <w:tcBorders>
              <w:left w:val="single" w:color="auto" w:sz="4" w:space="0"/>
              <w:right w:val="single" w:color="auto" w:sz="4" w:space="0"/>
            </w:tcBorders>
            <w:vAlign w:val="center"/>
          </w:tcPr>
          <w:p>
            <w:pPr>
              <w:spacing w:line="360" w:lineRule="exact"/>
              <w:jc w:val="center"/>
              <w:rPr>
                <w:rFonts w:ascii="宋体" w:hAnsi="宋体" w:cs="宋体"/>
                <w:color w:val="auto"/>
                <w:sz w:val="24"/>
              </w:rPr>
            </w:pPr>
          </w:p>
        </w:tc>
        <w:tc>
          <w:tcPr>
            <w:tcW w:w="5955" w:type="dxa"/>
            <w:tcBorders>
              <w:top w:val="single" w:color="auto" w:sz="4" w:space="0"/>
              <w:left w:val="single" w:color="auto" w:sz="4" w:space="0"/>
              <w:right w:val="single" w:color="auto" w:sz="4" w:space="0"/>
            </w:tcBorders>
            <w:vAlign w:val="center"/>
          </w:tcPr>
          <w:p>
            <w:pPr>
              <w:spacing w:line="276" w:lineRule="auto"/>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复杂事件规则引擎系统：演示报警事件在线处置策略的后台配置，包含设备实时数据计算规则、告警时间的静默规则、数据的筛选规则、告警抑制规则、告警级别、推送消息通知的完整过程。根据演示效果与招标需求的满足情况进行打分。</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tcBorders>
              <w:left w:val="single" w:color="auto" w:sz="4" w:space="0"/>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rPr>
              <w:t>软件质量可靠性评估（3分）</w:t>
            </w:r>
          </w:p>
        </w:tc>
        <w:tc>
          <w:tcPr>
            <w:tcW w:w="5955" w:type="dxa"/>
            <w:tcBorders>
              <w:top w:val="single" w:color="auto" w:sz="4" w:space="0"/>
              <w:left w:val="single" w:color="auto" w:sz="4" w:space="0"/>
              <w:right w:val="single" w:color="auto" w:sz="4" w:space="0"/>
            </w:tcBorders>
            <w:vAlign w:val="center"/>
          </w:tcPr>
          <w:p>
            <w:pPr>
              <w:spacing w:line="276"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根据</w:t>
            </w:r>
            <w:r>
              <w:rPr>
                <w:rFonts w:hint="eastAsia" w:ascii="宋体" w:hAnsi="宋体" w:cs="宋体"/>
                <w:color w:val="auto"/>
                <w:sz w:val="24"/>
              </w:rPr>
              <w:t>投标人提供</w:t>
            </w:r>
            <w:r>
              <w:rPr>
                <w:rFonts w:hint="eastAsia" w:ascii="宋体" w:hAnsi="宋体" w:cs="宋体"/>
                <w:color w:val="auto"/>
                <w:sz w:val="24"/>
                <w:lang w:val="en-US" w:eastAsia="zh-CN"/>
              </w:rPr>
              <w:t>类似项目的</w:t>
            </w:r>
            <w:r>
              <w:rPr>
                <w:rFonts w:hint="eastAsia" w:ascii="宋体" w:hAnsi="宋体" w:cs="宋体"/>
                <w:color w:val="auto"/>
                <w:sz w:val="24"/>
              </w:rPr>
              <w:t>安全监管档案、安全管理、安防管理、环保管理、应急管理性能的检测报告</w:t>
            </w:r>
            <w:r>
              <w:rPr>
                <w:rFonts w:hint="eastAsia" w:ascii="宋体" w:hAnsi="宋体" w:cs="宋体"/>
                <w:color w:val="auto"/>
                <w:sz w:val="24"/>
                <w:lang w:val="en-US" w:eastAsia="zh-CN"/>
              </w:rPr>
              <w:t>评估软件质量可靠性情况</w:t>
            </w:r>
            <w:r>
              <w:rPr>
                <w:rFonts w:hint="eastAsia" w:ascii="宋体" w:hAnsi="宋体" w:cs="宋体"/>
                <w:color w:val="auto"/>
                <w:sz w:val="24"/>
              </w:rPr>
              <w:t>进行打分。（需提供由CNAS或CMA认可的检测机构出具的每项性能测试报告的扫描件并加盖投标人公章）</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vMerge w:val="restart"/>
            <w:tcBorders>
              <w:left w:val="single" w:color="auto" w:sz="4" w:space="0"/>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rPr>
              <w:t>实施方案（6分）</w:t>
            </w:r>
          </w:p>
        </w:tc>
        <w:tc>
          <w:tcPr>
            <w:tcW w:w="5955" w:type="dxa"/>
            <w:tcBorders>
              <w:top w:val="single" w:color="auto" w:sz="4" w:space="0"/>
              <w:left w:val="single" w:color="auto" w:sz="4" w:space="0"/>
              <w:right w:val="single" w:color="auto" w:sz="4" w:space="0"/>
            </w:tcBorders>
            <w:vAlign w:val="center"/>
          </w:tcPr>
          <w:p>
            <w:pPr>
              <w:spacing w:line="276" w:lineRule="auto"/>
              <w:ind w:firstLine="480" w:firstLineChars="200"/>
              <w:jc w:val="left"/>
              <w:rPr>
                <w:rFonts w:ascii="宋体" w:hAnsi="宋体" w:cs="宋体"/>
                <w:color w:val="auto"/>
                <w:sz w:val="24"/>
              </w:rPr>
            </w:pPr>
            <w:r>
              <w:rPr>
                <w:rFonts w:hint="eastAsia" w:ascii="宋体" w:hAnsi="宋体" w:cs="宋体"/>
                <w:color w:val="auto"/>
                <w:sz w:val="24"/>
              </w:rPr>
              <w:t>根据投标人提供的项目实施计划与进度安排、工期管理方案、质量保证措施等进行打分，需针对采购项目内容细化制定，有明确的时间节点和进度安排，有健全的项目管理运行机制。</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vMerge w:val="continue"/>
            <w:tcBorders>
              <w:left w:val="single" w:color="auto" w:sz="4" w:space="0"/>
              <w:right w:val="single" w:color="auto" w:sz="4" w:space="0"/>
            </w:tcBorders>
            <w:vAlign w:val="center"/>
          </w:tcPr>
          <w:p>
            <w:pPr>
              <w:spacing w:line="360" w:lineRule="exact"/>
              <w:jc w:val="center"/>
              <w:rPr>
                <w:rFonts w:ascii="宋体" w:hAnsi="宋体" w:cs="宋体"/>
                <w:color w:val="auto"/>
                <w:sz w:val="24"/>
              </w:rPr>
            </w:pPr>
          </w:p>
        </w:tc>
        <w:tc>
          <w:tcPr>
            <w:tcW w:w="5955" w:type="dxa"/>
            <w:tcBorders>
              <w:top w:val="single" w:color="auto" w:sz="4" w:space="0"/>
              <w:left w:val="single" w:color="auto" w:sz="4" w:space="0"/>
              <w:right w:val="single" w:color="auto" w:sz="4" w:space="0"/>
            </w:tcBorders>
            <w:vAlign w:val="center"/>
          </w:tcPr>
          <w:p>
            <w:pPr>
              <w:spacing w:line="276" w:lineRule="auto"/>
              <w:ind w:firstLine="480" w:firstLineChars="200"/>
              <w:jc w:val="left"/>
              <w:rPr>
                <w:rFonts w:ascii="宋体" w:hAnsi="宋体" w:cs="宋体"/>
                <w:color w:val="auto"/>
                <w:sz w:val="24"/>
              </w:rPr>
            </w:pPr>
            <w:r>
              <w:rPr>
                <w:rFonts w:hint="eastAsia" w:ascii="宋体" w:hAnsi="宋体" w:cs="宋体"/>
                <w:color w:val="auto"/>
                <w:sz w:val="24"/>
              </w:rPr>
              <w:t>根据投标人就本项目实施拟投入的整体团队人员的分工合理性、职责明确性、技术经验进行打分。</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vMerge w:val="continue"/>
            <w:tcBorders>
              <w:left w:val="single" w:color="auto" w:sz="4" w:space="0"/>
              <w:right w:val="single" w:color="auto" w:sz="4" w:space="0"/>
            </w:tcBorders>
            <w:vAlign w:val="center"/>
          </w:tcPr>
          <w:p>
            <w:pPr>
              <w:spacing w:line="360" w:lineRule="exact"/>
              <w:jc w:val="center"/>
              <w:rPr>
                <w:rFonts w:ascii="宋体" w:hAnsi="宋体" w:cs="宋体"/>
                <w:color w:val="auto"/>
                <w:sz w:val="24"/>
              </w:rPr>
            </w:pPr>
          </w:p>
        </w:tc>
        <w:tc>
          <w:tcPr>
            <w:tcW w:w="5955" w:type="dxa"/>
            <w:tcBorders>
              <w:top w:val="single" w:color="auto" w:sz="4" w:space="0"/>
              <w:left w:val="single" w:color="auto" w:sz="4" w:space="0"/>
              <w:right w:val="single" w:color="auto" w:sz="4" w:space="0"/>
            </w:tcBorders>
            <w:vAlign w:val="center"/>
          </w:tcPr>
          <w:p>
            <w:pPr>
              <w:spacing w:line="276" w:lineRule="auto"/>
              <w:ind w:firstLine="480" w:firstLineChars="200"/>
              <w:jc w:val="left"/>
              <w:rPr>
                <w:rFonts w:ascii="宋体" w:hAnsi="宋体" w:cs="宋体"/>
                <w:color w:val="auto"/>
                <w:sz w:val="24"/>
              </w:rPr>
            </w:pPr>
            <w:r>
              <w:rPr>
                <w:rFonts w:hint="eastAsia" w:ascii="宋体" w:hAnsi="宋体" w:cs="宋体"/>
                <w:color w:val="auto"/>
                <w:sz w:val="24"/>
              </w:rPr>
              <w:t>根据投标人的风险预防及控制措施的合理性、科学性进行打分。</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 w:val="24"/>
              </w:rPr>
            </w:pPr>
          </w:p>
        </w:tc>
        <w:tc>
          <w:tcPr>
            <w:tcW w:w="1401" w:type="dxa"/>
            <w:tcBorders>
              <w:left w:val="single" w:color="auto" w:sz="4" w:space="0"/>
              <w:right w:val="single" w:color="auto" w:sz="4" w:space="0"/>
            </w:tcBorders>
            <w:vAlign w:val="center"/>
          </w:tcPr>
          <w:p>
            <w:pPr>
              <w:spacing w:line="360" w:lineRule="exact"/>
              <w:jc w:val="center"/>
              <w:rPr>
                <w:rFonts w:ascii="宋体" w:hAnsi="宋体" w:cs="宋体"/>
                <w:color w:val="auto"/>
                <w:sz w:val="24"/>
                <w:lang w:val="zh-TW"/>
              </w:rPr>
            </w:pPr>
            <w:r>
              <w:rPr>
                <w:rFonts w:hint="eastAsia" w:ascii="宋体" w:hAnsi="宋体" w:cs="宋体"/>
                <w:color w:val="auto"/>
                <w:sz w:val="24"/>
                <w:lang w:val="zh-TW"/>
              </w:rPr>
              <w:t>售后服务能力（</w:t>
            </w:r>
            <w:r>
              <w:rPr>
                <w:rFonts w:hint="eastAsia" w:ascii="宋体" w:hAnsi="宋体" w:cs="宋体"/>
                <w:color w:val="auto"/>
                <w:sz w:val="24"/>
              </w:rPr>
              <w:t>2分</w:t>
            </w:r>
            <w:r>
              <w:rPr>
                <w:rFonts w:hint="eastAsia" w:ascii="宋体" w:hAnsi="宋体" w:cs="宋体"/>
                <w:color w:val="auto"/>
                <w:sz w:val="24"/>
                <w:lang w:val="zh-TW"/>
              </w:rPr>
              <w:t>）</w:t>
            </w:r>
          </w:p>
        </w:tc>
        <w:tc>
          <w:tcPr>
            <w:tcW w:w="5955" w:type="dxa"/>
            <w:tcBorders>
              <w:top w:val="single" w:color="auto" w:sz="4" w:space="0"/>
              <w:left w:val="single" w:color="auto" w:sz="4" w:space="0"/>
              <w:right w:val="single" w:color="auto" w:sz="4" w:space="0"/>
            </w:tcBorders>
            <w:vAlign w:val="center"/>
          </w:tcPr>
          <w:p>
            <w:pPr>
              <w:spacing w:line="276" w:lineRule="auto"/>
              <w:ind w:firstLine="480" w:firstLineChars="200"/>
              <w:jc w:val="left"/>
              <w:rPr>
                <w:rFonts w:ascii="宋体" w:hAnsi="宋体" w:cs="宋体"/>
                <w:color w:val="auto"/>
                <w:sz w:val="24"/>
                <w:lang w:val="zh-TW"/>
              </w:rPr>
            </w:pPr>
            <w:r>
              <w:rPr>
                <w:rFonts w:hint="eastAsia" w:ascii="宋体" w:hAnsi="宋体" w:cs="宋体"/>
                <w:color w:val="auto"/>
                <w:sz w:val="24"/>
                <w:lang w:val="zh-TW"/>
              </w:rPr>
              <w:t>根据投标</w:t>
            </w:r>
            <w:r>
              <w:rPr>
                <w:rFonts w:hint="eastAsia" w:ascii="宋体" w:hAnsi="宋体" w:cs="宋体"/>
                <w:color w:val="auto"/>
                <w:sz w:val="24"/>
              </w:rPr>
              <w:t>人</w:t>
            </w:r>
            <w:r>
              <w:rPr>
                <w:rFonts w:hint="eastAsia" w:ascii="宋体" w:hAnsi="宋体" w:cs="宋体"/>
                <w:color w:val="auto"/>
                <w:sz w:val="24"/>
                <w:lang w:val="zh-TW"/>
              </w:rPr>
              <w:t>提供的售后服务方案综合评审，包括项目售后服务的内容和详细方案合理性、科学性、重大故障的应急预案和措施等情况综合评审。</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8" w:type="dxa"/>
            <w:vMerge w:val="restart"/>
            <w:tcBorders>
              <w:left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商务</w:t>
            </w:r>
          </w:p>
          <w:p>
            <w:pPr>
              <w:spacing w:line="360" w:lineRule="auto"/>
              <w:jc w:val="center"/>
              <w:rPr>
                <w:rFonts w:ascii="宋体" w:hAnsi="宋体" w:cs="宋体"/>
                <w:color w:val="auto"/>
                <w:sz w:val="24"/>
              </w:rPr>
            </w:pPr>
            <w:r>
              <w:rPr>
                <w:rFonts w:hint="eastAsia" w:ascii="宋体" w:hAnsi="宋体" w:cs="宋体"/>
                <w:color w:val="auto"/>
                <w:sz w:val="24"/>
              </w:rPr>
              <w:t>资信（10分）</w:t>
            </w:r>
          </w:p>
        </w:tc>
        <w:tc>
          <w:tcPr>
            <w:tcW w:w="1401" w:type="dxa"/>
            <w:tcBorders>
              <w:left w:val="single" w:color="auto" w:sz="4" w:space="0"/>
              <w:right w:val="single" w:color="auto" w:sz="4" w:space="0"/>
            </w:tcBorders>
            <w:vAlign w:val="center"/>
          </w:tcPr>
          <w:p>
            <w:pPr>
              <w:spacing w:line="360" w:lineRule="exact"/>
              <w:jc w:val="center"/>
              <w:rPr>
                <w:rFonts w:ascii="宋体" w:hAnsi="宋体" w:cs="宋体"/>
                <w:color w:val="auto"/>
                <w:sz w:val="24"/>
                <w:lang w:val="zh-TW"/>
              </w:rPr>
            </w:pPr>
            <w:r>
              <w:rPr>
                <w:rFonts w:hint="eastAsia" w:ascii="宋体" w:hAnsi="宋体" w:cs="宋体"/>
                <w:color w:val="auto"/>
                <w:sz w:val="24"/>
              </w:rPr>
              <w:t>认证证书</w:t>
            </w:r>
          </w:p>
        </w:tc>
        <w:tc>
          <w:tcPr>
            <w:tcW w:w="5955" w:type="dxa"/>
            <w:tcBorders>
              <w:top w:val="single" w:color="auto" w:sz="4" w:space="0"/>
              <w:left w:val="single" w:color="auto" w:sz="4" w:space="0"/>
              <w:right w:val="single" w:color="auto" w:sz="4" w:space="0"/>
            </w:tcBorders>
            <w:vAlign w:val="center"/>
          </w:tcPr>
          <w:p>
            <w:pPr>
              <w:ind w:firstLine="480" w:firstLineChars="200"/>
              <w:rPr>
                <w:rFonts w:ascii="宋体" w:hAnsi="宋体" w:cs="宋体"/>
                <w:color w:val="auto"/>
                <w:sz w:val="24"/>
              </w:rPr>
            </w:pPr>
            <w:r>
              <w:rPr>
                <w:rFonts w:hint="eastAsia" w:ascii="宋体" w:hAnsi="宋体"/>
                <w:color w:val="auto"/>
                <w:sz w:val="24"/>
              </w:rPr>
              <w:t>认证证书</w:t>
            </w:r>
            <w:r>
              <w:rPr>
                <w:rFonts w:hint="eastAsia" w:ascii="宋体" w:hAnsi="宋体" w:cs="宋体"/>
                <w:color w:val="auto"/>
                <w:sz w:val="24"/>
              </w:rPr>
              <w:t>（具体详见商务要求表）</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left"/>
              <w:rPr>
                <w:rFonts w:ascii="宋体" w:hAnsi="宋体" w:cs="宋体"/>
                <w:color w:val="auto"/>
                <w:sz w:val="24"/>
              </w:rPr>
            </w:pPr>
          </w:p>
        </w:tc>
        <w:tc>
          <w:tcPr>
            <w:tcW w:w="1401" w:type="dxa"/>
            <w:tcBorders>
              <w:left w:val="single" w:color="auto" w:sz="4" w:space="0"/>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rPr>
              <w:t>团队实力</w:t>
            </w:r>
          </w:p>
        </w:tc>
        <w:tc>
          <w:tcPr>
            <w:tcW w:w="5955"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rPr>
                <w:rFonts w:ascii="宋体" w:hAnsi="宋体"/>
                <w:color w:val="auto"/>
                <w:sz w:val="24"/>
              </w:rPr>
            </w:pPr>
            <w:r>
              <w:rPr>
                <w:rFonts w:hint="eastAsia" w:ascii="宋体" w:hAnsi="宋体" w:cs="宋体"/>
                <w:color w:val="auto"/>
                <w:sz w:val="24"/>
              </w:rPr>
              <w:t>团队实力（具体详见商务要求表）</w:t>
            </w:r>
          </w:p>
        </w:tc>
        <w:tc>
          <w:tcPr>
            <w:tcW w:w="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8" w:type="dxa"/>
            <w:vMerge w:val="continue"/>
            <w:tcBorders>
              <w:left w:val="single" w:color="auto" w:sz="4" w:space="0"/>
              <w:right w:val="single" w:color="auto" w:sz="4" w:space="0"/>
            </w:tcBorders>
            <w:vAlign w:val="center"/>
          </w:tcPr>
          <w:p>
            <w:pPr>
              <w:widowControl/>
              <w:spacing w:line="360" w:lineRule="auto"/>
              <w:jc w:val="left"/>
              <w:rPr>
                <w:rFonts w:ascii="宋体" w:hAnsi="宋体" w:cs="宋体"/>
                <w:color w:val="auto"/>
                <w:sz w:val="24"/>
              </w:rPr>
            </w:pPr>
          </w:p>
        </w:tc>
        <w:tc>
          <w:tcPr>
            <w:tcW w:w="1401" w:type="dxa"/>
            <w:tcBorders>
              <w:left w:val="single" w:color="auto" w:sz="4" w:space="0"/>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rPr>
              <w:t>供应商荣誉</w:t>
            </w:r>
          </w:p>
        </w:tc>
        <w:tc>
          <w:tcPr>
            <w:tcW w:w="5955"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rPr>
                <w:rFonts w:ascii="宋体" w:hAnsi="宋体" w:cs="宋体"/>
                <w:color w:val="auto"/>
                <w:sz w:val="24"/>
              </w:rPr>
            </w:pPr>
            <w:r>
              <w:rPr>
                <w:rFonts w:hint="eastAsia" w:ascii="宋体" w:hAnsi="宋体" w:cs="宋体"/>
                <w:color w:val="auto"/>
                <w:sz w:val="24"/>
              </w:rPr>
              <w:t>供应商荣誉（具体详见商务要求表）</w:t>
            </w:r>
          </w:p>
        </w:tc>
        <w:tc>
          <w:tcPr>
            <w:tcW w:w="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8" w:type="dxa"/>
            <w:vMerge w:val="continue"/>
            <w:tcBorders>
              <w:left w:val="single" w:color="auto" w:sz="4" w:space="0"/>
              <w:right w:val="single" w:color="auto" w:sz="4" w:space="0"/>
            </w:tcBorders>
            <w:vAlign w:val="center"/>
          </w:tcPr>
          <w:p>
            <w:pPr>
              <w:widowControl/>
              <w:spacing w:line="360" w:lineRule="auto"/>
              <w:jc w:val="left"/>
              <w:rPr>
                <w:rFonts w:ascii="宋体" w:hAnsi="宋体" w:cs="宋体"/>
                <w:color w:val="auto"/>
                <w:sz w:val="24"/>
              </w:rPr>
            </w:pPr>
          </w:p>
        </w:tc>
        <w:tc>
          <w:tcPr>
            <w:tcW w:w="1401" w:type="dxa"/>
            <w:tcBorders>
              <w:left w:val="single" w:color="auto" w:sz="4" w:space="0"/>
              <w:right w:val="single" w:color="auto" w:sz="4" w:space="0"/>
            </w:tcBorders>
            <w:vAlign w:val="center"/>
          </w:tcPr>
          <w:p>
            <w:pPr>
              <w:spacing w:line="360" w:lineRule="exact"/>
              <w:jc w:val="center"/>
              <w:rPr>
                <w:rFonts w:ascii="宋体" w:hAnsi="宋体" w:cs="宋体"/>
                <w:color w:val="auto"/>
                <w:sz w:val="24"/>
                <w:lang w:val="zh-TW"/>
              </w:rPr>
            </w:pPr>
            <w:r>
              <w:rPr>
                <w:rFonts w:hint="eastAsia" w:ascii="宋体" w:hAnsi="宋体" w:cs="宋体"/>
                <w:color w:val="auto"/>
                <w:sz w:val="24"/>
              </w:rPr>
              <w:t>供应商</w:t>
            </w:r>
            <w:r>
              <w:rPr>
                <w:rFonts w:hint="eastAsia" w:ascii="宋体" w:hAnsi="宋体" w:cs="宋体"/>
                <w:color w:val="auto"/>
                <w:sz w:val="24"/>
                <w:lang w:val="zh-TW"/>
              </w:rPr>
              <w:t>业绩</w:t>
            </w:r>
          </w:p>
        </w:tc>
        <w:tc>
          <w:tcPr>
            <w:tcW w:w="5955" w:type="dxa"/>
            <w:tcBorders>
              <w:top w:val="single" w:color="auto" w:sz="4" w:space="0"/>
              <w:left w:val="single" w:color="auto" w:sz="4" w:space="0"/>
              <w:right w:val="single" w:color="auto" w:sz="4" w:space="0"/>
            </w:tcBorders>
            <w:vAlign w:val="center"/>
          </w:tcPr>
          <w:p>
            <w:pPr>
              <w:ind w:firstLine="480" w:firstLineChars="200"/>
              <w:rPr>
                <w:rFonts w:ascii="宋体" w:hAnsi="宋体" w:cs="宋体"/>
                <w:color w:val="auto"/>
                <w:sz w:val="24"/>
                <w:lang w:val="zh-TW"/>
              </w:rPr>
            </w:pPr>
            <w:r>
              <w:rPr>
                <w:rFonts w:hint="eastAsia" w:ascii="宋体" w:hAnsi="宋体" w:cs="宋体"/>
                <w:color w:val="auto"/>
                <w:sz w:val="24"/>
              </w:rPr>
              <w:t>业绩证明（具体详见商务要求表）</w:t>
            </w:r>
          </w:p>
        </w:tc>
        <w:tc>
          <w:tcPr>
            <w:tcW w:w="707"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r>
    </w:tbl>
    <w:p>
      <w:pPr>
        <w:ind w:firstLine="482" w:firstLineChars="200"/>
        <w:rPr>
          <w:rFonts w:ascii="宋体" w:hAnsi="宋体" w:cs="宋体"/>
          <w:b/>
          <w:bCs/>
          <w:sz w:val="24"/>
        </w:rPr>
      </w:pPr>
    </w:p>
    <w:p>
      <w:pPr>
        <w:ind w:firstLine="482" w:firstLineChars="200"/>
        <w:rPr>
          <w:rFonts w:ascii="宋体" w:hAnsi="宋体" w:cs="宋体"/>
          <w:b/>
          <w:bCs/>
          <w:sz w:val="24"/>
        </w:rPr>
      </w:pPr>
      <w:r>
        <w:rPr>
          <w:rFonts w:hint="eastAsia" w:ascii="宋体" w:hAnsi="宋体" w:cs="宋体"/>
          <w:b/>
          <w:bCs/>
          <w:sz w:val="24"/>
        </w:rPr>
        <w:t>2、商务要求表</w:t>
      </w:r>
      <w:r>
        <w:rPr>
          <w:rFonts w:hint="eastAsia" w:ascii="宋体" w:hAnsi="宋体" w:cs="宋体"/>
          <w:sz w:val="24"/>
        </w:rPr>
        <w:t>（对应评分标准）</w:t>
      </w:r>
    </w:p>
    <w:tbl>
      <w:tblPr>
        <w:tblStyle w:val="23"/>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342"/>
        <w:gridCol w:w="5911"/>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94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商务</w:t>
            </w:r>
          </w:p>
          <w:p>
            <w:pPr>
              <w:spacing w:line="360" w:lineRule="auto"/>
              <w:jc w:val="center"/>
              <w:rPr>
                <w:rFonts w:ascii="宋体" w:hAnsi="宋体"/>
                <w:color w:val="auto"/>
                <w:sz w:val="24"/>
              </w:rPr>
            </w:pPr>
            <w:r>
              <w:rPr>
                <w:rFonts w:hint="eastAsia" w:ascii="宋体" w:hAnsi="宋体" w:cs="宋体"/>
                <w:color w:val="auto"/>
                <w:sz w:val="24"/>
              </w:rPr>
              <w:t>资信（10分）</w:t>
            </w:r>
          </w:p>
        </w:tc>
        <w:tc>
          <w:tcPr>
            <w:tcW w:w="1342" w:type="dxa"/>
            <w:vMerge w:val="restart"/>
            <w:tcBorders>
              <w:top w:val="single" w:color="auto" w:sz="4" w:space="0"/>
              <w:left w:val="nil"/>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rPr>
              <w:t>认证证书（3分）</w:t>
            </w:r>
          </w:p>
        </w:tc>
        <w:tc>
          <w:tcPr>
            <w:tcW w:w="5911" w:type="dxa"/>
            <w:tcBorders>
              <w:top w:val="single" w:color="auto" w:sz="4" w:space="0"/>
              <w:left w:val="nil"/>
              <w:right w:val="single" w:color="auto" w:sz="4" w:space="0"/>
            </w:tcBorders>
            <w:vAlign w:val="center"/>
          </w:tcPr>
          <w:p>
            <w:pPr>
              <w:spacing w:line="276" w:lineRule="auto"/>
              <w:ind w:firstLine="480" w:firstLineChars="200"/>
              <w:jc w:val="left"/>
              <w:rPr>
                <w:rFonts w:ascii="宋体" w:hAnsi="宋体"/>
                <w:color w:val="auto"/>
                <w:sz w:val="24"/>
                <w:lang w:val="zh-CN"/>
              </w:rPr>
            </w:pPr>
            <w:r>
              <w:rPr>
                <w:rFonts w:hint="eastAsia" w:ascii="宋体" w:hAnsi="宋体" w:cs="宋体"/>
                <w:color w:val="auto"/>
                <w:sz w:val="24"/>
              </w:rPr>
              <w:t>供应商具有</w:t>
            </w:r>
            <w:r>
              <w:rPr>
                <w:rFonts w:hint="eastAsia" w:ascii="宋体" w:hAnsi="宋体" w:cs="宋体"/>
                <w:color w:val="auto"/>
                <w:sz w:val="24"/>
                <w:lang w:val="zh-TW"/>
              </w:rPr>
              <w:t>有效期</w:t>
            </w:r>
            <w:r>
              <w:rPr>
                <w:rFonts w:hint="eastAsia" w:ascii="宋体" w:hAnsi="宋体" w:cs="宋体"/>
                <w:color w:val="auto"/>
                <w:sz w:val="24"/>
              </w:rPr>
              <w:t>内的CMMI3认证的得0.5分，CMMI4认证得1分，CMMI5认证得2分，不同级别不重复计分。（须提供证书扫描件加盖公章）</w:t>
            </w:r>
          </w:p>
        </w:tc>
        <w:tc>
          <w:tcPr>
            <w:tcW w:w="721" w:type="dxa"/>
            <w:tcBorders>
              <w:top w:val="single" w:color="auto" w:sz="4" w:space="0"/>
              <w:left w:val="nil"/>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45"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342" w:type="dxa"/>
            <w:vMerge w:val="continue"/>
            <w:tcBorders>
              <w:left w:val="nil"/>
              <w:right w:val="single" w:color="auto" w:sz="4" w:space="0"/>
            </w:tcBorders>
            <w:vAlign w:val="center"/>
          </w:tcPr>
          <w:p>
            <w:pPr>
              <w:spacing w:line="360" w:lineRule="exact"/>
              <w:jc w:val="center"/>
              <w:rPr>
                <w:rFonts w:ascii="宋体" w:hAnsi="宋体" w:cs="宋体"/>
                <w:color w:val="auto"/>
                <w:sz w:val="24"/>
              </w:rPr>
            </w:pPr>
          </w:p>
        </w:tc>
        <w:tc>
          <w:tcPr>
            <w:tcW w:w="5911" w:type="dxa"/>
            <w:tcBorders>
              <w:top w:val="single" w:color="auto" w:sz="4" w:space="0"/>
              <w:left w:val="nil"/>
              <w:right w:val="single" w:color="auto" w:sz="4" w:space="0"/>
            </w:tcBorders>
            <w:vAlign w:val="center"/>
          </w:tcPr>
          <w:p>
            <w:pPr>
              <w:spacing w:line="276" w:lineRule="auto"/>
              <w:ind w:firstLine="480" w:firstLineChars="200"/>
              <w:jc w:val="left"/>
              <w:rPr>
                <w:rFonts w:ascii="宋体" w:hAnsi="宋体" w:cs="宋体"/>
                <w:color w:val="auto"/>
                <w:sz w:val="24"/>
              </w:rPr>
            </w:pPr>
            <w:r>
              <w:rPr>
                <w:rFonts w:hint="eastAsia" w:ascii="宋体" w:hAnsi="宋体" w:cs="宋体"/>
                <w:color w:val="auto"/>
                <w:sz w:val="24"/>
              </w:rPr>
              <w:t>供应商具备有效的信息安全服务资质认证三级及以上(CCRC)的得1分。（须提供证书扫描件加盖公章）</w:t>
            </w:r>
          </w:p>
        </w:tc>
        <w:tc>
          <w:tcPr>
            <w:tcW w:w="721" w:type="dxa"/>
            <w:tcBorders>
              <w:top w:val="single" w:color="auto" w:sz="4" w:space="0"/>
              <w:left w:val="nil"/>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945"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342" w:type="dxa"/>
            <w:vMerge w:val="restart"/>
            <w:tcBorders>
              <w:top w:val="single" w:color="auto" w:sz="4" w:space="0"/>
              <w:left w:val="nil"/>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rPr>
              <w:t>团队实力</w:t>
            </w:r>
            <w:r>
              <w:rPr>
                <w:rFonts w:hint="eastAsia" w:ascii="宋体" w:hAnsi="宋体" w:cs="宋体"/>
                <w:color w:val="auto"/>
                <w:sz w:val="24"/>
                <w:lang w:val="zh-TW"/>
              </w:rPr>
              <w:t>（</w:t>
            </w:r>
            <w:r>
              <w:rPr>
                <w:rFonts w:hint="eastAsia" w:ascii="宋体" w:hAnsi="宋体" w:cs="宋体"/>
                <w:color w:val="auto"/>
                <w:sz w:val="24"/>
              </w:rPr>
              <w:t>3</w:t>
            </w:r>
            <w:r>
              <w:rPr>
                <w:rFonts w:hint="eastAsia" w:ascii="宋体" w:hAnsi="宋体" w:cs="宋体"/>
                <w:color w:val="auto"/>
                <w:sz w:val="24"/>
                <w:lang w:val="zh-TW"/>
              </w:rPr>
              <w:t>分）</w:t>
            </w:r>
          </w:p>
        </w:tc>
        <w:tc>
          <w:tcPr>
            <w:tcW w:w="5911" w:type="dxa"/>
            <w:tcBorders>
              <w:top w:val="single" w:color="auto" w:sz="4" w:space="0"/>
              <w:left w:val="nil"/>
              <w:right w:val="single" w:color="auto" w:sz="4" w:space="0"/>
            </w:tcBorders>
            <w:vAlign w:val="center"/>
          </w:tcPr>
          <w:p>
            <w:pPr>
              <w:spacing w:line="276" w:lineRule="auto"/>
              <w:ind w:firstLine="480" w:firstLineChars="200"/>
              <w:jc w:val="left"/>
              <w:rPr>
                <w:rFonts w:ascii="宋体" w:hAnsi="宋体"/>
                <w:color w:val="auto"/>
                <w:sz w:val="24"/>
              </w:rPr>
            </w:pPr>
            <w:r>
              <w:rPr>
                <w:rFonts w:hint="eastAsia" w:ascii="宋体" w:hAnsi="宋体" w:cs="宋体"/>
                <w:color w:val="auto"/>
                <w:sz w:val="24"/>
              </w:rPr>
              <w:t>供应商拟投入本项目的项目负责人具有</w:t>
            </w:r>
            <w:r>
              <w:rPr>
                <w:rFonts w:hint="eastAsia" w:ascii="宋体" w:hAnsi="宋体" w:cs="宋体"/>
                <w:color w:val="auto"/>
                <w:sz w:val="24"/>
                <w:lang w:val="en-US" w:eastAsia="zh-CN"/>
              </w:rPr>
              <w:t>主管部门颁发的</w:t>
            </w:r>
            <w:r>
              <w:rPr>
                <w:rFonts w:hint="eastAsia" w:ascii="宋体" w:hAnsi="宋体" w:cs="宋体"/>
                <w:color w:val="auto"/>
                <w:sz w:val="24"/>
              </w:rPr>
              <w:t>高级信息系统项目管理师证书的得1分。(须提供相关证书扫描件及近6个月社保缴费证明扫描件并加盖公章)</w:t>
            </w:r>
          </w:p>
        </w:tc>
        <w:tc>
          <w:tcPr>
            <w:tcW w:w="721" w:type="dxa"/>
            <w:tcBorders>
              <w:top w:val="single" w:color="auto" w:sz="4" w:space="0"/>
              <w:left w:val="nil"/>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5"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342" w:type="dxa"/>
            <w:vMerge w:val="continue"/>
            <w:tcBorders>
              <w:left w:val="nil"/>
              <w:right w:val="single" w:color="auto" w:sz="4" w:space="0"/>
            </w:tcBorders>
            <w:vAlign w:val="center"/>
          </w:tcPr>
          <w:p>
            <w:pPr>
              <w:spacing w:line="360" w:lineRule="exact"/>
              <w:jc w:val="center"/>
              <w:rPr>
                <w:rFonts w:ascii="宋体" w:hAnsi="宋体" w:cs="宋体"/>
                <w:color w:val="auto"/>
                <w:sz w:val="24"/>
              </w:rPr>
            </w:pPr>
          </w:p>
        </w:tc>
        <w:tc>
          <w:tcPr>
            <w:tcW w:w="5911" w:type="dxa"/>
            <w:tcBorders>
              <w:top w:val="single" w:color="auto" w:sz="4" w:space="0"/>
              <w:left w:val="nil"/>
              <w:right w:val="single" w:color="auto" w:sz="4" w:space="0"/>
            </w:tcBorders>
            <w:vAlign w:val="center"/>
          </w:tcPr>
          <w:p>
            <w:pPr>
              <w:spacing w:line="276" w:lineRule="auto"/>
              <w:ind w:firstLine="480" w:firstLineChars="200"/>
              <w:jc w:val="left"/>
              <w:rPr>
                <w:rFonts w:ascii="宋体" w:hAnsi="宋体" w:cs="宋体"/>
                <w:color w:val="auto"/>
                <w:sz w:val="24"/>
              </w:rPr>
            </w:pPr>
            <w:r>
              <w:rPr>
                <w:rFonts w:hint="eastAsia" w:ascii="宋体" w:hAnsi="宋体" w:cs="宋体"/>
                <w:color w:val="auto"/>
                <w:sz w:val="24"/>
              </w:rPr>
              <w:t>供应商拟投入本项目</w:t>
            </w:r>
            <w:r>
              <w:rPr>
                <w:rFonts w:hint="eastAsia" w:ascii="宋体" w:hAnsi="宋体" w:cs="宋体"/>
                <w:color w:val="auto"/>
                <w:sz w:val="24"/>
                <w:lang w:val="zh-TW"/>
              </w:rPr>
              <w:t>的</w:t>
            </w:r>
            <w:r>
              <w:rPr>
                <w:rFonts w:hint="eastAsia" w:ascii="宋体" w:hAnsi="宋体" w:cs="宋体"/>
                <w:color w:val="auto"/>
                <w:sz w:val="24"/>
              </w:rPr>
              <w:t>项目组成员（除项目负责人外）具有化工类国家级中级及以上注册安全工程师的得2分。(须提供相关证书扫描件及近6个月社保缴费证明加盖公章)</w:t>
            </w:r>
          </w:p>
        </w:tc>
        <w:tc>
          <w:tcPr>
            <w:tcW w:w="721" w:type="dxa"/>
            <w:tcBorders>
              <w:top w:val="single" w:color="auto" w:sz="4" w:space="0"/>
              <w:left w:val="nil"/>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5"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342" w:type="dxa"/>
            <w:tcBorders>
              <w:left w:val="nil"/>
              <w:right w:val="single" w:color="auto" w:sz="4" w:space="0"/>
            </w:tcBorders>
            <w:vAlign w:val="center"/>
          </w:tcPr>
          <w:p>
            <w:pPr>
              <w:spacing w:line="360" w:lineRule="exact"/>
              <w:jc w:val="center"/>
              <w:rPr>
                <w:rFonts w:ascii="宋体" w:hAnsi="宋体" w:cs="宋体"/>
                <w:color w:val="auto"/>
                <w:sz w:val="24"/>
              </w:rPr>
            </w:pPr>
            <w:r>
              <w:rPr>
                <w:rFonts w:hint="eastAsia" w:ascii="宋体" w:hAnsi="宋体" w:cs="宋体"/>
                <w:color w:val="auto"/>
                <w:sz w:val="24"/>
              </w:rPr>
              <w:t>供应商荣誉（2分）</w:t>
            </w:r>
          </w:p>
        </w:tc>
        <w:tc>
          <w:tcPr>
            <w:tcW w:w="5911" w:type="dxa"/>
            <w:tcBorders>
              <w:top w:val="single" w:color="auto" w:sz="4" w:space="0"/>
              <w:left w:val="nil"/>
              <w:right w:val="single" w:color="auto" w:sz="4" w:space="0"/>
            </w:tcBorders>
            <w:vAlign w:val="center"/>
          </w:tcPr>
          <w:p>
            <w:pPr>
              <w:spacing w:line="276" w:lineRule="auto"/>
              <w:ind w:firstLine="480" w:firstLineChars="200"/>
              <w:jc w:val="left"/>
              <w:rPr>
                <w:rFonts w:ascii="宋体" w:hAnsi="宋体" w:cs="宋体"/>
                <w:color w:val="auto"/>
                <w:sz w:val="24"/>
              </w:rPr>
            </w:pPr>
            <w:r>
              <w:rPr>
                <w:rFonts w:hint="eastAsia" w:ascii="宋体" w:hAnsi="宋体" w:cs="宋体"/>
                <w:color w:val="auto"/>
                <w:sz w:val="24"/>
              </w:rPr>
              <w:t>供应商拥有国家级专精特新“小巨人”证书的得2分，省级专精特新“小巨人”证书的得1分，其余不得分。（须提供证书或奖牌等证明资料扫描件加盖公章）</w:t>
            </w:r>
          </w:p>
        </w:tc>
        <w:tc>
          <w:tcPr>
            <w:tcW w:w="721" w:type="dxa"/>
            <w:tcBorders>
              <w:top w:val="single" w:color="auto" w:sz="4" w:space="0"/>
              <w:left w:val="nil"/>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945" w:type="dxa"/>
            <w:vMerge w:val="continue"/>
            <w:tcBorders>
              <w:left w:val="single" w:color="auto" w:sz="4" w:space="0"/>
              <w:right w:val="single" w:color="auto" w:sz="4" w:space="0"/>
            </w:tcBorders>
            <w:vAlign w:val="center"/>
          </w:tcPr>
          <w:p>
            <w:pPr>
              <w:spacing w:line="360" w:lineRule="auto"/>
              <w:jc w:val="center"/>
              <w:rPr>
                <w:rFonts w:ascii="宋体" w:hAnsi="宋体"/>
                <w:color w:val="auto"/>
                <w:sz w:val="24"/>
              </w:rPr>
            </w:pPr>
          </w:p>
        </w:tc>
        <w:tc>
          <w:tcPr>
            <w:tcW w:w="1342" w:type="dxa"/>
            <w:tcBorders>
              <w:left w:val="nil"/>
              <w:right w:val="single" w:color="auto" w:sz="4" w:space="0"/>
            </w:tcBorders>
            <w:vAlign w:val="center"/>
          </w:tcPr>
          <w:p>
            <w:pPr>
              <w:spacing w:line="360" w:lineRule="exact"/>
              <w:jc w:val="center"/>
              <w:rPr>
                <w:rFonts w:ascii="宋体" w:hAnsi="宋体"/>
                <w:color w:val="auto"/>
                <w:sz w:val="24"/>
              </w:rPr>
            </w:pPr>
            <w:r>
              <w:rPr>
                <w:rFonts w:hint="eastAsia" w:ascii="宋体" w:hAnsi="宋体" w:cs="宋体"/>
                <w:color w:val="auto"/>
                <w:sz w:val="24"/>
              </w:rPr>
              <w:t>供应商</w:t>
            </w:r>
            <w:r>
              <w:rPr>
                <w:rFonts w:hint="eastAsia" w:ascii="宋体" w:hAnsi="宋体"/>
                <w:color w:val="auto"/>
                <w:sz w:val="24"/>
              </w:rPr>
              <w:t>业绩</w:t>
            </w:r>
            <w:r>
              <w:rPr>
                <w:rFonts w:hint="eastAsia" w:ascii="宋体" w:hAnsi="宋体" w:cs="宋体"/>
                <w:color w:val="auto"/>
                <w:sz w:val="24"/>
                <w:lang w:val="zh-TW"/>
              </w:rPr>
              <w:t>（</w:t>
            </w:r>
            <w:r>
              <w:rPr>
                <w:rFonts w:hint="eastAsia" w:ascii="宋体" w:hAnsi="宋体" w:cs="宋体"/>
                <w:color w:val="auto"/>
                <w:sz w:val="24"/>
              </w:rPr>
              <w:t>2</w:t>
            </w:r>
            <w:r>
              <w:rPr>
                <w:rFonts w:hint="eastAsia" w:ascii="宋体" w:hAnsi="宋体" w:cs="宋体"/>
                <w:color w:val="auto"/>
                <w:sz w:val="24"/>
                <w:lang w:val="zh-TW"/>
              </w:rPr>
              <w:t>分）</w:t>
            </w:r>
          </w:p>
        </w:tc>
        <w:tc>
          <w:tcPr>
            <w:tcW w:w="5911" w:type="dxa"/>
            <w:tcBorders>
              <w:left w:val="nil"/>
              <w:right w:val="single" w:color="auto" w:sz="4" w:space="0"/>
            </w:tcBorders>
            <w:vAlign w:val="center"/>
          </w:tcPr>
          <w:p>
            <w:pPr>
              <w:spacing w:line="276" w:lineRule="auto"/>
              <w:ind w:firstLine="480" w:firstLineChars="200"/>
              <w:jc w:val="left"/>
              <w:rPr>
                <w:rFonts w:ascii="宋体" w:hAnsi="宋体"/>
                <w:color w:val="auto"/>
                <w:sz w:val="24"/>
                <w:lang w:val="zh-CN"/>
              </w:rPr>
            </w:pPr>
            <w:r>
              <w:rPr>
                <w:rFonts w:hint="eastAsia" w:ascii="宋体" w:hAnsi="宋体"/>
                <w:color w:val="auto"/>
                <w:sz w:val="24"/>
              </w:rPr>
              <w:t>供应商</w:t>
            </w:r>
            <w:r>
              <w:rPr>
                <w:rFonts w:hint="eastAsia" w:ascii="宋体" w:hAnsi="宋体"/>
                <w:color w:val="auto"/>
                <w:sz w:val="24"/>
                <w:lang w:val="zh-CN"/>
              </w:rPr>
              <w:t>拥有2020年1月1日（以合同签订时间为准）以来</w:t>
            </w:r>
            <w:r>
              <w:rPr>
                <w:rFonts w:hint="eastAsia" w:ascii="宋体" w:hAnsi="宋体"/>
                <w:color w:val="auto"/>
                <w:sz w:val="24"/>
              </w:rPr>
              <w:t>承担过类似</w:t>
            </w:r>
            <w:r>
              <w:rPr>
                <w:rFonts w:hint="eastAsia" w:ascii="宋体" w:hAnsi="宋体"/>
                <w:color w:val="auto"/>
                <w:sz w:val="24"/>
                <w:lang w:val="zh-CN"/>
              </w:rPr>
              <w:t>项目</w:t>
            </w:r>
            <w:r>
              <w:rPr>
                <w:rFonts w:hint="eastAsia" w:ascii="宋体" w:hAnsi="宋体"/>
                <w:color w:val="auto"/>
                <w:sz w:val="24"/>
              </w:rPr>
              <w:t>业绩</w:t>
            </w:r>
            <w:r>
              <w:rPr>
                <w:rFonts w:hint="eastAsia" w:ascii="宋体" w:hAnsi="宋体"/>
                <w:color w:val="auto"/>
                <w:sz w:val="24"/>
                <w:lang w:val="zh-CN"/>
              </w:rPr>
              <w:t>的，每提供1个得</w:t>
            </w:r>
            <w:r>
              <w:rPr>
                <w:rFonts w:hint="eastAsia" w:ascii="宋体" w:hAnsi="宋体"/>
                <w:color w:val="auto"/>
                <w:sz w:val="24"/>
              </w:rPr>
              <w:t>1</w:t>
            </w:r>
            <w:r>
              <w:rPr>
                <w:rFonts w:hint="eastAsia" w:ascii="宋体" w:hAnsi="宋体"/>
                <w:color w:val="auto"/>
                <w:sz w:val="24"/>
                <w:lang w:val="zh-CN"/>
              </w:rPr>
              <w:t>分，最多得</w:t>
            </w:r>
            <w:r>
              <w:rPr>
                <w:rFonts w:hint="eastAsia" w:ascii="宋体" w:hAnsi="宋体"/>
                <w:color w:val="auto"/>
                <w:sz w:val="24"/>
              </w:rPr>
              <w:t>2</w:t>
            </w:r>
            <w:r>
              <w:rPr>
                <w:rFonts w:hint="eastAsia" w:ascii="宋体" w:hAnsi="宋体"/>
                <w:color w:val="auto"/>
                <w:sz w:val="24"/>
                <w:lang w:val="zh-CN"/>
              </w:rPr>
              <w:t>分。（</w:t>
            </w:r>
            <w:r>
              <w:rPr>
                <w:rFonts w:hint="eastAsia" w:ascii="宋体" w:hAnsi="宋体"/>
                <w:color w:val="auto"/>
                <w:sz w:val="24"/>
              </w:rPr>
              <w:t>须</w:t>
            </w:r>
            <w:r>
              <w:rPr>
                <w:rFonts w:hint="eastAsia" w:ascii="宋体" w:hAnsi="宋体"/>
                <w:color w:val="auto"/>
                <w:sz w:val="24"/>
                <w:lang w:val="zh-CN"/>
              </w:rPr>
              <w:t>提供合同</w:t>
            </w:r>
            <w:r>
              <w:rPr>
                <w:rFonts w:hint="eastAsia" w:ascii="宋体" w:hAnsi="宋体"/>
                <w:color w:val="auto"/>
                <w:sz w:val="24"/>
              </w:rPr>
              <w:t>扫描件</w:t>
            </w:r>
            <w:r>
              <w:rPr>
                <w:rFonts w:hint="eastAsia" w:ascii="宋体" w:hAnsi="宋体"/>
                <w:color w:val="auto"/>
                <w:sz w:val="24"/>
                <w:lang w:val="zh-CN"/>
              </w:rPr>
              <w:t>加盖公章，</w:t>
            </w:r>
            <w:r>
              <w:rPr>
                <w:rFonts w:hint="eastAsia" w:ascii="宋体" w:hAnsi="宋体"/>
                <w:color w:val="auto"/>
                <w:sz w:val="24"/>
              </w:rPr>
              <w:t>不提供不得分</w:t>
            </w:r>
            <w:r>
              <w:rPr>
                <w:rFonts w:hint="eastAsia" w:ascii="宋体" w:hAnsi="宋体"/>
                <w:color w:val="auto"/>
                <w:sz w:val="24"/>
                <w:lang w:val="zh-CN"/>
              </w:rPr>
              <w:t>）</w:t>
            </w:r>
          </w:p>
        </w:tc>
        <w:tc>
          <w:tcPr>
            <w:tcW w:w="721" w:type="dxa"/>
            <w:tcBorders>
              <w:top w:val="single" w:color="auto" w:sz="4" w:space="0"/>
              <w:left w:val="nil"/>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2</w:t>
            </w:r>
          </w:p>
        </w:tc>
      </w:tr>
    </w:tbl>
    <w:p>
      <w:pPr>
        <w:ind w:firstLine="482" w:firstLineChars="200"/>
        <w:rPr>
          <w:rFonts w:ascii="宋体" w:hAnsi="宋体" w:cs="宋体"/>
          <w:b/>
          <w:bCs/>
          <w:sz w:val="24"/>
        </w:rPr>
      </w:pPr>
    </w:p>
    <w:p>
      <w:pPr>
        <w:spacing w:line="360" w:lineRule="auto"/>
        <w:ind w:firstLine="480" w:firstLineChars="200"/>
        <w:rPr>
          <w:rFonts w:ascii="宋体" w:hAnsi="宋体" w:cs="宋体"/>
          <w:sz w:val="24"/>
          <w:szCs w:val="21"/>
        </w:rPr>
      </w:pPr>
      <w:r>
        <w:rPr>
          <w:rFonts w:hint="eastAsia" w:ascii="宋体" w:hAnsi="宋体" w:cs="宋体"/>
          <w:sz w:val="24"/>
          <w:szCs w:val="21"/>
        </w:rPr>
        <w:t>注：</w:t>
      </w:r>
    </w:p>
    <w:p>
      <w:pPr>
        <w:spacing w:line="360" w:lineRule="auto"/>
        <w:ind w:firstLine="480" w:firstLineChars="200"/>
        <w:rPr>
          <w:rFonts w:ascii="宋体" w:hAnsi="宋体" w:cs="宋体"/>
          <w:sz w:val="24"/>
          <w:szCs w:val="21"/>
        </w:rPr>
      </w:pPr>
      <w:r>
        <w:rPr>
          <w:rFonts w:hint="eastAsia" w:ascii="宋体" w:hAnsi="宋体" w:cs="宋体"/>
          <w:sz w:val="24"/>
          <w:szCs w:val="21"/>
        </w:rPr>
        <w:t>1、评标委员会各成员应当独立对每个投标人的投标文件进行评价，并汇总每个投标人的得分。资信分为客观分，也需独立进行评价并核对分值，最终分值需一致。</w:t>
      </w:r>
    </w:p>
    <w:p>
      <w:pPr>
        <w:spacing w:line="360" w:lineRule="auto"/>
        <w:ind w:firstLine="480" w:firstLineChars="200"/>
        <w:rPr>
          <w:rFonts w:ascii="宋体" w:hAnsi="宋体" w:cs="宋体"/>
          <w:sz w:val="24"/>
          <w:szCs w:val="21"/>
        </w:rPr>
      </w:pPr>
      <w:r>
        <w:rPr>
          <w:rFonts w:hint="eastAsia" w:ascii="宋体" w:hAnsi="宋体" w:cs="宋体"/>
          <w:sz w:val="24"/>
          <w:szCs w:val="21"/>
        </w:rPr>
        <w:t>2、所有文件、合同、证书、资质等需要真实有效。中标人在中标后签订合同时需提供以上证明文件原件，若发现资料作假的取消中标资格。</w:t>
      </w:r>
    </w:p>
    <w:bookmarkEnd w:id="424"/>
    <w:p>
      <w:pPr>
        <w:rPr>
          <w:rFonts w:ascii="宋体" w:hAnsi="宋体" w:cs="宋体"/>
          <w:b/>
          <w:sz w:val="36"/>
          <w:szCs w:val="36"/>
        </w:rPr>
      </w:pPr>
      <w:bookmarkStart w:id="426" w:name="_Toc30926"/>
      <w:bookmarkStart w:id="427" w:name="_Toc20764"/>
      <w:bookmarkStart w:id="428" w:name="_Toc27332"/>
      <w:bookmarkStart w:id="429" w:name="_Toc14208"/>
      <w:bookmarkStart w:id="430" w:name="_Toc6373"/>
      <w:bookmarkStart w:id="431" w:name="_Toc18470"/>
      <w:bookmarkStart w:id="432" w:name="_Toc29482"/>
      <w:bookmarkStart w:id="433" w:name="第五部分"/>
      <w:bookmarkStart w:id="434" w:name="_Toc86217003"/>
      <w:r>
        <w:rPr>
          <w:rFonts w:hint="eastAsia" w:ascii="宋体" w:hAnsi="宋体" w:cs="宋体"/>
          <w:b/>
          <w:sz w:val="36"/>
          <w:szCs w:val="36"/>
        </w:rPr>
        <w:br w:type="page"/>
      </w:r>
    </w:p>
    <w:p>
      <w:pPr>
        <w:pStyle w:val="7"/>
        <w:rPr>
          <w:sz w:val="32"/>
          <w:szCs w:val="21"/>
        </w:rPr>
      </w:pPr>
      <w:bookmarkStart w:id="435" w:name="_Toc31503"/>
      <w:r>
        <w:rPr>
          <w:rFonts w:hint="eastAsia"/>
          <w:sz w:val="32"/>
          <w:szCs w:val="21"/>
        </w:rPr>
        <w:t>第四部分 采购需求</w:t>
      </w:r>
      <w:bookmarkEnd w:id="426"/>
      <w:bookmarkEnd w:id="435"/>
    </w:p>
    <w:bookmarkEnd w:id="427"/>
    <w:bookmarkEnd w:id="428"/>
    <w:bookmarkEnd w:id="429"/>
    <w:bookmarkEnd w:id="430"/>
    <w:bookmarkEnd w:id="431"/>
    <w:bookmarkEnd w:id="432"/>
    <w:p>
      <w:pPr>
        <w:pStyle w:val="8"/>
        <w:jc w:val="center"/>
        <w:rPr>
          <w:rFonts w:hAnsi="宋体" w:cs="宋体"/>
        </w:rPr>
      </w:pPr>
      <w:bookmarkStart w:id="436" w:name="_Toc8066"/>
      <w:bookmarkStart w:id="437" w:name="_Toc7467"/>
      <w:r>
        <w:rPr>
          <w:rFonts w:hint="eastAsia" w:hAnsi="宋体" w:cs="宋体"/>
        </w:rPr>
        <w:t>第一章　采购内容及要求</w:t>
      </w:r>
      <w:bookmarkEnd w:id="436"/>
      <w:bookmarkEnd w:id="437"/>
    </w:p>
    <w:p>
      <w:pPr>
        <w:tabs>
          <w:tab w:val="left" w:pos="772"/>
        </w:tabs>
        <w:spacing w:line="440" w:lineRule="exact"/>
        <w:ind w:firstLine="482" w:firstLineChars="200"/>
        <w:rPr>
          <w:rFonts w:ascii="宋体" w:hAnsi="宋体"/>
          <w:b/>
          <w:sz w:val="24"/>
        </w:rPr>
      </w:pPr>
      <w:r>
        <w:rPr>
          <w:rFonts w:hint="eastAsia" w:ascii="宋体" w:hAnsi="宋体"/>
          <w:b/>
          <w:sz w:val="24"/>
        </w:rPr>
        <w:t>一、项目背景</w:t>
      </w:r>
    </w:p>
    <w:p>
      <w:pPr>
        <w:tabs>
          <w:tab w:val="left" w:pos="772"/>
        </w:tabs>
        <w:spacing w:line="440" w:lineRule="exact"/>
        <w:ind w:firstLine="480" w:firstLineChars="200"/>
        <w:rPr>
          <w:rFonts w:ascii="宋体" w:hAnsi="宋体" w:cs="宋体"/>
          <w:bCs/>
          <w:sz w:val="24"/>
        </w:rPr>
      </w:pPr>
      <w:r>
        <w:rPr>
          <w:rFonts w:hint="eastAsia" w:ascii="宋体" w:hAnsi="宋体" w:cs="宋体"/>
          <w:bCs/>
          <w:sz w:val="24"/>
        </w:rPr>
        <w:t>2020年10月10日, 工业和信息化部、应急管理部两部委联合下发《“工业互联网+安全生产”行动计划（2021—2023年）》，同年度应急管理部下发《“工业互联网+危化安全生产”试点建设方案》，杭州湾上虞经济技术开发区于2021年9月份被应急管理部遴选为全国“工业互联网+危化安全生产”试点建设单位。</w:t>
      </w:r>
    </w:p>
    <w:p>
      <w:pPr>
        <w:tabs>
          <w:tab w:val="left" w:pos="772"/>
        </w:tabs>
        <w:spacing w:line="440" w:lineRule="exact"/>
        <w:ind w:firstLine="480" w:firstLineChars="200"/>
        <w:rPr>
          <w:rFonts w:ascii="宋体" w:hAnsi="宋体" w:cs="宋体"/>
          <w:bCs/>
          <w:sz w:val="24"/>
        </w:rPr>
      </w:pPr>
      <w:r>
        <w:rPr>
          <w:rFonts w:hint="eastAsia" w:ascii="宋体" w:hAnsi="宋体" w:cs="宋体"/>
          <w:bCs/>
          <w:sz w:val="24"/>
        </w:rPr>
        <w:t>根据《“工业互联网+危化安全生产”试点建设方案》的建设要求，进一步迭代深化危化品安全环保智慧监管平台，满足实现涉危化部门上下贯通、多跨协同、一体运行的需要，拟建立一套先进的管理体系，真正推动线上线下一体化联合办公，打造一个落地实用的综合管理服务平台，以数字化手段赋能危化品全生命周期监管一件事，推动危险化学品安全风险管控数字化转型、智能化升级，建成危险化学品“一件事”数字化集成协同系统。</w:t>
      </w:r>
    </w:p>
    <w:p>
      <w:pPr>
        <w:numPr>
          <w:ilvl w:val="0"/>
          <w:numId w:val="35"/>
        </w:numPr>
        <w:tabs>
          <w:tab w:val="left" w:pos="772"/>
        </w:tabs>
        <w:spacing w:line="440" w:lineRule="exact"/>
        <w:ind w:firstLine="482" w:firstLineChars="200"/>
        <w:rPr>
          <w:rFonts w:ascii="宋体" w:hAnsi="宋体" w:cs="宋体"/>
          <w:b/>
          <w:sz w:val="24"/>
        </w:rPr>
      </w:pPr>
      <w:r>
        <w:rPr>
          <w:rFonts w:hint="eastAsia" w:ascii="宋体" w:hAnsi="宋体" w:cs="宋体"/>
          <w:b/>
          <w:sz w:val="24"/>
        </w:rPr>
        <w:t>项目需求</w:t>
      </w:r>
    </w:p>
    <w:p>
      <w:pPr>
        <w:tabs>
          <w:tab w:val="left" w:pos="772"/>
        </w:tabs>
        <w:spacing w:line="440" w:lineRule="exact"/>
        <w:ind w:firstLine="482" w:firstLineChars="200"/>
        <w:rPr>
          <w:rFonts w:ascii="宋体" w:hAnsi="宋体" w:cs="宋体"/>
          <w:b/>
          <w:sz w:val="24"/>
        </w:rPr>
      </w:pPr>
      <w:r>
        <w:rPr>
          <w:rFonts w:hint="eastAsia" w:ascii="宋体" w:hAnsi="宋体" w:cs="宋体"/>
          <w:b/>
          <w:sz w:val="24"/>
        </w:rPr>
        <w:t>（一）危化品“一件事”建设需求</w:t>
      </w:r>
    </w:p>
    <w:p>
      <w:pPr>
        <w:tabs>
          <w:tab w:val="left" w:pos="772"/>
        </w:tabs>
        <w:spacing w:line="440" w:lineRule="exact"/>
        <w:ind w:firstLine="480" w:firstLineChars="200"/>
        <w:rPr>
          <w:rFonts w:ascii="宋体" w:hAnsi="宋体" w:cs="宋体"/>
          <w:bCs/>
          <w:sz w:val="24"/>
        </w:rPr>
      </w:pPr>
      <w:r>
        <w:rPr>
          <w:rFonts w:hint="eastAsia" w:ascii="宋体" w:hAnsi="宋体" w:cs="宋体"/>
          <w:bCs/>
          <w:sz w:val="24"/>
        </w:rPr>
        <w:t>根据《中共绍兴市上虞区委办公室绍兴市上虞区人民政府办公室 关于开展危险化学品安全生产“一件事”集成改革的实施意见》的要求，坚持发展与安全并重，改革与安全并进，经研究，决定开展危险化学品安全生产“一件事”集成改革，切实筑牢安全防线，助力我区化工产业高质量发展，为打造“重要窗口”提供安全生产上虞样板。</w:t>
      </w:r>
    </w:p>
    <w:p>
      <w:pPr>
        <w:tabs>
          <w:tab w:val="left" w:pos="772"/>
        </w:tabs>
        <w:spacing w:line="440" w:lineRule="exact"/>
        <w:ind w:firstLine="482" w:firstLineChars="200"/>
        <w:rPr>
          <w:rFonts w:ascii="宋体" w:hAnsi="宋体" w:cs="宋体"/>
          <w:b/>
          <w:sz w:val="24"/>
        </w:rPr>
      </w:pPr>
      <w:r>
        <w:rPr>
          <w:rFonts w:hint="eastAsia" w:ascii="宋体" w:hAnsi="宋体" w:cs="宋体"/>
          <w:b/>
          <w:sz w:val="24"/>
        </w:rPr>
        <w:t>（二）“工业互联网+危化安全生产”试点建设需求</w:t>
      </w:r>
    </w:p>
    <w:p>
      <w:pPr>
        <w:tabs>
          <w:tab w:val="left" w:pos="772"/>
        </w:tabs>
        <w:spacing w:line="440" w:lineRule="exact"/>
        <w:ind w:firstLine="480" w:firstLineChars="200"/>
        <w:rPr>
          <w:rFonts w:ascii="宋体" w:hAnsi="宋体" w:cs="宋体"/>
          <w:bCs/>
          <w:sz w:val="24"/>
        </w:rPr>
      </w:pPr>
      <w:r>
        <w:rPr>
          <w:rFonts w:hint="eastAsia" w:ascii="宋体" w:hAnsi="宋体" w:cs="宋体"/>
          <w:bCs/>
          <w:sz w:val="24"/>
        </w:rPr>
        <w:t>园区2021年9月份被评为全国“工业互联网+危化安全生产”试点建设单位，为落实工信部、应急管理部两部委《“工业互联网+安全生产”行动计划（2021—2023 年）》和应急管理部《“工业互联网+危化安全生产”试点建设方案》（应急厅〔2021〕27号）的工作安排，促进工业互联网在危险化学品行业安全生产监测预警中的创新应用，推动危险化学品安全风险管控数字化转型智能化转型，进行“工业互联网+危化安全生产”业务场景建设。</w:t>
      </w:r>
    </w:p>
    <w:p>
      <w:pPr>
        <w:tabs>
          <w:tab w:val="left" w:pos="772"/>
        </w:tabs>
        <w:spacing w:line="440" w:lineRule="exact"/>
        <w:ind w:firstLine="482" w:firstLineChars="200"/>
        <w:rPr>
          <w:rFonts w:ascii="宋体" w:hAnsi="宋体" w:cs="宋体"/>
          <w:b/>
          <w:sz w:val="24"/>
        </w:rPr>
      </w:pPr>
      <w:r>
        <w:rPr>
          <w:rFonts w:hint="eastAsia" w:ascii="宋体" w:hAnsi="宋体" w:cs="宋体"/>
          <w:b/>
          <w:sz w:val="24"/>
        </w:rPr>
        <w:t>（三）智慧监管平台升级</w:t>
      </w:r>
    </w:p>
    <w:p>
      <w:pPr>
        <w:tabs>
          <w:tab w:val="left" w:pos="772"/>
        </w:tabs>
        <w:spacing w:line="440" w:lineRule="exact"/>
        <w:ind w:firstLine="480" w:firstLineChars="200"/>
        <w:rPr>
          <w:rFonts w:ascii="宋体" w:hAnsi="宋体" w:cs="宋体"/>
          <w:bCs/>
          <w:sz w:val="24"/>
        </w:rPr>
      </w:pPr>
      <w:r>
        <w:rPr>
          <w:rFonts w:hint="eastAsia" w:ascii="宋体" w:hAnsi="宋体" w:cs="宋体"/>
          <w:bCs/>
          <w:sz w:val="24"/>
        </w:rPr>
        <w:t>园区智慧监管平台自2019年运行以来，已初步实现安全全链条监管，环保全覆盖监测，智能高空瞭望全区域巡查，同时通过建立线上线下四大运行工作机制，在隐患排查、报警闭环等方面取得了初步成效。但平台在落地实用方面，与上级的要求和实际需要还存在一定差距，平台在数据管理、应急联动等方面存在的问题解决不彻底、不智能的情况愈加凸显。为充分响应应急管理部相关要求，结合监管平台当前发展需求，更好的发挥平台“监管+服务”的作用，支撑建立一套先进的管理体系，真正推动线上线下一体化联合办公，打造一个落地实用的综合管理服务平台。</w:t>
      </w:r>
    </w:p>
    <w:p>
      <w:pPr>
        <w:tabs>
          <w:tab w:val="left" w:pos="772"/>
        </w:tabs>
        <w:spacing w:line="440" w:lineRule="exact"/>
        <w:ind w:firstLine="482" w:firstLineChars="200"/>
        <w:rPr>
          <w:rFonts w:ascii="宋体" w:hAnsi="宋体" w:cs="宋体"/>
          <w:b/>
          <w:sz w:val="24"/>
        </w:rPr>
      </w:pPr>
      <w:r>
        <w:rPr>
          <w:rFonts w:hint="eastAsia" w:ascii="宋体" w:hAnsi="宋体" w:cs="宋体"/>
          <w:b/>
          <w:sz w:val="24"/>
        </w:rPr>
        <w:t>（四）企业应用场景建设</w:t>
      </w:r>
    </w:p>
    <w:p>
      <w:pPr>
        <w:tabs>
          <w:tab w:val="left" w:pos="772"/>
        </w:tabs>
        <w:spacing w:line="440" w:lineRule="exact"/>
        <w:ind w:firstLine="480" w:firstLineChars="200"/>
        <w:rPr>
          <w:rFonts w:ascii="宋体" w:hAnsi="宋体" w:cs="宋体"/>
          <w:bCs/>
          <w:sz w:val="24"/>
        </w:rPr>
      </w:pPr>
      <w:r>
        <w:rPr>
          <w:rFonts w:hint="eastAsia" w:ascii="宋体" w:hAnsi="宋体" w:cs="宋体"/>
          <w:bCs/>
          <w:sz w:val="24"/>
        </w:rPr>
        <w:t>按照《“工业互联网+危化安全生产”试点建设方案》中对特殊作业以及双重预防机制的要求，结合企业应用场景，建设作业许可和作业过程管理系统与双重预防体系数字化管理系统。</w:t>
      </w:r>
    </w:p>
    <w:p>
      <w:pPr>
        <w:tabs>
          <w:tab w:val="left" w:pos="772"/>
        </w:tabs>
        <w:spacing w:line="440" w:lineRule="exact"/>
        <w:ind w:firstLine="482" w:firstLineChars="200"/>
        <w:rPr>
          <w:rFonts w:ascii="宋体" w:hAnsi="宋体" w:cs="宋体"/>
          <w:b/>
          <w:sz w:val="24"/>
        </w:rPr>
      </w:pPr>
      <w:r>
        <w:rPr>
          <w:rFonts w:hint="eastAsia" w:ascii="宋体" w:hAnsi="宋体" w:cs="宋体"/>
          <w:b/>
          <w:sz w:val="24"/>
        </w:rPr>
        <w:t>（五）企业安全风险诊断分析</w:t>
      </w:r>
    </w:p>
    <w:p>
      <w:pPr>
        <w:tabs>
          <w:tab w:val="left" w:pos="772"/>
        </w:tabs>
        <w:spacing w:line="440" w:lineRule="exact"/>
        <w:ind w:firstLine="480" w:firstLineChars="200"/>
        <w:rPr>
          <w:rFonts w:ascii="宋体" w:hAnsi="宋体" w:cs="宋体"/>
          <w:bCs/>
          <w:sz w:val="24"/>
        </w:rPr>
      </w:pPr>
      <w:r>
        <w:rPr>
          <w:rFonts w:hint="eastAsia" w:ascii="宋体" w:hAnsi="宋体" w:cs="宋体"/>
          <w:bCs/>
          <w:sz w:val="24"/>
        </w:rPr>
        <w:t>本次企业安全智能化诊断分析（下称企业调研）以企业安全风险分级管控体系建设及运行情况为依据，对涉及危险化学品泄漏、火灾、爆炸和中毒安全风险的较大及重大风险点的各种数字化监管手段进行摸排梳理，寻求数字化整合方案。重点关注企业的“两重点一重大”、甲乙类生产装置、危化品罐区、危化品仓库、危化品装卸等区域，梳理其安全风险数字化监管手段主要包括工艺安全数据、安全联锁数据、可燃有毒气体监测数据和视频数据等。借助园区最新的“工业互联网+危化安全生产”系统平台，整合企业安全风险各种数字化监管数据，通过系统功能实现园区对企业安全风险的监管新模式。</w:t>
      </w:r>
    </w:p>
    <w:p>
      <w:pPr>
        <w:tabs>
          <w:tab w:val="left" w:pos="772"/>
        </w:tabs>
        <w:spacing w:line="440" w:lineRule="exact"/>
        <w:ind w:firstLine="482" w:firstLineChars="200"/>
        <w:rPr>
          <w:rFonts w:ascii="宋体" w:hAnsi="宋体" w:cs="宋体"/>
          <w:b/>
          <w:sz w:val="24"/>
        </w:rPr>
      </w:pPr>
      <w:r>
        <w:rPr>
          <w:rFonts w:hint="eastAsia" w:ascii="宋体" w:hAnsi="宋体" w:cs="宋体"/>
          <w:b/>
          <w:sz w:val="24"/>
        </w:rPr>
        <w:t>（六）工业互联网平台</w:t>
      </w:r>
    </w:p>
    <w:p>
      <w:pPr>
        <w:tabs>
          <w:tab w:val="left" w:pos="772"/>
        </w:tabs>
        <w:spacing w:line="440" w:lineRule="exact"/>
        <w:ind w:firstLine="480" w:firstLineChars="200"/>
        <w:rPr>
          <w:rFonts w:ascii="宋体" w:hAnsi="宋体" w:cs="宋体"/>
          <w:bCs/>
          <w:sz w:val="24"/>
        </w:rPr>
      </w:pPr>
      <w:r>
        <w:rPr>
          <w:rFonts w:hint="eastAsia" w:ascii="宋体" w:hAnsi="宋体" w:cs="宋体"/>
          <w:bCs/>
          <w:sz w:val="24"/>
        </w:rPr>
        <w:t>平台应按照工业互联网平台架构进行设计，建立统一的标准规范体系和安全运维保障体系，保证系统平台的规范、安全和稳定运行。工业互联网平台应包括智能化能力组件、哨兵系统云边计算平台、三维地理信息服务等。</w:t>
      </w:r>
    </w:p>
    <w:p>
      <w:pPr>
        <w:tabs>
          <w:tab w:val="left" w:pos="772"/>
        </w:tabs>
        <w:spacing w:line="440" w:lineRule="exact"/>
        <w:ind w:firstLine="482" w:firstLineChars="200"/>
        <w:rPr>
          <w:rFonts w:ascii="宋体" w:hAnsi="宋体" w:cs="宋体"/>
          <w:b/>
          <w:sz w:val="24"/>
        </w:rPr>
      </w:pPr>
      <w:r>
        <w:rPr>
          <w:rFonts w:hint="eastAsia" w:ascii="宋体" w:hAnsi="宋体" w:cs="宋体"/>
          <w:b/>
          <w:sz w:val="24"/>
        </w:rPr>
        <w:t>（七）移动端</w:t>
      </w:r>
    </w:p>
    <w:p>
      <w:pPr>
        <w:tabs>
          <w:tab w:val="left" w:pos="772"/>
        </w:tabs>
        <w:spacing w:line="440" w:lineRule="exact"/>
        <w:ind w:firstLine="480" w:firstLineChars="200"/>
        <w:rPr>
          <w:rFonts w:ascii="宋体" w:hAnsi="宋体" w:cs="宋体"/>
          <w:bCs/>
          <w:sz w:val="24"/>
        </w:rPr>
      </w:pPr>
      <w:r>
        <w:rPr>
          <w:rFonts w:hint="eastAsia" w:ascii="宋体" w:hAnsi="宋体" w:cs="宋体"/>
          <w:bCs/>
          <w:sz w:val="24"/>
        </w:rPr>
        <w:t>升级园区工作通，将部分场景应用建设集成到浙政钉和浙里办中，集成场景页面主要为分析、统计、评价类页面。</w:t>
      </w:r>
    </w:p>
    <w:p>
      <w:pPr>
        <w:tabs>
          <w:tab w:val="left" w:pos="772"/>
        </w:tabs>
        <w:spacing w:line="440" w:lineRule="exact"/>
        <w:ind w:firstLine="480" w:firstLineChars="200"/>
        <w:rPr>
          <w:rFonts w:ascii="宋体" w:hAnsi="宋体" w:cs="宋体"/>
          <w:bCs/>
          <w:sz w:val="24"/>
        </w:rPr>
      </w:pPr>
      <w:r>
        <w:rPr>
          <w:rFonts w:hint="eastAsia" w:ascii="宋体" w:hAnsi="宋体" w:cs="宋体"/>
          <w:bCs/>
          <w:sz w:val="24"/>
        </w:rPr>
        <w:t>针对化工园区场景进行应用门户集成开发，上线接入数字化改革门户，建设内容主要包括场景名称、场景简介、核心指标（指标体系）、整体画像、工作体系、核心场景、数据共享、协同单位、应用成效、政策体系等。</w:t>
      </w:r>
    </w:p>
    <w:p>
      <w:pPr>
        <w:tabs>
          <w:tab w:val="left" w:pos="772"/>
        </w:tabs>
        <w:spacing w:line="440" w:lineRule="exact"/>
        <w:ind w:firstLine="482" w:firstLineChars="200"/>
        <w:rPr>
          <w:rFonts w:ascii="宋体" w:hAnsi="宋体" w:cs="宋体"/>
          <w:b/>
          <w:sz w:val="24"/>
        </w:rPr>
      </w:pPr>
      <w:r>
        <w:rPr>
          <w:rFonts w:hint="eastAsia" w:ascii="宋体" w:hAnsi="宋体" w:cs="宋体"/>
          <w:b/>
          <w:sz w:val="24"/>
        </w:rPr>
        <w:t>（八）硬件设备</w:t>
      </w:r>
    </w:p>
    <w:p>
      <w:pPr>
        <w:tabs>
          <w:tab w:val="left" w:pos="772"/>
        </w:tabs>
        <w:spacing w:line="440" w:lineRule="exact"/>
        <w:ind w:firstLine="480" w:firstLineChars="200"/>
        <w:rPr>
          <w:rFonts w:ascii="宋体" w:hAnsi="宋体" w:cs="宋体"/>
          <w:bCs/>
          <w:sz w:val="24"/>
        </w:rPr>
        <w:sectPr>
          <w:pgSz w:w="11906" w:h="16838"/>
          <w:pgMar w:top="1440" w:right="1800" w:bottom="1440" w:left="1800" w:header="851" w:footer="992" w:gutter="0"/>
          <w:cols w:space="720" w:num="1"/>
          <w:docGrid w:type="lines" w:linePitch="312" w:charSpace="0"/>
        </w:sectPr>
      </w:pPr>
      <w:r>
        <w:rPr>
          <w:rFonts w:hint="eastAsia" w:ascii="宋体" w:hAnsi="宋体" w:cs="宋体"/>
          <w:bCs/>
          <w:sz w:val="24"/>
        </w:rPr>
        <w:t>基于现有系统硬件设施、软件部署调研以及项目建设需求、功能实现，并充分利用原有前端感知设备、视频采集架构等硬件设施前提下，本着“满足系统运行、减少硬件配置”原则，以满足系统运行需求为核心，对项目建设硬件规划配置。应包括数据中心建设、网络设备、容灾和硬件托管、安全等保、视频存储升级、高空瞭望、360°全景摄像头、有毒有害监测大范围速扫设备、易演练硬件设备、哨兵边缘计算设备、铁塔租赁和设备安装等。</w:t>
      </w:r>
    </w:p>
    <w:p>
      <w:pPr>
        <w:numPr>
          <w:ilvl w:val="0"/>
          <w:numId w:val="35"/>
        </w:numPr>
        <w:tabs>
          <w:tab w:val="left" w:pos="772"/>
        </w:tabs>
        <w:spacing w:line="440" w:lineRule="exact"/>
        <w:ind w:firstLine="482" w:firstLineChars="200"/>
        <w:rPr>
          <w:rFonts w:ascii="宋体" w:hAnsi="宋体" w:cs="宋体"/>
          <w:b/>
          <w:sz w:val="24"/>
        </w:rPr>
      </w:pPr>
      <w:r>
        <w:rPr>
          <w:rFonts w:hint="eastAsia" w:ascii="宋体" w:hAnsi="宋体" w:cs="宋体"/>
          <w:b/>
          <w:sz w:val="24"/>
        </w:rPr>
        <w:t>项目建设清单</w:t>
      </w:r>
    </w:p>
    <w:p>
      <w:pPr>
        <w:numPr>
          <w:ilvl w:val="0"/>
          <w:numId w:val="36"/>
        </w:numPr>
        <w:tabs>
          <w:tab w:val="left" w:pos="772"/>
        </w:tabs>
        <w:spacing w:line="440" w:lineRule="exact"/>
        <w:ind w:firstLine="482" w:firstLineChars="200"/>
        <w:rPr>
          <w:rFonts w:ascii="宋体" w:hAnsi="宋体" w:cs="宋体"/>
          <w:b/>
          <w:sz w:val="24"/>
        </w:rPr>
      </w:pPr>
      <w:r>
        <w:rPr>
          <w:rFonts w:hint="eastAsia" w:ascii="宋体" w:hAnsi="宋体" w:cs="宋体"/>
          <w:b/>
          <w:sz w:val="24"/>
        </w:rPr>
        <w:t>软件系统建设清单</w:t>
      </w:r>
    </w:p>
    <w:tbl>
      <w:tblPr>
        <w:tblStyle w:val="23"/>
        <w:tblW w:w="5000" w:type="pct"/>
        <w:tblInd w:w="0" w:type="dxa"/>
        <w:tblLayout w:type="autofit"/>
        <w:tblCellMar>
          <w:top w:w="0" w:type="dxa"/>
          <w:left w:w="108" w:type="dxa"/>
          <w:bottom w:w="0" w:type="dxa"/>
          <w:right w:w="108" w:type="dxa"/>
        </w:tblCellMar>
      </w:tblPr>
      <w:tblGrid>
        <w:gridCol w:w="901"/>
        <w:gridCol w:w="919"/>
        <w:gridCol w:w="10525"/>
        <w:gridCol w:w="913"/>
        <w:gridCol w:w="916"/>
      </w:tblGrid>
      <w:tr>
        <w:tblPrEx>
          <w:tblCellMar>
            <w:top w:w="0" w:type="dxa"/>
            <w:left w:w="108" w:type="dxa"/>
            <w:bottom w:w="0" w:type="dxa"/>
            <w:right w:w="108" w:type="dxa"/>
          </w:tblCellMar>
        </w:tblPrEx>
        <w:trPr>
          <w:trHeight w:val="276" w:hRule="atLeast"/>
        </w:trPr>
        <w:tc>
          <w:tcPr>
            <w:tcW w:w="31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系统</w:t>
            </w:r>
          </w:p>
        </w:tc>
        <w:tc>
          <w:tcPr>
            <w:tcW w:w="323"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模块</w:t>
            </w:r>
          </w:p>
        </w:tc>
        <w:tc>
          <w:tcPr>
            <w:tcW w:w="3712"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建设内容</w:t>
            </w:r>
          </w:p>
        </w:tc>
        <w:tc>
          <w:tcPr>
            <w:tcW w:w="322"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w:t>
            </w:r>
          </w:p>
        </w:tc>
        <w:tc>
          <w:tcPr>
            <w:tcW w:w="323"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数量</w:t>
            </w:r>
          </w:p>
        </w:tc>
      </w:tr>
      <w:tr>
        <w:tblPrEx>
          <w:tblCellMar>
            <w:top w:w="0" w:type="dxa"/>
            <w:left w:w="108" w:type="dxa"/>
            <w:bottom w:w="0" w:type="dxa"/>
            <w:right w:w="108" w:type="dxa"/>
          </w:tblCellMar>
        </w:tblPrEx>
        <w:trPr>
          <w:trHeight w:val="312" w:hRule="atLeast"/>
        </w:trPr>
        <w:tc>
          <w:tcPr>
            <w:tcW w:w="4354" w:type="pct"/>
            <w:gridSpan w:val="3"/>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一.危化品监管“一件事”集成应用</w:t>
            </w:r>
          </w:p>
        </w:tc>
        <w:tc>
          <w:tcPr>
            <w:tcW w:w="322" w:type="pct"/>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323" w:type="pct"/>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480" w:hRule="atLeast"/>
        </w:trPr>
        <w:tc>
          <w:tcPr>
            <w:tcW w:w="31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监管数据多跨融合</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监管资源目录</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建设监管资源目录模块，包括监管资源目录编制、资源目录动态维护、资源目录服务等功能。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90" w:hRule="atLeast"/>
        </w:trPr>
        <w:tc>
          <w:tcPr>
            <w:tcW w:w="318"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监管数据接入</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建设监管数据接入模块，包括数据资源交换、共享数据接入、信息数据申报等功能。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监管数据治理</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建设监管数据治理模块，包括数据抽取、数据转换、数据清洗、数据关联、数据标识等功能。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监管数据融合</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建设监管数据融合模块，包括数据共享资源池、数据标准化处理、标准化数据存储等功能。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危化品全生命周期监管平台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危化品监管数据管理</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建设危化品监管数据管理模块，包括生命周期维度目录管理、数据来源目录管理、数据共享目录检索、全生命周期资源视图、数据来源资源视图、监管环节资源视图等功能。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923" w:hRule="atLeast"/>
        </w:trPr>
        <w:tc>
          <w:tcPr>
            <w:tcW w:w="318"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危化品监管数据应用</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危化品监管数据应用模块，包括数据关联信息查询、基础监管信息查询、全生命周期数据查询、资源需求方管理、资源提供方管理、资源共享方式管理、数据资源审批流程管理、数据资源使用申请、数据资源使用审批、数据资源共享分发、数据提供监测、数据使用监测、平台运行监测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危化品监管业务预警</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建设危化品监管业务预警模块，包括风险预警模型管理、危化品风险预警、预警统计分析等功能。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危化品知识库</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建设危化品知识库模块，包括MSDS库、事故案例库、法规标准库等功能。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20" w:hRule="atLeast"/>
        </w:trPr>
        <w:tc>
          <w:tcPr>
            <w:tcW w:w="31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协同智治应用平台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“一流程”监管执法</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一流程”监管执法模块，包括在线监测报警数据对接、视频AI报警数据对接、执法线索清单生成、执法任务生成、执法任务派发、执法任务督办、执法任务处置、执法任务闭环管理、执法任务查询、任务单统计分析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20" w:hRule="atLeast"/>
        </w:trPr>
        <w:tc>
          <w:tcPr>
            <w:tcW w:w="318"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“一队伍”整合联动</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建设“一队伍”整合联动模块，包括工作事项创建、工作事项派发、工作事项办理、工作事项流转、重点事项挂牌督办、事项详情查看、工作事项闭环管理、工作事项综合查询、工作事项统计分析等功能。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20" w:hRule="atLeast"/>
        </w:trPr>
        <w:tc>
          <w:tcPr>
            <w:tcW w:w="318"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“一体系”精准救援</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建设“一体系”精准救援模块，包括敏捷应急数据对接、应急资源信息展示、应急预案信息展示、应急演练信息展示、应急专题信息展示等功能。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20" w:hRule="atLeast"/>
        </w:trPr>
        <w:tc>
          <w:tcPr>
            <w:tcW w:w="318"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“一全套”高效服务</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建设“一全套”高效服务模块，包括系统入口归并、业务通知归集、第三方服务机构管理等功能。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“一件事”集成驾驶舱</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监管数字地图</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建设监管数字地图模块，包括危化品生产地图、危化品运输地图、危化品储存地图等功能。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监管统计分析</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建设监管统计分析模块，包括生产统计分析、运输统计分析、储存统计分析、使用统计分析、处置统计分析等功能。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业务专题分析</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建设业务专题分析模块，包括重点监管危化品、重点危化品企业、危化品园区专题等功能。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生命周期分析</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建设生命周期分析模块，包括全生命周期溯源分析、全生命周期流向分析等功能。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312" w:hRule="atLeast"/>
        </w:trPr>
        <w:tc>
          <w:tcPr>
            <w:tcW w:w="4354"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二.“工业互联网+危化安全生产”园区应用场景</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64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危险化学品风险监测预警</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建设危险化学品风险监测预警模块，包括数字化监管措施清单管理、优化数据接入、安全生产风险监测预警模型、预报警闭环处置、过程报警智能评</w:t>
            </w:r>
            <w:r>
              <w:rPr>
                <w:rFonts w:hint="eastAsia" w:ascii="宋体" w:hAnsi="宋体" w:eastAsia="宋体" w:cs="宋体"/>
                <w:color w:val="auto"/>
                <w:kern w:val="0"/>
                <w:sz w:val="20"/>
                <w:szCs w:val="20"/>
              </w:rPr>
              <w:t>估（利用“过程报警智能评估系统”可以快速针对企业的报警情况进行评估，通过导入DCS、PLC等控制系统的报警记录，针对企业化工过程报警、有毒可燃气体报警、火灾监测等系统的报警和处置情况进行全方位的分析,根据预先设定的KPI参数，对企业的报警系统的有效性进行评估，并自动生成评估报告。评估报告可以评价企业的报警系统的有效性，并提出改进方法）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804" w:hRule="atLeast"/>
        </w:trPr>
        <w:tc>
          <w:tcPr>
            <w:tcW w:w="318" w:type="pct"/>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重大危险源安全管理</w:t>
            </w:r>
          </w:p>
        </w:tc>
        <w:tc>
          <w:tcPr>
            <w:tcW w:w="32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重大危险源管理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建设重大危险源管理模块，包括重大危险源信息管理、重大危险源包保责任制管理、重大危险源重大风险管控、重大危险源评价/评估报告管理、重大危险源分类监管、重大危险源风险分布图等功能。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804"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重点监管工艺信息</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建设重点监管工艺信息模块，包括重点监管工艺档案、重点监管危化工艺评价/评估报告管理、数据可视化、重点监管危化工艺分布图等功能。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804"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重点监管危险化学品信息</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建设重点监管危险化学品信息模块，包括重点监管危险化学品档案、危险化学品技术说明书库、重点监管危险化学品全链条监管、重点监管危险化学品分布图等功能。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804"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监测预警管理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建设监测预警管理模块，包括报警台账管理、报警统计分析、报警闭环管理等功能。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804"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设备设施检查管理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建设设备设施检查管理模块，包括两重点一重大安全设备设施管理等功能。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804"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重大危险源评价</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建设重大危险源评价模块，实现对重大危险源、监管工艺、监管危险化学品的报警、统计、响应处置率、报警率等统计分析，并生成周报推送给园区管理者和企业，实现园区对两重点一重大的全流程落实与管理。</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672" w:hRule="atLeast"/>
        </w:trPr>
        <w:tc>
          <w:tcPr>
            <w:tcW w:w="318" w:type="pct"/>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特殊作业管理</w:t>
            </w:r>
          </w:p>
        </w:tc>
        <w:tc>
          <w:tcPr>
            <w:tcW w:w="32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企业特殊作业报备管理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建设企业特殊作业报备管理模块，实现企业特殊作业报备。</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0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特殊作业在线抽查检查</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建设特殊作业在线抽查检查模块，包括特殊作业分布、无计划作业智能</w:t>
            </w:r>
            <w:r>
              <w:rPr>
                <w:rFonts w:hint="eastAsia" w:ascii="宋体" w:hAnsi="宋体" w:eastAsia="宋体" w:cs="宋体"/>
                <w:color w:val="auto"/>
                <w:kern w:val="0"/>
                <w:sz w:val="20"/>
                <w:szCs w:val="20"/>
              </w:rPr>
              <w:t>识别（通过视频分析技术、预测预警模型算法，及时识别企业未进行报备的动火、登高、吊装等作业活动，对疑是的无计划作业活动推送平台运营人员或第三方安全服务人员进行“线上+线下”核查，核查确认的结果通过系统流程向相关企业进行信息推送）、特殊作</w:t>
            </w:r>
            <w:r>
              <w:rPr>
                <w:rFonts w:hint="eastAsia" w:ascii="宋体" w:hAnsi="宋体" w:eastAsia="宋体" w:cs="宋体"/>
                <w:color w:val="000000"/>
                <w:kern w:val="0"/>
                <w:sz w:val="20"/>
                <w:szCs w:val="20"/>
              </w:rPr>
              <w:t>业监测预警、特殊作业在线抽查检查等功能。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96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特殊作业统计评估分析</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特殊作业统计评估分析模块，实现与园区内企业电子作业许可系统的结构化数据对接，作业结束后，园区相关安全管理人员或平台运营人员可通过作业票、系统置换方案、气体分析等材料，按不同企业、不同时间、不同作业类型等进行多维度的统计分析，实现在园区电子地图上实时显示和快速查询，并生成周报推送给园区管理者和企业，实现园区对特殊作业活动的全流程落实与管理。</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20" w:hRule="atLeast"/>
        </w:trPr>
        <w:tc>
          <w:tcPr>
            <w:tcW w:w="318" w:type="pct"/>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双重预防机制</w:t>
            </w:r>
          </w:p>
        </w:tc>
        <w:tc>
          <w:tcPr>
            <w:tcW w:w="32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双重预防机制运行评价管理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系统建立双重预防机制运行效果评价模型，从企业双重预防机制建立（否决项）、动态风险变化、隐患排查任务执行率、隐患整改率、重大隐患数量、隐患督办次数6个维度，实时在线监测运行效果；建立可变式统计、比重、类型模型，园区可根据当地政策改变运行评价维度，保证更加契合当地政策，并为园区做好服务。</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20" w:hRule="atLeast"/>
        </w:trPr>
        <w:tc>
          <w:tcPr>
            <w:tcW w:w="31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风险动态评价管理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立风险评估等级规则模型，通过人员风险、物的风险、环境风险、管理风险4大维度，培训管理、承包商管理、特殊作业管理、视频智能应用、特种设备管理、业务报警、设备设施管理、综合报警管理、隐患排查等18小项，全方位评估企业区域动态风险变化。</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风险分级管理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建设风险分级管理模块，包括风险评价依据库、风险管控统计档案、风险分区管控四色图、两单三卡管理等功能。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隐患排查管理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建设隐患排查管理模块，包括隐患排查依据库、隐患排查计划、隐患排查治理台账等功能。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园区监督管理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建设园区监督管理模块，包括隐患整改督办、运行效果抽查检查等功能。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960" w:hRule="atLeast"/>
        </w:trPr>
        <w:tc>
          <w:tcPr>
            <w:tcW w:w="318" w:type="pct"/>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企业双重预防机制信息系统对接</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预留数据接口，与企业自主开发双重预防机制信息化系统与平台对接，实现数据互联互通。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实现园区系统可以穿透到企业端双重预防机制信息系统，查看企业生产装置/罐区、风险事件数量、隐患数量等基本信息，并可查询企业风险分级管控清单和隐患排查清单。</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20" w:hRule="atLeast"/>
        </w:trPr>
        <w:tc>
          <w:tcPr>
            <w:tcW w:w="318" w:type="pct"/>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安全基础管理</w:t>
            </w:r>
          </w:p>
        </w:tc>
        <w:tc>
          <w:tcPr>
            <w:tcW w:w="32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化工园区基础信息管理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建设化工园区基础信息管理模块，包括园区基本信息、企业基本信息、园区规划体系、园区管理体系、园区经济发展、园区安全准入等功能。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2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安全行政许可管理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安全行政许可管理，实现危险化学品建设项目“三同时”和安全生产许可相关证照材料线上提报、审核、查阅等全流程监管功能。支持危险化学品建设项目“三同时”管理流程和安全生产许可流程灵活配置，以及建设项目按类别、阶段、许可证类型等多维度统计分析和可视化展示，并对证照有效期进行监测预警。</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2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装置开停车和大检修管理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建设装置开停车和大检修管理模块，包括企业开停车和大检修报备、开停车和大检修过程管理、统计分析等功能。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第三方单位管理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建设第三方单位管理模块，包括第三方信息档案、第三方安全培训管理、第三方评价依据库、第三方诚信评价等功能。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96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安全法律法规信息管理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安全法律法规信息管理管理模块，实现安全生产法律、法规识别和获取的信息化，形成法律法规、标准及政府其他有关要求的清单和文本数据库，并定期更新。相关方可以通过系统及时获取适用的安全生产法律、法规、标准及其他要求，采用信息化技术，对法律、法规和标准进行符合性评价，对评价出的不符合项进行原因分析，制定整改计划和措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安全教育培训管理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建设安全教育培训管理模块，包括安全培训计划、安全培训记录、培训统计分析等功能。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2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重大变更管理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重大变更管理，对各企业重大变更进行监督管理，各企业如涉及到重大工艺技术、设备设施、管理等方面的重大变更需向园区进行线上登记。系统对重大变更实施和变更效果进行在线跟踪，形成闭环管理，并对各企业重要变更占比和排名、各企业变更类型占比和排名进行多维度统计分析。</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事故事件信息管理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系统建立事故上报流程和事故档案，便于企业内部进行事故管理。同时系统建立事故案例库，供企业查询和应急调用。</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安全费用管理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建立安全投入费用提取标准库，园区通过企业安全投入登记和使用情况记录，对企业安全生产费用的提取金额、使用情况进行统计分析。</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642"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监管执法</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建设监管执法模块，包括综合执法数据库、执法计划及执法文书管理、企业整改问题跟踪及闭环、执法过程可视化追溯、与上级政府各类监管执法系统进行数据对接等功能。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960" w:hRule="atLeast"/>
        </w:trPr>
        <w:tc>
          <w:tcPr>
            <w:tcW w:w="318" w:type="pct"/>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敏捷应急</w:t>
            </w:r>
          </w:p>
        </w:tc>
        <w:tc>
          <w:tcPr>
            <w:tcW w:w="32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应急工作台</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建立应急工作台管理模块，系统PC端进行不同角色权限的管理，增加建立应急业务报警、预警、任务提醒、待办事项的提醒功能，清晰掌握当前所属职责范围内的相关管理工作。</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960" w:hRule="atLeast"/>
        </w:trPr>
        <w:tc>
          <w:tcPr>
            <w:tcW w:w="318" w:type="pct"/>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应急重点企业管理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立应急管理企业运行效果评价模型，结合行政区内消防重点单位、园区内管控企业风险评估等级、园区企业应急管理运行评价3个维度，实现实时性的评估机制，共分为四个等级：应急特别管控企业、应急重点关注企业、应急一般监管企业、其他监管企业，根据等级划分，保证在平时管理模式下，相关管理人员将工作中心关注到应急工作差的企业，实现重点帮扶提升。</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912" w:hRule="atLeast"/>
        </w:trPr>
        <w:tc>
          <w:tcPr>
            <w:tcW w:w="318"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应急演练管理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易演练模拟演练系统模块，围绕“轻量化”“常态化”“多场景”的产品目标，升级桌面演练形式，结合三维仿真动画呈现情景画面，真实还原灾前、中、后事态发展过程，在演练过程中预设安全应急知识问答，让参演人员在深入情景的情况下，进行应急处置判断，整体演练路线设置多条分支结局，以角色关键节点决策为导向，继而影响事故走向与结果，搭配应急演练设备等，增强演练氛围感，解决平时安全生产事故未发生时各类组织管理部门人员的安全应急能力训练问题，达到提高应急反应能力和应急管理水平效果。包括以下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（1）应用端口设计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系统主要分为两个应用端，分别是“导调端”和“参演端”。导调端能够对演练过程进行管理和控制，导调具有开启、暂停、停止演练的功能，同时导调还可以向各个演练角色推送演练事故情景信息。参演端依照演练脚本中预定的任务进行处置，推动整个演练进程。根据预设演练脚本，当有任务流转至参演人员时，该端转换为任务执行区，提供处置、操作功能给参演人员，也整合情景还原内容，增强参演人员沉浸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（2）系统界面分区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系统界面主要分为情景还原模块、演练信息流模块、应急流程模块、任务执行区域、岗位状态区域。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演练方案库</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演练方案库是多个演练方案组成的集合，方案是易演练系统的一个基本计算对象，系统操作均是针对方案进行的，演练方案库的建立基于演练方案的分类储存，其优点是可以便捷的建立和管理多个对比方案，以利于用户针对自身相关度进行方案比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（4）创建演练房间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选定演练方案后，创建演练房间阶段，查看到演练方案的详细信息，包括事故类型、情景设计、演练角色等。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（5）演练信息调整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根据当场演练需求，系统提供参演信息调整与岗位信息调整两大板块，练教官预先可将本次演练的单位信息获取，根据参演单位的实际情况进行调整，尽可能保证演练的岗位与参演单位的实际岗位保持一致。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（6）演练流程控制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演练开始后，系统支持导调端对整体演练流程进行控制，具有开启、暂停、停止演练的功能。当演练进行到关键节点时，教官可选择 “增大或降低演练难度”，可对事件的后续发展进行干预，进行正常演练推进和事故分支选择。</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960" w:hRule="atLeast"/>
        </w:trPr>
        <w:tc>
          <w:tcPr>
            <w:tcW w:w="318"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值班中心管理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现突发事件的信息报送和处理，保证信息报送及时准确，传达和督促落实园区领导对突发事件信息的指示批示，并跟踪反馈落实情况，实现对应急值守的智能化管理，有效提高日常各项工作的办公效率，保障各类突发事件和重要紧急事项信息的快速、顺畅、准确传递和处理，提升应急值守业务能力。主要包括带班值守、值班组管理、值班类型管理、值班日志以及统计分析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20" w:hRule="atLeast"/>
        </w:trPr>
        <w:tc>
          <w:tcPr>
            <w:tcW w:w="318"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应急报警管理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立应急报警管理系统，将园区内各企业产生的业务档案报警、现场应急消防设施点位报警汇集，建立园区企业树状机构，便于查询；对报警归属、企业名称、报警级别、类型、内容、时间、状态管理。实现“一键上报”事故功能，当判断报警过程为事故时可进行一键上报，操作便捷高效，提高事故处置效率。</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276" w:hRule="atLeast"/>
        </w:trPr>
        <w:tc>
          <w:tcPr>
            <w:tcW w:w="318" w:type="pct"/>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应急指挥</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建设应急指挥模块，包括应急综合研判、应急启动预案、应急辅助决策等功能。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276" w:hRule="atLeast"/>
        </w:trPr>
        <w:tc>
          <w:tcPr>
            <w:tcW w:w="318"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事后管理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建设事后管理模块，包括事后评估、事故总结分析、事故档案等功能。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540" w:hRule="atLeast"/>
        </w:trPr>
        <w:tc>
          <w:tcPr>
            <w:tcW w:w="318" w:type="pct"/>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封闭化管理</w:t>
            </w:r>
          </w:p>
        </w:tc>
        <w:tc>
          <w:tcPr>
            <w:tcW w:w="32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运输车辆分类分级管控</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建设运输车辆分类分级管控模块，通过车辆备案登记系统，根据车辆登记备案信息建立车辆分类分级管控功能，对物流运输车辆进行分级管理配置，对入园物流车辆划分红、橙、黄、蓝四个等级进行管理。</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2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危化品车辆运行评价</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建设危化品车辆运行评价模块，包括车辆动态监控、车辆违章数据统计分析、车辆管控数据智能推送、车辆信用评价等功能。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168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危化品停车场数据集成管理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留数据接口，实现园区停车场管理系统对接园区监管平台，将危化品停车场内的车辆数、危化品类型、危化品数量、场内监控、传感器数据、预警情况等接入监管平台，打通与危化品停车场之间的数据监管，实现危化品车辆全链条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（1）打通停车预约系统，对危化品车辆在线预约进行统一管理, 对接停车场卡口系统，动态获取物流车辆出入停车场信息，便于掌握物流信息，实现动态调度。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（2）实现危化品物流车辆入园入企指令推送功能，能将入园指令推送至停车场系统，实现危化品车辆有序调度，防止危化品车辆扎推聚集、长时间停放公共道路等情况</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312" w:hRule="atLeast"/>
        </w:trPr>
        <w:tc>
          <w:tcPr>
            <w:tcW w:w="4354" w:type="pct"/>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三.智慧监管平台升级</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r>
      <w:tr>
        <w:tblPrEx>
          <w:tblCellMar>
            <w:top w:w="0" w:type="dxa"/>
            <w:left w:w="108" w:type="dxa"/>
            <w:bottom w:w="0" w:type="dxa"/>
            <w:right w:w="108" w:type="dxa"/>
          </w:tblCellMar>
        </w:tblPrEx>
        <w:trPr>
          <w:trHeight w:val="480" w:hRule="atLeast"/>
        </w:trPr>
        <w:tc>
          <w:tcPr>
            <w:tcW w:w="318"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运维运营系统提升</w:t>
            </w:r>
          </w:p>
        </w:tc>
        <w:tc>
          <w:tcPr>
            <w:tcW w:w="32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工作过程留痕</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实现任务清单以及交接班管理等功能，做到工作任务清晰、工作任务留痕、工作任务闭环。</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重点工作考核管理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对重点工作可实现线上考核验证，并对工作完成情况以及考核结果进行统计分析量化展示。</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移动APP优化</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实现报警上屏、报警派单以及设备点巡检管理等功能。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2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监管业务运营管理系统</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建设监管业务运营管理系统模块，包括运营工作台、档案完整度自动报表、逾期预警管理、档案更新管理、核对服务管理、服务监督管理、政务服务管理、申报服务管理等功能。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20" w:hRule="atLeast"/>
        </w:trPr>
        <w:tc>
          <w:tcPr>
            <w:tcW w:w="318" w:type="pct"/>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环保监测系统升级</w:t>
            </w: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移动端APP升级优化功能</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对移动端APP进行升级优化，升级优化内容包括园区环保档案、环境质量监测管理升级、污染源监测管理升级、环保监督管理升级等功能。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PC端新增功能</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园区现有PC端新增功能，新增内容包括走航车监测统计分析、地表水移动监测、雨水预报警管理、环保隐患排查、环保应急管理等功能。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96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环保系统大屏端综合展示升级</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对现有环保系统大屏端综合展示进行升级，升级内容包括环保系统首页、大气环境专题、水环境专题、固危废专题展示、污染治理设施运行专题、企业环保管理一张图等。</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数据对接</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与区生态环境分局智慧环保平台以及园区其他相关业务平台对接，获取包括大气环境、地表水、雨水等监测数据以及固危废处置、能耗监管、碳排放等业务数据。</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1</w:t>
            </w:r>
          </w:p>
        </w:tc>
      </w:tr>
      <w:tr>
        <w:tblPrEx>
          <w:tblCellMar>
            <w:top w:w="0" w:type="dxa"/>
            <w:left w:w="108" w:type="dxa"/>
            <w:bottom w:w="0" w:type="dxa"/>
            <w:right w:w="108" w:type="dxa"/>
          </w:tblCellMar>
        </w:tblPrEx>
        <w:trPr>
          <w:trHeight w:val="480" w:hRule="atLeast"/>
        </w:trPr>
        <w:tc>
          <w:tcPr>
            <w:tcW w:w="318" w:type="pct"/>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能源管理系统升级</w:t>
            </w: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园区能源档案管理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对园区能源档案管理模块进行升级，升级内容包括重点用能单位、重点用能设备管理、能源计量器具管理、节能项目管理等功能。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能源监测预警</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对能源监测预警模块进行升级，升级内容包括企业用能超标预警报警、预报警信息推送、预警报警数据查询、预警报警数据统计等功能。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2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能源总量、强度双控管理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对能源总量、强度双控管理模块进行升级，升级内容包括能源指标管理、能源计划管理、能耗分析等功能。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能源统计分析</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对能源统计分析进行升级，升级内容包括能源分类分项统计、能源利用评估、碳排放量和节能工作分析、能源预测分析等功能。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能源对标分析</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对能源对标分析进行升级，升级内容包括能效对标分析、能效对标管理、减污降碳专题等功能。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312" w:hRule="atLeast"/>
        </w:trPr>
        <w:tc>
          <w:tcPr>
            <w:tcW w:w="4354" w:type="pct"/>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四.企业应用场景建设</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76" w:hRule="atLeast"/>
        </w:trPr>
        <w:tc>
          <w:tcPr>
            <w:tcW w:w="31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作业许可和作业过程管理系统</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作业计划</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建设作业计划模块，包括作业申请预约、作业计划审批、计划分类管理等功能。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作业许可</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建设作业许可模块，包括人员资质审查、作业风险辨识、安全措施落实、气体分析、安全交底、作业审批、作业关闭等功能。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作业过程管理</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建设作业过程管理模块，包括全过程实时查看、作业视频监控环境监测、作业地图、风险闭环管理、作业违章、作业隐患、风险预警、作业电子证归档等功能。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基础数据库管理</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建设基础数据库管理模块，包括人员信息库、作业区域、气体库、风险分析评估数据库、作业统计分析、票证管理等功能。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双重预防体系数字化管理系统</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安全风险分级管控</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建设安全风险分级管控模块，包括安全风险分析单元管理、风险辨识评估、风险四色图、风险控制措施、风险分级管控、机制运行管理等功能。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隐患排查治理</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建设隐患排查治理模块，包括隐患排查计划、排查项目清单、隐患排查登记、隐患评估与治理、整改验收、隐患排查整改台账、隐患整改绩效、隐患排查治理奖惩、统计分析等功能。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276" w:hRule="atLeast"/>
        </w:trPr>
        <w:tc>
          <w:tcPr>
            <w:tcW w:w="6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企业现有系统集成</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企业系统集成及数据对接，包括特殊作业数据接入、双重预防体系数据、与其他系统集成、风险动态管理等。</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90" w:hRule="atLeast"/>
        </w:trPr>
        <w:tc>
          <w:tcPr>
            <w:tcW w:w="4354" w:type="pct"/>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五.企业智能化诊断分析</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1200" w:hRule="atLeast"/>
        </w:trPr>
        <w:tc>
          <w:tcPr>
            <w:tcW w:w="6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企业智能化诊断分析</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以园区安全风险数字化监管为出发点，通过专家本地化服务的方式，对园区138家企业安全风险数字化管控情况进行调研，通过彻底摸排企业涉及危险化学品泄漏、火灾、爆炸和中毒的重要的风险点，对风险点的各种数字化监管措施进行核实，形成企业安全风险数字化监管数据清单。同时梳理单风险点与各种数字化监管手段的关联逻辑，更进一步深化园区平台系统功能应用。最终实现园区内企业重要安全风险点清晰，安全风险数字化管控措施有效，园区平台监管数据实时准确，预警准确，风险可控。</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家</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138</w:t>
            </w:r>
          </w:p>
        </w:tc>
      </w:tr>
      <w:tr>
        <w:tblPrEx>
          <w:tblCellMar>
            <w:top w:w="0" w:type="dxa"/>
            <w:left w:w="108" w:type="dxa"/>
            <w:bottom w:w="0" w:type="dxa"/>
            <w:right w:w="108" w:type="dxa"/>
          </w:tblCellMar>
        </w:tblPrEx>
        <w:trPr>
          <w:trHeight w:val="348" w:hRule="atLeast"/>
        </w:trPr>
        <w:tc>
          <w:tcPr>
            <w:tcW w:w="4354" w:type="pct"/>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六.工业互联网平台</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64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智能化能力组件</w:t>
            </w:r>
          </w:p>
        </w:tc>
        <w:tc>
          <w:tcPr>
            <w:tcW w:w="3712" w:type="pct"/>
            <w:tcBorders>
              <w:top w:val="nil"/>
              <w:left w:val="nil"/>
              <w:bottom w:val="single" w:color="auto" w:sz="4" w:space="0"/>
              <w:right w:val="single" w:color="auto" w:sz="4" w:space="0"/>
            </w:tcBorders>
            <w:shd w:val="clear" w:color="000000" w:fill="FFFFFF"/>
            <w:vAlign w:val="center"/>
          </w:tcPr>
          <w:p>
            <w:pPr>
              <w:pStyle w:val="39"/>
              <w:spacing w:after="0" w:afterLines="0" w:line="360" w:lineRule="auto"/>
              <w:ind w:firstLine="400"/>
              <w:rPr>
                <w:rFonts w:hint="eastAsia" w:ascii="宋体" w:hAnsi="宋体" w:eastAsia="宋体" w:cs="宋体"/>
                <w:color w:val="000000"/>
                <w:kern w:val="0"/>
                <w:sz w:val="20"/>
                <w:szCs w:val="20"/>
              </w:rPr>
            </w:pPr>
            <w:r>
              <w:rPr>
                <w:rFonts w:hint="eastAsia" w:ascii="宋体" w:hAnsi="宋体" w:eastAsia="宋体" w:cs="宋体"/>
                <w:color w:val="auto"/>
                <w:kern w:val="0"/>
                <w:sz w:val="20"/>
                <w:szCs w:val="20"/>
              </w:rPr>
              <w:t>建设智能化能力组件模块，包括AR增强现实（在视频巡检、高空摄像巡检应用过程中可</w:t>
            </w:r>
            <w:r>
              <w:rPr>
                <w:rFonts w:ascii="宋体" w:hAnsi="宋体" w:eastAsia="宋体" w:cs="宋体"/>
                <w:color w:val="auto"/>
                <w:kern w:val="0"/>
                <w:sz w:val="20"/>
                <w:szCs w:val="20"/>
              </w:rPr>
              <w:t>通过在</w:t>
            </w:r>
            <w:r>
              <w:rPr>
                <w:rFonts w:hint="eastAsia" w:ascii="宋体" w:hAnsi="宋体" w:eastAsia="宋体" w:cs="宋体"/>
                <w:color w:val="auto"/>
                <w:kern w:val="0"/>
                <w:sz w:val="20"/>
                <w:szCs w:val="20"/>
              </w:rPr>
              <w:t>摄像头</w:t>
            </w:r>
            <w:r>
              <w:rPr>
                <w:rFonts w:ascii="宋体" w:hAnsi="宋体" w:eastAsia="宋体" w:cs="宋体"/>
                <w:color w:val="auto"/>
                <w:kern w:val="0"/>
                <w:sz w:val="20"/>
                <w:szCs w:val="20"/>
              </w:rPr>
              <w:t>可视范围</w:t>
            </w:r>
            <w:r>
              <w:rPr>
                <w:rFonts w:hint="eastAsia" w:ascii="宋体" w:hAnsi="宋体" w:eastAsia="宋体" w:cs="宋体"/>
                <w:color w:val="auto"/>
                <w:kern w:val="0"/>
                <w:sz w:val="20"/>
                <w:szCs w:val="20"/>
              </w:rPr>
              <w:t>内，通过标注工具对</w:t>
            </w:r>
            <w:r>
              <w:rPr>
                <w:rFonts w:ascii="宋体" w:hAnsi="宋体" w:eastAsia="宋体" w:cs="宋体"/>
                <w:color w:val="auto"/>
                <w:kern w:val="0"/>
                <w:sz w:val="20"/>
                <w:szCs w:val="20"/>
              </w:rPr>
              <w:t>点、线、面三种形式的</w:t>
            </w:r>
            <w:r>
              <w:rPr>
                <w:rFonts w:hint="eastAsia" w:ascii="宋体" w:hAnsi="宋体" w:eastAsia="宋体" w:cs="宋体"/>
                <w:color w:val="auto"/>
                <w:kern w:val="0"/>
                <w:sz w:val="20"/>
                <w:szCs w:val="20"/>
              </w:rPr>
              <w:t>标签标注</w:t>
            </w:r>
            <w:r>
              <w:rPr>
                <w:rFonts w:ascii="宋体" w:hAnsi="宋体" w:eastAsia="宋体" w:cs="宋体"/>
                <w:color w:val="auto"/>
                <w:kern w:val="0"/>
                <w:sz w:val="20"/>
                <w:szCs w:val="20"/>
              </w:rPr>
              <w:t>，</w:t>
            </w:r>
            <w:r>
              <w:rPr>
                <w:rFonts w:hint="eastAsia" w:ascii="宋体" w:hAnsi="宋体" w:eastAsia="宋体" w:cs="宋体"/>
                <w:color w:val="auto"/>
                <w:kern w:val="0"/>
                <w:sz w:val="20"/>
                <w:szCs w:val="20"/>
              </w:rPr>
              <w:t>通过标签联动技术</w:t>
            </w:r>
            <w:r>
              <w:rPr>
                <w:rFonts w:ascii="宋体" w:hAnsi="宋体" w:eastAsia="宋体" w:cs="宋体"/>
                <w:color w:val="auto"/>
                <w:kern w:val="0"/>
                <w:sz w:val="20"/>
                <w:szCs w:val="20"/>
              </w:rPr>
              <w:t>实现在</w:t>
            </w:r>
            <w:r>
              <w:rPr>
                <w:rFonts w:hint="eastAsia" w:ascii="宋体" w:hAnsi="宋体" w:eastAsia="宋体" w:cs="宋体"/>
                <w:color w:val="auto"/>
                <w:kern w:val="0"/>
                <w:sz w:val="20"/>
                <w:szCs w:val="20"/>
              </w:rPr>
              <w:t>可视</w:t>
            </w:r>
            <w:r>
              <w:rPr>
                <w:rFonts w:ascii="宋体" w:hAnsi="宋体" w:eastAsia="宋体" w:cs="宋体"/>
                <w:color w:val="auto"/>
                <w:kern w:val="0"/>
                <w:sz w:val="20"/>
                <w:szCs w:val="20"/>
              </w:rPr>
              <w:t>一张图内的</w:t>
            </w:r>
            <w:r>
              <w:rPr>
                <w:rFonts w:hint="eastAsia" w:ascii="宋体" w:hAnsi="宋体" w:eastAsia="宋体" w:cs="宋体"/>
                <w:color w:val="auto"/>
                <w:kern w:val="0"/>
                <w:sz w:val="20"/>
                <w:szCs w:val="20"/>
              </w:rPr>
              <w:t>企业</w:t>
            </w:r>
            <w:r>
              <w:rPr>
                <w:rFonts w:ascii="宋体" w:hAnsi="宋体" w:eastAsia="宋体" w:cs="宋体"/>
                <w:color w:val="auto"/>
                <w:kern w:val="0"/>
                <w:sz w:val="20"/>
                <w:szCs w:val="20"/>
              </w:rPr>
              <w:t>数据、</w:t>
            </w:r>
            <w:r>
              <w:rPr>
                <w:rFonts w:hint="eastAsia" w:ascii="宋体" w:hAnsi="宋体" w:eastAsia="宋体" w:cs="宋体"/>
                <w:color w:val="auto"/>
                <w:kern w:val="0"/>
                <w:sz w:val="20"/>
                <w:szCs w:val="20"/>
              </w:rPr>
              <w:t>建筑数据、区域数据、道路、</w:t>
            </w:r>
            <w:r>
              <w:rPr>
                <w:rFonts w:ascii="宋体" w:hAnsi="宋体" w:eastAsia="宋体" w:cs="宋体"/>
                <w:color w:val="auto"/>
                <w:kern w:val="0"/>
                <w:sz w:val="20"/>
                <w:szCs w:val="20"/>
              </w:rPr>
              <w:t>点位数据</w:t>
            </w:r>
            <w:r>
              <w:rPr>
                <w:rFonts w:hint="eastAsia" w:ascii="宋体" w:hAnsi="宋体" w:eastAsia="宋体" w:cs="宋体"/>
                <w:color w:val="auto"/>
                <w:kern w:val="0"/>
                <w:sz w:val="20"/>
                <w:szCs w:val="20"/>
              </w:rPr>
              <w:t>、企业摄像头数据</w:t>
            </w:r>
            <w:r>
              <w:rPr>
                <w:rFonts w:ascii="宋体" w:hAnsi="宋体" w:eastAsia="宋体" w:cs="宋体"/>
                <w:color w:val="auto"/>
                <w:kern w:val="0"/>
                <w:sz w:val="20"/>
                <w:szCs w:val="20"/>
              </w:rPr>
              <w:t>、业务数据的实景标注及综合展示，</w:t>
            </w:r>
            <w:r>
              <w:rPr>
                <w:rFonts w:hint="eastAsia" w:ascii="宋体" w:hAnsi="宋体" w:eastAsia="宋体" w:cs="宋体"/>
                <w:color w:val="auto"/>
                <w:kern w:val="0"/>
                <w:sz w:val="20"/>
                <w:szCs w:val="20"/>
              </w:rPr>
              <w:t>标签数据可支持画面跟随，能够随着摄像机变焦变倍进行分层分类显示，</w:t>
            </w:r>
            <w:r>
              <w:rPr>
                <w:rFonts w:ascii="宋体" w:hAnsi="宋体" w:eastAsia="宋体" w:cs="宋体"/>
                <w:color w:val="auto"/>
                <w:kern w:val="0"/>
                <w:sz w:val="20"/>
                <w:szCs w:val="20"/>
              </w:rPr>
              <w:t>用于解决应急指挥、可视范围内设备、档案联动</w:t>
            </w:r>
            <w:r>
              <w:rPr>
                <w:rFonts w:hint="eastAsia" w:ascii="宋体" w:hAnsi="宋体" w:eastAsia="宋体" w:cs="宋体"/>
                <w:color w:val="auto"/>
                <w:kern w:val="0"/>
                <w:sz w:val="20"/>
                <w:szCs w:val="20"/>
              </w:rPr>
              <w:t>、隐患数据关联。）、时序见解系统、复杂事件规则引擎系统（规则引擎提供灵活的事件处理策略配置，支持对采集的数据复杂判断处理，包括设备实时数据计算规则、告警时间的静默规则、数据的筛选规则、告警抑制规则、告警级别等，及时发现设备故障或异常情况，并能及时对外发送消息通知，并最大限度地降低告警误报和漏报现象，提升监控与运维工作效率。</w:t>
            </w:r>
            <w:r>
              <w:rPr>
                <w:rFonts w:hint="eastAsia" w:ascii="宋体" w:hAnsi="宋体" w:cs="宋体"/>
                <w:color w:val="auto"/>
                <w:kern w:val="0"/>
                <w:sz w:val="20"/>
                <w:szCs w:val="20"/>
              </w:rPr>
              <w:t>）</w:t>
            </w:r>
            <w:r>
              <w:rPr>
                <w:rFonts w:hint="eastAsia" w:ascii="宋体" w:hAnsi="宋体" w:eastAsia="宋体" w:cs="宋体"/>
                <w:color w:val="auto"/>
                <w:kern w:val="0"/>
                <w:sz w:val="20"/>
                <w:szCs w:val="20"/>
              </w:rPr>
              <w:t>、自定义报表</w:t>
            </w:r>
            <w:r>
              <w:rPr>
                <w:rFonts w:hint="eastAsia" w:ascii="宋体" w:hAnsi="宋体" w:eastAsia="宋体" w:cs="宋体"/>
                <w:color w:val="000000"/>
                <w:kern w:val="0"/>
                <w:sz w:val="20"/>
                <w:szCs w:val="20"/>
              </w:rPr>
              <w:t>、自定义表单、统一身份认证平台、持续集成组件等功能。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哨兵系统云边计算平台</w:t>
            </w:r>
          </w:p>
        </w:tc>
        <w:tc>
          <w:tcPr>
            <w:tcW w:w="32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智能边缘计算平台</w:t>
            </w:r>
          </w:p>
        </w:tc>
        <w:tc>
          <w:tcPr>
            <w:tcW w:w="3712" w:type="pct"/>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建设智能边缘计算平台模块，包括平台基础管理、边缘集群管理、平台安全管理、边缘异构AI推理计算平台、API服务等功能。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边缘应用管理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设边缘应用管理模块，包括驱动管理、边缘IOT+实时数据库、业务数据边缘采集、报警管理、AIOT设备资产管理、企业数据统计分析、安全基础管理、实时风险态势感知、数据审计、边缘工具部署、边缘工作台等功能。</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20" w:hRule="atLeast"/>
        </w:trPr>
        <w:tc>
          <w:tcPr>
            <w:tcW w:w="318" w:type="pct"/>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三维地理信息服务</w:t>
            </w: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云化部署GIS平台</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产品提供完整的产品线，包括云GIS应用服务器、云GIS分发服务器、GIS门户服务器与GIS运维管理中心，以及丰富的PC端、Web端、移动端产品与开发包，并要求所有产品具有统一的内核;支持主流的硬件和中间件;支持多种操作系统。带宽100M以上，保证三维切缓存传输速度10M以上。</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2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倾斜航拍采集</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采用无人机倾斜摄影的方式，对园区区域分辨率2cm的影像数据的采集。在晴天碧空、能见度良好时进行，保证影像质量，每架次飞行后获取的影像数据导入计算机并快速生成压缩影像，利用压缩影像数据进行航向旁向重叠度、旋偏角大小、影像质量等方面检查，以保证获取影像满足相关技术要求。</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Km²</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47</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数据建模服务</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园区白模：满足整体场景下的三维地理信息查看，从园区维度查看整体三维效果，采用白模的形式进行展示，通过白模展示，可对整体道路，建筑物高度对比等信息进行查看。</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Km²</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47</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自动建模：经过几何校正，联合平差等处理流程，基于真实影像的超高密度云，并以此生成基于真实影像纹理的高分辨率实景三维模型,形成标准的osgb格式模型数据</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Km²</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47</w:t>
            </w:r>
          </w:p>
        </w:tc>
      </w:tr>
      <w:tr>
        <w:tblPrEx>
          <w:tblCellMar>
            <w:top w:w="0" w:type="dxa"/>
            <w:left w:w="108" w:type="dxa"/>
            <w:bottom w:w="0" w:type="dxa"/>
            <w:right w:w="108" w:type="dxa"/>
          </w:tblCellMar>
        </w:tblPrEx>
        <w:trPr>
          <w:trHeight w:val="48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单体化人工建模：三维手工精细建模（含管线细节），将倾斜摄像图像内关注的重点内容进行分离成实体对象，具备查询，选中，查细信息的技术基础。</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Km²</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r>
      <w:tr>
        <w:tblPrEx>
          <w:tblCellMar>
            <w:top w:w="0" w:type="dxa"/>
            <w:left w:w="108" w:type="dxa"/>
            <w:bottom w:w="0" w:type="dxa"/>
            <w:right w:w="108" w:type="dxa"/>
          </w:tblCellMar>
        </w:tblPrEx>
        <w:trPr>
          <w:trHeight w:val="720" w:hRule="atLeast"/>
        </w:trPr>
        <w:tc>
          <w:tcPr>
            <w:tcW w:w="318"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现场实拍与数据标注服务</w:t>
            </w:r>
          </w:p>
        </w:tc>
        <w:tc>
          <w:tcPr>
            <w:tcW w:w="3712" w:type="pct"/>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根据三维建模数据与园区、企业档案数据，对空间数据与业务数据进行数字化展示，包括两重点一重大、重点运行设备、风险分级分区数据、应急物资数据进行数据的标注与绑定工作。</w:t>
            </w:r>
          </w:p>
        </w:tc>
        <w:tc>
          <w:tcPr>
            <w:tcW w:w="32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点</w:t>
            </w:r>
          </w:p>
        </w:tc>
        <w:tc>
          <w:tcPr>
            <w:tcW w:w="32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138</w:t>
            </w:r>
          </w:p>
        </w:tc>
      </w:tr>
      <w:tr>
        <w:tblPrEx>
          <w:tblCellMar>
            <w:top w:w="0" w:type="dxa"/>
            <w:left w:w="108" w:type="dxa"/>
            <w:bottom w:w="0" w:type="dxa"/>
            <w:right w:w="108" w:type="dxa"/>
          </w:tblCellMar>
        </w:tblPrEx>
        <w:trPr>
          <w:trHeight w:val="537" w:hRule="atLeast"/>
        </w:trPr>
        <w:tc>
          <w:tcPr>
            <w:tcW w:w="4354" w:type="pct"/>
            <w:gridSpan w:val="3"/>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rPr>
              <w:t>七.移动端浙政钉、浙里办、数字化改革门户集成</w:t>
            </w:r>
          </w:p>
        </w:tc>
        <w:tc>
          <w:tcPr>
            <w:tcW w:w="32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p>
        </w:tc>
        <w:tc>
          <w:tcPr>
            <w:tcW w:w="32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318" w:type="pct"/>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移动端浙政钉、浙里办、数字化改革门户集成</w:t>
            </w:r>
          </w:p>
        </w:tc>
        <w:tc>
          <w:tcPr>
            <w:tcW w:w="32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浙政钉、浙里办场景应用集成</w:t>
            </w:r>
          </w:p>
        </w:tc>
        <w:tc>
          <w:tcPr>
            <w:tcW w:w="3712"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移动端建设以升级园区现有移动端为主，将部分场景应用建设集成到浙政钉和浙里办中，集成场景页面主要为分析、统计、评价类页面。</w:t>
            </w:r>
          </w:p>
        </w:tc>
        <w:tc>
          <w:tcPr>
            <w:tcW w:w="32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20" w:hRule="atLeast"/>
        </w:trPr>
        <w:tc>
          <w:tcPr>
            <w:tcW w:w="318"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32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数字化改革门户集成</w:t>
            </w:r>
          </w:p>
        </w:tc>
        <w:tc>
          <w:tcPr>
            <w:tcW w:w="3712"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针对化工园区场景进行应用门户集成开发，上线接入数字化改革门户，建设内容主要包括场景名称、场景简介、核心指标（指标体系）、整体画像、工作体系、核心场景、数据共享、协同单位、应用成效、政策体系等。</w:t>
            </w:r>
          </w:p>
        </w:tc>
        <w:tc>
          <w:tcPr>
            <w:tcW w:w="32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32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bl>
    <w:p>
      <w:pPr>
        <w:pStyle w:val="10"/>
      </w:pPr>
    </w:p>
    <w:p/>
    <w:p>
      <w:pPr>
        <w:pStyle w:val="2"/>
      </w:pPr>
    </w:p>
    <w:p>
      <w:pPr>
        <w:pStyle w:val="4"/>
      </w:pPr>
    </w:p>
    <w:p/>
    <w:p>
      <w:pPr>
        <w:pStyle w:val="2"/>
      </w:pPr>
    </w:p>
    <w:p>
      <w:pPr>
        <w:pStyle w:val="4"/>
      </w:pPr>
    </w:p>
    <w:p/>
    <w:p>
      <w:pPr>
        <w:pStyle w:val="2"/>
      </w:pPr>
    </w:p>
    <w:p>
      <w:pPr>
        <w:pStyle w:val="4"/>
      </w:pPr>
    </w:p>
    <w:p/>
    <w:p>
      <w:pPr>
        <w:pStyle w:val="2"/>
      </w:pPr>
    </w:p>
    <w:p>
      <w:pPr>
        <w:numPr>
          <w:ilvl w:val="0"/>
          <w:numId w:val="37"/>
        </w:numPr>
        <w:tabs>
          <w:tab w:val="left" w:pos="772"/>
        </w:tabs>
        <w:spacing w:line="440" w:lineRule="exact"/>
        <w:ind w:firstLine="482" w:firstLineChars="200"/>
        <w:rPr>
          <w:rFonts w:ascii="宋体" w:hAnsi="宋体" w:cs="宋体"/>
          <w:b/>
          <w:sz w:val="24"/>
        </w:rPr>
      </w:pPr>
      <w:r>
        <w:rPr>
          <w:rFonts w:hint="eastAsia" w:ascii="宋体" w:hAnsi="宋体" w:cs="宋体"/>
          <w:b/>
          <w:sz w:val="24"/>
        </w:rPr>
        <w:t>硬件设备清单</w:t>
      </w:r>
    </w:p>
    <w:tbl>
      <w:tblPr>
        <w:tblStyle w:val="23"/>
        <w:tblW w:w="1389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473"/>
        <w:gridCol w:w="8118"/>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right"/>
        </w:trPr>
        <w:tc>
          <w:tcPr>
            <w:tcW w:w="1466" w:type="dxa"/>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类别</w:t>
            </w:r>
          </w:p>
        </w:tc>
        <w:tc>
          <w:tcPr>
            <w:tcW w:w="1473" w:type="dxa"/>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名称</w:t>
            </w:r>
          </w:p>
        </w:tc>
        <w:tc>
          <w:tcPr>
            <w:tcW w:w="8118" w:type="dxa"/>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技术参数及要求（不低于如下参数要求）</w:t>
            </w:r>
          </w:p>
        </w:tc>
        <w:tc>
          <w:tcPr>
            <w:tcW w:w="1418" w:type="dxa"/>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w:t>
            </w:r>
          </w:p>
        </w:tc>
        <w:tc>
          <w:tcPr>
            <w:tcW w:w="1417" w:type="dxa"/>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right"/>
        </w:trPr>
        <w:tc>
          <w:tcPr>
            <w:tcW w:w="1466" w:type="dxa"/>
            <w:vMerge w:val="restart"/>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数据中心建设</w:t>
            </w: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数据中心业务服务器</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1、2*Gold 6226R 2.9 GHz（16C）</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2、内存128G(DDR4，32G*4)</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3、OCP网卡4千兆，2个PCIE万兆卡，支持IPMI</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4、2张Raid卡，支持JBOD、IR模式、RAID0/1/10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5、后置系统盘Raid1：2*128G SSD，需连接到前置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6、SSD：4块 960G 2.5 SSD混合型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7、SATA：6块4T 3.5 7.2K企业级 扇区512N</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right"/>
        </w:trPr>
        <w:tc>
          <w:tcPr>
            <w:tcW w:w="1466"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数据中心管理服务器</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硬件参数：规格：2U，CPU：Silver 4210R 2.4 GHZ（10C），内存：4*32GB DDR4 2933，系统盘：1*240GB SATA SSD，缓存盘：2*固态硬盘-480G-SSD（读密集型），数据盘：4*4T，标配盘位数：12，电源：白金，冗余电源，接口：6千兆电口+2万兆光口。</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right"/>
        </w:trPr>
        <w:tc>
          <w:tcPr>
            <w:tcW w:w="1466"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虚拟化软件</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计算、存储、网络、按群等虚拟化能力，提供云平台所需要的底层IAAS基础，包含20C授权</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right"/>
        </w:trPr>
        <w:tc>
          <w:tcPr>
            <w:tcW w:w="1466"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云管理平台软件</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实现对资源的统一监控、故障的统一处理、服务的及时响应；包含20C授权</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right"/>
        </w:trPr>
        <w:tc>
          <w:tcPr>
            <w:tcW w:w="1466" w:type="dxa"/>
            <w:vMerge w:val="restart"/>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网络设备</w:t>
            </w: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互联网接入防火墙</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网络层吞吐量：8G，应用层吞吐量：3G，防病毒吞吐量：1G，IPS吞吐量：600M，全威胁吞吐量：500M，并发连接数：200万，HTTP新建连接数：6万， 硬件参数：规格：1U，内存大小：8G，硬盘容量：64G SSD，电源：单电源，接口：8千兆电口+2万兆光口SFP+。</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right"/>
        </w:trPr>
        <w:tc>
          <w:tcPr>
            <w:tcW w:w="1466"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互联网接入交换机</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背板带宽：756Gbps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包转发率：252Mpps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端口：48千兆电口+4万兆光口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扩展插槽：1个扩展槽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高可用支持：M-LAG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电源：双电源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风扇：2个风扇模块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交换容量：756Gbps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交换网板数量：无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主控板数量：无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支持vxlan、BGP、IPv6、Telementry License</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right"/>
        </w:trPr>
        <w:tc>
          <w:tcPr>
            <w:tcW w:w="1466"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专线接入防火墙</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网络层吞吐量：15G，应用层吞吐量：6G，防病毒吞吐量：1G，IPS吞吐量：1G，全威胁吞吐量：800M，并发连接数：200万，HTTP新建连接数：9万。 硬件参数：规格：1U，内存大小：8G，硬盘容量：64G SSD，电源：单电源，接口：8千兆电口+2万兆光口SFP+。</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right"/>
        </w:trPr>
        <w:tc>
          <w:tcPr>
            <w:tcW w:w="1466"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专线接入交换机</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背板带宽：756Gbps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包转发率：252Mpps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端口：48千兆电口+4万兆光口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扩展插槽：1个扩展槽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高可用支持：M-LAG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电源：双电源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风扇：2个风扇模块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交换容量：756Gbps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交换网板数量：无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主控板数量：无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支持vxlan、BGP、IPv6、Telementry License</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right"/>
        </w:trPr>
        <w:tc>
          <w:tcPr>
            <w:tcW w:w="1466"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办公区杀毒软件</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包含100个PC端授权、10个服务器授权。</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right"/>
        </w:trPr>
        <w:tc>
          <w:tcPr>
            <w:tcW w:w="1466"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经典网络区防火墙</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网络层吞吐量：15G，应用层吞吐量：6G，防病毒吞吐量：1G，IPS吞吐量：1G，全威胁吞吐量：800M，并发连接数：200万，HTTP新建连接数：9万。 硬件参数：规格：1U，内存大小：8G，硬盘容量：64G SSD，电源：单电源，接口：8千兆电口+2万兆光口SFP+。</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right"/>
        </w:trPr>
        <w:tc>
          <w:tcPr>
            <w:tcW w:w="1466"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经典网络区交换机</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背板带宽：756Gbps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包转发率：252Mpps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端口：48千兆电口+4万兆光口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扩展插槽：1个扩展槽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高可用支持：M-LAG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电源：双电源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风扇：2个风扇模块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交换容量：756Gbps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交换网板数量：无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主控板数量：无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支持vxlan、BGP、IPv6、Telementry License</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right"/>
        </w:trPr>
        <w:tc>
          <w:tcPr>
            <w:tcW w:w="1466"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业务承载区虚拟防火墙</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带宽性能:800Mbps;新建会话/秒（七层）:80000;并发会话数（七层）:4000000;虚拟机配置:8核CPU,16G内存;</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right"/>
        </w:trPr>
        <w:tc>
          <w:tcPr>
            <w:tcW w:w="1466"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业务接入交换机</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1、48x10GE SFP+、6*40G QSFP+</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2、包转发率不低于1000Mpps，交换容量不低于2.5Tbps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3、支持堆叠、镜像、QOS、STP、SNMP、ACL、VLAN、双电源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4、支持数据中心弹性VXLAN routing、bridging、BGP-EVPN</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right"/>
        </w:trPr>
        <w:tc>
          <w:tcPr>
            <w:tcW w:w="1466"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存储网络交换机</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1、48x10GE SFP+、6*40G QSFP+</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2、包转发率不低于1000Mpps，交换容量不低于2.5Tbps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3、支持堆叠、镜像、QOS、STP、SNMP、ACL、VLAN、双电源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4、支持数据中心弹性VXLAN routing、bridging、BGP-EVPN</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right"/>
        </w:trPr>
        <w:tc>
          <w:tcPr>
            <w:tcW w:w="1466"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主站点核心交换机</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32口40G 1U交换机，128k路由表项，双电源；配置vxlan、BGP、IPv6、telemetry、OAM、EVPN License；</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包转发率：2000Mpps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背板容量：6.4Tbps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端口：32口40G/100G光接口；</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right"/>
        </w:trPr>
        <w:tc>
          <w:tcPr>
            <w:tcW w:w="1466"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IPMI交换机</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背板带宽：756Gbps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包转发率：252Mpps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端口：48千兆口+4万兆光口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扩展插槽：1个扩展槽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高可用支持：M-LAG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电源：双电源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风扇：2个风扇模块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交换容量：756Gbps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交换网板数量：无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主控板数量：无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支持vxlan、BGP、IPv6、Telementry License</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right"/>
        </w:trPr>
        <w:tc>
          <w:tcPr>
            <w:tcW w:w="1466"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光模块</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定制</w:t>
            </w:r>
            <w:r>
              <w:rPr>
                <w:rFonts w:hint="eastAsia" w:ascii="宋体" w:hAnsi="宋体" w:cs="宋体"/>
                <w:color w:val="000000"/>
                <w:kern w:val="0"/>
                <w:sz w:val="20"/>
                <w:szCs w:val="20"/>
                <w:lang w:eastAsia="zh-CN"/>
              </w:rPr>
              <w:t>）</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万兆多模光模块SFP+</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right"/>
        </w:trPr>
        <w:tc>
          <w:tcPr>
            <w:tcW w:w="1466"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光模块</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定制</w:t>
            </w:r>
            <w:r>
              <w:rPr>
                <w:rFonts w:hint="eastAsia" w:ascii="宋体" w:hAnsi="宋体" w:cs="宋体"/>
                <w:color w:val="000000"/>
                <w:kern w:val="0"/>
                <w:sz w:val="20"/>
                <w:szCs w:val="20"/>
                <w:lang w:eastAsia="zh-CN"/>
              </w:rPr>
              <w:t>）</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40G光模块QSFP+</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right"/>
        </w:trPr>
        <w:tc>
          <w:tcPr>
            <w:tcW w:w="1466"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光纤线</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定制</w:t>
            </w:r>
            <w:r>
              <w:rPr>
                <w:rFonts w:hint="eastAsia" w:ascii="宋体" w:hAnsi="宋体" w:cs="宋体"/>
                <w:color w:val="000000"/>
                <w:kern w:val="0"/>
                <w:sz w:val="20"/>
                <w:szCs w:val="20"/>
                <w:lang w:eastAsia="zh-CN"/>
              </w:rPr>
              <w:t>）</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万兆多模光纤-LC-LC-10M</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条</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right"/>
        </w:trPr>
        <w:tc>
          <w:tcPr>
            <w:tcW w:w="1466"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光纤线</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定制</w:t>
            </w:r>
            <w:r>
              <w:rPr>
                <w:rFonts w:hint="eastAsia" w:ascii="宋体" w:hAnsi="宋体" w:cs="宋体"/>
                <w:color w:val="000000"/>
                <w:kern w:val="0"/>
                <w:sz w:val="20"/>
                <w:szCs w:val="20"/>
                <w:lang w:eastAsia="zh-CN"/>
              </w:rPr>
              <w:t>）</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40G多模光纤-MPO-LC-10M</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条</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right"/>
        </w:trPr>
        <w:tc>
          <w:tcPr>
            <w:tcW w:w="1466"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光纤线</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定制</w:t>
            </w:r>
            <w:r>
              <w:rPr>
                <w:rFonts w:hint="eastAsia" w:ascii="宋体" w:hAnsi="宋体" w:cs="宋体"/>
                <w:color w:val="000000"/>
                <w:kern w:val="0"/>
                <w:sz w:val="20"/>
                <w:szCs w:val="20"/>
                <w:lang w:eastAsia="zh-CN"/>
              </w:rPr>
              <w:t>）</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40G光纤MPO-MPO-10M多模光纤</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条</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right"/>
        </w:trPr>
        <w:tc>
          <w:tcPr>
            <w:tcW w:w="1466"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网线</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定制</w:t>
            </w:r>
            <w:r>
              <w:rPr>
                <w:rFonts w:hint="eastAsia" w:ascii="宋体" w:hAnsi="宋体" w:cs="宋体"/>
                <w:color w:val="000000"/>
                <w:kern w:val="0"/>
                <w:sz w:val="20"/>
                <w:szCs w:val="20"/>
                <w:lang w:eastAsia="zh-CN"/>
              </w:rPr>
              <w:t>）</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六类千兆网线</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right"/>
        </w:trPr>
        <w:tc>
          <w:tcPr>
            <w:tcW w:w="1466" w:type="dxa"/>
            <w:vMerge w:val="continue"/>
            <w:shd w:val="clear" w:color="auto" w:fill="auto"/>
            <w:vAlign w:val="center"/>
          </w:tcPr>
          <w:p>
            <w:pPr>
              <w:widowControl/>
              <w:jc w:val="left"/>
              <w:rPr>
                <w:rFonts w:hint="eastAsia" w:ascii="宋体" w:hAnsi="宋体" w:eastAsia="宋体" w:cs="宋体"/>
                <w:color w:val="000000"/>
                <w:kern w:val="0"/>
                <w:sz w:val="20"/>
                <w:szCs w:val="20"/>
              </w:rPr>
            </w:pPr>
          </w:p>
        </w:tc>
        <w:tc>
          <w:tcPr>
            <w:tcW w:w="1473" w:type="dxa"/>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网线水晶头</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定制</w:t>
            </w:r>
            <w:r>
              <w:rPr>
                <w:rFonts w:hint="eastAsia" w:ascii="宋体" w:hAnsi="宋体" w:cs="宋体"/>
                <w:color w:val="000000"/>
                <w:kern w:val="0"/>
                <w:sz w:val="20"/>
                <w:szCs w:val="20"/>
                <w:lang w:eastAsia="zh-CN"/>
              </w:rPr>
              <w:t>）</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国标六类</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right"/>
        </w:trPr>
        <w:tc>
          <w:tcPr>
            <w:tcW w:w="1466" w:type="dxa"/>
            <w:vMerge w:val="restart"/>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容灾和硬件托管</w:t>
            </w:r>
          </w:p>
        </w:tc>
        <w:tc>
          <w:tcPr>
            <w:tcW w:w="1473" w:type="dxa"/>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机柜租用</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定制</w:t>
            </w:r>
            <w:r>
              <w:rPr>
                <w:rFonts w:hint="eastAsia" w:ascii="宋体" w:hAnsi="宋体" w:cs="宋体"/>
                <w:color w:val="000000"/>
                <w:kern w:val="0"/>
                <w:sz w:val="20"/>
                <w:szCs w:val="20"/>
                <w:lang w:eastAsia="zh-CN"/>
              </w:rPr>
              <w:t>）</w:t>
            </w:r>
          </w:p>
        </w:tc>
        <w:tc>
          <w:tcPr>
            <w:tcW w:w="8118" w:type="dxa"/>
            <w:shd w:val="clear" w:color="000000" w:fill="FFFFFF"/>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托管机房2台机柜租用服务</w:t>
            </w:r>
          </w:p>
        </w:tc>
        <w:tc>
          <w:tcPr>
            <w:tcW w:w="1418"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w:t>
            </w:r>
          </w:p>
        </w:tc>
        <w:tc>
          <w:tcPr>
            <w:tcW w:w="1417" w:type="dxa"/>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right"/>
        </w:trPr>
        <w:tc>
          <w:tcPr>
            <w:tcW w:w="1466" w:type="dxa"/>
            <w:vMerge w:val="continue"/>
            <w:shd w:val="clear" w:color="auto" w:fill="auto"/>
            <w:vAlign w:val="center"/>
          </w:tcPr>
          <w:p>
            <w:pPr>
              <w:widowControl/>
              <w:jc w:val="left"/>
              <w:rPr>
                <w:rFonts w:hint="eastAsia" w:ascii="宋体" w:hAnsi="宋体" w:eastAsia="宋体" w:cs="宋体"/>
                <w:kern w:val="0"/>
                <w:sz w:val="20"/>
                <w:szCs w:val="20"/>
              </w:rPr>
            </w:pPr>
          </w:p>
        </w:tc>
        <w:tc>
          <w:tcPr>
            <w:tcW w:w="1473" w:type="dxa"/>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容灾中心防火墙</w:t>
            </w:r>
          </w:p>
        </w:tc>
        <w:tc>
          <w:tcPr>
            <w:tcW w:w="8118" w:type="dxa"/>
            <w:shd w:val="clear" w:color="000000" w:fill="FFFFFF"/>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网络层吞吐量：8G，应用层吞吐量：3G，防病毒吞吐量：1G，IPS吞吐量：600M，全威胁吞吐量：500M，并发连接数：200万，HTTP新建连接数：6万， 硬件参数：规格：1U，内存大小：8G，硬盘容量：64G SSD，电源：单电源，接口：8千兆电口+2万兆光口SFP+。</w:t>
            </w:r>
          </w:p>
        </w:tc>
        <w:tc>
          <w:tcPr>
            <w:tcW w:w="1418"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1417" w:type="dxa"/>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right"/>
        </w:trPr>
        <w:tc>
          <w:tcPr>
            <w:tcW w:w="1466" w:type="dxa"/>
            <w:vMerge w:val="continue"/>
            <w:shd w:val="clear" w:color="auto" w:fill="auto"/>
            <w:vAlign w:val="center"/>
          </w:tcPr>
          <w:p>
            <w:pPr>
              <w:widowControl/>
              <w:jc w:val="left"/>
              <w:rPr>
                <w:rFonts w:hint="eastAsia" w:ascii="宋体" w:hAnsi="宋体" w:eastAsia="宋体" w:cs="宋体"/>
                <w:kern w:val="0"/>
                <w:sz w:val="20"/>
                <w:szCs w:val="20"/>
              </w:rPr>
            </w:pPr>
          </w:p>
        </w:tc>
        <w:tc>
          <w:tcPr>
            <w:tcW w:w="1473" w:type="dxa"/>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容灾中心交换机</w:t>
            </w:r>
          </w:p>
        </w:tc>
        <w:tc>
          <w:tcPr>
            <w:tcW w:w="8118" w:type="dxa"/>
            <w:shd w:val="clear" w:color="000000" w:fill="FFFFFF"/>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1、48x10GE SFP+、6*40G QSFP+</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2、包转发率不低于1000Mpps，交换容量不低于2.5Tbps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3、支持堆叠、镜像、QOS、STP、SNMP、ACL、VLAN、双电源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4、支持数据中心弹性VXLAN routing、bridging、BGP-EVPN</w:t>
            </w:r>
          </w:p>
        </w:tc>
        <w:tc>
          <w:tcPr>
            <w:tcW w:w="1418"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1417" w:type="dxa"/>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right"/>
        </w:trPr>
        <w:tc>
          <w:tcPr>
            <w:tcW w:w="1466" w:type="dxa"/>
            <w:vMerge w:val="continue"/>
            <w:shd w:val="clear" w:color="auto" w:fill="auto"/>
            <w:vAlign w:val="center"/>
          </w:tcPr>
          <w:p>
            <w:pPr>
              <w:widowControl/>
              <w:jc w:val="left"/>
              <w:rPr>
                <w:rFonts w:hint="eastAsia" w:ascii="宋体" w:hAnsi="宋体" w:eastAsia="宋体" w:cs="宋体"/>
                <w:kern w:val="0"/>
                <w:sz w:val="20"/>
                <w:szCs w:val="20"/>
              </w:rPr>
            </w:pPr>
          </w:p>
        </w:tc>
        <w:tc>
          <w:tcPr>
            <w:tcW w:w="1473" w:type="dxa"/>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互联网接入线路</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定制</w:t>
            </w:r>
            <w:r>
              <w:rPr>
                <w:rFonts w:hint="eastAsia" w:ascii="宋体" w:hAnsi="宋体" w:cs="宋体"/>
                <w:color w:val="000000"/>
                <w:kern w:val="0"/>
                <w:sz w:val="20"/>
                <w:szCs w:val="20"/>
                <w:lang w:eastAsia="zh-CN"/>
              </w:rPr>
              <w:t>）</w:t>
            </w:r>
          </w:p>
        </w:tc>
        <w:tc>
          <w:tcPr>
            <w:tcW w:w="8118" w:type="dxa"/>
            <w:shd w:val="clear" w:color="000000" w:fill="FFFFFF"/>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需要至少100Mbps的互联网带宽，以保证容灾机房备用系统功能的正常运行。同时在主系统在发生故障无法启用时，确保主要用户可以通过互联网线路访问智慧监管平台在容灾机房的备用系统。</w:t>
            </w:r>
          </w:p>
        </w:tc>
        <w:tc>
          <w:tcPr>
            <w:tcW w:w="1418"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月</w:t>
            </w:r>
          </w:p>
        </w:tc>
        <w:tc>
          <w:tcPr>
            <w:tcW w:w="1417" w:type="dxa"/>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right"/>
        </w:trPr>
        <w:tc>
          <w:tcPr>
            <w:tcW w:w="1466" w:type="dxa"/>
            <w:vMerge w:val="continue"/>
            <w:shd w:val="clear" w:color="auto" w:fill="auto"/>
            <w:vAlign w:val="center"/>
          </w:tcPr>
          <w:p>
            <w:pPr>
              <w:widowControl/>
              <w:jc w:val="left"/>
              <w:rPr>
                <w:rFonts w:hint="eastAsia" w:ascii="宋体" w:hAnsi="宋体" w:eastAsia="宋体" w:cs="宋体"/>
                <w:kern w:val="0"/>
                <w:sz w:val="20"/>
                <w:szCs w:val="20"/>
              </w:rPr>
            </w:pPr>
          </w:p>
        </w:tc>
        <w:tc>
          <w:tcPr>
            <w:tcW w:w="1473" w:type="dxa"/>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移动VPN专线接入</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定制</w:t>
            </w:r>
            <w:r>
              <w:rPr>
                <w:rFonts w:hint="eastAsia" w:ascii="宋体" w:hAnsi="宋体" w:cs="宋体"/>
                <w:color w:val="000000"/>
                <w:kern w:val="0"/>
                <w:sz w:val="20"/>
                <w:szCs w:val="20"/>
                <w:lang w:eastAsia="zh-CN"/>
              </w:rPr>
              <w:t>）</w:t>
            </w:r>
          </w:p>
        </w:tc>
        <w:tc>
          <w:tcPr>
            <w:tcW w:w="8118" w:type="dxa"/>
            <w:shd w:val="clear" w:color="000000" w:fill="FFFFFF"/>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不低于200Mbps带宽的移动VPN专线，确保主系统与灾备系统的数据同步；确保灾备系统在主系统离线时可独立保障智慧监管平台的核心功能可用。</w:t>
            </w:r>
          </w:p>
        </w:tc>
        <w:tc>
          <w:tcPr>
            <w:tcW w:w="1418"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月</w:t>
            </w:r>
          </w:p>
        </w:tc>
        <w:tc>
          <w:tcPr>
            <w:tcW w:w="1417" w:type="dxa"/>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right"/>
        </w:trPr>
        <w:tc>
          <w:tcPr>
            <w:tcW w:w="1466" w:type="dxa"/>
            <w:vMerge w:val="continue"/>
            <w:shd w:val="clear" w:color="auto" w:fill="auto"/>
            <w:vAlign w:val="center"/>
          </w:tcPr>
          <w:p>
            <w:pPr>
              <w:widowControl/>
              <w:jc w:val="left"/>
              <w:rPr>
                <w:rFonts w:hint="eastAsia" w:ascii="宋体" w:hAnsi="宋体" w:eastAsia="宋体" w:cs="宋体"/>
                <w:kern w:val="0"/>
                <w:sz w:val="20"/>
                <w:szCs w:val="20"/>
              </w:rPr>
            </w:pPr>
          </w:p>
        </w:tc>
        <w:tc>
          <w:tcPr>
            <w:tcW w:w="1473" w:type="dxa"/>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电信VPN专线接入</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定制</w:t>
            </w:r>
            <w:r>
              <w:rPr>
                <w:rFonts w:hint="eastAsia" w:ascii="宋体" w:hAnsi="宋体" w:cs="宋体"/>
                <w:color w:val="000000"/>
                <w:kern w:val="0"/>
                <w:sz w:val="20"/>
                <w:szCs w:val="20"/>
                <w:lang w:eastAsia="zh-CN"/>
              </w:rPr>
              <w:t>）</w:t>
            </w:r>
          </w:p>
        </w:tc>
        <w:tc>
          <w:tcPr>
            <w:tcW w:w="8118" w:type="dxa"/>
            <w:shd w:val="clear" w:color="000000" w:fill="FFFFFF"/>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不低于200Mbps带宽的电信VPN专线，确保主系统与灾备系统的数据同步；确保灾备系统在主系统离线时可独立保障智慧监管平台的核心功能可用。</w:t>
            </w:r>
          </w:p>
        </w:tc>
        <w:tc>
          <w:tcPr>
            <w:tcW w:w="1418"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月</w:t>
            </w:r>
          </w:p>
        </w:tc>
        <w:tc>
          <w:tcPr>
            <w:tcW w:w="1417" w:type="dxa"/>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right"/>
        </w:trPr>
        <w:tc>
          <w:tcPr>
            <w:tcW w:w="1466" w:type="dxa"/>
            <w:vMerge w:val="restart"/>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安全等保设备</w:t>
            </w:r>
          </w:p>
        </w:tc>
        <w:tc>
          <w:tcPr>
            <w:tcW w:w="1473" w:type="dxa"/>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日志审计</w:t>
            </w:r>
          </w:p>
        </w:tc>
        <w:tc>
          <w:tcPr>
            <w:tcW w:w="8118" w:type="dxa"/>
            <w:shd w:val="clear" w:color="000000" w:fill="FFFFFF"/>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包含主机审计许可证书数量：200，最大可扩展审计主机许可数：450，可用存储量：2TB（RAID1 模式），平均每秒处理日志数（eps）最大性能：2000。 硬件参数：规格：2U，内存大小：16G，硬盘容量：64G minisata+2T SATA*2，电源：单电源，接口：6千兆电口+2万兆光口SFP+。</w:t>
            </w:r>
          </w:p>
        </w:tc>
        <w:tc>
          <w:tcPr>
            <w:tcW w:w="1418"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sz w:val="20"/>
                <w:szCs w:val="20"/>
              </w:rPr>
              <w:t>台</w:t>
            </w:r>
          </w:p>
        </w:tc>
        <w:tc>
          <w:tcPr>
            <w:tcW w:w="1417" w:type="dxa"/>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right"/>
        </w:trPr>
        <w:tc>
          <w:tcPr>
            <w:tcW w:w="1466" w:type="dxa"/>
            <w:vMerge w:val="continue"/>
            <w:shd w:val="clear" w:color="auto" w:fill="auto"/>
            <w:vAlign w:val="center"/>
          </w:tcPr>
          <w:p>
            <w:pPr>
              <w:widowControl/>
              <w:jc w:val="left"/>
              <w:rPr>
                <w:rFonts w:hint="eastAsia" w:ascii="宋体" w:hAnsi="宋体" w:eastAsia="宋体" w:cs="宋体"/>
                <w:kern w:val="0"/>
                <w:sz w:val="20"/>
                <w:szCs w:val="20"/>
              </w:rPr>
            </w:pPr>
          </w:p>
        </w:tc>
        <w:tc>
          <w:tcPr>
            <w:tcW w:w="1473" w:type="dxa"/>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堡垒机</w:t>
            </w:r>
          </w:p>
        </w:tc>
        <w:tc>
          <w:tcPr>
            <w:tcW w:w="8118" w:type="dxa"/>
            <w:shd w:val="clear" w:color="000000" w:fill="FFFFFF"/>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包含运维授权数：50，图形运维最大并发数：100，字符运维最大并发数：200。 硬件参数：规格：1U，内存大小：4G，硬盘容量：1T SATA，电源：单电源，接口：6千兆电口。</w:t>
            </w:r>
          </w:p>
        </w:tc>
        <w:tc>
          <w:tcPr>
            <w:tcW w:w="1418"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sz w:val="20"/>
                <w:szCs w:val="20"/>
              </w:rPr>
              <w:t>台</w:t>
            </w:r>
          </w:p>
        </w:tc>
        <w:tc>
          <w:tcPr>
            <w:tcW w:w="1417" w:type="dxa"/>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right"/>
        </w:trPr>
        <w:tc>
          <w:tcPr>
            <w:tcW w:w="1466" w:type="dxa"/>
            <w:vMerge w:val="continue"/>
            <w:shd w:val="clear" w:color="auto" w:fill="auto"/>
            <w:vAlign w:val="center"/>
          </w:tcPr>
          <w:p>
            <w:pPr>
              <w:widowControl/>
              <w:jc w:val="left"/>
              <w:rPr>
                <w:rFonts w:hint="eastAsia" w:ascii="宋体" w:hAnsi="宋体" w:eastAsia="宋体" w:cs="宋体"/>
                <w:kern w:val="0"/>
                <w:sz w:val="20"/>
                <w:szCs w:val="20"/>
              </w:rPr>
            </w:pPr>
          </w:p>
        </w:tc>
        <w:tc>
          <w:tcPr>
            <w:tcW w:w="1473" w:type="dxa"/>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数据库审计</w:t>
            </w:r>
          </w:p>
        </w:tc>
        <w:tc>
          <w:tcPr>
            <w:tcW w:w="8118" w:type="dxa"/>
            <w:shd w:val="clear" w:color="000000" w:fill="FFFFFF"/>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吞吐量：2Gbps，SQL处理性能：10000条SQL/s，日志检索性能：20000条/秒，日志检索：20000条/秒。 硬件参数：规格：1U，内存大小：8G，硬盘容量：2TB SATA，电源：单电源，接口：6千兆电口+2千兆光口SFP。</w:t>
            </w:r>
          </w:p>
        </w:tc>
        <w:tc>
          <w:tcPr>
            <w:tcW w:w="1418"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sz w:val="20"/>
                <w:szCs w:val="20"/>
              </w:rPr>
              <w:t>台</w:t>
            </w:r>
          </w:p>
        </w:tc>
        <w:tc>
          <w:tcPr>
            <w:tcW w:w="1417" w:type="dxa"/>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right"/>
        </w:trPr>
        <w:tc>
          <w:tcPr>
            <w:tcW w:w="1466" w:type="dxa"/>
            <w:vMerge w:val="continue"/>
            <w:shd w:val="clear" w:color="auto" w:fill="auto"/>
            <w:vAlign w:val="center"/>
          </w:tcPr>
          <w:p>
            <w:pPr>
              <w:widowControl/>
              <w:jc w:val="left"/>
              <w:rPr>
                <w:rFonts w:hint="eastAsia" w:ascii="宋体" w:hAnsi="宋体" w:eastAsia="宋体" w:cs="宋体"/>
                <w:kern w:val="0"/>
                <w:sz w:val="20"/>
                <w:szCs w:val="20"/>
              </w:rPr>
            </w:pPr>
          </w:p>
        </w:tc>
        <w:tc>
          <w:tcPr>
            <w:tcW w:w="1473" w:type="dxa"/>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态势感知平台</w:t>
            </w:r>
          </w:p>
        </w:tc>
        <w:tc>
          <w:tcPr>
            <w:tcW w:w="8118" w:type="dxa"/>
            <w:shd w:val="clear" w:color="000000" w:fill="FFFFFF"/>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存储容量：21.8T，在带宽性能1Gbps时存储时长：1200天/1Gbps。 硬件参数：规格：2U，CPU：详情请在985机器人上搜索，内存：3*32GB DDR4 2666，系统盘：1*128GB SATA SSD，缓存盘：无缓存盘，数据盘：8*4TB，标配盘位数：8，电源：白金，冗余电源，接口：4千兆电口。</w:t>
            </w:r>
          </w:p>
        </w:tc>
        <w:tc>
          <w:tcPr>
            <w:tcW w:w="1418"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sz w:val="20"/>
                <w:szCs w:val="20"/>
              </w:rPr>
              <w:t>台</w:t>
            </w:r>
          </w:p>
        </w:tc>
        <w:tc>
          <w:tcPr>
            <w:tcW w:w="1417" w:type="dxa"/>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right"/>
        </w:trPr>
        <w:tc>
          <w:tcPr>
            <w:tcW w:w="1466" w:type="dxa"/>
            <w:vMerge w:val="continue"/>
            <w:shd w:val="clear" w:color="auto" w:fill="auto"/>
            <w:vAlign w:val="center"/>
          </w:tcPr>
          <w:p>
            <w:pPr>
              <w:widowControl/>
              <w:jc w:val="left"/>
              <w:rPr>
                <w:rFonts w:hint="eastAsia" w:ascii="宋体" w:hAnsi="宋体" w:eastAsia="宋体" w:cs="宋体"/>
                <w:kern w:val="0"/>
                <w:sz w:val="20"/>
                <w:szCs w:val="20"/>
              </w:rPr>
            </w:pPr>
          </w:p>
        </w:tc>
        <w:tc>
          <w:tcPr>
            <w:tcW w:w="1473" w:type="dxa"/>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态势感知探针</w:t>
            </w:r>
          </w:p>
        </w:tc>
        <w:tc>
          <w:tcPr>
            <w:tcW w:w="8118" w:type="dxa"/>
            <w:shd w:val="clear" w:color="000000" w:fill="FFFFFF"/>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吞吐性能：1Gbps。 硬件参数：规格：1U，内存大小：8G，硬盘容量：64G minisata SSD，电源：单电源，接口：6千兆电口+2千兆光口SFP。</w:t>
            </w:r>
          </w:p>
        </w:tc>
        <w:tc>
          <w:tcPr>
            <w:tcW w:w="1418"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sz w:val="20"/>
                <w:szCs w:val="20"/>
              </w:rPr>
              <w:t>台</w:t>
            </w:r>
          </w:p>
        </w:tc>
        <w:tc>
          <w:tcPr>
            <w:tcW w:w="1417" w:type="dxa"/>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right"/>
        </w:trPr>
        <w:tc>
          <w:tcPr>
            <w:tcW w:w="1466" w:type="dxa"/>
            <w:vMerge w:val="continue"/>
            <w:shd w:val="clear" w:color="auto" w:fill="auto"/>
            <w:vAlign w:val="center"/>
          </w:tcPr>
          <w:p>
            <w:pPr>
              <w:widowControl/>
              <w:jc w:val="left"/>
              <w:rPr>
                <w:rFonts w:hint="eastAsia" w:ascii="宋体" w:hAnsi="宋体" w:eastAsia="宋体" w:cs="宋体"/>
                <w:kern w:val="0"/>
                <w:sz w:val="20"/>
                <w:szCs w:val="20"/>
              </w:rPr>
            </w:pPr>
          </w:p>
        </w:tc>
        <w:tc>
          <w:tcPr>
            <w:tcW w:w="1473" w:type="dxa"/>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漏洞扫描</w:t>
            </w:r>
          </w:p>
        </w:tc>
        <w:tc>
          <w:tcPr>
            <w:tcW w:w="8118" w:type="dxa"/>
            <w:shd w:val="clear" w:color="000000" w:fill="FFFFFF"/>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授权：系统漏扫授权IP数：100，WEB漏扫授权URL数：20；性能指标：主机漏扫最大并发IP数：75，WEB漏扫最大并发URL数：5。</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硬件参数：规格：1U，内存大小：8G，硬盘容量：128GB SSD+ 2TB SATA，电源：单电源，接口：6千兆电口+2千兆光口SFP。</w:t>
            </w:r>
          </w:p>
        </w:tc>
        <w:tc>
          <w:tcPr>
            <w:tcW w:w="1418"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sz w:val="20"/>
                <w:szCs w:val="20"/>
              </w:rPr>
              <w:t>台</w:t>
            </w:r>
          </w:p>
        </w:tc>
        <w:tc>
          <w:tcPr>
            <w:tcW w:w="1417" w:type="dxa"/>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right"/>
        </w:trPr>
        <w:tc>
          <w:tcPr>
            <w:tcW w:w="1466" w:type="dxa"/>
            <w:vMerge w:val="continue"/>
            <w:shd w:val="clear" w:color="auto" w:fill="auto"/>
            <w:vAlign w:val="center"/>
          </w:tcPr>
          <w:p>
            <w:pPr>
              <w:widowControl/>
              <w:jc w:val="left"/>
              <w:rPr>
                <w:rFonts w:hint="eastAsia" w:ascii="宋体" w:hAnsi="宋体" w:eastAsia="宋体" w:cs="宋体"/>
                <w:kern w:val="0"/>
                <w:sz w:val="20"/>
                <w:szCs w:val="20"/>
              </w:rPr>
            </w:pPr>
          </w:p>
        </w:tc>
        <w:tc>
          <w:tcPr>
            <w:tcW w:w="1473" w:type="dxa"/>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零信任代理网关</w:t>
            </w:r>
          </w:p>
        </w:tc>
        <w:tc>
          <w:tcPr>
            <w:tcW w:w="8118" w:type="dxa"/>
            <w:shd w:val="clear" w:color="000000" w:fill="FFFFFF"/>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最大理论加密流量：750Mbps，最大理论并发用户数（个）：4000，最大理论https并发连接数（个）：120000，理论https新建连接数（个/秒）：730。 硬件参数：规格：2U，内存大小：16G，硬盘容量：240G SSD，电源：冗余电源，接口：6千兆电口+4千兆光口SFP+2万兆光口SFP+。包含300个接入授权</w:t>
            </w:r>
          </w:p>
        </w:tc>
        <w:tc>
          <w:tcPr>
            <w:tcW w:w="1418"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sz w:val="20"/>
                <w:szCs w:val="20"/>
              </w:rPr>
              <w:t>台</w:t>
            </w:r>
          </w:p>
        </w:tc>
        <w:tc>
          <w:tcPr>
            <w:tcW w:w="1417" w:type="dxa"/>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right"/>
        </w:trPr>
        <w:tc>
          <w:tcPr>
            <w:tcW w:w="1466" w:type="dxa"/>
            <w:vMerge w:val="continue"/>
            <w:shd w:val="clear" w:color="auto" w:fill="auto"/>
            <w:vAlign w:val="center"/>
          </w:tcPr>
          <w:p>
            <w:pPr>
              <w:widowControl/>
              <w:jc w:val="left"/>
              <w:rPr>
                <w:rFonts w:hint="eastAsia" w:ascii="宋体" w:hAnsi="宋体" w:eastAsia="宋体" w:cs="宋体"/>
                <w:kern w:val="0"/>
                <w:sz w:val="20"/>
                <w:szCs w:val="20"/>
              </w:rPr>
            </w:pPr>
          </w:p>
        </w:tc>
        <w:tc>
          <w:tcPr>
            <w:tcW w:w="1473" w:type="dxa"/>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零信任控制器</w:t>
            </w:r>
          </w:p>
        </w:tc>
        <w:tc>
          <w:tcPr>
            <w:tcW w:w="8118" w:type="dxa"/>
            <w:shd w:val="clear" w:color="000000" w:fill="FFFFFF"/>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最大并发用户数（个）-基础级：4000，最大并发用户数（个）-增强级：3200，新建用户数（个/秒）-本地认证：110，新建用户数（个/秒）-外部认证（如LDAP）：70。 硬件参数：规格：1U，内存大小：16G，硬盘容量：128G SSD，电源：冗余电源，接口：6千兆电口+4千兆光口SFP。 零信任可信控制器</w:t>
            </w:r>
          </w:p>
        </w:tc>
        <w:tc>
          <w:tcPr>
            <w:tcW w:w="1418" w:type="dxa"/>
            <w:vAlign w:val="center"/>
          </w:tcPr>
          <w:p>
            <w:pPr>
              <w:widowControl/>
              <w:jc w:val="center"/>
              <w:rPr>
                <w:rFonts w:hint="eastAsia" w:ascii="宋体" w:hAnsi="宋体" w:eastAsia="宋体" w:cs="宋体"/>
                <w:kern w:val="0"/>
                <w:sz w:val="20"/>
                <w:szCs w:val="20"/>
              </w:rPr>
            </w:pPr>
            <w:r>
              <w:rPr>
                <w:rFonts w:hint="eastAsia" w:ascii="宋体" w:hAnsi="宋体" w:eastAsia="宋体" w:cs="宋体"/>
                <w:sz w:val="20"/>
                <w:szCs w:val="20"/>
              </w:rPr>
              <w:t>台</w:t>
            </w:r>
          </w:p>
        </w:tc>
        <w:tc>
          <w:tcPr>
            <w:tcW w:w="1417" w:type="dxa"/>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right"/>
        </w:trPr>
        <w:tc>
          <w:tcPr>
            <w:tcW w:w="1466" w:type="dxa"/>
            <w:vMerge w:val="restart"/>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视频存储升级</w:t>
            </w:r>
          </w:p>
        </w:tc>
        <w:tc>
          <w:tcPr>
            <w:tcW w:w="1473"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视频综合管理系统</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定制</w:t>
            </w:r>
            <w:r>
              <w:rPr>
                <w:rFonts w:hint="eastAsia" w:ascii="宋体" w:hAnsi="宋体" w:cs="宋体"/>
                <w:color w:val="000000"/>
                <w:kern w:val="0"/>
                <w:sz w:val="20"/>
                <w:szCs w:val="20"/>
                <w:lang w:eastAsia="zh-CN"/>
              </w:rPr>
              <w:t>）</w:t>
            </w:r>
          </w:p>
        </w:tc>
        <w:tc>
          <w:tcPr>
            <w:tcW w:w="8118" w:type="dxa"/>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视频管理能力：支持海康SDK、国标Gb28181协议、大华SDK等视频协议的接入；支持视频的预览、视频的回放能力；提供业务应用依赖的基础资源信息及基础服务能力。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视频级联能力：为视频监控业务提供级联服务，基于视频通用标准协议（GB/T28181-2011,GB/T28181-2016）与外域平台互联互通，实现上级平台对下级平台视频资源点位的操作控制。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支持上下级域注册管理能力，实现平台数据级联；支持资源同步能力；支持级联视频点位实时预览、录像回放能力；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支持不低于5000路的视频接入、预览和管理；</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right"/>
        </w:trPr>
        <w:tc>
          <w:tcPr>
            <w:tcW w:w="1466" w:type="dxa"/>
            <w:vMerge w:val="continue"/>
            <w:vAlign w:val="center"/>
          </w:tcPr>
          <w:p>
            <w:pPr>
              <w:widowControl/>
              <w:jc w:val="left"/>
              <w:rPr>
                <w:rFonts w:hint="eastAsia" w:ascii="宋体" w:hAnsi="宋体" w:eastAsia="宋体" w:cs="宋体"/>
                <w:color w:val="000000"/>
                <w:kern w:val="0"/>
                <w:sz w:val="20"/>
                <w:szCs w:val="20"/>
              </w:rPr>
            </w:pPr>
          </w:p>
        </w:tc>
        <w:tc>
          <w:tcPr>
            <w:tcW w:w="1473"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企业级硬盘</w:t>
            </w:r>
          </w:p>
        </w:tc>
        <w:tc>
          <w:tcPr>
            <w:tcW w:w="8118" w:type="dxa"/>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6TB容量，7200rpm，3.5寸SATA硬盘</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块 </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right"/>
        </w:trPr>
        <w:tc>
          <w:tcPr>
            <w:tcW w:w="1466" w:type="dxa"/>
            <w:vMerge w:val="continue"/>
            <w:vAlign w:val="center"/>
          </w:tcPr>
          <w:p>
            <w:pPr>
              <w:widowControl/>
              <w:jc w:val="left"/>
              <w:rPr>
                <w:rFonts w:hint="eastAsia" w:ascii="宋体" w:hAnsi="宋体" w:eastAsia="宋体" w:cs="宋体"/>
                <w:color w:val="000000"/>
                <w:kern w:val="0"/>
                <w:sz w:val="20"/>
                <w:szCs w:val="20"/>
              </w:rPr>
            </w:pPr>
          </w:p>
        </w:tc>
        <w:tc>
          <w:tcPr>
            <w:tcW w:w="1473"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视频存储授权</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定制</w:t>
            </w:r>
            <w:r>
              <w:rPr>
                <w:rFonts w:hint="eastAsia" w:ascii="宋体" w:hAnsi="宋体" w:cs="宋体"/>
                <w:color w:val="000000"/>
                <w:kern w:val="0"/>
                <w:sz w:val="20"/>
                <w:szCs w:val="20"/>
                <w:lang w:eastAsia="zh-CN"/>
              </w:rPr>
              <w:t>）</w:t>
            </w:r>
          </w:p>
        </w:tc>
        <w:tc>
          <w:tcPr>
            <w:tcW w:w="8118" w:type="dxa"/>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视频存储系统672T存储授权</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right"/>
        </w:trPr>
        <w:tc>
          <w:tcPr>
            <w:tcW w:w="1466" w:type="dxa"/>
            <w:vMerge w:val="restart"/>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易演练移动演练服务箱</w:t>
            </w:r>
          </w:p>
        </w:tc>
        <w:tc>
          <w:tcPr>
            <w:tcW w:w="1473" w:type="dxa"/>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拉杆设备箱</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配套定制内衬，箱体采用高强度PP+玻纤材质，拉伸强度、弯曲强度、耐候性强；IP67防水防尘，配置气体平衡阀、耐用PP滚轮。</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长 80cm/宽50cm/高35cm</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内部纵深：25cm</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1466" w:type="dxa"/>
            <w:vMerge w:val="continue"/>
            <w:shd w:val="clear" w:color="auto" w:fill="auto"/>
            <w:noWrap/>
            <w:vAlign w:val="center"/>
          </w:tcPr>
          <w:p>
            <w:pPr>
              <w:widowControl/>
              <w:jc w:val="center"/>
              <w:rPr>
                <w:rFonts w:hint="eastAsia" w:ascii="宋体" w:hAnsi="宋体" w:eastAsia="宋体" w:cs="宋体"/>
                <w:color w:val="000000"/>
                <w:kern w:val="0"/>
                <w:sz w:val="20"/>
                <w:szCs w:val="20"/>
              </w:rPr>
            </w:pPr>
          </w:p>
        </w:tc>
        <w:tc>
          <w:tcPr>
            <w:tcW w:w="1473" w:type="dxa"/>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易演练终端</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win10  14英寸；英特尔UHD Graphics 600；主硬盘124GB/内存6GB</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right"/>
        </w:trPr>
        <w:tc>
          <w:tcPr>
            <w:tcW w:w="1466" w:type="dxa"/>
            <w:vMerge w:val="continue"/>
            <w:shd w:val="clear" w:color="auto" w:fill="auto"/>
            <w:noWrap/>
            <w:vAlign w:val="center"/>
          </w:tcPr>
          <w:p>
            <w:pPr>
              <w:widowControl/>
              <w:jc w:val="center"/>
              <w:rPr>
                <w:rFonts w:hint="eastAsia" w:ascii="宋体" w:hAnsi="宋体" w:eastAsia="宋体" w:cs="宋体"/>
                <w:color w:val="000000"/>
                <w:kern w:val="0"/>
                <w:sz w:val="20"/>
                <w:szCs w:val="20"/>
              </w:rPr>
            </w:pPr>
          </w:p>
        </w:tc>
        <w:tc>
          <w:tcPr>
            <w:tcW w:w="1473" w:type="dxa"/>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LED胸牌</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长9.3cm/宽3cm/厚0.5cm；续航时间3-5h；手机/电脑改字</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right"/>
        </w:trPr>
        <w:tc>
          <w:tcPr>
            <w:tcW w:w="1466" w:type="dxa"/>
            <w:vMerge w:val="continue"/>
            <w:shd w:val="clear" w:color="auto" w:fill="auto"/>
            <w:noWrap/>
            <w:vAlign w:val="center"/>
          </w:tcPr>
          <w:p>
            <w:pPr>
              <w:widowControl/>
              <w:jc w:val="center"/>
              <w:rPr>
                <w:rFonts w:hint="eastAsia" w:ascii="宋体" w:hAnsi="宋体" w:eastAsia="宋体" w:cs="宋体"/>
                <w:color w:val="000000"/>
                <w:kern w:val="0"/>
                <w:sz w:val="20"/>
                <w:szCs w:val="20"/>
              </w:rPr>
            </w:pPr>
          </w:p>
        </w:tc>
        <w:tc>
          <w:tcPr>
            <w:tcW w:w="1473" w:type="dxa"/>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无线键鼠</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定制</w:t>
            </w:r>
            <w:r>
              <w:rPr>
                <w:rFonts w:hint="eastAsia" w:ascii="宋体" w:hAnsi="宋体" w:cs="宋体"/>
                <w:color w:val="000000"/>
                <w:kern w:val="0"/>
                <w:sz w:val="20"/>
                <w:szCs w:val="20"/>
                <w:lang w:eastAsia="zh-CN"/>
              </w:rPr>
              <w:t>）</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国标</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right"/>
        </w:trPr>
        <w:tc>
          <w:tcPr>
            <w:tcW w:w="1466" w:type="dxa"/>
            <w:vMerge w:val="restart"/>
            <w:shd w:val="clear" w:color="auto" w:fill="auto"/>
            <w:noWrap/>
            <w:vAlign w:val="center"/>
          </w:tcPr>
          <w:p>
            <w:pPr>
              <w:widowControl/>
              <w:jc w:val="center"/>
              <w:rPr>
                <w:rFonts w:hint="eastAsia" w:ascii="宋体" w:hAnsi="宋体" w:eastAsia="宋体" w:cs="宋体"/>
                <w:color w:val="000000"/>
                <w:kern w:val="0"/>
                <w:sz w:val="20"/>
                <w:szCs w:val="20"/>
              </w:rPr>
            </w:pPr>
          </w:p>
        </w:tc>
        <w:tc>
          <w:tcPr>
            <w:tcW w:w="1473" w:type="dxa"/>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路由器</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定制</w:t>
            </w:r>
            <w:r>
              <w:rPr>
                <w:rFonts w:hint="eastAsia" w:ascii="宋体" w:hAnsi="宋体" w:cs="宋体"/>
                <w:color w:val="000000"/>
                <w:kern w:val="0"/>
                <w:sz w:val="20"/>
                <w:szCs w:val="20"/>
                <w:lang w:eastAsia="zh-CN"/>
              </w:rPr>
              <w:t>）</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国标</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right"/>
        </w:trPr>
        <w:tc>
          <w:tcPr>
            <w:tcW w:w="1466" w:type="dxa"/>
            <w:vMerge w:val="continue"/>
            <w:shd w:val="clear" w:color="auto" w:fill="auto"/>
            <w:noWrap/>
            <w:vAlign w:val="center"/>
          </w:tcPr>
          <w:p>
            <w:pPr>
              <w:widowControl/>
              <w:jc w:val="center"/>
              <w:rPr>
                <w:rFonts w:hint="eastAsia" w:ascii="宋体" w:hAnsi="宋体" w:eastAsia="宋体" w:cs="宋体"/>
                <w:color w:val="000000"/>
                <w:kern w:val="0"/>
                <w:sz w:val="20"/>
                <w:szCs w:val="20"/>
              </w:rPr>
            </w:pPr>
          </w:p>
        </w:tc>
        <w:tc>
          <w:tcPr>
            <w:tcW w:w="1473" w:type="dxa"/>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便携蓝牙音响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定制</w:t>
            </w:r>
            <w:r>
              <w:rPr>
                <w:rFonts w:hint="eastAsia" w:ascii="宋体" w:hAnsi="宋体" w:cs="宋体"/>
                <w:color w:val="000000"/>
                <w:kern w:val="0"/>
                <w:sz w:val="20"/>
                <w:szCs w:val="20"/>
                <w:lang w:eastAsia="zh-CN"/>
              </w:rPr>
              <w:t>）</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国标</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right"/>
        </w:trPr>
        <w:tc>
          <w:tcPr>
            <w:tcW w:w="1466" w:type="dxa"/>
            <w:vMerge w:val="continue"/>
            <w:shd w:val="clear" w:color="auto" w:fill="auto"/>
            <w:noWrap/>
            <w:vAlign w:val="center"/>
          </w:tcPr>
          <w:p>
            <w:pPr>
              <w:widowControl/>
              <w:jc w:val="center"/>
              <w:rPr>
                <w:rFonts w:hint="eastAsia" w:ascii="宋体" w:hAnsi="宋体" w:eastAsia="宋体" w:cs="宋体"/>
                <w:color w:val="000000"/>
                <w:kern w:val="0"/>
                <w:sz w:val="20"/>
                <w:szCs w:val="20"/>
              </w:rPr>
            </w:pPr>
          </w:p>
        </w:tc>
        <w:tc>
          <w:tcPr>
            <w:tcW w:w="1473" w:type="dxa"/>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笔记本电脑</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win10/11 i5 15.5英寸，固态512GB/内存16G，显卡MX450。</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7" w:hRule="atLeast"/>
          <w:jc w:val="right"/>
        </w:trPr>
        <w:tc>
          <w:tcPr>
            <w:tcW w:w="2939" w:type="dxa"/>
            <w:gridSpan w:val="2"/>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高空瞭望</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可见光：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镜头焦距：≥750mm，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摄像机：300W像素，透雾；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热成像：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第五代VOx氧化矾非制冷探测器，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输出分辨率＞300万像素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焦距：≥155mm，大于5倍连续光学变焦镜头，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NETD≤10mK；MRTD≤200mK，</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SDE数字图像细节增强,电子变倍8×，图像处理，自动增益控制(AGC) ；16种伪彩色PAL复合视频输出；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优化的前端快速处理算法，基于每帧分析，报警响应30ms，无延迟，无信息丢失；</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支持热成像仪具有寿命指数记录功能（累计工作时间，快门次数，极限温度，环境温度，核心器件温度），可通过web实时查看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支持画中画显示功能，对视频画面进性变倍显示时，可在视频画面右上角叠加未变倍得原始视频画面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支持热成像视频画面显示比例尺，当设备进行变焦操作时，比例尺发生相应变化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云台：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基本性能：水平旋转范围：0～360°；俯仰旋转范围：-45°～45°；水平旋转速度范围：0.1°/S～30°/S；俯仰旋转速度范围：0.1°/S～15°/S；；工作温度：-25℃～+55℃，</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支持镜头焦距速度自适应功能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支持镜头变倍、聚焦预置位；断电记忆：支持（可恢复断电前位置、预置位点状态、巡航状态、线扫状态），整机防护等级：IP66；护罩防护等级：IP67；最大载荷：≥50kg</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right"/>
        </w:trPr>
        <w:tc>
          <w:tcPr>
            <w:tcW w:w="2939" w:type="dxa"/>
            <w:gridSpan w:val="2"/>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360°全景摄像头</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全景摄像机：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4个1/1.8＂4MPProgressiveScanCMOS，最高分辨率及帧率可达5520×2400@30fps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n视场角：水平不低于180°，垂直不低于85°</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n星光级超低照度，0.0005Lux/F1.0（彩色），0.0001Lux/F1.0（黑白）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细节摄像机: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n1/1.8＂4MPProgressiveScanCMOS，最高分辨率及帧率可达2560×1440@30fps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n星光级超低照度，0.0005Lux/F1.2（彩色），0.0001Lux/F1.2（黑白），0LuxwithIR</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n40倍光学变倍，16倍数字变倍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n水平360°连续旋转，垂直-15°~90°（自动翻转）</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n采用高效红外阵列，低功耗，照射距离最远可达250m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系统参数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支持区域入侵、越界、进入区域、离开区域事件侦测功能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支持点击联动功能，通过在客户端点击或者框选全景摄像机画面任意位置，细节跟踪摄像机可自动通过云台调整与变焦，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将该区域置于画面中心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支持目标自动跟踪功能，通过设置智能事件规则，对设定区域内触发事件的运动目标在设定的跟踪时间内进行持续稳定跟踪。并可在跟踪过程中手动切换跟踪目标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支持手动选择跟踪目标，在设定跟踪时间内进行持续稳定跟踪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n支持多目标自动切换跟踪，目标切换时间小于1秒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n支持软件集成的开放式API、ISAPI、第三方管理平台接入、GB/T28181协议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n内置7路报警输入、2路报警输出、1路音频输入、1路音频输出、光口（FC）+电口（RJ-45）网络接口设计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n支持GB35114安全加密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n支持基于行业平台实现AR立体防控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n支持移动标签相关功能，包括但不限于单兵、稽查车辆、低空布控车辆等具有GPS信号的目标，可以在监控画面上实时显示并展开业务应用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n支持全景和细节的标签映射，同一目标只需标定一次。</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right"/>
        </w:trPr>
        <w:tc>
          <w:tcPr>
            <w:tcW w:w="2939" w:type="dxa"/>
            <w:gridSpan w:val="2"/>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大范围速扫设备</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（1）设备防护等级应不低于IP65；在-20℃~50℃的环境温度范围内、10%~90%的湿度范围内应能正常工作；供电电源应采用 220VAC或24VDC，在±10%电压范围内能够正常运行；具备365天x24小时连续工作能力，3年内无固定备品备件更换，系统使用寿命不低于5年；</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（2）红外光谱面式成像+可见光双光融合成像；响应波段：8-14µm；探测距离范围不低于100米；响应时间≤3秒；镜头可电动调焦，视场角 H：不低于10度 x V：不低于8度；可见光分辨率不低于1920x1080像素，25Hz；红外不低于640x480像素，25Hz；可以连续全自动实时不间断的动态面式（红外+可见光）成像视频显示；具备实时浓度显示功能，显示单位为ppm·m；可在可见光画面上将无色的气体实时彩色可视化视频显示，显示泄漏气体羽流轨迹和漂流方向；</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（3）开放能力：提供以太网RJ45或光纤网络接口；视频流遵循RTSP协议、H.265,H.264编码；提供API接口接入到第三方平台；支持视频流存储到海康、大华等硬盘录像机；</w:t>
            </w: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应配备相应的后台软件实现人员管理、设备管理、报警信息管理等功能；具备实时监控功能，实时不间断的显示视频图像(可见光+红外)；具备气体泄漏报警功能，并以声、光方式进行提示；可手动设置气体的报警浓度阈值；具备报警记录查询功能；</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right"/>
        </w:trPr>
        <w:tc>
          <w:tcPr>
            <w:tcW w:w="2939" w:type="dxa"/>
            <w:gridSpan w:val="2"/>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哨兵边缘计算设备</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CPU：8核心 ARM 64-bit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GPU：嵌入式GPU，32 TOPS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内存：32 GB 128-bit LPDDR4x</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存储：1TB SSD + 32GB eMMC</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视频硬件解码能力：2x 8K30 | 6x 4K60 | 12x 4K30 | 26x 1080p60 | 52x 1080p30 (H.265)，30x 1080p30 (H.264)</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视频硬件编码能力：4x 4Kp60 | 8x 4Kp30 | 16x 1080p60 | 32x 1080p30 (H.265)，30x 1080p30 (H.264)</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以太网：4x RJ45千兆以太网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USB：2× USB3.1，1× USB Type-C</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通用外设接口：2 × RS232/485 (DB9)，1× CAN (DB9)</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显示输出：1x HDMI</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IOT接入能力：2000点位/秒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标准识别模型：烟雾、明火、安全帽佩戴、脱岗、睡岗、区域入侵、人员聚集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视频识别能力:100路·模型/分钟</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right"/>
        </w:trPr>
        <w:tc>
          <w:tcPr>
            <w:tcW w:w="2939" w:type="dxa"/>
            <w:gridSpan w:val="2"/>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铁塔租赁和设备安装</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定制</w:t>
            </w:r>
            <w:r>
              <w:rPr>
                <w:rFonts w:hint="eastAsia" w:ascii="宋体" w:hAnsi="宋体" w:cs="宋体"/>
                <w:color w:val="000000"/>
                <w:kern w:val="0"/>
                <w:sz w:val="20"/>
                <w:szCs w:val="20"/>
                <w:lang w:eastAsia="zh-CN"/>
              </w:rPr>
              <w:t>）</w:t>
            </w:r>
          </w:p>
        </w:tc>
        <w:tc>
          <w:tcPr>
            <w:tcW w:w="8118" w:type="dxa"/>
            <w:shd w:val="clear" w:color="000000" w:fill="FFFFFF"/>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租用铁塔挂载点，代安装、调试、维护高空瞭望、全景监控等设备</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1年</w:t>
            </w:r>
          </w:p>
        </w:tc>
        <w:tc>
          <w:tcPr>
            <w:tcW w:w="1418" w:type="dxa"/>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1417" w:type="dxa"/>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p>
        </w:tc>
      </w:tr>
    </w:tbl>
    <w:p>
      <w:pPr>
        <w:spacing w:line="440" w:lineRule="exact"/>
        <w:ind w:left="420" w:leftChars="200"/>
        <w:rPr>
          <w:rFonts w:ascii="宋体" w:hAnsi="宋体" w:cs="宋体"/>
          <w:b/>
          <w:bCs/>
          <w:sz w:val="24"/>
        </w:rPr>
      </w:pPr>
      <w:r>
        <w:rPr>
          <w:rFonts w:hint="eastAsia" w:ascii="宋体" w:hAnsi="宋体" w:cs="宋体"/>
          <w:b/>
          <w:bCs/>
          <w:sz w:val="24"/>
        </w:rPr>
        <w:t>注：</w:t>
      </w:r>
    </w:p>
    <w:p>
      <w:pPr>
        <w:numPr>
          <w:ilvl w:val="0"/>
          <w:numId w:val="38"/>
        </w:numPr>
        <w:spacing w:line="440" w:lineRule="exact"/>
        <w:ind w:firstLine="482" w:firstLineChars="200"/>
        <w:rPr>
          <w:rFonts w:ascii="宋体" w:hAnsi="宋体" w:cs="宋体"/>
          <w:b/>
          <w:bCs/>
          <w:sz w:val="24"/>
        </w:rPr>
      </w:pPr>
      <w:r>
        <w:rPr>
          <w:rFonts w:hint="eastAsia" w:ascii="宋体" w:hAnsi="宋体" w:cs="宋体"/>
          <w:b/>
          <w:bCs/>
          <w:sz w:val="24"/>
        </w:rPr>
        <w:t>招标文件本章中，为了方便起见，可能会采取按某种品牌货物的规格和型号予以表述，但并不因此限制或者拒绝投标人以其他能满足本项目技术需求且性能与所明确品牌相当或以上的货物参加投标。</w:t>
      </w:r>
    </w:p>
    <w:p>
      <w:pPr>
        <w:numPr>
          <w:ilvl w:val="0"/>
          <w:numId w:val="38"/>
        </w:numPr>
        <w:spacing w:line="440" w:lineRule="exact"/>
        <w:ind w:firstLine="482" w:firstLineChars="200"/>
        <w:rPr>
          <w:rFonts w:ascii="宋体" w:hAnsi="宋体" w:cs="宋体"/>
          <w:b/>
          <w:bCs/>
          <w:sz w:val="24"/>
        </w:rPr>
      </w:pPr>
      <w:r>
        <w:rPr>
          <w:rFonts w:hint="eastAsia" w:ascii="宋体" w:hAnsi="宋体" w:cs="宋体"/>
          <w:b/>
          <w:bCs/>
          <w:sz w:val="24"/>
        </w:rPr>
        <w:t>本项目不集中组织现场踏勘，投标人可自行前往现场查看、测量。</w:t>
      </w:r>
    </w:p>
    <w:p>
      <w:pPr>
        <w:pStyle w:val="9"/>
        <w:ind w:left="420" w:leftChars="200" w:firstLine="0"/>
      </w:pPr>
    </w:p>
    <w:p>
      <w:pPr>
        <w:pStyle w:val="10"/>
      </w:pPr>
    </w:p>
    <w:p>
      <w:pPr>
        <w:pStyle w:val="8"/>
        <w:sectPr>
          <w:pgSz w:w="16838" w:h="11906" w:orient="landscape"/>
          <w:pgMar w:top="1800" w:right="1440" w:bottom="1800" w:left="1440" w:header="851" w:footer="992" w:gutter="0"/>
          <w:cols w:space="720" w:num="1"/>
          <w:docGrid w:type="lines" w:linePitch="312" w:charSpace="0"/>
        </w:sectPr>
      </w:pPr>
    </w:p>
    <w:p>
      <w:pPr>
        <w:tabs>
          <w:tab w:val="left" w:pos="772"/>
        </w:tabs>
        <w:spacing w:line="440" w:lineRule="exact"/>
        <w:rPr>
          <w:rFonts w:ascii="宋体" w:hAnsi="宋体"/>
          <w:b/>
          <w:sz w:val="24"/>
        </w:rPr>
      </w:pPr>
      <w:r>
        <w:rPr>
          <w:rFonts w:hint="eastAsia" w:ascii="宋体" w:hAnsi="宋体"/>
          <w:b/>
          <w:sz w:val="24"/>
        </w:rPr>
        <w:t>四、其他采购需求</w:t>
      </w:r>
    </w:p>
    <w:p>
      <w:pPr>
        <w:spacing w:line="440" w:lineRule="exact"/>
        <w:ind w:firstLine="482" w:firstLineChars="200"/>
        <w:rPr>
          <w:rFonts w:ascii="宋体" w:hAnsi="宋体" w:cs="宋体"/>
          <w:b/>
          <w:bCs/>
          <w:sz w:val="24"/>
        </w:rPr>
      </w:pPr>
      <w:r>
        <w:rPr>
          <w:rFonts w:hint="eastAsia" w:ascii="宋体" w:hAnsi="宋体" w:cs="宋体"/>
          <w:b/>
          <w:bCs/>
          <w:sz w:val="24"/>
        </w:rPr>
        <w:t>1、</w:t>
      </w:r>
      <w:r>
        <w:rPr>
          <w:rFonts w:ascii="宋体" w:hAnsi="宋体" w:cs="宋体"/>
          <w:b/>
          <w:bCs/>
          <w:sz w:val="24"/>
        </w:rPr>
        <w:t xml:space="preserve">软件开发、调试、交期： </w:t>
      </w:r>
    </w:p>
    <w:p>
      <w:pPr>
        <w:spacing w:line="44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中标人需按采购人的要求和国家及行业规范负责</w:t>
      </w:r>
      <w:r>
        <w:rPr>
          <w:rFonts w:hint="eastAsia" w:ascii="宋体" w:hAnsi="宋体" w:cs="宋体"/>
          <w:sz w:val="24"/>
        </w:rPr>
        <w:t>供货、</w:t>
      </w:r>
      <w:r>
        <w:rPr>
          <w:rFonts w:ascii="宋体" w:hAnsi="宋体" w:cs="宋体"/>
          <w:sz w:val="24"/>
        </w:rPr>
        <w:t>安装和调试及试运行。</w:t>
      </w:r>
    </w:p>
    <w:p>
      <w:pPr>
        <w:spacing w:line="440" w:lineRule="exact"/>
        <w:ind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工期：</w:t>
      </w:r>
      <w:r>
        <w:rPr>
          <w:rFonts w:hint="eastAsia" w:ascii="宋体" w:hAnsi="宋体" w:cs="宋体"/>
          <w:color w:val="auto"/>
          <w:sz w:val="24"/>
          <w:lang w:val="en-US" w:eastAsia="zh-CN"/>
        </w:rPr>
        <w:t>本项目服务工期245日历天。其中</w:t>
      </w:r>
      <w:r>
        <w:rPr>
          <w:rFonts w:hint="eastAsia" w:ascii="宋体" w:hAnsi="宋体" w:cs="宋体"/>
          <w:color w:val="auto"/>
          <w:sz w:val="24"/>
        </w:rPr>
        <w:t>150日历天内</w:t>
      </w:r>
      <w:r>
        <w:rPr>
          <w:rFonts w:ascii="宋体" w:hAnsi="宋体" w:cs="宋体"/>
          <w:color w:val="auto"/>
          <w:sz w:val="24"/>
        </w:rPr>
        <w:t>完成项目实施上线</w:t>
      </w:r>
      <w:r>
        <w:rPr>
          <w:rFonts w:hint="eastAsia" w:ascii="宋体" w:hAnsi="宋体" w:cs="宋体"/>
          <w:color w:val="auto"/>
          <w:sz w:val="24"/>
        </w:rPr>
        <w:t>，上线</w:t>
      </w:r>
      <w:r>
        <w:rPr>
          <w:rFonts w:hint="eastAsia" w:ascii="宋体" w:hAnsi="宋体" w:cs="宋体"/>
          <w:color w:val="auto"/>
          <w:sz w:val="24"/>
          <w:lang w:val="en-US" w:eastAsia="zh-CN"/>
        </w:rPr>
        <w:t>5日历天</w:t>
      </w:r>
      <w:r>
        <w:rPr>
          <w:rFonts w:hint="eastAsia" w:ascii="宋体" w:hAnsi="宋体" w:cs="宋体"/>
          <w:color w:val="auto"/>
          <w:sz w:val="24"/>
        </w:rPr>
        <w:t>后</w:t>
      </w:r>
      <w:r>
        <w:rPr>
          <w:rFonts w:ascii="宋体" w:hAnsi="宋体" w:cs="宋体"/>
          <w:color w:val="auto"/>
          <w:sz w:val="24"/>
        </w:rPr>
        <w:t>组织项目初验；项目初验</w:t>
      </w:r>
      <w:r>
        <w:rPr>
          <w:rFonts w:hint="eastAsia" w:ascii="宋体" w:hAnsi="宋体" w:cs="宋体"/>
          <w:color w:val="auto"/>
          <w:sz w:val="24"/>
          <w:lang w:val="en-US" w:eastAsia="zh-CN"/>
        </w:rPr>
        <w:t>后</w:t>
      </w:r>
      <w:r>
        <w:rPr>
          <w:rFonts w:ascii="宋体" w:hAnsi="宋体" w:cs="宋体"/>
          <w:color w:val="auto"/>
          <w:sz w:val="24"/>
        </w:rPr>
        <w:t>经</w:t>
      </w:r>
      <w:r>
        <w:rPr>
          <w:rFonts w:hint="eastAsia" w:ascii="宋体" w:hAnsi="宋体" w:cs="宋体"/>
          <w:color w:val="auto"/>
          <w:sz w:val="24"/>
          <w:lang w:val="en-US" w:eastAsia="zh-CN"/>
        </w:rPr>
        <w:t>90日历天</w:t>
      </w:r>
      <w:r>
        <w:rPr>
          <w:rFonts w:ascii="宋体" w:hAnsi="宋体" w:cs="宋体"/>
          <w:color w:val="auto"/>
          <w:sz w:val="24"/>
        </w:rPr>
        <w:t>试运行，平台运行稳定后，配合采购人开展项目验收。</w:t>
      </w:r>
    </w:p>
    <w:p>
      <w:pPr>
        <w:spacing w:line="440" w:lineRule="exact"/>
        <w:ind w:firstLine="480" w:firstLineChars="200"/>
        <w:rPr>
          <w:rFonts w:ascii="宋体" w:hAnsi="宋体" w:cs="宋体"/>
          <w:sz w:val="24"/>
        </w:rPr>
      </w:pPr>
      <w:r>
        <w:rPr>
          <w:rFonts w:ascii="宋体" w:hAnsi="宋体" w:cs="宋体"/>
          <w:sz w:val="24"/>
        </w:rPr>
        <w:t>供应商应按照上述时间安排，制定相应的项目实施详细进度计划，确定每个实施阶段的时间表及工作目标，非不可抗力原因造成项目延期，投标人需承担违约责任。</w:t>
      </w:r>
    </w:p>
    <w:p>
      <w:pPr>
        <w:spacing w:line="440" w:lineRule="exact"/>
        <w:ind w:firstLine="482" w:firstLineChars="200"/>
        <w:rPr>
          <w:rFonts w:ascii="宋体" w:hAnsi="宋体" w:cs="宋体"/>
          <w:b/>
          <w:bCs/>
          <w:sz w:val="24"/>
        </w:rPr>
      </w:pPr>
      <w:r>
        <w:rPr>
          <w:rFonts w:hint="eastAsia" w:ascii="宋体" w:hAnsi="宋体" w:cs="宋体"/>
          <w:b/>
          <w:bCs/>
          <w:sz w:val="24"/>
        </w:rPr>
        <w:t>2、</w:t>
      </w:r>
      <w:r>
        <w:rPr>
          <w:rFonts w:ascii="宋体" w:hAnsi="宋体" w:cs="宋体"/>
          <w:b/>
          <w:bCs/>
          <w:sz w:val="24"/>
        </w:rPr>
        <w:t>质量保证期：</w:t>
      </w:r>
    </w:p>
    <w:p>
      <w:pPr>
        <w:spacing w:line="440" w:lineRule="exact"/>
        <w:ind w:firstLine="480" w:firstLineChars="200"/>
        <w:rPr>
          <w:rFonts w:ascii="宋体" w:hAnsi="宋体" w:cs="宋体"/>
          <w:color w:val="auto"/>
          <w:sz w:val="24"/>
        </w:rPr>
      </w:pPr>
      <w:r>
        <w:rPr>
          <w:rFonts w:ascii="宋体" w:hAnsi="宋体" w:cs="宋体"/>
          <w:sz w:val="24"/>
        </w:rPr>
        <w:t>该项目建设完</w:t>
      </w:r>
      <w:r>
        <w:rPr>
          <w:rFonts w:ascii="宋体" w:hAnsi="宋体" w:cs="宋体"/>
          <w:color w:val="auto"/>
          <w:sz w:val="24"/>
        </w:rPr>
        <w:t>成</w:t>
      </w:r>
      <w:r>
        <w:rPr>
          <w:rFonts w:hint="eastAsia" w:ascii="宋体" w:hAnsi="宋体" w:cs="宋体"/>
          <w:color w:val="auto"/>
          <w:sz w:val="24"/>
        </w:rPr>
        <w:t>，通过项目最终验收</w:t>
      </w:r>
      <w:r>
        <w:rPr>
          <w:rFonts w:ascii="宋体" w:hAnsi="宋体" w:cs="宋体"/>
          <w:color w:val="auto"/>
          <w:sz w:val="24"/>
        </w:rPr>
        <w:t>后提供三年的免费软件质保和三年的硬件质保。</w:t>
      </w:r>
    </w:p>
    <w:p>
      <w:pPr>
        <w:spacing w:line="440" w:lineRule="exact"/>
        <w:ind w:firstLine="482" w:firstLineChars="200"/>
        <w:rPr>
          <w:rFonts w:ascii="宋体" w:hAnsi="宋体" w:cs="宋体"/>
          <w:b/>
          <w:bCs/>
          <w:sz w:val="24"/>
        </w:rPr>
      </w:pPr>
      <w:r>
        <w:rPr>
          <w:rFonts w:hint="eastAsia" w:ascii="宋体" w:hAnsi="宋体" w:cs="宋体"/>
          <w:b/>
          <w:bCs/>
          <w:sz w:val="24"/>
        </w:rPr>
        <w:t>3、</w:t>
      </w:r>
      <w:r>
        <w:rPr>
          <w:rFonts w:ascii="宋体" w:hAnsi="宋体" w:cs="宋体"/>
          <w:b/>
          <w:bCs/>
          <w:sz w:val="24"/>
        </w:rPr>
        <w:t>验收标准：</w:t>
      </w:r>
    </w:p>
    <w:p>
      <w:pPr>
        <w:spacing w:line="440" w:lineRule="exact"/>
        <w:ind w:firstLine="480" w:firstLineChars="200"/>
        <w:rPr>
          <w:rFonts w:ascii="宋体" w:hAnsi="宋体" w:cs="宋体"/>
          <w:sz w:val="24"/>
        </w:rPr>
      </w:pPr>
      <w:r>
        <w:rPr>
          <w:rFonts w:hint="eastAsia" w:ascii="宋体" w:hAnsi="宋体" w:cs="宋体"/>
          <w:sz w:val="24"/>
        </w:rPr>
        <w:t>（1）采购人</w:t>
      </w:r>
      <w:r>
        <w:rPr>
          <w:rFonts w:ascii="宋体" w:hAnsi="宋体" w:cs="宋体"/>
          <w:sz w:val="24"/>
        </w:rPr>
        <w:t>以附件《投标文件》作为验收依据。</w:t>
      </w:r>
    </w:p>
    <w:p>
      <w:pPr>
        <w:spacing w:line="440" w:lineRule="exact"/>
        <w:ind w:firstLine="480" w:firstLineChars="200"/>
        <w:rPr>
          <w:rFonts w:ascii="宋体" w:hAnsi="宋体" w:cs="宋体"/>
          <w:sz w:val="24"/>
        </w:rPr>
      </w:pPr>
      <w:r>
        <w:rPr>
          <w:rFonts w:hint="eastAsia" w:ascii="宋体" w:hAnsi="宋体" w:cs="宋体"/>
          <w:sz w:val="24"/>
        </w:rPr>
        <w:t>（2）供应商</w:t>
      </w:r>
      <w:r>
        <w:rPr>
          <w:rFonts w:ascii="宋体" w:hAnsi="宋体" w:cs="宋体"/>
          <w:sz w:val="24"/>
        </w:rPr>
        <w:t>应在验收前，提交以下文档作为</w:t>
      </w:r>
      <w:r>
        <w:rPr>
          <w:rFonts w:hint="eastAsia" w:ascii="宋体" w:hAnsi="宋体" w:cs="宋体"/>
          <w:sz w:val="24"/>
        </w:rPr>
        <w:t>采购人</w:t>
      </w:r>
      <w:r>
        <w:rPr>
          <w:rFonts w:ascii="宋体" w:hAnsi="宋体" w:cs="宋体"/>
          <w:sz w:val="24"/>
        </w:rPr>
        <w:t>验收的一部分内容：</w:t>
      </w:r>
    </w:p>
    <w:p>
      <w:pPr>
        <w:numPr>
          <w:ilvl w:val="0"/>
          <w:numId w:val="39"/>
        </w:numPr>
        <w:spacing w:line="440" w:lineRule="exact"/>
        <w:ind w:firstLine="480" w:firstLineChars="200"/>
        <w:rPr>
          <w:rFonts w:ascii="宋体" w:hAnsi="宋体" w:cs="宋体"/>
          <w:sz w:val="24"/>
        </w:rPr>
      </w:pPr>
      <w:r>
        <w:rPr>
          <w:rFonts w:ascii="宋体" w:hAnsi="宋体" w:cs="宋体"/>
          <w:sz w:val="24"/>
        </w:rPr>
        <w:t>设备清单</w:t>
      </w:r>
    </w:p>
    <w:p>
      <w:pPr>
        <w:numPr>
          <w:ilvl w:val="0"/>
          <w:numId w:val="39"/>
        </w:numPr>
        <w:spacing w:line="440" w:lineRule="exact"/>
        <w:ind w:firstLine="480" w:firstLineChars="200"/>
        <w:rPr>
          <w:rFonts w:ascii="宋体" w:hAnsi="宋体" w:cs="宋体"/>
          <w:sz w:val="24"/>
        </w:rPr>
      </w:pPr>
      <w:r>
        <w:rPr>
          <w:rFonts w:ascii="宋体" w:hAnsi="宋体" w:cs="宋体"/>
          <w:sz w:val="24"/>
        </w:rPr>
        <w:t>需求分析报告</w:t>
      </w:r>
    </w:p>
    <w:p>
      <w:pPr>
        <w:numPr>
          <w:ilvl w:val="0"/>
          <w:numId w:val="39"/>
        </w:numPr>
        <w:spacing w:line="440" w:lineRule="exact"/>
        <w:ind w:firstLine="480" w:firstLineChars="200"/>
        <w:rPr>
          <w:rFonts w:ascii="宋体" w:hAnsi="宋体" w:cs="宋体"/>
          <w:sz w:val="24"/>
        </w:rPr>
      </w:pPr>
      <w:r>
        <w:rPr>
          <w:rFonts w:ascii="宋体" w:hAnsi="宋体" w:cs="宋体"/>
          <w:sz w:val="24"/>
        </w:rPr>
        <w:t>系统设计报告</w:t>
      </w:r>
    </w:p>
    <w:p>
      <w:pPr>
        <w:numPr>
          <w:ilvl w:val="0"/>
          <w:numId w:val="39"/>
        </w:numPr>
        <w:spacing w:line="440" w:lineRule="exact"/>
        <w:ind w:firstLine="480" w:firstLineChars="200"/>
        <w:rPr>
          <w:rFonts w:ascii="宋体" w:hAnsi="宋体" w:cs="宋体"/>
          <w:sz w:val="24"/>
        </w:rPr>
      </w:pPr>
      <w:r>
        <w:rPr>
          <w:rFonts w:ascii="宋体" w:hAnsi="宋体" w:cs="宋体"/>
          <w:sz w:val="24"/>
        </w:rPr>
        <w:t>用户使用手册</w:t>
      </w:r>
    </w:p>
    <w:p>
      <w:pPr>
        <w:numPr>
          <w:ilvl w:val="0"/>
          <w:numId w:val="39"/>
        </w:numPr>
        <w:spacing w:line="440" w:lineRule="exact"/>
        <w:ind w:firstLine="480" w:firstLineChars="200"/>
        <w:rPr>
          <w:rFonts w:ascii="宋体" w:hAnsi="宋体" w:cs="宋体"/>
          <w:sz w:val="24"/>
        </w:rPr>
      </w:pPr>
      <w:r>
        <w:rPr>
          <w:rFonts w:ascii="宋体" w:hAnsi="宋体" w:cs="宋体"/>
          <w:sz w:val="24"/>
        </w:rPr>
        <w:t>管理员使用手册</w:t>
      </w:r>
    </w:p>
    <w:p>
      <w:pPr>
        <w:numPr>
          <w:ilvl w:val="0"/>
          <w:numId w:val="39"/>
        </w:numPr>
        <w:spacing w:line="440" w:lineRule="exact"/>
        <w:ind w:firstLine="480" w:firstLineChars="200"/>
        <w:rPr>
          <w:rFonts w:ascii="宋体" w:hAnsi="宋体" w:cs="宋体"/>
          <w:sz w:val="24"/>
        </w:rPr>
      </w:pPr>
      <w:r>
        <w:rPr>
          <w:rFonts w:ascii="宋体" w:hAnsi="宋体" w:cs="宋体"/>
          <w:sz w:val="24"/>
        </w:rPr>
        <w:t>安装调试清单</w:t>
      </w:r>
    </w:p>
    <w:p>
      <w:pPr>
        <w:spacing w:line="440" w:lineRule="exact"/>
        <w:ind w:firstLine="480" w:firstLineChars="200"/>
        <w:rPr>
          <w:rFonts w:ascii="宋体" w:hAnsi="宋体" w:cs="宋体"/>
          <w:sz w:val="24"/>
        </w:rPr>
      </w:pPr>
      <w:r>
        <w:rPr>
          <w:rFonts w:hint="eastAsia" w:ascii="宋体" w:hAnsi="宋体" w:cs="宋体"/>
          <w:sz w:val="24"/>
        </w:rPr>
        <w:t>（3）供应商</w:t>
      </w:r>
      <w:r>
        <w:rPr>
          <w:rFonts w:ascii="宋体" w:hAnsi="宋体" w:cs="宋体"/>
          <w:sz w:val="24"/>
        </w:rPr>
        <w:t>提供的设备必须符合合同标的约定的标准。</w:t>
      </w:r>
    </w:p>
    <w:p>
      <w:pPr>
        <w:spacing w:line="44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如发现</w:t>
      </w:r>
      <w:r>
        <w:rPr>
          <w:rFonts w:hint="eastAsia" w:ascii="宋体" w:hAnsi="宋体" w:cs="宋体"/>
          <w:sz w:val="24"/>
        </w:rPr>
        <w:t>供应商</w:t>
      </w:r>
      <w:r>
        <w:rPr>
          <w:rFonts w:ascii="宋体" w:hAnsi="宋体" w:cs="宋体"/>
          <w:sz w:val="24"/>
        </w:rPr>
        <w:t>到货的包装受损或件数不符，</w:t>
      </w:r>
      <w:r>
        <w:rPr>
          <w:rFonts w:hint="eastAsia" w:ascii="宋体" w:hAnsi="宋体" w:cs="宋体"/>
          <w:sz w:val="24"/>
        </w:rPr>
        <w:t>采购人</w:t>
      </w:r>
      <w:r>
        <w:rPr>
          <w:rFonts w:ascii="宋体" w:hAnsi="宋体" w:cs="宋体"/>
          <w:sz w:val="24"/>
        </w:rPr>
        <w:t>有权拒绝在《供货签收单》上签字或盖章，并拒绝付款。</w:t>
      </w:r>
    </w:p>
    <w:p>
      <w:pPr>
        <w:spacing w:line="440" w:lineRule="exact"/>
        <w:ind w:firstLine="480" w:firstLineChars="200"/>
        <w:rPr>
          <w:rFonts w:ascii="宋体" w:hAnsi="宋体" w:cs="宋体"/>
          <w:sz w:val="24"/>
        </w:rPr>
      </w:pPr>
      <w:r>
        <w:rPr>
          <w:rFonts w:hint="eastAsia" w:ascii="宋体" w:hAnsi="宋体" w:cs="宋体"/>
          <w:sz w:val="24"/>
        </w:rPr>
        <w:t>（5）采购人</w:t>
      </w:r>
      <w:r>
        <w:rPr>
          <w:rFonts w:ascii="宋体" w:hAnsi="宋体" w:cs="宋体"/>
          <w:sz w:val="24"/>
        </w:rPr>
        <w:t>确认所收设备外观符合合同标的所规定的内容后，签署《供货签收单》,该《供货签收单》仅表示</w:t>
      </w:r>
      <w:r>
        <w:rPr>
          <w:rFonts w:hint="eastAsia" w:ascii="宋体" w:hAnsi="宋体" w:cs="宋体"/>
          <w:sz w:val="24"/>
        </w:rPr>
        <w:t>采购人</w:t>
      </w:r>
      <w:r>
        <w:rPr>
          <w:rFonts w:ascii="宋体" w:hAnsi="宋体" w:cs="宋体"/>
          <w:sz w:val="24"/>
        </w:rPr>
        <w:t>收到《供货签收单》项下的货物，并不表示</w:t>
      </w:r>
      <w:r>
        <w:rPr>
          <w:rFonts w:hint="eastAsia" w:ascii="宋体" w:hAnsi="宋体" w:cs="宋体"/>
          <w:sz w:val="24"/>
        </w:rPr>
        <w:t>采购人</w:t>
      </w:r>
      <w:r>
        <w:rPr>
          <w:rFonts w:ascii="宋体" w:hAnsi="宋体" w:cs="宋体"/>
          <w:sz w:val="24"/>
        </w:rPr>
        <w:t>认可了《供货签收单》项下的货物。</w:t>
      </w:r>
    </w:p>
    <w:p>
      <w:pPr>
        <w:spacing w:line="44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系统上线试运行</w:t>
      </w:r>
      <w:r>
        <w:rPr>
          <w:rFonts w:hint="eastAsia" w:ascii="宋体" w:hAnsi="宋体" w:cs="宋体"/>
          <w:sz w:val="24"/>
          <w:lang w:val="en-US" w:eastAsia="zh-CN"/>
        </w:rPr>
        <w:t>5日历天</w:t>
      </w:r>
      <w:r>
        <w:rPr>
          <w:rFonts w:ascii="宋体" w:hAnsi="宋体" w:cs="宋体"/>
          <w:sz w:val="24"/>
        </w:rPr>
        <w:t>后，</w:t>
      </w:r>
      <w:r>
        <w:rPr>
          <w:rFonts w:hint="eastAsia" w:ascii="宋体" w:hAnsi="宋体" w:cs="宋体"/>
          <w:sz w:val="24"/>
        </w:rPr>
        <w:t>供应商</w:t>
      </w:r>
      <w:r>
        <w:rPr>
          <w:rFonts w:ascii="宋体" w:hAnsi="宋体" w:cs="宋体"/>
          <w:sz w:val="24"/>
        </w:rPr>
        <w:t>可提出初步验收申请，验收通过后签订《项目初步验收报告》。系统上线试运行无故</w:t>
      </w:r>
      <w:r>
        <w:rPr>
          <w:rFonts w:ascii="宋体" w:hAnsi="宋体" w:cs="宋体"/>
          <w:color w:val="auto"/>
          <w:sz w:val="24"/>
        </w:rPr>
        <w:t>障</w:t>
      </w:r>
      <w:r>
        <w:rPr>
          <w:rFonts w:hint="eastAsia" w:ascii="宋体" w:hAnsi="宋体" w:cs="宋体"/>
          <w:color w:val="auto"/>
          <w:sz w:val="24"/>
          <w:lang w:val="en-US" w:eastAsia="zh-CN"/>
        </w:rPr>
        <w:t>90日历天</w:t>
      </w:r>
      <w:r>
        <w:rPr>
          <w:rFonts w:ascii="宋体" w:hAnsi="宋体" w:cs="宋体"/>
          <w:sz w:val="24"/>
        </w:rPr>
        <w:t>后，</w:t>
      </w:r>
      <w:r>
        <w:rPr>
          <w:rFonts w:hint="eastAsia" w:ascii="宋体" w:hAnsi="宋体" w:cs="宋体"/>
          <w:sz w:val="24"/>
        </w:rPr>
        <w:t>供应商</w:t>
      </w:r>
      <w:r>
        <w:rPr>
          <w:rFonts w:ascii="宋体" w:hAnsi="宋体" w:cs="宋体"/>
          <w:sz w:val="24"/>
        </w:rPr>
        <w:t>可提出整体验收申请，验收通过后签订《项目终验报告》。</w:t>
      </w:r>
    </w:p>
    <w:p>
      <w:pPr>
        <w:spacing w:line="440" w:lineRule="exact"/>
        <w:ind w:firstLine="480" w:firstLineChars="200"/>
        <w:rPr>
          <w:rFonts w:ascii="宋体" w:hAnsi="宋体" w:cs="宋体"/>
          <w:color w:val="auto"/>
          <w:sz w:val="24"/>
        </w:rPr>
      </w:pPr>
      <w:r>
        <w:rPr>
          <w:rFonts w:hint="eastAsia" w:ascii="宋体" w:hAnsi="宋体" w:cs="宋体"/>
          <w:color w:val="auto"/>
          <w:sz w:val="24"/>
        </w:rPr>
        <w:t>（7）供应商</w:t>
      </w:r>
      <w:r>
        <w:rPr>
          <w:rFonts w:ascii="宋体" w:hAnsi="宋体" w:cs="宋体"/>
          <w:color w:val="auto"/>
          <w:sz w:val="24"/>
        </w:rPr>
        <w:t>提交验收申请后</w:t>
      </w:r>
      <w:r>
        <w:rPr>
          <w:rFonts w:ascii="宋体" w:hAnsi="宋体" w:cs="宋体"/>
          <w:color w:val="auto"/>
          <w:sz w:val="24"/>
          <w:u w:val="single"/>
        </w:rPr>
        <w:t xml:space="preserve">  </w:t>
      </w:r>
      <w:r>
        <w:rPr>
          <w:rFonts w:hint="eastAsia" w:ascii="宋体" w:hAnsi="宋体" w:cs="宋体"/>
          <w:color w:val="auto"/>
          <w:sz w:val="24"/>
          <w:u w:val="single"/>
          <w:lang w:val="en-US" w:eastAsia="zh-CN"/>
        </w:rPr>
        <w:t>5</w:t>
      </w:r>
      <w:r>
        <w:rPr>
          <w:rFonts w:ascii="宋体" w:hAnsi="宋体" w:cs="宋体"/>
          <w:color w:val="auto"/>
          <w:sz w:val="24"/>
          <w:u w:val="single"/>
        </w:rPr>
        <w:t xml:space="preserve">  </w:t>
      </w:r>
      <w:r>
        <w:rPr>
          <w:rFonts w:ascii="宋体" w:hAnsi="宋体" w:cs="宋体"/>
          <w:color w:val="auto"/>
          <w:sz w:val="24"/>
        </w:rPr>
        <w:t>个工作日内项目验收单位组织验收，</w:t>
      </w:r>
      <w:r>
        <w:rPr>
          <w:rFonts w:ascii="宋体" w:hAnsi="宋体" w:cs="宋体"/>
          <w:color w:val="auto"/>
          <w:sz w:val="24"/>
          <w:u w:val="single"/>
        </w:rPr>
        <w:t xml:space="preserve">  </w:t>
      </w:r>
      <w:r>
        <w:rPr>
          <w:rFonts w:hint="eastAsia" w:ascii="宋体" w:hAnsi="宋体" w:cs="宋体"/>
          <w:color w:val="auto"/>
          <w:sz w:val="24"/>
          <w:u w:val="single"/>
        </w:rPr>
        <w:t>10</w:t>
      </w:r>
      <w:r>
        <w:rPr>
          <w:rFonts w:ascii="宋体" w:hAnsi="宋体" w:cs="宋体"/>
          <w:color w:val="auto"/>
          <w:sz w:val="24"/>
          <w:u w:val="single"/>
        </w:rPr>
        <w:t xml:space="preserve">  </w:t>
      </w:r>
      <w:r>
        <w:rPr>
          <w:rFonts w:ascii="宋体" w:hAnsi="宋体" w:cs="宋体"/>
          <w:color w:val="auto"/>
          <w:sz w:val="24"/>
        </w:rPr>
        <w:t>个工作日内完成验收工作，逾期则视为项目验收合格。如验收过程中发现项目存在问题，</w:t>
      </w:r>
      <w:r>
        <w:rPr>
          <w:rFonts w:hint="eastAsia" w:ascii="宋体" w:hAnsi="宋体" w:cs="宋体"/>
          <w:color w:val="auto"/>
          <w:sz w:val="24"/>
        </w:rPr>
        <w:t>供应商</w:t>
      </w:r>
      <w:r>
        <w:rPr>
          <w:rFonts w:ascii="宋体" w:hAnsi="宋体" w:cs="宋体"/>
          <w:color w:val="auto"/>
          <w:sz w:val="24"/>
        </w:rPr>
        <w:t>应在限定期限内完成整改，并以书面方式通知项目验收单位复验，项目验收单位在收到</w:t>
      </w:r>
      <w:r>
        <w:rPr>
          <w:rFonts w:hint="eastAsia" w:ascii="宋体" w:hAnsi="宋体" w:cs="宋体"/>
          <w:color w:val="auto"/>
          <w:sz w:val="24"/>
        </w:rPr>
        <w:t>供应商</w:t>
      </w:r>
      <w:r>
        <w:rPr>
          <w:rFonts w:ascii="宋体" w:hAnsi="宋体" w:cs="宋体"/>
          <w:color w:val="auto"/>
          <w:sz w:val="24"/>
        </w:rPr>
        <w:t>书面通知后</w:t>
      </w:r>
      <w:r>
        <w:rPr>
          <w:rFonts w:ascii="宋体" w:hAnsi="宋体" w:cs="宋体"/>
          <w:color w:val="auto"/>
          <w:sz w:val="24"/>
          <w:u w:val="single"/>
        </w:rPr>
        <w:t xml:space="preserve"> </w:t>
      </w:r>
      <w:r>
        <w:rPr>
          <w:rFonts w:hint="eastAsia" w:ascii="宋体" w:hAnsi="宋体" w:cs="宋体"/>
          <w:color w:val="auto"/>
          <w:sz w:val="24"/>
          <w:u w:val="single"/>
          <w:lang w:val="en-US" w:eastAsia="zh-CN"/>
        </w:rPr>
        <w:t>5</w:t>
      </w:r>
      <w:r>
        <w:rPr>
          <w:rFonts w:ascii="宋体" w:hAnsi="宋体" w:cs="宋体"/>
          <w:color w:val="auto"/>
          <w:sz w:val="24"/>
          <w:u w:val="single"/>
        </w:rPr>
        <w:t xml:space="preserve">  </w:t>
      </w:r>
      <w:r>
        <w:rPr>
          <w:rFonts w:ascii="宋体" w:hAnsi="宋体" w:cs="宋体"/>
          <w:color w:val="auto"/>
          <w:sz w:val="24"/>
        </w:rPr>
        <w:t>工作日内组织复验，项目验收单位确认复验合格即视为整改已完成，但项目验收单位不得拖延复验或无理拒绝确认复验合格。否则，</w:t>
      </w:r>
      <w:r>
        <w:rPr>
          <w:rFonts w:hint="eastAsia" w:ascii="宋体" w:hAnsi="宋体" w:cs="宋体"/>
          <w:color w:val="auto"/>
          <w:sz w:val="24"/>
        </w:rPr>
        <w:t>供应商</w:t>
      </w:r>
      <w:r>
        <w:rPr>
          <w:rFonts w:ascii="宋体" w:hAnsi="宋体" w:cs="宋体"/>
          <w:color w:val="auto"/>
          <w:sz w:val="24"/>
        </w:rPr>
        <w:t>通知复验之日，即视为整改已完成并完成整体验收。</w:t>
      </w:r>
    </w:p>
    <w:p>
      <w:pPr>
        <w:spacing w:line="440" w:lineRule="exact"/>
        <w:ind w:firstLine="480" w:firstLineChars="200"/>
        <w:rPr>
          <w:rFonts w:ascii="宋体" w:hAnsi="宋体" w:cs="宋体"/>
          <w:color w:val="auto"/>
          <w:sz w:val="24"/>
        </w:rPr>
      </w:pPr>
      <w:r>
        <w:rPr>
          <w:rFonts w:hint="eastAsia" w:ascii="宋体" w:hAnsi="宋体" w:cs="宋体"/>
          <w:color w:val="auto"/>
          <w:sz w:val="24"/>
        </w:rPr>
        <w:t>（8）</w:t>
      </w:r>
      <w:r>
        <w:rPr>
          <w:rFonts w:ascii="宋体" w:hAnsi="宋体" w:cs="宋体"/>
          <w:color w:val="auto"/>
          <w:sz w:val="24"/>
        </w:rPr>
        <w:t>系统验收合格，</w:t>
      </w:r>
      <w:r>
        <w:rPr>
          <w:rFonts w:hint="eastAsia" w:ascii="宋体" w:hAnsi="宋体" w:cs="宋体"/>
          <w:color w:val="auto"/>
          <w:sz w:val="24"/>
        </w:rPr>
        <w:t>采购人</w:t>
      </w:r>
      <w:r>
        <w:rPr>
          <w:rFonts w:ascii="宋体" w:hAnsi="宋体" w:cs="宋体"/>
          <w:color w:val="auto"/>
          <w:sz w:val="24"/>
        </w:rPr>
        <w:t>应以书面方式签收，当所有的系统都通过项目验收单位的验收后，双方负责人签字认可，系统正式交付给</w:t>
      </w:r>
      <w:r>
        <w:rPr>
          <w:rFonts w:hint="eastAsia" w:ascii="宋体" w:hAnsi="宋体" w:cs="宋体"/>
          <w:color w:val="auto"/>
          <w:sz w:val="24"/>
        </w:rPr>
        <w:t>采购人</w:t>
      </w:r>
      <w:r>
        <w:rPr>
          <w:rFonts w:ascii="宋体" w:hAnsi="宋体" w:cs="宋体"/>
          <w:color w:val="auto"/>
          <w:sz w:val="24"/>
        </w:rPr>
        <w:t>。</w:t>
      </w:r>
    </w:p>
    <w:p>
      <w:pPr>
        <w:spacing w:line="440" w:lineRule="exact"/>
        <w:ind w:firstLine="482" w:firstLineChars="200"/>
        <w:rPr>
          <w:rFonts w:ascii="宋体" w:hAnsi="宋体" w:cs="宋体"/>
          <w:b/>
          <w:bCs/>
          <w:color w:val="auto"/>
          <w:sz w:val="24"/>
        </w:rPr>
      </w:pPr>
      <w:r>
        <w:rPr>
          <w:rFonts w:hint="eastAsia" w:ascii="宋体" w:hAnsi="宋体" w:cs="宋体"/>
          <w:b/>
          <w:bCs/>
          <w:color w:val="auto"/>
          <w:sz w:val="24"/>
        </w:rPr>
        <w:t>4、</w:t>
      </w:r>
      <w:r>
        <w:rPr>
          <w:rFonts w:ascii="宋体" w:hAnsi="宋体" w:cs="宋体"/>
          <w:b/>
          <w:bCs/>
          <w:color w:val="auto"/>
          <w:sz w:val="24"/>
        </w:rPr>
        <w:t>售后服务及培训要求：</w:t>
      </w:r>
    </w:p>
    <w:p>
      <w:pPr>
        <w:spacing w:line="440" w:lineRule="exact"/>
        <w:ind w:firstLine="480" w:firstLineChars="200"/>
        <w:rPr>
          <w:rFonts w:ascii="宋体" w:hAnsi="宋体" w:cs="宋体"/>
          <w:color w:val="auto"/>
          <w:sz w:val="24"/>
        </w:rPr>
      </w:pPr>
      <w:r>
        <w:rPr>
          <w:rFonts w:hint="eastAsia" w:ascii="宋体" w:hAnsi="宋体" w:cs="宋体"/>
          <w:color w:val="auto"/>
          <w:sz w:val="24"/>
        </w:rPr>
        <w:t>（1）供应商</w:t>
      </w:r>
      <w:r>
        <w:rPr>
          <w:rFonts w:ascii="宋体" w:hAnsi="宋体" w:cs="宋体"/>
          <w:color w:val="auto"/>
          <w:sz w:val="24"/>
        </w:rPr>
        <w:t>应为</w:t>
      </w:r>
      <w:r>
        <w:rPr>
          <w:rFonts w:hint="eastAsia" w:ascii="宋体" w:hAnsi="宋体" w:cs="宋体"/>
          <w:color w:val="auto"/>
          <w:sz w:val="24"/>
        </w:rPr>
        <w:t>采购人</w:t>
      </w:r>
      <w:r>
        <w:rPr>
          <w:rFonts w:ascii="宋体" w:hAnsi="宋体" w:cs="宋体"/>
          <w:color w:val="auto"/>
          <w:sz w:val="24"/>
        </w:rPr>
        <w:t>提供免费培训服务，并指派专人负责与</w:t>
      </w:r>
      <w:r>
        <w:rPr>
          <w:rFonts w:hint="eastAsia" w:ascii="宋体" w:hAnsi="宋体" w:cs="宋体"/>
          <w:color w:val="auto"/>
          <w:sz w:val="24"/>
        </w:rPr>
        <w:t>采购人</w:t>
      </w:r>
      <w:r>
        <w:rPr>
          <w:rFonts w:ascii="宋体" w:hAnsi="宋体" w:cs="宋体"/>
          <w:color w:val="auto"/>
          <w:sz w:val="24"/>
        </w:rPr>
        <w:t>联系售后服务事宜。主要培训内容为</w:t>
      </w:r>
      <w:r>
        <w:rPr>
          <w:rFonts w:hint="eastAsia" w:ascii="宋体" w:hAnsi="宋体" w:cs="宋体"/>
          <w:color w:val="auto"/>
          <w:sz w:val="24"/>
          <w:lang w:val="en-US" w:eastAsia="zh-CN"/>
        </w:rPr>
        <w:t>软件使用、设备操作、硬件</w:t>
      </w:r>
      <w:r>
        <w:rPr>
          <w:rFonts w:ascii="宋体" w:hAnsi="宋体" w:cs="宋体"/>
          <w:color w:val="auto"/>
          <w:sz w:val="24"/>
        </w:rPr>
        <w:t>的</w:t>
      </w:r>
      <w:r>
        <w:rPr>
          <w:rFonts w:hint="eastAsia" w:ascii="宋体" w:hAnsi="宋体" w:cs="宋体"/>
          <w:color w:val="auto"/>
          <w:sz w:val="24"/>
          <w:lang w:val="en-US" w:eastAsia="zh-CN"/>
        </w:rPr>
        <w:t>功</w:t>
      </w:r>
      <w:r>
        <w:rPr>
          <w:rFonts w:ascii="宋体" w:hAnsi="宋体" w:cs="宋体"/>
          <w:color w:val="auto"/>
          <w:sz w:val="24"/>
        </w:rPr>
        <w:t>能</w:t>
      </w:r>
      <w:r>
        <w:rPr>
          <w:rFonts w:hint="eastAsia" w:ascii="宋体" w:hAnsi="宋体" w:cs="宋体"/>
          <w:color w:val="auto"/>
          <w:sz w:val="24"/>
          <w:lang w:val="en-US" w:eastAsia="zh-CN"/>
        </w:rPr>
        <w:t>参数</w:t>
      </w:r>
      <w:r>
        <w:rPr>
          <w:rFonts w:ascii="宋体" w:hAnsi="宋体" w:cs="宋体"/>
          <w:color w:val="auto"/>
          <w:sz w:val="24"/>
        </w:rPr>
        <w:t>，日常使用操作、保养与管理、常见故障的排除、紧急情况的处理等，如</w:t>
      </w:r>
      <w:r>
        <w:rPr>
          <w:rFonts w:hint="eastAsia" w:ascii="宋体" w:hAnsi="宋体" w:cs="宋体"/>
          <w:color w:val="auto"/>
          <w:sz w:val="24"/>
        </w:rPr>
        <w:t>采购人</w:t>
      </w:r>
      <w:r>
        <w:rPr>
          <w:rFonts w:ascii="宋体" w:hAnsi="宋体" w:cs="宋体"/>
          <w:color w:val="auto"/>
          <w:sz w:val="24"/>
        </w:rPr>
        <w:t>未使用过同类型</w:t>
      </w:r>
      <w:r>
        <w:rPr>
          <w:rFonts w:hint="eastAsia" w:ascii="宋体" w:hAnsi="宋体" w:cs="宋体"/>
          <w:color w:val="auto"/>
          <w:sz w:val="24"/>
          <w:lang w:val="en-US" w:eastAsia="zh-CN"/>
        </w:rPr>
        <w:t>软硬件</w:t>
      </w:r>
      <w:r>
        <w:rPr>
          <w:rFonts w:ascii="宋体" w:hAnsi="宋体" w:cs="宋体"/>
          <w:color w:val="auto"/>
          <w:sz w:val="24"/>
        </w:rPr>
        <w:t>，</w:t>
      </w:r>
      <w:r>
        <w:rPr>
          <w:rFonts w:hint="eastAsia" w:ascii="宋体" w:hAnsi="宋体" w:cs="宋体"/>
          <w:color w:val="auto"/>
          <w:sz w:val="24"/>
        </w:rPr>
        <w:t>供应商</w:t>
      </w:r>
      <w:r>
        <w:rPr>
          <w:rFonts w:ascii="宋体" w:hAnsi="宋体" w:cs="宋体"/>
          <w:color w:val="auto"/>
          <w:sz w:val="24"/>
        </w:rPr>
        <w:t>还需就</w:t>
      </w:r>
      <w:r>
        <w:rPr>
          <w:rFonts w:hint="eastAsia" w:ascii="宋体" w:hAnsi="宋体" w:cs="宋体"/>
          <w:color w:val="auto"/>
          <w:sz w:val="24"/>
          <w:lang w:val="en-US" w:eastAsia="zh-CN"/>
        </w:rPr>
        <w:t>软硬件</w:t>
      </w:r>
      <w:r>
        <w:rPr>
          <w:rFonts w:ascii="宋体" w:hAnsi="宋体" w:cs="宋体"/>
          <w:color w:val="auto"/>
          <w:sz w:val="24"/>
        </w:rPr>
        <w:t>的功能对</w:t>
      </w:r>
      <w:r>
        <w:rPr>
          <w:rFonts w:hint="eastAsia" w:ascii="宋体" w:hAnsi="宋体" w:cs="宋体"/>
          <w:color w:val="auto"/>
          <w:sz w:val="24"/>
        </w:rPr>
        <w:t>供应商</w:t>
      </w:r>
      <w:r>
        <w:rPr>
          <w:rFonts w:ascii="宋体" w:hAnsi="宋体" w:cs="宋体"/>
          <w:color w:val="auto"/>
          <w:sz w:val="24"/>
        </w:rPr>
        <w:t>进行相应的技术培训，培训地点主要在</w:t>
      </w:r>
      <w:r>
        <w:rPr>
          <w:rFonts w:hint="eastAsia" w:ascii="宋体" w:hAnsi="宋体" w:cs="宋体"/>
          <w:color w:val="auto"/>
          <w:sz w:val="24"/>
          <w:lang w:val="en-US" w:eastAsia="zh-CN"/>
        </w:rPr>
        <w:t>软硬件</w:t>
      </w:r>
      <w:r>
        <w:rPr>
          <w:rFonts w:ascii="宋体" w:hAnsi="宋体" w:cs="宋体"/>
          <w:color w:val="auto"/>
          <w:sz w:val="24"/>
        </w:rPr>
        <w:t>安装及系统部署现场或由</w:t>
      </w:r>
      <w:r>
        <w:rPr>
          <w:rFonts w:hint="eastAsia" w:ascii="宋体" w:hAnsi="宋体" w:cs="宋体"/>
          <w:color w:val="auto"/>
          <w:sz w:val="24"/>
        </w:rPr>
        <w:t>采购人</w:t>
      </w:r>
      <w:r>
        <w:rPr>
          <w:rFonts w:ascii="宋体" w:hAnsi="宋体" w:cs="宋体"/>
          <w:color w:val="auto"/>
          <w:sz w:val="24"/>
        </w:rPr>
        <w:t>安排。</w:t>
      </w:r>
    </w:p>
    <w:p>
      <w:pPr>
        <w:spacing w:line="440" w:lineRule="exact"/>
        <w:ind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质量保证期为：质量保证期自</w:t>
      </w:r>
      <w:r>
        <w:rPr>
          <w:rFonts w:hint="eastAsia" w:ascii="宋体" w:hAnsi="宋体" w:cs="宋体"/>
          <w:color w:val="auto"/>
          <w:sz w:val="24"/>
        </w:rPr>
        <w:t>采购人</w:t>
      </w:r>
      <w:r>
        <w:rPr>
          <w:rFonts w:ascii="宋体" w:hAnsi="宋体" w:cs="宋体"/>
          <w:color w:val="auto"/>
          <w:sz w:val="24"/>
        </w:rPr>
        <w:t>在</w:t>
      </w:r>
      <w:r>
        <w:rPr>
          <w:rFonts w:hint="eastAsia" w:ascii="宋体" w:hAnsi="宋体" w:cs="宋体"/>
          <w:color w:val="auto"/>
          <w:sz w:val="24"/>
          <w:lang w:val="en-US" w:eastAsia="zh-CN"/>
        </w:rPr>
        <w:t>项目最终验收</w:t>
      </w:r>
      <w:r>
        <w:rPr>
          <w:rFonts w:ascii="宋体" w:hAnsi="宋体" w:cs="宋体"/>
          <w:color w:val="auto"/>
          <w:sz w:val="24"/>
        </w:rPr>
        <w:t>之日起计算，保修费用计入总价。</w:t>
      </w:r>
    </w:p>
    <w:p>
      <w:pPr>
        <w:spacing w:line="440" w:lineRule="exact"/>
        <w:ind w:firstLine="480" w:firstLineChars="200"/>
        <w:rPr>
          <w:rFonts w:ascii="宋体" w:hAnsi="宋体" w:cs="宋体"/>
          <w:color w:val="auto"/>
          <w:sz w:val="24"/>
        </w:rPr>
      </w:pPr>
      <w:r>
        <w:rPr>
          <w:rFonts w:hint="eastAsia" w:ascii="宋体" w:hAnsi="宋体" w:cs="宋体"/>
          <w:color w:val="auto"/>
          <w:sz w:val="24"/>
        </w:rPr>
        <w:t>（3）</w:t>
      </w:r>
      <w:r>
        <w:rPr>
          <w:rFonts w:ascii="宋体" w:hAnsi="宋体" w:cs="宋体"/>
          <w:color w:val="auto"/>
          <w:sz w:val="24"/>
        </w:rPr>
        <w:t>质量保证期内，</w:t>
      </w:r>
      <w:r>
        <w:rPr>
          <w:rFonts w:hint="eastAsia" w:ascii="宋体" w:hAnsi="宋体" w:cs="宋体"/>
          <w:color w:val="auto"/>
          <w:sz w:val="24"/>
        </w:rPr>
        <w:t>供应商</w:t>
      </w:r>
      <w:r>
        <w:rPr>
          <w:rFonts w:ascii="宋体" w:hAnsi="宋体" w:cs="宋体"/>
          <w:color w:val="auto"/>
          <w:sz w:val="24"/>
        </w:rPr>
        <w:t>负责对其提供的</w:t>
      </w:r>
      <w:r>
        <w:rPr>
          <w:rFonts w:hint="eastAsia" w:ascii="宋体" w:hAnsi="宋体" w:cs="宋体"/>
          <w:color w:val="auto"/>
          <w:sz w:val="24"/>
          <w:lang w:val="en-US" w:eastAsia="zh-CN"/>
        </w:rPr>
        <w:t>软硬件</w:t>
      </w:r>
      <w:r>
        <w:rPr>
          <w:rFonts w:ascii="宋体" w:hAnsi="宋体" w:cs="宋体"/>
          <w:color w:val="auto"/>
          <w:sz w:val="24"/>
        </w:rPr>
        <w:t>进行维修和软件系统维护，不再收取任何费用，但不可抗力（如火灾、雷击等）造成的故障除外。</w:t>
      </w:r>
    </w:p>
    <w:p>
      <w:pPr>
        <w:spacing w:line="440" w:lineRule="exact"/>
        <w:ind w:firstLine="480" w:firstLineChars="200"/>
        <w:rPr>
          <w:rFonts w:ascii="宋体" w:hAnsi="宋体" w:cs="宋体"/>
          <w:color w:val="auto"/>
          <w:sz w:val="24"/>
        </w:rPr>
      </w:pPr>
      <w:r>
        <w:rPr>
          <w:rFonts w:hint="eastAsia" w:ascii="宋体" w:hAnsi="宋体" w:cs="宋体"/>
          <w:color w:val="auto"/>
          <w:sz w:val="24"/>
        </w:rPr>
        <w:t>（4）</w:t>
      </w:r>
      <w:r>
        <w:rPr>
          <w:rFonts w:ascii="宋体" w:hAnsi="宋体" w:cs="宋体"/>
          <w:color w:val="auto"/>
          <w:sz w:val="24"/>
        </w:rPr>
        <w:t>若</w:t>
      </w:r>
      <w:r>
        <w:rPr>
          <w:rFonts w:hint="eastAsia" w:ascii="宋体" w:hAnsi="宋体" w:cs="宋体"/>
          <w:color w:val="auto"/>
          <w:sz w:val="24"/>
          <w:lang w:val="en-US" w:eastAsia="zh-CN"/>
        </w:rPr>
        <w:t>硬件</w:t>
      </w:r>
      <w:r>
        <w:rPr>
          <w:rFonts w:ascii="宋体" w:hAnsi="宋体" w:cs="宋体"/>
          <w:color w:val="auto"/>
          <w:sz w:val="24"/>
        </w:rPr>
        <w:t>故障在检修8工作小时后仍无法排除，</w:t>
      </w:r>
      <w:r>
        <w:rPr>
          <w:rFonts w:hint="eastAsia" w:ascii="宋体" w:hAnsi="宋体" w:cs="宋体"/>
          <w:color w:val="auto"/>
          <w:sz w:val="24"/>
        </w:rPr>
        <w:t>供应商</w:t>
      </w:r>
      <w:r>
        <w:rPr>
          <w:rFonts w:ascii="宋体" w:hAnsi="宋体" w:cs="宋体"/>
          <w:color w:val="auto"/>
          <w:sz w:val="24"/>
        </w:rPr>
        <w:t>应在48小时内免费提供不低于故障</w:t>
      </w:r>
      <w:r>
        <w:rPr>
          <w:rFonts w:hint="eastAsia" w:ascii="宋体" w:hAnsi="宋体" w:cs="宋体"/>
          <w:color w:val="auto"/>
          <w:sz w:val="24"/>
          <w:lang w:val="en-US" w:eastAsia="zh-CN"/>
        </w:rPr>
        <w:t>硬件</w:t>
      </w:r>
      <w:r>
        <w:rPr>
          <w:rFonts w:ascii="宋体" w:hAnsi="宋体" w:cs="宋体"/>
          <w:color w:val="auto"/>
          <w:sz w:val="24"/>
        </w:rPr>
        <w:t>规格型号档次的备用</w:t>
      </w:r>
      <w:r>
        <w:rPr>
          <w:rFonts w:hint="eastAsia" w:ascii="宋体" w:hAnsi="宋体" w:cs="宋体"/>
          <w:color w:val="auto"/>
          <w:sz w:val="24"/>
          <w:lang w:val="en-US" w:eastAsia="zh-CN"/>
        </w:rPr>
        <w:t>硬件</w:t>
      </w:r>
      <w:r>
        <w:rPr>
          <w:rFonts w:ascii="宋体" w:hAnsi="宋体" w:cs="宋体"/>
          <w:color w:val="auto"/>
          <w:sz w:val="24"/>
        </w:rPr>
        <w:t>供</w:t>
      </w:r>
      <w:r>
        <w:rPr>
          <w:rFonts w:hint="eastAsia" w:ascii="宋体" w:hAnsi="宋体" w:cs="宋体"/>
          <w:color w:val="auto"/>
          <w:sz w:val="24"/>
        </w:rPr>
        <w:t>采购人</w:t>
      </w:r>
      <w:r>
        <w:rPr>
          <w:rFonts w:ascii="宋体" w:hAnsi="宋体" w:cs="宋体"/>
          <w:color w:val="auto"/>
          <w:sz w:val="24"/>
        </w:rPr>
        <w:t>使用，直至故障修复。</w:t>
      </w:r>
    </w:p>
    <w:p>
      <w:pPr>
        <w:spacing w:line="440" w:lineRule="exact"/>
        <w:ind w:firstLine="480" w:firstLineChars="200"/>
        <w:rPr>
          <w:rFonts w:ascii="宋体" w:hAnsi="宋体" w:cs="宋体"/>
          <w:color w:val="auto"/>
          <w:sz w:val="24"/>
        </w:rPr>
      </w:pPr>
      <w:r>
        <w:rPr>
          <w:rFonts w:hint="eastAsia" w:ascii="宋体" w:hAnsi="宋体" w:cs="宋体"/>
          <w:color w:val="auto"/>
          <w:sz w:val="24"/>
        </w:rPr>
        <w:t>（5）</w:t>
      </w:r>
      <w:r>
        <w:rPr>
          <w:rFonts w:ascii="宋体" w:hAnsi="宋体" w:cs="宋体"/>
          <w:color w:val="auto"/>
          <w:sz w:val="24"/>
        </w:rPr>
        <w:t>所有</w:t>
      </w:r>
      <w:r>
        <w:rPr>
          <w:rFonts w:hint="eastAsia" w:ascii="宋体" w:hAnsi="宋体" w:cs="宋体"/>
          <w:color w:val="auto"/>
          <w:sz w:val="24"/>
          <w:lang w:val="en-US" w:eastAsia="zh-CN"/>
        </w:rPr>
        <w:t>软硬件</w:t>
      </w:r>
      <w:r>
        <w:rPr>
          <w:rFonts w:ascii="宋体" w:hAnsi="宋体" w:cs="宋体"/>
          <w:color w:val="auto"/>
          <w:sz w:val="24"/>
        </w:rPr>
        <w:t>保修服务方式均为</w:t>
      </w:r>
      <w:r>
        <w:rPr>
          <w:rFonts w:hint="eastAsia" w:ascii="宋体" w:hAnsi="宋体" w:cs="宋体"/>
          <w:color w:val="auto"/>
          <w:sz w:val="24"/>
        </w:rPr>
        <w:t>供应商</w:t>
      </w:r>
      <w:r>
        <w:rPr>
          <w:rFonts w:ascii="宋体" w:hAnsi="宋体" w:cs="宋体"/>
          <w:color w:val="auto"/>
          <w:sz w:val="24"/>
        </w:rPr>
        <w:t>上门保修，即由</w:t>
      </w:r>
      <w:r>
        <w:rPr>
          <w:rFonts w:hint="eastAsia" w:ascii="宋体" w:hAnsi="宋体" w:cs="宋体"/>
          <w:color w:val="auto"/>
          <w:sz w:val="24"/>
        </w:rPr>
        <w:t>供应商</w:t>
      </w:r>
      <w:r>
        <w:rPr>
          <w:rFonts w:ascii="宋体" w:hAnsi="宋体" w:cs="宋体"/>
          <w:color w:val="auto"/>
          <w:sz w:val="24"/>
        </w:rPr>
        <w:t>派员到</w:t>
      </w:r>
      <w:r>
        <w:rPr>
          <w:rFonts w:hint="eastAsia" w:ascii="宋体" w:hAnsi="宋体" w:cs="宋体"/>
          <w:color w:val="auto"/>
          <w:sz w:val="24"/>
          <w:lang w:val="en-US" w:eastAsia="zh-CN"/>
        </w:rPr>
        <w:t>软硬件</w:t>
      </w:r>
      <w:r>
        <w:rPr>
          <w:rFonts w:ascii="宋体" w:hAnsi="宋体" w:cs="宋体"/>
          <w:color w:val="auto"/>
          <w:sz w:val="24"/>
        </w:rPr>
        <w:t>使用现场维修，由此产生的一切费用均由</w:t>
      </w:r>
      <w:r>
        <w:rPr>
          <w:rFonts w:hint="eastAsia" w:ascii="宋体" w:hAnsi="宋体" w:cs="宋体"/>
          <w:color w:val="auto"/>
          <w:sz w:val="24"/>
        </w:rPr>
        <w:t>供应商</w:t>
      </w:r>
      <w:r>
        <w:rPr>
          <w:rFonts w:ascii="宋体" w:hAnsi="宋体" w:cs="宋体"/>
          <w:color w:val="auto"/>
          <w:sz w:val="24"/>
        </w:rPr>
        <w:t>承担。</w:t>
      </w:r>
    </w:p>
    <w:p>
      <w:pPr>
        <w:spacing w:line="440" w:lineRule="exact"/>
        <w:ind w:firstLine="480" w:firstLineChars="200"/>
        <w:rPr>
          <w:rFonts w:ascii="宋体" w:hAnsi="宋体" w:cs="宋体"/>
          <w:color w:val="auto"/>
          <w:sz w:val="24"/>
        </w:rPr>
      </w:pPr>
      <w:r>
        <w:rPr>
          <w:rFonts w:hint="eastAsia" w:ascii="宋体" w:hAnsi="宋体" w:cs="宋体"/>
          <w:color w:val="auto"/>
          <w:sz w:val="24"/>
        </w:rPr>
        <w:t>（6）供应商</w:t>
      </w:r>
      <w:r>
        <w:rPr>
          <w:rFonts w:ascii="宋体" w:hAnsi="宋体" w:cs="宋体"/>
          <w:color w:val="auto"/>
          <w:sz w:val="24"/>
        </w:rPr>
        <w:t>须每隔半年上门对</w:t>
      </w:r>
      <w:r>
        <w:rPr>
          <w:rFonts w:hint="eastAsia" w:ascii="宋体" w:hAnsi="宋体" w:cs="宋体"/>
          <w:color w:val="auto"/>
          <w:sz w:val="24"/>
        </w:rPr>
        <w:t>采购人</w:t>
      </w:r>
      <w:r>
        <w:rPr>
          <w:rFonts w:ascii="宋体" w:hAnsi="宋体" w:cs="宋体"/>
          <w:color w:val="auto"/>
          <w:sz w:val="24"/>
        </w:rPr>
        <w:t>进行回访，需由</w:t>
      </w:r>
      <w:r>
        <w:rPr>
          <w:rFonts w:hint="eastAsia" w:ascii="宋体" w:hAnsi="宋体" w:cs="宋体"/>
          <w:color w:val="auto"/>
          <w:sz w:val="24"/>
        </w:rPr>
        <w:t>采购人</w:t>
      </w:r>
      <w:r>
        <w:rPr>
          <w:rFonts w:ascii="宋体" w:hAnsi="宋体" w:cs="宋体"/>
          <w:color w:val="auto"/>
          <w:sz w:val="24"/>
        </w:rPr>
        <w:t>盖章确认。</w:t>
      </w:r>
    </w:p>
    <w:p>
      <w:pPr>
        <w:spacing w:line="336" w:lineRule="auto"/>
        <w:ind w:firstLine="480" w:firstLineChars="200"/>
        <w:rPr>
          <w:rFonts w:ascii="宋体" w:hAnsi="宋体" w:cs="宋体"/>
          <w:color w:val="auto"/>
          <w:sz w:val="24"/>
        </w:rPr>
      </w:pPr>
      <w:r>
        <w:rPr>
          <w:rFonts w:hint="eastAsia" w:ascii="宋体" w:hAnsi="宋体" w:cs="宋体"/>
          <w:color w:val="auto"/>
          <w:sz w:val="24"/>
        </w:rPr>
        <w:t>（7）质量保证期</w:t>
      </w:r>
      <w:r>
        <w:rPr>
          <w:rFonts w:ascii="宋体" w:hAnsi="宋体" w:cs="宋体"/>
          <w:color w:val="auto"/>
          <w:sz w:val="24"/>
        </w:rPr>
        <w:t>后的</w:t>
      </w:r>
      <w:r>
        <w:rPr>
          <w:rFonts w:hint="eastAsia" w:ascii="宋体" w:hAnsi="宋体" w:cs="宋体"/>
          <w:color w:val="auto"/>
          <w:sz w:val="24"/>
          <w:lang w:val="en-US" w:eastAsia="zh-CN"/>
        </w:rPr>
        <w:t>软硬件</w:t>
      </w:r>
      <w:r>
        <w:rPr>
          <w:rFonts w:ascii="宋体" w:hAnsi="宋体" w:cs="宋体"/>
          <w:color w:val="auto"/>
          <w:sz w:val="24"/>
        </w:rPr>
        <w:t>维护由双方协商再定</w:t>
      </w:r>
      <w:r>
        <w:rPr>
          <w:rFonts w:hint="eastAsia" w:ascii="宋体" w:hAnsi="宋体" w:cs="宋体"/>
          <w:color w:val="auto"/>
          <w:sz w:val="24"/>
        </w:rPr>
        <w:t>。</w:t>
      </w:r>
    </w:p>
    <w:p>
      <w:pPr>
        <w:rPr>
          <w:color w:val="auto"/>
        </w:rPr>
      </w:pPr>
      <w:bookmarkStart w:id="438" w:name="_Toc509836615"/>
      <w:r>
        <w:rPr>
          <w:rFonts w:hAnsi="宋体"/>
          <w:color w:val="auto"/>
        </w:rPr>
        <w:br w:type="page"/>
      </w:r>
      <w:bookmarkEnd w:id="438"/>
      <w:bookmarkStart w:id="439" w:name="_Toc3118"/>
      <w:bookmarkStart w:id="440" w:name="_Toc521578483"/>
      <w:bookmarkStart w:id="441" w:name="_Toc509836616"/>
    </w:p>
    <w:p>
      <w:pPr>
        <w:pStyle w:val="8"/>
        <w:jc w:val="center"/>
        <w:rPr>
          <w:rFonts w:hAnsi="宋体"/>
        </w:rPr>
      </w:pPr>
      <w:r>
        <w:rPr>
          <w:rFonts w:hint="eastAsia" w:hAnsi="宋体"/>
        </w:rPr>
        <w:t xml:space="preserve">第二章  </w:t>
      </w:r>
      <w:bookmarkStart w:id="442" w:name="_Toc465331266"/>
      <w:r>
        <w:rPr>
          <w:rFonts w:hint="eastAsia" w:hAnsi="宋体"/>
        </w:rPr>
        <w:t>付款方式及要求</w:t>
      </w:r>
      <w:bookmarkEnd w:id="439"/>
      <w:bookmarkEnd w:id="440"/>
      <w:bookmarkEnd w:id="441"/>
      <w:bookmarkEnd w:id="442"/>
    </w:p>
    <w:p>
      <w:pPr>
        <w:pStyle w:val="9"/>
        <w:rPr>
          <w:rFonts w:ascii="宋体" w:hAnsi="宋体"/>
        </w:rPr>
      </w:pPr>
    </w:p>
    <w:p>
      <w:pPr>
        <w:snapToGrid w:val="0"/>
        <w:spacing w:line="360" w:lineRule="auto"/>
        <w:ind w:firstLine="480"/>
        <w:rPr>
          <w:rFonts w:ascii="宋体" w:hAnsi="宋体"/>
          <w:color w:val="auto"/>
          <w:kern w:val="0"/>
          <w:sz w:val="24"/>
          <w:szCs w:val="27"/>
        </w:rPr>
      </w:pPr>
      <w:r>
        <w:rPr>
          <w:rFonts w:hint="eastAsia" w:ascii="宋体" w:hAnsi="宋体"/>
          <w:color w:val="auto"/>
          <w:kern w:val="0"/>
          <w:sz w:val="24"/>
          <w:szCs w:val="27"/>
        </w:rPr>
        <w:t>一、付款方式</w:t>
      </w:r>
      <w:r>
        <w:rPr>
          <w:rFonts w:hint="eastAsia" w:ascii="宋体" w:hAnsi="宋体" w:cs="宋体"/>
          <w:color w:val="auto"/>
          <w:sz w:val="24"/>
          <w:lang w:eastAsia="zh-CN"/>
        </w:rPr>
        <w:t>（</w:t>
      </w:r>
      <w:r>
        <w:rPr>
          <w:rFonts w:hint="eastAsia" w:ascii="宋体" w:hAnsi="宋体" w:cs="宋体"/>
          <w:color w:val="auto"/>
          <w:sz w:val="24"/>
          <w:lang w:val="en-US" w:eastAsia="zh-CN"/>
        </w:rPr>
        <w:t>按实结算</w:t>
      </w:r>
      <w:r>
        <w:rPr>
          <w:rFonts w:hint="eastAsia" w:ascii="宋体" w:hAnsi="宋体" w:cs="宋体"/>
          <w:color w:val="auto"/>
          <w:sz w:val="24"/>
          <w:lang w:eastAsia="zh-CN"/>
        </w:rPr>
        <w:t>）</w:t>
      </w:r>
      <w:r>
        <w:rPr>
          <w:rFonts w:hint="eastAsia" w:ascii="宋体" w:hAnsi="宋体"/>
          <w:color w:val="auto"/>
          <w:kern w:val="0"/>
          <w:sz w:val="24"/>
          <w:szCs w:val="27"/>
        </w:rPr>
        <w:t>：</w:t>
      </w:r>
    </w:p>
    <w:p>
      <w:pPr>
        <w:snapToGrid w:val="0"/>
        <w:spacing w:line="360" w:lineRule="auto"/>
        <w:ind w:firstLine="480"/>
        <w:rPr>
          <w:rFonts w:ascii="宋体" w:hAnsi="宋体"/>
          <w:color w:val="auto"/>
          <w:kern w:val="0"/>
          <w:sz w:val="24"/>
          <w:szCs w:val="27"/>
        </w:rPr>
      </w:pPr>
      <w:r>
        <w:rPr>
          <w:rFonts w:hint="eastAsia" w:ascii="宋体" w:hAnsi="宋体"/>
          <w:color w:val="auto"/>
          <w:kern w:val="0"/>
          <w:sz w:val="24"/>
          <w:szCs w:val="27"/>
        </w:rPr>
        <w:t>合同签订且具备实施条件后7个工作日内支付合同款的40%；</w:t>
      </w:r>
    </w:p>
    <w:p>
      <w:pPr>
        <w:snapToGrid w:val="0"/>
        <w:spacing w:line="360" w:lineRule="auto"/>
        <w:ind w:firstLine="480"/>
        <w:rPr>
          <w:rFonts w:ascii="宋体" w:hAnsi="宋体"/>
          <w:color w:val="auto"/>
          <w:kern w:val="0"/>
          <w:sz w:val="24"/>
          <w:szCs w:val="27"/>
        </w:rPr>
      </w:pPr>
      <w:r>
        <w:rPr>
          <w:rFonts w:hint="eastAsia" w:ascii="宋体" w:hAnsi="宋体"/>
          <w:color w:val="auto"/>
          <w:kern w:val="0"/>
          <w:sz w:val="24"/>
          <w:szCs w:val="27"/>
        </w:rPr>
        <w:t>项目初验完成后支付合同款的30%；</w:t>
      </w:r>
    </w:p>
    <w:p>
      <w:pPr>
        <w:snapToGrid w:val="0"/>
        <w:spacing w:line="360" w:lineRule="auto"/>
        <w:ind w:firstLine="480"/>
        <w:rPr>
          <w:rFonts w:ascii="宋体" w:hAnsi="宋体"/>
          <w:color w:val="auto"/>
          <w:kern w:val="0"/>
          <w:sz w:val="24"/>
          <w:szCs w:val="27"/>
        </w:rPr>
      </w:pPr>
      <w:r>
        <w:rPr>
          <w:rFonts w:hint="eastAsia" w:ascii="宋体" w:hAnsi="宋体"/>
          <w:color w:val="auto"/>
          <w:kern w:val="0"/>
          <w:sz w:val="24"/>
          <w:szCs w:val="27"/>
        </w:rPr>
        <w:t>试运行三个月结束并通过采购人最终验收合格后支付</w:t>
      </w:r>
      <w:r>
        <w:rPr>
          <w:rFonts w:hint="eastAsia" w:ascii="宋体" w:hAnsi="宋体"/>
          <w:color w:val="auto"/>
          <w:kern w:val="0"/>
          <w:sz w:val="24"/>
          <w:szCs w:val="27"/>
          <w:lang w:val="en-US" w:eastAsia="zh-CN"/>
        </w:rPr>
        <w:t>审计结算价</w:t>
      </w:r>
      <w:r>
        <w:rPr>
          <w:rFonts w:hint="eastAsia" w:ascii="宋体" w:hAnsi="宋体"/>
          <w:color w:val="auto"/>
          <w:kern w:val="0"/>
          <w:sz w:val="24"/>
          <w:szCs w:val="27"/>
        </w:rPr>
        <w:t>的25%；</w:t>
      </w:r>
    </w:p>
    <w:p>
      <w:pPr>
        <w:snapToGrid w:val="0"/>
        <w:spacing w:line="360" w:lineRule="auto"/>
        <w:ind w:firstLine="480"/>
        <w:rPr>
          <w:rFonts w:ascii="宋体" w:hAnsi="宋体"/>
          <w:color w:val="auto"/>
          <w:kern w:val="0"/>
          <w:sz w:val="24"/>
          <w:szCs w:val="27"/>
        </w:rPr>
      </w:pPr>
      <w:r>
        <w:rPr>
          <w:rFonts w:hint="eastAsia" w:ascii="宋体" w:hAnsi="宋体"/>
          <w:color w:val="auto"/>
          <w:kern w:val="0"/>
          <w:sz w:val="24"/>
          <w:szCs w:val="27"/>
          <w:lang w:val="en-US" w:eastAsia="zh-CN"/>
        </w:rPr>
        <w:t>审计结算价</w:t>
      </w:r>
      <w:r>
        <w:rPr>
          <w:rFonts w:hint="eastAsia" w:ascii="宋体" w:hAnsi="宋体"/>
          <w:color w:val="auto"/>
          <w:kern w:val="0"/>
          <w:sz w:val="24"/>
          <w:szCs w:val="27"/>
        </w:rPr>
        <w:t>余款在项目最终验收合格三年后付清。</w:t>
      </w:r>
    </w:p>
    <w:p>
      <w:pPr>
        <w:snapToGrid w:val="0"/>
        <w:spacing w:line="360" w:lineRule="auto"/>
        <w:ind w:firstLine="480"/>
        <w:rPr>
          <w:rFonts w:ascii="宋体" w:hAnsi="宋体"/>
          <w:kern w:val="0"/>
          <w:sz w:val="24"/>
          <w:szCs w:val="27"/>
        </w:rPr>
      </w:pPr>
      <w:r>
        <w:rPr>
          <w:rFonts w:hint="eastAsia" w:ascii="宋体" w:hAnsi="宋体"/>
          <w:kern w:val="0"/>
          <w:sz w:val="24"/>
          <w:szCs w:val="27"/>
        </w:rPr>
        <w:t>二、付款要求：</w:t>
      </w:r>
    </w:p>
    <w:p>
      <w:pPr>
        <w:snapToGrid w:val="0"/>
        <w:spacing w:line="360" w:lineRule="auto"/>
        <w:ind w:firstLine="480"/>
        <w:rPr>
          <w:rFonts w:ascii="宋体" w:hAnsi="宋体"/>
          <w:kern w:val="0"/>
          <w:sz w:val="24"/>
          <w:szCs w:val="27"/>
        </w:rPr>
      </w:pPr>
      <w:r>
        <w:rPr>
          <w:rFonts w:hint="eastAsia" w:ascii="宋体" w:hAnsi="宋体"/>
          <w:kern w:val="0"/>
          <w:sz w:val="24"/>
          <w:szCs w:val="27"/>
        </w:rPr>
        <w:t>中标人在收款之前，应向采购人提供等额、合法、有效的增值税发票，采购人凭发票付款。如中标人未按约定提供增值税发票的，采购人有权拒绝付款，直至收到中标人提交的相应增值税发票为止，在此情况下，采购人不承担逾期付款违约责任。</w:t>
      </w:r>
    </w:p>
    <w:p>
      <w:pPr>
        <w:pStyle w:val="9"/>
        <w:spacing w:line="440" w:lineRule="exact"/>
        <w:ind w:left="-178" w:leftChars="-85" w:firstLine="480" w:firstLineChars="200"/>
        <w:rPr>
          <w:rFonts w:ascii="宋体" w:hAnsi="宋体"/>
          <w:sz w:val="24"/>
          <w:szCs w:val="24"/>
        </w:rPr>
      </w:pPr>
    </w:p>
    <w:p>
      <w:pPr>
        <w:spacing w:line="360" w:lineRule="auto"/>
      </w:pPr>
    </w:p>
    <w:p>
      <w:pPr>
        <w:pStyle w:val="7"/>
        <w:spacing w:line="420" w:lineRule="exact"/>
      </w:pPr>
      <w:bookmarkStart w:id="443" w:name="_Toc1523"/>
      <w:r>
        <w:rPr>
          <w:rFonts w:hint="eastAsia" w:cs="宋体"/>
          <w:sz w:val="32"/>
        </w:rPr>
        <w:br w:type="page"/>
      </w:r>
      <w:bookmarkStart w:id="444" w:name="_Toc25697"/>
      <w:r>
        <w:rPr>
          <w:rFonts w:hint="eastAsia" w:cs="宋体"/>
          <w:sz w:val="32"/>
        </w:rPr>
        <w:t>第五部分 采购合同</w:t>
      </w:r>
      <w:bookmarkEnd w:id="443"/>
      <w:bookmarkEnd w:id="444"/>
    </w:p>
    <w:p>
      <w:pPr>
        <w:spacing w:line="420" w:lineRule="exact"/>
        <w:rPr>
          <w:rFonts w:ascii="宋体" w:hAnsi="宋体" w:cs="宋体"/>
          <w:kern w:val="0"/>
          <w:sz w:val="24"/>
        </w:rPr>
      </w:pPr>
      <w:r>
        <w:rPr>
          <w:rFonts w:hint="eastAsia" w:ascii="宋体" w:hAnsi="宋体" w:cs="宋体"/>
          <w:kern w:val="0"/>
          <w:sz w:val="24"/>
        </w:rPr>
        <w:t xml:space="preserve">　  </w:t>
      </w:r>
    </w:p>
    <w:p>
      <w:pPr>
        <w:spacing w:line="360" w:lineRule="auto"/>
        <w:ind w:firstLine="480" w:firstLineChars="200"/>
        <w:jc w:val="left"/>
        <w:rPr>
          <w:rFonts w:ascii="宋体" w:hAnsi="宋体" w:cs="宋体"/>
          <w:kern w:val="0"/>
          <w:sz w:val="24"/>
        </w:rPr>
      </w:pPr>
      <w:r>
        <w:rPr>
          <w:rFonts w:hint="eastAsia" w:ascii="宋体" w:hAnsi="宋体" w:cs="宋体"/>
          <w:kern w:val="0"/>
          <w:sz w:val="24"/>
        </w:rPr>
        <w:t>合同编号：（2023）第</w:t>
      </w:r>
      <w:r>
        <w:rPr>
          <w:rFonts w:hint="eastAsia" w:ascii="宋体" w:hAnsi="宋体" w:cs="宋体"/>
          <w:kern w:val="0"/>
          <w:sz w:val="24"/>
          <w:u w:val="single"/>
        </w:rPr>
        <w:t xml:space="preserve">　 </w:t>
      </w:r>
      <w:r>
        <w:rPr>
          <w:rFonts w:hint="eastAsia" w:ascii="宋体" w:hAnsi="宋体" w:cs="宋体"/>
          <w:kern w:val="0"/>
          <w:sz w:val="24"/>
        </w:rPr>
        <w:t>号</w:t>
      </w:r>
    </w:p>
    <w:p>
      <w:pPr>
        <w:spacing w:line="360" w:lineRule="auto"/>
        <w:ind w:firstLine="480" w:firstLineChars="200"/>
        <w:jc w:val="left"/>
        <w:rPr>
          <w:rFonts w:ascii="宋体" w:hAnsi="宋体" w:cs="宋体"/>
          <w:kern w:val="0"/>
          <w:sz w:val="24"/>
        </w:rPr>
      </w:pPr>
      <w:r>
        <w:rPr>
          <w:rFonts w:hint="eastAsia" w:ascii="宋体" w:hAnsi="宋体" w:cs="宋体"/>
          <w:kern w:val="0"/>
          <w:sz w:val="24"/>
        </w:rPr>
        <w:t>签订日期：2023年</w:t>
      </w:r>
      <w:r>
        <w:rPr>
          <w:rFonts w:hint="eastAsia" w:ascii="宋体" w:hAnsi="宋体" w:cs="宋体"/>
          <w:kern w:val="0"/>
          <w:sz w:val="24"/>
          <w:u w:val="single"/>
        </w:rPr>
        <w:t>　　</w:t>
      </w:r>
      <w:r>
        <w:rPr>
          <w:rFonts w:hint="eastAsia" w:ascii="宋体" w:hAnsi="宋体" w:cs="宋体"/>
          <w:kern w:val="0"/>
          <w:sz w:val="24"/>
        </w:rPr>
        <w:t>月</w:t>
      </w:r>
      <w:r>
        <w:rPr>
          <w:rFonts w:hint="eastAsia" w:ascii="宋体" w:hAnsi="宋体" w:cs="宋体"/>
          <w:kern w:val="0"/>
          <w:sz w:val="24"/>
          <w:u w:val="single"/>
        </w:rPr>
        <w:t>　　</w:t>
      </w:r>
      <w:r>
        <w:rPr>
          <w:rFonts w:hint="eastAsia" w:ascii="宋体" w:hAnsi="宋体" w:cs="宋体"/>
          <w:kern w:val="0"/>
          <w:sz w:val="24"/>
        </w:rPr>
        <w:t>日</w:t>
      </w:r>
    </w:p>
    <w:p>
      <w:pPr>
        <w:spacing w:line="360" w:lineRule="auto"/>
        <w:ind w:firstLine="480" w:firstLineChars="200"/>
        <w:rPr>
          <w:rFonts w:ascii="宋体" w:hAnsi="宋体" w:cs="宋体"/>
          <w:sz w:val="24"/>
          <w:u w:val="single"/>
        </w:rPr>
      </w:pPr>
      <w:r>
        <w:rPr>
          <w:rFonts w:hint="eastAsia" w:ascii="宋体" w:hAnsi="宋体" w:cs="宋体"/>
          <w:kern w:val="0"/>
          <w:sz w:val="24"/>
        </w:rPr>
        <w:t>甲方（采购方）</w:t>
      </w:r>
      <w:r>
        <w:rPr>
          <w:rFonts w:hint="eastAsia" w:ascii="宋体" w:hAnsi="宋体" w:cs="宋体"/>
          <w:sz w:val="24"/>
        </w:rPr>
        <w:t>：</w:t>
      </w:r>
      <w:r>
        <w:rPr>
          <w:rFonts w:hint="eastAsia" w:ascii="宋体" w:hAnsi="宋体" w:cs="宋体"/>
          <w:sz w:val="24"/>
          <w:u w:val="single"/>
        </w:rPr>
        <w:t>　　　　　　　　　　　　　　　　　　　　　　　　　</w:t>
      </w:r>
    </w:p>
    <w:p>
      <w:pPr>
        <w:spacing w:line="360" w:lineRule="auto"/>
        <w:ind w:firstLine="480" w:firstLineChars="200"/>
        <w:jc w:val="left"/>
        <w:rPr>
          <w:rFonts w:ascii="宋体" w:hAnsi="宋体" w:cs="宋体"/>
          <w:sz w:val="24"/>
          <w:u w:val="single"/>
        </w:rPr>
      </w:pPr>
      <w:r>
        <w:rPr>
          <w:rFonts w:hint="eastAsia" w:ascii="宋体" w:hAnsi="宋体" w:cs="宋体"/>
          <w:kern w:val="0"/>
          <w:sz w:val="24"/>
        </w:rPr>
        <w:t>乙方（中标方）</w:t>
      </w:r>
      <w:r>
        <w:rPr>
          <w:rFonts w:hint="eastAsia" w:ascii="宋体" w:hAnsi="宋体" w:cs="宋体"/>
          <w:sz w:val="24"/>
        </w:rPr>
        <w:t>：</w:t>
      </w:r>
      <w:r>
        <w:rPr>
          <w:rFonts w:hint="eastAsia" w:ascii="宋体" w:hAnsi="宋体" w:cs="宋体"/>
          <w:sz w:val="24"/>
          <w:u w:val="single"/>
        </w:rPr>
        <w:t>　　　　　　　　　　　　　　　　　　　　　　　　　</w:t>
      </w:r>
    </w:p>
    <w:p>
      <w:pPr>
        <w:spacing w:line="360" w:lineRule="auto"/>
        <w:ind w:firstLine="480" w:firstLineChars="200"/>
        <w:jc w:val="left"/>
        <w:rPr>
          <w:rFonts w:ascii="宋体" w:hAnsi="宋体" w:cs="宋体"/>
          <w:b/>
          <w:bCs/>
          <w:sz w:val="24"/>
        </w:rPr>
      </w:pPr>
      <w:r>
        <w:rPr>
          <w:rFonts w:hint="eastAsia" w:ascii="宋体" w:hAnsi="宋体" w:cs="宋体"/>
          <w:sz w:val="24"/>
        </w:rPr>
        <w:t>1、根据《中华人民共和国民法典》、政府采购编号为</w:t>
      </w:r>
      <w:r>
        <w:rPr>
          <w:rFonts w:hint="eastAsia" w:ascii="宋体" w:hAnsi="宋体" w:cs="宋体"/>
          <w:sz w:val="24"/>
          <w:lang w:eastAsia="zh-CN"/>
        </w:rPr>
        <w:t>YK2023016</w:t>
      </w:r>
      <w:r>
        <w:rPr>
          <w:rFonts w:hint="eastAsia" w:ascii="宋体" w:hAnsi="宋体" w:cs="宋体"/>
          <w:sz w:val="24"/>
        </w:rPr>
        <w:t>招标文件、乙方投标人文件的规定，经公开招标采购，签订本合同。</w:t>
      </w:r>
      <w:r>
        <w:rPr>
          <w:rFonts w:hint="eastAsia" w:ascii="宋体" w:hAnsi="宋体" w:cs="宋体"/>
          <w:b/>
          <w:bCs/>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2、服务内容、数量及价格</w:t>
      </w:r>
    </w:p>
    <w:tbl>
      <w:tblPr>
        <w:tblStyle w:val="23"/>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355"/>
        <w:gridCol w:w="1335"/>
        <w:gridCol w:w="765"/>
        <w:gridCol w:w="1260"/>
        <w:gridCol w:w="900"/>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77"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2355" w:type="dxa"/>
            <w:vAlign w:val="center"/>
          </w:tcPr>
          <w:p>
            <w:pPr>
              <w:spacing w:line="360" w:lineRule="auto"/>
              <w:jc w:val="center"/>
              <w:rPr>
                <w:rFonts w:ascii="宋体" w:hAnsi="宋体" w:cs="宋体"/>
                <w:sz w:val="24"/>
              </w:rPr>
            </w:pPr>
            <w:r>
              <w:rPr>
                <w:rFonts w:hint="eastAsia" w:ascii="宋体" w:hAnsi="宋体" w:cs="宋体"/>
                <w:sz w:val="24"/>
              </w:rPr>
              <w:t>服务名称</w:t>
            </w:r>
          </w:p>
        </w:tc>
        <w:tc>
          <w:tcPr>
            <w:tcW w:w="1335" w:type="dxa"/>
            <w:vAlign w:val="center"/>
          </w:tcPr>
          <w:p>
            <w:pPr>
              <w:spacing w:line="360" w:lineRule="auto"/>
              <w:jc w:val="center"/>
              <w:rPr>
                <w:rFonts w:ascii="宋体" w:hAnsi="宋体" w:cs="宋体"/>
                <w:sz w:val="24"/>
              </w:rPr>
            </w:pPr>
            <w:r>
              <w:rPr>
                <w:rFonts w:hint="eastAsia" w:ascii="宋体" w:hAnsi="宋体" w:cs="宋体"/>
                <w:sz w:val="24"/>
              </w:rPr>
              <w:t>规格、型号</w:t>
            </w:r>
          </w:p>
        </w:tc>
        <w:tc>
          <w:tcPr>
            <w:tcW w:w="765" w:type="dxa"/>
            <w:vAlign w:val="center"/>
          </w:tcPr>
          <w:p>
            <w:pPr>
              <w:spacing w:line="360" w:lineRule="auto"/>
              <w:jc w:val="center"/>
              <w:rPr>
                <w:rFonts w:ascii="宋体" w:hAnsi="宋体" w:cs="宋体"/>
                <w:sz w:val="24"/>
              </w:rPr>
            </w:pPr>
            <w:r>
              <w:rPr>
                <w:rFonts w:hint="eastAsia" w:ascii="宋体" w:hAnsi="宋体" w:cs="宋体"/>
                <w:sz w:val="24"/>
              </w:rPr>
              <w:t>单位</w:t>
            </w:r>
          </w:p>
        </w:tc>
        <w:tc>
          <w:tcPr>
            <w:tcW w:w="1260" w:type="dxa"/>
            <w:vAlign w:val="center"/>
          </w:tcPr>
          <w:p>
            <w:pPr>
              <w:spacing w:line="360" w:lineRule="auto"/>
              <w:jc w:val="center"/>
              <w:rPr>
                <w:rFonts w:ascii="宋体" w:hAnsi="宋体" w:cs="宋体"/>
                <w:sz w:val="24"/>
              </w:rPr>
            </w:pPr>
            <w:r>
              <w:rPr>
                <w:rFonts w:hint="eastAsia" w:ascii="宋体" w:hAnsi="宋体" w:cs="宋体"/>
                <w:sz w:val="24"/>
              </w:rPr>
              <w:t>单价</w:t>
            </w:r>
          </w:p>
        </w:tc>
        <w:tc>
          <w:tcPr>
            <w:tcW w:w="900" w:type="dxa"/>
            <w:vAlign w:val="center"/>
          </w:tcPr>
          <w:p>
            <w:pPr>
              <w:spacing w:line="360" w:lineRule="auto"/>
              <w:jc w:val="center"/>
              <w:rPr>
                <w:rFonts w:ascii="宋体" w:hAnsi="宋体" w:cs="宋体"/>
                <w:sz w:val="24"/>
              </w:rPr>
            </w:pPr>
            <w:r>
              <w:rPr>
                <w:rFonts w:hint="eastAsia" w:ascii="宋体" w:hAnsi="宋体" w:cs="宋体"/>
                <w:sz w:val="24"/>
              </w:rPr>
              <w:t>数量</w:t>
            </w:r>
          </w:p>
        </w:tc>
        <w:tc>
          <w:tcPr>
            <w:tcW w:w="1622" w:type="dxa"/>
            <w:vAlign w:val="center"/>
          </w:tcPr>
          <w:p>
            <w:pPr>
              <w:spacing w:line="360" w:lineRule="auto"/>
              <w:jc w:val="center"/>
              <w:rPr>
                <w:rFonts w:ascii="宋体" w:hAnsi="宋体" w:cs="宋体"/>
                <w:sz w:val="24"/>
              </w:rPr>
            </w:pPr>
            <w:r>
              <w:rPr>
                <w:rFonts w:hint="eastAsia" w:ascii="宋体" w:hAnsi="宋体" w:cs="宋体"/>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77" w:type="dxa"/>
            <w:tcBorders>
              <w:bottom w:val="single" w:color="auto" w:sz="4" w:space="0"/>
            </w:tcBorders>
            <w:vAlign w:val="center"/>
          </w:tcPr>
          <w:p>
            <w:pPr>
              <w:spacing w:line="360" w:lineRule="auto"/>
              <w:jc w:val="center"/>
              <w:rPr>
                <w:rFonts w:ascii="宋体" w:hAnsi="宋体" w:cs="宋体"/>
                <w:sz w:val="24"/>
              </w:rPr>
            </w:pPr>
          </w:p>
        </w:tc>
        <w:tc>
          <w:tcPr>
            <w:tcW w:w="2355" w:type="dxa"/>
            <w:tcBorders>
              <w:bottom w:val="single" w:color="auto" w:sz="4" w:space="0"/>
            </w:tcBorders>
            <w:vAlign w:val="center"/>
          </w:tcPr>
          <w:p>
            <w:pPr>
              <w:spacing w:line="360" w:lineRule="auto"/>
              <w:jc w:val="center"/>
              <w:rPr>
                <w:rFonts w:ascii="宋体" w:hAnsi="宋体" w:cs="宋体"/>
                <w:sz w:val="24"/>
              </w:rPr>
            </w:pPr>
          </w:p>
        </w:tc>
        <w:tc>
          <w:tcPr>
            <w:tcW w:w="1335" w:type="dxa"/>
            <w:tcBorders>
              <w:bottom w:val="single" w:color="auto" w:sz="4" w:space="0"/>
            </w:tcBorders>
            <w:vAlign w:val="center"/>
          </w:tcPr>
          <w:p>
            <w:pPr>
              <w:spacing w:line="360" w:lineRule="auto"/>
              <w:jc w:val="center"/>
              <w:rPr>
                <w:rFonts w:ascii="宋体" w:hAnsi="宋体" w:cs="宋体"/>
                <w:sz w:val="24"/>
              </w:rPr>
            </w:pPr>
          </w:p>
        </w:tc>
        <w:tc>
          <w:tcPr>
            <w:tcW w:w="765" w:type="dxa"/>
            <w:tcBorders>
              <w:bottom w:val="single" w:color="auto" w:sz="4" w:space="0"/>
            </w:tcBorders>
            <w:vAlign w:val="center"/>
          </w:tcPr>
          <w:p>
            <w:pPr>
              <w:spacing w:line="360" w:lineRule="auto"/>
              <w:jc w:val="center"/>
              <w:rPr>
                <w:rFonts w:ascii="宋体" w:hAnsi="宋体" w:cs="宋体"/>
                <w:sz w:val="24"/>
              </w:rPr>
            </w:pPr>
          </w:p>
        </w:tc>
        <w:tc>
          <w:tcPr>
            <w:tcW w:w="1260" w:type="dxa"/>
            <w:tcBorders>
              <w:bottom w:val="single" w:color="auto" w:sz="4" w:space="0"/>
            </w:tcBorders>
            <w:vAlign w:val="center"/>
          </w:tcPr>
          <w:p>
            <w:pPr>
              <w:spacing w:line="360" w:lineRule="auto"/>
              <w:jc w:val="center"/>
              <w:rPr>
                <w:rFonts w:ascii="宋体" w:hAnsi="宋体" w:cs="宋体"/>
                <w:sz w:val="24"/>
              </w:rPr>
            </w:pPr>
          </w:p>
        </w:tc>
        <w:tc>
          <w:tcPr>
            <w:tcW w:w="900" w:type="dxa"/>
            <w:tcBorders>
              <w:bottom w:val="single" w:color="auto" w:sz="4" w:space="0"/>
            </w:tcBorders>
            <w:vAlign w:val="center"/>
          </w:tcPr>
          <w:p>
            <w:pPr>
              <w:spacing w:line="360" w:lineRule="auto"/>
              <w:jc w:val="center"/>
              <w:rPr>
                <w:rFonts w:ascii="宋体" w:hAnsi="宋体" w:cs="宋体"/>
                <w:sz w:val="24"/>
              </w:rPr>
            </w:pPr>
          </w:p>
        </w:tc>
        <w:tc>
          <w:tcPr>
            <w:tcW w:w="1622" w:type="dxa"/>
            <w:tcBorders>
              <w:bottom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77" w:type="dxa"/>
            <w:tcBorders>
              <w:bottom w:val="single" w:color="auto" w:sz="4" w:space="0"/>
            </w:tcBorders>
            <w:vAlign w:val="center"/>
          </w:tcPr>
          <w:p>
            <w:pPr>
              <w:spacing w:line="360" w:lineRule="auto"/>
              <w:jc w:val="center"/>
              <w:rPr>
                <w:rFonts w:hint="eastAsia" w:ascii="宋体" w:hAnsi="宋体" w:cs="宋体"/>
                <w:sz w:val="24"/>
              </w:rPr>
            </w:pPr>
          </w:p>
        </w:tc>
        <w:tc>
          <w:tcPr>
            <w:tcW w:w="2355" w:type="dxa"/>
            <w:tcBorders>
              <w:bottom w:val="single" w:color="auto" w:sz="4" w:space="0"/>
            </w:tcBorders>
            <w:vAlign w:val="center"/>
          </w:tcPr>
          <w:p>
            <w:pPr>
              <w:spacing w:line="360" w:lineRule="auto"/>
              <w:jc w:val="center"/>
              <w:rPr>
                <w:rFonts w:hint="eastAsia" w:ascii="宋体" w:hAnsi="宋体" w:cs="宋体"/>
                <w:sz w:val="24"/>
              </w:rPr>
            </w:pPr>
          </w:p>
        </w:tc>
        <w:tc>
          <w:tcPr>
            <w:tcW w:w="1335" w:type="dxa"/>
            <w:tcBorders>
              <w:bottom w:val="single" w:color="auto" w:sz="4" w:space="0"/>
            </w:tcBorders>
            <w:vAlign w:val="center"/>
          </w:tcPr>
          <w:p>
            <w:pPr>
              <w:spacing w:line="360" w:lineRule="auto"/>
              <w:jc w:val="center"/>
              <w:rPr>
                <w:rFonts w:hint="eastAsia" w:ascii="宋体" w:hAnsi="宋体" w:cs="宋体"/>
                <w:sz w:val="24"/>
              </w:rPr>
            </w:pPr>
          </w:p>
        </w:tc>
        <w:tc>
          <w:tcPr>
            <w:tcW w:w="765" w:type="dxa"/>
            <w:tcBorders>
              <w:bottom w:val="single" w:color="auto" w:sz="4" w:space="0"/>
            </w:tcBorders>
            <w:vAlign w:val="center"/>
          </w:tcPr>
          <w:p>
            <w:pPr>
              <w:spacing w:line="360" w:lineRule="auto"/>
              <w:jc w:val="center"/>
              <w:rPr>
                <w:rFonts w:hint="eastAsia" w:ascii="宋体" w:hAnsi="宋体" w:cs="宋体"/>
                <w:sz w:val="24"/>
              </w:rPr>
            </w:pPr>
          </w:p>
        </w:tc>
        <w:tc>
          <w:tcPr>
            <w:tcW w:w="1260" w:type="dxa"/>
            <w:tcBorders>
              <w:bottom w:val="single" w:color="auto" w:sz="4" w:space="0"/>
            </w:tcBorders>
            <w:vAlign w:val="center"/>
          </w:tcPr>
          <w:p>
            <w:pPr>
              <w:spacing w:line="360" w:lineRule="auto"/>
              <w:jc w:val="center"/>
              <w:rPr>
                <w:rFonts w:ascii="宋体" w:hAnsi="宋体" w:cs="宋体"/>
                <w:sz w:val="24"/>
              </w:rPr>
            </w:pPr>
          </w:p>
        </w:tc>
        <w:tc>
          <w:tcPr>
            <w:tcW w:w="900" w:type="dxa"/>
            <w:tcBorders>
              <w:bottom w:val="single" w:color="auto" w:sz="4" w:space="0"/>
            </w:tcBorders>
            <w:vAlign w:val="center"/>
          </w:tcPr>
          <w:p>
            <w:pPr>
              <w:spacing w:line="360" w:lineRule="auto"/>
              <w:jc w:val="center"/>
              <w:rPr>
                <w:rFonts w:ascii="宋体" w:hAnsi="宋体" w:cs="宋体"/>
                <w:sz w:val="24"/>
              </w:rPr>
            </w:pPr>
          </w:p>
        </w:tc>
        <w:tc>
          <w:tcPr>
            <w:tcW w:w="1622" w:type="dxa"/>
            <w:tcBorders>
              <w:bottom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77" w:type="dxa"/>
            <w:tcBorders>
              <w:bottom w:val="single" w:color="auto" w:sz="4" w:space="0"/>
            </w:tcBorders>
            <w:vAlign w:val="center"/>
          </w:tcPr>
          <w:p>
            <w:pPr>
              <w:spacing w:line="360" w:lineRule="auto"/>
              <w:jc w:val="center"/>
              <w:rPr>
                <w:rFonts w:hint="eastAsia" w:ascii="宋体" w:hAnsi="宋体" w:cs="宋体"/>
                <w:sz w:val="24"/>
              </w:rPr>
            </w:pPr>
          </w:p>
        </w:tc>
        <w:tc>
          <w:tcPr>
            <w:tcW w:w="2355" w:type="dxa"/>
            <w:tcBorders>
              <w:bottom w:val="single" w:color="auto" w:sz="4" w:space="0"/>
            </w:tcBorders>
            <w:vAlign w:val="center"/>
          </w:tcPr>
          <w:p>
            <w:pPr>
              <w:spacing w:line="360" w:lineRule="auto"/>
              <w:jc w:val="center"/>
              <w:rPr>
                <w:rFonts w:hint="eastAsia" w:ascii="宋体" w:hAnsi="宋体" w:cs="宋体"/>
                <w:sz w:val="24"/>
              </w:rPr>
            </w:pPr>
          </w:p>
        </w:tc>
        <w:tc>
          <w:tcPr>
            <w:tcW w:w="1335" w:type="dxa"/>
            <w:tcBorders>
              <w:bottom w:val="single" w:color="auto" w:sz="4" w:space="0"/>
            </w:tcBorders>
            <w:vAlign w:val="center"/>
          </w:tcPr>
          <w:p>
            <w:pPr>
              <w:spacing w:line="360" w:lineRule="auto"/>
              <w:jc w:val="center"/>
              <w:rPr>
                <w:rFonts w:hint="eastAsia" w:ascii="宋体" w:hAnsi="宋体" w:cs="宋体"/>
                <w:sz w:val="24"/>
              </w:rPr>
            </w:pPr>
          </w:p>
        </w:tc>
        <w:tc>
          <w:tcPr>
            <w:tcW w:w="765" w:type="dxa"/>
            <w:tcBorders>
              <w:bottom w:val="single" w:color="auto" w:sz="4" w:space="0"/>
            </w:tcBorders>
            <w:vAlign w:val="center"/>
          </w:tcPr>
          <w:p>
            <w:pPr>
              <w:spacing w:line="360" w:lineRule="auto"/>
              <w:jc w:val="center"/>
              <w:rPr>
                <w:rFonts w:hint="eastAsia" w:ascii="宋体" w:hAnsi="宋体" w:cs="宋体"/>
                <w:sz w:val="24"/>
              </w:rPr>
            </w:pPr>
          </w:p>
        </w:tc>
        <w:tc>
          <w:tcPr>
            <w:tcW w:w="1260" w:type="dxa"/>
            <w:tcBorders>
              <w:bottom w:val="single" w:color="auto" w:sz="4" w:space="0"/>
            </w:tcBorders>
            <w:vAlign w:val="center"/>
          </w:tcPr>
          <w:p>
            <w:pPr>
              <w:spacing w:line="360" w:lineRule="auto"/>
              <w:jc w:val="center"/>
              <w:rPr>
                <w:rFonts w:ascii="宋体" w:hAnsi="宋体" w:cs="宋体"/>
                <w:sz w:val="24"/>
              </w:rPr>
            </w:pPr>
          </w:p>
        </w:tc>
        <w:tc>
          <w:tcPr>
            <w:tcW w:w="900" w:type="dxa"/>
            <w:tcBorders>
              <w:bottom w:val="single" w:color="auto" w:sz="4" w:space="0"/>
            </w:tcBorders>
            <w:vAlign w:val="center"/>
          </w:tcPr>
          <w:p>
            <w:pPr>
              <w:spacing w:line="360" w:lineRule="auto"/>
              <w:jc w:val="center"/>
              <w:rPr>
                <w:rFonts w:ascii="宋体" w:hAnsi="宋体" w:cs="宋体"/>
                <w:sz w:val="24"/>
              </w:rPr>
            </w:pPr>
          </w:p>
        </w:tc>
        <w:tc>
          <w:tcPr>
            <w:tcW w:w="1622" w:type="dxa"/>
            <w:tcBorders>
              <w:bottom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3032" w:type="dxa"/>
            <w:gridSpan w:val="2"/>
            <w:vAlign w:val="center"/>
          </w:tcPr>
          <w:p>
            <w:pPr>
              <w:spacing w:line="360" w:lineRule="auto"/>
              <w:jc w:val="center"/>
              <w:rPr>
                <w:rFonts w:ascii="宋体" w:hAnsi="宋体" w:cs="宋体"/>
                <w:sz w:val="24"/>
              </w:rPr>
            </w:pPr>
            <w:r>
              <w:rPr>
                <w:rFonts w:hint="eastAsia" w:ascii="宋体" w:hAnsi="宋体" w:cs="宋体"/>
                <w:sz w:val="24"/>
              </w:rPr>
              <w:t>合计金额</w:t>
            </w:r>
          </w:p>
        </w:tc>
        <w:tc>
          <w:tcPr>
            <w:tcW w:w="5882" w:type="dxa"/>
            <w:gridSpan w:val="5"/>
            <w:vAlign w:val="center"/>
          </w:tcPr>
          <w:p>
            <w:pPr>
              <w:spacing w:line="360" w:lineRule="auto"/>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4" w:type="dxa"/>
            <w:gridSpan w:val="7"/>
            <w:vAlign w:val="center"/>
          </w:tcPr>
          <w:p>
            <w:pPr>
              <w:spacing w:line="360" w:lineRule="auto"/>
              <w:jc w:val="left"/>
              <w:rPr>
                <w:rFonts w:hint="eastAsia" w:ascii="宋体" w:hAnsi="宋体" w:eastAsia="宋体" w:cs="宋体"/>
                <w:sz w:val="24"/>
                <w:lang w:eastAsia="zh-CN"/>
              </w:rPr>
            </w:pPr>
            <w:r>
              <w:rPr>
                <w:rFonts w:hint="eastAsia" w:hAnsi="宋体" w:cs="宋体"/>
                <w:sz w:val="24"/>
              </w:rPr>
              <w:t xml:space="preserve">    </w:t>
            </w:r>
            <w:r>
              <w:rPr>
                <w:rFonts w:hint="eastAsia" w:hAnsi="宋体" w:cs="宋体"/>
                <w:sz w:val="24"/>
                <w:lang w:val="en-US" w:eastAsia="zh-CN"/>
              </w:rPr>
              <w:t>合同价</w:t>
            </w:r>
            <w:r>
              <w:rPr>
                <w:rFonts w:hint="eastAsia" w:hAnsi="宋体" w:cs="宋体"/>
                <w:sz w:val="24"/>
              </w:rPr>
              <w:t>包括人员的工资福利、五险一金、软件系统费（含设计、开发、集成、测试、维护、升级等）、硬件及配件、实施部署费、安装费、调试费、运杂费、技术培训费、售后服务费、人工费用、税金等一切费用。投标人在编写投标方案时应充分考虑各种风险因素，凡投标人漏项、漏报均认为已包含在报价中，结算时不再增</w:t>
            </w:r>
            <w:r>
              <w:rPr>
                <w:rFonts w:hint="eastAsia" w:hAnsi="宋体" w:cs="宋体"/>
                <w:color w:val="auto"/>
                <w:sz w:val="24"/>
              </w:rPr>
              <w:t>加</w:t>
            </w:r>
            <w:r>
              <w:rPr>
                <w:rFonts w:hint="eastAsia" w:hAnsi="宋体" w:cs="宋体"/>
                <w:color w:val="auto"/>
                <w:sz w:val="24"/>
                <w:lang w:eastAsia="zh-CN"/>
              </w:rPr>
              <w:t>。（</w:t>
            </w:r>
            <w:r>
              <w:rPr>
                <w:rFonts w:hint="eastAsia" w:hAnsi="宋体" w:cs="宋体"/>
                <w:color w:val="auto"/>
                <w:sz w:val="24"/>
                <w:lang w:val="en-US" w:eastAsia="zh-CN"/>
              </w:rPr>
              <w:t>本项目为单价合同，费用按实结算，</w:t>
            </w:r>
            <w:r>
              <w:rPr>
                <w:rFonts w:hint="eastAsia" w:asciiTheme="minorEastAsia" w:hAnsiTheme="minorEastAsia" w:eastAsiaTheme="minorEastAsia" w:cstheme="minorEastAsia"/>
                <w:b w:val="0"/>
                <w:bCs w:val="0"/>
                <w:color w:val="auto"/>
                <w:sz w:val="24"/>
                <w:highlight w:val="none"/>
                <w:lang w:val="en-US" w:eastAsia="zh-CN"/>
              </w:rPr>
              <w:t>最高支付至合同总价</w:t>
            </w:r>
            <w:r>
              <w:rPr>
                <w:rFonts w:hint="eastAsia" w:hAnsi="宋体" w:cs="宋体"/>
                <w:color w:val="auto"/>
                <w:sz w:val="24"/>
                <w:lang w:eastAsia="zh-CN"/>
              </w:rPr>
              <w:t>）</w:t>
            </w:r>
          </w:p>
        </w:tc>
      </w:tr>
    </w:tbl>
    <w:p>
      <w:pPr>
        <w:snapToGrid w:val="0"/>
        <w:spacing w:line="360" w:lineRule="auto"/>
        <w:ind w:firstLine="482"/>
        <w:rPr>
          <w:rFonts w:ascii="宋体" w:hAnsi="宋体" w:cs="宋体"/>
          <w:sz w:val="24"/>
        </w:rPr>
      </w:pPr>
      <w:r>
        <w:rPr>
          <w:rFonts w:hint="eastAsia" w:ascii="宋体" w:hAnsi="宋体" w:cs="宋体"/>
          <w:sz w:val="24"/>
        </w:rPr>
        <w:t>3　质量标准和保证、条件和通知、保险责任、运输、伴随服务、合同的变更、修改和终止及争端解决方式等，按招标文件采购需求和乙方的投标文件的规定执行。</w:t>
      </w:r>
    </w:p>
    <w:p>
      <w:pPr>
        <w:snapToGrid w:val="0"/>
        <w:spacing w:line="360" w:lineRule="auto"/>
        <w:ind w:firstLine="482"/>
        <w:rPr>
          <w:rFonts w:ascii="宋体" w:hAnsi="宋体" w:cs="宋体"/>
          <w:sz w:val="24"/>
        </w:rPr>
      </w:pPr>
      <w:r>
        <w:rPr>
          <w:rFonts w:hint="eastAsia" w:ascii="宋体" w:hAnsi="宋体" w:cs="宋体"/>
          <w:sz w:val="24"/>
        </w:rPr>
        <w:t>4　工期及地点</w:t>
      </w:r>
    </w:p>
    <w:p>
      <w:pPr>
        <w:snapToGrid w:val="0"/>
        <w:spacing w:line="360" w:lineRule="auto"/>
        <w:ind w:firstLine="482"/>
        <w:rPr>
          <w:rFonts w:ascii="宋体" w:hAnsi="宋体" w:cs="宋体"/>
          <w:color w:val="auto"/>
          <w:sz w:val="24"/>
          <w:u w:val="single"/>
        </w:rPr>
      </w:pPr>
      <w:r>
        <w:rPr>
          <w:rFonts w:hint="eastAsia" w:ascii="宋体" w:hAnsi="宋体" w:cs="宋体"/>
          <w:color w:val="auto"/>
          <w:sz w:val="24"/>
        </w:rPr>
        <w:t>4.1　工期：</w:t>
      </w:r>
      <w:r>
        <w:rPr>
          <w:rFonts w:hint="eastAsia" w:ascii="宋体" w:hAnsi="宋体" w:cs="宋体"/>
          <w:color w:val="auto"/>
          <w:sz w:val="24"/>
          <w:u w:val="single"/>
        </w:rPr>
        <w:t>　</w:t>
      </w:r>
      <w:r>
        <w:rPr>
          <w:rFonts w:hint="eastAsia" w:ascii="宋体" w:hAnsi="宋体" w:cs="宋体"/>
          <w:color w:val="auto"/>
          <w:sz w:val="24"/>
          <w:u w:val="single"/>
          <w:lang w:val="en-US" w:eastAsia="zh-CN"/>
        </w:rPr>
        <w:t>本项目服务工期245日历天。其中</w:t>
      </w:r>
      <w:r>
        <w:rPr>
          <w:rFonts w:hint="eastAsia" w:ascii="宋体" w:hAnsi="宋体" w:cs="宋体"/>
          <w:color w:val="auto"/>
          <w:sz w:val="24"/>
          <w:u w:val="single"/>
        </w:rPr>
        <w:t>150日历天内完成项目实施上线，上线</w:t>
      </w:r>
      <w:r>
        <w:rPr>
          <w:rFonts w:hint="eastAsia" w:ascii="宋体" w:hAnsi="宋体" w:cs="宋体"/>
          <w:color w:val="auto"/>
          <w:sz w:val="24"/>
          <w:u w:val="single"/>
          <w:lang w:val="en-US" w:eastAsia="zh-CN"/>
        </w:rPr>
        <w:t>5日历天</w:t>
      </w:r>
      <w:r>
        <w:rPr>
          <w:rFonts w:hint="eastAsia" w:ascii="宋体" w:hAnsi="宋体" w:cs="宋体"/>
          <w:color w:val="auto"/>
          <w:sz w:val="24"/>
          <w:u w:val="single"/>
        </w:rPr>
        <w:t>后组织项目初验；项目初验</w:t>
      </w:r>
      <w:r>
        <w:rPr>
          <w:rFonts w:hint="eastAsia" w:ascii="宋体" w:hAnsi="宋体" w:cs="宋体"/>
          <w:color w:val="auto"/>
          <w:sz w:val="24"/>
          <w:u w:val="single"/>
          <w:lang w:val="en-US" w:eastAsia="zh-CN"/>
        </w:rPr>
        <w:t>后</w:t>
      </w:r>
      <w:r>
        <w:rPr>
          <w:rFonts w:hint="eastAsia" w:ascii="宋体" w:hAnsi="宋体" w:cs="宋体"/>
          <w:color w:val="auto"/>
          <w:sz w:val="24"/>
          <w:u w:val="single"/>
        </w:rPr>
        <w:t>经</w:t>
      </w:r>
      <w:r>
        <w:rPr>
          <w:rFonts w:hint="eastAsia" w:ascii="宋体" w:hAnsi="宋体" w:cs="宋体"/>
          <w:color w:val="auto"/>
          <w:sz w:val="24"/>
          <w:u w:val="single"/>
          <w:lang w:val="en-US" w:eastAsia="zh-CN"/>
        </w:rPr>
        <w:t>90日历天</w:t>
      </w:r>
      <w:r>
        <w:rPr>
          <w:rFonts w:hint="eastAsia" w:ascii="宋体" w:hAnsi="宋体" w:cs="宋体"/>
          <w:color w:val="auto"/>
          <w:sz w:val="24"/>
          <w:u w:val="single"/>
        </w:rPr>
        <w:t>试运行，平台运行稳定后，配合</w:t>
      </w:r>
      <w:r>
        <w:rPr>
          <w:rFonts w:hint="eastAsia" w:ascii="宋体" w:hAnsi="宋体" w:cs="宋体"/>
          <w:color w:val="auto"/>
          <w:sz w:val="24"/>
          <w:u w:val="single"/>
          <w:lang w:val="en-US" w:eastAsia="zh-CN"/>
        </w:rPr>
        <w:t>甲方</w:t>
      </w:r>
      <w:r>
        <w:rPr>
          <w:rFonts w:hint="eastAsia" w:ascii="宋体" w:hAnsi="宋体" w:cs="宋体"/>
          <w:color w:val="auto"/>
          <w:sz w:val="24"/>
          <w:u w:val="single"/>
        </w:rPr>
        <w:t>开展项目验收</w:t>
      </w:r>
      <w:r>
        <w:rPr>
          <w:rFonts w:hint="eastAsia" w:ascii="宋体" w:hAnsi="宋体" w:cs="宋体"/>
          <w:color w:val="auto"/>
          <w:sz w:val="24"/>
          <w:u w:val="single"/>
          <w:lang w:eastAsia="zh-CN"/>
        </w:rPr>
        <w:t>。</w:t>
      </w:r>
      <w:r>
        <w:rPr>
          <w:rFonts w:hint="eastAsia" w:ascii="宋体" w:hAnsi="宋体" w:cs="宋体"/>
          <w:color w:val="auto"/>
          <w:sz w:val="24"/>
          <w:u w:val="single"/>
        </w:rPr>
        <w:t>　</w:t>
      </w:r>
    </w:p>
    <w:p>
      <w:pPr>
        <w:snapToGrid w:val="0"/>
        <w:spacing w:line="360" w:lineRule="auto"/>
        <w:ind w:firstLine="482"/>
        <w:rPr>
          <w:rFonts w:ascii="宋体" w:hAnsi="宋体" w:cs="宋体"/>
          <w:color w:val="auto"/>
          <w:sz w:val="24"/>
          <w:u w:val="single"/>
        </w:rPr>
      </w:pPr>
      <w:r>
        <w:rPr>
          <w:rFonts w:hint="eastAsia" w:ascii="宋体" w:hAnsi="宋体" w:cs="宋体"/>
          <w:color w:val="auto"/>
          <w:sz w:val="24"/>
        </w:rPr>
        <w:t>4.2　地点：</w:t>
      </w:r>
      <w:r>
        <w:rPr>
          <w:rFonts w:hint="eastAsia" w:ascii="宋体" w:hAnsi="宋体" w:cs="宋体"/>
          <w:color w:val="auto"/>
          <w:sz w:val="24"/>
          <w:u w:val="single"/>
        </w:rPr>
        <w:t>　上虞区　　　　　　　　　　　　　　　　　　　　</w:t>
      </w:r>
    </w:p>
    <w:p>
      <w:pPr>
        <w:snapToGrid w:val="0"/>
        <w:spacing w:line="360" w:lineRule="auto"/>
        <w:ind w:firstLine="482"/>
        <w:rPr>
          <w:rFonts w:ascii="宋体" w:hAnsi="宋体" w:cs="宋体"/>
          <w:color w:val="auto"/>
          <w:sz w:val="24"/>
        </w:rPr>
      </w:pPr>
      <w:r>
        <w:rPr>
          <w:rFonts w:hint="eastAsia" w:ascii="宋体" w:hAnsi="宋体" w:cs="宋体"/>
          <w:color w:val="auto"/>
          <w:sz w:val="24"/>
        </w:rPr>
        <w:t>5　质量保证期及要求</w:t>
      </w:r>
    </w:p>
    <w:p>
      <w:pPr>
        <w:snapToGrid w:val="0"/>
        <w:spacing w:line="360" w:lineRule="auto"/>
        <w:ind w:firstLine="482"/>
        <w:rPr>
          <w:rFonts w:ascii="宋体" w:hAnsi="宋体" w:cs="宋体"/>
          <w:color w:val="auto"/>
          <w:sz w:val="24"/>
        </w:rPr>
      </w:pPr>
      <w:r>
        <w:rPr>
          <w:rFonts w:hint="eastAsia" w:ascii="宋体" w:hAnsi="宋体" w:cs="宋体"/>
          <w:color w:val="auto"/>
          <w:sz w:val="24"/>
        </w:rPr>
        <w:t>5.1　乙方提供的服务（软硬件）必须符合招标文件及乙方投标文件中规定的要求。</w:t>
      </w:r>
    </w:p>
    <w:p>
      <w:pPr>
        <w:snapToGrid w:val="0"/>
        <w:spacing w:line="360" w:lineRule="auto"/>
        <w:ind w:firstLine="482"/>
        <w:rPr>
          <w:rFonts w:ascii="宋体" w:hAnsi="宋体" w:cs="宋体"/>
          <w:color w:val="auto"/>
          <w:sz w:val="24"/>
        </w:rPr>
      </w:pPr>
      <w:r>
        <w:rPr>
          <w:rFonts w:hint="eastAsia" w:ascii="宋体" w:hAnsi="宋体" w:cs="宋体"/>
          <w:color w:val="auto"/>
          <w:sz w:val="24"/>
        </w:rPr>
        <w:t>5.2　从</w:t>
      </w:r>
      <w:r>
        <w:rPr>
          <w:rFonts w:hint="eastAsia" w:ascii="宋体" w:hAnsi="宋体" w:cs="宋体"/>
          <w:color w:val="auto"/>
          <w:sz w:val="24"/>
          <w:u w:val="single"/>
        </w:rPr>
        <w:t>项目正式验收合格之日</w:t>
      </w:r>
      <w:r>
        <w:rPr>
          <w:rFonts w:hint="eastAsia" w:ascii="宋体" w:hAnsi="宋体" w:cs="宋体"/>
          <w:color w:val="auto"/>
          <w:sz w:val="24"/>
        </w:rPr>
        <w:t>起至少</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u w:val="single"/>
        </w:rPr>
        <w:t>3</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年的质量保证期。</w:t>
      </w:r>
    </w:p>
    <w:p>
      <w:pPr>
        <w:snapToGrid w:val="0"/>
        <w:spacing w:line="360" w:lineRule="auto"/>
        <w:ind w:firstLine="482"/>
        <w:rPr>
          <w:rFonts w:ascii="宋体" w:hAnsi="宋体" w:cs="宋体"/>
          <w:color w:val="auto"/>
          <w:sz w:val="24"/>
          <w:u w:val="single"/>
        </w:rPr>
      </w:pPr>
      <w:r>
        <w:rPr>
          <w:rFonts w:hint="eastAsia" w:ascii="宋体" w:hAnsi="宋体" w:cs="宋体"/>
          <w:color w:val="auto"/>
          <w:sz w:val="24"/>
        </w:rPr>
        <w:t>5.</w:t>
      </w:r>
      <w:r>
        <w:rPr>
          <w:rFonts w:ascii="宋体" w:hAnsi="宋体" w:cs="宋体"/>
          <w:color w:val="auto"/>
          <w:sz w:val="24"/>
        </w:rPr>
        <w:t>3</w:t>
      </w:r>
      <w:r>
        <w:rPr>
          <w:rFonts w:hint="eastAsia" w:ascii="宋体" w:hAnsi="宋体" w:cs="宋体"/>
          <w:color w:val="auto"/>
          <w:sz w:val="24"/>
        </w:rPr>
        <w:t>　其他约定：</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hint="eastAsia" w:ascii="宋体" w:hAnsi="宋体" w:cs="宋体"/>
          <w:color w:val="auto"/>
          <w:sz w:val="24"/>
          <w:u w:val="single"/>
        </w:rPr>
        <w:t>无</w:t>
      </w:r>
      <w:r>
        <w:rPr>
          <w:rFonts w:ascii="宋体" w:hAnsi="宋体" w:cs="宋体"/>
          <w:color w:val="auto"/>
          <w:sz w:val="24"/>
          <w:u w:val="single"/>
        </w:rPr>
        <w:t xml:space="preserve">   </w:t>
      </w:r>
      <w:r>
        <w:rPr>
          <w:rFonts w:hint="eastAsia" w:ascii="宋体" w:hAnsi="宋体" w:cs="宋体"/>
          <w:color w:val="auto"/>
          <w:sz w:val="24"/>
        </w:rPr>
        <w:t>。</w:t>
      </w:r>
    </w:p>
    <w:p>
      <w:pPr>
        <w:snapToGrid w:val="0"/>
        <w:spacing w:line="360" w:lineRule="auto"/>
        <w:ind w:firstLine="482"/>
        <w:rPr>
          <w:rFonts w:ascii="宋体" w:hAnsi="宋体" w:cs="宋体"/>
          <w:sz w:val="24"/>
        </w:rPr>
      </w:pPr>
      <w:r>
        <w:rPr>
          <w:rFonts w:hint="eastAsia" w:ascii="宋体" w:hAnsi="宋体" w:cs="宋体"/>
          <w:sz w:val="24"/>
        </w:rPr>
        <w:t>6　售后服务及要求</w:t>
      </w:r>
    </w:p>
    <w:p>
      <w:pPr>
        <w:snapToGrid w:val="0"/>
        <w:spacing w:line="360" w:lineRule="auto"/>
        <w:ind w:firstLine="482"/>
        <w:rPr>
          <w:rFonts w:ascii="宋体" w:hAnsi="宋体" w:cs="宋体"/>
          <w:sz w:val="24"/>
        </w:rPr>
      </w:pPr>
      <w:r>
        <w:rPr>
          <w:rFonts w:hint="eastAsia" w:ascii="宋体" w:hAnsi="宋体" w:cs="宋体"/>
          <w:sz w:val="24"/>
        </w:rPr>
        <w:t>6.1　根据招标文件第四部分及投标时的承诺，乙方将为甲方提供下列售后服务：</w:t>
      </w:r>
    </w:p>
    <w:p>
      <w:pPr>
        <w:snapToGrid w:val="0"/>
        <w:spacing w:line="360" w:lineRule="auto"/>
        <w:ind w:firstLine="482"/>
        <w:rPr>
          <w:rFonts w:ascii="宋体" w:hAnsi="宋体" w:cs="宋体"/>
          <w:sz w:val="24"/>
        </w:rPr>
      </w:pPr>
      <w:r>
        <w:rPr>
          <w:rFonts w:hint="eastAsia" w:ascii="宋体" w:hAnsi="宋体" w:cs="宋体"/>
          <w:sz w:val="24"/>
        </w:rPr>
        <w:t>6.1.1　系统开发和调试服务：</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p>
    <w:p>
      <w:pPr>
        <w:snapToGrid w:val="0"/>
        <w:spacing w:line="360" w:lineRule="auto"/>
        <w:ind w:firstLine="482"/>
        <w:rPr>
          <w:rFonts w:ascii="宋体" w:hAnsi="宋体" w:cs="宋体"/>
          <w:sz w:val="24"/>
        </w:rPr>
      </w:pPr>
      <w:r>
        <w:rPr>
          <w:rFonts w:hint="eastAsia" w:ascii="宋体" w:hAnsi="宋体" w:cs="宋体"/>
          <w:sz w:val="24"/>
        </w:rPr>
        <w:t>6.1.2　售后运维服务：</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p>
    <w:p>
      <w:pPr>
        <w:snapToGrid w:val="0"/>
        <w:spacing w:line="360" w:lineRule="auto"/>
        <w:ind w:firstLine="482"/>
        <w:rPr>
          <w:rFonts w:ascii="宋体" w:hAnsi="宋体" w:cs="宋体"/>
          <w:sz w:val="24"/>
        </w:rPr>
      </w:pPr>
      <w:r>
        <w:rPr>
          <w:rFonts w:hint="eastAsia" w:ascii="宋体" w:hAnsi="宋体" w:cs="宋体"/>
          <w:sz w:val="24"/>
        </w:rPr>
        <w:t>6.1.3　技术服务：</w:t>
      </w:r>
    </w:p>
    <w:p>
      <w:pPr>
        <w:snapToGrid w:val="0"/>
        <w:spacing w:line="360" w:lineRule="auto"/>
        <w:ind w:firstLine="482"/>
        <w:rPr>
          <w:rFonts w:ascii="宋体" w:hAnsi="宋体" w:cs="宋体"/>
          <w:sz w:val="24"/>
        </w:rPr>
      </w:pPr>
      <w:r>
        <w:rPr>
          <w:rFonts w:hint="eastAsia" w:ascii="宋体" w:hAnsi="宋体" w:cs="宋体"/>
          <w:sz w:val="24"/>
        </w:rPr>
        <w:t>6.1.3.1　乙方应随产品（软硬件）向甲方提交产品使用说明书、产品合格证、保修卡及相关的配件和技术资料。</w:t>
      </w:r>
    </w:p>
    <w:p>
      <w:pPr>
        <w:snapToGrid w:val="0"/>
        <w:spacing w:line="360" w:lineRule="auto"/>
        <w:ind w:firstLine="482"/>
        <w:rPr>
          <w:rFonts w:ascii="宋体" w:hAnsi="宋体" w:cs="宋体"/>
          <w:sz w:val="24"/>
        </w:rPr>
      </w:pPr>
      <w:r>
        <w:rPr>
          <w:rFonts w:hint="eastAsia" w:ascii="宋体" w:hAnsi="宋体" w:cs="宋体"/>
          <w:sz w:val="24"/>
        </w:rPr>
        <w:t>6.1.3.2　其他：</w:t>
      </w:r>
      <w:r>
        <w:rPr>
          <w:rFonts w:hint="eastAsia" w:ascii="宋体" w:hAnsi="宋体" w:cs="宋体"/>
          <w:sz w:val="24"/>
          <w:u w:val="single"/>
        </w:rPr>
        <w:t>　　　　　　　 　　　　</w:t>
      </w:r>
      <w:r>
        <w:rPr>
          <w:rFonts w:hint="eastAsia" w:ascii="宋体" w:hAnsi="宋体" w:cs="宋体"/>
          <w:sz w:val="24"/>
        </w:rPr>
        <w:t>。（如有）</w:t>
      </w:r>
    </w:p>
    <w:p>
      <w:pPr>
        <w:snapToGrid w:val="0"/>
        <w:spacing w:line="360" w:lineRule="auto"/>
        <w:ind w:firstLine="482"/>
        <w:rPr>
          <w:rFonts w:ascii="宋体" w:hAnsi="宋体" w:cs="宋体"/>
          <w:sz w:val="24"/>
        </w:rPr>
      </w:pPr>
      <w:r>
        <w:rPr>
          <w:rFonts w:hint="eastAsia" w:ascii="宋体" w:hAnsi="宋体" w:cs="宋体"/>
          <w:sz w:val="24"/>
        </w:rPr>
        <w:t>6.1.4　培训服务</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p>
    <w:p>
      <w:pPr>
        <w:snapToGrid w:val="0"/>
        <w:spacing w:line="360" w:lineRule="auto"/>
        <w:ind w:firstLine="482"/>
        <w:rPr>
          <w:rFonts w:ascii="宋体" w:hAnsi="宋体" w:cs="宋体"/>
          <w:sz w:val="24"/>
        </w:rPr>
      </w:pPr>
      <w:r>
        <w:rPr>
          <w:rFonts w:hint="eastAsia" w:ascii="宋体" w:hAnsi="宋体" w:cs="宋体"/>
          <w:sz w:val="24"/>
        </w:rPr>
        <w:t>6.2　安装、调试或培训的所需的费用由乙方承担，但双方在招标文件或乙方的投标文件中另有约定的，按其约定执行。</w:t>
      </w:r>
    </w:p>
    <w:p>
      <w:pPr>
        <w:snapToGrid w:val="0"/>
        <w:spacing w:line="360" w:lineRule="auto"/>
        <w:ind w:firstLine="482"/>
        <w:rPr>
          <w:rFonts w:ascii="宋体" w:hAnsi="宋体" w:cs="宋体"/>
          <w:sz w:val="24"/>
        </w:rPr>
      </w:pPr>
      <w:r>
        <w:rPr>
          <w:rFonts w:hint="eastAsia" w:ascii="宋体" w:hAnsi="宋体" w:cs="宋体"/>
          <w:sz w:val="24"/>
        </w:rPr>
        <w:t>6.3　乙方应对其所提供的服务（软硬件）及其内在的安装质量负全部责任。</w:t>
      </w:r>
    </w:p>
    <w:p>
      <w:pPr>
        <w:snapToGrid w:val="0"/>
        <w:spacing w:line="360" w:lineRule="auto"/>
        <w:ind w:firstLine="482"/>
        <w:rPr>
          <w:rFonts w:ascii="宋体" w:hAnsi="宋体" w:cs="宋体"/>
          <w:sz w:val="24"/>
        </w:rPr>
      </w:pPr>
      <w:r>
        <w:rPr>
          <w:rFonts w:hint="eastAsia" w:ascii="宋体" w:hAnsi="宋体" w:cs="宋体"/>
          <w:sz w:val="24"/>
        </w:rPr>
        <w:t>7　验收方法</w:t>
      </w:r>
    </w:p>
    <w:p>
      <w:pPr>
        <w:snapToGrid w:val="0"/>
        <w:spacing w:line="360" w:lineRule="auto"/>
        <w:ind w:firstLine="482"/>
        <w:rPr>
          <w:rFonts w:ascii="宋体" w:hAnsi="宋体" w:cs="宋体"/>
          <w:sz w:val="24"/>
        </w:rPr>
      </w:pPr>
      <w:r>
        <w:rPr>
          <w:rFonts w:hint="eastAsia" w:ascii="宋体" w:hAnsi="宋体" w:cs="宋体"/>
          <w:sz w:val="24"/>
        </w:rPr>
        <w:t>验收标准按招标文件及乙方提供的服务（软硬件）验收标准、安全技术规范执行。</w:t>
      </w:r>
    </w:p>
    <w:p>
      <w:pPr>
        <w:snapToGrid w:val="0"/>
        <w:spacing w:line="360" w:lineRule="auto"/>
        <w:ind w:firstLine="482"/>
        <w:rPr>
          <w:rFonts w:ascii="宋体" w:hAnsi="宋体" w:cs="宋体"/>
          <w:color w:val="auto"/>
          <w:sz w:val="24"/>
        </w:rPr>
      </w:pPr>
      <w:r>
        <w:rPr>
          <w:rFonts w:hint="eastAsia" w:ascii="宋体" w:hAnsi="宋体" w:cs="宋体"/>
          <w:color w:val="auto"/>
          <w:sz w:val="24"/>
        </w:rPr>
        <w:t>8　付款方式</w:t>
      </w:r>
    </w:p>
    <w:p>
      <w:pPr>
        <w:wordWrap w:val="0"/>
        <w:spacing w:line="360" w:lineRule="auto"/>
        <w:ind w:firstLine="480" w:firstLineChars="200"/>
        <w:rPr>
          <w:rFonts w:ascii="宋体" w:hAnsi="宋体" w:cs="宋体"/>
          <w:color w:val="auto"/>
          <w:sz w:val="24"/>
        </w:rPr>
      </w:pPr>
      <w:r>
        <w:rPr>
          <w:rFonts w:hint="eastAsia" w:ascii="宋体" w:hAnsi="宋体" w:cs="宋体"/>
          <w:color w:val="auto"/>
          <w:sz w:val="24"/>
        </w:rPr>
        <w:t>8.1　本项目采取的付款方式为</w:t>
      </w:r>
      <w:r>
        <w:rPr>
          <w:rFonts w:hint="eastAsia" w:ascii="宋体" w:hAnsi="宋体" w:cs="宋体"/>
          <w:color w:val="auto"/>
          <w:sz w:val="24"/>
          <w:lang w:eastAsia="zh-CN"/>
        </w:rPr>
        <w:t>（</w:t>
      </w:r>
      <w:r>
        <w:rPr>
          <w:rFonts w:hint="eastAsia" w:ascii="宋体" w:hAnsi="宋体" w:cs="宋体"/>
          <w:color w:val="auto"/>
          <w:sz w:val="24"/>
          <w:lang w:val="en-US" w:eastAsia="zh-CN"/>
        </w:rPr>
        <w:t>按实结算</w:t>
      </w:r>
      <w:r>
        <w:rPr>
          <w:rFonts w:hint="eastAsia" w:ascii="宋体" w:hAnsi="宋体" w:cs="宋体"/>
          <w:color w:val="auto"/>
          <w:sz w:val="24"/>
          <w:lang w:eastAsia="zh-CN"/>
        </w:rPr>
        <w:t>）</w:t>
      </w:r>
      <w:r>
        <w:rPr>
          <w:rFonts w:hint="eastAsia" w:ascii="宋体" w:hAnsi="宋体" w:cs="宋体"/>
          <w:color w:val="auto"/>
          <w:sz w:val="24"/>
        </w:rPr>
        <w:t>：</w:t>
      </w:r>
    </w:p>
    <w:p>
      <w:pPr>
        <w:wordWrap w:val="0"/>
        <w:spacing w:line="360" w:lineRule="auto"/>
        <w:ind w:firstLine="480" w:firstLineChars="200"/>
        <w:rPr>
          <w:rFonts w:ascii="宋体" w:hAnsi="宋体" w:cs="宋体"/>
          <w:snapToGrid w:val="0"/>
          <w:color w:val="auto"/>
          <w:sz w:val="24"/>
        </w:rPr>
      </w:pPr>
      <w:r>
        <w:rPr>
          <w:rFonts w:hint="eastAsia" w:ascii="宋体" w:hAnsi="宋体" w:cs="宋体"/>
          <w:snapToGrid w:val="0"/>
          <w:color w:val="auto"/>
          <w:sz w:val="24"/>
        </w:rPr>
        <w:t>第一期：合同签订且具备实施条件后7个工作日内支付合同款的40%；</w:t>
      </w:r>
    </w:p>
    <w:p>
      <w:pPr>
        <w:wordWrap w:val="0"/>
        <w:spacing w:line="360" w:lineRule="auto"/>
        <w:ind w:firstLine="480" w:firstLineChars="200"/>
        <w:rPr>
          <w:rFonts w:ascii="宋体" w:hAnsi="宋体" w:cs="宋体"/>
          <w:snapToGrid w:val="0"/>
          <w:color w:val="auto"/>
          <w:sz w:val="24"/>
        </w:rPr>
      </w:pPr>
      <w:r>
        <w:rPr>
          <w:rFonts w:hint="eastAsia" w:ascii="宋体" w:hAnsi="宋体" w:cs="宋体"/>
          <w:snapToGrid w:val="0"/>
          <w:color w:val="auto"/>
          <w:sz w:val="24"/>
        </w:rPr>
        <w:t>第二期：项目初验完成后支付合同款的30%；</w:t>
      </w:r>
    </w:p>
    <w:p>
      <w:pPr>
        <w:wordWrap w:val="0"/>
        <w:spacing w:line="360" w:lineRule="auto"/>
        <w:ind w:firstLine="480" w:firstLineChars="200"/>
        <w:rPr>
          <w:rFonts w:ascii="宋体" w:hAnsi="宋体" w:cs="宋体"/>
          <w:snapToGrid w:val="0"/>
          <w:color w:val="auto"/>
          <w:sz w:val="24"/>
        </w:rPr>
      </w:pPr>
      <w:r>
        <w:rPr>
          <w:rFonts w:hint="eastAsia" w:ascii="宋体" w:hAnsi="宋体" w:cs="宋体"/>
          <w:snapToGrid w:val="0"/>
          <w:color w:val="auto"/>
          <w:sz w:val="24"/>
        </w:rPr>
        <w:t>第三期：试运行三个月结束并通过甲方最终验收合格后支付</w:t>
      </w:r>
      <w:r>
        <w:rPr>
          <w:rFonts w:hint="eastAsia" w:ascii="宋体" w:hAnsi="宋体"/>
          <w:color w:val="auto"/>
          <w:kern w:val="0"/>
          <w:sz w:val="24"/>
          <w:szCs w:val="27"/>
          <w:lang w:val="en-US" w:eastAsia="zh-CN"/>
        </w:rPr>
        <w:t>审计结算价</w:t>
      </w:r>
      <w:r>
        <w:rPr>
          <w:rFonts w:hint="eastAsia" w:ascii="宋体" w:hAnsi="宋体" w:cs="宋体"/>
          <w:snapToGrid w:val="0"/>
          <w:color w:val="auto"/>
          <w:sz w:val="24"/>
        </w:rPr>
        <w:t>的25%；</w:t>
      </w:r>
    </w:p>
    <w:p>
      <w:pPr>
        <w:wordWrap w:val="0"/>
        <w:spacing w:line="360" w:lineRule="auto"/>
        <w:ind w:firstLine="480" w:firstLineChars="200"/>
        <w:rPr>
          <w:rFonts w:ascii="宋体" w:hAnsi="宋体" w:cs="宋体"/>
          <w:snapToGrid w:val="0"/>
          <w:color w:val="auto"/>
          <w:sz w:val="24"/>
        </w:rPr>
      </w:pPr>
      <w:r>
        <w:rPr>
          <w:rFonts w:hint="eastAsia" w:ascii="宋体" w:hAnsi="宋体" w:cs="宋体"/>
          <w:snapToGrid w:val="0"/>
          <w:color w:val="auto"/>
          <w:sz w:val="24"/>
        </w:rPr>
        <w:t>第四期：</w:t>
      </w:r>
      <w:r>
        <w:rPr>
          <w:rFonts w:hint="eastAsia" w:ascii="宋体" w:hAnsi="宋体"/>
          <w:color w:val="auto"/>
          <w:kern w:val="0"/>
          <w:sz w:val="24"/>
          <w:szCs w:val="27"/>
          <w:lang w:val="en-US" w:eastAsia="zh-CN"/>
        </w:rPr>
        <w:t>审计结算价</w:t>
      </w:r>
      <w:r>
        <w:rPr>
          <w:rFonts w:hint="eastAsia" w:ascii="宋体" w:hAnsi="宋体" w:cs="宋体"/>
          <w:snapToGrid w:val="0"/>
          <w:color w:val="auto"/>
          <w:sz w:val="24"/>
        </w:rPr>
        <w:t>余款在项目最终验收合格三年后付清。</w:t>
      </w:r>
    </w:p>
    <w:p>
      <w:pPr>
        <w:wordWrap w:val="0"/>
        <w:spacing w:line="360" w:lineRule="auto"/>
        <w:ind w:firstLine="480" w:firstLineChars="200"/>
        <w:rPr>
          <w:rFonts w:ascii="宋体" w:hAnsi="宋体" w:cs="宋体"/>
          <w:snapToGrid w:val="0"/>
          <w:sz w:val="24"/>
        </w:rPr>
      </w:pPr>
      <w:r>
        <w:rPr>
          <w:rFonts w:hint="eastAsia" w:ascii="宋体" w:hAnsi="宋体" w:cs="宋体"/>
          <w:snapToGrid w:val="0"/>
          <w:sz w:val="24"/>
        </w:rPr>
        <w:t>8.2  付款要求：</w:t>
      </w:r>
    </w:p>
    <w:p>
      <w:pPr>
        <w:wordWrap w:val="0"/>
        <w:spacing w:line="360" w:lineRule="auto"/>
        <w:ind w:firstLine="480" w:firstLineChars="200"/>
        <w:rPr>
          <w:rFonts w:ascii="宋体" w:hAnsi="宋体" w:cs="宋体"/>
          <w:snapToGrid w:val="0"/>
          <w:sz w:val="24"/>
        </w:rPr>
      </w:pPr>
      <w:r>
        <w:rPr>
          <w:rFonts w:hint="eastAsia" w:ascii="宋体" w:hAnsi="宋体" w:cs="宋体"/>
          <w:snapToGrid w:val="0"/>
          <w:sz w:val="24"/>
        </w:rPr>
        <w:t>乙方在收款之前，应向甲方提供等额、合法、有效的增值税发票，甲方凭发票付款。如乙方未按约定提供增值税发票的，甲方有权拒绝付款，直至收到乙方提交的相应增值税发票为止，在此情况下，甲方不承担逾期付款违约责任。</w:t>
      </w:r>
    </w:p>
    <w:p>
      <w:pPr>
        <w:wordWrap w:val="0"/>
        <w:spacing w:line="360" w:lineRule="auto"/>
        <w:ind w:firstLine="480" w:firstLineChars="200"/>
        <w:rPr>
          <w:rFonts w:ascii="宋体" w:hAnsi="宋体" w:cs="宋体"/>
          <w:snapToGrid w:val="0"/>
          <w:sz w:val="24"/>
        </w:rPr>
      </w:pPr>
      <w:r>
        <w:rPr>
          <w:rFonts w:hint="eastAsia" w:ascii="宋体" w:hAnsi="宋体" w:cs="宋体"/>
          <w:snapToGrid w:val="0"/>
          <w:sz w:val="24"/>
        </w:rPr>
        <w:t xml:space="preserve">8.3  履约保证金：乙方在收到中标通知书后，需向甲方提供合同总价的  </w:t>
      </w:r>
      <w:r>
        <w:rPr>
          <w:rFonts w:hint="eastAsia" w:ascii="宋体" w:hAnsi="宋体" w:cs="宋体"/>
          <w:snapToGrid w:val="0"/>
          <w:sz w:val="24"/>
          <w:u w:val="single"/>
        </w:rPr>
        <w:t>1 %</w:t>
      </w:r>
      <w:r>
        <w:rPr>
          <w:rFonts w:hint="eastAsia" w:ascii="宋体" w:hAnsi="宋体" w:cs="宋体"/>
          <w:snapToGrid w:val="0"/>
          <w:sz w:val="24"/>
        </w:rPr>
        <w:t>的履约保证金，在乙方与甲方签订合同前递交。（乙方应当以支票、汇票、本票或者金融机构、保险公司、担保机构出具的保函等非现金形式提交）</w:t>
      </w:r>
    </w:p>
    <w:p>
      <w:pPr>
        <w:wordWrap w:val="0"/>
        <w:spacing w:line="360" w:lineRule="auto"/>
        <w:ind w:firstLine="480" w:firstLineChars="200"/>
        <w:rPr>
          <w:rFonts w:ascii="宋体" w:hAnsi="宋体" w:cs="宋体"/>
          <w:snapToGrid w:val="0"/>
          <w:sz w:val="24"/>
        </w:rPr>
      </w:pPr>
      <w:r>
        <w:rPr>
          <w:rFonts w:hint="eastAsia" w:ascii="宋体" w:hAnsi="宋体" w:cs="宋体"/>
          <w:snapToGrid w:val="0"/>
          <w:sz w:val="24"/>
        </w:rPr>
        <w:t>甲方在合同期满后或提前终止合同后一个月内向乙方无息退还全额履约保证金。</w:t>
      </w:r>
    </w:p>
    <w:p>
      <w:pPr>
        <w:snapToGrid w:val="0"/>
        <w:spacing w:line="360" w:lineRule="auto"/>
        <w:ind w:firstLine="482"/>
        <w:rPr>
          <w:rFonts w:ascii="宋体" w:hAnsi="宋体" w:cs="宋体"/>
          <w:sz w:val="24"/>
        </w:rPr>
      </w:pPr>
      <w:r>
        <w:rPr>
          <w:rFonts w:ascii="宋体" w:hAnsi="宋体" w:cs="宋体"/>
          <w:sz w:val="24"/>
        </w:rPr>
        <w:t>9</w:t>
      </w:r>
      <w:r>
        <w:rPr>
          <w:rFonts w:hint="eastAsia" w:ascii="宋体" w:hAnsi="宋体" w:cs="宋体"/>
          <w:sz w:val="24"/>
        </w:rPr>
        <w:t>　违约责任</w:t>
      </w:r>
    </w:p>
    <w:p>
      <w:pPr>
        <w:snapToGrid w:val="0"/>
        <w:spacing w:line="360" w:lineRule="auto"/>
        <w:ind w:firstLine="482"/>
        <w:rPr>
          <w:rFonts w:ascii="宋体" w:hAnsi="宋体" w:cs="宋体"/>
          <w:sz w:val="24"/>
        </w:rPr>
      </w:pPr>
      <w:r>
        <w:rPr>
          <w:rFonts w:ascii="宋体" w:hAnsi="宋体" w:cs="宋体"/>
          <w:sz w:val="24"/>
        </w:rPr>
        <w:t>9</w:t>
      </w:r>
      <w:r>
        <w:rPr>
          <w:rFonts w:hint="eastAsia" w:ascii="宋体" w:hAnsi="宋体" w:cs="宋体"/>
          <w:sz w:val="24"/>
        </w:rPr>
        <w:t>.1　甲方无正当理由拒绝服务的，乙方有要求甲方赔偿的权利。</w:t>
      </w:r>
    </w:p>
    <w:p>
      <w:pPr>
        <w:snapToGrid w:val="0"/>
        <w:spacing w:line="360" w:lineRule="auto"/>
        <w:ind w:firstLine="482"/>
        <w:rPr>
          <w:rFonts w:ascii="宋体" w:hAnsi="宋体" w:cs="宋体"/>
          <w:sz w:val="24"/>
        </w:rPr>
      </w:pPr>
      <w:r>
        <w:rPr>
          <w:rFonts w:ascii="宋体" w:hAnsi="宋体" w:cs="宋体"/>
          <w:sz w:val="24"/>
        </w:rPr>
        <w:t>9</w:t>
      </w:r>
      <w:r>
        <w:rPr>
          <w:rFonts w:hint="eastAsia" w:ascii="宋体" w:hAnsi="宋体" w:cs="宋体"/>
          <w:sz w:val="24"/>
        </w:rPr>
        <w:t>.2　甲方无正当理由拒绝支付合同款或者延期支付的，由甲方按应支付每天万分之</w:t>
      </w:r>
      <w:r>
        <w:rPr>
          <w:rFonts w:hint="eastAsia" w:ascii="宋体" w:hAnsi="宋体" w:cs="宋体"/>
          <w:sz w:val="24"/>
          <w:u w:val="single"/>
        </w:rPr>
        <w:t>　　</w:t>
      </w:r>
      <w:r>
        <w:rPr>
          <w:rFonts w:hint="eastAsia" w:ascii="宋体" w:hAnsi="宋体" w:cs="宋体"/>
          <w:sz w:val="24"/>
        </w:rPr>
        <w:t>的延期违约金。</w:t>
      </w:r>
    </w:p>
    <w:p>
      <w:pPr>
        <w:snapToGrid w:val="0"/>
        <w:spacing w:line="360" w:lineRule="auto"/>
        <w:ind w:firstLine="482"/>
        <w:rPr>
          <w:rFonts w:ascii="宋体" w:hAnsi="宋体" w:cs="宋体"/>
          <w:sz w:val="24"/>
        </w:rPr>
      </w:pPr>
      <w:r>
        <w:rPr>
          <w:rFonts w:ascii="宋体" w:hAnsi="宋体" w:cs="宋体"/>
          <w:sz w:val="24"/>
        </w:rPr>
        <w:t>9</w:t>
      </w:r>
      <w:r>
        <w:rPr>
          <w:rFonts w:hint="eastAsia" w:ascii="宋体" w:hAnsi="宋体" w:cs="宋体"/>
          <w:sz w:val="24"/>
        </w:rPr>
        <w:t>.3　乙方所交付服务（软硬件）品种、型号、规格、数量、质量、功能不符合合同规定标准的，甲方有权拒绝接收，不予退还履约保证金，并有要求乙方赔偿的权利。</w:t>
      </w:r>
    </w:p>
    <w:p>
      <w:pPr>
        <w:snapToGrid w:val="0"/>
        <w:spacing w:line="360" w:lineRule="auto"/>
        <w:ind w:firstLine="482"/>
        <w:rPr>
          <w:rFonts w:ascii="宋体" w:hAnsi="宋体" w:cs="宋体"/>
          <w:sz w:val="24"/>
        </w:rPr>
      </w:pPr>
      <w:r>
        <w:rPr>
          <w:rFonts w:ascii="宋体" w:hAnsi="宋体" w:cs="宋体"/>
          <w:sz w:val="24"/>
        </w:rPr>
        <w:t>9</w:t>
      </w:r>
      <w:r>
        <w:rPr>
          <w:rFonts w:hint="eastAsia" w:ascii="宋体" w:hAnsi="宋体" w:cs="宋体"/>
          <w:sz w:val="24"/>
        </w:rPr>
        <w:t>.4　乙方未能及时交货或其它非甲方原因引起验收交货延迟的，由乙方支付迟交服务（软硬件）合同价每天万分之</w:t>
      </w:r>
      <w:r>
        <w:rPr>
          <w:rFonts w:hint="eastAsia" w:ascii="宋体" w:hAnsi="宋体" w:cs="宋体"/>
          <w:sz w:val="24"/>
          <w:u w:val="single"/>
        </w:rPr>
        <w:t>　　</w:t>
      </w:r>
      <w:r>
        <w:rPr>
          <w:rFonts w:hint="eastAsia" w:ascii="宋体" w:hAnsi="宋体" w:cs="宋体"/>
          <w:sz w:val="24"/>
        </w:rPr>
        <w:t>的误期赔偿费。</w:t>
      </w:r>
    </w:p>
    <w:p>
      <w:pPr>
        <w:snapToGrid w:val="0"/>
        <w:spacing w:line="360" w:lineRule="auto"/>
        <w:ind w:firstLine="482"/>
        <w:rPr>
          <w:rFonts w:ascii="宋体" w:hAnsi="宋体" w:cs="宋体"/>
          <w:sz w:val="24"/>
        </w:rPr>
      </w:pPr>
      <w:r>
        <w:rPr>
          <w:rFonts w:ascii="宋体" w:hAnsi="宋体" w:cs="宋体"/>
          <w:sz w:val="24"/>
        </w:rPr>
        <w:t>9</w:t>
      </w:r>
      <w:r>
        <w:rPr>
          <w:rFonts w:hint="eastAsia" w:ascii="宋体" w:hAnsi="宋体" w:cs="宋体"/>
          <w:sz w:val="24"/>
        </w:rPr>
        <w:t>.5　其他：</w:t>
      </w:r>
      <w:r>
        <w:rPr>
          <w:rFonts w:hint="eastAsia" w:ascii="宋体" w:hAnsi="宋体" w:cs="宋体"/>
          <w:sz w:val="24"/>
          <w:u w:val="single"/>
        </w:rPr>
        <w:t>　　　  　　　（如有）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　本合同依法签订，即具有法律效力。双方必须全面履行，不得单方擅自变更或解除。因故需要变更或解除合同，应双方协商，依法另立协议。</w:t>
      </w:r>
    </w:p>
    <w:p>
      <w:pPr>
        <w:spacing w:line="360" w:lineRule="auto"/>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 xml:space="preserve">1  </w:t>
      </w:r>
      <w:r>
        <w:rPr>
          <w:rFonts w:hint="eastAsia" w:ascii="宋体" w:hAnsi="宋体" w:cs="宋体"/>
          <w:sz w:val="24"/>
        </w:rPr>
        <w:t>争议解决</w:t>
      </w:r>
    </w:p>
    <w:p>
      <w:pPr>
        <w:spacing w:line="360" w:lineRule="auto"/>
        <w:ind w:firstLine="480" w:firstLineChars="200"/>
        <w:jc w:val="left"/>
        <w:rPr>
          <w:rFonts w:ascii="宋体" w:hAnsi="宋体" w:cs="宋体"/>
          <w:sz w:val="24"/>
        </w:rPr>
      </w:pPr>
      <w:r>
        <w:rPr>
          <w:rFonts w:hint="eastAsia" w:ascii="宋体" w:hAnsi="宋体" w:cs="宋体"/>
          <w:sz w:val="24"/>
        </w:rPr>
        <w:t>因本采购合同及采购有关事项发生的争议，有双方当事人协商解决，协商不成的，依法向绍兴市上虞区人民法院起诉。</w:t>
      </w:r>
    </w:p>
    <w:p>
      <w:pPr>
        <w:spacing w:line="420" w:lineRule="exact"/>
        <w:ind w:firstLine="480" w:firstLineChars="200"/>
        <w:jc w:val="left"/>
        <w:rPr>
          <w:rFonts w:ascii="宋体" w:hAnsi="宋体" w:cs="宋体"/>
          <w:sz w:val="24"/>
        </w:rPr>
      </w:pPr>
      <w:r>
        <w:rPr>
          <w:rFonts w:hint="eastAsia" w:ascii="宋体" w:hAnsi="宋体" w:cs="宋体"/>
          <w:sz w:val="24"/>
        </w:rPr>
        <w:t>12 本项目货物如涉及柴油动力移动源，柴油动力移动源应当符合低排放要求。</w:t>
      </w:r>
    </w:p>
    <w:p>
      <w:pPr>
        <w:spacing w:line="420" w:lineRule="exact"/>
        <w:ind w:firstLine="482" w:firstLineChars="200"/>
        <w:jc w:val="left"/>
        <w:rPr>
          <w:rFonts w:ascii="宋体" w:hAnsi="宋体" w:cs="宋体"/>
          <w:b/>
          <w:bCs/>
          <w:sz w:val="24"/>
        </w:rPr>
      </w:pPr>
      <w:r>
        <w:rPr>
          <w:rFonts w:hint="eastAsia" w:ascii="宋体" w:hAnsi="宋体" w:cs="宋体"/>
          <w:b/>
          <w:bCs/>
          <w:sz w:val="24"/>
        </w:rPr>
        <w:t>13 本合同一式</w:t>
      </w:r>
      <w:r>
        <w:rPr>
          <w:rFonts w:hint="eastAsia" w:ascii="宋体" w:hAnsi="宋体" w:cs="宋体"/>
          <w:b/>
          <w:bCs/>
          <w:sz w:val="24"/>
          <w:u w:val="single"/>
        </w:rPr>
        <w:t xml:space="preserve">　　　 </w:t>
      </w:r>
      <w:r>
        <w:rPr>
          <w:rFonts w:hint="eastAsia" w:ascii="宋体" w:hAnsi="宋体" w:cs="宋体"/>
          <w:b/>
          <w:bCs/>
          <w:sz w:val="24"/>
        </w:rPr>
        <w:t>份，其中正本两份，采购人和中标人各执一份，并由采购人在30日内做好政采云平台网上合同创建及备案。</w:t>
      </w:r>
    </w:p>
    <w:tbl>
      <w:tblPr>
        <w:tblStyle w:val="23"/>
        <w:tblW w:w="819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2368"/>
        <w:gridCol w:w="1640"/>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sz w:val="24"/>
              </w:rPr>
              <w:t>甲方单位</w:t>
            </w:r>
          </w:p>
        </w:tc>
        <w:tc>
          <w:tcPr>
            <w:tcW w:w="2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sz w:val="24"/>
              </w:rPr>
              <w:t>（盖章）</w:t>
            </w: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sz w:val="24"/>
              </w:rPr>
              <w:t>乙方单位</w:t>
            </w:r>
          </w:p>
        </w:tc>
        <w:tc>
          <w:tcPr>
            <w:tcW w:w="2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sz w:val="24"/>
              </w:rPr>
              <w:t>代表签名</w:t>
            </w:r>
          </w:p>
        </w:tc>
        <w:tc>
          <w:tcPr>
            <w:tcW w:w="2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sz w:val="24"/>
              </w:rPr>
              <w:t>代表签名</w:t>
            </w:r>
          </w:p>
        </w:tc>
        <w:tc>
          <w:tcPr>
            <w:tcW w:w="2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2" w:hRule="atLeast"/>
        </w:trPr>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sz w:val="24"/>
              </w:rPr>
              <w:t>地址</w:t>
            </w:r>
          </w:p>
        </w:tc>
        <w:tc>
          <w:tcPr>
            <w:tcW w:w="2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sz w:val="24"/>
              </w:rPr>
              <w:t>地址</w:t>
            </w:r>
          </w:p>
        </w:tc>
        <w:tc>
          <w:tcPr>
            <w:tcW w:w="2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2" w:hRule="atLeast"/>
        </w:trPr>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sz w:val="24"/>
              </w:rPr>
              <w:t>电话</w:t>
            </w:r>
          </w:p>
        </w:tc>
        <w:tc>
          <w:tcPr>
            <w:tcW w:w="2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sz w:val="24"/>
              </w:rPr>
              <w:t>电话</w:t>
            </w:r>
          </w:p>
        </w:tc>
        <w:tc>
          <w:tcPr>
            <w:tcW w:w="2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2" w:hRule="atLeast"/>
        </w:trPr>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sz w:val="24"/>
              </w:rPr>
              <w:t>开户银行</w:t>
            </w:r>
          </w:p>
        </w:tc>
        <w:tc>
          <w:tcPr>
            <w:tcW w:w="2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sz w:val="24"/>
              </w:rPr>
              <w:t>开户银行</w:t>
            </w:r>
          </w:p>
        </w:tc>
        <w:tc>
          <w:tcPr>
            <w:tcW w:w="2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sz w:val="24"/>
              </w:rPr>
              <w:t>帐号</w:t>
            </w:r>
          </w:p>
        </w:tc>
        <w:tc>
          <w:tcPr>
            <w:tcW w:w="23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r>
              <w:rPr>
                <w:rFonts w:hint="eastAsia" w:ascii="宋体"/>
                <w:sz w:val="24"/>
              </w:rPr>
              <w:t>帐号</w:t>
            </w:r>
          </w:p>
        </w:tc>
        <w:tc>
          <w:tcPr>
            <w:tcW w:w="2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rPr>
            </w:pPr>
          </w:p>
        </w:tc>
      </w:tr>
    </w:tbl>
    <w:p>
      <w:pPr>
        <w:spacing w:line="420" w:lineRule="exact"/>
        <w:jc w:val="center"/>
        <w:rPr>
          <w:rFonts w:ascii="宋体" w:hAnsi="宋体" w:cs="宋体"/>
          <w:b/>
          <w:sz w:val="36"/>
          <w:szCs w:val="36"/>
        </w:rPr>
      </w:pPr>
      <w:r>
        <w:rPr>
          <w:rFonts w:hint="eastAsia" w:ascii="宋体" w:hAnsi="宋体" w:cs="宋体"/>
          <w:b/>
          <w:sz w:val="36"/>
          <w:szCs w:val="36"/>
        </w:rPr>
        <w:br w:type="page"/>
      </w:r>
      <w:bookmarkStart w:id="445" w:name="_Toc12472"/>
      <w:r>
        <w:rPr>
          <w:rStyle w:val="38"/>
          <w:rFonts w:hint="eastAsia"/>
          <w:sz w:val="32"/>
          <w:szCs w:val="21"/>
        </w:rPr>
        <w:t>第六部分</w:t>
      </w:r>
      <w:bookmarkEnd w:id="433"/>
      <w:bookmarkEnd w:id="434"/>
      <w:r>
        <w:rPr>
          <w:rStyle w:val="38"/>
          <w:rFonts w:hint="eastAsia"/>
          <w:sz w:val="32"/>
          <w:szCs w:val="21"/>
        </w:rPr>
        <w:t xml:space="preserve"> 应提交的有关格式范例</w:t>
      </w:r>
      <w:bookmarkEnd w:id="445"/>
    </w:p>
    <w:p>
      <w:pPr>
        <w:spacing w:line="360" w:lineRule="auto"/>
        <w:ind w:firstLine="480" w:firstLineChars="200"/>
        <w:outlineLvl w:val="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投标人按照以下格式编制投标文件，并将资格文件、商务技术文件、报价文件分别上传，并与招标文件的评分要点准确设置关联点。</w:t>
      </w:r>
    </w:p>
    <w:p>
      <w:pPr>
        <w:spacing w:line="360" w:lineRule="auto"/>
        <w:ind w:firstLine="482" w:firstLineChars="200"/>
        <w:rPr>
          <w:rFonts w:ascii="宋体" w:hAnsi="宋体" w:cs="宋体"/>
          <w:b/>
          <w:sz w:val="24"/>
        </w:rPr>
      </w:pPr>
      <w:r>
        <w:rPr>
          <w:rFonts w:hint="eastAsia" w:ascii="宋体" w:hAnsi="宋体" w:cs="宋体"/>
          <w:b/>
          <w:sz w:val="24"/>
        </w:rPr>
        <w:t>此格式内容仅为参考模板，具体内容投标人应根据招标文件要求进行调整。未按以下格式编制投标文件或因格式不规范、页码不清等原因引发的一切后果由投标人自行承担。</w:t>
      </w:r>
    </w:p>
    <w:p>
      <w:pPr>
        <w:spacing w:line="360" w:lineRule="auto"/>
        <w:jc w:val="center"/>
        <w:rPr>
          <w:rFonts w:ascii="宋体" w:hAnsi="宋体" w:cs="宋体"/>
          <w:b/>
          <w:kern w:val="0"/>
          <w:sz w:val="36"/>
          <w:szCs w:val="36"/>
        </w:rPr>
      </w:pPr>
      <w:r>
        <w:rPr>
          <w:rFonts w:hint="eastAsia" w:ascii="宋体" w:hAnsi="宋体" w:cs="宋体"/>
          <w:b/>
          <w:sz w:val="24"/>
        </w:rPr>
        <w:br w:type="page"/>
      </w:r>
      <w:r>
        <w:rPr>
          <w:rFonts w:hint="eastAsia" w:ascii="宋体" w:hAnsi="宋体" w:cs="宋体"/>
          <w:b/>
          <w:kern w:val="0"/>
          <w:sz w:val="36"/>
          <w:szCs w:val="36"/>
        </w:rPr>
        <w:t>资格文件部分</w:t>
      </w:r>
    </w:p>
    <w:p>
      <w:pPr>
        <w:spacing w:line="360" w:lineRule="auto"/>
        <w:jc w:val="center"/>
        <w:rPr>
          <w:rFonts w:ascii="宋体" w:hAnsi="宋体" w:cs="宋体"/>
          <w:b/>
          <w:kern w:val="0"/>
          <w:sz w:val="36"/>
          <w:szCs w:val="36"/>
        </w:rPr>
      </w:pPr>
    </w:p>
    <w:p>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pPr>
        <w:spacing w:line="360" w:lineRule="auto"/>
        <w:ind w:firstLine="480" w:firstLineChars="200"/>
        <w:rPr>
          <w:rFonts w:ascii="宋体" w:hAnsi="宋体" w:cs="宋体"/>
          <w:sz w:val="24"/>
        </w:rPr>
      </w:pPr>
      <w:r>
        <w:rPr>
          <w:rFonts w:hint="eastAsia" w:ascii="宋体" w:hAnsi="宋体" w:cs="宋体"/>
          <w:sz w:val="24"/>
        </w:rPr>
        <w:t>（1）法定代表人授权书（格式见附件）；如法定代表人直接参加投标并对相应文件签字的（签字是指线下签字扫描后上传或者线上进行电子签章），只需提供其身份证复印件，否则应提供授权代表身份证复印件；</w:t>
      </w:r>
    </w:p>
    <w:p>
      <w:pPr>
        <w:spacing w:line="360" w:lineRule="auto"/>
        <w:ind w:firstLine="480" w:firstLineChars="200"/>
        <w:rPr>
          <w:rFonts w:ascii="宋体" w:hAnsi="宋体" w:cs="宋体"/>
          <w:sz w:val="24"/>
        </w:rPr>
      </w:pPr>
      <w:r>
        <w:rPr>
          <w:rFonts w:hint="eastAsia" w:ascii="宋体" w:hAnsi="宋体" w:cs="宋体"/>
          <w:sz w:val="24"/>
        </w:rPr>
        <w:t>（2）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pPr>
        <w:spacing w:line="360" w:lineRule="auto"/>
        <w:ind w:firstLine="480" w:firstLineChars="200"/>
        <w:rPr>
          <w:rFonts w:ascii="宋体" w:hAnsi="宋体" w:cs="宋体"/>
          <w:sz w:val="24"/>
        </w:rPr>
      </w:pPr>
      <w:r>
        <w:rPr>
          <w:rFonts w:hint="eastAsia" w:ascii="宋体" w:hAnsi="宋体" w:cs="宋体"/>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p>
      <w:pPr>
        <w:spacing w:line="360" w:lineRule="auto"/>
        <w:ind w:firstLine="480" w:firstLineChars="200"/>
        <w:rPr>
          <w:rFonts w:ascii="宋体" w:hAnsi="宋体" w:cs="宋体"/>
          <w:sz w:val="24"/>
        </w:rPr>
      </w:pPr>
      <w:r>
        <w:rPr>
          <w:rFonts w:hint="eastAsia" w:ascii="宋体" w:hAnsi="宋体" w:cs="宋体"/>
          <w:sz w:val="24"/>
        </w:rPr>
        <w:t>（3）具有履行合同所必需的产品和专业技术能力的承诺函；</w:t>
      </w:r>
    </w:p>
    <w:p>
      <w:pPr>
        <w:spacing w:line="360" w:lineRule="auto"/>
        <w:ind w:firstLine="480" w:firstLineChars="200"/>
        <w:rPr>
          <w:rFonts w:ascii="宋体" w:hAnsi="宋体" w:cs="宋体"/>
          <w:sz w:val="24"/>
        </w:rPr>
      </w:pPr>
      <w:r>
        <w:rPr>
          <w:rFonts w:hint="eastAsia" w:ascii="宋体" w:hAnsi="宋体" w:cs="宋体"/>
          <w:sz w:val="24"/>
        </w:rPr>
        <w:t>（4）投标人承诺函（格式见附件）。</w:t>
      </w:r>
    </w:p>
    <w:p>
      <w:pPr>
        <w:pStyle w:val="3"/>
        <w:ind w:firstLine="486"/>
        <w:rPr>
          <w:rFonts w:ascii="宋体" w:hAnsi="宋体" w:cs="宋体"/>
        </w:rPr>
      </w:pPr>
    </w:p>
    <w:p>
      <w:pPr>
        <w:pStyle w:val="3"/>
        <w:ind w:firstLine="486"/>
        <w:rPr>
          <w:rFonts w:ascii="宋体" w:hAnsi="宋体" w:cs="宋体"/>
        </w:rPr>
      </w:pPr>
    </w:p>
    <w:p>
      <w:pPr>
        <w:pStyle w:val="3"/>
        <w:ind w:firstLine="486"/>
        <w:rPr>
          <w:rFonts w:ascii="宋体" w:hAnsi="宋体" w:cs="宋体"/>
        </w:rPr>
      </w:pPr>
    </w:p>
    <w:p>
      <w:pPr>
        <w:pStyle w:val="3"/>
        <w:ind w:firstLine="486"/>
        <w:rPr>
          <w:rFonts w:ascii="宋体" w:hAnsi="宋体" w:cs="宋体"/>
        </w:rPr>
      </w:pPr>
    </w:p>
    <w:p>
      <w:pPr>
        <w:pStyle w:val="3"/>
        <w:ind w:firstLine="486"/>
        <w:rPr>
          <w:rFonts w:ascii="宋体" w:hAnsi="宋体" w:cs="宋体"/>
        </w:rPr>
      </w:pPr>
    </w:p>
    <w:p>
      <w:pPr>
        <w:pStyle w:val="3"/>
        <w:ind w:firstLine="486"/>
        <w:rPr>
          <w:rFonts w:ascii="宋体" w:hAnsi="宋体" w:cs="宋体"/>
        </w:rPr>
      </w:pPr>
    </w:p>
    <w:p>
      <w:pPr>
        <w:pStyle w:val="8"/>
        <w:rPr>
          <w:rFonts w:hAnsi="宋体" w:cs="宋体"/>
          <w:b w:val="0"/>
          <w:sz w:val="24"/>
          <w:szCs w:val="24"/>
        </w:rPr>
      </w:pPr>
      <w:bookmarkStart w:id="446" w:name="_Toc24699"/>
      <w:r>
        <w:rPr>
          <w:rFonts w:hint="eastAsia" w:hAnsi="宋体" w:cs="宋体"/>
          <w:sz w:val="24"/>
          <w:szCs w:val="24"/>
        </w:rPr>
        <w:br w:type="page"/>
      </w:r>
      <w:r>
        <w:rPr>
          <w:rFonts w:hint="eastAsia" w:hAnsi="宋体" w:cs="宋体"/>
          <w:sz w:val="24"/>
          <w:szCs w:val="24"/>
        </w:rPr>
        <w:t>附件一：</w:t>
      </w:r>
    </w:p>
    <w:p>
      <w:pPr>
        <w:spacing w:line="360" w:lineRule="auto"/>
        <w:jc w:val="center"/>
        <w:rPr>
          <w:rFonts w:ascii="宋体" w:hAnsi="宋体" w:cs="宋体"/>
          <w:b/>
          <w:bCs/>
          <w:sz w:val="32"/>
          <w:szCs w:val="32"/>
        </w:rPr>
      </w:pPr>
      <w:r>
        <w:rPr>
          <w:rFonts w:hint="eastAsia" w:ascii="宋体" w:hAnsi="宋体" w:cs="宋体"/>
          <w:b/>
          <w:bCs/>
          <w:sz w:val="32"/>
          <w:szCs w:val="32"/>
        </w:rPr>
        <w:t>法定代表人授权书</w:t>
      </w:r>
      <w:bookmarkEnd w:id="446"/>
    </w:p>
    <w:p>
      <w:pPr>
        <w:pStyle w:val="9"/>
        <w:spacing w:line="360" w:lineRule="auto"/>
        <w:rPr>
          <w:rFonts w:ascii="宋体" w:hAnsi="宋体" w:cs="宋体"/>
        </w:rPr>
      </w:pPr>
    </w:p>
    <w:p>
      <w:pPr>
        <w:spacing w:line="360" w:lineRule="auto"/>
        <w:ind w:firstLine="480" w:firstLineChars="200"/>
        <w:rPr>
          <w:rFonts w:ascii="宋体" w:hAnsi="宋体" w:cs="宋体"/>
          <w:sz w:val="24"/>
        </w:rPr>
      </w:pPr>
      <w:r>
        <w:rPr>
          <w:rFonts w:hint="eastAsia" w:ascii="宋体" w:hAnsi="宋体" w:cs="宋体"/>
          <w:sz w:val="24"/>
        </w:rPr>
        <w:t>绍兴市上虞杭州湾工业园区投资发展有限公司：</w:t>
      </w:r>
    </w:p>
    <w:p>
      <w:pPr>
        <w:spacing w:line="360" w:lineRule="auto"/>
        <w:ind w:firstLine="480" w:firstLineChars="200"/>
        <w:rPr>
          <w:rFonts w:ascii="宋体" w:hAnsi="宋体" w:cs="宋体"/>
          <w:sz w:val="24"/>
        </w:rPr>
      </w:pPr>
      <w:r>
        <w:rPr>
          <w:rFonts w:hint="eastAsia" w:ascii="宋体" w:hAnsi="宋体" w:cs="宋体"/>
          <w:sz w:val="24"/>
        </w:rPr>
        <w:t>浙江宇康工程管理咨询有限公司：</w:t>
      </w:r>
    </w:p>
    <w:p>
      <w:pPr>
        <w:spacing w:line="360" w:lineRule="auto"/>
        <w:ind w:firstLine="480" w:firstLineChars="200"/>
        <w:rPr>
          <w:rFonts w:ascii="宋体" w:hAnsi="宋体" w:cs="宋体"/>
          <w:sz w:val="24"/>
        </w:rPr>
      </w:pPr>
      <w:r>
        <w:rPr>
          <w:rFonts w:hint="eastAsia" w:ascii="宋体" w:hAnsi="宋体" w:cs="宋体"/>
          <w:sz w:val="24"/>
          <w:u w:val="single"/>
        </w:rPr>
        <w:t xml:space="preserve">  （投标人全称） </w:t>
      </w:r>
      <w:r>
        <w:rPr>
          <w:rFonts w:hint="eastAsia" w:ascii="宋体" w:hAnsi="宋体" w:cs="宋体"/>
          <w:sz w:val="24"/>
        </w:rPr>
        <w:t>法定代表人授权</w:t>
      </w:r>
      <w:r>
        <w:rPr>
          <w:rFonts w:hint="eastAsia" w:ascii="宋体" w:hAnsi="宋体" w:cs="宋体"/>
          <w:sz w:val="24"/>
          <w:u w:val="single"/>
        </w:rPr>
        <w:t>（授权代表名称）</w:t>
      </w:r>
      <w:r>
        <w:rPr>
          <w:rFonts w:hint="eastAsia" w:ascii="宋体" w:hAnsi="宋体" w:cs="宋体"/>
          <w:sz w:val="24"/>
        </w:rPr>
        <w:t>为授权代表，参加贵处组织的项目</w:t>
      </w:r>
      <w:r>
        <w:rPr>
          <w:rFonts w:hint="eastAsia" w:ascii="宋体" w:hAnsi="宋体" w:cs="宋体"/>
          <w:sz w:val="24"/>
          <w:u w:val="single"/>
        </w:rPr>
        <w:t>（括号内填写招标编号）</w:t>
      </w:r>
      <w:r>
        <w:rPr>
          <w:rFonts w:hint="eastAsia" w:ascii="宋体" w:hAnsi="宋体" w:cs="宋体"/>
          <w:sz w:val="24"/>
        </w:rPr>
        <w:t>，授权处理招投标活动中的一切事宜。</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法定代表人签字：</w:t>
      </w:r>
    </w:p>
    <w:p>
      <w:pPr>
        <w:spacing w:line="360" w:lineRule="auto"/>
        <w:ind w:firstLine="480" w:firstLineChars="200"/>
        <w:rPr>
          <w:rFonts w:ascii="宋体" w:hAnsi="宋体" w:cs="宋体"/>
          <w:sz w:val="24"/>
        </w:rPr>
      </w:pPr>
      <w:r>
        <w:rPr>
          <w:rFonts w:hint="eastAsia" w:ascii="宋体" w:hAnsi="宋体" w:cs="宋体"/>
          <w:sz w:val="24"/>
        </w:rPr>
        <w:t>投标人全称：（盖章）</w:t>
      </w:r>
    </w:p>
    <w:p>
      <w:pPr>
        <w:spacing w:line="360" w:lineRule="auto"/>
        <w:ind w:firstLine="480" w:firstLineChars="200"/>
        <w:rPr>
          <w:rFonts w:ascii="宋体" w:hAnsi="宋体" w:cs="宋体"/>
          <w:sz w:val="24"/>
        </w:rPr>
      </w:pPr>
      <w:r>
        <w:rPr>
          <w:rFonts w:hint="eastAsia" w:ascii="宋体" w:hAnsi="宋体" w:cs="宋体"/>
          <w:sz w:val="24"/>
        </w:rPr>
        <w:t>日期：</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rPr>
      </w:pPr>
      <w:r>
        <w:rPr>
          <w:rFonts w:hint="eastAsia" w:ascii="宋体" w:hAnsi="宋体" w:cs="宋体"/>
          <w:sz w:val="24"/>
        </w:rPr>
        <w:t>授权代表姓名：</w:t>
      </w:r>
    </w:p>
    <w:p>
      <w:pPr>
        <w:spacing w:line="360" w:lineRule="auto"/>
        <w:ind w:firstLine="480" w:firstLineChars="200"/>
        <w:rPr>
          <w:rFonts w:ascii="宋体" w:hAnsi="宋体" w:cs="宋体"/>
          <w:sz w:val="24"/>
        </w:rPr>
      </w:pPr>
      <w:r>
        <w:rPr>
          <w:rFonts w:hint="eastAsia" w:ascii="宋体" w:hAnsi="宋体" w:cs="宋体"/>
          <w:sz w:val="24"/>
        </w:rPr>
        <w:t>职务：</w:t>
      </w:r>
    </w:p>
    <w:p>
      <w:pPr>
        <w:spacing w:line="360" w:lineRule="auto"/>
        <w:ind w:firstLine="480" w:firstLineChars="200"/>
        <w:rPr>
          <w:rFonts w:ascii="宋体" w:hAnsi="宋体" w:cs="宋体"/>
          <w:sz w:val="24"/>
        </w:rPr>
      </w:pPr>
      <w:r>
        <w:rPr>
          <w:rFonts w:hint="eastAsia" w:ascii="宋体" w:hAnsi="宋体" w:cs="宋体"/>
          <w:sz w:val="24"/>
        </w:rPr>
        <w:t>详细通讯地址：</w:t>
      </w:r>
    </w:p>
    <w:p>
      <w:pPr>
        <w:spacing w:line="360" w:lineRule="auto"/>
        <w:ind w:firstLine="480" w:firstLineChars="200"/>
        <w:rPr>
          <w:rFonts w:ascii="宋体" w:hAnsi="宋体" w:cs="宋体"/>
          <w:sz w:val="24"/>
        </w:rPr>
      </w:pPr>
      <w:r>
        <w:rPr>
          <w:rFonts w:hint="eastAsia" w:ascii="宋体" w:hAnsi="宋体" w:cs="宋体"/>
          <w:sz w:val="24"/>
        </w:rPr>
        <w:t>传真：</w:t>
      </w:r>
    </w:p>
    <w:p>
      <w:pPr>
        <w:spacing w:line="360" w:lineRule="auto"/>
        <w:ind w:firstLine="480" w:firstLineChars="200"/>
        <w:rPr>
          <w:rFonts w:ascii="宋体" w:hAnsi="宋体" w:cs="宋体"/>
          <w:sz w:val="24"/>
        </w:rPr>
      </w:pPr>
      <w:r>
        <w:rPr>
          <w:rFonts w:hint="eastAsia" w:ascii="宋体" w:hAnsi="宋体" w:cs="宋体"/>
          <w:sz w:val="24"/>
        </w:rPr>
        <w:t>电话：</w:t>
      </w:r>
    </w:p>
    <w:p>
      <w:pPr>
        <w:spacing w:line="360" w:lineRule="auto"/>
        <w:ind w:firstLine="480" w:firstLineChars="200"/>
        <w:rPr>
          <w:rFonts w:ascii="宋体" w:hAnsi="宋体" w:cs="宋体"/>
          <w:sz w:val="24"/>
        </w:rPr>
      </w:pPr>
      <w:r>
        <w:rPr>
          <w:rFonts w:hint="eastAsia" w:ascii="宋体" w:hAnsi="宋体" w:cs="宋体"/>
          <w:sz w:val="24"/>
        </w:rPr>
        <w:t>邮政编码：</w:t>
      </w:r>
    </w:p>
    <w:p>
      <w:pPr>
        <w:pStyle w:val="13"/>
        <w:snapToGrid w:val="0"/>
        <w:spacing w:line="360" w:lineRule="auto"/>
        <w:rPr>
          <w:rFonts w:hAnsi="宋体" w:cs="宋体"/>
          <w:sz w:val="24"/>
        </w:rPr>
      </w:pPr>
    </w:p>
    <w:p>
      <w:pPr>
        <w:pStyle w:val="13"/>
        <w:snapToGrid w:val="0"/>
        <w:spacing w:line="360" w:lineRule="auto"/>
        <w:rPr>
          <w:rFonts w:hAnsi="宋体" w:cs="宋体"/>
          <w:sz w:val="24"/>
        </w:rPr>
      </w:pPr>
    </w:p>
    <w:p>
      <w:pPr>
        <w:pStyle w:val="13"/>
        <w:snapToGrid w:val="0"/>
        <w:spacing w:line="360" w:lineRule="auto"/>
        <w:rPr>
          <w:rFonts w:hAnsi="宋体" w:cs="宋体"/>
          <w:sz w:val="24"/>
        </w:rPr>
      </w:pPr>
    </w:p>
    <w:p>
      <w:pPr>
        <w:spacing w:line="360" w:lineRule="auto"/>
        <w:rPr>
          <w:rFonts w:ascii="宋体" w:hAnsi="宋体" w:cs="宋体"/>
          <w:b/>
          <w:sz w:val="24"/>
        </w:rPr>
      </w:pPr>
      <w:r>
        <w:rPr>
          <w:rFonts w:hint="eastAsia" w:ascii="宋体" w:hAnsi="宋体" w:cs="宋体"/>
          <w:b/>
          <w:sz w:val="24"/>
        </w:rPr>
        <w:t>附：授权代表身份证复印件（正反面）</w:t>
      </w:r>
    </w:p>
    <w:p>
      <w:pPr>
        <w:spacing w:line="360" w:lineRule="auto"/>
        <w:rPr>
          <w:rFonts w:ascii="宋体" w:hAnsi="宋体" w:cs="宋体"/>
          <w:b/>
          <w:sz w:val="24"/>
        </w:rPr>
      </w:pPr>
    </w:p>
    <w:p>
      <w:pPr>
        <w:pStyle w:val="3"/>
        <w:ind w:firstLine="486"/>
        <w:rPr>
          <w:rFonts w:ascii="宋体" w:hAnsi="宋体" w:cs="宋体"/>
        </w:rPr>
      </w:pPr>
    </w:p>
    <w:p>
      <w:pPr>
        <w:snapToGrid w:val="0"/>
        <w:spacing w:before="50" w:afterLines="50"/>
        <w:jc w:val="left"/>
        <w:rPr>
          <w:rFonts w:ascii="宋体" w:hAnsi="宋体" w:cs="宋体"/>
          <w:b/>
          <w:bCs/>
          <w:sz w:val="24"/>
          <w:lang w:val="zh-CN"/>
        </w:rPr>
      </w:pPr>
      <w:r>
        <w:rPr>
          <w:rFonts w:hint="eastAsia" w:ascii="宋体" w:hAnsi="宋体" w:cs="宋体"/>
          <w:b/>
          <w:bCs/>
          <w:sz w:val="24"/>
        </w:rPr>
        <w:br w:type="page"/>
      </w:r>
      <w:r>
        <w:rPr>
          <w:rFonts w:hint="eastAsia" w:ascii="宋体" w:hAnsi="宋体" w:cs="宋体"/>
          <w:b/>
          <w:sz w:val="24"/>
          <w:lang w:val="zh-CN"/>
        </w:rPr>
        <w:t>附件二：</w:t>
      </w:r>
    </w:p>
    <w:p>
      <w:pPr>
        <w:spacing w:line="360" w:lineRule="auto"/>
        <w:jc w:val="center"/>
        <w:rPr>
          <w:rFonts w:ascii="宋体" w:hAnsi="宋体" w:cs="宋体"/>
          <w:b/>
          <w:bCs/>
          <w:sz w:val="32"/>
          <w:szCs w:val="32"/>
        </w:rPr>
      </w:pPr>
      <w:bookmarkStart w:id="447" w:name="_Toc5553"/>
      <w:bookmarkStart w:id="448" w:name="_Toc18952"/>
      <w:bookmarkStart w:id="449" w:name="_Toc16254"/>
      <w:bookmarkStart w:id="450" w:name="_Toc17524"/>
      <w:r>
        <w:rPr>
          <w:rFonts w:hint="eastAsia" w:ascii="宋体" w:hAnsi="宋体" w:cs="宋体"/>
          <w:b/>
          <w:bCs/>
          <w:sz w:val="32"/>
          <w:szCs w:val="32"/>
          <w:lang w:val="zh-CN"/>
        </w:rPr>
        <w:t>投 标 人 承 诺 函</w:t>
      </w:r>
      <w:bookmarkEnd w:id="447"/>
      <w:bookmarkEnd w:id="448"/>
      <w:bookmarkEnd w:id="449"/>
      <w:bookmarkEnd w:id="450"/>
    </w:p>
    <w:p>
      <w:pPr>
        <w:spacing w:line="360" w:lineRule="auto"/>
        <w:ind w:firstLine="420" w:firstLineChars="200"/>
        <w:rPr>
          <w:rFonts w:ascii="宋体" w:hAnsi="宋体" w:cs="宋体"/>
        </w:rPr>
      </w:pPr>
    </w:p>
    <w:p>
      <w:pPr>
        <w:spacing w:line="360" w:lineRule="auto"/>
        <w:ind w:firstLine="480" w:firstLineChars="200"/>
        <w:rPr>
          <w:rFonts w:ascii="宋体" w:hAnsi="宋体" w:cs="宋体"/>
          <w:sz w:val="24"/>
        </w:rPr>
      </w:pPr>
      <w:r>
        <w:rPr>
          <w:rFonts w:hint="eastAsia" w:ascii="宋体" w:hAnsi="宋体" w:cs="宋体"/>
          <w:sz w:val="24"/>
        </w:rPr>
        <w:t>绍兴市上虞杭州湾工业园区投资发展有限公司：</w:t>
      </w:r>
    </w:p>
    <w:p>
      <w:pPr>
        <w:spacing w:line="360" w:lineRule="auto"/>
        <w:ind w:firstLine="480" w:firstLineChars="200"/>
        <w:rPr>
          <w:rFonts w:ascii="宋体" w:hAnsi="宋体" w:cs="宋体"/>
          <w:sz w:val="24"/>
        </w:rPr>
      </w:pPr>
      <w:r>
        <w:rPr>
          <w:rFonts w:hint="eastAsia" w:ascii="宋体" w:hAnsi="宋体" w:cs="宋体"/>
          <w:sz w:val="24"/>
        </w:rPr>
        <w:t>浙江宇康工程管理咨询有限公司：</w:t>
      </w:r>
    </w:p>
    <w:p>
      <w:pPr>
        <w:spacing w:line="360" w:lineRule="auto"/>
        <w:ind w:firstLine="480" w:firstLineChars="200"/>
        <w:rPr>
          <w:rFonts w:ascii="宋体" w:hAnsi="宋体" w:cs="宋体"/>
          <w:sz w:val="24"/>
        </w:rPr>
      </w:pPr>
      <w:r>
        <w:rPr>
          <w:rFonts w:hint="eastAsia" w:ascii="宋体" w:hAnsi="宋体" w:cs="宋体"/>
          <w:sz w:val="24"/>
          <w:u w:val="single"/>
        </w:rPr>
        <w:t>（投标人名称）</w:t>
      </w:r>
      <w:r>
        <w:rPr>
          <w:rFonts w:hint="eastAsia" w:ascii="宋体" w:hAnsi="宋体" w:cs="宋体"/>
          <w:sz w:val="24"/>
        </w:rPr>
        <w:t>系中华人民共和国合法企业，经营地址。</w:t>
      </w:r>
    </w:p>
    <w:p>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的法定代表人，我方愿意参加贵方组织的</w:t>
      </w:r>
      <w:r>
        <w:rPr>
          <w:rFonts w:hint="eastAsia" w:ascii="宋体" w:hAnsi="宋体" w:cs="宋体"/>
          <w:sz w:val="24"/>
          <w:u w:val="single"/>
        </w:rPr>
        <w:t>（招标项目名称）（编号为）</w:t>
      </w:r>
      <w:r>
        <w:rPr>
          <w:rFonts w:hint="eastAsia" w:ascii="宋体" w:hAnsi="宋体" w:cs="宋体"/>
          <w:sz w:val="24"/>
        </w:rPr>
        <w:t>的投标，为此，我方就本次投标有关事项郑重承诺如下：</w:t>
      </w:r>
    </w:p>
    <w:p>
      <w:pPr>
        <w:spacing w:line="360" w:lineRule="auto"/>
        <w:ind w:firstLine="480" w:firstLineChars="200"/>
        <w:rPr>
          <w:rFonts w:ascii="宋体" w:hAnsi="宋体" w:cs="宋体"/>
          <w:sz w:val="24"/>
        </w:rPr>
      </w:pPr>
      <w:r>
        <w:rPr>
          <w:rFonts w:hint="eastAsia" w:ascii="宋体" w:hAnsi="宋体" w:cs="宋体"/>
          <w:sz w:val="24"/>
        </w:rPr>
        <w:t>1、我方已详细审查全部招标文件，同意招标文件的各项要求。</w:t>
      </w:r>
    </w:p>
    <w:p>
      <w:pPr>
        <w:spacing w:line="360" w:lineRule="auto"/>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pPr>
        <w:spacing w:line="360" w:lineRule="auto"/>
        <w:ind w:firstLine="480" w:firstLineChars="200"/>
        <w:rPr>
          <w:rFonts w:ascii="宋体" w:hAnsi="宋体" w:cs="宋体"/>
          <w:sz w:val="24"/>
        </w:rPr>
      </w:pPr>
      <w:r>
        <w:rPr>
          <w:rFonts w:hint="eastAsia" w:ascii="宋体" w:hAnsi="宋体" w:cs="宋体"/>
          <w:sz w:val="24"/>
        </w:rPr>
        <w:t>3、若中标，我方将按招标文件规定履行合同责任和义务。</w:t>
      </w:r>
    </w:p>
    <w:p>
      <w:pPr>
        <w:spacing w:line="360" w:lineRule="auto"/>
        <w:ind w:firstLine="480" w:firstLineChars="200"/>
        <w:rPr>
          <w:rFonts w:ascii="宋体" w:hAnsi="宋体" w:cs="宋体"/>
          <w:sz w:val="24"/>
        </w:rPr>
      </w:pPr>
      <w:r>
        <w:rPr>
          <w:rFonts w:hint="eastAsia" w:ascii="宋体" w:hAnsi="宋体" w:cs="宋体"/>
          <w:sz w:val="24"/>
        </w:rPr>
        <w:t>4、我方不是采购人的附属机构；在获知本项目采购信息后，与采购人聘请的为此项目提供咨询服务的公司及其附属机构没有任何联系。</w:t>
      </w:r>
    </w:p>
    <w:p>
      <w:pPr>
        <w:spacing w:line="360" w:lineRule="auto"/>
        <w:ind w:firstLine="480" w:firstLineChars="200"/>
        <w:rPr>
          <w:rFonts w:ascii="宋体" w:hAnsi="宋体" w:cs="宋体"/>
          <w:sz w:val="24"/>
        </w:rPr>
      </w:pPr>
      <w:r>
        <w:rPr>
          <w:rFonts w:hint="eastAsia" w:ascii="宋体" w:hAnsi="宋体" w:cs="宋体"/>
          <w:sz w:val="24"/>
        </w:rPr>
        <w:t>5、投标文件自开标日起有效期为90天。</w:t>
      </w:r>
    </w:p>
    <w:p>
      <w:pPr>
        <w:spacing w:line="360" w:lineRule="auto"/>
        <w:ind w:firstLine="480" w:firstLineChars="200"/>
        <w:rPr>
          <w:rFonts w:ascii="宋体" w:hAnsi="宋体" w:cs="宋体"/>
          <w:sz w:val="24"/>
        </w:rPr>
      </w:pPr>
      <w:r>
        <w:rPr>
          <w:rFonts w:hint="eastAsia" w:ascii="宋体" w:hAnsi="宋体" w:cs="宋体"/>
          <w:sz w:val="24"/>
        </w:rPr>
        <w:t>6、我方参与本项目前3年内的经营活动中没有重大违法记录；</w:t>
      </w:r>
    </w:p>
    <w:p>
      <w:pPr>
        <w:spacing w:line="360" w:lineRule="auto"/>
        <w:ind w:firstLine="480" w:firstLineChars="200"/>
        <w:rPr>
          <w:rFonts w:ascii="宋体" w:hAnsi="宋体" w:cs="宋体"/>
          <w:sz w:val="24"/>
        </w:rPr>
      </w:pPr>
      <w:r>
        <w:rPr>
          <w:rFonts w:hint="eastAsia" w:ascii="宋体" w:hAnsi="宋体" w:cs="宋体"/>
          <w:sz w:val="24"/>
        </w:rPr>
        <w:t>7、我方通过“信用中国”网站（www.creditchina.gov.cn）、中国政府采购网（www.ccgp.gov.cn）查询，未被列入失信被执行人、重大税收违法案件当事人名单、政府采购严重违法失信行为记录名单。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宋体" w:hAnsi="宋体" w:cs="宋体"/>
          <w:sz w:val="24"/>
        </w:rPr>
      </w:pPr>
      <w:r>
        <w:rPr>
          <w:rFonts w:hint="eastAsia" w:ascii="宋体" w:hAnsi="宋体" w:cs="宋体"/>
          <w:sz w:val="24"/>
        </w:rPr>
        <w:t>8、具有良好的商业信誉和健全的财务会计制度；</w:t>
      </w:r>
    </w:p>
    <w:p>
      <w:pPr>
        <w:spacing w:line="360" w:lineRule="auto"/>
        <w:ind w:firstLine="480" w:firstLineChars="200"/>
        <w:rPr>
          <w:rFonts w:ascii="宋体" w:hAnsi="宋体" w:cs="宋体"/>
          <w:sz w:val="24"/>
        </w:rPr>
      </w:pPr>
      <w:r>
        <w:rPr>
          <w:rFonts w:hint="eastAsia" w:ascii="宋体" w:hAnsi="宋体" w:cs="宋体"/>
          <w:sz w:val="24"/>
        </w:rPr>
        <w:t>9、具有依法缴纳税收和社会保障资金的良好记录；</w:t>
      </w:r>
    </w:p>
    <w:p>
      <w:pPr>
        <w:spacing w:line="360" w:lineRule="auto"/>
        <w:ind w:firstLine="480" w:firstLineChars="200"/>
        <w:rPr>
          <w:rFonts w:ascii="宋体" w:hAnsi="宋体" w:cs="宋体"/>
          <w:sz w:val="24"/>
        </w:rPr>
      </w:pPr>
      <w:r>
        <w:rPr>
          <w:rFonts w:hint="eastAsia" w:ascii="宋体" w:hAnsi="宋体" w:cs="宋体"/>
          <w:sz w:val="24"/>
        </w:rPr>
        <w:t>10、以上事项如有虚假或隐瞒，我方愿意承担一切后果，并不再寻求任何旨在减轻或免除法律责任的辩解。</w:t>
      </w:r>
    </w:p>
    <w:p>
      <w:pPr>
        <w:spacing w:line="360" w:lineRule="auto"/>
        <w:ind w:firstLine="480" w:firstLineChars="200"/>
        <w:rPr>
          <w:rFonts w:ascii="宋体" w:hAnsi="宋体" w:cs="宋体"/>
          <w:sz w:val="24"/>
        </w:rPr>
      </w:pPr>
    </w:p>
    <w:p>
      <w:pPr>
        <w:pStyle w:val="3"/>
        <w:rPr>
          <w:rFonts w:ascii="宋体" w:hAnsi="宋体" w:cs="宋体"/>
        </w:rPr>
      </w:pPr>
    </w:p>
    <w:p>
      <w:pPr>
        <w:spacing w:line="360" w:lineRule="auto"/>
        <w:ind w:left="3780" w:leftChars="1800" w:firstLine="480" w:firstLineChars="200"/>
        <w:rPr>
          <w:rFonts w:ascii="宋体" w:hAnsi="宋体" w:cs="宋体"/>
          <w:sz w:val="24"/>
        </w:rPr>
      </w:pPr>
      <w:r>
        <w:rPr>
          <w:rFonts w:hint="eastAsia" w:ascii="宋体" w:hAnsi="宋体" w:cs="宋体"/>
          <w:sz w:val="24"/>
        </w:rPr>
        <w:t xml:space="preserve">法定代表人签名（或签名章）：                       </w:t>
      </w:r>
    </w:p>
    <w:p>
      <w:pPr>
        <w:spacing w:line="360" w:lineRule="auto"/>
        <w:ind w:left="3780" w:leftChars="1800" w:firstLine="480" w:firstLineChars="200"/>
        <w:rPr>
          <w:rFonts w:ascii="宋体" w:hAnsi="宋体" w:cs="宋体"/>
          <w:sz w:val="24"/>
        </w:rPr>
      </w:pPr>
      <w:r>
        <w:rPr>
          <w:rFonts w:hint="eastAsia" w:ascii="宋体" w:hAnsi="宋体" w:cs="宋体"/>
          <w:sz w:val="24"/>
        </w:rPr>
        <w:t>日 期：</w:t>
      </w:r>
    </w:p>
    <w:p>
      <w:pPr>
        <w:spacing w:line="360" w:lineRule="auto"/>
        <w:ind w:left="3780" w:leftChars="1800" w:firstLine="480" w:firstLineChars="200"/>
        <w:rPr>
          <w:rFonts w:ascii="宋体" w:hAnsi="宋体" w:cs="宋体"/>
          <w:sz w:val="24"/>
        </w:rPr>
      </w:pPr>
      <w:r>
        <w:rPr>
          <w:rFonts w:hint="eastAsia" w:ascii="宋体" w:hAnsi="宋体" w:cs="宋体"/>
          <w:sz w:val="24"/>
        </w:rPr>
        <w:t>投标人全称（公章）：</w:t>
      </w:r>
    </w:p>
    <w:p>
      <w:pPr>
        <w:spacing w:line="360" w:lineRule="auto"/>
        <w:ind w:left="3780" w:leftChars="1800" w:firstLine="480" w:firstLineChars="200"/>
        <w:rPr>
          <w:rFonts w:ascii="宋体" w:hAnsi="宋体" w:cs="宋体"/>
          <w:sz w:val="24"/>
        </w:rPr>
      </w:pPr>
    </w:p>
    <w:p>
      <w:pPr>
        <w:pStyle w:val="3"/>
        <w:ind w:firstLine="566"/>
        <w:rPr>
          <w:rFonts w:ascii="宋体" w:hAnsi="宋体" w:cs="宋体"/>
          <w:sz w:val="28"/>
          <w:szCs w:val="28"/>
        </w:rPr>
      </w:pPr>
    </w:p>
    <w:p>
      <w:pPr>
        <w:pStyle w:val="9"/>
        <w:rPr>
          <w:rFonts w:ascii="宋体" w:hAnsi="宋体" w:cs="宋体"/>
        </w:rPr>
      </w:pPr>
    </w:p>
    <w:p>
      <w:pPr>
        <w:spacing w:line="360" w:lineRule="auto"/>
        <w:jc w:val="center"/>
        <w:rPr>
          <w:rFonts w:ascii="宋体" w:hAnsi="宋体" w:cs="宋体"/>
          <w:b/>
          <w:kern w:val="0"/>
          <w:sz w:val="36"/>
          <w:szCs w:val="36"/>
        </w:rPr>
      </w:pPr>
      <w:r>
        <w:rPr>
          <w:rFonts w:hint="eastAsia" w:ascii="宋体" w:hAnsi="宋体" w:cs="宋体"/>
          <w:b/>
          <w:kern w:val="0"/>
          <w:sz w:val="36"/>
          <w:szCs w:val="36"/>
        </w:rPr>
        <w:t>商务技术文件</w:t>
      </w:r>
    </w:p>
    <w:p>
      <w:pPr>
        <w:spacing w:line="360" w:lineRule="auto"/>
        <w:jc w:val="center"/>
        <w:rPr>
          <w:rFonts w:ascii="宋体" w:hAnsi="宋体" w:cs="宋体"/>
          <w:b/>
          <w:kern w:val="0"/>
          <w:sz w:val="36"/>
          <w:szCs w:val="36"/>
        </w:rPr>
      </w:pPr>
    </w:p>
    <w:p>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pPr>
        <w:pStyle w:val="3"/>
        <w:ind w:firstLine="486"/>
        <w:rPr>
          <w:rFonts w:ascii="宋体" w:hAnsi="宋体" w:cs="宋体"/>
        </w:rPr>
      </w:pPr>
    </w:p>
    <w:p>
      <w:pPr>
        <w:numPr>
          <w:ilvl w:val="0"/>
          <w:numId w:val="40"/>
        </w:numPr>
        <w:spacing w:line="360" w:lineRule="auto"/>
        <w:ind w:firstLine="480" w:firstLineChars="200"/>
        <w:rPr>
          <w:rFonts w:ascii="宋体" w:hAnsi="宋体" w:cs="宋体"/>
          <w:sz w:val="24"/>
        </w:rPr>
      </w:pPr>
      <w:r>
        <w:rPr>
          <w:rFonts w:hint="eastAsia" w:ascii="宋体" w:hAnsi="宋体" w:cs="宋体"/>
          <w:sz w:val="24"/>
        </w:rPr>
        <w:t>评分对应表（格式见附件，主要用于评委对应评分内容）；</w:t>
      </w:r>
    </w:p>
    <w:p>
      <w:pPr>
        <w:numPr>
          <w:ilvl w:val="0"/>
          <w:numId w:val="40"/>
        </w:numPr>
        <w:spacing w:line="360" w:lineRule="auto"/>
        <w:ind w:firstLine="480" w:firstLineChars="200"/>
        <w:rPr>
          <w:rFonts w:ascii="宋体" w:hAnsi="宋体" w:cs="宋体"/>
          <w:sz w:val="24"/>
        </w:rPr>
      </w:pPr>
      <w:r>
        <w:rPr>
          <w:rFonts w:hint="eastAsia" w:ascii="宋体" w:hAnsi="宋体" w:cs="宋体"/>
          <w:sz w:val="24"/>
        </w:rPr>
        <w:t>供应商商务技术文件中资信分自评表（格式见附件）；</w:t>
      </w:r>
    </w:p>
    <w:p>
      <w:pPr>
        <w:numPr>
          <w:ilvl w:val="0"/>
          <w:numId w:val="40"/>
        </w:numPr>
        <w:spacing w:line="360" w:lineRule="auto"/>
        <w:ind w:firstLine="480" w:firstLineChars="200"/>
        <w:rPr>
          <w:rFonts w:ascii="宋体" w:hAnsi="宋体" w:cs="宋体"/>
          <w:sz w:val="24"/>
        </w:rPr>
      </w:pPr>
      <w:r>
        <w:rPr>
          <w:rFonts w:hint="eastAsia" w:ascii="宋体" w:hAnsi="宋体" w:cs="宋体"/>
          <w:sz w:val="24"/>
        </w:rPr>
        <w:t>投标项目明细清单（格式见附件）；</w:t>
      </w:r>
    </w:p>
    <w:p>
      <w:pPr>
        <w:numPr>
          <w:ilvl w:val="0"/>
          <w:numId w:val="40"/>
        </w:numPr>
        <w:spacing w:line="360" w:lineRule="auto"/>
        <w:ind w:firstLine="480" w:firstLineChars="200"/>
        <w:rPr>
          <w:rFonts w:ascii="宋体" w:hAnsi="宋体" w:cs="宋体"/>
          <w:sz w:val="24"/>
        </w:rPr>
      </w:pPr>
      <w:r>
        <w:rPr>
          <w:rFonts w:hint="eastAsia" w:ascii="宋体" w:hAnsi="宋体" w:cs="宋体"/>
          <w:sz w:val="24"/>
        </w:rPr>
        <w:t>技术响应及建议表（格式见附件）；</w:t>
      </w:r>
    </w:p>
    <w:p>
      <w:pPr>
        <w:numPr>
          <w:ilvl w:val="0"/>
          <w:numId w:val="40"/>
        </w:numPr>
        <w:spacing w:line="360" w:lineRule="auto"/>
        <w:ind w:firstLine="480" w:firstLineChars="200"/>
        <w:rPr>
          <w:rFonts w:ascii="宋体" w:hAnsi="宋体" w:cs="宋体"/>
          <w:sz w:val="24"/>
        </w:rPr>
      </w:pPr>
      <w:r>
        <w:rPr>
          <w:rFonts w:hint="eastAsia" w:ascii="宋体" w:hAnsi="宋体" w:cs="宋体"/>
          <w:sz w:val="24"/>
        </w:rPr>
        <w:t>商务响应表（格式见附件）；</w:t>
      </w:r>
    </w:p>
    <w:p>
      <w:pPr>
        <w:numPr>
          <w:ilvl w:val="0"/>
          <w:numId w:val="40"/>
        </w:numPr>
        <w:spacing w:line="360" w:lineRule="auto"/>
        <w:ind w:firstLine="480" w:firstLineChars="200"/>
        <w:rPr>
          <w:rFonts w:ascii="宋体" w:hAnsi="宋体" w:cs="宋体"/>
          <w:sz w:val="24"/>
          <w:lang w:val="zh-TW"/>
        </w:rPr>
      </w:pPr>
      <w:r>
        <w:rPr>
          <w:rFonts w:hint="eastAsia" w:ascii="宋体" w:hAnsi="宋体" w:cs="宋体"/>
          <w:sz w:val="24"/>
          <w:lang w:val="zh-TW"/>
        </w:rPr>
        <w:t>总体方案设计；</w:t>
      </w:r>
    </w:p>
    <w:p>
      <w:pPr>
        <w:numPr>
          <w:ilvl w:val="0"/>
          <w:numId w:val="40"/>
        </w:numPr>
        <w:spacing w:line="360" w:lineRule="auto"/>
        <w:ind w:firstLine="480" w:firstLineChars="200"/>
        <w:rPr>
          <w:rFonts w:ascii="宋体" w:hAnsi="宋体" w:cs="宋体"/>
          <w:sz w:val="24"/>
          <w:lang w:val="zh-TW"/>
        </w:rPr>
      </w:pPr>
      <w:r>
        <w:rPr>
          <w:rFonts w:hint="eastAsia" w:ascii="宋体" w:hAnsi="宋体" w:cs="宋体"/>
          <w:sz w:val="24"/>
          <w:lang w:val="zh-TW"/>
        </w:rPr>
        <w:t>软件功能方案；</w:t>
      </w:r>
    </w:p>
    <w:p>
      <w:pPr>
        <w:numPr>
          <w:ilvl w:val="0"/>
          <w:numId w:val="40"/>
        </w:numPr>
        <w:spacing w:line="360" w:lineRule="auto"/>
        <w:ind w:firstLine="480" w:firstLineChars="200"/>
        <w:rPr>
          <w:rFonts w:ascii="宋体" w:hAnsi="宋体" w:cs="宋体"/>
          <w:sz w:val="24"/>
          <w:lang w:val="zh-TW"/>
        </w:rPr>
      </w:pPr>
      <w:r>
        <w:rPr>
          <w:rFonts w:hint="eastAsia" w:ascii="宋体" w:hAnsi="宋体" w:cs="宋体"/>
          <w:sz w:val="24"/>
          <w:lang w:val="zh-TW"/>
        </w:rPr>
        <w:t>硬件配置；</w:t>
      </w:r>
    </w:p>
    <w:p>
      <w:pPr>
        <w:numPr>
          <w:ilvl w:val="0"/>
          <w:numId w:val="40"/>
        </w:numPr>
        <w:spacing w:line="360" w:lineRule="auto"/>
        <w:ind w:firstLine="480" w:firstLineChars="200"/>
        <w:rPr>
          <w:rFonts w:ascii="宋体" w:hAnsi="宋体" w:cs="宋体"/>
          <w:sz w:val="24"/>
        </w:rPr>
      </w:pPr>
      <w:r>
        <w:rPr>
          <w:rFonts w:hint="eastAsia" w:ascii="宋体" w:hAnsi="宋体" w:cs="宋体"/>
          <w:sz w:val="24"/>
        </w:rPr>
        <w:t>系统演示；</w:t>
      </w:r>
    </w:p>
    <w:p>
      <w:pPr>
        <w:numPr>
          <w:ilvl w:val="0"/>
          <w:numId w:val="40"/>
        </w:numPr>
        <w:spacing w:line="360" w:lineRule="auto"/>
        <w:ind w:firstLine="480" w:firstLineChars="200"/>
        <w:rPr>
          <w:rFonts w:ascii="宋体" w:hAnsi="宋体" w:cs="宋体"/>
          <w:sz w:val="24"/>
        </w:rPr>
      </w:pPr>
      <w:r>
        <w:rPr>
          <w:rFonts w:hint="eastAsia" w:ascii="宋体" w:hAnsi="宋体" w:cs="宋体"/>
          <w:sz w:val="24"/>
        </w:rPr>
        <w:t>软件质量可靠性评估；</w:t>
      </w:r>
    </w:p>
    <w:p>
      <w:pPr>
        <w:numPr>
          <w:ilvl w:val="0"/>
          <w:numId w:val="40"/>
        </w:numPr>
        <w:spacing w:line="360" w:lineRule="auto"/>
        <w:ind w:firstLine="480" w:firstLineChars="200"/>
        <w:rPr>
          <w:rFonts w:ascii="宋体" w:hAnsi="宋体" w:cs="宋体"/>
          <w:sz w:val="24"/>
        </w:rPr>
      </w:pPr>
      <w:r>
        <w:rPr>
          <w:rFonts w:hint="eastAsia" w:ascii="宋体" w:hAnsi="宋体" w:cs="宋体"/>
          <w:sz w:val="24"/>
        </w:rPr>
        <w:t>实施方案；</w:t>
      </w:r>
    </w:p>
    <w:p>
      <w:pPr>
        <w:numPr>
          <w:ilvl w:val="0"/>
          <w:numId w:val="40"/>
        </w:numPr>
        <w:spacing w:line="360" w:lineRule="auto"/>
        <w:ind w:firstLine="480" w:firstLineChars="200"/>
        <w:rPr>
          <w:rFonts w:ascii="宋体" w:hAnsi="宋体" w:cs="宋体"/>
          <w:sz w:val="24"/>
          <w:lang w:val="zh-TW"/>
        </w:rPr>
      </w:pPr>
      <w:r>
        <w:rPr>
          <w:rFonts w:hint="eastAsia" w:ascii="宋体" w:hAnsi="宋体" w:cs="宋体"/>
          <w:sz w:val="24"/>
          <w:lang w:val="zh-TW"/>
        </w:rPr>
        <w:t>售后服务；</w:t>
      </w:r>
    </w:p>
    <w:p>
      <w:pPr>
        <w:numPr>
          <w:ilvl w:val="0"/>
          <w:numId w:val="40"/>
        </w:numPr>
        <w:spacing w:line="360" w:lineRule="auto"/>
        <w:ind w:firstLine="480" w:firstLineChars="200"/>
        <w:rPr>
          <w:rFonts w:ascii="宋体" w:hAnsi="宋体" w:cs="宋体"/>
          <w:sz w:val="24"/>
        </w:rPr>
      </w:pPr>
      <w:r>
        <w:rPr>
          <w:rFonts w:hint="eastAsia" w:ascii="宋体" w:hAnsi="宋体" w:cs="宋体"/>
          <w:sz w:val="24"/>
        </w:rPr>
        <w:t>认证证书；</w:t>
      </w:r>
    </w:p>
    <w:p>
      <w:pPr>
        <w:numPr>
          <w:ilvl w:val="0"/>
          <w:numId w:val="40"/>
        </w:numPr>
        <w:spacing w:line="360" w:lineRule="auto"/>
        <w:ind w:firstLine="480" w:firstLineChars="200"/>
        <w:rPr>
          <w:rFonts w:ascii="宋体" w:hAnsi="宋体" w:cs="宋体"/>
          <w:sz w:val="24"/>
        </w:rPr>
      </w:pPr>
      <w:r>
        <w:rPr>
          <w:rFonts w:hint="eastAsia" w:ascii="宋体" w:hAnsi="宋体" w:cs="宋体"/>
          <w:sz w:val="24"/>
        </w:rPr>
        <w:t>团队实力；</w:t>
      </w:r>
    </w:p>
    <w:p>
      <w:pPr>
        <w:numPr>
          <w:ilvl w:val="0"/>
          <w:numId w:val="40"/>
        </w:numPr>
        <w:spacing w:line="360" w:lineRule="auto"/>
        <w:ind w:firstLine="480" w:firstLineChars="200"/>
        <w:rPr>
          <w:rFonts w:ascii="宋体" w:hAnsi="宋体" w:cs="宋体"/>
          <w:sz w:val="24"/>
        </w:rPr>
      </w:pPr>
      <w:r>
        <w:rPr>
          <w:rFonts w:hint="eastAsia" w:ascii="宋体" w:hAnsi="宋体" w:cs="宋体"/>
          <w:sz w:val="24"/>
        </w:rPr>
        <w:t>项目组人员清单（格式见附件）；</w:t>
      </w:r>
    </w:p>
    <w:p>
      <w:pPr>
        <w:numPr>
          <w:ilvl w:val="0"/>
          <w:numId w:val="40"/>
        </w:numPr>
        <w:spacing w:line="360" w:lineRule="auto"/>
        <w:ind w:firstLine="480" w:firstLineChars="200"/>
        <w:rPr>
          <w:rFonts w:ascii="宋体" w:hAnsi="宋体" w:cs="宋体"/>
          <w:sz w:val="24"/>
        </w:rPr>
      </w:pPr>
      <w:r>
        <w:rPr>
          <w:rFonts w:hint="eastAsia" w:ascii="宋体" w:hAnsi="宋体" w:cs="宋体"/>
          <w:sz w:val="24"/>
        </w:rPr>
        <w:t>供应商荣誉；</w:t>
      </w:r>
    </w:p>
    <w:p>
      <w:pPr>
        <w:numPr>
          <w:ilvl w:val="0"/>
          <w:numId w:val="40"/>
        </w:numPr>
        <w:spacing w:line="360" w:lineRule="auto"/>
        <w:ind w:firstLine="480" w:firstLineChars="200"/>
        <w:rPr>
          <w:rFonts w:ascii="宋体" w:hAnsi="宋体" w:cs="宋体"/>
          <w:sz w:val="24"/>
        </w:rPr>
      </w:pPr>
      <w:r>
        <w:rPr>
          <w:rFonts w:hint="eastAsia" w:ascii="宋体" w:hAnsi="宋体" w:cs="宋体"/>
          <w:sz w:val="24"/>
        </w:rPr>
        <w:t>供应商业绩；</w:t>
      </w:r>
    </w:p>
    <w:p>
      <w:pPr>
        <w:numPr>
          <w:ilvl w:val="0"/>
          <w:numId w:val="40"/>
        </w:numPr>
        <w:spacing w:line="360" w:lineRule="auto"/>
        <w:ind w:firstLine="480" w:firstLineChars="200"/>
        <w:rPr>
          <w:rFonts w:ascii="宋体" w:hAnsi="宋体" w:cs="宋体"/>
          <w:sz w:val="24"/>
        </w:rPr>
      </w:pPr>
      <w:r>
        <w:rPr>
          <w:rFonts w:hint="eastAsia" w:ascii="宋体" w:hAnsi="宋体" w:cs="宋体"/>
          <w:sz w:val="24"/>
        </w:rPr>
        <w:t>供应商认为需要的其他文件资料。</w:t>
      </w:r>
    </w:p>
    <w:p>
      <w:pPr>
        <w:pStyle w:val="3"/>
        <w:ind w:firstLine="566"/>
        <w:rPr>
          <w:rFonts w:ascii="宋体" w:hAnsi="宋体" w:cs="宋体"/>
          <w:sz w:val="28"/>
          <w:szCs w:val="28"/>
        </w:rPr>
      </w:pPr>
    </w:p>
    <w:p>
      <w:pPr>
        <w:pStyle w:val="3"/>
        <w:ind w:left="0" w:leftChars="0"/>
        <w:jc w:val="left"/>
        <w:rPr>
          <w:rFonts w:ascii="宋体" w:hAnsi="宋体" w:cs="宋体"/>
          <w:b/>
          <w:bCs/>
          <w:sz w:val="24"/>
          <w:lang w:val="zh-CN"/>
        </w:rPr>
      </w:pPr>
      <w:bookmarkStart w:id="451" w:name="_Toc10131"/>
      <w:r>
        <w:rPr>
          <w:rFonts w:hint="eastAsia" w:ascii="宋体" w:hAnsi="宋体" w:cs="宋体"/>
          <w:b/>
          <w:bCs/>
          <w:sz w:val="24"/>
          <w:lang w:val="zh-CN"/>
        </w:rPr>
        <w:br w:type="page"/>
      </w:r>
      <w:r>
        <w:rPr>
          <w:rFonts w:hint="eastAsia" w:ascii="宋体" w:hAnsi="宋体" w:cs="宋体"/>
          <w:b/>
          <w:bCs/>
          <w:sz w:val="24"/>
          <w:lang w:val="zh-CN"/>
        </w:rPr>
        <w:t>附件三：</w:t>
      </w:r>
    </w:p>
    <w:p>
      <w:pPr>
        <w:spacing w:line="360" w:lineRule="auto"/>
        <w:jc w:val="center"/>
        <w:rPr>
          <w:rFonts w:ascii="宋体" w:hAnsi="宋体" w:cs="宋体"/>
          <w:b/>
          <w:bCs/>
          <w:sz w:val="32"/>
          <w:szCs w:val="32"/>
        </w:rPr>
      </w:pPr>
      <w:r>
        <w:rPr>
          <w:rFonts w:hint="eastAsia" w:ascii="宋体" w:hAnsi="宋体" w:cs="宋体"/>
          <w:b/>
          <w:bCs/>
          <w:sz w:val="32"/>
          <w:szCs w:val="32"/>
        </w:rPr>
        <w:t>评分对应表</w:t>
      </w:r>
    </w:p>
    <w:p>
      <w:pPr>
        <w:snapToGrid w:val="0"/>
        <w:spacing w:before="50"/>
        <w:jc w:val="center"/>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采购编号：</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投标文件对应资料</w:t>
            </w: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对应评分办法及评分标准</w:t>
            </w:r>
          </w:p>
          <w:p>
            <w:pPr>
              <w:jc w:val="center"/>
              <w:rPr>
                <w:rFonts w:ascii="宋体" w:hAnsi="宋体" w:cs="宋体"/>
                <w:sz w:val="24"/>
              </w:rPr>
            </w:pPr>
            <w:r>
              <w:rPr>
                <w:rFonts w:hint="eastAsia" w:ascii="宋体" w:hAnsi="宋体" w:cs="宋体"/>
                <w:sz w:val="24"/>
              </w:rPr>
              <w:t>（报价除外）</w:t>
            </w: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w:t>
            </w: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c>
          <w:tcPr>
            <w:tcW w:w="19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ascii="宋体" w:hAnsi="宋体" w:cs="宋体"/>
                <w:sz w:val="24"/>
              </w:rPr>
            </w:pPr>
          </w:p>
        </w:tc>
      </w:tr>
    </w:tbl>
    <w:p>
      <w:pPr>
        <w:spacing w:line="360" w:lineRule="auto"/>
        <w:ind w:firstLine="480" w:firstLineChars="200"/>
        <w:rPr>
          <w:rFonts w:ascii="宋体" w:hAnsi="宋体" w:cs="宋体"/>
          <w:sz w:val="24"/>
        </w:rPr>
      </w:pPr>
    </w:p>
    <w:p>
      <w:pPr>
        <w:spacing w:line="360" w:lineRule="auto"/>
        <w:ind w:left="3780" w:leftChars="1800" w:firstLine="480" w:firstLineChars="200"/>
        <w:rPr>
          <w:rFonts w:ascii="宋体" w:hAnsi="宋体" w:cs="宋体"/>
          <w:sz w:val="24"/>
        </w:rPr>
      </w:pPr>
    </w:p>
    <w:p>
      <w:pPr>
        <w:spacing w:line="360" w:lineRule="auto"/>
        <w:ind w:left="3780" w:leftChars="1800" w:firstLine="480" w:firstLineChars="200"/>
        <w:rPr>
          <w:rFonts w:ascii="宋体" w:hAnsi="宋体" w:cs="宋体"/>
          <w:sz w:val="24"/>
        </w:rPr>
      </w:pPr>
      <w:r>
        <w:rPr>
          <w:rFonts w:hint="eastAsia" w:ascii="宋体" w:hAnsi="宋体" w:cs="宋体"/>
          <w:sz w:val="24"/>
        </w:rPr>
        <w:t xml:space="preserve">法定代表人签名（或签名章）：                       </w:t>
      </w:r>
    </w:p>
    <w:p>
      <w:pPr>
        <w:spacing w:line="360" w:lineRule="auto"/>
        <w:ind w:left="3780" w:leftChars="1800" w:firstLine="480" w:firstLineChars="200"/>
        <w:rPr>
          <w:rFonts w:ascii="宋体" w:hAnsi="宋体" w:cs="宋体"/>
          <w:sz w:val="24"/>
        </w:rPr>
      </w:pPr>
      <w:r>
        <w:rPr>
          <w:rFonts w:hint="eastAsia" w:ascii="宋体" w:hAnsi="宋体" w:cs="宋体"/>
          <w:sz w:val="24"/>
        </w:rPr>
        <w:t>日 期：</w:t>
      </w:r>
    </w:p>
    <w:p>
      <w:pPr>
        <w:spacing w:line="360" w:lineRule="auto"/>
        <w:ind w:left="3780" w:leftChars="1800" w:firstLine="480" w:firstLineChars="200"/>
        <w:rPr>
          <w:rFonts w:ascii="宋体" w:hAnsi="宋体" w:cs="宋体"/>
          <w:sz w:val="24"/>
        </w:rPr>
      </w:pPr>
      <w:r>
        <w:rPr>
          <w:rFonts w:hint="eastAsia" w:ascii="宋体" w:hAnsi="宋体" w:cs="宋体"/>
          <w:sz w:val="24"/>
        </w:rPr>
        <w:t>投标人全称（公章）：</w:t>
      </w:r>
    </w:p>
    <w:p>
      <w:pPr>
        <w:snapToGrid w:val="0"/>
        <w:spacing w:before="50" w:afterLines="50"/>
        <w:jc w:val="left"/>
        <w:rPr>
          <w:rFonts w:ascii="宋体" w:hAnsi="宋体" w:cs="宋体"/>
          <w:sz w:val="30"/>
          <w:szCs w:val="30"/>
        </w:rPr>
      </w:pPr>
    </w:p>
    <w:p>
      <w:pPr>
        <w:pStyle w:val="8"/>
        <w:rPr>
          <w:rFonts w:hAnsi="宋体" w:cs="宋体"/>
          <w:bCs/>
          <w:sz w:val="24"/>
          <w:szCs w:val="24"/>
        </w:rPr>
      </w:pPr>
      <w:r>
        <w:rPr>
          <w:rFonts w:hint="eastAsia" w:hAnsi="宋体" w:cs="宋体"/>
          <w:sz w:val="30"/>
          <w:szCs w:val="30"/>
        </w:rPr>
        <w:br w:type="page"/>
      </w:r>
      <w:r>
        <w:rPr>
          <w:rFonts w:hint="eastAsia" w:hAnsi="宋体" w:cs="宋体"/>
          <w:bCs/>
          <w:sz w:val="24"/>
          <w:szCs w:val="24"/>
        </w:rPr>
        <w:t>附件四：</w:t>
      </w:r>
    </w:p>
    <w:p>
      <w:pPr>
        <w:spacing w:line="360" w:lineRule="auto"/>
        <w:jc w:val="center"/>
        <w:rPr>
          <w:rFonts w:ascii="宋体" w:hAnsi="宋体" w:cs="宋体"/>
          <w:b/>
          <w:bCs/>
          <w:sz w:val="32"/>
          <w:szCs w:val="32"/>
        </w:rPr>
      </w:pPr>
      <w:r>
        <w:rPr>
          <w:rFonts w:hint="eastAsia" w:ascii="宋体" w:hAnsi="宋体" w:cs="宋体"/>
          <w:b/>
          <w:bCs/>
          <w:sz w:val="32"/>
          <w:szCs w:val="32"/>
        </w:rPr>
        <w:t>投标人商务技术文件中资信分自评表</w:t>
      </w:r>
      <w:bookmarkEnd w:id="451"/>
    </w:p>
    <w:p>
      <w:pPr>
        <w:snapToGrid w:val="0"/>
        <w:spacing w:before="50"/>
        <w:jc w:val="center"/>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采购编号：</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sz w:val="24"/>
              </w:rPr>
            </w:pPr>
            <w:r>
              <w:rPr>
                <w:rFonts w:hint="eastAsia" w:ascii="宋体" w:hAnsi="宋体" w:cs="宋体"/>
                <w:sz w:val="24"/>
              </w:rPr>
              <w:t>序号</w:t>
            </w:r>
          </w:p>
        </w:tc>
        <w:tc>
          <w:tcPr>
            <w:tcW w:w="2387" w:type="dxa"/>
            <w:noWrap/>
            <w:vAlign w:val="center"/>
          </w:tcPr>
          <w:p>
            <w:pPr>
              <w:jc w:val="center"/>
              <w:rPr>
                <w:rFonts w:ascii="宋体" w:hAnsi="宋体" w:cs="宋体"/>
                <w:sz w:val="24"/>
              </w:rPr>
            </w:pPr>
            <w:r>
              <w:rPr>
                <w:rFonts w:hint="eastAsia" w:ascii="宋体" w:hAnsi="宋体" w:cs="宋体"/>
                <w:sz w:val="24"/>
              </w:rPr>
              <w:t>资信分内容</w:t>
            </w:r>
          </w:p>
        </w:tc>
        <w:tc>
          <w:tcPr>
            <w:tcW w:w="1462" w:type="dxa"/>
            <w:noWrap/>
            <w:vAlign w:val="center"/>
          </w:tcPr>
          <w:p>
            <w:pPr>
              <w:jc w:val="center"/>
              <w:rPr>
                <w:rFonts w:ascii="宋体" w:hAnsi="宋体" w:cs="宋体"/>
                <w:sz w:val="24"/>
              </w:rPr>
            </w:pPr>
            <w:r>
              <w:rPr>
                <w:rFonts w:hint="eastAsia" w:ascii="宋体" w:hAnsi="宋体" w:cs="宋体"/>
                <w:sz w:val="24"/>
              </w:rPr>
              <w:t>自评得分</w:t>
            </w:r>
          </w:p>
        </w:tc>
        <w:tc>
          <w:tcPr>
            <w:tcW w:w="2415" w:type="dxa"/>
            <w:tcBorders>
              <w:right w:val="single" w:color="auto" w:sz="4" w:space="0"/>
            </w:tcBorders>
            <w:noWrap/>
            <w:vAlign w:val="center"/>
          </w:tcPr>
          <w:p>
            <w:pPr>
              <w:jc w:val="center"/>
              <w:rPr>
                <w:rFonts w:ascii="宋体" w:hAnsi="宋体" w:cs="宋体"/>
                <w:sz w:val="24"/>
              </w:rPr>
            </w:pPr>
            <w:r>
              <w:rPr>
                <w:rFonts w:hint="eastAsia" w:ascii="宋体" w:hAnsi="宋体" w:cs="宋体"/>
                <w:sz w:val="24"/>
              </w:rPr>
              <w:t>投标文件对应资料</w:t>
            </w:r>
          </w:p>
        </w:tc>
        <w:tc>
          <w:tcPr>
            <w:tcW w:w="1746" w:type="dxa"/>
            <w:tcBorders>
              <w:left w:val="single" w:color="auto" w:sz="4" w:space="0"/>
            </w:tcBorders>
            <w:noWrap/>
            <w:vAlign w:val="center"/>
          </w:tcPr>
          <w:p>
            <w:pPr>
              <w:jc w:val="center"/>
              <w:rPr>
                <w:rFonts w:ascii="宋体" w:hAnsi="宋体" w:cs="宋体"/>
                <w:sz w:val="24"/>
              </w:rPr>
            </w:pPr>
            <w:r>
              <w:rPr>
                <w:rFonts w:hint="eastAsia" w:ascii="宋体" w:hAnsi="宋体" w:cs="宋体"/>
                <w:sz w:val="24"/>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sz w:val="24"/>
              </w:rPr>
            </w:pPr>
            <w:r>
              <w:rPr>
                <w:rFonts w:hint="eastAsia" w:ascii="宋体" w:hAnsi="宋体" w:cs="宋体"/>
                <w:sz w:val="24"/>
              </w:rPr>
              <w:t>1</w:t>
            </w:r>
          </w:p>
        </w:tc>
        <w:tc>
          <w:tcPr>
            <w:tcW w:w="2387" w:type="dxa"/>
            <w:noWrap/>
          </w:tcPr>
          <w:p>
            <w:pPr>
              <w:jc w:val="center"/>
              <w:rPr>
                <w:rFonts w:ascii="宋体" w:hAnsi="宋体" w:cs="宋体"/>
                <w:sz w:val="24"/>
              </w:rPr>
            </w:pPr>
          </w:p>
        </w:tc>
        <w:tc>
          <w:tcPr>
            <w:tcW w:w="1462" w:type="dxa"/>
            <w:noWrap/>
          </w:tcPr>
          <w:p>
            <w:pPr>
              <w:jc w:val="center"/>
              <w:rPr>
                <w:rFonts w:ascii="宋体" w:hAnsi="宋体" w:cs="宋体"/>
                <w:sz w:val="24"/>
              </w:rPr>
            </w:pPr>
          </w:p>
        </w:tc>
        <w:tc>
          <w:tcPr>
            <w:tcW w:w="2415" w:type="dxa"/>
            <w:tcBorders>
              <w:right w:val="single" w:color="auto" w:sz="4" w:space="0"/>
            </w:tcBorders>
            <w:noWrap/>
          </w:tcPr>
          <w:p>
            <w:pPr>
              <w:jc w:val="center"/>
              <w:rPr>
                <w:rFonts w:ascii="宋体" w:hAnsi="宋体" w:cs="宋体"/>
                <w:sz w:val="24"/>
              </w:rPr>
            </w:pPr>
          </w:p>
        </w:tc>
        <w:tc>
          <w:tcPr>
            <w:tcW w:w="1746" w:type="dxa"/>
            <w:tcBorders>
              <w:left w:val="single" w:color="auto" w:sz="4" w:space="0"/>
            </w:tcBorders>
            <w:noWrap/>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sz w:val="24"/>
              </w:rPr>
            </w:pPr>
            <w:r>
              <w:rPr>
                <w:rFonts w:hint="eastAsia" w:ascii="宋体" w:hAnsi="宋体" w:cs="宋体"/>
                <w:sz w:val="24"/>
              </w:rPr>
              <w:t>2</w:t>
            </w:r>
          </w:p>
        </w:tc>
        <w:tc>
          <w:tcPr>
            <w:tcW w:w="2387" w:type="dxa"/>
            <w:noWrap/>
          </w:tcPr>
          <w:p>
            <w:pPr>
              <w:jc w:val="center"/>
              <w:rPr>
                <w:rFonts w:ascii="宋体" w:hAnsi="宋体" w:cs="宋体"/>
                <w:sz w:val="24"/>
              </w:rPr>
            </w:pPr>
          </w:p>
        </w:tc>
        <w:tc>
          <w:tcPr>
            <w:tcW w:w="1462" w:type="dxa"/>
            <w:noWrap/>
          </w:tcPr>
          <w:p>
            <w:pPr>
              <w:jc w:val="center"/>
              <w:rPr>
                <w:rFonts w:ascii="宋体" w:hAnsi="宋体" w:cs="宋体"/>
                <w:sz w:val="24"/>
              </w:rPr>
            </w:pPr>
          </w:p>
        </w:tc>
        <w:tc>
          <w:tcPr>
            <w:tcW w:w="2415" w:type="dxa"/>
            <w:tcBorders>
              <w:right w:val="single" w:color="auto" w:sz="4" w:space="0"/>
            </w:tcBorders>
            <w:noWrap/>
          </w:tcPr>
          <w:p>
            <w:pPr>
              <w:jc w:val="center"/>
              <w:rPr>
                <w:rFonts w:ascii="宋体" w:hAnsi="宋体" w:cs="宋体"/>
                <w:sz w:val="24"/>
              </w:rPr>
            </w:pPr>
          </w:p>
        </w:tc>
        <w:tc>
          <w:tcPr>
            <w:tcW w:w="1746" w:type="dxa"/>
            <w:tcBorders>
              <w:left w:val="single" w:color="auto" w:sz="4" w:space="0"/>
            </w:tcBorders>
            <w:noWrap/>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sz w:val="24"/>
              </w:rPr>
            </w:pPr>
            <w:r>
              <w:rPr>
                <w:rFonts w:hint="eastAsia" w:ascii="宋体" w:hAnsi="宋体" w:cs="宋体"/>
                <w:sz w:val="24"/>
              </w:rPr>
              <w:t>3</w:t>
            </w:r>
          </w:p>
        </w:tc>
        <w:tc>
          <w:tcPr>
            <w:tcW w:w="2387" w:type="dxa"/>
            <w:noWrap/>
          </w:tcPr>
          <w:p>
            <w:pPr>
              <w:jc w:val="center"/>
              <w:rPr>
                <w:rFonts w:ascii="宋体" w:hAnsi="宋体" w:cs="宋体"/>
                <w:sz w:val="24"/>
              </w:rPr>
            </w:pPr>
          </w:p>
        </w:tc>
        <w:tc>
          <w:tcPr>
            <w:tcW w:w="1462" w:type="dxa"/>
            <w:noWrap/>
          </w:tcPr>
          <w:p>
            <w:pPr>
              <w:jc w:val="center"/>
              <w:rPr>
                <w:rFonts w:ascii="宋体" w:hAnsi="宋体" w:cs="宋体"/>
                <w:sz w:val="24"/>
              </w:rPr>
            </w:pPr>
          </w:p>
        </w:tc>
        <w:tc>
          <w:tcPr>
            <w:tcW w:w="2415" w:type="dxa"/>
            <w:tcBorders>
              <w:right w:val="single" w:color="auto" w:sz="4" w:space="0"/>
            </w:tcBorders>
            <w:noWrap/>
          </w:tcPr>
          <w:p>
            <w:pPr>
              <w:jc w:val="center"/>
              <w:rPr>
                <w:rFonts w:ascii="宋体" w:hAnsi="宋体" w:cs="宋体"/>
                <w:sz w:val="24"/>
              </w:rPr>
            </w:pPr>
          </w:p>
        </w:tc>
        <w:tc>
          <w:tcPr>
            <w:tcW w:w="1746" w:type="dxa"/>
            <w:tcBorders>
              <w:left w:val="single" w:color="auto" w:sz="4" w:space="0"/>
            </w:tcBorders>
            <w:noWrap/>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sz w:val="24"/>
              </w:rPr>
            </w:pPr>
            <w:r>
              <w:rPr>
                <w:rFonts w:hint="eastAsia" w:ascii="宋体" w:hAnsi="宋体" w:cs="宋体"/>
                <w:sz w:val="24"/>
              </w:rPr>
              <w:t>4</w:t>
            </w:r>
          </w:p>
        </w:tc>
        <w:tc>
          <w:tcPr>
            <w:tcW w:w="2387" w:type="dxa"/>
            <w:noWrap/>
          </w:tcPr>
          <w:p>
            <w:pPr>
              <w:jc w:val="center"/>
              <w:rPr>
                <w:rFonts w:ascii="宋体" w:hAnsi="宋体" w:cs="宋体"/>
                <w:sz w:val="24"/>
              </w:rPr>
            </w:pPr>
          </w:p>
        </w:tc>
        <w:tc>
          <w:tcPr>
            <w:tcW w:w="1462" w:type="dxa"/>
            <w:noWrap/>
          </w:tcPr>
          <w:p>
            <w:pPr>
              <w:jc w:val="center"/>
              <w:rPr>
                <w:rFonts w:ascii="宋体" w:hAnsi="宋体" w:cs="宋体"/>
                <w:sz w:val="24"/>
              </w:rPr>
            </w:pPr>
          </w:p>
        </w:tc>
        <w:tc>
          <w:tcPr>
            <w:tcW w:w="2415" w:type="dxa"/>
            <w:tcBorders>
              <w:right w:val="single" w:color="auto" w:sz="4" w:space="0"/>
            </w:tcBorders>
            <w:noWrap/>
          </w:tcPr>
          <w:p>
            <w:pPr>
              <w:jc w:val="center"/>
              <w:rPr>
                <w:rFonts w:ascii="宋体" w:hAnsi="宋体" w:cs="宋体"/>
                <w:sz w:val="24"/>
              </w:rPr>
            </w:pPr>
          </w:p>
        </w:tc>
        <w:tc>
          <w:tcPr>
            <w:tcW w:w="1746" w:type="dxa"/>
            <w:tcBorders>
              <w:left w:val="single" w:color="auto" w:sz="4" w:space="0"/>
            </w:tcBorders>
            <w:noWrap/>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sz w:val="24"/>
              </w:rPr>
            </w:pPr>
            <w:r>
              <w:rPr>
                <w:rFonts w:hint="eastAsia" w:ascii="宋体" w:hAnsi="宋体" w:cs="宋体"/>
                <w:sz w:val="24"/>
              </w:rPr>
              <w:t>5</w:t>
            </w:r>
          </w:p>
        </w:tc>
        <w:tc>
          <w:tcPr>
            <w:tcW w:w="2387" w:type="dxa"/>
            <w:noWrap/>
          </w:tcPr>
          <w:p>
            <w:pPr>
              <w:jc w:val="center"/>
              <w:rPr>
                <w:rFonts w:ascii="宋体" w:hAnsi="宋体" w:cs="宋体"/>
                <w:sz w:val="24"/>
              </w:rPr>
            </w:pPr>
          </w:p>
        </w:tc>
        <w:tc>
          <w:tcPr>
            <w:tcW w:w="1462" w:type="dxa"/>
            <w:noWrap/>
          </w:tcPr>
          <w:p>
            <w:pPr>
              <w:jc w:val="center"/>
              <w:rPr>
                <w:rFonts w:ascii="宋体" w:hAnsi="宋体" w:cs="宋体"/>
                <w:sz w:val="24"/>
              </w:rPr>
            </w:pPr>
          </w:p>
        </w:tc>
        <w:tc>
          <w:tcPr>
            <w:tcW w:w="2415" w:type="dxa"/>
            <w:tcBorders>
              <w:right w:val="single" w:color="auto" w:sz="4" w:space="0"/>
            </w:tcBorders>
            <w:noWrap/>
          </w:tcPr>
          <w:p>
            <w:pPr>
              <w:jc w:val="center"/>
              <w:rPr>
                <w:rFonts w:ascii="宋体" w:hAnsi="宋体" w:cs="宋体"/>
                <w:sz w:val="24"/>
              </w:rPr>
            </w:pPr>
          </w:p>
        </w:tc>
        <w:tc>
          <w:tcPr>
            <w:tcW w:w="1746" w:type="dxa"/>
            <w:tcBorders>
              <w:left w:val="single" w:color="auto" w:sz="4" w:space="0"/>
            </w:tcBorders>
            <w:noWrap/>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sz w:val="24"/>
              </w:rPr>
            </w:pPr>
            <w:r>
              <w:rPr>
                <w:rFonts w:hint="eastAsia" w:ascii="宋体" w:hAnsi="宋体" w:cs="宋体"/>
                <w:sz w:val="24"/>
              </w:rPr>
              <w:t>6</w:t>
            </w:r>
          </w:p>
        </w:tc>
        <w:tc>
          <w:tcPr>
            <w:tcW w:w="2387" w:type="dxa"/>
            <w:noWrap/>
          </w:tcPr>
          <w:p>
            <w:pPr>
              <w:jc w:val="center"/>
              <w:rPr>
                <w:rFonts w:ascii="宋体" w:hAnsi="宋体" w:cs="宋体"/>
                <w:sz w:val="24"/>
              </w:rPr>
            </w:pPr>
          </w:p>
        </w:tc>
        <w:tc>
          <w:tcPr>
            <w:tcW w:w="1462" w:type="dxa"/>
            <w:noWrap/>
          </w:tcPr>
          <w:p>
            <w:pPr>
              <w:jc w:val="center"/>
              <w:rPr>
                <w:rFonts w:ascii="宋体" w:hAnsi="宋体" w:cs="宋体"/>
                <w:sz w:val="24"/>
              </w:rPr>
            </w:pPr>
          </w:p>
        </w:tc>
        <w:tc>
          <w:tcPr>
            <w:tcW w:w="2415" w:type="dxa"/>
            <w:tcBorders>
              <w:right w:val="single" w:color="auto" w:sz="4" w:space="0"/>
            </w:tcBorders>
            <w:noWrap/>
          </w:tcPr>
          <w:p>
            <w:pPr>
              <w:jc w:val="center"/>
              <w:rPr>
                <w:rFonts w:ascii="宋体" w:hAnsi="宋体" w:cs="宋体"/>
                <w:sz w:val="24"/>
              </w:rPr>
            </w:pPr>
          </w:p>
        </w:tc>
        <w:tc>
          <w:tcPr>
            <w:tcW w:w="1746" w:type="dxa"/>
            <w:tcBorders>
              <w:left w:val="single" w:color="auto" w:sz="4" w:space="0"/>
            </w:tcBorders>
            <w:noWrap/>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sz w:val="24"/>
              </w:rPr>
            </w:pPr>
            <w:r>
              <w:rPr>
                <w:rFonts w:hint="eastAsia" w:ascii="宋体" w:hAnsi="宋体" w:cs="宋体"/>
                <w:sz w:val="24"/>
              </w:rPr>
              <w:t>7</w:t>
            </w:r>
          </w:p>
        </w:tc>
        <w:tc>
          <w:tcPr>
            <w:tcW w:w="2387" w:type="dxa"/>
            <w:noWrap/>
          </w:tcPr>
          <w:p>
            <w:pPr>
              <w:jc w:val="center"/>
              <w:rPr>
                <w:rFonts w:ascii="宋体" w:hAnsi="宋体" w:cs="宋体"/>
                <w:sz w:val="24"/>
              </w:rPr>
            </w:pPr>
          </w:p>
        </w:tc>
        <w:tc>
          <w:tcPr>
            <w:tcW w:w="1462" w:type="dxa"/>
            <w:noWrap/>
          </w:tcPr>
          <w:p>
            <w:pPr>
              <w:jc w:val="center"/>
              <w:rPr>
                <w:rFonts w:ascii="宋体" w:hAnsi="宋体" w:cs="宋体"/>
                <w:sz w:val="24"/>
              </w:rPr>
            </w:pPr>
          </w:p>
        </w:tc>
        <w:tc>
          <w:tcPr>
            <w:tcW w:w="2415" w:type="dxa"/>
            <w:tcBorders>
              <w:right w:val="single" w:color="auto" w:sz="4" w:space="0"/>
            </w:tcBorders>
            <w:noWrap/>
          </w:tcPr>
          <w:p>
            <w:pPr>
              <w:jc w:val="center"/>
              <w:rPr>
                <w:rFonts w:ascii="宋体" w:hAnsi="宋体" w:cs="宋体"/>
                <w:sz w:val="24"/>
              </w:rPr>
            </w:pPr>
          </w:p>
        </w:tc>
        <w:tc>
          <w:tcPr>
            <w:tcW w:w="1746" w:type="dxa"/>
            <w:tcBorders>
              <w:left w:val="single" w:color="auto" w:sz="4" w:space="0"/>
            </w:tcBorders>
            <w:noWrap/>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sz w:val="24"/>
              </w:rPr>
            </w:pPr>
            <w:r>
              <w:rPr>
                <w:rFonts w:hint="eastAsia" w:ascii="宋体" w:hAnsi="宋体" w:cs="宋体"/>
                <w:sz w:val="24"/>
              </w:rPr>
              <w:t>8</w:t>
            </w:r>
          </w:p>
        </w:tc>
        <w:tc>
          <w:tcPr>
            <w:tcW w:w="2387" w:type="dxa"/>
            <w:noWrap/>
          </w:tcPr>
          <w:p>
            <w:pPr>
              <w:jc w:val="center"/>
              <w:rPr>
                <w:rFonts w:ascii="宋体" w:hAnsi="宋体" w:cs="宋体"/>
                <w:sz w:val="24"/>
              </w:rPr>
            </w:pPr>
          </w:p>
        </w:tc>
        <w:tc>
          <w:tcPr>
            <w:tcW w:w="1462" w:type="dxa"/>
            <w:noWrap/>
          </w:tcPr>
          <w:p>
            <w:pPr>
              <w:jc w:val="center"/>
              <w:rPr>
                <w:rFonts w:ascii="宋体" w:hAnsi="宋体" w:cs="宋体"/>
                <w:sz w:val="24"/>
              </w:rPr>
            </w:pPr>
          </w:p>
        </w:tc>
        <w:tc>
          <w:tcPr>
            <w:tcW w:w="2415" w:type="dxa"/>
            <w:tcBorders>
              <w:right w:val="single" w:color="auto" w:sz="4" w:space="0"/>
            </w:tcBorders>
            <w:noWrap/>
          </w:tcPr>
          <w:p>
            <w:pPr>
              <w:jc w:val="center"/>
              <w:rPr>
                <w:rFonts w:ascii="宋体" w:hAnsi="宋体" w:cs="宋体"/>
                <w:sz w:val="24"/>
              </w:rPr>
            </w:pPr>
          </w:p>
        </w:tc>
        <w:tc>
          <w:tcPr>
            <w:tcW w:w="1746" w:type="dxa"/>
            <w:tcBorders>
              <w:left w:val="single" w:color="auto" w:sz="4" w:space="0"/>
            </w:tcBorders>
            <w:noWrap/>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noWrap/>
            <w:vAlign w:val="center"/>
          </w:tcPr>
          <w:p>
            <w:pPr>
              <w:jc w:val="center"/>
              <w:rPr>
                <w:rFonts w:ascii="宋体" w:hAnsi="宋体" w:cs="宋体"/>
                <w:sz w:val="24"/>
              </w:rPr>
            </w:pPr>
            <w:r>
              <w:rPr>
                <w:rFonts w:hint="eastAsia" w:ascii="宋体" w:hAnsi="宋体" w:cs="宋体"/>
                <w:sz w:val="24"/>
              </w:rPr>
              <w:t>合计</w:t>
            </w:r>
          </w:p>
        </w:tc>
        <w:tc>
          <w:tcPr>
            <w:tcW w:w="2387" w:type="dxa"/>
            <w:noWrap/>
          </w:tcPr>
          <w:p>
            <w:pPr>
              <w:jc w:val="center"/>
              <w:rPr>
                <w:rFonts w:ascii="宋体" w:hAnsi="宋体" w:cs="宋体"/>
                <w:sz w:val="24"/>
              </w:rPr>
            </w:pPr>
          </w:p>
        </w:tc>
        <w:tc>
          <w:tcPr>
            <w:tcW w:w="1462" w:type="dxa"/>
            <w:noWrap/>
          </w:tcPr>
          <w:p>
            <w:pPr>
              <w:jc w:val="center"/>
              <w:rPr>
                <w:rFonts w:ascii="宋体" w:hAnsi="宋体" w:cs="宋体"/>
                <w:sz w:val="24"/>
              </w:rPr>
            </w:pPr>
          </w:p>
        </w:tc>
        <w:tc>
          <w:tcPr>
            <w:tcW w:w="2415" w:type="dxa"/>
            <w:tcBorders>
              <w:right w:val="single" w:color="auto" w:sz="4" w:space="0"/>
            </w:tcBorders>
            <w:noWrap/>
          </w:tcPr>
          <w:p>
            <w:pPr>
              <w:jc w:val="center"/>
              <w:rPr>
                <w:rFonts w:ascii="宋体" w:hAnsi="宋体" w:cs="宋体"/>
                <w:sz w:val="24"/>
              </w:rPr>
            </w:pPr>
          </w:p>
        </w:tc>
        <w:tc>
          <w:tcPr>
            <w:tcW w:w="1746" w:type="dxa"/>
            <w:tcBorders>
              <w:left w:val="single" w:color="auto" w:sz="4" w:space="0"/>
            </w:tcBorders>
            <w:noWrap/>
          </w:tcPr>
          <w:p>
            <w:pPr>
              <w:jc w:val="center"/>
              <w:rPr>
                <w:rFonts w:ascii="宋体" w:hAnsi="宋体" w:cs="宋体"/>
                <w:sz w:val="24"/>
              </w:rPr>
            </w:pPr>
          </w:p>
        </w:tc>
      </w:tr>
    </w:tbl>
    <w:p>
      <w:pPr>
        <w:spacing w:line="360" w:lineRule="auto"/>
        <w:ind w:firstLine="480" w:firstLineChars="200"/>
        <w:rPr>
          <w:rFonts w:ascii="宋体" w:hAnsi="宋体" w:cs="宋体"/>
          <w:sz w:val="24"/>
        </w:rPr>
      </w:pPr>
    </w:p>
    <w:p>
      <w:pPr>
        <w:spacing w:line="360" w:lineRule="auto"/>
        <w:ind w:left="3780" w:leftChars="1800" w:firstLine="480" w:firstLineChars="200"/>
        <w:rPr>
          <w:rFonts w:ascii="宋体" w:hAnsi="宋体" w:cs="宋体"/>
          <w:sz w:val="24"/>
        </w:rPr>
      </w:pPr>
    </w:p>
    <w:p>
      <w:pPr>
        <w:spacing w:line="360" w:lineRule="auto"/>
        <w:ind w:left="3780" w:leftChars="1800" w:firstLine="480" w:firstLineChars="200"/>
        <w:rPr>
          <w:rFonts w:ascii="宋体" w:hAnsi="宋体" w:cs="宋体"/>
          <w:sz w:val="24"/>
        </w:rPr>
      </w:pPr>
      <w:r>
        <w:rPr>
          <w:rFonts w:hint="eastAsia" w:ascii="宋体" w:hAnsi="宋体" w:cs="宋体"/>
          <w:sz w:val="24"/>
        </w:rPr>
        <w:t xml:space="preserve">法定代表人签名（或签名章）：                       </w:t>
      </w:r>
    </w:p>
    <w:p>
      <w:pPr>
        <w:spacing w:line="360" w:lineRule="auto"/>
        <w:ind w:left="3780" w:leftChars="1800" w:firstLine="480" w:firstLineChars="200"/>
        <w:rPr>
          <w:rFonts w:ascii="宋体" w:hAnsi="宋体" w:cs="宋体"/>
          <w:sz w:val="24"/>
        </w:rPr>
      </w:pPr>
      <w:r>
        <w:rPr>
          <w:rFonts w:hint="eastAsia" w:ascii="宋体" w:hAnsi="宋体" w:cs="宋体"/>
          <w:sz w:val="24"/>
        </w:rPr>
        <w:t>日 期：</w:t>
      </w:r>
    </w:p>
    <w:p>
      <w:pPr>
        <w:spacing w:line="360" w:lineRule="auto"/>
        <w:ind w:left="3780" w:leftChars="1800" w:firstLine="480" w:firstLineChars="200"/>
        <w:rPr>
          <w:rFonts w:ascii="宋体" w:hAnsi="宋体" w:cs="宋体"/>
          <w:sz w:val="24"/>
        </w:rPr>
      </w:pPr>
      <w:r>
        <w:rPr>
          <w:rFonts w:hint="eastAsia" w:ascii="宋体" w:hAnsi="宋体" w:cs="宋体"/>
          <w:sz w:val="24"/>
        </w:rPr>
        <w:t>投标人全称（公章）：</w:t>
      </w:r>
    </w:p>
    <w:p>
      <w:pPr>
        <w:pStyle w:val="3"/>
        <w:ind w:firstLine="566"/>
        <w:rPr>
          <w:rFonts w:ascii="宋体" w:hAnsi="宋体" w:cs="宋体"/>
          <w:sz w:val="28"/>
          <w:szCs w:val="28"/>
        </w:rPr>
      </w:pPr>
    </w:p>
    <w:p>
      <w:pPr>
        <w:snapToGrid w:val="0"/>
        <w:spacing w:before="50" w:afterLines="50"/>
        <w:jc w:val="left"/>
        <w:rPr>
          <w:rFonts w:ascii="宋体" w:hAnsi="宋体" w:cs="宋体"/>
          <w:b/>
          <w:bCs/>
          <w:sz w:val="24"/>
          <w:lang w:val="zh-CN"/>
        </w:rPr>
      </w:pPr>
      <w:r>
        <w:rPr>
          <w:rFonts w:hint="eastAsia" w:ascii="宋体" w:hAnsi="宋体" w:cs="宋体"/>
          <w:b/>
          <w:bCs/>
          <w:sz w:val="30"/>
          <w:szCs w:val="30"/>
        </w:rPr>
        <w:br w:type="page"/>
      </w:r>
      <w:r>
        <w:rPr>
          <w:rFonts w:hint="eastAsia" w:ascii="宋体" w:hAnsi="宋体" w:cs="宋体"/>
          <w:b/>
          <w:bCs/>
          <w:sz w:val="24"/>
          <w:lang w:val="zh-CN"/>
        </w:rPr>
        <w:t>附件五：</w:t>
      </w:r>
    </w:p>
    <w:p>
      <w:pPr>
        <w:spacing w:line="360" w:lineRule="auto"/>
        <w:jc w:val="center"/>
        <w:rPr>
          <w:rFonts w:ascii="宋体" w:hAnsi="宋体" w:cs="宋体"/>
          <w:b/>
          <w:bCs/>
          <w:sz w:val="32"/>
          <w:szCs w:val="32"/>
        </w:rPr>
      </w:pPr>
      <w:r>
        <w:rPr>
          <w:rFonts w:hint="eastAsia" w:ascii="宋体" w:hAnsi="宋体" w:cs="宋体"/>
          <w:b/>
          <w:bCs/>
          <w:sz w:val="32"/>
          <w:szCs w:val="32"/>
        </w:rPr>
        <w:t>投标项目明细清单</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采购编号：</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序号</w:t>
            </w: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服务内容</w:t>
            </w: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服务人员数量</w:t>
            </w:r>
          </w:p>
        </w:tc>
        <w:tc>
          <w:tcPr>
            <w:tcW w:w="28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cs="宋体"/>
                <w:sz w:val="24"/>
              </w:rPr>
            </w:pPr>
          </w:p>
        </w:tc>
        <w:tc>
          <w:tcPr>
            <w:tcW w:w="28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282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宋体" w:hAnsi="宋体" w:cs="宋体"/>
                <w:sz w:val="24"/>
              </w:rPr>
            </w:pPr>
          </w:p>
        </w:tc>
        <w:tc>
          <w:tcPr>
            <w:tcW w:w="28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r>
    </w:tbl>
    <w:p>
      <w:pPr>
        <w:snapToGrid w:val="0"/>
        <w:spacing w:beforeLines="50" w:line="360" w:lineRule="auto"/>
        <w:ind w:firstLine="480" w:firstLineChars="200"/>
        <w:rPr>
          <w:rFonts w:ascii="宋体" w:hAnsi="宋体" w:cs="宋体"/>
          <w:sz w:val="24"/>
        </w:rPr>
      </w:pPr>
      <w:r>
        <w:rPr>
          <w:rFonts w:hint="eastAsia" w:ascii="宋体" w:hAnsi="宋体" w:cs="宋体"/>
          <w:sz w:val="24"/>
        </w:rPr>
        <w:t>注：在填写时，如上表不适合本项目的实际情况，可在确保投标明细内容完整的情况下，根据上表格式自行划表填写。</w:t>
      </w:r>
    </w:p>
    <w:p>
      <w:pPr>
        <w:pStyle w:val="3"/>
        <w:rPr>
          <w:rFonts w:ascii="宋体" w:hAnsi="宋体" w:cs="宋体"/>
          <w:sz w:val="24"/>
        </w:rPr>
      </w:pPr>
    </w:p>
    <w:p>
      <w:pPr>
        <w:pStyle w:val="3"/>
        <w:rPr>
          <w:rFonts w:ascii="宋体" w:hAnsi="宋体" w:cs="宋体"/>
          <w:sz w:val="24"/>
        </w:rPr>
      </w:pPr>
    </w:p>
    <w:p>
      <w:pPr>
        <w:pStyle w:val="3"/>
        <w:rPr>
          <w:rFonts w:ascii="宋体" w:hAnsi="宋体" w:cs="宋体"/>
          <w:sz w:val="24"/>
        </w:rPr>
      </w:pPr>
    </w:p>
    <w:p>
      <w:pPr>
        <w:snapToGrid w:val="0"/>
        <w:spacing w:beforeLines="50"/>
        <w:rPr>
          <w:rFonts w:ascii="宋体" w:hAnsi="宋体" w:cs="宋体"/>
          <w:sz w:val="24"/>
        </w:rPr>
      </w:pPr>
    </w:p>
    <w:p>
      <w:pPr>
        <w:spacing w:line="360" w:lineRule="auto"/>
        <w:ind w:left="3780" w:leftChars="1800" w:firstLine="480" w:firstLineChars="200"/>
        <w:rPr>
          <w:rFonts w:ascii="宋体" w:hAnsi="宋体" w:cs="宋体"/>
          <w:sz w:val="24"/>
        </w:rPr>
      </w:pPr>
      <w:r>
        <w:rPr>
          <w:rFonts w:hint="eastAsia" w:ascii="宋体" w:hAnsi="宋体" w:cs="宋体"/>
          <w:sz w:val="24"/>
        </w:rPr>
        <w:t xml:space="preserve">法定代表人签名（或签名章）：                       </w:t>
      </w:r>
    </w:p>
    <w:p>
      <w:pPr>
        <w:spacing w:line="360" w:lineRule="auto"/>
        <w:ind w:left="3780" w:leftChars="1800" w:firstLine="480" w:firstLineChars="200"/>
        <w:rPr>
          <w:rFonts w:ascii="宋体" w:hAnsi="宋体" w:cs="宋体"/>
          <w:sz w:val="24"/>
        </w:rPr>
      </w:pPr>
      <w:r>
        <w:rPr>
          <w:rFonts w:hint="eastAsia" w:ascii="宋体" w:hAnsi="宋体" w:cs="宋体"/>
          <w:sz w:val="24"/>
        </w:rPr>
        <w:t>日 期：</w:t>
      </w:r>
    </w:p>
    <w:p>
      <w:pPr>
        <w:spacing w:line="360" w:lineRule="auto"/>
        <w:ind w:left="3780" w:leftChars="1800" w:firstLine="480" w:firstLineChars="200"/>
        <w:rPr>
          <w:rFonts w:ascii="宋体" w:hAnsi="宋体" w:cs="宋体"/>
          <w:sz w:val="24"/>
        </w:rPr>
      </w:pPr>
      <w:r>
        <w:rPr>
          <w:rFonts w:hint="eastAsia" w:ascii="宋体" w:hAnsi="宋体" w:cs="宋体"/>
          <w:sz w:val="24"/>
        </w:rPr>
        <w:t>投标人全称（公章）：</w:t>
      </w:r>
    </w:p>
    <w:p>
      <w:pPr>
        <w:snapToGrid w:val="0"/>
        <w:spacing w:before="50" w:after="50"/>
        <w:rPr>
          <w:rFonts w:ascii="宋体" w:hAnsi="宋体" w:cs="宋体"/>
          <w:spacing w:val="20"/>
          <w:sz w:val="24"/>
        </w:rPr>
      </w:pPr>
    </w:p>
    <w:p>
      <w:pPr>
        <w:snapToGrid w:val="0"/>
        <w:spacing w:before="50" w:after="50"/>
        <w:rPr>
          <w:rFonts w:ascii="宋体" w:hAnsi="宋体" w:cs="宋体"/>
          <w:spacing w:val="20"/>
          <w:sz w:val="30"/>
          <w:szCs w:val="30"/>
        </w:rPr>
      </w:pPr>
    </w:p>
    <w:p>
      <w:pPr>
        <w:pStyle w:val="3"/>
        <w:ind w:firstLine="686"/>
        <w:rPr>
          <w:rFonts w:ascii="宋体" w:hAnsi="宋体" w:cs="宋体"/>
          <w:spacing w:val="20"/>
          <w:sz w:val="30"/>
          <w:szCs w:val="30"/>
        </w:rPr>
      </w:pPr>
    </w:p>
    <w:p>
      <w:pPr>
        <w:pStyle w:val="3"/>
        <w:ind w:firstLine="686"/>
        <w:rPr>
          <w:rFonts w:ascii="宋体" w:hAnsi="宋体" w:cs="宋体"/>
          <w:spacing w:val="20"/>
          <w:sz w:val="30"/>
          <w:szCs w:val="30"/>
        </w:rPr>
      </w:pPr>
    </w:p>
    <w:p>
      <w:pPr>
        <w:pStyle w:val="3"/>
        <w:ind w:firstLine="686"/>
        <w:rPr>
          <w:rFonts w:ascii="宋体" w:hAnsi="宋体" w:cs="宋体"/>
          <w:spacing w:val="20"/>
          <w:sz w:val="30"/>
          <w:szCs w:val="30"/>
        </w:rPr>
      </w:pPr>
    </w:p>
    <w:p>
      <w:pPr>
        <w:pStyle w:val="3"/>
        <w:ind w:firstLine="686"/>
        <w:rPr>
          <w:rFonts w:ascii="宋体" w:hAnsi="宋体" w:cs="宋体"/>
          <w:spacing w:val="20"/>
          <w:sz w:val="30"/>
          <w:szCs w:val="30"/>
        </w:rPr>
      </w:pPr>
    </w:p>
    <w:p>
      <w:pPr>
        <w:pStyle w:val="8"/>
        <w:rPr>
          <w:rFonts w:hAnsi="宋体" w:cs="宋体"/>
          <w:bCs/>
          <w:sz w:val="24"/>
          <w:szCs w:val="24"/>
        </w:rPr>
      </w:pPr>
      <w:bookmarkStart w:id="452" w:name="_Toc2823"/>
      <w:r>
        <w:rPr>
          <w:rFonts w:hint="eastAsia" w:hAnsi="宋体" w:cs="宋体"/>
          <w:bCs/>
          <w:sz w:val="24"/>
          <w:szCs w:val="24"/>
        </w:rPr>
        <w:br w:type="page"/>
      </w:r>
      <w:r>
        <w:rPr>
          <w:rFonts w:hint="eastAsia" w:hAnsi="宋体" w:cs="宋体"/>
          <w:bCs/>
          <w:sz w:val="24"/>
          <w:szCs w:val="24"/>
        </w:rPr>
        <w:t>附件六：</w:t>
      </w:r>
    </w:p>
    <w:p>
      <w:pPr>
        <w:spacing w:line="360" w:lineRule="auto"/>
        <w:jc w:val="center"/>
        <w:rPr>
          <w:rFonts w:ascii="宋体" w:hAnsi="宋体" w:cs="宋体"/>
          <w:b/>
          <w:bCs/>
          <w:sz w:val="32"/>
          <w:szCs w:val="32"/>
        </w:rPr>
      </w:pPr>
      <w:r>
        <w:rPr>
          <w:rFonts w:hint="eastAsia" w:ascii="宋体" w:hAnsi="宋体" w:cs="宋体"/>
          <w:b/>
          <w:bCs/>
          <w:sz w:val="32"/>
          <w:szCs w:val="32"/>
        </w:rPr>
        <w:t>技术响应及建议表</w:t>
      </w:r>
      <w:bookmarkEnd w:id="452"/>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采购编号：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sz w:val="24"/>
              </w:rPr>
            </w:pPr>
            <w:r>
              <w:rPr>
                <w:rFonts w:hint="eastAsia" w:ascii="宋体" w:hAnsi="宋体" w:cs="宋体"/>
                <w:sz w:val="24"/>
              </w:rPr>
              <w:t>序号</w:t>
            </w:r>
          </w:p>
        </w:tc>
        <w:tc>
          <w:tcPr>
            <w:tcW w:w="1440" w:type="dxa"/>
            <w:noWrap/>
            <w:vAlign w:val="center"/>
          </w:tcPr>
          <w:p>
            <w:pPr>
              <w:snapToGrid w:val="0"/>
              <w:spacing w:before="50" w:after="50"/>
              <w:jc w:val="center"/>
              <w:rPr>
                <w:rFonts w:ascii="宋体" w:hAnsi="宋体" w:cs="宋体"/>
                <w:sz w:val="24"/>
              </w:rPr>
            </w:pPr>
            <w:r>
              <w:rPr>
                <w:rFonts w:hint="eastAsia" w:ascii="宋体" w:hAnsi="宋体" w:cs="宋体"/>
                <w:sz w:val="24"/>
              </w:rPr>
              <w:t>名称</w:t>
            </w:r>
          </w:p>
        </w:tc>
        <w:tc>
          <w:tcPr>
            <w:tcW w:w="1980" w:type="dxa"/>
            <w:noWrap/>
            <w:vAlign w:val="center"/>
          </w:tcPr>
          <w:p>
            <w:pPr>
              <w:snapToGrid w:val="0"/>
              <w:spacing w:before="50" w:after="50"/>
              <w:jc w:val="center"/>
              <w:rPr>
                <w:rFonts w:ascii="宋体" w:hAnsi="宋体" w:cs="宋体"/>
                <w:sz w:val="24"/>
              </w:rPr>
            </w:pPr>
            <w:r>
              <w:rPr>
                <w:rFonts w:hint="eastAsia" w:ascii="宋体" w:hAnsi="宋体" w:cs="宋体"/>
                <w:sz w:val="24"/>
              </w:rPr>
              <w:t>招标文件要求</w:t>
            </w:r>
          </w:p>
        </w:tc>
        <w:tc>
          <w:tcPr>
            <w:tcW w:w="2520" w:type="dxa"/>
            <w:noWrap/>
            <w:vAlign w:val="center"/>
          </w:tcPr>
          <w:p>
            <w:pPr>
              <w:snapToGrid w:val="0"/>
              <w:spacing w:before="50" w:after="50"/>
              <w:jc w:val="center"/>
              <w:rPr>
                <w:rFonts w:ascii="宋体" w:hAnsi="宋体" w:cs="宋体"/>
                <w:sz w:val="24"/>
              </w:rPr>
            </w:pPr>
            <w:r>
              <w:rPr>
                <w:rFonts w:hint="eastAsia" w:ascii="宋体" w:hAnsi="宋体" w:cs="宋体"/>
                <w:sz w:val="24"/>
              </w:rPr>
              <w:t>投标文件响应</w:t>
            </w:r>
          </w:p>
        </w:tc>
        <w:tc>
          <w:tcPr>
            <w:tcW w:w="1953" w:type="dxa"/>
            <w:noWrap/>
            <w:vAlign w:val="center"/>
          </w:tcPr>
          <w:p>
            <w:pPr>
              <w:snapToGrid w:val="0"/>
              <w:spacing w:before="50" w:after="50"/>
              <w:jc w:val="center"/>
              <w:rPr>
                <w:rFonts w:ascii="宋体" w:hAnsi="宋体" w:cs="宋体"/>
                <w:sz w:val="24"/>
              </w:rPr>
            </w:pPr>
            <w:r>
              <w:rPr>
                <w:rFonts w:hint="eastAsia" w:ascii="宋体" w:hAnsi="宋体" w:cs="宋体"/>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sz w:val="24"/>
              </w:rPr>
            </w:pPr>
          </w:p>
        </w:tc>
        <w:tc>
          <w:tcPr>
            <w:tcW w:w="1440" w:type="dxa"/>
            <w:noWrap/>
            <w:vAlign w:val="center"/>
          </w:tcPr>
          <w:p>
            <w:pPr>
              <w:snapToGrid w:val="0"/>
              <w:spacing w:before="50" w:after="50"/>
              <w:jc w:val="center"/>
              <w:rPr>
                <w:rFonts w:ascii="宋体" w:hAnsi="宋体" w:cs="宋体"/>
                <w:sz w:val="24"/>
              </w:rPr>
            </w:pPr>
          </w:p>
        </w:tc>
        <w:tc>
          <w:tcPr>
            <w:tcW w:w="1980" w:type="dxa"/>
            <w:noWrap/>
            <w:vAlign w:val="center"/>
          </w:tcPr>
          <w:p>
            <w:pPr>
              <w:snapToGrid w:val="0"/>
              <w:spacing w:before="50" w:after="50"/>
              <w:jc w:val="center"/>
              <w:rPr>
                <w:rFonts w:ascii="宋体" w:hAnsi="宋体" w:cs="宋体"/>
                <w:sz w:val="24"/>
              </w:rPr>
            </w:pPr>
          </w:p>
        </w:tc>
        <w:tc>
          <w:tcPr>
            <w:tcW w:w="2520" w:type="dxa"/>
            <w:noWrap/>
            <w:vAlign w:val="center"/>
          </w:tcPr>
          <w:p>
            <w:pPr>
              <w:snapToGrid w:val="0"/>
              <w:spacing w:before="50" w:after="50"/>
              <w:jc w:val="center"/>
              <w:rPr>
                <w:rFonts w:ascii="宋体" w:hAnsi="宋体" w:cs="宋体"/>
                <w:sz w:val="24"/>
              </w:rPr>
            </w:pPr>
          </w:p>
        </w:tc>
        <w:tc>
          <w:tcPr>
            <w:tcW w:w="1953" w:type="dxa"/>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sz w:val="24"/>
              </w:rPr>
            </w:pPr>
          </w:p>
        </w:tc>
        <w:tc>
          <w:tcPr>
            <w:tcW w:w="1440" w:type="dxa"/>
            <w:noWrap/>
            <w:vAlign w:val="center"/>
          </w:tcPr>
          <w:p>
            <w:pPr>
              <w:snapToGrid w:val="0"/>
              <w:spacing w:before="50" w:after="50"/>
              <w:jc w:val="center"/>
              <w:rPr>
                <w:rFonts w:ascii="宋体" w:hAnsi="宋体" w:cs="宋体"/>
                <w:sz w:val="24"/>
              </w:rPr>
            </w:pPr>
          </w:p>
        </w:tc>
        <w:tc>
          <w:tcPr>
            <w:tcW w:w="1980" w:type="dxa"/>
            <w:noWrap/>
            <w:vAlign w:val="center"/>
          </w:tcPr>
          <w:p>
            <w:pPr>
              <w:snapToGrid w:val="0"/>
              <w:spacing w:before="50" w:after="50"/>
              <w:jc w:val="center"/>
              <w:rPr>
                <w:rFonts w:ascii="宋体" w:hAnsi="宋体" w:cs="宋体"/>
                <w:sz w:val="24"/>
              </w:rPr>
            </w:pPr>
          </w:p>
        </w:tc>
        <w:tc>
          <w:tcPr>
            <w:tcW w:w="2520" w:type="dxa"/>
            <w:noWrap/>
            <w:vAlign w:val="center"/>
          </w:tcPr>
          <w:p>
            <w:pPr>
              <w:snapToGrid w:val="0"/>
              <w:spacing w:before="50" w:after="50"/>
              <w:jc w:val="center"/>
              <w:rPr>
                <w:rFonts w:ascii="宋体" w:hAnsi="宋体" w:cs="宋体"/>
                <w:sz w:val="24"/>
              </w:rPr>
            </w:pPr>
          </w:p>
        </w:tc>
        <w:tc>
          <w:tcPr>
            <w:tcW w:w="1953" w:type="dxa"/>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sz w:val="24"/>
              </w:rPr>
            </w:pPr>
          </w:p>
        </w:tc>
        <w:tc>
          <w:tcPr>
            <w:tcW w:w="1440" w:type="dxa"/>
            <w:noWrap/>
            <w:vAlign w:val="center"/>
          </w:tcPr>
          <w:p>
            <w:pPr>
              <w:snapToGrid w:val="0"/>
              <w:spacing w:before="50" w:after="50"/>
              <w:jc w:val="center"/>
              <w:rPr>
                <w:rFonts w:ascii="宋体" w:hAnsi="宋体" w:cs="宋体"/>
                <w:sz w:val="24"/>
              </w:rPr>
            </w:pPr>
          </w:p>
        </w:tc>
        <w:tc>
          <w:tcPr>
            <w:tcW w:w="1980" w:type="dxa"/>
            <w:noWrap/>
            <w:vAlign w:val="center"/>
          </w:tcPr>
          <w:p>
            <w:pPr>
              <w:snapToGrid w:val="0"/>
              <w:spacing w:before="50" w:after="50"/>
              <w:jc w:val="center"/>
              <w:rPr>
                <w:rFonts w:ascii="宋体" w:hAnsi="宋体" w:cs="宋体"/>
                <w:sz w:val="24"/>
              </w:rPr>
            </w:pPr>
          </w:p>
        </w:tc>
        <w:tc>
          <w:tcPr>
            <w:tcW w:w="2520" w:type="dxa"/>
            <w:noWrap/>
            <w:vAlign w:val="center"/>
          </w:tcPr>
          <w:p>
            <w:pPr>
              <w:snapToGrid w:val="0"/>
              <w:spacing w:before="50" w:after="50"/>
              <w:jc w:val="center"/>
              <w:rPr>
                <w:rFonts w:ascii="宋体" w:hAnsi="宋体" w:cs="宋体"/>
                <w:sz w:val="24"/>
              </w:rPr>
            </w:pPr>
          </w:p>
        </w:tc>
        <w:tc>
          <w:tcPr>
            <w:tcW w:w="1953" w:type="dxa"/>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sz w:val="24"/>
              </w:rPr>
            </w:pPr>
          </w:p>
        </w:tc>
        <w:tc>
          <w:tcPr>
            <w:tcW w:w="1440" w:type="dxa"/>
            <w:noWrap/>
            <w:vAlign w:val="center"/>
          </w:tcPr>
          <w:p>
            <w:pPr>
              <w:snapToGrid w:val="0"/>
              <w:spacing w:before="50" w:after="50"/>
              <w:jc w:val="center"/>
              <w:rPr>
                <w:rFonts w:ascii="宋体" w:hAnsi="宋体" w:cs="宋体"/>
                <w:sz w:val="24"/>
              </w:rPr>
            </w:pPr>
          </w:p>
        </w:tc>
        <w:tc>
          <w:tcPr>
            <w:tcW w:w="1980" w:type="dxa"/>
            <w:noWrap/>
            <w:vAlign w:val="center"/>
          </w:tcPr>
          <w:p>
            <w:pPr>
              <w:snapToGrid w:val="0"/>
              <w:spacing w:before="50" w:after="50"/>
              <w:jc w:val="center"/>
              <w:rPr>
                <w:rFonts w:ascii="宋体" w:hAnsi="宋体" w:cs="宋体"/>
                <w:sz w:val="24"/>
              </w:rPr>
            </w:pPr>
          </w:p>
        </w:tc>
        <w:tc>
          <w:tcPr>
            <w:tcW w:w="2520" w:type="dxa"/>
            <w:noWrap/>
            <w:vAlign w:val="center"/>
          </w:tcPr>
          <w:p>
            <w:pPr>
              <w:snapToGrid w:val="0"/>
              <w:spacing w:before="50" w:after="50"/>
              <w:jc w:val="center"/>
              <w:rPr>
                <w:rFonts w:ascii="宋体" w:hAnsi="宋体" w:cs="宋体"/>
                <w:sz w:val="24"/>
              </w:rPr>
            </w:pPr>
          </w:p>
        </w:tc>
        <w:tc>
          <w:tcPr>
            <w:tcW w:w="1953" w:type="dxa"/>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noWrap/>
            <w:vAlign w:val="center"/>
          </w:tcPr>
          <w:p>
            <w:pPr>
              <w:snapToGrid w:val="0"/>
              <w:spacing w:before="50" w:after="50"/>
              <w:jc w:val="center"/>
              <w:rPr>
                <w:rFonts w:ascii="宋体" w:hAnsi="宋体" w:cs="宋体"/>
                <w:sz w:val="24"/>
              </w:rPr>
            </w:pPr>
          </w:p>
        </w:tc>
        <w:tc>
          <w:tcPr>
            <w:tcW w:w="1440" w:type="dxa"/>
            <w:noWrap/>
            <w:vAlign w:val="center"/>
          </w:tcPr>
          <w:p>
            <w:pPr>
              <w:snapToGrid w:val="0"/>
              <w:spacing w:before="50" w:after="50"/>
              <w:jc w:val="center"/>
              <w:rPr>
                <w:rFonts w:ascii="宋体" w:hAnsi="宋体" w:cs="宋体"/>
                <w:sz w:val="24"/>
              </w:rPr>
            </w:pPr>
          </w:p>
        </w:tc>
        <w:tc>
          <w:tcPr>
            <w:tcW w:w="1980" w:type="dxa"/>
            <w:noWrap/>
            <w:vAlign w:val="center"/>
          </w:tcPr>
          <w:p>
            <w:pPr>
              <w:snapToGrid w:val="0"/>
              <w:spacing w:before="50" w:after="50"/>
              <w:jc w:val="center"/>
              <w:rPr>
                <w:rFonts w:ascii="宋体" w:hAnsi="宋体" w:cs="宋体"/>
                <w:sz w:val="24"/>
              </w:rPr>
            </w:pPr>
          </w:p>
        </w:tc>
        <w:tc>
          <w:tcPr>
            <w:tcW w:w="2520" w:type="dxa"/>
            <w:noWrap/>
            <w:vAlign w:val="center"/>
          </w:tcPr>
          <w:p>
            <w:pPr>
              <w:snapToGrid w:val="0"/>
              <w:spacing w:before="50" w:after="50"/>
              <w:jc w:val="center"/>
              <w:rPr>
                <w:rFonts w:ascii="宋体" w:hAnsi="宋体" w:cs="宋体"/>
                <w:sz w:val="24"/>
              </w:rPr>
            </w:pPr>
          </w:p>
        </w:tc>
        <w:tc>
          <w:tcPr>
            <w:tcW w:w="1953" w:type="dxa"/>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noWrap/>
            <w:vAlign w:val="center"/>
          </w:tcPr>
          <w:p>
            <w:pPr>
              <w:snapToGrid w:val="0"/>
              <w:spacing w:before="50" w:after="50"/>
              <w:jc w:val="center"/>
              <w:rPr>
                <w:rFonts w:ascii="宋体" w:hAnsi="宋体" w:cs="宋体"/>
                <w:sz w:val="24"/>
              </w:rPr>
            </w:pPr>
            <w:r>
              <w:rPr>
                <w:rFonts w:hint="eastAsia" w:ascii="宋体" w:hAnsi="宋体" w:cs="宋体"/>
                <w:sz w:val="24"/>
              </w:rPr>
              <w:t>投标建议</w:t>
            </w:r>
          </w:p>
        </w:tc>
        <w:tc>
          <w:tcPr>
            <w:tcW w:w="6453" w:type="dxa"/>
            <w:gridSpan w:val="3"/>
            <w:noWrap/>
            <w:vAlign w:val="center"/>
          </w:tcPr>
          <w:p>
            <w:pPr>
              <w:spacing w:line="360" w:lineRule="auto"/>
              <w:jc w:val="center"/>
              <w:rPr>
                <w:rFonts w:ascii="宋体" w:hAnsi="宋体" w:cs="宋体"/>
                <w:sz w:val="24"/>
              </w:rPr>
            </w:pPr>
          </w:p>
        </w:tc>
      </w:tr>
    </w:tbl>
    <w:p>
      <w:pPr>
        <w:snapToGrid w:val="0"/>
        <w:spacing w:line="360" w:lineRule="auto"/>
        <w:rPr>
          <w:rFonts w:ascii="宋体" w:hAnsi="宋体" w:cs="宋体"/>
          <w:sz w:val="24"/>
        </w:rPr>
      </w:pPr>
    </w:p>
    <w:p>
      <w:pPr>
        <w:pStyle w:val="13"/>
        <w:spacing w:line="360" w:lineRule="auto"/>
        <w:rPr>
          <w:rFonts w:hAnsi="宋体" w:cs="宋体"/>
          <w:sz w:val="24"/>
        </w:rPr>
      </w:pPr>
      <w:r>
        <w:rPr>
          <w:rFonts w:hint="eastAsia" w:hAnsi="宋体" w:cs="宋体"/>
          <w:sz w:val="24"/>
        </w:rPr>
        <w:t>注：名称可基于项目清单根据投标人实际情况调整。</w:t>
      </w:r>
    </w:p>
    <w:p>
      <w:pPr>
        <w:rPr>
          <w:rFonts w:ascii="宋体" w:hAnsi="宋体" w:cs="宋体"/>
          <w:sz w:val="24"/>
        </w:rPr>
      </w:pPr>
    </w:p>
    <w:p>
      <w:pPr>
        <w:pStyle w:val="3"/>
      </w:pPr>
    </w:p>
    <w:p>
      <w:pPr>
        <w:snapToGrid w:val="0"/>
        <w:spacing w:line="360" w:lineRule="auto"/>
        <w:rPr>
          <w:rFonts w:ascii="宋体" w:hAnsi="宋体" w:cs="宋体"/>
          <w:sz w:val="24"/>
        </w:rPr>
      </w:pPr>
    </w:p>
    <w:p>
      <w:pPr>
        <w:spacing w:line="360" w:lineRule="auto"/>
        <w:ind w:left="3780" w:leftChars="1800" w:firstLine="480" w:firstLineChars="200"/>
        <w:rPr>
          <w:rFonts w:ascii="宋体" w:hAnsi="宋体" w:cs="宋体"/>
          <w:sz w:val="24"/>
        </w:rPr>
      </w:pPr>
      <w:r>
        <w:rPr>
          <w:rFonts w:hint="eastAsia" w:ascii="宋体" w:hAnsi="宋体" w:cs="宋体"/>
          <w:sz w:val="24"/>
        </w:rPr>
        <w:t xml:space="preserve">法定代表人签名（或签名章）：                       </w:t>
      </w:r>
    </w:p>
    <w:p>
      <w:pPr>
        <w:spacing w:line="360" w:lineRule="auto"/>
        <w:ind w:left="3780" w:leftChars="1800" w:firstLine="480" w:firstLineChars="200"/>
        <w:rPr>
          <w:rFonts w:ascii="宋体" w:hAnsi="宋体" w:cs="宋体"/>
          <w:sz w:val="24"/>
        </w:rPr>
      </w:pPr>
      <w:r>
        <w:rPr>
          <w:rFonts w:hint="eastAsia" w:ascii="宋体" w:hAnsi="宋体" w:cs="宋体"/>
          <w:sz w:val="24"/>
        </w:rPr>
        <w:t>日 期：</w:t>
      </w:r>
    </w:p>
    <w:p>
      <w:pPr>
        <w:spacing w:line="360" w:lineRule="auto"/>
        <w:ind w:left="3780" w:leftChars="1800" w:firstLine="480" w:firstLineChars="200"/>
        <w:rPr>
          <w:rFonts w:ascii="宋体" w:hAnsi="宋体" w:cs="宋体"/>
          <w:sz w:val="24"/>
        </w:rPr>
      </w:pPr>
      <w:r>
        <w:rPr>
          <w:rFonts w:hint="eastAsia" w:ascii="宋体" w:hAnsi="宋体" w:cs="宋体"/>
          <w:sz w:val="24"/>
        </w:rPr>
        <w:t>投标人全称（公章）：</w:t>
      </w:r>
    </w:p>
    <w:p>
      <w:pPr>
        <w:pStyle w:val="8"/>
        <w:rPr>
          <w:rFonts w:hAnsi="宋体" w:cs="宋体"/>
          <w:bCs/>
          <w:sz w:val="24"/>
          <w:szCs w:val="24"/>
        </w:rPr>
      </w:pPr>
      <w:r>
        <w:rPr>
          <w:rFonts w:hint="eastAsia" w:hAnsi="宋体" w:cs="宋体"/>
          <w:bCs/>
          <w:sz w:val="24"/>
          <w:szCs w:val="24"/>
        </w:rPr>
        <w:br w:type="page"/>
      </w:r>
      <w:r>
        <w:rPr>
          <w:rFonts w:hint="eastAsia" w:hAnsi="宋体" w:cs="宋体"/>
          <w:bCs/>
          <w:sz w:val="24"/>
          <w:szCs w:val="24"/>
        </w:rPr>
        <w:t>附件七：</w:t>
      </w:r>
    </w:p>
    <w:p>
      <w:pPr>
        <w:spacing w:line="360" w:lineRule="auto"/>
        <w:jc w:val="center"/>
        <w:rPr>
          <w:rFonts w:ascii="宋体" w:hAnsi="宋体" w:cs="宋体"/>
          <w:b/>
          <w:bCs/>
          <w:sz w:val="32"/>
          <w:szCs w:val="32"/>
        </w:rPr>
      </w:pPr>
      <w:r>
        <w:rPr>
          <w:rFonts w:hint="eastAsia" w:ascii="宋体" w:hAnsi="宋体" w:cs="宋体"/>
          <w:b/>
          <w:bCs/>
          <w:sz w:val="32"/>
          <w:szCs w:val="32"/>
        </w:rPr>
        <w:t>商务响应表</w:t>
      </w:r>
    </w:p>
    <w:p>
      <w:pPr>
        <w:snapToGrid w:val="0"/>
        <w:spacing w:before="50"/>
        <w:jc w:val="center"/>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采购编号：</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是否</w:t>
            </w:r>
          </w:p>
          <w:p>
            <w:pPr>
              <w:snapToGrid w:val="0"/>
              <w:spacing w:before="50" w:after="50"/>
              <w:jc w:val="center"/>
              <w:rPr>
                <w:rFonts w:ascii="宋体" w:hAnsi="宋体" w:cs="宋体"/>
                <w:sz w:val="24"/>
              </w:rPr>
            </w:pPr>
            <w:r>
              <w:rPr>
                <w:rFonts w:hint="eastAsia" w:ascii="宋体" w:hAnsi="宋体" w:cs="宋体"/>
                <w:sz w:val="24"/>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服务时间及地点</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付款条件</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项目维护计划</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售后服务响应情况</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本地化服务</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技术培训</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公司技术力量情况</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经验或业绩要求</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各类证书</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w:t>
            </w:r>
          </w:p>
        </w:tc>
        <w:tc>
          <w:tcPr>
            <w:tcW w:w="27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c>
          <w:tcPr>
            <w:tcW w:w="30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p>
        </w:tc>
      </w:tr>
    </w:tbl>
    <w:p>
      <w:pPr>
        <w:spacing w:line="360" w:lineRule="auto"/>
        <w:ind w:left="3780" w:leftChars="1800" w:firstLine="480" w:firstLineChars="200"/>
        <w:rPr>
          <w:rFonts w:ascii="宋体" w:hAnsi="宋体" w:cs="宋体"/>
          <w:sz w:val="24"/>
        </w:rPr>
      </w:pPr>
    </w:p>
    <w:p>
      <w:pPr>
        <w:spacing w:line="360" w:lineRule="auto"/>
        <w:ind w:left="3780" w:leftChars="1800" w:firstLine="480" w:firstLineChars="200"/>
        <w:rPr>
          <w:rFonts w:ascii="宋体" w:hAnsi="宋体" w:cs="宋体"/>
          <w:sz w:val="24"/>
        </w:rPr>
      </w:pPr>
    </w:p>
    <w:p>
      <w:pPr>
        <w:spacing w:line="360" w:lineRule="auto"/>
        <w:ind w:left="3780" w:leftChars="1800" w:firstLine="480" w:firstLineChars="200"/>
        <w:rPr>
          <w:rFonts w:ascii="宋体" w:hAnsi="宋体" w:cs="宋体"/>
          <w:sz w:val="24"/>
        </w:rPr>
      </w:pPr>
    </w:p>
    <w:p>
      <w:pPr>
        <w:spacing w:line="360" w:lineRule="auto"/>
        <w:ind w:left="3780" w:leftChars="1800" w:firstLine="480" w:firstLineChars="200"/>
        <w:rPr>
          <w:rFonts w:ascii="宋体" w:hAnsi="宋体" w:cs="宋体"/>
          <w:sz w:val="24"/>
        </w:rPr>
      </w:pPr>
      <w:r>
        <w:rPr>
          <w:rFonts w:hint="eastAsia" w:ascii="宋体" w:hAnsi="宋体" w:cs="宋体"/>
          <w:sz w:val="24"/>
        </w:rPr>
        <w:t xml:space="preserve">法定代表人签名（或签名章）：                       </w:t>
      </w:r>
    </w:p>
    <w:p>
      <w:pPr>
        <w:spacing w:line="360" w:lineRule="auto"/>
        <w:ind w:left="3780" w:leftChars="1800" w:firstLine="480" w:firstLineChars="200"/>
        <w:rPr>
          <w:rFonts w:ascii="宋体" w:hAnsi="宋体" w:cs="宋体"/>
          <w:sz w:val="24"/>
        </w:rPr>
      </w:pPr>
      <w:r>
        <w:rPr>
          <w:rFonts w:hint="eastAsia" w:ascii="宋体" w:hAnsi="宋体" w:cs="宋体"/>
          <w:sz w:val="24"/>
        </w:rPr>
        <w:t>日 期：</w:t>
      </w:r>
    </w:p>
    <w:p>
      <w:pPr>
        <w:spacing w:line="360" w:lineRule="auto"/>
        <w:ind w:left="3780" w:leftChars="1800" w:firstLine="480" w:firstLineChars="200"/>
        <w:rPr>
          <w:rFonts w:ascii="宋体" w:hAnsi="宋体" w:cs="宋体"/>
          <w:sz w:val="24"/>
        </w:rPr>
      </w:pPr>
      <w:r>
        <w:rPr>
          <w:rFonts w:hint="eastAsia" w:ascii="宋体" w:hAnsi="宋体" w:cs="宋体"/>
          <w:sz w:val="24"/>
        </w:rPr>
        <w:t>投标人全称（公章）：</w:t>
      </w:r>
    </w:p>
    <w:p>
      <w:pPr>
        <w:snapToGrid w:val="0"/>
        <w:spacing w:before="50" w:after="50"/>
        <w:rPr>
          <w:rFonts w:ascii="宋体" w:hAnsi="宋体" w:cs="宋体"/>
          <w:b/>
          <w:bCs/>
          <w:sz w:val="24"/>
          <w:lang w:val="zh-CN"/>
        </w:rPr>
      </w:pPr>
      <w:r>
        <w:rPr>
          <w:rFonts w:hint="eastAsia" w:ascii="宋体" w:hAnsi="宋体" w:cs="宋体"/>
          <w:sz w:val="24"/>
        </w:rPr>
        <w:br w:type="page"/>
      </w:r>
      <w:r>
        <w:rPr>
          <w:rFonts w:hint="eastAsia" w:ascii="宋体" w:hAnsi="宋体" w:cs="宋体"/>
          <w:b/>
          <w:bCs/>
          <w:sz w:val="24"/>
          <w:lang w:val="zh-CN"/>
        </w:rPr>
        <w:t>附件八：</w:t>
      </w:r>
    </w:p>
    <w:p>
      <w:pPr>
        <w:spacing w:line="360" w:lineRule="auto"/>
        <w:jc w:val="center"/>
        <w:rPr>
          <w:rFonts w:ascii="宋体" w:hAnsi="宋体" w:cs="宋体"/>
          <w:b/>
          <w:bCs/>
          <w:sz w:val="32"/>
          <w:szCs w:val="32"/>
        </w:rPr>
      </w:pPr>
      <w:r>
        <w:rPr>
          <w:rFonts w:hint="eastAsia" w:ascii="宋体" w:hAnsi="宋体" w:cs="宋体"/>
          <w:b/>
          <w:bCs/>
          <w:sz w:val="32"/>
          <w:szCs w:val="32"/>
        </w:rPr>
        <w:t>项目组人员清单</w:t>
      </w:r>
    </w:p>
    <w:p>
      <w:pPr>
        <w:snapToGrid w:val="0"/>
        <w:spacing w:beforeLines="50" w:after="50"/>
        <w:jc w:val="center"/>
        <w:rPr>
          <w:rFonts w:ascii="宋体" w:hAnsi="宋体" w:cs="宋体"/>
          <w:b/>
          <w:sz w:val="30"/>
          <w:szCs w:val="30"/>
        </w:rPr>
      </w:pPr>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采购编号：</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专业技术资格</w:t>
            </w: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证书编号</w:t>
            </w: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参加本单位工作时间</w:t>
            </w: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cs="宋体"/>
                <w:sz w:val="24"/>
              </w:rPr>
            </w:pPr>
            <w:r>
              <w:rPr>
                <w:rFonts w:hint="eastAsia" w:ascii="宋体" w:hAnsi="宋体" w:cs="宋体"/>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noWrap/>
          </w:tcPr>
          <w:p>
            <w:pPr>
              <w:pStyle w:val="14"/>
              <w:snapToGrid w:val="0"/>
              <w:spacing w:beforeLines="50" w:after="50" w:line="460" w:lineRule="exact"/>
              <w:ind w:left="5250"/>
              <w:rPr>
                <w:rFonts w:cs="宋体"/>
                <w:color w:val="auto"/>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宋体" w:hAnsi="宋体" w:cs="宋体"/>
                <w:sz w:val="24"/>
              </w:rPr>
            </w:pPr>
          </w:p>
        </w:tc>
      </w:tr>
    </w:tbl>
    <w:p>
      <w:pPr>
        <w:adjustRightInd w:val="0"/>
        <w:snapToGrid w:val="0"/>
        <w:spacing w:line="360" w:lineRule="auto"/>
        <w:jc w:val="left"/>
        <w:rPr>
          <w:rFonts w:ascii="宋体" w:hAnsi="宋体" w:cs="宋体"/>
          <w:sz w:val="24"/>
        </w:rPr>
      </w:pP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 xml:space="preserve">注：在填写时，如本表格不适合投标单位的实际情况，可根据本表格式自行划表填写。 </w:t>
      </w:r>
    </w:p>
    <w:p>
      <w:pPr>
        <w:snapToGrid w:val="0"/>
        <w:spacing w:before="50" w:afterLines="50" w:line="460" w:lineRule="exact"/>
        <w:jc w:val="left"/>
        <w:rPr>
          <w:rFonts w:ascii="宋体" w:hAnsi="宋体" w:cs="宋体"/>
          <w:sz w:val="24"/>
        </w:rPr>
      </w:pPr>
    </w:p>
    <w:p>
      <w:pPr>
        <w:pStyle w:val="3"/>
      </w:pPr>
    </w:p>
    <w:p>
      <w:pPr>
        <w:spacing w:line="360" w:lineRule="auto"/>
        <w:ind w:left="3780" w:leftChars="1800" w:firstLine="480" w:firstLineChars="200"/>
        <w:rPr>
          <w:rFonts w:ascii="宋体" w:hAnsi="宋体" w:cs="宋体"/>
          <w:sz w:val="24"/>
        </w:rPr>
      </w:pPr>
      <w:r>
        <w:rPr>
          <w:rFonts w:hint="eastAsia" w:ascii="宋体" w:hAnsi="宋体" w:cs="宋体"/>
          <w:sz w:val="24"/>
        </w:rPr>
        <w:t xml:space="preserve">法定代表人签名（或签名章）：                       </w:t>
      </w:r>
    </w:p>
    <w:p>
      <w:pPr>
        <w:spacing w:line="360" w:lineRule="auto"/>
        <w:ind w:left="3780" w:leftChars="1800" w:firstLine="480" w:firstLineChars="200"/>
        <w:rPr>
          <w:rFonts w:ascii="宋体" w:hAnsi="宋体" w:cs="宋体"/>
          <w:sz w:val="24"/>
        </w:rPr>
      </w:pPr>
      <w:r>
        <w:rPr>
          <w:rFonts w:hint="eastAsia" w:ascii="宋体" w:hAnsi="宋体" w:cs="宋体"/>
          <w:sz w:val="24"/>
        </w:rPr>
        <w:t>日 期：</w:t>
      </w:r>
    </w:p>
    <w:p>
      <w:pPr>
        <w:spacing w:line="360" w:lineRule="auto"/>
        <w:ind w:left="3780" w:leftChars="1800" w:firstLine="480" w:firstLineChars="200"/>
        <w:rPr>
          <w:rFonts w:ascii="宋体" w:hAnsi="宋体" w:cs="宋体"/>
          <w:sz w:val="24"/>
        </w:rPr>
      </w:pPr>
      <w:r>
        <w:rPr>
          <w:rFonts w:hint="eastAsia" w:ascii="宋体" w:hAnsi="宋体" w:cs="宋体"/>
          <w:sz w:val="24"/>
        </w:rPr>
        <w:t>投标人全称（公章）：</w:t>
      </w:r>
    </w:p>
    <w:p>
      <w:pPr>
        <w:spacing w:line="360" w:lineRule="auto"/>
        <w:jc w:val="center"/>
        <w:rPr>
          <w:rFonts w:ascii="宋体" w:hAnsi="宋体" w:cs="宋体"/>
          <w:b/>
          <w:kern w:val="0"/>
          <w:sz w:val="36"/>
          <w:szCs w:val="36"/>
        </w:rPr>
      </w:pPr>
      <w:r>
        <w:rPr>
          <w:rFonts w:hint="eastAsia" w:ascii="宋体" w:hAnsi="宋体" w:cs="宋体"/>
          <w:spacing w:val="20"/>
          <w:sz w:val="30"/>
          <w:szCs w:val="30"/>
        </w:rPr>
        <w:br w:type="page"/>
      </w:r>
      <w:r>
        <w:rPr>
          <w:rFonts w:hint="eastAsia" w:ascii="宋体" w:hAnsi="宋体" w:cs="宋体"/>
          <w:b/>
          <w:kern w:val="0"/>
          <w:sz w:val="36"/>
          <w:szCs w:val="36"/>
        </w:rPr>
        <w:t>报价文件</w:t>
      </w:r>
    </w:p>
    <w:p>
      <w:pPr>
        <w:spacing w:line="360" w:lineRule="auto"/>
        <w:jc w:val="center"/>
        <w:rPr>
          <w:rFonts w:ascii="宋体" w:hAnsi="宋体" w:cs="宋体"/>
          <w:b/>
          <w:kern w:val="0"/>
          <w:sz w:val="36"/>
          <w:szCs w:val="36"/>
        </w:rPr>
      </w:pPr>
    </w:p>
    <w:p>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pPr>
        <w:pStyle w:val="3"/>
        <w:ind w:firstLine="723"/>
        <w:rPr>
          <w:rFonts w:ascii="宋体" w:hAnsi="宋体" w:cs="宋体"/>
          <w:b/>
          <w:kern w:val="0"/>
          <w:sz w:val="36"/>
          <w:szCs w:val="36"/>
        </w:rPr>
      </w:pPr>
    </w:p>
    <w:p>
      <w:pPr>
        <w:tabs>
          <w:tab w:val="left" w:pos="1440"/>
          <w:tab w:val="left" w:pos="1620"/>
          <w:tab w:val="left" w:pos="1800"/>
          <w:tab w:val="left" w:pos="1980"/>
        </w:tabs>
        <w:autoSpaceDE w:val="0"/>
        <w:autoSpaceDN w:val="0"/>
        <w:spacing w:line="360" w:lineRule="auto"/>
        <w:ind w:left="420" w:leftChars="200" w:firstLine="240" w:firstLineChars="100"/>
        <w:textAlignment w:val="bottom"/>
        <w:rPr>
          <w:rFonts w:ascii="宋体" w:hAnsi="宋体" w:cs="宋体"/>
          <w:sz w:val="24"/>
        </w:rPr>
      </w:pPr>
      <w:r>
        <w:rPr>
          <w:rFonts w:hint="eastAsia" w:ascii="宋体" w:hAnsi="宋体" w:cs="宋体"/>
          <w:sz w:val="24"/>
        </w:rPr>
        <w:t>（1）投标函（格式见附件）；</w:t>
      </w:r>
    </w:p>
    <w:p>
      <w:pPr>
        <w:tabs>
          <w:tab w:val="left" w:pos="1440"/>
          <w:tab w:val="left" w:pos="1620"/>
          <w:tab w:val="left" w:pos="1800"/>
          <w:tab w:val="left" w:pos="1980"/>
        </w:tabs>
        <w:autoSpaceDE w:val="0"/>
        <w:autoSpaceDN w:val="0"/>
        <w:spacing w:line="360" w:lineRule="auto"/>
        <w:ind w:left="420" w:leftChars="200" w:firstLine="240" w:firstLineChars="100"/>
        <w:textAlignment w:val="bottom"/>
        <w:rPr>
          <w:rFonts w:ascii="宋体" w:hAnsi="宋体" w:cs="宋体"/>
          <w:sz w:val="24"/>
        </w:rPr>
      </w:pPr>
      <w:r>
        <w:rPr>
          <w:rFonts w:hint="eastAsia" w:ascii="宋体" w:hAnsi="宋体" w:cs="宋体"/>
          <w:sz w:val="24"/>
        </w:rPr>
        <w:t>（2）开标一览表（格式见附件）；</w:t>
      </w:r>
    </w:p>
    <w:p>
      <w:pPr>
        <w:tabs>
          <w:tab w:val="left" w:pos="1440"/>
          <w:tab w:val="left" w:pos="1620"/>
          <w:tab w:val="left" w:pos="1800"/>
          <w:tab w:val="left" w:pos="1980"/>
        </w:tabs>
        <w:autoSpaceDE w:val="0"/>
        <w:autoSpaceDN w:val="0"/>
        <w:spacing w:line="360" w:lineRule="auto"/>
        <w:ind w:left="420" w:leftChars="200" w:firstLine="240" w:firstLineChars="100"/>
        <w:textAlignment w:val="bottom"/>
        <w:rPr>
          <w:rFonts w:ascii="宋体" w:hAnsi="宋体" w:cs="宋体"/>
          <w:sz w:val="24"/>
        </w:rPr>
      </w:pPr>
      <w:r>
        <w:rPr>
          <w:rFonts w:hint="eastAsia" w:ascii="宋体" w:hAnsi="宋体" w:cs="宋体"/>
          <w:sz w:val="24"/>
        </w:rPr>
        <w:t>（3）投标报价明细表（格式见附件）。</w:t>
      </w:r>
    </w:p>
    <w:p>
      <w:pPr>
        <w:pStyle w:val="3"/>
        <w:ind w:firstLine="560"/>
        <w:rPr>
          <w:rFonts w:ascii="宋体" w:hAnsi="宋体" w:cs="宋体"/>
          <w:sz w:val="28"/>
          <w:szCs w:val="28"/>
        </w:rPr>
      </w:pPr>
    </w:p>
    <w:p>
      <w:pPr>
        <w:pStyle w:val="3"/>
        <w:ind w:firstLine="560"/>
        <w:rPr>
          <w:rFonts w:ascii="宋体" w:hAnsi="宋体" w:cs="宋体"/>
          <w:sz w:val="28"/>
          <w:szCs w:val="28"/>
        </w:rPr>
      </w:pPr>
    </w:p>
    <w:p>
      <w:pPr>
        <w:pStyle w:val="3"/>
        <w:ind w:firstLine="560"/>
        <w:rPr>
          <w:rFonts w:ascii="宋体" w:hAnsi="宋体" w:cs="宋体"/>
          <w:sz w:val="28"/>
          <w:szCs w:val="28"/>
        </w:rPr>
      </w:pPr>
    </w:p>
    <w:p>
      <w:pPr>
        <w:pStyle w:val="3"/>
        <w:ind w:firstLine="560"/>
        <w:rPr>
          <w:rFonts w:ascii="宋体" w:hAnsi="宋体" w:cs="宋体"/>
          <w:sz w:val="28"/>
          <w:szCs w:val="28"/>
        </w:rPr>
      </w:pPr>
    </w:p>
    <w:p>
      <w:pPr>
        <w:pStyle w:val="3"/>
        <w:ind w:firstLine="560"/>
        <w:rPr>
          <w:rFonts w:ascii="宋体" w:hAnsi="宋体" w:cs="宋体"/>
          <w:sz w:val="28"/>
          <w:szCs w:val="28"/>
        </w:rPr>
      </w:pPr>
    </w:p>
    <w:p>
      <w:pPr>
        <w:pStyle w:val="3"/>
        <w:ind w:firstLine="560"/>
        <w:rPr>
          <w:rFonts w:ascii="宋体" w:hAnsi="宋体" w:cs="宋体"/>
          <w:sz w:val="28"/>
          <w:szCs w:val="28"/>
        </w:rPr>
      </w:pPr>
    </w:p>
    <w:p>
      <w:pPr>
        <w:pStyle w:val="3"/>
        <w:ind w:firstLine="560"/>
        <w:rPr>
          <w:rFonts w:ascii="宋体" w:hAnsi="宋体" w:cs="宋体"/>
          <w:sz w:val="28"/>
          <w:szCs w:val="28"/>
        </w:rPr>
      </w:pPr>
    </w:p>
    <w:p>
      <w:pPr>
        <w:pStyle w:val="3"/>
        <w:ind w:firstLine="560"/>
        <w:rPr>
          <w:rFonts w:ascii="宋体" w:hAnsi="宋体" w:cs="宋体"/>
          <w:sz w:val="28"/>
          <w:szCs w:val="28"/>
        </w:rPr>
      </w:pPr>
    </w:p>
    <w:p>
      <w:pPr>
        <w:pStyle w:val="3"/>
        <w:ind w:firstLine="560"/>
        <w:rPr>
          <w:rFonts w:ascii="宋体" w:hAnsi="宋体" w:cs="宋体"/>
          <w:sz w:val="28"/>
          <w:szCs w:val="28"/>
        </w:rPr>
      </w:pPr>
    </w:p>
    <w:p>
      <w:pPr>
        <w:pStyle w:val="8"/>
        <w:rPr>
          <w:rFonts w:hAnsi="宋体" w:cs="宋体"/>
          <w:bCs/>
          <w:sz w:val="24"/>
          <w:szCs w:val="24"/>
          <w:lang w:val="zh-CN"/>
        </w:rPr>
      </w:pPr>
      <w:r>
        <w:rPr>
          <w:rFonts w:hint="eastAsia" w:hAnsi="宋体" w:cs="宋体"/>
          <w:szCs w:val="28"/>
        </w:rPr>
        <w:br w:type="page"/>
      </w:r>
      <w:bookmarkStart w:id="453" w:name="_Toc3094"/>
      <w:r>
        <w:rPr>
          <w:rFonts w:hint="eastAsia" w:hAnsi="宋体" w:cs="宋体"/>
          <w:bCs/>
          <w:sz w:val="24"/>
          <w:szCs w:val="24"/>
          <w:lang w:val="zh-CN"/>
        </w:rPr>
        <w:t>附件</w:t>
      </w:r>
      <w:bookmarkStart w:id="454" w:name="_Toc130094924"/>
      <w:bookmarkStart w:id="455" w:name="_Toc98731770"/>
      <w:r>
        <w:rPr>
          <w:rFonts w:hint="eastAsia" w:hAnsi="宋体" w:cs="宋体"/>
          <w:bCs/>
          <w:sz w:val="24"/>
          <w:szCs w:val="24"/>
        </w:rPr>
        <w:t>九：</w:t>
      </w:r>
    </w:p>
    <w:p>
      <w:pPr>
        <w:spacing w:line="360" w:lineRule="auto"/>
        <w:jc w:val="center"/>
        <w:rPr>
          <w:rFonts w:ascii="宋体" w:hAnsi="宋体" w:cs="宋体"/>
          <w:b/>
          <w:bCs/>
          <w:sz w:val="32"/>
          <w:szCs w:val="32"/>
        </w:rPr>
      </w:pPr>
      <w:r>
        <w:rPr>
          <w:rFonts w:hint="eastAsia" w:ascii="宋体" w:hAnsi="宋体" w:cs="宋体"/>
          <w:b/>
          <w:bCs/>
          <w:sz w:val="32"/>
          <w:szCs w:val="32"/>
        </w:rPr>
        <w:t>投 标 函</w:t>
      </w:r>
      <w:bookmarkEnd w:id="453"/>
      <w:bookmarkEnd w:id="454"/>
      <w:bookmarkEnd w:id="455"/>
    </w:p>
    <w:p>
      <w:pPr>
        <w:spacing w:line="360" w:lineRule="auto"/>
        <w:ind w:firstLine="480" w:firstLineChars="200"/>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rPr>
        <w:t>绍兴市上虞杭州湾工业园区投资发展有限公司：</w:t>
      </w:r>
    </w:p>
    <w:p>
      <w:pPr>
        <w:spacing w:line="360" w:lineRule="auto"/>
        <w:ind w:firstLine="480" w:firstLineChars="200"/>
        <w:rPr>
          <w:rFonts w:ascii="宋体" w:hAnsi="宋体" w:cs="宋体"/>
          <w:sz w:val="24"/>
        </w:rPr>
      </w:pPr>
      <w:r>
        <w:rPr>
          <w:rFonts w:hint="eastAsia" w:ascii="宋体" w:hAnsi="宋体" w:cs="宋体"/>
          <w:sz w:val="24"/>
        </w:rPr>
        <w:t>浙江宇康工程管理咨询有限公司：</w:t>
      </w:r>
    </w:p>
    <w:p>
      <w:pPr>
        <w:spacing w:line="360" w:lineRule="auto"/>
        <w:ind w:firstLine="480"/>
        <w:jc w:val="left"/>
        <w:rPr>
          <w:rFonts w:ascii="宋体" w:hAnsi="宋体" w:cs="宋体"/>
          <w:sz w:val="24"/>
        </w:rPr>
      </w:pPr>
      <w:r>
        <w:rPr>
          <w:rFonts w:hint="eastAsia" w:ascii="宋体" w:hAnsi="宋体" w:cs="宋体"/>
          <w:sz w:val="24"/>
        </w:rPr>
        <w:t>我单位认真研究了关于的招标文件，包括修改文件（如有的话）以及全部参考资料和有关附件。我们完全理解并接受招标文件的各项规定和要求，对招标文件的合理性、合法性不再有异议。如招标文件前后有矛盾的，我方完全同意按贵方的理解处理。我单位承诺：</w:t>
      </w:r>
    </w:p>
    <w:p>
      <w:pPr>
        <w:spacing w:line="360" w:lineRule="auto"/>
        <w:ind w:firstLine="576" w:firstLineChars="240"/>
        <w:rPr>
          <w:rFonts w:ascii="宋体" w:hAnsi="宋体" w:cs="宋体"/>
          <w:sz w:val="24"/>
        </w:rPr>
      </w:pPr>
      <w:r>
        <w:rPr>
          <w:rFonts w:ascii="宋体" w:hAnsi="宋体" w:cs="宋体"/>
          <w:sz w:val="24"/>
        </w:rPr>
        <w:pict>
          <v:line id="_x0000_s1026" o:spid="_x0000_s1026" o:spt="20" style="position:absolute;left:0pt;margin-left:9pt;margin-top:39pt;height:0pt;width:0.05pt;z-index:251659264;mso-width-relative:page;mso-height-relative:page;"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IScJp71AQAA7gMAAA4AAAAAAAAAAQAgAAAAIQEAAGRycy9lMm9Eb2MueG1sUEsFBgAA&#10;AAAGAAYAWQEAAIgFAAAAAA==&#10;">
            <v:path arrowok="t"/>
            <v:fill focussize="0,0"/>
            <v:stroke/>
            <v:imagedata o:title=""/>
            <o:lock v:ext="edit"/>
          </v:line>
        </w:pict>
      </w:r>
      <w:r>
        <w:rPr>
          <w:rFonts w:hint="eastAsia" w:ascii="宋体" w:hAnsi="宋体" w:cs="宋体"/>
          <w:sz w:val="24"/>
        </w:rPr>
        <w:t>1、一旦我单位中标，我单位愿意承接开标一览表和投标报价明细表中所列的所有服务，服务期为：</w:t>
      </w:r>
      <w:r>
        <w:rPr>
          <w:rFonts w:hint="eastAsia" w:ascii="宋体" w:hAnsi="宋体" w:cs="宋体"/>
          <w:sz w:val="24"/>
          <w:u w:val="single"/>
        </w:rPr>
        <w:t xml:space="preserve">    天</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2、我单位同意提供按照</w:t>
      </w:r>
      <w:r>
        <w:rPr>
          <w:rFonts w:hint="eastAsia" w:ascii="宋体" w:hAnsi="宋体" w:cs="宋体"/>
          <w:bCs/>
          <w:sz w:val="24"/>
        </w:rPr>
        <w:t>采购人的可能要求与其投标有关的一切数据和资料，完全理解采购人不一定要接受最低价者作为中标人</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3、一旦我单位中标，我们保证按照招标文件的要求，完成服务。</w:t>
      </w:r>
    </w:p>
    <w:p>
      <w:pPr>
        <w:spacing w:line="360" w:lineRule="auto"/>
        <w:ind w:firstLine="480" w:firstLineChars="200"/>
        <w:rPr>
          <w:rFonts w:ascii="宋体" w:hAnsi="宋体" w:cs="宋体"/>
          <w:sz w:val="24"/>
        </w:rPr>
      </w:pPr>
      <w:r>
        <w:rPr>
          <w:rFonts w:hint="eastAsia" w:ascii="宋体" w:hAnsi="宋体" w:cs="宋体"/>
          <w:sz w:val="24"/>
        </w:rPr>
        <w:t>4、如果我单位中标，我方将按照要求提交履约保证金，严格履行合同义务。</w:t>
      </w:r>
    </w:p>
    <w:p>
      <w:pPr>
        <w:spacing w:line="360" w:lineRule="auto"/>
        <w:ind w:firstLine="480" w:firstLineChars="200"/>
        <w:rPr>
          <w:rFonts w:ascii="宋体" w:hAnsi="宋体" w:cs="宋体"/>
          <w:sz w:val="24"/>
        </w:rPr>
      </w:pPr>
      <w:r>
        <w:rPr>
          <w:rFonts w:hint="eastAsia" w:ascii="宋体" w:hAnsi="宋体" w:cs="宋体"/>
          <w:sz w:val="24"/>
        </w:rPr>
        <w:t>5、除非另行达成协议并生效，你方的中标通知书和本投标函将构成约束你我双方的合同。</w:t>
      </w:r>
    </w:p>
    <w:p>
      <w:pPr>
        <w:spacing w:line="360" w:lineRule="auto"/>
        <w:ind w:firstLine="480" w:firstLineChars="200"/>
        <w:rPr>
          <w:rFonts w:ascii="宋体" w:hAnsi="宋体" w:cs="宋体"/>
          <w:sz w:val="24"/>
        </w:rPr>
      </w:pPr>
      <w:r>
        <w:rPr>
          <w:rFonts w:hint="eastAsia" w:ascii="宋体" w:hAnsi="宋体" w:cs="宋体"/>
          <w:sz w:val="24"/>
        </w:rPr>
        <w:t>6、我单位承诺，一旦发生招标文件第二部分第12条规定情形之一的，承担该条款约定的责任。</w:t>
      </w:r>
    </w:p>
    <w:p>
      <w:pPr>
        <w:pStyle w:val="13"/>
        <w:snapToGrid w:val="0"/>
        <w:spacing w:line="360" w:lineRule="auto"/>
        <w:ind w:left="480"/>
        <w:jc w:val="left"/>
        <w:rPr>
          <w:rFonts w:hAnsi="宋体" w:cs="宋体"/>
          <w:sz w:val="24"/>
        </w:rPr>
      </w:pPr>
    </w:p>
    <w:p>
      <w:pPr>
        <w:spacing w:line="360" w:lineRule="auto"/>
        <w:ind w:firstLine="480" w:firstLineChars="200"/>
        <w:rPr>
          <w:rFonts w:ascii="宋体" w:hAnsi="宋体" w:cs="宋体"/>
          <w:bCs/>
          <w:sz w:val="24"/>
          <w:szCs w:val="21"/>
        </w:rPr>
      </w:pPr>
      <w:r>
        <w:rPr>
          <w:rFonts w:hint="eastAsia" w:ascii="宋体" w:hAnsi="宋体" w:cs="宋体"/>
          <w:bCs/>
          <w:sz w:val="24"/>
          <w:szCs w:val="21"/>
        </w:rPr>
        <w:t>地址：邮编：</w:t>
      </w:r>
    </w:p>
    <w:p>
      <w:pPr>
        <w:spacing w:line="360" w:lineRule="auto"/>
        <w:ind w:firstLine="480" w:firstLineChars="200"/>
        <w:rPr>
          <w:rFonts w:ascii="宋体" w:hAnsi="宋体" w:cs="宋体"/>
          <w:bCs/>
          <w:sz w:val="24"/>
          <w:szCs w:val="21"/>
          <w:u w:val="single"/>
        </w:rPr>
      </w:pPr>
      <w:r>
        <w:rPr>
          <w:rFonts w:hint="eastAsia" w:ascii="宋体" w:hAnsi="宋体" w:cs="宋体"/>
          <w:bCs/>
          <w:sz w:val="24"/>
          <w:szCs w:val="21"/>
        </w:rPr>
        <w:t>电话：传真：</w:t>
      </w:r>
    </w:p>
    <w:p>
      <w:pPr>
        <w:spacing w:line="360" w:lineRule="auto"/>
        <w:ind w:firstLine="480" w:firstLineChars="200"/>
        <w:rPr>
          <w:rFonts w:ascii="宋体" w:hAnsi="宋体" w:cs="宋体"/>
          <w:bCs/>
          <w:sz w:val="24"/>
          <w:szCs w:val="21"/>
        </w:rPr>
      </w:pPr>
      <w:r>
        <w:rPr>
          <w:rFonts w:hint="eastAsia" w:ascii="宋体" w:hAnsi="宋体" w:cs="宋体"/>
          <w:bCs/>
          <w:sz w:val="24"/>
          <w:szCs w:val="21"/>
        </w:rPr>
        <w:t>供应商代表姓名：职务：</w:t>
      </w:r>
    </w:p>
    <w:p>
      <w:pPr>
        <w:spacing w:line="360" w:lineRule="auto"/>
        <w:ind w:firstLine="480" w:firstLineChars="200"/>
        <w:rPr>
          <w:rFonts w:ascii="宋体" w:hAnsi="宋体" w:cs="宋体"/>
          <w:bCs/>
          <w:sz w:val="24"/>
          <w:szCs w:val="21"/>
        </w:rPr>
      </w:pPr>
      <w:r>
        <w:rPr>
          <w:rFonts w:hint="eastAsia" w:ascii="宋体" w:hAnsi="宋体" w:cs="宋体"/>
          <w:bCs/>
          <w:sz w:val="24"/>
          <w:szCs w:val="21"/>
        </w:rPr>
        <w:t>供应商名称</w:t>
      </w:r>
      <w:r>
        <w:rPr>
          <w:rFonts w:hint="eastAsia" w:ascii="宋体" w:hAnsi="宋体" w:cs="宋体"/>
          <w:bCs/>
          <w:sz w:val="24"/>
          <w:szCs w:val="21"/>
          <w:u w:val="single"/>
        </w:rPr>
        <w:t>：                   　　　</w:t>
      </w:r>
    </w:p>
    <w:p>
      <w:pPr>
        <w:spacing w:line="360" w:lineRule="auto"/>
        <w:ind w:firstLine="480" w:firstLineChars="200"/>
        <w:rPr>
          <w:rFonts w:ascii="宋体" w:hAnsi="宋体" w:cs="宋体"/>
          <w:bCs/>
          <w:sz w:val="24"/>
          <w:szCs w:val="21"/>
        </w:rPr>
      </w:pPr>
      <w:r>
        <w:rPr>
          <w:rFonts w:hint="eastAsia" w:ascii="宋体" w:hAnsi="宋体" w:cs="宋体"/>
          <w:bCs/>
          <w:sz w:val="24"/>
          <w:szCs w:val="21"/>
        </w:rPr>
        <w:t xml:space="preserve">（公章）：                   </w:t>
      </w:r>
    </w:p>
    <w:p>
      <w:pPr>
        <w:spacing w:line="360" w:lineRule="auto"/>
        <w:ind w:left="3780" w:leftChars="1800" w:firstLine="480" w:firstLineChars="200"/>
        <w:rPr>
          <w:rFonts w:ascii="宋体" w:hAnsi="宋体" w:cs="宋体"/>
          <w:sz w:val="24"/>
        </w:rPr>
      </w:pPr>
      <w:r>
        <w:rPr>
          <w:rFonts w:hint="eastAsia" w:ascii="宋体" w:hAnsi="宋体" w:cs="宋体"/>
          <w:sz w:val="24"/>
        </w:rPr>
        <w:t xml:space="preserve">法定代表人签名（或签名章）：                       </w:t>
      </w:r>
    </w:p>
    <w:p>
      <w:pPr>
        <w:spacing w:line="360" w:lineRule="auto"/>
        <w:ind w:left="3780" w:leftChars="1800" w:firstLine="480" w:firstLineChars="200"/>
        <w:rPr>
          <w:rFonts w:ascii="宋体" w:hAnsi="宋体" w:cs="宋体"/>
          <w:sz w:val="24"/>
        </w:rPr>
      </w:pPr>
      <w:r>
        <w:rPr>
          <w:rFonts w:hint="eastAsia" w:ascii="宋体" w:hAnsi="宋体" w:cs="宋体"/>
          <w:sz w:val="24"/>
        </w:rPr>
        <w:t>日 期：</w:t>
      </w:r>
    </w:p>
    <w:p>
      <w:pPr>
        <w:spacing w:line="360" w:lineRule="auto"/>
        <w:ind w:firstLine="5280" w:firstLineChars="2200"/>
        <w:rPr>
          <w:rFonts w:ascii="宋体" w:hAnsi="宋体" w:cs="宋体"/>
          <w:bCs/>
          <w:sz w:val="24"/>
          <w:szCs w:val="21"/>
        </w:rPr>
      </w:pPr>
    </w:p>
    <w:p>
      <w:pPr>
        <w:pStyle w:val="8"/>
        <w:rPr>
          <w:rFonts w:hAnsi="宋体" w:cs="宋体"/>
          <w:bCs/>
          <w:sz w:val="24"/>
          <w:szCs w:val="24"/>
          <w:lang w:val="zh-CN"/>
        </w:rPr>
        <w:sectPr>
          <w:footerReference r:id="rId6" w:type="default"/>
          <w:pgSz w:w="11906" w:h="16838"/>
          <w:pgMar w:top="1440" w:right="1800" w:bottom="1440" w:left="1800" w:header="851" w:footer="992" w:gutter="0"/>
          <w:cols w:space="720" w:num="1"/>
          <w:docGrid w:type="lines" w:linePitch="312" w:charSpace="0"/>
        </w:sectPr>
      </w:pPr>
      <w:bookmarkStart w:id="456" w:name="_Toc12011"/>
    </w:p>
    <w:p>
      <w:pPr>
        <w:pStyle w:val="13"/>
        <w:spacing w:line="460" w:lineRule="atLeast"/>
        <w:rPr>
          <w:rFonts w:hAnsi="宋体"/>
          <w:b/>
          <w:bCs/>
          <w:sz w:val="24"/>
        </w:rPr>
      </w:pPr>
      <w:r>
        <w:rPr>
          <w:rFonts w:hint="eastAsia" w:hAnsi="宋体"/>
          <w:b/>
          <w:bCs/>
          <w:sz w:val="24"/>
        </w:rPr>
        <w:t>附件十：</w:t>
      </w:r>
    </w:p>
    <w:p>
      <w:pPr>
        <w:pStyle w:val="13"/>
        <w:spacing w:line="460" w:lineRule="atLeast"/>
        <w:jc w:val="center"/>
        <w:rPr>
          <w:rFonts w:hAnsi="宋体"/>
          <w:b/>
          <w:bCs/>
          <w:sz w:val="24"/>
        </w:rPr>
      </w:pPr>
      <w:r>
        <w:rPr>
          <w:rFonts w:hint="eastAsia" w:hAnsi="宋体" w:cs="宋体"/>
          <w:b/>
          <w:bCs/>
          <w:sz w:val="32"/>
          <w:szCs w:val="32"/>
        </w:rPr>
        <w:t>开标一览表</w:t>
      </w:r>
    </w:p>
    <w:p>
      <w:pPr>
        <w:pStyle w:val="13"/>
        <w:spacing w:line="460" w:lineRule="atLeast"/>
        <w:rPr>
          <w:rFonts w:hAnsi="宋体"/>
          <w:sz w:val="24"/>
        </w:rPr>
      </w:pPr>
    </w:p>
    <w:bookmarkEnd w:id="456"/>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480" w:firstLineChars="200"/>
        <w:rPr>
          <w:rFonts w:ascii="宋体" w:hAnsi="宋体" w:cs="宋体"/>
          <w:sz w:val="24"/>
        </w:rPr>
      </w:pPr>
      <w:r>
        <w:rPr>
          <w:rFonts w:hint="eastAsia" w:ascii="宋体" w:hAnsi="宋体" w:cs="宋体"/>
          <w:sz w:val="24"/>
        </w:rPr>
        <w:t>项目编号：</w:t>
      </w:r>
    </w:p>
    <w:tbl>
      <w:tblPr>
        <w:tblStyle w:val="23"/>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9" w:hRule="atLeast"/>
          <w:jc w:val="center"/>
        </w:trPr>
        <w:tc>
          <w:tcPr>
            <w:tcW w:w="2089" w:type="dxa"/>
            <w:noWrap/>
            <w:vAlign w:val="center"/>
          </w:tcPr>
          <w:p>
            <w:pPr>
              <w:pStyle w:val="13"/>
              <w:spacing w:line="360" w:lineRule="auto"/>
              <w:jc w:val="center"/>
              <w:rPr>
                <w:rFonts w:hAnsi="宋体" w:cs="宋体"/>
                <w:b/>
                <w:bCs/>
                <w:sz w:val="24"/>
              </w:rPr>
            </w:pPr>
            <w:r>
              <w:rPr>
                <w:rFonts w:hint="eastAsia" w:hAnsi="宋体" w:cs="宋体"/>
                <w:b/>
                <w:bCs/>
                <w:sz w:val="24"/>
              </w:rPr>
              <w:t>投标总价</w:t>
            </w:r>
          </w:p>
        </w:tc>
        <w:tc>
          <w:tcPr>
            <w:tcW w:w="6707" w:type="dxa"/>
            <w:noWrap/>
            <w:vAlign w:val="center"/>
          </w:tcPr>
          <w:p>
            <w:pPr>
              <w:pStyle w:val="13"/>
              <w:spacing w:line="360" w:lineRule="auto"/>
              <w:jc w:val="center"/>
              <w:rPr>
                <w:rFonts w:hAnsi="宋体" w:cs="宋体"/>
                <w:b/>
                <w:bCs/>
                <w:sz w:val="24"/>
              </w:rPr>
            </w:pPr>
            <w:r>
              <w:rPr>
                <w:rFonts w:hint="eastAsia" w:hAnsi="宋体" w:cs="宋体"/>
                <w:b/>
                <w:bCs/>
                <w:sz w:val="24"/>
              </w:rPr>
              <w:t>大写：</w:t>
            </w:r>
            <w:r>
              <w:rPr>
                <w:rFonts w:hint="eastAsia" w:hAnsi="宋体" w:cs="宋体"/>
                <w:b/>
                <w:bCs/>
                <w:sz w:val="24"/>
                <w:u w:val="single"/>
              </w:rPr>
              <w:t xml:space="preserve">　　　　            </w:t>
            </w:r>
            <w:r>
              <w:rPr>
                <w:rFonts w:hint="eastAsia" w:hAnsi="宋体" w:cs="宋体"/>
                <w:b/>
                <w:bCs/>
                <w:sz w:val="24"/>
              </w:rPr>
              <w:t>元（小写：</w:t>
            </w:r>
            <w:r>
              <w:rPr>
                <w:rFonts w:hint="eastAsia" w:hAnsi="宋体" w:cs="宋体"/>
                <w:b/>
                <w:bCs/>
                <w:sz w:val="24"/>
                <w:u w:val="single"/>
              </w:rPr>
              <w:t xml:space="preserve">　　　　 </w:t>
            </w:r>
            <w:r>
              <w:rPr>
                <w:rFonts w:hint="eastAsia" w:hAnsi="宋体" w:cs="宋体"/>
                <w:b/>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noWrap/>
            <w:vAlign w:val="center"/>
          </w:tcPr>
          <w:p>
            <w:pPr>
              <w:pStyle w:val="28"/>
              <w:tabs>
                <w:tab w:val="left" w:pos="0"/>
              </w:tabs>
              <w:spacing w:before="0"/>
              <w:ind w:firstLine="482"/>
              <w:rPr>
                <w:rFonts w:ascii="宋体" w:hAnsi="宋体" w:cs="宋体"/>
                <w:b/>
                <w:bCs/>
              </w:rPr>
            </w:pPr>
            <w:r>
              <w:rPr>
                <w:rFonts w:hint="eastAsia" w:ascii="宋体" w:hAnsi="宋体" w:cs="宋体"/>
                <w:b/>
                <w:bCs/>
              </w:rPr>
              <w:t>投标报价应包括人员的工资福利、五险一金、软件系统费（含设计、开发、集成、测试、维护、升级等）、硬件及配件、实施部署费、安装费、调试费、运杂费、技术培训费、售后服务费、人工费用、税金等一切费用。投标人在编写投标方案时应充分考虑各种风险因素，凡投标人漏项、漏报均认为已包含在报价中，结算时不再增加</w:t>
            </w:r>
          </w:p>
        </w:tc>
      </w:tr>
    </w:tbl>
    <w:p>
      <w:pPr>
        <w:spacing w:line="360" w:lineRule="auto"/>
        <w:jc w:val="left"/>
        <w:rPr>
          <w:rFonts w:ascii="宋体" w:hAnsi="宋体" w:cs="宋体"/>
          <w:sz w:val="24"/>
        </w:rPr>
      </w:pPr>
      <w:r>
        <w:rPr>
          <w:rFonts w:hint="eastAsia" w:ascii="宋体" w:hAnsi="宋体" w:cs="宋体"/>
          <w:sz w:val="24"/>
        </w:rPr>
        <w:t xml:space="preserve">注: </w:t>
      </w:r>
    </w:p>
    <w:p>
      <w:pPr>
        <w:numPr>
          <w:ilvl w:val="0"/>
          <w:numId w:val="41"/>
        </w:numPr>
        <w:spacing w:line="360" w:lineRule="auto"/>
        <w:ind w:firstLine="480" w:firstLineChars="200"/>
        <w:jc w:val="left"/>
        <w:rPr>
          <w:rFonts w:ascii="宋体" w:hAnsi="宋体" w:cs="宋体"/>
          <w:sz w:val="24"/>
        </w:rPr>
      </w:pPr>
      <w:r>
        <w:rPr>
          <w:rFonts w:hint="eastAsia" w:ascii="宋体" w:hAnsi="宋体" w:cs="宋体"/>
          <w:sz w:val="24"/>
        </w:rPr>
        <w:t>报价一经涂改，应在涂改处加盖单位公章或者由法定代表人或授权委托人签字或盖章，否则其投标作无效标处理。</w:t>
      </w:r>
    </w:p>
    <w:p>
      <w:pPr>
        <w:numPr>
          <w:ilvl w:val="0"/>
          <w:numId w:val="41"/>
        </w:numPr>
        <w:spacing w:line="360" w:lineRule="auto"/>
        <w:ind w:firstLine="480" w:firstLineChars="200"/>
        <w:jc w:val="left"/>
        <w:rPr>
          <w:rFonts w:ascii="宋体" w:hAnsi="宋体" w:cs="宋体"/>
          <w:sz w:val="24"/>
        </w:rPr>
      </w:pPr>
      <w:r>
        <w:rPr>
          <w:rFonts w:hint="eastAsia" w:ascii="宋体" w:hAnsi="宋体" w:cs="宋体"/>
          <w:sz w:val="24"/>
        </w:rPr>
        <w:t>开标一览表格式不得修改，否则其投标作无效标处理。</w:t>
      </w:r>
    </w:p>
    <w:p>
      <w:pPr>
        <w:spacing w:line="360" w:lineRule="auto"/>
        <w:rPr>
          <w:rFonts w:ascii="宋体" w:hAnsi="宋体" w:cs="宋体"/>
          <w:sz w:val="24"/>
        </w:rPr>
      </w:pPr>
    </w:p>
    <w:p>
      <w:pPr>
        <w:spacing w:line="360" w:lineRule="auto"/>
        <w:rPr>
          <w:rFonts w:ascii="宋体" w:hAnsi="宋体" w:cs="宋体"/>
          <w:sz w:val="24"/>
        </w:rPr>
      </w:pPr>
    </w:p>
    <w:p>
      <w:pPr>
        <w:pStyle w:val="13"/>
        <w:spacing w:line="420" w:lineRule="auto"/>
        <w:rPr>
          <w:rFonts w:hAnsi="宋体" w:cs="宋体"/>
          <w:sz w:val="24"/>
        </w:rPr>
      </w:pPr>
      <w:r>
        <w:rPr>
          <w:rFonts w:hint="eastAsia" w:hAnsi="宋体" w:cs="宋体"/>
          <w:sz w:val="24"/>
        </w:rPr>
        <w:t xml:space="preserve">                                  投标人全称（盖章）：</w:t>
      </w:r>
    </w:p>
    <w:p>
      <w:pPr>
        <w:pStyle w:val="13"/>
        <w:spacing w:line="420" w:lineRule="auto"/>
        <w:rPr>
          <w:rFonts w:hAnsi="宋体" w:cs="宋体"/>
          <w:sz w:val="24"/>
        </w:rPr>
      </w:pPr>
      <w:r>
        <w:rPr>
          <w:rFonts w:hint="eastAsia" w:hAnsi="宋体" w:cs="宋体"/>
          <w:sz w:val="24"/>
        </w:rPr>
        <w:t xml:space="preserve">                                  法定代表人或授权委托人（签字或盖章）：</w:t>
      </w:r>
    </w:p>
    <w:p>
      <w:pPr>
        <w:jc w:val="center"/>
        <w:rPr>
          <w:rFonts w:ascii="宋体" w:hAnsi="宋体" w:cs="宋体"/>
          <w:sz w:val="24"/>
        </w:rPr>
      </w:pPr>
      <w:r>
        <w:rPr>
          <w:rFonts w:hint="eastAsia" w:ascii="宋体" w:hAnsi="宋体" w:cs="宋体"/>
          <w:sz w:val="24"/>
        </w:rPr>
        <w:t xml:space="preserve">        日   期：</w:t>
      </w:r>
    </w:p>
    <w:p>
      <w:pPr>
        <w:rPr>
          <w:rFonts w:ascii="宋体" w:hAnsi="宋体" w:cs="宋体"/>
          <w:sz w:val="24"/>
        </w:rPr>
      </w:pPr>
      <w:r>
        <w:rPr>
          <w:rFonts w:hint="eastAsia" w:ascii="宋体" w:hAnsi="宋体" w:cs="宋体"/>
          <w:sz w:val="24"/>
        </w:rPr>
        <w:br w:type="page"/>
      </w:r>
    </w:p>
    <w:p>
      <w:pPr>
        <w:pStyle w:val="8"/>
        <w:rPr>
          <w:rFonts w:hAnsi="宋体" w:cs="宋体"/>
          <w:bCs/>
          <w:sz w:val="24"/>
          <w:szCs w:val="24"/>
          <w:lang w:val="zh-CN"/>
        </w:rPr>
      </w:pPr>
      <w:r>
        <w:rPr>
          <w:rFonts w:hint="eastAsia" w:hAnsi="宋体" w:cs="宋体"/>
          <w:bCs/>
          <w:sz w:val="24"/>
          <w:szCs w:val="24"/>
          <w:lang w:val="zh-CN"/>
        </w:rPr>
        <w:t>附件</w:t>
      </w:r>
      <w:r>
        <w:rPr>
          <w:rFonts w:hint="eastAsia" w:hAnsi="宋体" w:cs="宋体"/>
          <w:bCs/>
          <w:sz w:val="24"/>
          <w:szCs w:val="24"/>
        </w:rPr>
        <w:t>十一：</w:t>
      </w:r>
    </w:p>
    <w:p>
      <w:pPr>
        <w:spacing w:line="360" w:lineRule="auto"/>
        <w:jc w:val="center"/>
        <w:rPr>
          <w:rFonts w:hAnsi="宋体" w:cs="宋体"/>
          <w:color w:val="auto"/>
          <w:sz w:val="24"/>
        </w:rPr>
      </w:pPr>
      <w:r>
        <w:rPr>
          <w:rFonts w:hint="eastAsia" w:ascii="宋体" w:hAnsi="宋体" w:cs="宋体"/>
          <w:b/>
          <w:bCs/>
          <w:color w:val="auto"/>
          <w:sz w:val="32"/>
          <w:szCs w:val="32"/>
        </w:rPr>
        <w:t>投标报价明细表</w:t>
      </w:r>
    </w:p>
    <w:p>
      <w:pPr>
        <w:spacing w:line="360" w:lineRule="auto"/>
        <w:ind w:firstLine="480" w:firstLineChars="200"/>
        <w:rPr>
          <w:rFonts w:ascii="宋体" w:hAnsi="宋体" w:cs="宋体"/>
          <w:sz w:val="24"/>
        </w:rPr>
      </w:pPr>
      <w:r>
        <w:rPr>
          <w:rFonts w:hint="eastAsia" w:ascii="宋体" w:hAnsi="宋体" w:cs="宋体"/>
          <w:sz w:val="24"/>
        </w:rPr>
        <w:t>项目名称：</w:t>
      </w:r>
    </w:p>
    <w:p>
      <w:pPr>
        <w:spacing w:line="400" w:lineRule="exact"/>
        <w:ind w:firstLine="480" w:firstLineChars="200"/>
        <w:rPr>
          <w:rFonts w:ascii="宋体" w:hAnsi="宋体" w:cs="宋体"/>
          <w:sz w:val="24"/>
        </w:rPr>
      </w:pPr>
      <w:r>
        <w:rPr>
          <w:rFonts w:hint="eastAsia" w:ascii="宋体" w:hAnsi="宋体" w:cs="宋体"/>
          <w:sz w:val="24"/>
        </w:rPr>
        <w:t>采购编号：</w:t>
      </w:r>
    </w:p>
    <w:tbl>
      <w:tblPr>
        <w:tblStyle w:val="23"/>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083"/>
        <w:gridCol w:w="2291"/>
        <w:gridCol w:w="1494"/>
        <w:gridCol w:w="722"/>
        <w:gridCol w:w="650"/>
        <w:gridCol w:w="1150"/>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541" w:type="dxa"/>
            <w:vMerge w:val="restart"/>
            <w:vAlign w:val="center"/>
          </w:tcPr>
          <w:p>
            <w:pPr>
              <w:pStyle w:val="13"/>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w:t>
            </w:r>
          </w:p>
          <w:p>
            <w:pPr>
              <w:pStyle w:val="13"/>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号</w:t>
            </w:r>
          </w:p>
        </w:tc>
        <w:tc>
          <w:tcPr>
            <w:tcW w:w="1083" w:type="dxa"/>
            <w:vMerge w:val="restart"/>
            <w:vAlign w:val="center"/>
          </w:tcPr>
          <w:p>
            <w:pPr>
              <w:pStyle w:val="13"/>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名称</w:t>
            </w:r>
          </w:p>
        </w:tc>
        <w:tc>
          <w:tcPr>
            <w:tcW w:w="2291" w:type="dxa"/>
            <w:vMerge w:val="restart"/>
            <w:vAlign w:val="center"/>
          </w:tcPr>
          <w:p>
            <w:pPr>
              <w:pStyle w:val="13"/>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内容</w:t>
            </w:r>
          </w:p>
        </w:tc>
        <w:tc>
          <w:tcPr>
            <w:tcW w:w="1494" w:type="dxa"/>
            <w:vMerge w:val="restart"/>
            <w:vAlign w:val="center"/>
          </w:tcPr>
          <w:p>
            <w:pPr>
              <w:pStyle w:val="13"/>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其他（如软件制造商名称及产地）</w:t>
            </w:r>
          </w:p>
        </w:tc>
        <w:tc>
          <w:tcPr>
            <w:tcW w:w="722" w:type="dxa"/>
            <w:vMerge w:val="restart"/>
            <w:vAlign w:val="center"/>
          </w:tcPr>
          <w:p>
            <w:pPr>
              <w:pStyle w:val="13"/>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w:t>
            </w:r>
          </w:p>
          <w:p>
            <w:pPr>
              <w:pStyle w:val="13"/>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位</w:t>
            </w:r>
          </w:p>
        </w:tc>
        <w:tc>
          <w:tcPr>
            <w:tcW w:w="650" w:type="dxa"/>
            <w:vMerge w:val="restart"/>
            <w:vAlign w:val="center"/>
          </w:tcPr>
          <w:p>
            <w:pPr>
              <w:pStyle w:val="13"/>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2277" w:type="dxa"/>
            <w:gridSpan w:val="2"/>
            <w:vAlign w:val="center"/>
          </w:tcPr>
          <w:p>
            <w:pPr>
              <w:pStyle w:val="13"/>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sz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sz w:val="24"/>
              </w:rPr>
            </w:pPr>
          </w:p>
        </w:tc>
        <w:tc>
          <w:tcPr>
            <w:tcW w:w="2291" w:type="dxa"/>
            <w:vMerge w:val="continue"/>
            <w:vAlign w:val="center"/>
          </w:tcPr>
          <w:p>
            <w:pPr>
              <w:pStyle w:val="13"/>
              <w:spacing w:line="360" w:lineRule="auto"/>
              <w:jc w:val="center"/>
              <w:rPr>
                <w:rFonts w:hint="eastAsia" w:asciiTheme="minorEastAsia" w:hAnsiTheme="minorEastAsia" w:eastAsiaTheme="minorEastAsia" w:cstheme="minorEastAsia"/>
                <w:sz w:val="24"/>
              </w:rPr>
            </w:pPr>
          </w:p>
        </w:tc>
        <w:tc>
          <w:tcPr>
            <w:tcW w:w="1494" w:type="dxa"/>
            <w:vMerge w:val="continue"/>
            <w:vAlign w:val="center"/>
          </w:tcPr>
          <w:p>
            <w:pPr>
              <w:pStyle w:val="13"/>
              <w:spacing w:line="360" w:lineRule="auto"/>
              <w:jc w:val="center"/>
              <w:rPr>
                <w:rFonts w:hint="eastAsia" w:asciiTheme="minorEastAsia" w:hAnsiTheme="minorEastAsia" w:eastAsiaTheme="minorEastAsia" w:cstheme="minorEastAsia"/>
                <w:sz w:val="24"/>
              </w:rPr>
            </w:pPr>
          </w:p>
        </w:tc>
        <w:tc>
          <w:tcPr>
            <w:tcW w:w="722" w:type="dxa"/>
            <w:vMerge w:val="continue"/>
            <w:vAlign w:val="center"/>
          </w:tcPr>
          <w:p>
            <w:pPr>
              <w:pStyle w:val="13"/>
              <w:spacing w:line="360" w:lineRule="auto"/>
              <w:jc w:val="center"/>
              <w:rPr>
                <w:rFonts w:hint="eastAsia" w:asciiTheme="minorEastAsia" w:hAnsiTheme="minorEastAsia" w:eastAsiaTheme="minorEastAsia" w:cstheme="minorEastAsia"/>
                <w:sz w:val="24"/>
              </w:rPr>
            </w:pPr>
          </w:p>
        </w:tc>
        <w:tc>
          <w:tcPr>
            <w:tcW w:w="650" w:type="dxa"/>
            <w:vMerge w:val="continue"/>
            <w:vAlign w:val="center"/>
          </w:tcPr>
          <w:p>
            <w:pPr>
              <w:pStyle w:val="13"/>
              <w:spacing w:line="360" w:lineRule="auto"/>
              <w:jc w:val="center"/>
              <w:rPr>
                <w:rFonts w:hint="eastAsia" w:asciiTheme="minorEastAsia" w:hAnsiTheme="minorEastAsia" w:eastAsiaTheme="minorEastAsia" w:cstheme="minorEastAsia"/>
                <w:sz w:val="24"/>
              </w:rPr>
            </w:pPr>
          </w:p>
        </w:tc>
        <w:tc>
          <w:tcPr>
            <w:tcW w:w="1150" w:type="dxa"/>
            <w:vAlign w:val="center"/>
          </w:tcPr>
          <w:p>
            <w:pPr>
              <w:pStyle w:val="13"/>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单价</w:t>
            </w:r>
          </w:p>
        </w:tc>
        <w:tc>
          <w:tcPr>
            <w:tcW w:w="1127" w:type="dxa"/>
            <w:vAlign w:val="center"/>
          </w:tcPr>
          <w:p>
            <w:pPr>
              <w:pStyle w:val="13"/>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41"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w:t>
            </w:r>
          </w:p>
        </w:tc>
        <w:tc>
          <w:tcPr>
            <w:tcW w:w="1083"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危化品监管“一件事”集成应用</w:t>
            </w: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监管数据多跨融合</w:t>
            </w:r>
          </w:p>
        </w:tc>
        <w:tc>
          <w:tcPr>
            <w:tcW w:w="1494" w:type="dxa"/>
            <w:vAlign w:val="center"/>
          </w:tcPr>
          <w:p>
            <w:pPr>
              <w:pStyle w:val="13"/>
              <w:spacing w:line="360" w:lineRule="auto"/>
              <w:jc w:val="center"/>
              <w:rPr>
                <w:rFonts w:hint="eastAsia" w:asciiTheme="minorEastAsia" w:hAnsiTheme="minorEastAsia" w:eastAsiaTheme="minorEastAsia" w:cstheme="minorEastAsia"/>
                <w:b/>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pStyle w:val="13"/>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000000"/>
                <w:kern w:val="0"/>
                <w:sz w:val="24"/>
                <w:szCs w:val="24"/>
              </w:rPr>
              <w:t>危化品全生命周期监管平台</w:t>
            </w:r>
          </w:p>
        </w:tc>
        <w:tc>
          <w:tcPr>
            <w:tcW w:w="1494" w:type="dxa"/>
            <w:vAlign w:val="center"/>
          </w:tcPr>
          <w:p>
            <w:pPr>
              <w:pStyle w:val="13"/>
              <w:spacing w:line="360" w:lineRule="auto"/>
              <w:jc w:val="center"/>
              <w:rPr>
                <w:rFonts w:hint="eastAsia" w:asciiTheme="minorEastAsia" w:hAnsiTheme="minorEastAsia" w:eastAsiaTheme="minorEastAsia" w:cstheme="minorEastAsia"/>
                <w:b/>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pStyle w:val="13"/>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000000"/>
                <w:kern w:val="0"/>
                <w:sz w:val="24"/>
                <w:szCs w:val="24"/>
              </w:rPr>
              <w:t>协同智治应用平台</w:t>
            </w:r>
          </w:p>
        </w:tc>
        <w:tc>
          <w:tcPr>
            <w:tcW w:w="1494" w:type="dxa"/>
            <w:vAlign w:val="center"/>
          </w:tcPr>
          <w:p>
            <w:pPr>
              <w:pStyle w:val="13"/>
              <w:spacing w:line="360" w:lineRule="auto"/>
              <w:jc w:val="center"/>
              <w:rPr>
                <w:rFonts w:hint="eastAsia" w:asciiTheme="minorEastAsia" w:hAnsiTheme="minorEastAsia" w:eastAsiaTheme="minorEastAsia" w:cstheme="minorEastAsia"/>
                <w:b/>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“一件事”集成驾驶舱</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w:t>
            </w:r>
          </w:p>
        </w:tc>
        <w:tc>
          <w:tcPr>
            <w:tcW w:w="1083"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color w:val="000000"/>
                <w:kern w:val="0"/>
                <w:sz w:val="24"/>
                <w:szCs w:val="24"/>
              </w:rPr>
              <w:t>“工业互联网+危化安全生产”园区应用场景</w:t>
            </w: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危险化学品风险监测预警</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重大危险源安全管理</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特殊作业管理</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双重预防机制</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安全基础管理</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监管执法</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敏捷应急</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封闭化管理</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3</w:t>
            </w:r>
          </w:p>
        </w:tc>
        <w:tc>
          <w:tcPr>
            <w:tcW w:w="1083"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color w:val="000000"/>
                <w:kern w:val="0"/>
                <w:sz w:val="24"/>
                <w:szCs w:val="24"/>
              </w:rPr>
              <w:t>智慧监管平台升级</w:t>
            </w: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运维运营系统提升</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环保监测系统升级</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能源管理系统升级</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4</w:t>
            </w:r>
          </w:p>
        </w:tc>
        <w:tc>
          <w:tcPr>
            <w:tcW w:w="1083"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color w:val="000000"/>
                <w:kern w:val="0"/>
                <w:sz w:val="24"/>
                <w:szCs w:val="24"/>
              </w:rPr>
              <w:t>企业应用场景建设</w:t>
            </w: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作业许可和作业过程管理系统</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双重预防体系数字化管理系统</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企业现有系统集成</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Align w:val="center"/>
          </w:tcPr>
          <w:p>
            <w:pPr>
              <w:pStyle w:val="13"/>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w:t>
            </w:r>
          </w:p>
        </w:tc>
        <w:tc>
          <w:tcPr>
            <w:tcW w:w="1083" w:type="dxa"/>
            <w:vAlign w:val="center"/>
          </w:tcPr>
          <w:p>
            <w:pPr>
              <w:pStyle w:val="13"/>
              <w:spacing w:line="36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kern w:val="0"/>
                <w:sz w:val="24"/>
                <w:szCs w:val="24"/>
              </w:rPr>
              <w:t>企业智能化诊断分析</w:t>
            </w: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企业智能化诊断分析</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138</w:t>
            </w:r>
          </w:p>
        </w:tc>
        <w:tc>
          <w:tcPr>
            <w:tcW w:w="650" w:type="dxa"/>
            <w:vAlign w:val="center"/>
          </w:tcPr>
          <w:p>
            <w:pPr>
              <w:pStyle w:val="13"/>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家</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6</w:t>
            </w:r>
          </w:p>
        </w:tc>
        <w:tc>
          <w:tcPr>
            <w:tcW w:w="1083"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color w:val="000000"/>
                <w:kern w:val="0"/>
                <w:sz w:val="24"/>
                <w:szCs w:val="24"/>
              </w:rPr>
              <w:t>工业互联网平台</w:t>
            </w: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智能化能力组件</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哨兵系统云边计算平台</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三维地理信息服务</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7</w:t>
            </w:r>
          </w:p>
        </w:tc>
        <w:tc>
          <w:tcPr>
            <w:tcW w:w="1083"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color w:val="000000"/>
                <w:kern w:val="0"/>
                <w:sz w:val="24"/>
                <w:szCs w:val="24"/>
              </w:rPr>
              <w:t>移动端浙政钉、浙里办、数字化改革门户集成</w:t>
            </w: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浙政钉、浙里办场景应用集成</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数字化改革门户集成</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8</w:t>
            </w:r>
          </w:p>
        </w:tc>
        <w:tc>
          <w:tcPr>
            <w:tcW w:w="1083"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color w:val="000000"/>
                <w:kern w:val="0"/>
                <w:sz w:val="24"/>
                <w:szCs w:val="24"/>
              </w:rPr>
              <w:t>数据中心建设</w:t>
            </w: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数据中心业务服务器</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7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数据中心管理服务器</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3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虚拟化软件</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1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云管理平台软件</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1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9</w:t>
            </w:r>
          </w:p>
        </w:tc>
        <w:tc>
          <w:tcPr>
            <w:tcW w:w="1083"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color w:val="000000"/>
                <w:kern w:val="0"/>
                <w:sz w:val="24"/>
                <w:szCs w:val="24"/>
              </w:rPr>
              <w:t>网络设备</w:t>
            </w: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互联网接入防火墙</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2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互联网接入交换机</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2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专线接入防火墙</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2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专线接入交换机</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2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办公区杀毒软件</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1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经典网络区防火墙</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2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经典网络区交换机</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2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业务承载区虚拟防火墙</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2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业务接入交换机</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4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存储网络交换机</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2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主站点核心交换机</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2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IPMI交换机</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2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光模块（定制）</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250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个</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光模块（定制）</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40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个</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光纤线（定制）</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130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条</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光纤线（定制）</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24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条</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光纤线（定制）</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24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条</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网线（定制）</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600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米</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网线水晶头（定制）</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100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个</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10</w:t>
            </w:r>
          </w:p>
        </w:tc>
        <w:tc>
          <w:tcPr>
            <w:tcW w:w="1083"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kern w:val="0"/>
                <w:sz w:val="24"/>
                <w:szCs w:val="24"/>
              </w:rPr>
              <w:t>容灾和硬件托管</w:t>
            </w:r>
          </w:p>
        </w:tc>
        <w:tc>
          <w:tcPr>
            <w:tcW w:w="2291"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机柜租用</w:t>
            </w:r>
            <w:r>
              <w:rPr>
                <w:rFonts w:hint="eastAsia" w:asciiTheme="minorEastAsia" w:hAnsiTheme="minorEastAsia" w:eastAsiaTheme="minorEastAsia" w:cstheme="minorEastAsia"/>
                <w:color w:val="000000"/>
                <w:kern w:val="0"/>
                <w:sz w:val="24"/>
                <w:szCs w:val="24"/>
              </w:rPr>
              <w:t>（定制）</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1</w:t>
            </w:r>
          </w:p>
        </w:tc>
        <w:tc>
          <w:tcPr>
            <w:tcW w:w="650"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年</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容灾中心防火墙</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 xml:space="preserve">1 </w:t>
            </w:r>
          </w:p>
        </w:tc>
        <w:tc>
          <w:tcPr>
            <w:tcW w:w="650"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容灾中心交换机</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 xml:space="preserve">1 </w:t>
            </w:r>
          </w:p>
        </w:tc>
        <w:tc>
          <w:tcPr>
            <w:tcW w:w="650"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互联网接入线路</w:t>
            </w:r>
            <w:r>
              <w:rPr>
                <w:rFonts w:hint="eastAsia" w:asciiTheme="minorEastAsia" w:hAnsiTheme="minorEastAsia" w:eastAsiaTheme="minorEastAsia" w:cstheme="minorEastAsia"/>
                <w:color w:val="000000"/>
                <w:kern w:val="0"/>
                <w:sz w:val="24"/>
                <w:szCs w:val="24"/>
              </w:rPr>
              <w:t>（定制）</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 xml:space="preserve">12 </w:t>
            </w:r>
          </w:p>
        </w:tc>
        <w:tc>
          <w:tcPr>
            <w:tcW w:w="650"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月</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移动VPN专线接入</w:t>
            </w:r>
            <w:r>
              <w:rPr>
                <w:rFonts w:hint="eastAsia" w:asciiTheme="minorEastAsia" w:hAnsiTheme="minorEastAsia" w:eastAsiaTheme="minorEastAsia" w:cstheme="minorEastAsia"/>
                <w:color w:val="000000"/>
                <w:kern w:val="0"/>
                <w:sz w:val="24"/>
                <w:szCs w:val="24"/>
              </w:rPr>
              <w:t>（定制）</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 xml:space="preserve">12 </w:t>
            </w:r>
          </w:p>
        </w:tc>
        <w:tc>
          <w:tcPr>
            <w:tcW w:w="650"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月</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电信VPN专线接入</w:t>
            </w:r>
            <w:r>
              <w:rPr>
                <w:rFonts w:hint="eastAsia" w:asciiTheme="minorEastAsia" w:hAnsiTheme="minorEastAsia" w:eastAsiaTheme="minorEastAsia" w:cstheme="minorEastAsia"/>
                <w:color w:val="000000"/>
                <w:kern w:val="0"/>
                <w:sz w:val="24"/>
                <w:szCs w:val="24"/>
              </w:rPr>
              <w:t>（定制）</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 xml:space="preserve">12 </w:t>
            </w:r>
          </w:p>
        </w:tc>
        <w:tc>
          <w:tcPr>
            <w:tcW w:w="650"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月</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11</w:t>
            </w:r>
          </w:p>
        </w:tc>
        <w:tc>
          <w:tcPr>
            <w:tcW w:w="1083"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kern w:val="0"/>
                <w:sz w:val="24"/>
                <w:szCs w:val="24"/>
              </w:rPr>
              <w:t>安全等保设备</w:t>
            </w:r>
          </w:p>
        </w:tc>
        <w:tc>
          <w:tcPr>
            <w:tcW w:w="2291"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日志审计</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1</w:t>
            </w:r>
          </w:p>
        </w:tc>
        <w:tc>
          <w:tcPr>
            <w:tcW w:w="650"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堡垒机</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1</w:t>
            </w:r>
          </w:p>
        </w:tc>
        <w:tc>
          <w:tcPr>
            <w:tcW w:w="650"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数据库审计</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1</w:t>
            </w:r>
          </w:p>
        </w:tc>
        <w:tc>
          <w:tcPr>
            <w:tcW w:w="650"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态势感知平台</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1</w:t>
            </w:r>
          </w:p>
        </w:tc>
        <w:tc>
          <w:tcPr>
            <w:tcW w:w="650"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态势感知探针</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1</w:t>
            </w:r>
          </w:p>
        </w:tc>
        <w:tc>
          <w:tcPr>
            <w:tcW w:w="650"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漏洞扫描</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1</w:t>
            </w:r>
          </w:p>
        </w:tc>
        <w:tc>
          <w:tcPr>
            <w:tcW w:w="650"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零信任代理网关</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1</w:t>
            </w:r>
          </w:p>
        </w:tc>
        <w:tc>
          <w:tcPr>
            <w:tcW w:w="650"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零信任控制器</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1</w:t>
            </w:r>
          </w:p>
        </w:tc>
        <w:tc>
          <w:tcPr>
            <w:tcW w:w="650" w:type="dxa"/>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12</w:t>
            </w:r>
          </w:p>
        </w:tc>
        <w:tc>
          <w:tcPr>
            <w:tcW w:w="1083"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color w:val="000000"/>
                <w:kern w:val="0"/>
                <w:sz w:val="24"/>
                <w:szCs w:val="24"/>
              </w:rPr>
              <w:t>视频存储升级</w:t>
            </w: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视频综合管理系统（定制）</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1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企业级硬盘</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112 </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 xml:space="preserve">块 </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视频存储授权（定制）</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1</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13</w:t>
            </w:r>
          </w:p>
        </w:tc>
        <w:tc>
          <w:tcPr>
            <w:tcW w:w="1083" w:type="dxa"/>
            <w:vMerge w:val="restart"/>
            <w:vAlign w:val="center"/>
          </w:tcPr>
          <w:p>
            <w:pPr>
              <w:pStyle w:val="13"/>
              <w:spacing w:line="36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color w:val="000000"/>
                <w:kern w:val="0"/>
                <w:sz w:val="24"/>
                <w:szCs w:val="24"/>
              </w:rPr>
              <w:t>演练移动演练服务箱</w:t>
            </w: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拉杆设备箱</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1</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演练终端</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sz w:val="24"/>
                <w:szCs w:val="24"/>
              </w:rPr>
              <w:t>15</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LED胸牌</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sz w:val="24"/>
                <w:szCs w:val="24"/>
              </w:rPr>
              <w:t>15</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个</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无线键鼠（定制）</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sz w:val="24"/>
                <w:szCs w:val="24"/>
              </w:rPr>
              <w:t>15</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路由器（定制）</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便携蓝牙音响（定制）</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1083" w:type="dxa"/>
            <w:vMerge w:val="continue"/>
            <w:vAlign w:val="center"/>
          </w:tcPr>
          <w:p>
            <w:pPr>
              <w:pStyle w:val="13"/>
              <w:spacing w:line="360" w:lineRule="auto"/>
              <w:jc w:val="center"/>
              <w:rPr>
                <w:rFonts w:hint="eastAsia" w:asciiTheme="minorEastAsia" w:hAnsiTheme="minorEastAsia" w:eastAsiaTheme="minorEastAsia" w:cstheme="minorEastAsia"/>
                <w:b w:val="0"/>
                <w:bCs/>
                <w:sz w:val="24"/>
                <w:szCs w:val="24"/>
              </w:rPr>
            </w:pPr>
          </w:p>
        </w:tc>
        <w:tc>
          <w:tcPr>
            <w:tcW w:w="229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笔记本电脑</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sz w:val="24"/>
                <w:szCs w:val="24"/>
              </w:rPr>
              <w:t>1</w:t>
            </w:r>
          </w:p>
        </w:tc>
        <w:tc>
          <w:tcPr>
            <w:tcW w:w="650"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Align w:val="center"/>
          </w:tcPr>
          <w:p>
            <w:pPr>
              <w:pStyle w:val="13"/>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14</w:t>
            </w:r>
          </w:p>
        </w:tc>
        <w:tc>
          <w:tcPr>
            <w:tcW w:w="1083" w:type="dxa"/>
            <w:vAlign w:val="center"/>
          </w:tcPr>
          <w:p>
            <w:pPr>
              <w:pStyle w:val="13"/>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kern w:val="0"/>
                <w:sz w:val="24"/>
                <w:szCs w:val="24"/>
              </w:rPr>
              <w:t>高空瞭望</w:t>
            </w: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高空瞭望</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3</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Align w:val="center"/>
          </w:tcPr>
          <w:p>
            <w:pPr>
              <w:pStyle w:val="13"/>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15</w:t>
            </w:r>
          </w:p>
        </w:tc>
        <w:tc>
          <w:tcPr>
            <w:tcW w:w="1083" w:type="dxa"/>
            <w:vAlign w:val="center"/>
          </w:tcPr>
          <w:p>
            <w:pPr>
              <w:pStyle w:val="13"/>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kern w:val="0"/>
                <w:sz w:val="24"/>
                <w:szCs w:val="24"/>
              </w:rPr>
              <w:t>360°全景摄像头</w:t>
            </w: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360°全景摄像头</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8</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Align w:val="center"/>
          </w:tcPr>
          <w:p>
            <w:pPr>
              <w:pStyle w:val="13"/>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16</w:t>
            </w:r>
          </w:p>
        </w:tc>
        <w:tc>
          <w:tcPr>
            <w:tcW w:w="1083" w:type="dxa"/>
            <w:vAlign w:val="center"/>
          </w:tcPr>
          <w:p>
            <w:pPr>
              <w:pStyle w:val="13"/>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kern w:val="0"/>
                <w:sz w:val="24"/>
                <w:szCs w:val="24"/>
              </w:rPr>
              <w:t>大范围速扫设备</w:t>
            </w: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大范围速扫设备</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4</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color w:val="000000"/>
                <w:kern w:val="0"/>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Align w:val="center"/>
          </w:tcPr>
          <w:p>
            <w:pPr>
              <w:pStyle w:val="13"/>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17</w:t>
            </w:r>
          </w:p>
        </w:tc>
        <w:tc>
          <w:tcPr>
            <w:tcW w:w="1083" w:type="dxa"/>
            <w:vAlign w:val="center"/>
          </w:tcPr>
          <w:p>
            <w:pPr>
              <w:pStyle w:val="13"/>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kern w:val="0"/>
                <w:sz w:val="24"/>
                <w:szCs w:val="24"/>
              </w:rPr>
              <w:t>哨兵边缘计算设备</w:t>
            </w: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哨兵边缘计算设备</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138</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color w:val="000000"/>
                <w:kern w:val="0"/>
                <w:sz w:val="24"/>
                <w:szCs w:val="24"/>
              </w:rPr>
              <w:t>台</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41" w:type="dxa"/>
            <w:vAlign w:val="center"/>
          </w:tcPr>
          <w:p>
            <w:pPr>
              <w:pStyle w:val="13"/>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18</w:t>
            </w:r>
          </w:p>
        </w:tc>
        <w:tc>
          <w:tcPr>
            <w:tcW w:w="1083" w:type="dxa"/>
            <w:vAlign w:val="center"/>
          </w:tcPr>
          <w:p>
            <w:pPr>
              <w:pStyle w:val="13"/>
              <w:spacing w:line="360" w:lineRule="auto"/>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color w:val="000000"/>
                <w:kern w:val="0"/>
                <w:sz w:val="24"/>
                <w:szCs w:val="24"/>
              </w:rPr>
              <w:t>铁塔租赁和设备安装（定制）</w:t>
            </w:r>
          </w:p>
        </w:tc>
        <w:tc>
          <w:tcPr>
            <w:tcW w:w="2291" w:type="dxa"/>
            <w:vAlign w:val="center"/>
          </w:tcPr>
          <w:p>
            <w:pPr>
              <w:pStyle w:val="13"/>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铁塔租赁和设备安装（定制）</w:t>
            </w:r>
          </w:p>
        </w:tc>
        <w:tc>
          <w:tcPr>
            <w:tcW w:w="1494"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722"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5</w:t>
            </w:r>
          </w:p>
        </w:tc>
        <w:tc>
          <w:tcPr>
            <w:tcW w:w="650" w:type="dxa"/>
            <w:vAlign w:val="center"/>
          </w:tcPr>
          <w:p>
            <w:pPr>
              <w:pStyle w:val="13"/>
              <w:spacing w:line="360" w:lineRule="auto"/>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套</w:t>
            </w:r>
          </w:p>
        </w:tc>
        <w:tc>
          <w:tcPr>
            <w:tcW w:w="1150" w:type="dxa"/>
            <w:vAlign w:val="center"/>
          </w:tcPr>
          <w:p>
            <w:pPr>
              <w:pStyle w:val="13"/>
              <w:spacing w:line="360" w:lineRule="auto"/>
              <w:jc w:val="center"/>
              <w:rPr>
                <w:rFonts w:hint="eastAsia" w:asciiTheme="minorEastAsia" w:hAnsiTheme="minorEastAsia" w:eastAsiaTheme="minorEastAsia" w:cstheme="minorEastAsia"/>
                <w:sz w:val="24"/>
                <w:szCs w:val="24"/>
              </w:rPr>
            </w:pPr>
          </w:p>
        </w:tc>
        <w:tc>
          <w:tcPr>
            <w:tcW w:w="1127" w:type="dxa"/>
            <w:vAlign w:val="center"/>
          </w:tcPr>
          <w:p>
            <w:pPr>
              <w:pStyle w:val="13"/>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1624" w:type="dxa"/>
            <w:gridSpan w:val="2"/>
            <w:vAlign w:val="center"/>
          </w:tcPr>
          <w:p>
            <w:pPr>
              <w:pStyle w:val="13"/>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投标总价</w:t>
            </w:r>
          </w:p>
        </w:tc>
        <w:tc>
          <w:tcPr>
            <w:tcW w:w="7434" w:type="dxa"/>
            <w:gridSpan w:val="6"/>
            <w:vAlign w:val="center"/>
          </w:tcPr>
          <w:p>
            <w:pPr>
              <w:pStyle w:val="13"/>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　　　　                元（小写：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9058" w:type="dxa"/>
            <w:gridSpan w:val="8"/>
            <w:vAlign w:val="center"/>
          </w:tcPr>
          <w:p>
            <w:pPr>
              <w:pStyle w:val="13"/>
              <w:spacing w:line="360" w:lineRule="auto"/>
              <w:ind w:firstLine="480" w:firstLineChars="20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投标报价应包括人员的工资福利、五险一金、软件系统费（含设计、开发、集成、测试、维护、升级等）、硬件及配件、实施部署费、安装费、调试费、运杂费、技术培训费、售后服务费、人工费用、</w:t>
            </w:r>
            <w:bookmarkStart w:id="457" w:name="_GoBack"/>
            <w:bookmarkEnd w:id="457"/>
            <w:r>
              <w:rPr>
                <w:rFonts w:hint="eastAsia" w:asciiTheme="minorEastAsia" w:hAnsiTheme="minorEastAsia" w:eastAsiaTheme="minorEastAsia" w:cstheme="minorEastAsia"/>
                <w:sz w:val="24"/>
              </w:rPr>
              <w:t>税金等一切费用。投标人在编写投标方案时应充分考虑各种风险因素，凡投标人漏项、漏报均认为已包含在报价中，结算时不再增加</w:t>
            </w:r>
            <w:r>
              <w:rPr>
                <w:rFonts w:hint="eastAsia" w:asciiTheme="minorEastAsia" w:hAnsiTheme="minorEastAsia" w:eastAsiaTheme="minorEastAsia" w:cstheme="minorEastAsia"/>
                <w:sz w:val="24"/>
                <w:lang w:eastAsia="zh-CN"/>
              </w:rPr>
              <w:t>。</w:t>
            </w:r>
          </w:p>
        </w:tc>
      </w:tr>
    </w:tbl>
    <w:p>
      <w:pPr>
        <w:spacing w:line="360" w:lineRule="auto"/>
        <w:ind w:left="-2" w:leftChars="-1" w:right="-817" w:rightChars="-389" w:firstLine="117" w:firstLineChars="49"/>
        <w:rPr>
          <w:rFonts w:ascii="宋体" w:hAnsi="宋体" w:cs="宋体"/>
          <w:sz w:val="24"/>
        </w:rPr>
      </w:pPr>
    </w:p>
    <w:p>
      <w:pPr>
        <w:spacing w:line="360" w:lineRule="auto"/>
        <w:ind w:left="-2" w:leftChars="-1" w:right="-817" w:rightChars="-389" w:firstLine="117" w:firstLineChars="49"/>
        <w:rPr>
          <w:rFonts w:ascii="宋体" w:hAnsi="宋体" w:cs="宋体"/>
          <w:sz w:val="24"/>
        </w:rPr>
      </w:pPr>
    </w:p>
    <w:p>
      <w:pPr>
        <w:spacing w:line="360" w:lineRule="auto"/>
        <w:ind w:left="-2" w:leftChars="-1" w:right="-817" w:rightChars="-389" w:firstLine="117" w:firstLineChars="49"/>
        <w:rPr>
          <w:rFonts w:ascii="宋体" w:hAnsi="宋体" w:cs="宋体"/>
          <w:sz w:val="24"/>
        </w:rPr>
      </w:pPr>
    </w:p>
    <w:p>
      <w:pPr>
        <w:spacing w:line="360" w:lineRule="auto"/>
        <w:ind w:left="-2" w:leftChars="-1" w:right="-817" w:rightChars="-389" w:firstLine="117" w:firstLineChars="49"/>
        <w:rPr>
          <w:rFonts w:ascii="宋体" w:hAnsi="宋体" w:cs="宋体"/>
          <w:sz w:val="24"/>
        </w:rPr>
      </w:pPr>
    </w:p>
    <w:p>
      <w:pPr>
        <w:spacing w:line="360" w:lineRule="auto"/>
        <w:ind w:left="-2" w:leftChars="-1" w:right="-817" w:rightChars="-389" w:firstLine="3712" w:firstLineChars="1547"/>
        <w:rPr>
          <w:rFonts w:ascii="宋体" w:hAnsi="宋体" w:cs="宋体"/>
          <w:sz w:val="24"/>
        </w:rPr>
      </w:pPr>
      <w:r>
        <w:rPr>
          <w:rFonts w:hint="eastAsia" w:ascii="宋体" w:hAnsi="宋体" w:cs="宋体"/>
          <w:sz w:val="24"/>
        </w:rPr>
        <w:t>投标人名称（盖章）：</w:t>
      </w:r>
    </w:p>
    <w:p>
      <w:pPr>
        <w:spacing w:line="360" w:lineRule="auto"/>
        <w:ind w:left="-2" w:leftChars="-1" w:right="-817" w:rightChars="-389" w:firstLine="3720" w:firstLineChars="1550"/>
        <w:rPr>
          <w:rFonts w:ascii="宋体" w:hAnsi="宋体" w:cs="宋体"/>
          <w:sz w:val="24"/>
        </w:rPr>
      </w:pPr>
      <w:r>
        <w:rPr>
          <w:rFonts w:hint="eastAsia" w:ascii="宋体" w:hAnsi="宋体" w:cs="宋体"/>
          <w:sz w:val="24"/>
        </w:rPr>
        <w:t>法定代表人或授权委托人（签字或盖章）：</w:t>
      </w:r>
    </w:p>
    <w:p>
      <w:pPr>
        <w:spacing w:line="360" w:lineRule="auto"/>
        <w:ind w:right="-817" w:rightChars="-389" w:firstLine="3840" w:firstLineChars="1600"/>
        <w:rPr>
          <w:rFonts w:ascii="宋体" w:hAnsi="宋体" w:cs="宋体"/>
          <w:b/>
          <w:sz w:val="28"/>
          <w:szCs w:val="20"/>
        </w:rPr>
      </w:pPr>
      <w:r>
        <w:rPr>
          <w:rFonts w:hint="eastAsia" w:ascii="宋体" w:hAnsi="宋体" w:cs="宋体"/>
          <w:sz w:val="24"/>
        </w:rPr>
        <w:t>日期：    年   月    日</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26"/>
      </w:rPr>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p>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26"/>
      </w:rPr>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54</w:t>
                </w:r>
                <w:r>
                  <w:fldChar w:fldCharType="end"/>
                </w:r>
              </w:p>
            </w:txbxContent>
          </v:textbox>
        </v:shape>
      </w:pict>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26"/>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57</w:t>
                </w:r>
                <w:r>
                  <w:fldChar w:fldCharType="end"/>
                </w:r>
              </w:p>
            </w:txbxContent>
          </v:textbox>
        </v:shape>
      </w:pict>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ind w:left="1080" w:hanging="1080" w:hangingChars="600"/>
      <w:jc w:val="both"/>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73AF"/>
    <w:multiLevelType w:val="singleLevel"/>
    <w:tmpl w:val="84B173AF"/>
    <w:lvl w:ilvl="0" w:tentative="0">
      <w:start w:val="1"/>
      <w:numFmt w:val="decimal"/>
      <w:suff w:val="nothing"/>
      <w:lvlText w:val="%1．"/>
      <w:lvlJc w:val="left"/>
      <w:pPr>
        <w:ind w:left="0" w:firstLine="40"/>
      </w:pPr>
      <w:rPr>
        <w:rFonts w:hint="default"/>
      </w:rPr>
    </w:lvl>
  </w:abstractNum>
  <w:abstractNum w:abstractNumId="1">
    <w:nsid w:val="8CA00E09"/>
    <w:multiLevelType w:val="singleLevel"/>
    <w:tmpl w:val="8CA00E09"/>
    <w:lvl w:ilvl="0" w:tentative="0">
      <w:start w:val="1"/>
      <w:numFmt w:val="decimalEnclosedCircleChinese"/>
      <w:suff w:val="nothing"/>
      <w:lvlText w:val="%1　"/>
      <w:lvlJc w:val="left"/>
      <w:pPr>
        <w:ind w:left="0" w:firstLine="1134"/>
      </w:pPr>
      <w:rPr>
        <w:rFonts w:hint="eastAsia"/>
      </w:rPr>
    </w:lvl>
  </w:abstractNum>
  <w:abstractNum w:abstractNumId="2">
    <w:nsid w:val="9577F733"/>
    <w:multiLevelType w:val="singleLevel"/>
    <w:tmpl w:val="9577F733"/>
    <w:lvl w:ilvl="0" w:tentative="0">
      <w:start w:val="1"/>
      <w:numFmt w:val="decimal"/>
      <w:suff w:val="nothing"/>
      <w:lvlText w:val="10.%1 "/>
      <w:lvlJc w:val="left"/>
      <w:pPr>
        <w:tabs>
          <w:tab w:val="left" w:pos="0"/>
        </w:tabs>
        <w:ind w:left="0" w:firstLine="40"/>
      </w:pPr>
      <w:rPr>
        <w:rFonts w:hint="default" w:ascii="宋体" w:hAnsi="宋体" w:eastAsia="宋体" w:cs="宋体"/>
      </w:rPr>
    </w:lvl>
  </w:abstractNum>
  <w:abstractNum w:abstractNumId="3">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4">
    <w:nsid w:val="9DEC2DD6"/>
    <w:multiLevelType w:val="singleLevel"/>
    <w:tmpl w:val="9DEC2DD6"/>
    <w:lvl w:ilvl="0" w:tentative="0">
      <w:start w:val="1"/>
      <w:numFmt w:val="decimal"/>
      <w:suff w:val="nothing"/>
      <w:lvlText w:val="%1、"/>
      <w:lvlJc w:val="left"/>
    </w:lvl>
  </w:abstractNum>
  <w:abstractNum w:abstractNumId="5">
    <w:nsid w:val="A51B0742"/>
    <w:multiLevelType w:val="singleLevel"/>
    <w:tmpl w:val="A51B0742"/>
    <w:lvl w:ilvl="0" w:tentative="0">
      <w:start w:val="1"/>
      <w:numFmt w:val="decimalEnclosedCircleChinese"/>
      <w:suff w:val="nothing"/>
      <w:lvlText w:val="%1　"/>
      <w:lvlJc w:val="left"/>
      <w:pPr>
        <w:ind w:left="0" w:firstLine="1134"/>
      </w:pPr>
      <w:rPr>
        <w:rFonts w:hint="eastAsia"/>
      </w:rPr>
    </w:lvl>
  </w:abstractNum>
  <w:abstractNum w:abstractNumId="6">
    <w:nsid w:val="A623EEB2"/>
    <w:multiLevelType w:val="singleLevel"/>
    <w:tmpl w:val="A623EEB2"/>
    <w:lvl w:ilvl="0" w:tentative="0">
      <w:start w:val="1"/>
      <w:numFmt w:val="decimal"/>
      <w:suff w:val="nothing"/>
      <w:lvlText w:val="4.%1 "/>
      <w:lvlJc w:val="left"/>
      <w:pPr>
        <w:tabs>
          <w:tab w:val="left" w:pos="0"/>
        </w:tabs>
        <w:ind w:left="0" w:firstLine="40"/>
      </w:pPr>
      <w:rPr>
        <w:rFonts w:hint="default" w:ascii="宋体" w:hAnsi="宋体" w:eastAsia="宋体" w:cs="宋体"/>
      </w:rPr>
    </w:lvl>
  </w:abstractNum>
  <w:abstractNum w:abstractNumId="7">
    <w:nsid w:val="BED6ED46"/>
    <w:multiLevelType w:val="singleLevel"/>
    <w:tmpl w:val="BED6ED46"/>
    <w:lvl w:ilvl="0" w:tentative="0">
      <w:start w:val="1"/>
      <w:numFmt w:val="decimal"/>
      <w:suff w:val="nothing"/>
      <w:lvlText w:val="%1、"/>
      <w:lvlJc w:val="left"/>
    </w:lvl>
  </w:abstractNum>
  <w:abstractNum w:abstractNumId="8">
    <w:nsid w:val="C65771D8"/>
    <w:multiLevelType w:val="singleLevel"/>
    <w:tmpl w:val="C65771D8"/>
    <w:lvl w:ilvl="0" w:tentative="0">
      <w:start w:val="1"/>
      <w:numFmt w:val="decimal"/>
      <w:suff w:val="nothing"/>
      <w:lvlText w:val="19.%1 "/>
      <w:lvlJc w:val="left"/>
      <w:pPr>
        <w:tabs>
          <w:tab w:val="left" w:pos="0"/>
        </w:tabs>
        <w:ind w:left="0" w:firstLine="40"/>
      </w:pPr>
      <w:rPr>
        <w:rFonts w:hint="default" w:ascii="宋体" w:hAnsi="宋体" w:eastAsia="宋体" w:cs="宋体"/>
      </w:rPr>
    </w:lvl>
  </w:abstractNum>
  <w:abstractNum w:abstractNumId="9">
    <w:nsid w:val="C7A4DB1D"/>
    <w:multiLevelType w:val="singleLevel"/>
    <w:tmpl w:val="C7A4DB1D"/>
    <w:lvl w:ilvl="0" w:tentative="0">
      <w:start w:val="1"/>
      <w:numFmt w:val="decimalEnclosedCircleChinese"/>
      <w:suff w:val="nothing"/>
      <w:lvlText w:val="%1　"/>
      <w:lvlJc w:val="left"/>
      <w:pPr>
        <w:ind w:left="0" w:firstLine="400"/>
      </w:pPr>
      <w:rPr>
        <w:rFonts w:hint="eastAsia"/>
      </w:rPr>
    </w:lvl>
  </w:abstractNum>
  <w:abstractNum w:abstractNumId="10">
    <w:nsid w:val="C88B87FA"/>
    <w:multiLevelType w:val="singleLevel"/>
    <w:tmpl w:val="C88B87FA"/>
    <w:lvl w:ilvl="0" w:tentative="0">
      <w:start w:val="1"/>
      <w:numFmt w:val="decimal"/>
      <w:suff w:val="nothing"/>
      <w:lvlText w:val="22.%1 "/>
      <w:lvlJc w:val="left"/>
      <w:pPr>
        <w:tabs>
          <w:tab w:val="left" w:pos="0"/>
        </w:tabs>
        <w:ind w:left="0" w:firstLine="40"/>
      </w:pPr>
      <w:rPr>
        <w:rFonts w:hint="default" w:ascii="宋体" w:hAnsi="宋体" w:eastAsia="宋体" w:cs="宋体"/>
      </w:rPr>
    </w:lvl>
  </w:abstractNum>
  <w:abstractNum w:abstractNumId="11">
    <w:nsid w:val="CA005832"/>
    <w:multiLevelType w:val="singleLevel"/>
    <w:tmpl w:val="CA005832"/>
    <w:lvl w:ilvl="0" w:tentative="0">
      <w:start w:val="1"/>
      <w:numFmt w:val="decimal"/>
      <w:suff w:val="nothing"/>
      <w:lvlText w:val="6.%1 "/>
      <w:lvlJc w:val="left"/>
      <w:pPr>
        <w:tabs>
          <w:tab w:val="left" w:pos="0"/>
        </w:tabs>
        <w:ind w:left="0" w:firstLine="40"/>
      </w:pPr>
      <w:rPr>
        <w:rFonts w:hint="default" w:ascii="宋体" w:hAnsi="宋体" w:eastAsia="宋体" w:cs="宋体"/>
      </w:rPr>
    </w:lvl>
  </w:abstractNum>
  <w:abstractNum w:abstractNumId="12">
    <w:nsid w:val="CF30F546"/>
    <w:multiLevelType w:val="singleLevel"/>
    <w:tmpl w:val="CF30F546"/>
    <w:lvl w:ilvl="0" w:tentative="0">
      <w:start w:val="1"/>
      <w:numFmt w:val="decimalEnclosedCircleChinese"/>
      <w:suff w:val="nothing"/>
      <w:lvlText w:val="%1　"/>
      <w:lvlJc w:val="left"/>
      <w:pPr>
        <w:ind w:left="0" w:firstLine="400"/>
      </w:pPr>
      <w:rPr>
        <w:rFonts w:hint="eastAsia"/>
      </w:rPr>
    </w:lvl>
  </w:abstractNum>
  <w:abstractNum w:abstractNumId="13">
    <w:nsid w:val="D5C663A9"/>
    <w:multiLevelType w:val="singleLevel"/>
    <w:tmpl w:val="D5C663A9"/>
    <w:lvl w:ilvl="0" w:tentative="0">
      <w:start w:val="1"/>
      <w:numFmt w:val="decimalEnclosedCircleChinese"/>
      <w:suff w:val="nothing"/>
      <w:lvlText w:val="%1　"/>
      <w:lvlJc w:val="left"/>
      <w:pPr>
        <w:ind w:left="0" w:firstLine="1134"/>
      </w:pPr>
      <w:rPr>
        <w:rFonts w:hint="eastAsia"/>
      </w:rPr>
    </w:lvl>
  </w:abstractNum>
  <w:abstractNum w:abstractNumId="14">
    <w:nsid w:val="E3D28C86"/>
    <w:multiLevelType w:val="singleLevel"/>
    <w:tmpl w:val="E3D28C86"/>
    <w:lvl w:ilvl="0" w:tentative="0">
      <w:start w:val="1"/>
      <w:numFmt w:val="decimal"/>
      <w:suff w:val="nothing"/>
      <w:lvlText w:val="18.%1 "/>
      <w:lvlJc w:val="left"/>
      <w:pPr>
        <w:tabs>
          <w:tab w:val="left" w:pos="0"/>
        </w:tabs>
        <w:ind w:left="0" w:firstLine="40"/>
      </w:pPr>
      <w:rPr>
        <w:rFonts w:hint="default" w:ascii="宋体" w:hAnsi="宋体" w:eastAsia="宋体" w:cs="宋体"/>
      </w:rPr>
    </w:lvl>
  </w:abstractNum>
  <w:abstractNum w:abstractNumId="15">
    <w:nsid w:val="E68D516E"/>
    <w:multiLevelType w:val="singleLevel"/>
    <w:tmpl w:val="E68D516E"/>
    <w:lvl w:ilvl="0" w:tentative="0">
      <w:start w:val="1"/>
      <w:numFmt w:val="decimal"/>
      <w:suff w:val="nothing"/>
      <w:lvlText w:val="（%1）"/>
      <w:lvlJc w:val="left"/>
    </w:lvl>
  </w:abstractNum>
  <w:abstractNum w:abstractNumId="16">
    <w:nsid w:val="EDC34A36"/>
    <w:multiLevelType w:val="singleLevel"/>
    <w:tmpl w:val="EDC34A36"/>
    <w:lvl w:ilvl="0" w:tentative="0">
      <w:start w:val="1"/>
      <w:numFmt w:val="decimal"/>
      <w:suff w:val="nothing"/>
      <w:lvlText w:val="12.%1 "/>
      <w:lvlJc w:val="left"/>
      <w:pPr>
        <w:tabs>
          <w:tab w:val="left" w:pos="0"/>
        </w:tabs>
        <w:ind w:left="0" w:firstLine="40"/>
      </w:pPr>
      <w:rPr>
        <w:rFonts w:hint="default" w:ascii="宋体" w:hAnsi="宋体" w:eastAsia="宋体" w:cs="宋体"/>
      </w:rPr>
    </w:lvl>
  </w:abstractNum>
  <w:abstractNum w:abstractNumId="17">
    <w:nsid w:val="F9C5F531"/>
    <w:multiLevelType w:val="singleLevel"/>
    <w:tmpl w:val="F9C5F531"/>
    <w:lvl w:ilvl="0" w:tentative="0">
      <w:start w:val="2"/>
      <w:numFmt w:val="chineseCounting"/>
      <w:suff w:val="nothing"/>
      <w:lvlText w:val="（%1）"/>
      <w:lvlJc w:val="left"/>
      <w:rPr>
        <w:rFonts w:hint="eastAsia"/>
      </w:rPr>
    </w:lvl>
  </w:abstractNum>
  <w:abstractNum w:abstractNumId="18">
    <w:nsid w:val="0486B618"/>
    <w:multiLevelType w:val="singleLevel"/>
    <w:tmpl w:val="0486B618"/>
    <w:lvl w:ilvl="0" w:tentative="0">
      <w:start w:val="1"/>
      <w:numFmt w:val="decimalEnclosedCircleChinese"/>
      <w:suff w:val="nothing"/>
      <w:lvlText w:val="%1　"/>
      <w:lvlJc w:val="left"/>
      <w:pPr>
        <w:ind w:left="0" w:firstLine="1134"/>
      </w:pPr>
      <w:rPr>
        <w:rFonts w:hint="eastAsia"/>
      </w:rPr>
    </w:lvl>
  </w:abstractNum>
  <w:abstractNum w:abstractNumId="19">
    <w:nsid w:val="1003FB92"/>
    <w:multiLevelType w:val="singleLevel"/>
    <w:tmpl w:val="1003FB92"/>
    <w:lvl w:ilvl="0" w:tentative="0">
      <w:start w:val="1"/>
      <w:numFmt w:val="chineseCounting"/>
      <w:suff w:val="nothing"/>
      <w:lvlText w:val="（%1）"/>
      <w:lvlJc w:val="left"/>
      <w:rPr>
        <w:rFonts w:hint="eastAsia"/>
      </w:rPr>
    </w:lvl>
  </w:abstractNum>
  <w:abstractNum w:abstractNumId="20">
    <w:nsid w:val="139B6DF6"/>
    <w:multiLevelType w:val="singleLevel"/>
    <w:tmpl w:val="139B6DF6"/>
    <w:lvl w:ilvl="0" w:tentative="0">
      <w:start w:val="1"/>
      <w:numFmt w:val="decimal"/>
      <w:suff w:val="nothing"/>
      <w:lvlText w:val="9.%1 "/>
      <w:lvlJc w:val="left"/>
      <w:pPr>
        <w:tabs>
          <w:tab w:val="left" w:pos="0"/>
        </w:tabs>
        <w:ind w:left="0" w:firstLine="40"/>
      </w:pPr>
      <w:rPr>
        <w:rFonts w:hint="default" w:ascii="宋体" w:hAnsi="宋体" w:eastAsia="宋体" w:cs="宋体"/>
      </w:rPr>
    </w:lvl>
  </w:abstractNum>
  <w:abstractNum w:abstractNumId="21">
    <w:nsid w:val="18D8B6CC"/>
    <w:multiLevelType w:val="singleLevel"/>
    <w:tmpl w:val="18D8B6CC"/>
    <w:lvl w:ilvl="0" w:tentative="0">
      <w:start w:val="35"/>
      <w:numFmt w:val="decimal"/>
      <w:lvlText w:val="%1."/>
      <w:lvlJc w:val="left"/>
      <w:pPr>
        <w:tabs>
          <w:tab w:val="left" w:pos="312"/>
        </w:tabs>
      </w:pPr>
    </w:lvl>
  </w:abstractNum>
  <w:abstractNum w:abstractNumId="22">
    <w:nsid w:val="1DBCF645"/>
    <w:multiLevelType w:val="singleLevel"/>
    <w:tmpl w:val="1DBCF645"/>
    <w:lvl w:ilvl="0" w:tentative="0">
      <w:start w:val="1"/>
      <w:numFmt w:val="decimalEnclosedCircleChinese"/>
      <w:suff w:val="nothing"/>
      <w:lvlText w:val="%1　"/>
      <w:lvlJc w:val="left"/>
      <w:pPr>
        <w:ind w:left="0" w:firstLine="397"/>
      </w:pPr>
      <w:rPr>
        <w:rFonts w:hint="eastAsia"/>
      </w:rPr>
    </w:lvl>
  </w:abstractNum>
  <w:abstractNum w:abstractNumId="23">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24">
    <w:nsid w:val="22CAA529"/>
    <w:multiLevelType w:val="singleLevel"/>
    <w:tmpl w:val="22CAA529"/>
    <w:lvl w:ilvl="0" w:tentative="0">
      <w:start w:val="1"/>
      <w:numFmt w:val="decimal"/>
      <w:suff w:val="nothing"/>
      <w:lvlText w:val="16.%1 "/>
      <w:lvlJc w:val="left"/>
      <w:pPr>
        <w:ind w:left="0" w:firstLine="1134"/>
      </w:pPr>
      <w:rPr>
        <w:rFonts w:hint="default"/>
      </w:rPr>
    </w:lvl>
  </w:abstractNum>
  <w:abstractNum w:abstractNumId="25">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26">
    <w:nsid w:val="2694E276"/>
    <w:multiLevelType w:val="singleLevel"/>
    <w:tmpl w:val="2694E276"/>
    <w:lvl w:ilvl="0" w:tentative="0">
      <w:start w:val="2"/>
      <w:numFmt w:val="chineseCounting"/>
      <w:suff w:val="nothing"/>
      <w:lvlText w:val="%1、"/>
      <w:lvlJc w:val="left"/>
      <w:rPr>
        <w:rFonts w:hint="eastAsia"/>
      </w:rPr>
    </w:lvl>
  </w:abstractNum>
  <w:abstractNum w:abstractNumId="27">
    <w:nsid w:val="27029FB5"/>
    <w:multiLevelType w:val="singleLevel"/>
    <w:tmpl w:val="27029FB5"/>
    <w:lvl w:ilvl="0" w:tentative="0">
      <w:start w:val="1"/>
      <w:numFmt w:val="decimal"/>
      <w:suff w:val="nothing"/>
      <w:lvlText w:val="11.%1 "/>
      <w:lvlJc w:val="left"/>
      <w:pPr>
        <w:tabs>
          <w:tab w:val="left" w:pos="0"/>
        </w:tabs>
        <w:ind w:left="0" w:firstLine="40"/>
      </w:pPr>
      <w:rPr>
        <w:rFonts w:hint="default" w:ascii="宋体" w:hAnsi="宋体" w:eastAsia="宋体" w:cs="宋体"/>
      </w:rPr>
    </w:lvl>
  </w:abstractNum>
  <w:abstractNum w:abstractNumId="28">
    <w:nsid w:val="272BB4B6"/>
    <w:multiLevelType w:val="singleLevel"/>
    <w:tmpl w:val="272BB4B6"/>
    <w:lvl w:ilvl="0" w:tentative="0">
      <w:start w:val="1"/>
      <w:numFmt w:val="decimal"/>
      <w:suff w:val="nothing"/>
      <w:lvlText w:val="1.%1 "/>
      <w:lvlJc w:val="left"/>
      <w:pPr>
        <w:ind w:left="0" w:firstLine="397"/>
      </w:pPr>
      <w:rPr>
        <w:rFonts w:hint="default"/>
      </w:rPr>
    </w:lvl>
  </w:abstractNum>
  <w:abstractNum w:abstractNumId="29">
    <w:nsid w:val="31FBB5E1"/>
    <w:multiLevelType w:val="singleLevel"/>
    <w:tmpl w:val="31FBB5E1"/>
    <w:lvl w:ilvl="0" w:tentative="0">
      <w:start w:val="1"/>
      <w:numFmt w:val="decimal"/>
      <w:suff w:val="nothing"/>
      <w:lvlText w:val="23.%1 "/>
      <w:lvlJc w:val="left"/>
      <w:pPr>
        <w:tabs>
          <w:tab w:val="left" w:pos="0"/>
        </w:tabs>
        <w:ind w:left="0" w:firstLine="40"/>
      </w:pPr>
      <w:rPr>
        <w:rFonts w:hint="default" w:ascii="宋体" w:hAnsi="宋体" w:eastAsia="宋体" w:cs="宋体"/>
      </w:rPr>
    </w:lvl>
  </w:abstractNum>
  <w:abstractNum w:abstractNumId="30">
    <w:nsid w:val="3543FC97"/>
    <w:multiLevelType w:val="singleLevel"/>
    <w:tmpl w:val="3543FC97"/>
    <w:lvl w:ilvl="0" w:tentative="0">
      <w:start w:val="1"/>
      <w:numFmt w:val="decimal"/>
      <w:suff w:val="nothing"/>
      <w:lvlText w:val="17.%1 "/>
      <w:lvlJc w:val="left"/>
      <w:pPr>
        <w:tabs>
          <w:tab w:val="left" w:pos="0"/>
        </w:tabs>
        <w:ind w:left="0" w:firstLine="40"/>
      </w:pPr>
      <w:rPr>
        <w:rFonts w:hint="default" w:ascii="宋体" w:hAnsi="宋体" w:eastAsia="宋体" w:cs="宋体"/>
      </w:rPr>
    </w:lvl>
  </w:abstractNum>
  <w:abstractNum w:abstractNumId="31">
    <w:nsid w:val="3F34804C"/>
    <w:multiLevelType w:val="singleLevel"/>
    <w:tmpl w:val="3F34804C"/>
    <w:lvl w:ilvl="0" w:tentative="0">
      <w:start w:val="1"/>
      <w:numFmt w:val="decimal"/>
      <w:suff w:val="nothing"/>
      <w:lvlText w:val="21.%1 "/>
      <w:lvlJc w:val="left"/>
      <w:pPr>
        <w:tabs>
          <w:tab w:val="left" w:pos="0"/>
        </w:tabs>
        <w:ind w:left="0" w:firstLine="40"/>
      </w:pPr>
      <w:rPr>
        <w:rFonts w:hint="default" w:ascii="宋体" w:hAnsi="宋体" w:eastAsia="宋体" w:cs="宋体"/>
      </w:rPr>
    </w:lvl>
  </w:abstractNum>
  <w:abstractNum w:abstractNumId="32">
    <w:nsid w:val="43F94463"/>
    <w:multiLevelType w:val="singleLevel"/>
    <w:tmpl w:val="43F94463"/>
    <w:lvl w:ilvl="0" w:tentative="0">
      <w:start w:val="1"/>
      <w:numFmt w:val="decimalEnclosedCircleChinese"/>
      <w:suff w:val="nothing"/>
      <w:lvlText w:val="%1　"/>
      <w:lvlJc w:val="left"/>
      <w:pPr>
        <w:ind w:left="0" w:firstLine="1134"/>
      </w:pPr>
      <w:rPr>
        <w:rFonts w:hint="eastAsia"/>
      </w:rPr>
    </w:lvl>
  </w:abstractNum>
  <w:abstractNum w:abstractNumId="33">
    <w:nsid w:val="474E1A63"/>
    <w:multiLevelType w:val="singleLevel"/>
    <w:tmpl w:val="474E1A63"/>
    <w:lvl w:ilvl="0" w:tentative="0">
      <w:start w:val="1"/>
      <w:numFmt w:val="decimalEnclosedCircleChinese"/>
      <w:suff w:val="nothing"/>
      <w:lvlText w:val="%1　"/>
      <w:lvlJc w:val="left"/>
      <w:pPr>
        <w:ind w:left="0" w:firstLine="1134"/>
      </w:pPr>
      <w:rPr>
        <w:rFonts w:hint="eastAsia"/>
      </w:rPr>
    </w:lvl>
  </w:abstractNum>
  <w:abstractNum w:abstractNumId="34">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35">
    <w:nsid w:val="56581EFE"/>
    <w:multiLevelType w:val="singleLevel"/>
    <w:tmpl w:val="56581EFE"/>
    <w:lvl w:ilvl="0" w:tentative="0">
      <w:start w:val="1"/>
      <w:numFmt w:val="decimal"/>
      <w:suff w:val="nothing"/>
      <w:lvlText w:val="24.%1 "/>
      <w:lvlJc w:val="left"/>
      <w:pPr>
        <w:ind w:left="0" w:firstLine="397"/>
      </w:pPr>
      <w:rPr>
        <w:rFonts w:hint="default"/>
      </w:rPr>
    </w:lvl>
  </w:abstractNum>
  <w:abstractNum w:abstractNumId="36">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37">
    <w:nsid w:val="6271A596"/>
    <w:multiLevelType w:val="singleLevel"/>
    <w:tmpl w:val="6271A596"/>
    <w:lvl w:ilvl="0" w:tentative="0">
      <w:start w:val="1"/>
      <w:numFmt w:val="decimal"/>
      <w:suff w:val="nothing"/>
      <w:lvlText w:val="5.%1 "/>
      <w:lvlJc w:val="left"/>
      <w:pPr>
        <w:tabs>
          <w:tab w:val="left" w:pos="0"/>
        </w:tabs>
        <w:ind w:left="0" w:firstLine="40"/>
      </w:pPr>
      <w:rPr>
        <w:rFonts w:hint="default" w:ascii="宋体" w:hAnsi="宋体" w:eastAsia="宋体" w:cs="宋体"/>
      </w:rPr>
    </w:lvl>
  </w:abstractNum>
  <w:abstractNum w:abstractNumId="38">
    <w:nsid w:val="6EF32394"/>
    <w:multiLevelType w:val="singleLevel"/>
    <w:tmpl w:val="6EF32394"/>
    <w:lvl w:ilvl="0" w:tentative="0">
      <w:start w:val="1"/>
      <w:numFmt w:val="decimal"/>
      <w:suff w:val="nothing"/>
      <w:lvlText w:val="7.%1 "/>
      <w:lvlJc w:val="left"/>
      <w:pPr>
        <w:tabs>
          <w:tab w:val="left" w:pos="0"/>
        </w:tabs>
        <w:ind w:left="0" w:firstLine="40"/>
      </w:pPr>
      <w:rPr>
        <w:rFonts w:hint="default" w:ascii="宋体" w:hAnsi="宋体" w:eastAsia="宋体" w:cs="宋体"/>
      </w:rPr>
    </w:lvl>
  </w:abstractNum>
  <w:abstractNum w:abstractNumId="39">
    <w:nsid w:val="6F596645"/>
    <w:multiLevelType w:val="singleLevel"/>
    <w:tmpl w:val="6F596645"/>
    <w:lvl w:ilvl="0" w:tentative="0">
      <w:start w:val="1"/>
      <w:numFmt w:val="decimal"/>
      <w:suff w:val="nothing"/>
      <w:lvlText w:val="27.%1 "/>
      <w:lvlJc w:val="left"/>
      <w:pPr>
        <w:tabs>
          <w:tab w:val="left" w:pos="0"/>
        </w:tabs>
        <w:ind w:left="0" w:firstLine="40"/>
      </w:pPr>
      <w:rPr>
        <w:rFonts w:hint="default" w:ascii="宋体" w:hAnsi="宋体" w:eastAsia="宋体" w:cs="宋体"/>
      </w:rPr>
    </w:lvl>
  </w:abstractNum>
  <w:abstractNum w:abstractNumId="40">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34"/>
  </w:num>
  <w:num w:numId="2">
    <w:abstractNumId w:val="22"/>
  </w:num>
  <w:num w:numId="3">
    <w:abstractNumId w:val="40"/>
  </w:num>
  <w:num w:numId="4">
    <w:abstractNumId w:val="23"/>
  </w:num>
  <w:num w:numId="5">
    <w:abstractNumId w:val="36"/>
  </w:num>
  <w:num w:numId="6">
    <w:abstractNumId w:val="4"/>
  </w:num>
  <w:num w:numId="7">
    <w:abstractNumId w:val="0"/>
  </w:num>
  <w:num w:numId="8">
    <w:abstractNumId w:val="28"/>
  </w:num>
  <w:num w:numId="9">
    <w:abstractNumId w:val="5"/>
  </w:num>
  <w:num w:numId="10">
    <w:abstractNumId w:val="6"/>
  </w:num>
  <w:num w:numId="11">
    <w:abstractNumId w:val="18"/>
  </w:num>
  <w:num w:numId="12">
    <w:abstractNumId w:val="37"/>
  </w:num>
  <w:num w:numId="13">
    <w:abstractNumId w:val="11"/>
  </w:num>
  <w:num w:numId="14">
    <w:abstractNumId w:val="38"/>
  </w:num>
  <w:num w:numId="15">
    <w:abstractNumId w:val="20"/>
  </w:num>
  <w:num w:numId="16">
    <w:abstractNumId w:val="33"/>
  </w:num>
  <w:num w:numId="17">
    <w:abstractNumId w:val="32"/>
  </w:num>
  <w:num w:numId="18">
    <w:abstractNumId w:val="13"/>
  </w:num>
  <w:num w:numId="19">
    <w:abstractNumId w:val="2"/>
  </w:num>
  <w:num w:numId="20">
    <w:abstractNumId w:val="27"/>
  </w:num>
  <w:num w:numId="21">
    <w:abstractNumId w:val="16"/>
  </w:num>
  <w:num w:numId="22">
    <w:abstractNumId w:val="3"/>
  </w:num>
  <w:num w:numId="23">
    <w:abstractNumId w:val="24"/>
  </w:num>
  <w:num w:numId="24">
    <w:abstractNumId w:val="30"/>
  </w:num>
  <w:num w:numId="25">
    <w:abstractNumId w:val="14"/>
  </w:num>
  <w:num w:numId="26">
    <w:abstractNumId w:val="8"/>
  </w:num>
  <w:num w:numId="27">
    <w:abstractNumId w:val="31"/>
  </w:num>
  <w:num w:numId="28">
    <w:abstractNumId w:val="10"/>
  </w:num>
  <w:num w:numId="29">
    <w:abstractNumId w:val="29"/>
  </w:num>
  <w:num w:numId="30">
    <w:abstractNumId w:val="35"/>
  </w:num>
  <w:num w:numId="31">
    <w:abstractNumId w:val="25"/>
  </w:num>
  <w:num w:numId="32">
    <w:abstractNumId w:val="39"/>
  </w:num>
  <w:num w:numId="33">
    <w:abstractNumId w:val="21"/>
  </w:num>
  <w:num w:numId="34">
    <w:abstractNumId w:val="1"/>
  </w:num>
  <w:num w:numId="35">
    <w:abstractNumId w:val="26"/>
  </w:num>
  <w:num w:numId="36">
    <w:abstractNumId w:val="19"/>
  </w:num>
  <w:num w:numId="37">
    <w:abstractNumId w:val="17"/>
  </w:num>
  <w:num w:numId="38">
    <w:abstractNumId w:val="12"/>
  </w:num>
  <w:num w:numId="39">
    <w:abstractNumId w:val="9"/>
  </w:num>
  <w:num w:numId="40">
    <w:abstractNumId w:val="1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Y1YWU2ZTk2MGU1NDNlZGY5MzE0NzM2ODJlNDA4NTkifQ=="/>
  </w:docVars>
  <w:rsids>
    <w:rsidRoot w:val="1326542E"/>
    <w:rsid w:val="001410E2"/>
    <w:rsid w:val="00166C4F"/>
    <w:rsid w:val="00206564"/>
    <w:rsid w:val="0029031F"/>
    <w:rsid w:val="00407472"/>
    <w:rsid w:val="004708A9"/>
    <w:rsid w:val="00504D96"/>
    <w:rsid w:val="006D3276"/>
    <w:rsid w:val="00744DC1"/>
    <w:rsid w:val="007D1C86"/>
    <w:rsid w:val="00885B63"/>
    <w:rsid w:val="00934FA9"/>
    <w:rsid w:val="00A47BF1"/>
    <w:rsid w:val="00A55DC8"/>
    <w:rsid w:val="00AA399D"/>
    <w:rsid w:val="00AE45D1"/>
    <w:rsid w:val="00B16F79"/>
    <w:rsid w:val="00B935EE"/>
    <w:rsid w:val="00C31BFF"/>
    <w:rsid w:val="00C84BFF"/>
    <w:rsid w:val="00CB3EE8"/>
    <w:rsid w:val="00DF4450"/>
    <w:rsid w:val="00E2187D"/>
    <w:rsid w:val="00F83739"/>
    <w:rsid w:val="00FE5D19"/>
    <w:rsid w:val="0340173B"/>
    <w:rsid w:val="0431202E"/>
    <w:rsid w:val="04F96FF0"/>
    <w:rsid w:val="0A177F37"/>
    <w:rsid w:val="0C782EF0"/>
    <w:rsid w:val="0CB2382D"/>
    <w:rsid w:val="0E032C8D"/>
    <w:rsid w:val="0F30361E"/>
    <w:rsid w:val="11083F9D"/>
    <w:rsid w:val="12B001D9"/>
    <w:rsid w:val="1326542E"/>
    <w:rsid w:val="1439068B"/>
    <w:rsid w:val="161F5B3C"/>
    <w:rsid w:val="16552432"/>
    <w:rsid w:val="17B251A8"/>
    <w:rsid w:val="18C64A14"/>
    <w:rsid w:val="19801636"/>
    <w:rsid w:val="19855735"/>
    <w:rsid w:val="19D315E6"/>
    <w:rsid w:val="1A163D48"/>
    <w:rsid w:val="1AB236D7"/>
    <w:rsid w:val="1B0B094F"/>
    <w:rsid w:val="1C827473"/>
    <w:rsid w:val="1C907DE2"/>
    <w:rsid w:val="1D6476B7"/>
    <w:rsid w:val="1E7E3740"/>
    <w:rsid w:val="204D7D98"/>
    <w:rsid w:val="23C16FB3"/>
    <w:rsid w:val="24195F2D"/>
    <w:rsid w:val="250D2EF8"/>
    <w:rsid w:val="26105AE5"/>
    <w:rsid w:val="26433F43"/>
    <w:rsid w:val="26B834D7"/>
    <w:rsid w:val="2B2040F4"/>
    <w:rsid w:val="2C482915"/>
    <w:rsid w:val="2C6347CA"/>
    <w:rsid w:val="2C863299"/>
    <w:rsid w:val="2F210D6D"/>
    <w:rsid w:val="310046DA"/>
    <w:rsid w:val="310426F5"/>
    <w:rsid w:val="3166230C"/>
    <w:rsid w:val="330D4B02"/>
    <w:rsid w:val="34551CE2"/>
    <w:rsid w:val="34B42429"/>
    <w:rsid w:val="35120C52"/>
    <w:rsid w:val="378325C5"/>
    <w:rsid w:val="388A7983"/>
    <w:rsid w:val="3AC92288"/>
    <w:rsid w:val="3AD82C28"/>
    <w:rsid w:val="3B147EE1"/>
    <w:rsid w:val="3C357C06"/>
    <w:rsid w:val="3D256684"/>
    <w:rsid w:val="3DFA1107"/>
    <w:rsid w:val="3E9253B5"/>
    <w:rsid w:val="449D74EC"/>
    <w:rsid w:val="459B245A"/>
    <w:rsid w:val="48DC1C9C"/>
    <w:rsid w:val="4FB12301"/>
    <w:rsid w:val="52C5363A"/>
    <w:rsid w:val="53FF3B61"/>
    <w:rsid w:val="58BD71A2"/>
    <w:rsid w:val="591C524A"/>
    <w:rsid w:val="59944FA9"/>
    <w:rsid w:val="5AB24390"/>
    <w:rsid w:val="5AF34D14"/>
    <w:rsid w:val="5B043A15"/>
    <w:rsid w:val="5B0D4D97"/>
    <w:rsid w:val="5B796777"/>
    <w:rsid w:val="5DB40D99"/>
    <w:rsid w:val="5DDC513F"/>
    <w:rsid w:val="5EB07633"/>
    <w:rsid w:val="5ECA396F"/>
    <w:rsid w:val="5F67226E"/>
    <w:rsid w:val="612F5580"/>
    <w:rsid w:val="61C947C9"/>
    <w:rsid w:val="62815DD2"/>
    <w:rsid w:val="63AC1BF1"/>
    <w:rsid w:val="645B763F"/>
    <w:rsid w:val="67620EEF"/>
    <w:rsid w:val="67E660D5"/>
    <w:rsid w:val="690939AE"/>
    <w:rsid w:val="6AA0458F"/>
    <w:rsid w:val="6B52226C"/>
    <w:rsid w:val="6CCE030A"/>
    <w:rsid w:val="6CF95D33"/>
    <w:rsid w:val="6D070DC5"/>
    <w:rsid w:val="6F3239AE"/>
    <w:rsid w:val="70614152"/>
    <w:rsid w:val="71777D9E"/>
    <w:rsid w:val="745C4473"/>
    <w:rsid w:val="753D757F"/>
    <w:rsid w:val="759C4277"/>
    <w:rsid w:val="77E6160F"/>
    <w:rsid w:val="7A853FE3"/>
    <w:rsid w:val="7BDC21B4"/>
    <w:rsid w:val="7D822298"/>
    <w:rsid w:val="7F647C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38"/>
    <w:qFormat/>
    <w:uiPriority w:val="0"/>
    <w:pPr>
      <w:keepNext/>
      <w:spacing w:line="216" w:lineRule="auto"/>
      <w:jc w:val="center"/>
      <w:outlineLvl w:val="0"/>
    </w:pPr>
    <w:rPr>
      <w:rFonts w:ascii="宋体" w:hAnsi="宋体"/>
      <w:b/>
      <w:sz w:val="30"/>
      <w:szCs w:val="20"/>
    </w:rPr>
  </w:style>
  <w:style w:type="paragraph" w:styleId="8">
    <w:name w:val="heading 2"/>
    <w:basedOn w:val="1"/>
    <w:next w:val="9"/>
    <w:link w:val="30"/>
    <w:qFormat/>
    <w:uiPriority w:val="0"/>
    <w:pPr>
      <w:keepNext/>
      <w:spacing w:line="216" w:lineRule="auto"/>
      <w:outlineLvl w:val="1"/>
    </w:pPr>
    <w:rPr>
      <w:rFonts w:ascii="宋体"/>
      <w:b/>
      <w:sz w:val="28"/>
      <w:szCs w:val="20"/>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4">
    <w:name w:val="Body Text First Indent"/>
    <w:basedOn w:val="5"/>
    <w:next w:val="1"/>
    <w:qFormat/>
    <w:uiPriority w:val="0"/>
    <w:pPr>
      <w:ind w:firstLine="420" w:firstLineChars="100"/>
    </w:pPr>
  </w:style>
  <w:style w:type="paragraph" w:styleId="5">
    <w:name w:val="Body Text"/>
    <w:basedOn w:val="1"/>
    <w:next w:val="6"/>
    <w:qFormat/>
    <w:uiPriority w:val="0"/>
    <w:pPr>
      <w:autoSpaceDE w:val="0"/>
      <w:autoSpaceDN w:val="0"/>
      <w:adjustRightInd w:val="0"/>
      <w:spacing w:line="360" w:lineRule="auto"/>
    </w:pPr>
    <w:rPr>
      <w:rFonts w:ascii="宋体" w:hAnsi="Arial" w:cs="Arial"/>
      <w:snapToGrid w:val="0"/>
      <w:sz w:val="24"/>
      <w:szCs w:val="21"/>
      <w:lang w:val="zh-CN"/>
    </w:rPr>
  </w:style>
  <w:style w:type="paragraph" w:styleId="6">
    <w:name w:val="Quote"/>
    <w:basedOn w:val="1"/>
    <w:next w:val="1"/>
    <w:qFormat/>
    <w:uiPriority w:val="0"/>
    <w:pPr>
      <w:wordWrap w:val="0"/>
      <w:spacing w:before="200" w:after="160"/>
      <w:ind w:left="864" w:right="864"/>
      <w:jc w:val="center"/>
    </w:pPr>
    <w:rPr>
      <w:i/>
    </w:rPr>
  </w:style>
  <w:style w:type="paragraph" w:styleId="9">
    <w:name w:val="Normal Indent"/>
    <w:basedOn w:val="1"/>
    <w:next w:val="10"/>
    <w:qFormat/>
    <w:uiPriority w:val="0"/>
    <w:pPr>
      <w:ind w:firstLine="420"/>
    </w:pPr>
    <w:rPr>
      <w:szCs w:val="20"/>
    </w:rPr>
  </w:style>
  <w:style w:type="paragraph" w:styleId="10">
    <w:name w:val="toc 4"/>
    <w:basedOn w:val="1"/>
    <w:next w:val="1"/>
    <w:qFormat/>
    <w:uiPriority w:val="39"/>
    <w:pPr>
      <w:ind w:left="1260" w:leftChars="600"/>
    </w:pPr>
  </w:style>
  <w:style w:type="paragraph" w:styleId="11">
    <w:name w:val="annotation text"/>
    <w:basedOn w:val="1"/>
    <w:qFormat/>
    <w:uiPriority w:val="0"/>
    <w:pPr>
      <w:adjustRightInd w:val="0"/>
      <w:jc w:val="left"/>
    </w:pPr>
  </w:style>
  <w:style w:type="paragraph" w:styleId="12">
    <w:name w:val="Block Text"/>
    <w:basedOn w:val="1"/>
    <w:semiHidden/>
    <w:unhideWhenUsed/>
    <w:qFormat/>
    <w:uiPriority w:val="99"/>
    <w:pPr>
      <w:spacing w:after="120"/>
      <w:ind w:left="1440" w:leftChars="700" w:right="1440" w:rightChars="700"/>
    </w:pPr>
  </w:style>
  <w:style w:type="paragraph" w:styleId="13">
    <w:name w:val="Plain Text"/>
    <w:basedOn w:val="1"/>
    <w:next w:val="1"/>
    <w:qFormat/>
    <w:uiPriority w:val="0"/>
    <w:rPr>
      <w:rFonts w:ascii="宋体" w:hAnsi="Courier New" w:cs="Courier New"/>
      <w:szCs w:val="21"/>
    </w:rPr>
  </w:style>
  <w:style w:type="paragraph" w:styleId="14">
    <w:name w:val="Date"/>
    <w:basedOn w:val="1"/>
    <w:next w:val="1"/>
    <w:qFormat/>
    <w:uiPriority w:val="0"/>
    <w:pPr>
      <w:ind w:left="100" w:leftChars="2500"/>
    </w:pPr>
    <w:rPr>
      <w:rFonts w:ascii="宋体" w:hAnsi="宋体"/>
      <w:color w:val="000000"/>
      <w:sz w:val="24"/>
    </w:rPr>
  </w:style>
  <w:style w:type="paragraph" w:styleId="15">
    <w:name w:val="Balloon Text"/>
    <w:basedOn w:val="1"/>
    <w:link w:val="32"/>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9">
    <w:name w:val="toc 1"/>
    <w:basedOn w:val="1"/>
    <w:next w:val="1"/>
    <w:semiHidden/>
    <w:qFormat/>
    <w:uiPriority w:val="0"/>
  </w:style>
  <w:style w:type="paragraph" w:styleId="20">
    <w:name w:val="Body Text 2"/>
    <w:basedOn w:val="1"/>
    <w:qFormat/>
    <w:uiPriority w:val="0"/>
    <w:pPr>
      <w:spacing w:after="120" w:line="480" w:lineRule="auto"/>
    </w:pPr>
    <w:rPr>
      <w:szCs w:val="20"/>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qFormat/>
    <w:uiPriority w:val="10"/>
    <w:pPr>
      <w:widowControl/>
      <w:overflowPunct w:val="0"/>
      <w:autoSpaceDE w:val="0"/>
      <w:autoSpaceDN w:val="0"/>
      <w:adjustRightInd w:val="0"/>
      <w:jc w:val="center"/>
      <w:textAlignment w:val="baseline"/>
    </w:pPr>
    <w:rPr>
      <w:b/>
      <w:sz w:val="24"/>
      <w:lang w:val="en-GB"/>
    </w:rPr>
  </w:style>
  <w:style w:type="table" w:styleId="24">
    <w:name w:val="Table Grid"/>
    <w:basedOn w:val="2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page number"/>
    <w:qFormat/>
    <w:uiPriority w:val="0"/>
  </w:style>
  <w:style w:type="character" w:styleId="27">
    <w:name w:val="annotation reference"/>
    <w:basedOn w:val="25"/>
    <w:qFormat/>
    <w:uiPriority w:val="0"/>
    <w:rPr>
      <w:sz w:val="21"/>
      <w:szCs w:val="21"/>
    </w:rPr>
  </w:style>
  <w:style w:type="paragraph" w:customStyle="1" w:styleId="28">
    <w:name w:val="正文2"/>
    <w:basedOn w:val="20"/>
    <w:link w:val="33"/>
    <w:qFormat/>
    <w:uiPriority w:val="0"/>
    <w:pPr>
      <w:adjustRightInd w:val="0"/>
      <w:spacing w:before="156" w:line="360" w:lineRule="auto"/>
      <w:ind w:firstLine="510" w:firstLineChars="200"/>
    </w:pPr>
    <w:rPr>
      <w:sz w:val="24"/>
    </w:rPr>
  </w:style>
  <w:style w:type="character" w:customStyle="1" w:styleId="29">
    <w:name w:val="NormalCharacter"/>
    <w:semiHidden/>
    <w:qFormat/>
    <w:uiPriority w:val="0"/>
  </w:style>
  <w:style w:type="character" w:customStyle="1" w:styleId="30">
    <w:name w:val="标题 2 Char"/>
    <w:basedOn w:val="25"/>
    <w:link w:val="8"/>
    <w:qFormat/>
    <w:uiPriority w:val="0"/>
    <w:rPr>
      <w:rFonts w:ascii="宋体"/>
      <w:b/>
      <w:sz w:val="28"/>
      <w:szCs w:val="20"/>
    </w:rPr>
  </w:style>
  <w:style w:type="paragraph" w:customStyle="1" w:styleId="31">
    <w:name w:val="样式3"/>
    <w:basedOn w:val="13"/>
    <w:qFormat/>
    <w:uiPriority w:val="0"/>
    <w:pPr>
      <w:spacing w:line="0" w:lineRule="atLeast"/>
      <w:outlineLvl w:val="0"/>
    </w:pPr>
    <w:rPr>
      <w:sz w:val="28"/>
    </w:rPr>
  </w:style>
  <w:style w:type="character" w:customStyle="1" w:styleId="32">
    <w:name w:val="批注框文本 Char"/>
    <w:basedOn w:val="25"/>
    <w:link w:val="15"/>
    <w:qFormat/>
    <w:uiPriority w:val="0"/>
    <w:rPr>
      <w:rFonts w:ascii="Times New Roman" w:hAnsi="Times New Roman" w:eastAsia="宋体" w:cs="Times New Roman"/>
      <w:kern w:val="2"/>
      <w:sz w:val="18"/>
      <w:szCs w:val="18"/>
    </w:rPr>
  </w:style>
  <w:style w:type="character" w:customStyle="1" w:styleId="33">
    <w:name w:val="正文2 Char Char"/>
    <w:link w:val="28"/>
    <w:qFormat/>
    <w:uiPriority w:val="0"/>
    <w:rPr>
      <w:rFonts w:ascii="Times New Roman" w:hAnsi="Times New Roman" w:eastAsia="宋体" w:cs="Times New Roman"/>
      <w:kern w:val="2"/>
      <w:sz w:val="24"/>
    </w:rPr>
  </w:style>
  <w:style w:type="paragraph" w:customStyle="1" w:styleId="3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
    <w:name w:val="BodyText1I2"/>
    <w:basedOn w:val="1"/>
    <w:qFormat/>
    <w:uiPriority w:val="0"/>
    <w:pPr>
      <w:spacing w:line="360" w:lineRule="auto"/>
      <w:ind w:firstLine="420"/>
      <w:jc w:val="left"/>
    </w:pPr>
    <w:rPr>
      <w:rFonts w:ascii="宋体" w:hAnsi="宋体"/>
    </w:rPr>
  </w:style>
  <w:style w:type="paragraph" w:customStyle="1" w:styleId="36">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7">
    <w:name w:val="List Paragraph"/>
    <w:basedOn w:val="1"/>
    <w:qFormat/>
    <w:uiPriority w:val="34"/>
    <w:pPr>
      <w:ind w:firstLine="420" w:firstLineChars="200"/>
    </w:pPr>
  </w:style>
  <w:style w:type="character" w:customStyle="1" w:styleId="38">
    <w:name w:val="标题 1 Char"/>
    <w:link w:val="7"/>
    <w:qFormat/>
    <w:uiPriority w:val="0"/>
    <w:rPr>
      <w:rFonts w:ascii="宋体" w:hAnsi="宋体"/>
      <w:b/>
      <w:sz w:val="30"/>
      <w:szCs w:val="20"/>
    </w:rPr>
  </w:style>
  <w:style w:type="paragraph" w:customStyle="1" w:styleId="39">
    <w:name w:val="zhengwen"/>
    <w:basedOn w:val="1"/>
    <w:qFormat/>
    <w:uiPriority w:val="0"/>
    <w:pPr>
      <w:spacing w:after="156" w:afterLines="50" w:line="276" w:lineRule="auto"/>
      <w:ind w:firstLine="640" w:firstLineChars="200"/>
    </w:pPr>
    <w:rPr>
      <w:rFonts w:ascii="仿宋" w:hAnsi="仿宋" w:eastAsia="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41209</Words>
  <Characters>44056</Characters>
  <Lines>60</Lines>
  <Paragraphs>93</Paragraphs>
  <TotalTime>6</TotalTime>
  <ScaleCrop>false</ScaleCrop>
  <LinksUpToDate>false</LinksUpToDate>
  <CharactersWithSpaces>45204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2022-11-10T00:47:00Z</dcterms:created>
  <dc:creator>王成</dc:creator>
  <cp:lastModifiedBy>RYQ</cp:lastModifiedBy>
  <cp:lastPrinted>2022-11-10T01:42:00Z</cp:lastPrinted>
  <dcterms:modified xsi:type="dcterms:W3CDTF">2023-01-13T08:24:32Z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3BAB60A0B0204B83A5E57058740FC041</vt:lpwstr>
  </property>
</Properties>
</file>